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9A12" w14:textId="15064772" w:rsidR="00691899" w:rsidRPr="00557159" w:rsidRDefault="00691899" w:rsidP="00371520">
      <w:pPr>
        <w:pStyle w:val="Title"/>
        <w:spacing w:before="7920" w:after="2000"/>
        <w:ind w:left="2693" w:right="-624"/>
        <w:rPr>
          <w:color w:val="1F497D"/>
        </w:rPr>
      </w:pPr>
      <w:bookmarkStart w:id="0" w:name="_GoBack"/>
      <w:bookmarkEnd w:id="0"/>
      <w:r>
        <w:rPr>
          <w:color w:val="1F497D"/>
        </w:rPr>
        <w:t>Independent e</w:t>
      </w:r>
      <w:r w:rsidRPr="00557159">
        <w:rPr>
          <w:color w:val="1F497D"/>
        </w:rPr>
        <w:t xml:space="preserve">valuation of Phase 2 of </w:t>
      </w:r>
      <w:r w:rsidR="00371520">
        <w:rPr>
          <w:color w:val="1F497D"/>
        </w:rPr>
        <w:t xml:space="preserve">the Australian Aid Program’s </w:t>
      </w:r>
      <w:r w:rsidRPr="00557159">
        <w:rPr>
          <w:color w:val="1F497D"/>
        </w:rPr>
        <w:t>urban water program in Solomon Islands</w:t>
      </w:r>
    </w:p>
    <w:p w14:paraId="5D8C5F5B" w14:textId="77777777" w:rsidR="00AA017A" w:rsidRDefault="00691899" w:rsidP="00105C3F">
      <w:pPr>
        <w:pStyle w:val="Date"/>
        <w:ind w:left="2694" w:right="-624"/>
        <w:sectPr w:rsidR="00AA017A" w:rsidSect="00AA45A4">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40" w:right="1440" w:bottom="1440" w:left="1440" w:header="576" w:footer="576" w:gutter="0"/>
          <w:pgNumType w:fmt="lowerRoman" w:start="3"/>
          <w:cols w:space="720"/>
          <w:titlePg/>
        </w:sectPr>
      </w:pPr>
      <w:r w:rsidRPr="00557159">
        <w:rPr>
          <w:color w:val="1F497D"/>
        </w:rPr>
        <w:t>June 2016</w:t>
      </w:r>
      <w:r w:rsidR="003F133C">
        <w:t>May</w:t>
      </w:r>
      <w:r w:rsidR="00E156F8">
        <w:t xml:space="preserve"> 2016</w:t>
      </w:r>
      <w:r w:rsidR="003F133C">
        <w:t>: Draft</w:t>
      </w:r>
    </w:p>
    <w:p w14:paraId="6D331673" w14:textId="77777777" w:rsidR="00DD1152" w:rsidRDefault="00DD1152" w:rsidP="00DD1152">
      <w:pPr>
        <w:pStyle w:val="SectionTitle"/>
      </w:pPr>
      <w:bookmarkStart w:id="1" w:name="_Toc453955977"/>
      <w:bookmarkStart w:id="2" w:name="_Toc381953319"/>
      <w:bookmarkStart w:id="3" w:name="_Toc381953318"/>
      <w:r>
        <w:lastRenderedPageBreak/>
        <w:t>Acknowledgments</w:t>
      </w:r>
      <w:bookmarkEnd w:id="1"/>
      <w:r>
        <w:t xml:space="preserve"> </w:t>
      </w:r>
      <w:bookmarkEnd w:id="2"/>
    </w:p>
    <w:p w14:paraId="5BF1254C" w14:textId="77777777" w:rsidR="00DD1152" w:rsidRPr="008C2146" w:rsidRDefault="00DD1152" w:rsidP="00DD1152">
      <w:r>
        <w:t xml:space="preserve">The </w:t>
      </w:r>
      <w:r w:rsidRPr="008C2146">
        <w:t xml:space="preserve">evaluation was </w:t>
      </w:r>
      <w:r>
        <w:t>undertaken</w:t>
      </w:r>
      <w:r w:rsidRPr="008C2146">
        <w:t xml:space="preserve"> by </w:t>
      </w:r>
      <w:r>
        <w:t>Stacey Tennant</w:t>
      </w:r>
      <w:r w:rsidRPr="008C2146">
        <w:t xml:space="preserve"> </w:t>
      </w:r>
      <w:r>
        <w:t>(t</w:t>
      </w:r>
      <w:r w:rsidRPr="008C2146">
        <w:t xml:space="preserve">eam </w:t>
      </w:r>
      <w:r>
        <w:t>l</w:t>
      </w:r>
      <w:r w:rsidRPr="008C2146">
        <w:t>eader</w:t>
      </w:r>
      <w:r>
        <w:t>,</w:t>
      </w:r>
      <w:r w:rsidRPr="008C2146">
        <w:t xml:space="preserve"> </w:t>
      </w:r>
      <w:r>
        <w:t>evaluation s</w:t>
      </w:r>
      <w:r w:rsidRPr="008C2146">
        <w:t xml:space="preserve">pecialist) and </w:t>
      </w:r>
      <w:r>
        <w:t xml:space="preserve">Ross Kearton </w:t>
      </w:r>
      <w:r w:rsidRPr="008C2146">
        <w:t>(</w:t>
      </w:r>
      <w:r>
        <w:t>water and sanitation specialist</w:t>
      </w:r>
      <w:r w:rsidRPr="008C2146">
        <w:t>).</w:t>
      </w:r>
    </w:p>
    <w:p w14:paraId="4D30C7A0" w14:textId="77777777" w:rsidR="00DD1152" w:rsidRDefault="00DD1152" w:rsidP="00B44224">
      <w:r w:rsidRPr="00486EE0">
        <w:t>The evaluation team</w:t>
      </w:r>
      <w:r>
        <w:t xml:space="preserve"> is very appreciative of the ready and extensive participation of the Board, management and staff of Solomon Water throughout the evaluation process. The evaluation team would like to thank the many individuals across Solomon Islands </w:t>
      </w:r>
      <w:r w:rsidR="00B44224">
        <w:t>G</w:t>
      </w:r>
      <w:r>
        <w:t>overnment, businesses</w:t>
      </w:r>
      <w:r w:rsidR="00B44224">
        <w:t xml:space="preserve"> and civil society, as well as </w:t>
      </w:r>
      <w:r>
        <w:t xml:space="preserve">Solomon Water customers who contributed their insights on the achievements and future directions of Solomon Water. </w:t>
      </w:r>
      <w:r w:rsidRPr="00B44224">
        <w:t xml:space="preserve">The evaluation team is grateful for the assistance and insights provided by </w:t>
      </w:r>
      <w:r w:rsidR="00201B63" w:rsidRPr="00486EE0">
        <w:rPr>
          <w:rFonts w:cs="Franklin Gothic Book"/>
          <w:color w:val="000000"/>
          <w:szCs w:val="21"/>
        </w:rPr>
        <w:t xml:space="preserve">the Australian Government Department of Foreign Affairs and Trade </w:t>
      </w:r>
      <w:r w:rsidRPr="00B44224">
        <w:t>staff previously and currently working in the economic</w:t>
      </w:r>
      <w:r w:rsidR="00C74633">
        <w:t xml:space="preserve"> infrastructure and</w:t>
      </w:r>
      <w:r w:rsidRPr="00B44224">
        <w:t xml:space="preserve"> growth team</w:t>
      </w:r>
      <w:r w:rsidR="00C74633">
        <w:t>s</w:t>
      </w:r>
      <w:r w:rsidRPr="00B44224">
        <w:t xml:space="preserve"> in Honiara.</w:t>
      </w:r>
    </w:p>
    <w:p w14:paraId="636717FE" w14:textId="77777777" w:rsidR="00EC61AB" w:rsidRDefault="00EC61AB" w:rsidP="00B44224"/>
    <w:p w14:paraId="0510676F" w14:textId="77777777" w:rsidR="00EC61AB" w:rsidRDefault="00EC61AB" w:rsidP="00B44224"/>
    <w:p w14:paraId="615CBFF9" w14:textId="77777777" w:rsidR="00EC61AB" w:rsidRDefault="00EC61AB" w:rsidP="00B44224"/>
    <w:p w14:paraId="3E3DAB91" w14:textId="77777777" w:rsidR="00EC61AB" w:rsidRDefault="00EC61AB" w:rsidP="00B44224"/>
    <w:p w14:paraId="5EEBBA08" w14:textId="77777777" w:rsidR="00EC61AB" w:rsidRDefault="00EC61AB" w:rsidP="00B44224"/>
    <w:p w14:paraId="144CB560" w14:textId="77777777" w:rsidR="00EC61AB" w:rsidRDefault="00EC61AB" w:rsidP="00B44224"/>
    <w:p w14:paraId="5DD6F000" w14:textId="77777777" w:rsidR="00EC61AB" w:rsidRDefault="00EC61AB" w:rsidP="00B44224"/>
    <w:p w14:paraId="19C21ED2" w14:textId="77777777" w:rsidR="00EC61AB" w:rsidRDefault="00EC61AB" w:rsidP="00B44224"/>
    <w:p w14:paraId="47252A91" w14:textId="77777777" w:rsidR="00EC61AB" w:rsidRDefault="00EC61AB" w:rsidP="00B44224"/>
    <w:p w14:paraId="77DED311" w14:textId="77777777" w:rsidR="00EC61AB" w:rsidRDefault="00EC61AB" w:rsidP="00B44224"/>
    <w:p w14:paraId="3A541D93" w14:textId="77777777" w:rsidR="00EC61AB" w:rsidRDefault="00EC61AB" w:rsidP="00B44224"/>
    <w:p w14:paraId="47FF678B" w14:textId="77777777" w:rsidR="00EC61AB" w:rsidRDefault="00EC61AB" w:rsidP="00B44224"/>
    <w:p w14:paraId="2C3422DA" w14:textId="77777777" w:rsidR="00EC61AB" w:rsidRDefault="00EC61AB" w:rsidP="00B44224"/>
    <w:p w14:paraId="6729D97D" w14:textId="77777777" w:rsidR="00EC61AB" w:rsidRDefault="00EC61AB" w:rsidP="00B44224"/>
    <w:p w14:paraId="4B897783" w14:textId="77777777" w:rsidR="00EC61AB" w:rsidRDefault="00EC61AB" w:rsidP="00B44224"/>
    <w:p w14:paraId="73BAB407" w14:textId="77777777" w:rsidR="00EC61AB" w:rsidRDefault="00EC61AB" w:rsidP="00B44224"/>
    <w:p w14:paraId="5C996FC5" w14:textId="77777777" w:rsidR="00EC61AB" w:rsidRDefault="00EC61AB" w:rsidP="00B44224"/>
    <w:p w14:paraId="0561C2E5" w14:textId="77777777" w:rsidR="00EC61AB" w:rsidRDefault="00EC61AB" w:rsidP="00B44224"/>
    <w:p w14:paraId="127E7501" w14:textId="77777777" w:rsidR="00EC61AB" w:rsidRDefault="00EC61AB" w:rsidP="00B44224"/>
    <w:p w14:paraId="185B687B" w14:textId="77777777" w:rsidR="00EC61AB" w:rsidRDefault="00EC61AB" w:rsidP="00B44224"/>
    <w:p w14:paraId="05C3E43E" w14:textId="77777777" w:rsidR="00EC61AB" w:rsidRDefault="00EC61AB" w:rsidP="00B44224"/>
    <w:p w14:paraId="4717E2C8" w14:textId="77777777" w:rsidR="00EC61AB" w:rsidRPr="006068DE" w:rsidRDefault="00EC61AB" w:rsidP="00B44224">
      <w:r>
        <w:rPr>
          <w:color w:val="404040" w:themeColor="text1" w:themeTint="BF"/>
        </w:rPr>
        <w:t xml:space="preserve">Disclaimer: </w:t>
      </w:r>
      <w:r w:rsidRPr="00B64696">
        <w:rPr>
          <w:color w:val="404040" w:themeColor="text1" w:themeTint="BF"/>
        </w:rPr>
        <w:t>The views expressed in this report are those of the authors and do not necessarily reflect the position of the Government</w:t>
      </w:r>
      <w:r>
        <w:rPr>
          <w:color w:val="404040" w:themeColor="text1" w:themeTint="BF"/>
        </w:rPr>
        <w:t xml:space="preserve"> of Australia </w:t>
      </w:r>
      <w:r w:rsidRPr="00B64696">
        <w:rPr>
          <w:color w:val="404040" w:themeColor="text1" w:themeTint="BF"/>
        </w:rPr>
        <w:t xml:space="preserve">or any other party. </w:t>
      </w:r>
    </w:p>
    <w:p w14:paraId="7A63FEB3" w14:textId="77777777" w:rsidR="00AA017A" w:rsidRDefault="00AA017A" w:rsidP="00D75AC5">
      <w:pPr>
        <w:pStyle w:val="SectionTitle"/>
      </w:pPr>
      <w:bookmarkStart w:id="4" w:name="_Toc453955978"/>
      <w:r>
        <w:lastRenderedPageBreak/>
        <w:t>Contents</w:t>
      </w:r>
      <w:bookmarkEnd w:id="3"/>
      <w:bookmarkEnd w:id="4"/>
    </w:p>
    <w:p w14:paraId="1659A1DB" w14:textId="77777777" w:rsidR="001D7C21" w:rsidRDefault="00AA017A">
      <w:pPr>
        <w:pStyle w:val="TOC1"/>
        <w:rPr>
          <w:rFonts w:asciiTheme="minorHAnsi" w:eastAsiaTheme="minorEastAsia" w:hAnsiTheme="minorHAnsi" w:cstheme="minorBidi"/>
          <w:bCs w:val="0"/>
          <w:color w:val="auto"/>
          <w:sz w:val="22"/>
          <w:szCs w:val="22"/>
          <w:lang w:val="en-NZ" w:eastAsia="en-NZ"/>
        </w:rPr>
      </w:pPr>
      <w:r>
        <w:rPr>
          <w:rFonts w:ascii="Calibri" w:hAnsi="Calibri"/>
          <w:b/>
          <w:bCs w:val="0"/>
          <w:color w:val="007C92"/>
          <w:sz w:val="32"/>
        </w:rPr>
        <w:fldChar w:fldCharType="begin"/>
      </w:r>
      <w:r>
        <w:rPr>
          <w:rFonts w:ascii="Calibri" w:hAnsi="Calibri"/>
          <w:b/>
          <w:bCs w:val="0"/>
          <w:color w:val="007C92"/>
          <w:sz w:val="32"/>
        </w:rPr>
        <w:instrText xml:space="preserve"> TOC \o "1-2" \t "SectionTitle,1" </w:instrText>
      </w:r>
      <w:r>
        <w:rPr>
          <w:rFonts w:ascii="Calibri" w:hAnsi="Calibri"/>
          <w:b/>
          <w:bCs w:val="0"/>
          <w:color w:val="007C92"/>
          <w:sz w:val="32"/>
        </w:rPr>
        <w:fldChar w:fldCharType="separate"/>
      </w:r>
      <w:r w:rsidR="001D7C21">
        <w:t>Acknowledgments</w:t>
      </w:r>
      <w:r w:rsidR="001D7C21">
        <w:tab/>
      </w:r>
      <w:r w:rsidR="001D7C21">
        <w:fldChar w:fldCharType="begin"/>
      </w:r>
      <w:r w:rsidR="001D7C21">
        <w:instrText xml:space="preserve"> PAGEREF _Toc453955977 \h </w:instrText>
      </w:r>
      <w:r w:rsidR="001D7C21">
        <w:fldChar w:fldCharType="separate"/>
      </w:r>
      <w:r w:rsidR="001D7C21">
        <w:t>i</w:t>
      </w:r>
      <w:r w:rsidR="001D7C21">
        <w:fldChar w:fldCharType="end"/>
      </w:r>
    </w:p>
    <w:p w14:paraId="07A30449" w14:textId="77777777" w:rsidR="001D7C21" w:rsidRDefault="001D7C21">
      <w:pPr>
        <w:pStyle w:val="TOC1"/>
        <w:rPr>
          <w:rFonts w:asciiTheme="minorHAnsi" w:eastAsiaTheme="minorEastAsia" w:hAnsiTheme="minorHAnsi" w:cstheme="minorBidi"/>
          <w:bCs w:val="0"/>
          <w:color w:val="auto"/>
          <w:sz w:val="22"/>
          <w:szCs w:val="22"/>
          <w:lang w:val="en-NZ" w:eastAsia="en-NZ"/>
        </w:rPr>
      </w:pPr>
      <w:r>
        <w:t>Contents</w:t>
      </w:r>
      <w:r>
        <w:tab/>
      </w:r>
      <w:r>
        <w:fldChar w:fldCharType="begin"/>
      </w:r>
      <w:r>
        <w:instrText xml:space="preserve"> PAGEREF _Toc453955978 \h </w:instrText>
      </w:r>
      <w:r>
        <w:fldChar w:fldCharType="separate"/>
      </w:r>
      <w:r>
        <w:t>ii</w:t>
      </w:r>
      <w:r>
        <w:fldChar w:fldCharType="end"/>
      </w:r>
    </w:p>
    <w:p w14:paraId="13E82111" w14:textId="77777777" w:rsidR="001D7C21" w:rsidRDefault="001D7C21">
      <w:pPr>
        <w:pStyle w:val="TOC1"/>
        <w:rPr>
          <w:rFonts w:asciiTheme="minorHAnsi" w:eastAsiaTheme="minorEastAsia" w:hAnsiTheme="minorHAnsi" w:cstheme="minorBidi"/>
          <w:bCs w:val="0"/>
          <w:color w:val="auto"/>
          <w:sz w:val="22"/>
          <w:szCs w:val="22"/>
          <w:lang w:val="en-NZ" w:eastAsia="en-NZ"/>
        </w:rPr>
      </w:pPr>
      <w:r>
        <w:t>Summary</w:t>
      </w:r>
      <w:r>
        <w:tab/>
      </w:r>
      <w:r>
        <w:fldChar w:fldCharType="begin"/>
      </w:r>
      <w:r>
        <w:instrText xml:space="preserve"> PAGEREF _Toc453955979 \h </w:instrText>
      </w:r>
      <w:r>
        <w:fldChar w:fldCharType="separate"/>
      </w:r>
      <w:r>
        <w:t>1</w:t>
      </w:r>
      <w:r>
        <w:fldChar w:fldCharType="end"/>
      </w:r>
    </w:p>
    <w:p w14:paraId="4B4933A9" w14:textId="77777777" w:rsidR="001D7C21" w:rsidRDefault="001D7C21">
      <w:pPr>
        <w:pStyle w:val="TOC1"/>
        <w:rPr>
          <w:rFonts w:asciiTheme="minorHAnsi" w:eastAsiaTheme="minorEastAsia" w:hAnsiTheme="minorHAnsi" w:cstheme="minorBidi"/>
          <w:bCs w:val="0"/>
          <w:color w:val="auto"/>
          <w:sz w:val="22"/>
          <w:szCs w:val="22"/>
          <w:lang w:val="en-NZ" w:eastAsia="en-NZ"/>
        </w:rPr>
      </w:pPr>
      <w:r>
        <w:t>1</w:t>
      </w:r>
      <w:r>
        <w:rPr>
          <w:rFonts w:asciiTheme="minorHAnsi" w:eastAsiaTheme="minorEastAsia" w:hAnsiTheme="minorHAnsi" w:cstheme="minorBidi"/>
          <w:bCs w:val="0"/>
          <w:color w:val="auto"/>
          <w:sz w:val="22"/>
          <w:szCs w:val="22"/>
          <w:lang w:val="en-NZ" w:eastAsia="en-NZ"/>
        </w:rPr>
        <w:tab/>
      </w:r>
      <w:r>
        <w:t>Background</w:t>
      </w:r>
      <w:r>
        <w:tab/>
      </w:r>
      <w:r>
        <w:fldChar w:fldCharType="begin"/>
      </w:r>
      <w:r>
        <w:instrText xml:space="preserve"> PAGEREF _Toc453955980 \h </w:instrText>
      </w:r>
      <w:r>
        <w:fldChar w:fldCharType="separate"/>
      </w:r>
      <w:r>
        <w:t>4</w:t>
      </w:r>
      <w:r>
        <w:fldChar w:fldCharType="end"/>
      </w:r>
    </w:p>
    <w:p w14:paraId="524FB3DC" w14:textId="77777777" w:rsidR="001D7C21" w:rsidRDefault="001D7C21">
      <w:pPr>
        <w:pStyle w:val="TOC2"/>
        <w:rPr>
          <w:rFonts w:asciiTheme="minorHAnsi" w:eastAsiaTheme="minorEastAsia" w:hAnsiTheme="minorHAnsi" w:cstheme="minorBidi"/>
          <w:noProof/>
          <w:sz w:val="22"/>
          <w:szCs w:val="22"/>
          <w:lang w:val="en-NZ" w:eastAsia="en-NZ"/>
        </w:rPr>
      </w:pPr>
      <w:r>
        <w:rPr>
          <w:noProof/>
        </w:rPr>
        <w:t>1.1</w:t>
      </w:r>
      <w:r>
        <w:rPr>
          <w:rFonts w:asciiTheme="minorHAnsi" w:eastAsiaTheme="minorEastAsia" w:hAnsiTheme="minorHAnsi" w:cstheme="minorBidi"/>
          <w:noProof/>
          <w:sz w:val="22"/>
          <w:szCs w:val="22"/>
          <w:lang w:val="en-NZ" w:eastAsia="en-NZ"/>
        </w:rPr>
        <w:tab/>
      </w:r>
      <w:r>
        <w:rPr>
          <w:noProof/>
        </w:rPr>
        <w:t>Program overview</w:t>
      </w:r>
      <w:r>
        <w:rPr>
          <w:noProof/>
        </w:rPr>
        <w:tab/>
      </w:r>
      <w:r>
        <w:rPr>
          <w:noProof/>
        </w:rPr>
        <w:fldChar w:fldCharType="begin"/>
      </w:r>
      <w:r>
        <w:rPr>
          <w:noProof/>
        </w:rPr>
        <w:instrText xml:space="preserve"> PAGEREF _Toc453955981 \h </w:instrText>
      </w:r>
      <w:r>
        <w:rPr>
          <w:noProof/>
        </w:rPr>
      </w:r>
      <w:r>
        <w:rPr>
          <w:noProof/>
        </w:rPr>
        <w:fldChar w:fldCharType="separate"/>
      </w:r>
      <w:r>
        <w:rPr>
          <w:noProof/>
        </w:rPr>
        <w:t>4</w:t>
      </w:r>
      <w:r>
        <w:rPr>
          <w:noProof/>
        </w:rPr>
        <w:fldChar w:fldCharType="end"/>
      </w:r>
    </w:p>
    <w:p w14:paraId="56B3D41D" w14:textId="77777777" w:rsidR="001D7C21" w:rsidRDefault="001D7C21">
      <w:pPr>
        <w:pStyle w:val="TOC2"/>
        <w:rPr>
          <w:rFonts w:asciiTheme="minorHAnsi" w:eastAsiaTheme="minorEastAsia" w:hAnsiTheme="minorHAnsi" w:cstheme="minorBidi"/>
          <w:noProof/>
          <w:sz w:val="22"/>
          <w:szCs w:val="22"/>
          <w:lang w:val="en-NZ" w:eastAsia="en-NZ"/>
        </w:rPr>
      </w:pPr>
      <w:r>
        <w:rPr>
          <w:noProof/>
        </w:rPr>
        <w:t>1.2</w:t>
      </w:r>
      <w:r>
        <w:rPr>
          <w:rFonts w:asciiTheme="minorHAnsi" w:eastAsiaTheme="minorEastAsia" w:hAnsiTheme="minorHAnsi" w:cstheme="minorBidi"/>
          <w:noProof/>
          <w:sz w:val="22"/>
          <w:szCs w:val="22"/>
          <w:lang w:val="en-NZ" w:eastAsia="en-NZ"/>
        </w:rPr>
        <w:tab/>
      </w:r>
      <w:r>
        <w:rPr>
          <w:noProof/>
        </w:rPr>
        <w:t>Purpose and scope</w:t>
      </w:r>
      <w:r>
        <w:rPr>
          <w:noProof/>
        </w:rPr>
        <w:tab/>
      </w:r>
      <w:r>
        <w:rPr>
          <w:noProof/>
        </w:rPr>
        <w:fldChar w:fldCharType="begin"/>
      </w:r>
      <w:r>
        <w:rPr>
          <w:noProof/>
        </w:rPr>
        <w:instrText xml:space="preserve"> PAGEREF _Toc453955982 \h </w:instrText>
      </w:r>
      <w:r>
        <w:rPr>
          <w:noProof/>
        </w:rPr>
      </w:r>
      <w:r>
        <w:rPr>
          <w:noProof/>
        </w:rPr>
        <w:fldChar w:fldCharType="separate"/>
      </w:r>
      <w:r>
        <w:rPr>
          <w:noProof/>
        </w:rPr>
        <w:t>6</w:t>
      </w:r>
      <w:r>
        <w:rPr>
          <w:noProof/>
        </w:rPr>
        <w:fldChar w:fldCharType="end"/>
      </w:r>
    </w:p>
    <w:p w14:paraId="4BDD4A88" w14:textId="77777777" w:rsidR="001D7C21" w:rsidRDefault="001D7C21">
      <w:pPr>
        <w:pStyle w:val="TOC2"/>
        <w:rPr>
          <w:rFonts w:asciiTheme="minorHAnsi" w:eastAsiaTheme="minorEastAsia" w:hAnsiTheme="minorHAnsi" w:cstheme="minorBidi"/>
          <w:noProof/>
          <w:sz w:val="22"/>
          <w:szCs w:val="22"/>
          <w:lang w:val="en-NZ" w:eastAsia="en-NZ"/>
        </w:rPr>
      </w:pPr>
      <w:r>
        <w:rPr>
          <w:noProof/>
        </w:rPr>
        <w:t>1.3</w:t>
      </w:r>
      <w:r>
        <w:rPr>
          <w:rFonts w:asciiTheme="minorHAnsi" w:eastAsiaTheme="minorEastAsia" w:hAnsiTheme="minorHAnsi" w:cstheme="minorBidi"/>
          <w:noProof/>
          <w:sz w:val="22"/>
          <w:szCs w:val="22"/>
          <w:lang w:val="en-NZ" w:eastAsia="en-NZ"/>
        </w:rPr>
        <w:tab/>
      </w:r>
      <w:r>
        <w:rPr>
          <w:noProof/>
        </w:rPr>
        <w:t>Evaluation questions</w:t>
      </w:r>
      <w:r>
        <w:rPr>
          <w:noProof/>
        </w:rPr>
        <w:tab/>
      </w:r>
      <w:r>
        <w:rPr>
          <w:noProof/>
        </w:rPr>
        <w:fldChar w:fldCharType="begin"/>
      </w:r>
      <w:r>
        <w:rPr>
          <w:noProof/>
        </w:rPr>
        <w:instrText xml:space="preserve"> PAGEREF _Toc453955983 \h </w:instrText>
      </w:r>
      <w:r>
        <w:rPr>
          <w:noProof/>
        </w:rPr>
      </w:r>
      <w:r>
        <w:rPr>
          <w:noProof/>
        </w:rPr>
        <w:fldChar w:fldCharType="separate"/>
      </w:r>
      <w:r>
        <w:rPr>
          <w:noProof/>
        </w:rPr>
        <w:t>6</w:t>
      </w:r>
      <w:r>
        <w:rPr>
          <w:noProof/>
        </w:rPr>
        <w:fldChar w:fldCharType="end"/>
      </w:r>
    </w:p>
    <w:p w14:paraId="03810FC3" w14:textId="77777777" w:rsidR="001D7C21" w:rsidRDefault="001D7C21">
      <w:pPr>
        <w:pStyle w:val="TOC2"/>
        <w:rPr>
          <w:rFonts w:asciiTheme="minorHAnsi" w:eastAsiaTheme="minorEastAsia" w:hAnsiTheme="minorHAnsi" w:cstheme="minorBidi"/>
          <w:noProof/>
          <w:sz w:val="22"/>
          <w:szCs w:val="22"/>
          <w:lang w:val="en-NZ" w:eastAsia="en-NZ"/>
        </w:rPr>
      </w:pPr>
      <w:r>
        <w:rPr>
          <w:noProof/>
        </w:rPr>
        <w:t>1.4</w:t>
      </w:r>
      <w:r>
        <w:rPr>
          <w:rFonts w:asciiTheme="minorHAnsi" w:eastAsiaTheme="minorEastAsia" w:hAnsiTheme="minorHAnsi" w:cstheme="minorBidi"/>
          <w:noProof/>
          <w:sz w:val="22"/>
          <w:szCs w:val="22"/>
          <w:lang w:val="en-NZ" w:eastAsia="en-NZ"/>
        </w:rPr>
        <w:tab/>
      </w:r>
      <w:r>
        <w:rPr>
          <w:noProof/>
        </w:rPr>
        <w:t>Methodology</w:t>
      </w:r>
      <w:r>
        <w:rPr>
          <w:noProof/>
        </w:rPr>
        <w:tab/>
      </w:r>
      <w:r>
        <w:rPr>
          <w:noProof/>
        </w:rPr>
        <w:fldChar w:fldCharType="begin"/>
      </w:r>
      <w:r>
        <w:rPr>
          <w:noProof/>
        </w:rPr>
        <w:instrText xml:space="preserve"> PAGEREF _Toc453955984 \h </w:instrText>
      </w:r>
      <w:r>
        <w:rPr>
          <w:noProof/>
        </w:rPr>
      </w:r>
      <w:r>
        <w:rPr>
          <w:noProof/>
        </w:rPr>
        <w:fldChar w:fldCharType="separate"/>
      </w:r>
      <w:r>
        <w:rPr>
          <w:noProof/>
        </w:rPr>
        <w:t>7</w:t>
      </w:r>
      <w:r>
        <w:rPr>
          <w:noProof/>
        </w:rPr>
        <w:fldChar w:fldCharType="end"/>
      </w:r>
    </w:p>
    <w:p w14:paraId="094662D7" w14:textId="77777777" w:rsidR="001D7C21" w:rsidRDefault="001D7C21">
      <w:pPr>
        <w:pStyle w:val="TOC1"/>
        <w:rPr>
          <w:rFonts w:asciiTheme="minorHAnsi" w:eastAsiaTheme="minorEastAsia" w:hAnsiTheme="minorHAnsi" w:cstheme="minorBidi"/>
          <w:bCs w:val="0"/>
          <w:color w:val="auto"/>
          <w:sz w:val="22"/>
          <w:szCs w:val="22"/>
          <w:lang w:val="en-NZ" w:eastAsia="en-NZ"/>
        </w:rPr>
      </w:pPr>
      <w:r>
        <w:t xml:space="preserve">2 </w:t>
      </w:r>
      <w:r>
        <w:rPr>
          <w:rFonts w:asciiTheme="minorHAnsi" w:eastAsiaTheme="minorEastAsia" w:hAnsiTheme="minorHAnsi" w:cstheme="minorBidi"/>
          <w:bCs w:val="0"/>
          <w:color w:val="auto"/>
          <w:sz w:val="22"/>
          <w:szCs w:val="22"/>
          <w:lang w:val="en-NZ" w:eastAsia="en-NZ"/>
        </w:rPr>
        <w:tab/>
      </w:r>
      <w:r>
        <w:t>Context</w:t>
      </w:r>
      <w:r>
        <w:tab/>
      </w:r>
      <w:r>
        <w:fldChar w:fldCharType="begin"/>
      </w:r>
      <w:r>
        <w:instrText xml:space="preserve"> PAGEREF _Toc453955985 \h </w:instrText>
      </w:r>
      <w:r>
        <w:fldChar w:fldCharType="separate"/>
      </w:r>
      <w:r>
        <w:t>8</w:t>
      </w:r>
      <w:r>
        <w:fldChar w:fldCharType="end"/>
      </w:r>
    </w:p>
    <w:p w14:paraId="6C4A9204" w14:textId="77777777" w:rsidR="001D7C21" w:rsidRDefault="001D7C21">
      <w:pPr>
        <w:pStyle w:val="TOC2"/>
        <w:rPr>
          <w:rFonts w:asciiTheme="minorHAnsi" w:eastAsiaTheme="minorEastAsia" w:hAnsiTheme="minorHAnsi" w:cstheme="minorBidi"/>
          <w:noProof/>
          <w:sz w:val="22"/>
          <w:szCs w:val="22"/>
          <w:lang w:val="en-NZ" w:eastAsia="en-NZ"/>
        </w:rPr>
      </w:pPr>
      <w:r>
        <w:rPr>
          <w:noProof/>
        </w:rPr>
        <w:t>2.1</w:t>
      </w:r>
      <w:r>
        <w:rPr>
          <w:rFonts w:asciiTheme="minorHAnsi" w:eastAsiaTheme="minorEastAsia" w:hAnsiTheme="minorHAnsi" w:cstheme="minorBidi"/>
          <w:noProof/>
          <w:sz w:val="22"/>
          <w:szCs w:val="22"/>
          <w:lang w:val="en-NZ" w:eastAsia="en-NZ"/>
        </w:rPr>
        <w:tab/>
      </w:r>
      <w:r>
        <w:rPr>
          <w:noProof/>
        </w:rPr>
        <w:t>Solomon Water</w:t>
      </w:r>
      <w:r>
        <w:rPr>
          <w:noProof/>
        </w:rPr>
        <w:tab/>
      </w:r>
      <w:r>
        <w:rPr>
          <w:noProof/>
        </w:rPr>
        <w:fldChar w:fldCharType="begin"/>
      </w:r>
      <w:r>
        <w:rPr>
          <w:noProof/>
        </w:rPr>
        <w:instrText xml:space="preserve"> PAGEREF _Toc453955986 \h </w:instrText>
      </w:r>
      <w:r>
        <w:rPr>
          <w:noProof/>
        </w:rPr>
      </w:r>
      <w:r>
        <w:rPr>
          <w:noProof/>
        </w:rPr>
        <w:fldChar w:fldCharType="separate"/>
      </w:r>
      <w:r>
        <w:rPr>
          <w:noProof/>
        </w:rPr>
        <w:t>8</w:t>
      </w:r>
      <w:r>
        <w:rPr>
          <w:noProof/>
        </w:rPr>
        <w:fldChar w:fldCharType="end"/>
      </w:r>
    </w:p>
    <w:p w14:paraId="03D0A156" w14:textId="77777777" w:rsidR="001D7C21" w:rsidRDefault="001D7C21">
      <w:pPr>
        <w:pStyle w:val="TOC2"/>
        <w:rPr>
          <w:rFonts w:asciiTheme="minorHAnsi" w:eastAsiaTheme="minorEastAsia" w:hAnsiTheme="minorHAnsi" w:cstheme="minorBidi"/>
          <w:noProof/>
          <w:sz w:val="22"/>
          <w:szCs w:val="22"/>
          <w:lang w:val="en-NZ" w:eastAsia="en-NZ"/>
        </w:rPr>
      </w:pPr>
      <w:r>
        <w:rPr>
          <w:noProof/>
        </w:rPr>
        <w:t>2.2</w:t>
      </w:r>
      <w:r>
        <w:rPr>
          <w:rFonts w:asciiTheme="minorHAnsi" w:eastAsiaTheme="minorEastAsia" w:hAnsiTheme="minorHAnsi" w:cstheme="minorBidi"/>
          <w:noProof/>
          <w:sz w:val="22"/>
          <w:szCs w:val="22"/>
          <w:lang w:val="en-NZ" w:eastAsia="en-NZ"/>
        </w:rPr>
        <w:tab/>
      </w:r>
      <w:r>
        <w:rPr>
          <w:noProof/>
        </w:rPr>
        <w:t>Relevant Government and local authorities</w:t>
      </w:r>
      <w:r>
        <w:rPr>
          <w:noProof/>
        </w:rPr>
        <w:tab/>
      </w:r>
      <w:r>
        <w:rPr>
          <w:noProof/>
        </w:rPr>
        <w:fldChar w:fldCharType="begin"/>
      </w:r>
      <w:r>
        <w:rPr>
          <w:noProof/>
        </w:rPr>
        <w:instrText xml:space="preserve"> PAGEREF _Toc453955987 \h </w:instrText>
      </w:r>
      <w:r>
        <w:rPr>
          <w:noProof/>
        </w:rPr>
      </w:r>
      <w:r>
        <w:rPr>
          <w:noProof/>
        </w:rPr>
        <w:fldChar w:fldCharType="separate"/>
      </w:r>
      <w:r>
        <w:rPr>
          <w:noProof/>
        </w:rPr>
        <w:t>8</w:t>
      </w:r>
      <w:r>
        <w:rPr>
          <w:noProof/>
        </w:rPr>
        <w:fldChar w:fldCharType="end"/>
      </w:r>
    </w:p>
    <w:p w14:paraId="75CA19B6" w14:textId="77777777" w:rsidR="001D7C21" w:rsidRDefault="001D7C21">
      <w:pPr>
        <w:pStyle w:val="TOC2"/>
        <w:rPr>
          <w:rFonts w:asciiTheme="minorHAnsi" w:eastAsiaTheme="minorEastAsia" w:hAnsiTheme="minorHAnsi" w:cstheme="minorBidi"/>
          <w:noProof/>
          <w:sz w:val="22"/>
          <w:szCs w:val="22"/>
          <w:lang w:val="en-NZ" w:eastAsia="en-NZ"/>
        </w:rPr>
      </w:pPr>
      <w:r>
        <w:rPr>
          <w:noProof/>
        </w:rPr>
        <w:t>2.3</w:t>
      </w:r>
      <w:r>
        <w:rPr>
          <w:rFonts w:asciiTheme="minorHAnsi" w:eastAsiaTheme="minorEastAsia" w:hAnsiTheme="minorHAnsi" w:cstheme="minorBidi"/>
          <w:noProof/>
          <w:sz w:val="22"/>
          <w:szCs w:val="22"/>
          <w:lang w:val="en-NZ" w:eastAsia="en-NZ"/>
        </w:rPr>
        <w:tab/>
      </w:r>
      <w:r>
        <w:rPr>
          <w:noProof/>
        </w:rPr>
        <w:t>Water supply challenges</w:t>
      </w:r>
      <w:r>
        <w:rPr>
          <w:noProof/>
        </w:rPr>
        <w:tab/>
      </w:r>
      <w:r>
        <w:rPr>
          <w:noProof/>
        </w:rPr>
        <w:fldChar w:fldCharType="begin"/>
      </w:r>
      <w:r>
        <w:rPr>
          <w:noProof/>
        </w:rPr>
        <w:instrText xml:space="preserve"> PAGEREF _Toc453955988 \h </w:instrText>
      </w:r>
      <w:r>
        <w:rPr>
          <w:noProof/>
        </w:rPr>
      </w:r>
      <w:r>
        <w:rPr>
          <w:noProof/>
        </w:rPr>
        <w:fldChar w:fldCharType="separate"/>
      </w:r>
      <w:r>
        <w:rPr>
          <w:noProof/>
        </w:rPr>
        <w:t>9</w:t>
      </w:r>
      <w:r>
        <w:rPr>
          <w:noProof/>
        </w:rPr>
        <w:fldChar w:fldCharType="end"/>
      </w:r>
    </w:p>
    <w:p w14:paraId="6549412B" w14:textId="77777777" w:rsidR="001D7C21" w:rsidRDefault="001D7C21">
      <w:pPr>
        <w:pStyle w:val="TOC1"/>
        <w:rPr>
          <w:rFonts w:asciiTheme="minorHAnsi" w:eastAsiaTheme="minorEastAsia" w:hAnsiTheme="minorHAnsi" w:cstheme="minorBidi"/>
          <w:bCs w:val="0"/>
          <w:color w:val="auto"/>
          <w:sz w:val="22"/>
          <w:szCs w:val="22"/>
          <w:lang w:val="en-NZ" w:eastAsia="en-NZ"/>
        </w:rPr>
      </w:pPr>
      <w:r>
        <w:t>3</w:t>
      </w:r>
      <w:r>
        <w:rPr>
          <w:rFonts w:asciiTheme="minorHAnsi" w:eastAsiaTheme="minorEastAsia" w:hAnsiTheme="minorHAnsi" w:cstheme="minorBidi"/>
          <w:bCs w:val="0"/>
          <w:color w:val="auto"/>
          <w:sz w:val="22"/>
          <w:szCs w:val="22"/>
          <w:lang w:val="en-NZ" w:eastAsia="en-NZ"/>
        </w:rPr>
        <w:tab/>
      </w:r>
      <w:r>
        <w:t>Findings</w:t>
      </w:r>
      <w:r>
        <w:tab/>
      </w:r>
      <w:r>
        <w:fldChar w:fldCharType="begin"/>
      </w:r>
      <w:r>
        <w:instrText xml:space="preserve"> PAGEREF _Toc453955989 \h </w:instrText>
      </w:r>
      <w:r>
        <w:fldChar w:fldCharType="separate"/>
      </w:r>
      <w:r>
        <w:t>10</w:t>
      </w:r>
      <w:r>
        <w:fldChar w:fldCharType="end"/>
      </w:r>
    </w:p>
    <w:p w14:paraId="4655F798" w14:textId="77777777" w:rsidR="001D7C21" w:rsidRDefault="001D7C21">
      <w:pPr>
        <w:pStyle w:val="TOC2"/>
        <w:rPr>
          <w:rFonts w:asciiTheme="minorHAnsi" w:eastAsiaTheme="minorEastAsia" w:hAnsiTheme="minorHAnsi" w:cstheme="minorBidi"/>
          <w:noProof/>
          <w:sz w:val="22"/>
          <w:szCs w:val="22"/>
          <w:lang w:val="en-NZ" w:eastAsia="en-NZ"/>
        </w:rPr>
      </w:pPr>
      <w:r w:rsidRPr="001D0589">
        <w:rPr>
          <w:rFonts w:eastAsia="Calibri"/>
          <w:noProof/>
          <w:lang w:val="en-NZ"/>
        </w:rPr>
        <w:t>3.1</w:t>
      </w:r>
      <w:r>
        <w:rPr>
          <w:rFonts w:asciiTheme="minorHAnsi" w:eastAsiaTheme="minorEastAsia" w:hAnsiTheme="minorHAnsi" w:cstheme="minorBidi"/>
          <w:noProof/>
          <w:sz w:val="22"/>
          <w:szCs w:val="22"/>
          <w:lang w:val="en-NZ" w:eastAsia="en-NZ"/>
        </w:rPr>
        <w:tab/>
      </w:r>
      <w:r w:rsidRPr="001D0589">
        <w:rPr>
          <w:rFonts w:eastAsia="Calibri"/>
          <w:noProof/>
          <w:lang w:val="en-NZ"/>
        </w:rPr>
        <w:t>Achievements against the Solomon Water Development Plan objective and outputs</w:t>
      </w:r>
      <w:r>
        <w:rPr>
          <w:noProof/>
        </w:rPr>
        <w:tab/>
      </w:r>
      <w:r>
        <w:rPr>
          <w:noProof/>
        </w:rPr>
        <w:fldChar w:fldCharType="begin"/>
      </w:r>
      <w:r>
        <w:rPr>
          <w:noProof/>
        </w:rPr>
        <w:instrText xml:space="preserve"> PAGEREF _Toc453955990 \h </w:instrText>
      </w:r>
      <w:r>
        <w:rPr>
          <w:noProof/>
        </w:rPr>
      </w:r>
      <w:r>
        <w:rPr>
          <w:noProof/>
        </w:rPr>
        <w:fldChar w:fldCharType="separate"/>
      </w:r>
      <w:r>
        <w:rPr>
          <w:noProof/>
        </w:rPr>
        <w:t>10</w:t>
      </w:r>
      <w:r>
        <w:rPr>
          <w:noProof/>
        </w:rPr>
        <w:fldChar w:fldCharType="end"/>
      </w:r>
    </w:p>
    <w:p w14:paraId="6B086E6A" w14:textId="77777777" w:rsidR="001D7C21" w:rsidRDefault="001D7C21">
      <w:pPr>
        <w:pStyle w:val="TOC2"/>
        <w:rPr>
          <w:rFonts w:asciiTheme="minorHAnsi" w:eastAsiaTheme="minorEastAsia" w:hAnsiTheme="minorHAnsi" w:cstheme="minorBidi"/>
          <w:noProof/>
          <w:sz w:val="22"/>
          <w:szCs w:val="22"/>
          <w:lang w:val="en-NZ" w:eastAsia="en-NZ"/>
        </w:rPr>
      </w:pPr>
      <w:r>
        <w:rPr>
          <w:noProof/>
        </w:rPr>
        <w:t>3.2</w:t>
      </w:r>
      <w:r>
        <w:rPr>
          <w:rFonts w:asciiTheme="minorHAnsi" w:eastAsiaTheme="minorEastAsia" w:hAnsiTheme="minorHAnsi" w:cstheme="minorBidi"/>
          <w:noProof/>
          <w:sz w:val="22"/>
          <w:szCs w:val="22"/>
          <w:lang w:val="en-NZ" w:eastAsia="en-NZ"/>
        </w:rPr>
        <w:tab/>
      </w:r>
      <w:r>
        <w:rPr>
          <w:noProof/>
        </w:rPr>
        <w:t>Funding and implementation support</w:t>
      </w:r>
      <w:r>
        <w:rPr>
          <w:noProof/>
        </w:rPr>
        <w:tab/>
      </w:r>
      <w:r>
        <w:rPr>
          <w:noProof/>
        </w:rPr>
        <w:fldChar w:fldCharType="begin"/>
      </w:r>
      <w:r>
        <w:rPr>
          <w:noProof/>
        </w:rPr>
        <w:instrText xml:space="preserve"> PAGEREF _Toc453955991 \h </w:instrText>
      </w:r>
      <w:r>
        <w:rPr>
          <w:noProof/>
        </w:rPr>
      </w:r>
      <w:r>
        <w:rPr>
          <w:noProof/>
        </w:rPr>
        <w:fldChar w:fldCharType="separate"/>
      </w:r>
      <w:r>
        <w:rPr>
          <w:noProof/>
        </w:rPr>
        <w:t>21</w:t>
      </w:r>
      <w:r>
        <w:rPr>
          <w:noProof/>
        </w:rPr>
        <w:fldChar w:fldCharType="end"/>
      </w:r>
    </w:p>
    <w:p w14:paraId="3D80BD70" w14:textId="77777777" w:rsidR="001D7C21" w:rsidRDefault="001D7C21">
      <w:pPr>
        <w:pStyle w:val="TOC2"/>
        <w:rPr>
          <w:rFonts w:asciiTheme="minorHAnsi" w:eastAsiaTheme="minorEastAsia" w:hAnsiTheme="minorHAnsi" w:cstheme="minorBidi"/>
          <w:noProof/>
          <w:sz w:val="22"/>
          <w:szCs w:val="22"/>
          <w:lang w:val="en-NZ" w:eastAsia="en-NZ"/>
        </w:rPr>
      </w:pPr>
      <w:r>
        <w:rPr>
          <w:noProof/>
        </w:rPr>
        <w:t>3.3</w:t>
      </w:r>
      <w:r>
        <w:rPr>
          <w:rFonts w:asciiTheme="minorHAnsi" w:eastAsiaTheme="minorEastAsia" w:hAnsiTheme="minorHAnsi" w:cstheme="minorBidi"/>
          <w:noProof/>
          <w:sz w:val="22"/>
          <w:szCs w:val="22"/>
          <w:lang w:val="en-NZ" w:eastAsia="en-NZ"/>
        </w:rPr>
        <w:tab/>
      </w:r>
      <w:r>
        <w:rPr>
          <w:noProof/>
        </w:rPr>
        <w:t>Risk management</w:t>
      </w:r>
      <w:r>
        <w:rPr>
          <w:noProof/>
        </w:rPr>
        <w:tab/>
      </w:r>
      <w:r>
        <w:rPr>
          <w:noProof/>
        </w:rPr>
        <w:fldChar w:fldCharType="begin"/>
      </w:r>
      <w:r>
        <w:rPr>
          <w:noProof/>
        </w:rPr>
        <w:instrText xml:space="preserve"> PAGEREF _Toc453955992 \h </w:instrText>
      </w:r>
      <w:r>
        <w:rPr>
          <w:noProof/>
        </w:rPr>
      </w:r>
      <w:r>
        <w:rPr>
          <w:noProof/>
        </w:rPr>
        <w:fldChar w:fldCharType="separate"/>
      </w:r>
      <w:r>
        <w:rPr>
          <w:noProof/>
        </w:rPr>
        <w:t>24</w:t>
      </w:r>
      <w:r>
        <w:rPr>
          <w:noProof/>
        </w:rPr>
        <w:fldChar w:fldCharType="end"/>
      </w:r>
    </w:p>
    <w:p w14:paraId="0EF03EF1" w14:textId="77777777" w:rsidR="001D7C21" w:rsidRDefault="001D7C21">
      <w:pPr>
        <w:pStyle w:val="TOC2"/>
        <w:rPr>
          <w:rFonts w:asciiTheme="minorHAnsi" w:eastAsiaTheme="minorEastAsia" w:hAnsiTheme="minorHAnsi" w:cstheme="minorBidi"/>
          <w:noProof/>
          <w:sz w:val="22"/>
          <w:szCs w:val="22"/>
          <w:lang w:val="en-NZ" w:eastAsia="en-NZ"/>
        </w:rPr>
      </w:pPr>
      <w:r>
        <w:rPr>
          <w:noProof/>
        </w:rPr>
        <w:t>3.4</w:t>
      </w:r>
      <w:r>
        <w:rPr>
          <w:rFonts w:asciiTheme="minorHAnsi" w:eastAsiaTheme="minorEastAsia" w:hAnsiTheme="minorHAnsi" w:cstheme="minorBidi"/>
          <w:noProof/>
          <w:sz w:val="22"/>
          <w:szCs w:val="22"/>
          <w:lang w:val="en-NZ" w:eastAsia="en-NZ"/>
        </w:rPr>
        <w:tab/>
      </w:r>
      <w:r>
        <w:rPr>
          <w:noProof/>
        </w:rPr>
        <w:t>Alignment with Australian and Solomon Islands priorities</w:t>
      </w:r>
      <w:r>
        <w:rPr>
          <w:noProof/>
        </w:rPr>
        <w:tab/>
      </w:r>
      <w:r>
        <w:rPr>
          <w:noProof/>
        </w:rPr>
        <w:fldChar w:fldCharType="begin"/>
      </w:r>
      <w:r>
        <w:rPr>
          <w:noProof/>
        </w:rPr>
        <w:instrText xml:space="preserve"> PAGEREF _Toc453955993 \h </w:instrText>
      </w:r>
      <w:r>
        <w:rPr>
          <w:noProof/>
        </w:rPr>
      </w:r>
      <w:r>
        <w:rPr>
          <w:noProof/>
        </w:rPr>
        <w:fldChar w:fldCharType="separate"/>
      </w:r>
      <w:r>
        <w:rPr>
          <w:noProof/>
        </w:rPr>
        <w:t>24</w:t>
      </w:r>
      <w:r>
        <w:rPr>
          <w:noProof/>
        </w:rPr>
        <w:fldChar w:fldCharType="end"/>
      </w:r>
    </w:p>
    <w:p w14:paraId="31AB6171" w14:textId="77777777" w:rsidR="001D7C21" w:rsidRDefault="001D7C21">
      <w:pPr>
        <w:pStyle w:val="TOC2"/>
        <w:rPr>
          <w:rFonts w:asciiTheme="minorHAnsi" w:eastAsiaTheme="minorEastAsia" w:hAnsiTheme="minorHAnsi" w:cstheme="minorBidi"/>
          <w:noProof/>
          <w:sz w:val="22"/>
          <w:szCs w:val="22"/>
          <w:lang w:val="en-NZ" w:eastAsia="en-NZ"/>
        </w:rPr>
      </w:pPr>
      <w:r>
        <w:rPr>
          <w:noProof/>
        </w:rPr>
        <w:t>3.5</w:t>
      </w:r>
      <w:r>
        <w:rPr>
          <w:rFonts w:asciiTheme="minorHAnsi" w:eastAsiaTheme="minorEastAsia" w:hAnsiTheme="minorHAnsi" w:cstheme="minorBidi"/>
          <w:noProof/>
          <w:sz w:val="22"/>
          <w:szCs w:val="22"/>
          <w:lang w:val="en-NZ" w:eastAsia="en-NZ"/>
        </w:rPr>
        <w:tab/>
      </w:r>
      <w:r>
        <w:rPr>
          <w:noProof/>
        </w:rPr>
        <w:t>Monitoring and evaluation mechanisms</w:t>
      </w:r>
      <w:r>
        <w:rPr>
          <w:noProof/>
        </w:rPr>
        <w:tab/>
      </w:r>
      <w:r>
        <w:rPr>
          <w:noProof/>
        </w:rPr>
        <w:fldChar w:fldCharType="begin"/>
      </w:r>
      <w:r>
        <w:rPr>
          <w:noProof/>
        </w:rPr>
        <w:instrText xml:space="preserve"> PAGEREF _Toc453955994 \h </w:instrText>
      </w:r>
      <w:r>
        <w:rPr>
          <w:noProof/>
        </w:rPr>
      </w:r>
      <w:r>
        <w:rPr>
          <w:noProof/>
        </w:rPr>
        <w:fldChar w:fldCharType="separate"/>
      </w:r>
      <w:r>
        <w:rPr>
          <w:noProof/>
        </w:rPr>
        <w:t>25</w:t>
      </w:r>
      <w:r>
        <w:rPr>
          <w:noProof/>
        </w:rPr>
        <w:fldChar w:fldCharType="end"/>
      </w:r>
    </w:p>
    <w:p w14:paraId="16C6073E" w14:textId="77777777" w:rsidR="001D7C21" w:rsidRDefault="001D7C21">
      <w:pPr>
        <w:pStyle w:val="TOC1"/>
        <w:rPr>
          <w:rFonts w:asciiTheme="minorHAnsi" w:eastAsiaTheme="minorEastAsia" w:hAnsiTheme="minorHAnsi" w:cstheme="minorBidi"/>
          <w:bCs w:val="0"/>
          <w:color w:val="auto"/>
          <w:sz w:val="22"/>
          <w:szCs w:val="22"/>
          <w:lang w:val="en-NZ" w:eastAsia="en-NZ"/>
        </w:rPr>
      </w:pPr>
      <w:r>
        <w:t>4</w:t>
      </w:r>
      <w:r>
        <w:rPr>
          <w:rFonts w:asciiTheme="minorHAnsi" w:eastAsiaTheme="minorEastAsia" w:hAnsiTheme="minorHAnsi" w:cstheme="minorBidi"/>
          <w:bCs w:val="0"/>
          <w:color w:val="auto"/>
          <w:sz w:val="22"/>
          <w:szCs w:val="22"/>
          <w:lang w:val="en-NZ" w:eastAsia="en-NZ"/>
        </w:rPr>
        <w:tab/>
      </w:r>
      <w:r>
        <w:t>Sustainability and transition arrangements</w:t>
      </w:r>
      <w:r>
        <w:tab/>
      </w:r>
      <w:r>
        <w:fldChar w:fldCharType="begin"/>
      </w:r>
      <w:r>
        <w:instrText xml:space="preserve"> PAGEREF _Toc453955995 \h </w:instrText>
      </w:r>
      <w:r>
        <w:fldChar w:fldCharType="separate"/>
      </w:r>
      <w:r>
        <w:t>26</w:t>
      </w:r>
      <w:r>
        <w:fldChar w:fldCharType="end"/>
      </w:r>
    </w:p>
    <w:p w14:paraId="46108B2C" w14:textId="77777777" w:rsidR="001D7C21" w:rsidRDefault="001D7C21">
      <w:pPr>
        <w:pStyle w:val="TOC2"/>
        <w:rPr>
          <w:rFonts w:asciiTheme="minorHAnsi" w:eastAsiaTheme="minorEastAsia" w:hAnsiTheme="minorHAnsi" w:cstheme="minorBidi"/>
          <w:noProof/>
          <w:sz w:val="22"/>
          <w:szCs w:val="22"/>
          <w:lang w:val="en-NZ" w:eastAsia="en-NZ"/>
        </w:rPr>
      </w:pPr>
      <w:r>
        <w:rPr>
          <w:noProof/>
        </w:rPr>
        <w:t>4.1</w:t>
      </w:r>
      <w:r>
        <w:rPr>
          <w:rFonts w:asciiTheme="minorHAnsi" w:eastAsiaTheme="minorEastAsia" w:hAnsiTheme="minorHAnsi" w:cstheme="minorBidi"/>
          <w:noProof/>
          <w:sz w:val="22"/>
          <w:szCs w:val="22"/>
          <w:lang w:val="en-NZ" w:eastAsia="en-NZ"/>
        </w:rPr>
        <w:tab/>
      </w:r>
      <w:r>
        <w:rPr>
          <w:noProof/>
        </w:rPr>
        <w:t>Sustainability</w:t>
      </w:r>
      <w:r>
        <w:rPr>
          <w:noProof/>
        </w:rPr>
        <w:tab/>
      </w:r>
      <w:r>
        <w:rPr>
          <w:noProof/>
        </w:rPr>
        <w:fldChar w:fldCharType="begin"/>
      </w:r>
      <w:r>
        <w:rPr>
          <w:noProof/>
        </w:rPr>
        <w:instrText xml:space="preserve"> PAGEREF _Toc453955996 \h </w:instrText>
      </w:r>
      <w:r>
        <w:rPr>
          <w:noProof/>
        </w:rPr>
      </w:r>
      <w:r>
        <w:rPr>
          <w:noProof/>
        </w:rPr>
        <w:fldChar w:fldCharType="separate"/>
      </w:r>
      <w:r>
        <w:rPr>
          <w:noProof/>
        </w:rPr>
        <w:t>26</w:t>
      </w:r>
      <w:r>
        <w:rPr>
          <w:noProof/>
        </w:rPr>
        <w:fldChar w:fldCharType="end"/>
      </w:r>
    </w:p>
    <w:p w14:paraId="03B7F2ED" w14:textId="77777777" w:rsidR="001D7C21" w:rsidRDefault="001D7C21">
      <w:pPr>
        <w:pStyle w:val="TOC2"/>
        <w:rPr>
          <w:rFonts w:asciiTheme="minorHAnsi" w:eastAsiaTheme="minorEastAsia" w:hAnsiTheme="minorHAnsi" w:cstheme="minorBidi"/>
          <w:noProof/>
          <w:sz w:val="22"/>
          <w:szCs w:val="22"/>
          <w:lang w:val="en-NZ" w:eastAsia="en-NZ"/>
        </w:rPr>
      </w:pPr>
      <w:r>
        <w:rPr>
          <w:noProof/>
        </w:rPr>
        <w:t>4.2</w:t>
      </w:r>
      <w:r>
        <w:rPr>
          <w:rFonts w:asciiTheme="minorHAnsi" w:eastAsiaTheme="minorEastAsia" w:hAnsiTheme="minorHAnsi" w:cstheme="minorBidi"/>
          <w:noProof/>
          <w:sz w:val="22"/>
          <w:szCs w:val="22"/>
          <w:lang w:val="en-NZ" w:eastAsia="en-NZ"/>
        </w:rPr>
        <w:tab/>
      </w:r>
      <w:r>
        <w:rPr>
          <w:noProof/>
        </w:rPr>
        <w:t>Transition arrangements</w:t>
      </w:r>
      <w:r>
        <w:rPr>
          <w:noProof/>
        </w:rPr>
        <w:tab/>
      </w:r>
      <w:r>
        <w:rPr>
          <w:noProof/>
        </w:rPr>
        <w:fldChar w:fldCharType="begin"/>
      </w:r>
      <w:r>
        <w:rPr>
          <w:noProof/>
        </w:rPr>
        <w:instrText xml:space="preserve"> PAGEREF _Toc453955997 \h </w:instrText>
      </w:r>
      <w:r>
        <w:rPr>
          <w:noProof/>
        </w:rPr>
      </w:r>
      <w:r>
        <w:rPr>
          <w:noProof/>
        </w:rPr>
        <w:fldChar w:fldCharType="separate"/>
      </w:r>
      <w:r>
        <w:rPr>
          <w:noProof/>
        </w:rPr>
        <w:t>27</w:t>
      </w:r>
      <w:r>
        <w:rPr>
          <w:noProof/>
        </w:rPr>
        <w:fldChar w:fldCharType="end"/>
      </w:r>
    </w:p>
    <w:p w14:paraId="42EF1CB4" w14:textId="77777777" w:rsidR="001D7C21" w:rsidRDefault="001D7C21">
      <w:pPr>
        <w:pStyle w:val="TOC1"/>
        <w:rPr>
          <w:rFonts w:asciiTheme="minorHAnsi" w:eastAsiaTheme="minorEastAsia" w:hAnsiTheme="minorHAnsi" w:cstheme="minorBidi"/>
          <w:bCs w:val="0"/>
          <w:color w:val="auto"/>
          <w:sz w:val="22"/>
          <w:szCs w:val="22"/>
          <w:lang w:val="en-NZ" w:eastAsia="en-NZ"/>
        </w:rPr>
      </w:pPr>
      <w:r>
        <w:t>5</w:t>
      </w:r>
      <w:r>
        <w:rPr>
          <w:rFonts w:asciiTheme="minorHAnsi" w:eastAsiaTheme="minorEastAsia" w:hAnsiTheme="minorHAnsi" w:cstheme="minorBidi"/>
          <w:bCs w:val="0"/>
          <w:color w:val="auto"/>
          <w:sz w:val="22"/>
          <w:szCs w:val="22"/>
          <w:lang w:val="en-NZ" w:eastAsia="en-NZ"/>
        </w:rPr>
        <w:tab/>
      </w:r>
      <w:r>
        <w:t>Lessons and conclusions</w:t>
      </w:r>
      <w:r>
        <w:tab/>
      </w:r>
      <w:r>
        <w:fldChar w:fldCharType="begin"/>
      </w:r>
      <w:r>
        <w:instrText xml:space="preserve"> PAGEREF _Toc453955998 \h </w:instrText>
      </w:r>
      <w:r>
        <w:fldChar w:fldCharType="separate"/>
      </w:r>
      <w:r>
        <w:t>30</w:t>
      </w:r>
      <w:r>
        <w:fldChar w:fldCharType="end"/>
      </w:r>
    </w:p>
    <w:p w14:paraId="6A2CFE7A" w14:textId="77777777" w:rsidR="001D7C21" w:rsidRDefault="001D7C21">
      <w:pPr>
        <w:pStyle w:val="TOC2"/>
        <w:rPr>
          <w:rFonts w:asciiTheme="minorHAnsi" w:eastAsiaTheme="minorEastAsia" w:hAnsiTheme="minorHAnsi" w:cstheme="minorBidi"/>
          <w:noProof/>
          <w:sz w:val="22"/>
          <w:szCs w:val="22"/>
          <w:lang w:val="en-NZ" w:eastAsia="en-NZ"/>
        </w:rPr>
      </w:pPr>
      <w:r>
        <w:rPr>
          <w:noProof/>
        </w:rPr>
        <w:t>5.1</w:t>
      </w:r>
      <w:r>
        <w:rPr>
          <w:rFonts w:asciiTheme="minorHAnsi" w:eastAsiaTheme="minorEastAsia" w:hAnsiTheme="minorHAnsi" w:cstheme="minorBidi"/>
          <w:noProof/>
          <w:sz w:val="22"/>
          <w:szCs w:val="22"/>
          <w:lang w:val="en-NZ" w:eastAsia="en-NZ"/>
        </w:rPr>
        <w:tab/>
      </w:r>
      <w:r>
        <w:rPr>
          <w:noProof/>
        </w:rPr>
        <w:t>Lessons</w:t>
      </w:r>
      <w:r>
        <w:rPr>
          <w:noProof/>
        </w:rPr>
        <w:tab/>
      </w:r>
      <w:r>
        <w:rPr>
          <w:noProof/>
        </w:rPr>
        <w:fldChar w:fldCharType="begin"/>
      </w:r>
      <w:r>
        <w:rPr>
          <w:noProof/>
        </w:rPr>
        <w:instrText xml:space="preserve"> PAGEREF _Toc453955999 \h </w:instrText>
      </w:r>
      <w:r>
        <w:rPr>
          <w:noProof/>
        </w:rPr>
      </w:r>
      <w:r>
        <w:rPr>
          <w:noProof/>
        </w:rPr>
        <w:fldChar w:fldCharType="separate"/>
      </w:r>
      <w:r>
        <w:rPr>
          <w:noProof/>
        </w:rPr>
        <w:t>30</w:t>
      </w:r>
      <w:r>
        <w:rPr>
          <w:noProof/>
        </w:rPr>
        <w:fldChar w:fldCharType="end"/>
      </w:r>
    </w:p>
    <w:p w14:paraId="5B2B8D66" w14:textId="77777777" w:rsidR="001D7C21" w:rsidRDefault="001D7C21">
      <w:pPr>
        <w:pStyle w:val="TOC2"/>
        <w:rPr>
          <w:rFonts w:asciiTheme="minorHAnsi" w:eastAsiaTheme="minorEastAsia" w:hAnsiTheme="minorHAnsi" w:cstheme="minorBidi"/>
          <w:noProof/>
          <w:sz w:val="22"/>
          <w:szCs w:val="22"/>
          <w:lang w:val="en-NZ" w:eastAsia="en-NZ"/>
        </w:rPr>
      </w:pPr>
      <w:r>
        <w:rPr>
          <w:noProof/>
        </w:rPr>
        <w:t>5.2</w:t>
      </w:r>
      <w:r>
        <w:rPr>
          <w:rFonts w:asciiTheme="minorHAnsi" w:eastAsiaTheme="minorEastAsia" w:hAnsiTheme="minorHAnsi" w:cstheme="minorBidi"/>
          <w:noProof/>
          <w:sz w:val="22"/>
          <w:szCs w:val="22"/>
          <w:lang w:val="en-NZ" w:eastAsia="en-NZ"/>
        </w:rPr>
        <w:tab/>
      </w:r>
      <w:r>
        <w:rPr>
          <w:noProof/>
        </w:rPr>
        <w:t>Conclusions</w:t>
      </w:r>
      <w:r>
        <w:rPr>
          <w:noProof/>
        </w:rPr>
        <w:tab/>
      </w:r>
      <w:r>
        <w:rPr>
          <w:noProof/>
        </w:rPr>
        <w:fldChar w:fldCharType="begin"/>
      </w:r>
      <w:r>
        <w:rPr>
          <w:noProof/>
        </w:rPr>
        <w:instrText xml:space="preserve"> PAGEREF _Toc453956000 \h </w:instrText>
      </w:r>
      <w:r>
        <w:rPr>
          <w:noProof/>
        </w:rPr>
      </w:r>
      <w:r>
        <w:rPr>
          <w:noProof/>
        </w:rPr>
        <w:fldChar w:fldCharType="separate"/>
      </w:r>
      <w:r>
        <w:rPr>
          <w:noProof/>
        </w:rPr>
        <w:t>30</w:t>
      </w:r>
      <w:r>
        <w:rPr>
          <w:noProof/>
        </w:rPr>
        <w:fldChar w:fldCharType="end"/>
      </w:r>
    </w:p>
    <w:p w14:paraId="30DC5E4B"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A: Terms of Reference</w:t>
      </w:r>
      <w:r>
        <w:tab/>
      </w:r>
      <w:r>
        <w:fldChar w:fldCharType="begin"/>
      </w:r>
      <w:r>
        <w:instrText xml:space="preserve"> PAGEREF _Toc453956001 \h </w:instrText>
      </w:r>
      <w:r>
        <w:fldChar w:fldCharType="separate"/>
      </w:r>
      <w:r>
        <w:t>32</w:t>
      </w:r>
      <w:r>
        <w:fldChar w:fldCharType="end"/>
      </w:r>
    </w:p>
    <w:p w14:paraId="111A2DBA"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B: Methodology</w:t>
      </w:r>
      <w:r>
        <w:tab/>
      </w:r>
      <w:r>
        <w:fldChar w:fldCharType="begin"/>
      </w:r>
      <w:r>
        <w:instrText xml:space="preserve"> PAGEREF _Toc453956002 \h </w:instrText>
      </w:r>
      <w:r>
        <w:fldChar w:fldCharType="separate"/>
      </w:r>
      <w:r>
        <w:t>38</w:t>
      </w:r>
      <w:r>
        <w:fldChar w:fldCharType="end"/>
      </w:r>
    </w:p>
    <w:p w14:paraId="3459012D"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C: People consulted</w:t>
      </w:r>
      <w:r>
        <w:tab/>
      </w:r>
      <w:r>
        <w:fldChar w:fldCharType="begin"/>
      </w:r>
      <w:r>
        <w:instrText xml:space="preserve"> PAGEREF _Toc453956003 \h </w:instrText>
      </w:r>
      <w:r>
        <w:fldChar w:fldCharType="separate"/>
      </w:r>
      <w:r>
        <w:t>41</w:t>
      </w:r>
      <w:r>
        <w:fldChar w:fldCharType="end"/>
      </w:r>
    </w:p>
    <w:p w14:paraId="558EF58F"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D: Summary of relevant Solomon Islands legislation</w:t>
      </w:r>
      <w:r>
        <w:tab/>
      </w:r>
      <w:r>
        <w:fldChar w:fldCharType="begin"/>
      </w:r>
      <w:r>
        <w:instrText xml:space="preserve"> PAGEREF _Toc453956004 \h </w:instrText>
      </w:r>
      <w:r>
        <w:fldChar w:fldCharType="separate"/>
      </w:r>
      <w:r>
        <w:t>43</w:t>
      </w:r>
      <w:r>
        <w:fldChar w:fldCharType="end"/>
      </w:r>
    </w:p>
    <w:p w14:paraId="686F6376"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E: Solomon Water Development Plan Implementation Status</w:t>
      </w:r>
      <w:r>
        <w:tab/>
      </w:r>
      <w:r>
        <w:fldChar w:fldCharType="begin"/>
      </w:r>
      <w:r>
        <w:instrText xml:space="preserve"> PAGEREF _Toc453956005 \h </w:instrText>
      </w:r>
      <w:r>
        <w:fldChar w:fldCharType="separate"/>
      </w:r>
      <w:r>
        <w:t>44</w:t>
      </w:r>
      <w:r>
        <w:fldChar w:fldCharType="end"/>
      </w:r>
    </w:p>
    <w:p w14:paraId="14479105"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F: Summary of training, 2013-2015</w:t>
      </w:r>
      <w:r>
        <w:tab/>
      </w:r>
      <w:r>
        <w:fldChar w:fldCharType="begin"/>
      </w:r>
      <w:r>
        <w:instrText xml:space="preserve"> PAGEREF _Toc453956006 \h </w:instrText>
      </w:r>
      <w:r>
        <w:fldChar w:fldCharType="separate"/>
      </w:r>
      <w:r>
        <w:t>55</w:t>
      </w:r>
      <w:r>
        <w:fldChar w:fldCharType="end"/>
      </w:r>
    </w:p>
    <w:p w14:paraId="1893168E" w14:textId="77777777" w:rsidR="001D7C21" w:rsidRDefault="001D7C21">
      <w:pPr>
        <w:pStyle w:val="TOC1"/>
        <w:rPr>
          <w:rFonts w:asciiTheme="minorHAnsi" w:eastAsiaTheme="minorEastAsia" w:hAnsiTheme="minorHAnsi" w:cstheme="minorBidi"/>
          <w:bCs w:val="0"/>
          <w:color w:val="auto"/>
          <w:sz w:val="22"/>
          <w:szCs w:val="22"/>
          <w:lang w:val="en-NZ" w:eastAsia="en-NZ"/>
        </w:rPr>
      </w:pPr>
      <w:r>
        <w:t>Appendix G: Performance Assessment Tables</w:t>
      </w:r>
      <w:r>
        <w:tab/>
      </w:r>
      <w:r>
        <w:fldChar w:fldCharType="begin"/>
      </w:r>
      <w:r>
        <w:instrText xml:space="preserve"> PAGEREF _Toc453956007 \h </w:instrText>
      </w:r>
      <w:r>
        <w:fldChar w:fldCharType="separate"/>
      </w:r>
      <w:r>
        <w:t>61</w:t>
      </w:r>
      <w:r>
        <w:fldChar w:fldCharType="end"/>
      </w:r>
    </w:p>
    <w:p w14:paraId="5DD4FFBB" w14:textId="77777777" w:rsidR="001D7C21" w:rsidRDefault="001D7C21">
      <w:pPr>
        <w:pStyle w:val="TOC1"/>
        <w:rPr>
          <w:rFonts w:asciiTheme="minorHAnsi" w:eastAsiaTheme="minorEastAsia" w:hAnsiTheme="minorHAnsi" w:cstheme="minorBidi"/>
          <w:bCs w:val="0"/>
          <w:color w:val="auto"/>
          <w:sz w:val="22"/>
          <w:szCs w:val="22"/>
          <w:lang w:val="en-NZ" w:eastAsia="en-NZ"/>
        </w:rPr>
      </w:pPr>
      <w:r>
        <w:t>Abbreviations</w:t>
      </w:r>
      <w:r>
        <w:tab/>
      </w:r>
      <w:r>
        <w:fldChar w:fldCharType="begin"/>
      </w:r>
      <w:r>
        <w:instrText xml:space="preserve"> PAGEREF _Toc453956008 \h </w:instrText>
      </w:r>
      <w:r>
        <w:fldChar w:fldCharType="separate"/>
      </w:r>
      <w:r>
        <w:t>67</w:t>
      </w:r>
      <w:r>
        <w:fldChar w:fldCharType="end"/>
      </w:r>
    </w:p>
    <w:p w14:paraId="4F6380F9" w14:textId="77777777" w:rsidR="001D7C21" w:rsidRDefault="001D7C21">
      <w:pPr>
        <w:pStyle w:val="TOC1"/>
        <w:rPr>
          <w:rFonts w:asciiTheme="minorHAnsi" w:eastAsiaTheme="minorEastAsia" w:hAnsiTheme="minorHAnsi" w:cstheme="minorBidi"/>
          <w:bCs w:val="0"/>
          <w:color w:val="auto"/>
          <w:sz w:val="22"/>
          <w:szCs w:val="22"/>
          <w:lang w:val="en-NZ" w:eastAsia="en-NZ"/>
        </w:rPr>
      </w:pPr>
      <w:r>
        <w:lastRenderedPageBreak/>
        <w:t>References</w:t>
      </w:r>
      <w:r>
        <w:tab/>
      </w:r>
      <w:r>
        <w:fldChar w:fldCharType="begin"/>
      </w:r>
      <w:r>
        <w:instrText xml:space="preserve"> PAGEREF _Toc453956009 \h </w:instrText>
      </w:r>
      <w:r>
        <w:fldChar w:fldCharType="separate"/>
      </w:r>
      <w:r>
        <w:t>68</w:t>
      </w:r>
      <w:r>
        <w:fldChar w:fldCharType="end"/>
      </w:r>
    </w:p>
    <w:p w14:paraId="10648BE2" w14:textId="77777777" w:rsidR="00AA017A" w:rsidRDefault="00AA017A" w:rsidP="006068DE">
      <w:pPr>
        <w:rPr>
          <w:noProof/>
        </w:rPr>
      </w:pPr>
      <w:r>
        <w:rPr>
          <w:rFonts w:ascii="Calibri" w:hAnsi="Calibri"/>
          <w:b/>
          <w:bCs/>
          <w:color w:val="007C92"/>
          <w:sz w:val="32"/>
        </w:rPr>
        <w:fldChar w:fldCharType="end"/>
      </w:r>
    </w:p>
    <w:p w14:paraId="7C57210F" w14:textId="77777777" w:rsidR="00DB23E0" w:rsidRPr="00E92F8F" w:rsidRDefault="00DB23E0" w:rsidP="00DB23E0">
      <w:pPr>
        <w:pStyle w:val="Heading3a"/>
      </w:pPr>
      <w:r>
        <w:t>Tables</w:t>
      </w:r>
    </w:p>
    <w:p w14:paraId="645587E6" w14:textId="77777777" w:rsidR="001D7C21" w:rsidRDefault="00DB23E0" w:rsidP="00DE5D73">
      <w:pPr>
        <w:pStyle w:val="TableofFigures"/>
        <w:ind w:left="990" w:hanging="990"/>
        <w:rPr>
          <w:rFonts w:asciiTheme="minorHAnsi" w:eastAsiaTheme="minorEastAsia" w:hAnsiTheme="minorHAnsi" w:cstheme="minorBidi"/>
          <w:noProof/>
          <w:szCs w:val="22"/>
          <w:lang w:val="en-NZ" w:eastAsia="en-NZ"/>
        </w:rPr>
      </w:pPr>
      <w:r w:rsidRPr="007754ED">
        <w:rPr>
          <w:rFonts w:ascii="Calibri" w:hAnsi="Calibri"/>
          <w:color w:val="007C92"/>
        </w:rPr>
        <w:fldChar w:fldCharType="begin"/>
      </w:r>
      <w:r w:rsidRPr="007754ED">
        <w:instrText xml:space="preserve"> TOC \t "TableName" \c </w:instrText>
      </w:r>
      <w:r w:rsidRPr="007754ED">
        <w:rPr>
          <w:rFonts w:ascii="Calibri" w:hAnsi="Calibri"/>
          <w:color w:val="007C92"/>
        </w:rPr>
        <w:fldChar w:fldCharType="separate"/>
      </w:r>
      <w:r w:rsidR="001D7C21">
        <w:rPr>
          <w:noProof/>
        </w:rPr>
        <w:t>Table 1</w:t>
      </w:r>
      <w:r w:rsidR="001D7C21">
        <w:rPr>
          <w:rFonts w:asciiTheme="minorHAnsi" w:eastAsiaTheme="minorEastAsia" w:hAnsiTheme="minorHAnsi" w:cstheme="minorBidi"/>
          <w:noProof/>
          <w:szCs w:val="22"/>
          <w:lang w:val="en-NZ" w:eastAsia="en-NZ"/>
        </w:rPr>
        <w:tab/>
      </w:r>
      <w:r w:rsidR="001D7C21">
        <w:rPr>
          <w:noProof/>
        </w:rPr>
        <w:t>Technical assistance provided 2011-2017</w:t>
      </w:r>
      <w:r w:rsidR="001D7C21">
        <w:rPr>
          <w:noProof/>
        </w:rPr>
        <w:tab/>
      </w:r>
      <w:r w:rsidR="001D7C21">
        <w:rPr>
          <w:noProof/>
        </w:rPr>
        <w:fldChar w:fldCharType="begin"/>
      </w:r>
      <w:r w:rsidR="001D7C21">
        <w:rPr>
          <w:noProof/>
        </w:rPr>
        <w:instrText xml:space="preserve"> PAGEREF _Toc453956010 \h </w:instrText>
      </w:r>
      <w:r w:rsidR="001D7C21">
        <w:rPr>
          <w:noProof/>
        </w:rPr>
      </w:r>
      <w:r w:rsidR="001D7C21">
        <w:rPr>
          <w:noProof/>
        </w:rPr>
        <w:fldChar w:fldCharType="separate"/>
      </w:r>
      <w:r w:rsidR="001D7C21">
        <w:rPr>
          <w:noProof/>
        </w:rPr>
        <w:t>5</w:t>
      </w:r>
      <w:r w:rsidR="001D7C21">
        <w:rPr>
          <w:noProof/>
        </w:rPr>
        <w:fldChar w:fldCharType="end"/>
      </w:r>
    </w:p>
    <w:p w14:paraId="404B6C6E"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Pr>
          <w:noProof/>
        </w:rPr>
        <w:t>Table 2</w:t>
      </w:r>
      <w:r>
        <w:rPr>
          <w:rFonts w:asciiTheme="minorHAnsi" w:eastAsiaTheme="minorEastAsia" w:hAnsiTheme="minorHAnsi" w:cstheme="minorBidi"/>
          <w:noProof/>
          <w:szCs w:val="22"/>
          <w:lang w:val="en-NZ" w:eastAsia="en-NZ"/>
        </w:rPr>
        <w:tab/>
      </w:r>
      <w:r>
        <w:rPr>
          <w:noProof/>
        </w:rPr>
        <w:t>Government and local authorities with responsibilities that affect provision of water and wastewater</w:t>
      </w:r>
      <w:r>
        <w:rPr>
          <w:noProof/>
        </w:rPr>
        <w:tab/>
      </w:r>
      <w:r>
        <w:rPr>
          <w:noProof/>
        </w:rPr>
        <w:fldChar w:fldCharType="begin"/>
      </w:r>
      <w:r>
        <w:rPr>
          <w:noProof/>
        </w:rPr>
        <w:instrText xml:space="preserve"> PAGEREF _Toc453956011 \h </w:instrText>
      </w:r>
      <w:r>
        <w:rPr>
          <w:noProof/>
        </w:rPr>
      </w:r>
      <w:r>
        <w:rPr>
          <w:noProof/>
        </w:rPr>
        <w:fldChar w:fldCharType="separate"/>
      </w:r>
      <w:r>
        <w:rPr>
          <w:noProof/>
        </w:rPr>
        <w:t>8</w:t>
      </w:r>
      <w:r>
        <w:rPr>
          <w:noProof/>
        </w:rPr>
        <w:fldChar w:fldCharType="end"/>
      </w:r>
    </w:p>
    <w:p w14:paraId="288B84B0"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sidRPr="005326DB">
        <w:rPr>
          <w:rFonts w:eastAsia="Calibri"/>
          <w:noProof/>
          <w:lang w:val="en-NZ" w:eastAsia="en-US"/>
        </w:rPr>
        <w:t>Table 3</w:t>
      </w:r>
      <w:r>
        <w:rPr>
          <w:rFonts w:asciiTheme="minorHAnsi" w:eastAsiaTheme="minorEastAsia" w:hAnsiTheme="minorHAnsi" w:cstheme="minorBidi"/>
          <w:noProof/>
          <w:szCs w:val="22"/>
          <w:lang w:val="en-NZ" w:eastAsia="en-NZ"/>
        </w:rPr>
        <w:tab/>
      </w:r>
      <w:r w:rsidRPr="005326DB">
        <w:rPr>
          <w:rFonts w:eastAsia="Calibri"/>
          <w:noProof/>
          <w:lang w:val="en-NZ" w:eastAsia="en-US"/>
        </w:rPr>
        <w:t>Tests of treated water for residual chlorine 2013-2015</w:t>
      </w:r>
      <w:r>
        <w:rPr>
          <w:noProof/>
        </w:rPr>
        <w:tab/>
      </w:r>
      <w:r>
        <w:rPr>
          <w:noProof/>
        </w:rPr>
        <w:fldChar w:fldCharType="begin"/>
      </w:r>
      <w:r>
        <w:rPr>
          <w:noProof/>
        </w:rPr>
        <w:instrText xml:space="preserve"> PAGEREF _Toc453956012 \h </w:instrText>
      </w:r>
      <w:r>
        <w:rPr>
          <w:noProof/>
        </w:rPr>
      </w:r>
      <w:r>
        <w:rPr>
          <w:noProof/>
        </w:rPr>
        <w:fldChar w:fldCharType="separate"/>
      </w:r>
      <w:r>
        <w:rPr>
          <w:noProof/>
        </w:rPr>
        <w:t>14</w:t>
      </w:r>
      <w:r>
        <w:rPr>
          <w:noProof/>
        </w:rPr>
        <w:fldChar w:fldCharType="end"/>
      </w:r>
    </w:p>
    <w:p w14:paraId="0B6E2DC8"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sidRPr="005326DB">
        <w:rPr>
          <w:rFonts w:eastAsia="Calibri"/>
          <w:noProof/>
          <w:lang w:val="en-NZ" w:eastAsia="en-US"/>
        </w:rPr>
        <w:t>Table 4</w:t>
      </w:r>
      <w:r>
        <w:rPr>
          <w:rFonts w:asciiTheme="minorHAnsi" w:eastAsiaTheme="minorEastAsia" w:hAnsiTheme="minorHAnsi" w:cstheme="minorBidi"/>
          <w:noProof/>
          <w:szCs w:val="22"/>
          <w:lang w:val="en-NZ" w:eastAsia="en-NZ"/>
        </w:rPr>
        <w:tab/>
      </w:r>
      <w:r w:rsidRPr="005326DB">
        <w:rPr>
          <w:rFonts w:eastAsia="Calibri"/>
          <w:noProof/>
          <w:lang w:val="en-NZ" w:eastAsia="en-US"/>
        </w:rPr>
        <w:t>Key financial indicators</w:t>
      </w:r>
      <w:r>
        <w:rPr>
          <w:noProof/>
        </w:rPr>
        <w:tab/>
      </w:r>
      <w:r>
        <w:rPr>
          <w:noProof/>
        </w:rPr>
        <w:fldChar w:fldCharType="begin"/>
      </w:r>
      <w:r>
        <w:rPr>
          <w:noProof/>
        </w:rPr>
        <w:instrText xml:space="preserve"> PAGEREF _Toc453956013 \h </w:instrText>
      </w:r>
      <w:r>
        <w:rPr>
          <w:noProof/>
        </w:rPr>
      </w:r>
      <w:r>
        <w:rPr>
          <w:noProof/>
        </w:rPr>
        <w:fldChar w:fldCharType="separate"/>
      </w:r>
      <w:r>
        <w:rPr>
          <w:noProof/>
        </w:rPr>
        <w:t>16</w:t>
      </w:r>
      <w:r>
        <w:rPr>
          <w:noProof/>
        </w:rPr>
        <w:fldChar w:fldCharType="end"/>
      </w:r>
    </w:p>
    <w:p w14:paraId="1CDEFCF8"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Pr>
          <w:noProof/>
        </w:rPr>
        <w:t>Table 5</w:t>
      </w:r>
      <w:r>
        <w:rPr>
          <w:rFonts w:asciiTheme="minorHAnsi" w:eastAsiaTheme="minorEastAsia" w:hAnsiTheme="minorHAnsi" w:cstheme="minorBidi"/>
          <w:noProof/>
          <w:szCs w:val="22"/>
          <w:lang w:val="en-NZ" w:eastAsia="en-NZ"/>
        </w:rPr>
        <w:tab/>
      </w:r>
      <w:r>
        <w:rPr>
          <w:noProof/>
        </w:rPr>
        <w:t>Levels for performance measurement</w:t>
      </w:r>
      <w:r>
        <w:rPr>
          <w:noProof/>
        </w:rPr>
        <w:tab/>
      </w:r>
      <w:r>
        <w:rPr>
          <w:noProof/>
        </w:rPr>
        <w:fldChar w:fldCharType="begin"/>
      </w:r>
      <w:r>
        <w:rPr>
          <w:noProof/>
        </w:rPr>
        <w:instrText xml:space="preserve"> PAGEREF _Toc453956014 \h </w:instrText>
      </w:r>
      <w:r>
        <w:rPr>
          <w:noProof/>
        </w:rPr>
      </w:r>
      <w:r>
        <w:rPr>
          <w:noProof/>
        </w:rPr>
        <w:fldChar w:fldCharType="separate"/>
      </w:r>
      <w:r>
        <w:rPr>
          <w:noProof/>
        </w:rPr>
        <w:t>38</w:t>
      </w:r>
      <w:r>
        <w:rPr>
          <w:noProof/>
        </w:rPr>
        <w:fldChar w:fldCharType="end"/>
      </w:r>
    </w:p>
    <w:p w14:paraId="01351DD9" w14:textId="77777777" w:rsidR="00DB23E0" w:rsidRDefault="00DB23E0" w:rsidP="00DB23E0">
      <w:pPr>
        <w:pStyle w:val="Heading3a"/>
      </w:pPr>
      <w:r w:rsidRPr="007754ED">
        <w:fldChar w:fldCharType="end"/>
      </w:r>
      <w:r>
        <w:t>Figures</w:t>
      </w:r>
      <w:r w:rsidR="007A72BD">
        <w:t xml:space="preserve"> </w:t>
      </w:r>
    </w:p>
    <w:p w14:paraId="463F6177" w14:textId="77777777" w:rsidR="001D7C21" w:rsidRDefault="00DB23E0" w:rsidP="00DE5D73">
      <w:pPr>
        <w:pStyle w:val="TableofFigures"/>
        <w:ind w:left="990" w:hanging="990"/>
        <w:rPr>
          <w:rFonts w:asciiTheme="minorHAnsi" w:eastAsiaTheme="minorEastAsia" w:hAnsiTheme="minorHAnsi" w:cstheme="minorBidi"/>
          <w:noProof/>
          <w:szCs w:val="22"/>
          <w:lang w:val="en-NZ" w:eastAsia="en-NZ"/>
        </w:rPr>
      </w:pPr>
      <w:r>
        <w:fldChar w:fldCharType="begin"/>
      </w:r>
      <w:r>
        <w:instrText xml:space="preserve"> TOC \t "FigureName" \c </w:instrText>
      </w:r>
      <w:r>
        <w:fldChar w:fldCharType="separate"/>
      </w:r>
      <w:r w:rsidR="001D7C21" w:rsidRPr="0012003C">
        <w:rPr>
          <w:rFonts w:eastAsia="Calibri"/>
          <w:noProof/>
          <w:lang w:val="en-NZ" w:eastAsia="en-US"/>
        </w:rPr>
        <w:t>Figure 1</w:t>
      </w:r>
      <w:r w:rsidR="001D7C21">
        <w:rPr>
          <w:rFonts w:asciiTheme="minorHAnsi" w:eastAsiaTheme="minorEastAsia" w:hAnsiTheme="minorHAnsi" w:cstheme="minorBidi"/>
          <w:noProof/>
          <w:szCs w:val="22"/>
          <w:lang w:val="en-NZ" w:eastAsia="en-NZ"/>
        </w:rPr>
        <w:tab/>
      </w:r>
      <w:r w:rsidR="001D7C21" w:rsidRPr="0012003C">
        <w:rPr>
          <w:rFonts w:eastAsia="Calibri"/>
          <w:noProof/>
          <w:lang w:val="en-NZ" w:eastAsia="en-US"/>
        </w:rPr>
        <w:t>Service connections 2013-2015</w:t>
      </w:r>
      <w:r w:rsidR="001D7C21">
        <w:rPr>
          <w:noProof/>
        </w:rPr>
        <w:tab/>
      </w:r>
      <w:r w:rsidR="001D7C21">
        <w:rPr>
          <w:noProof/>
        </w:rPr>
        <w:fldChar w:fldCharType="begin"/>
      </w:r>
      <w:r w:rsidR="001D7C21">
        <w:rPr>
          <w:noProof/>
        </w:rPr>
        <w:instrText xml:space="preserve"> PAGEREF _Toc453956015 \h </w:instrText>
      </w:r>
      <w:r w:rsidR="001D7C21">
        <w:rPr>
          <w:noProof/>
        </w:rPr>
      </w:r>
      <w:r w:rsidR="001D7C21">
        <w:rPr>
          <w:noProof/>
        </w:rPr>
        <w:fldChar w:fldCharType="separate"/>
      </w:r>
      <w:r w:rsidR="001D7C21">
        <w:rPr>
          <w:noProof/>
        </w:rPr>
        <w:t>10</w:t>
      </w:r>
      <w:r w:rsidR="001D7C21">
        <w:rPr>
          <w:noProof/>
        </w:rPr>
        <w:fldChar w:fldCharType="end"/>
      </w:r>
    </w:p>
    <w:p w14:paraId="088AED0C"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sidRPr="0012003C">
        <w:rPr>
          <w:rFonts w:eastAsia="Calibri"/>
          <w:noProof/>
          <w:lang w:val="en-NZ" w:eastAsia="en-US"/>
        </w:rPr>
        <w:t>Figure 2</w:t>
      </w:r>
      <w:r>
        <w:rPr>
          <w:rFonts w:asciiTheme="minorHAnsi" w:eastAsiaTheme="minorEastAsia" w:hAnsiTheme="minorHAnsi" w:cstheme="minorBidi"/>
          <w:noProof/>
          <w:szCs w:val="22"/>
          <w:lang w:val="en-NZ" w:eastAsia="en-NZ"/>
        </w:rPr>
        <w:tab/>
      </w:r>
      <w:r w:rsidRPr="0012003C">
        <w:rPr>
          <w:rFonts w:eastAsia="Calibri"/>
          <w:noProof/>
          <w:lang w:val="en-NZ" w:eastAsia="en-US"/>
        </w:rPr>
        <w:t xml:space="preserve"> Average hours per day of service across Honiara</w:t>
      </w:r>
      <w:r>
        <w:rPr>
          <w:noProof/>
        </w:rPr>
        <w:tab/>
      </w:r>
      <w:r>
        <w:rPr>
          <w:noProof/>
        </w:rPr>
        <w:fldChar w:fldCharType="begin"/>
      </w:r>
      <w:r>
        <w:rPr>
          <w:noProof/>
        </w:rPr>
        <w:instrText xml:space="preserve"> PAGEREF _Toc453956016 \h </w:instrText>
      </w:r>
      <w:r>
        <w:rPr>
          <w:noProof/>
        </w:rPr>
      </w:r>
      <w:r>
        <w:rPr>
          <w:noProof/>
        </w:rPr>
        <w:fldChar w:fldCharType="separate"/>
      </w:r>
      <w:r>
        <w:rPr>
          <w:noProof/>
        </w:rPr>
        <w:t>11</w:t>
      </w:r>
      <w:r>
        <w:rPr>
          <w:noProof/>
        </w:rPr>
        <w:fldChar w:fldCharType="end"/>
      </w:r>
    </w:p>
    <w:p w14:paraId="54B49E87"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sidRPr="0012003C">
        <w:rPr>
          <w:rFonts w:eastAsia="Calibri"/>
          <w:noProof/>
          <w:lang w:val="en-NZ" w:eastAsia="en-US"/>
        </w:rPr>
        <w:t>Figure 3</w:t>
      </w:r>
      <w:r>
        <w:rPr>
          <w:rFonts w:asciiTheme="minorHAnsi" w:eastAsiaTheme="minorEastAsia" w:hAnsiTheme="minorHAnsi" w:cstheme="minorBidi"/>
          <w:noProof/>
          <w:szCs w:val="22"/>
          <w:lang w:val="en-NZ" w:eastAsia="en-NZ"/>
        </w:rPr>
        <w:tab/>
      </w:r>
      <w:r w:rsidRPr="0012003C">
        <w:rPr>
          <w:rFonts w:eastAsia="Calibri"/>
          <w:noProof/>
          <w:lang w:val="en-NZ" w:eastAsia="en-US"/>
        </w:rPr>
        <w:t>Percentage of E. coli tests compliant with WHO standards</w:t>
      </w:r>
      <w:r>
        <w:rPr>
          <w:noProof/>
        </w:rPr>
        <w:tab/>
      </w:r>
      <w:r>
        <w:rPr>
          <w:noProof/>
        </w:rPr>
        <w:fldChar w:fldCharType="begin"/>
      </w:r>
      <w:r>
        <w:rPr>
          <w:noProof/>
        </w:rPr>
        <w:instrText xml:space="preserve"> PAGEREF _Toc453956017 \h </w:instrText>
      </w:r>
      <w:r>
        <w:rPr>
          <w:noProof/>
        </w:rPr>
      </w:r>
      <w:r>
        <w:rPr>
          <w:noProof/>
        </w:rPr>
        <w:fldChar w:fldCharType="separate"/>
      </w:r>
      <w:r>
        <w:rPr>
          <w:noProof/>
        </w:rPr>
        <w:t>12</w:t>
      </w:r>
      <w:r>
        <w:rPr>
          <w:noProof/>
        </w:rPr>
        <w:fldChar w:fldCharType="end"/>
      </w:r>
    </w:p>
    <w:p w14:paraId="30329196" w14:textId="77777777" w:rsidR="001D7C21" w:rsidRDefault="001D7C21" w:rsidP="00DE5D73">
      <w:pPr>
        <w:pStyle w:val="TableofFigures"/>
        <w:ind w:left="990" w:hanging="990"/>
        <w:rPr>
          <w:rFonts w:asciiTheme="minorHAnsi" w:eastAsiaTheme="minorEastAsia" w:hAnsiTheme="minorHAnsi" w:cstheme="minorBidi"/>
          <w:noProof/>
          <w:szCs w:val="22"/>
          <w:lang w:val="en-NZ" w:eastAsia="en-NZ"/>
        </w:rPr>
      </w:pPr>
      <w:r w:rsidRPr="0012003C">
        <w:rPr>
          <w:rFonts w:eastAsia="Calibri"/>
          <w:noProof/>
          <w:lang w:val="en-NZ" w:eastAsia="en-US"/>
        </w:rPr>
        <w:t>Figure 4</w:t>
      </w:r>
      <w:r>
        <w:rPr>
          <w:rFonts w:asciiTheme="minorHAnsi" w:eastAsiaTheme="minorEastAsia" w:hAnsiTheme="minorHAnsi" w:cstheme="minorBidi"/>
          <w:noProof/>
          <w:szCs w:val="22"/>
          <w:lang w:val="en-NZ" w:eastAsia="en-NZ"/>
        </w:rPr>
        <w:tab/>
      </w:r>
      <w:r w:rsidRPr="0012003C">
        <w:rPr>
          <w:rFonts w:eastAsia="Calibri"/>
          <w:noProof/>
          <w:lang w:val="en-NZ" w:eastAsia="en-US"/>
        </w:rPr>
        <w:t>Percentage of coliform tests compliant with WHO standards</w:t>
      </w:r>
      <w:r>
        <w:rPr>
          <w:noProof/>
        </w:rPr>
        <w:tab/>
      </w:r>
      <w:r>
        <w:rPr>
          <w:noProof/>
        </w:rPr>
        <w:fldChar w:fldCharType="begin"/>
      </w:r>
      <w:r>
        <w:rPr>
          <w:noProof/>
        </w:rPr>
        <w:instrText xml:space="preserve"> PAGEREF _Toc453956018 \h </w:instrText>
      </w:r>
      <w:r>
        <w:rPr>
          <w:noProof/>
        </w:rPr>
      </w:r>
      <w:r>
        <w:rPr>
          <w:noProof/>
        </w:rPr>
        <w:fldChar w:fldCharType="separate"/>
      </w:r>
      <w:r>
        <w:rPr>
          <w:noProof/>
        </w:rPr>
        <w:t>13</w:t>
      </w:r>
      <w:r>
        <w:rPr>
          <w:noProof/>
        </w:rPr>
        <w:fldChar w:fldCharType="end"/>
      </w:r>
    </w:p>
    <w:p w14:paraId="5C2E6F85" w14:textId="77777777" w:rsidR="00DB23E0" w:rsidRDefault="00DB23E0" w:rsidP="00DB23E0">
      <w:pPr>
        <w:pStyle w:val="Heading3a"/>
      </w:pPr>
      <w:r>
        <w:fldChar w:fldCharType="end"/>
      </w:r>
    </w:p>
    <w:p w14:paraId="7C79189B" w14:textId="77777777" w:rsidR="00AA017A" w:rsidRDefault="00AA017A" w:rsidP="00BB4A20">
      <w:pPr>
        <w:pStyle w:val="TableofFigures"/>
        <w:ind w:left="990" w:hanging="990"/>
      </w:pPr>
    </w:p>
    <w:p w14:paraId="4CB1E39A" w14:textId="77777777" w:rsidR="00AA017A" w:rsidRDefault="00AA017A">
      <w:pPr>
        <w:sectPr w:rsidR="00AA017A" w:rsidSect="00105C3F">
          <w:footerReference w:type="first" r:id="rId14"/>
          <w:type w:val="oddPage"/>
          <w:pgSz w:w="11906" w:h="16838" w:code="9"/>
          <w:pgMar w:top="1440" w:right="1440" w:bottom="1440" w:left="1440" w:header="576" w:footer="576" w:gutter="0"/>
          <w:pgNumType w:fmt="lowerRoman" w:start="1"/>
          <w:cols w:space="720"/>
          <w:titlePg/>
        </w:sectPr>
      </w:pPr>
    </w:p>
    <w:bookmarkStart w:id="5" w:name="_Toc453955979"/>
    <w:p w14:paraId="5F7556FF" w14:textId="77777777" w:rsidR="00AA017A" w:rsidRDefault="00DF13D7" w:rsidP="00BB4A20">
      <w:pPr>
        <w:pStyle w:val="Heading1"/>
        <w:ind w:left="0" w:firstLine="0"/>
      </w:pPr>
      <w:r>
        <w:rPr>
          <w:noProof/>
        </w:rPr>
        <w:lastRenderedPageBreak/>
        <mc:AlternateContent>
          <mc:Choice Requires="wps">
            <w:drawing>
              <wp:anchor distT="0" distB="0" distL="114300" distR="114300" simplePos="0" relativeHeight="251655680" behindDoc="1" locked="0" layoutInCell="1" allowOverlap="1" wp14:anchorId="2E8E3E27" wp14:editId="21F32EB8">
                <wp:simplePos x="0" y="0"/>
                <wp:positionH relativeFrom="page">
                  <wp:posOffset>-52070</wp:posOffset>
                </wp:positionH>
                <wp:positionV relativeFrom="paragraph">
                  <wp:posOffset>-144145</wp:posOffset>
                </wp:positionV>
                <wp:extent cx="7610475" cy="1468755"/>
                <wp:effectExtent l="0" t="0" r="444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5FB08A" id="Rectangle 2" o:spid="_x0000_s1026" style="position:absolute;margin-left:-4.1pt;margin-top:-11.35pt;width:599.2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" fillcolor="#124486" stroked="f" strokeweight="2pt">
                <w10:wrap anchorx="page"/>
              </v:rect>
            </w:pict>
          </mc:Fallback>
        </mc:AlternateContent>
      </w:r>
      <w:r w:rsidR="00DB23E0">
        <w:t>Summary</w:t>
      </w:r>
      <w:bookmarkEnd w:id="5"/>
      <w:r w:rsidR="00AA017A" w:rsidRPr="004E3C43">
        <w:rPr>
          <w:noProof/>
        </w:rPr>
        <w:t xml:space="preserve"> </w:t>
      </w:r>
    </w:p>
    <w:p w14:paraId="2CEF9C95" w14:textId="262F2F69" w:rsidR="004C26A0" w:rsidRDefault="004C26A0" w:rsidP="004C26A0">
      <w:pPr>
        <w:rPr>
          <w:noProof/>
        </w:rPr>
      </w:pPr>
      <w:r>
        <w:rPr>
          <w:noProof/>
        </w:rPr>
        <w:t xml:space="preserve">Australia’s aid program has provided two phases of support to Solomon Water: </w:t>
      </w:r>
    </w:p>
    <w:p w14:paraId="131CA8B4" w14:textId="080E1DBE" w:rsidR="004C26A0" w:rsidRDefault="004C26A0" w:rsidP="004C26A0">
      <w:pPr>
        <w:rPr>
          <w:noProof/>
        </w:rPr>
      </w:pPr>
      <w:r>
        <w:rPr>
          <w:noProof/>
        </w:rPr>
        <w:t xml:space="preserve">Phase 1: AUD2.2 million for the implementation of the </w:t>
      </w:r>
      <w:r w:rsidRPr="004C26A0">
        <w:rPr>
          <w:i/>
          <w:noProof/>
        </w:rPr>
        <w:t xml:space="preserve">Recovery Strategy and Action Plan </w:t>
      </w:r>
      <w:r>
        <w:rPr>
          <w:i/>
          <w:noProof/>
        </w:rPr>
        <w:t xml:space="preserve">(RAP) </w:t>
      </w:r>
      <w:r w:rsidRPr="004C26A0">
        <w:rPr>
          <w:i/>
          <w:noProof/>
        </w:rPr>
        <w:t>2011-2013</w:t>
      </w:r>
      <w:r>
        <w:rPr>
          <w:i/>
          <w:noProof/>
        </w:rPr>
        <w:t xml:space="preserve">. </w:t>
      </w:r>
      <w:r>
        <w:rPr>
          <w:noProof/>
        </w:rPr>
        <w:t xml:space="preserve"> The RAP’s key priorities were to stabilise Solomon Water’s </w:t>
      </w:r>
      <w:r w:rsidR="009D3D5D">
        <w:rPr>
          <w:noProof/>
        </w:rPr>
        <w:t>financial capacity and improve service levels.</w:t>
      </w:r>
    </w:p>
    <w:p w14:paraId="5D224DC3" w14:textId="6ED14A3D" w:rsidR="009D3D5D" w:rsidRPr="009D3D5D" w:rsidRDefault="009D3D5D" w:rsidP="004C26A0">
      <w:pPr>
        <w:rPr>
          <w:noProof/>
        </w:rPr>
      </w:pPr>
      <w:r>
        <w:rPr>
          <w:noProof/>
        </w:rPr>
        <w:t xml:space="preserve">Phase 2: AUD10.1 million for the implementation of the </w:t>
      </w:r>
      <w:r>
        <w:rPr>
          <w:i/>
          <w:noProof/>
        </w:rPr>
        <w:t xml:space="preserve">Solomon Water Development Plan 2013-2017. </w:t>
      </w:r>
      <w:r>
        <w:t xml:space="preserve">The objective of the Development Plan is </w:t>
      </w:r>
      <w:r w:rsidRPr="00B7259D">
        <w:t xml:space="preserve">to </w:t>
      </w:r>
      <w:r w:rsidRPr="00B00680">
        <w:t xml:space="preserve">improve levels of service </w:t>
      </w:r>
      <w:r>
        <w:t xml:space="preserve">(in terms of quantity, quality and reliability) </w:t>
      </w:r>
      <w:r w:rsidRPr="00B00680">
        <w:t xml:space="preserve">to a larger proportion of people in the </w:t>
      </w:r>
      <w:r>
        <w:t>existing service area, based on a sound financial position.</w:t>
      </w:r>
    </w:p>
    <w:p w14:paraId="3AE3A431" w14:textId="0DED3D4D" w:rsidR="004C26A0" w:rsidRDefault="004C26A0" w:rsidP="004C26A0">
      <w:pPr>
        <w:rPr>
          <w:noProof/>
        </w:rPr>
      </w:pPr>
      <w:r>
        <w:rPr>
          <w:noProof/>
        </w:rPr>
        <w:t>Th</w:t>
      </w:r>
      <w:r w:rsidR="009D3D5D">
        <w:rPr>
          <w:noProof/>
        </w:rPr>
        <w:t>is</w:t>
      </w:r>
      <w:r>
        <w:rPr>
          <w:noProof/>
        </w:rPr>
        <w:t xml:space="preserve"> evaluation </w:t>
      </w:r>
      <w:r w:rsidR="009D3D5D">
        <w:rPr>
          <w:noProof/>
        </w:rPr>
        <w:t xml:space="preserve">was </w:t>
      </w:r>
      <w:r>
        <w:rPr>
          <w:noProof/>
        </w:rPr>
        <w:t>commissioned by Australia’s Department of Foreign Affairs and Trade (DFAT) to</w:t>
      </w:r>
      <w:r w:rsidR="009D3D5D">
        <w:rPr>
          <w:noProof/>
        </w:rPr>
        <w:t xml:space="preserve"> assess the overall performance of the Development Plan and DFAT’s support for its implementation. </w:t>
      </w:r>
      <w:r>
        <w:rPr>
          <w:noProof/>
        </w:rPr>
        <w:t xml:space="preserve"> </w:t>
      </w:r>
    </w:p>
    <w:p w14:paraId="33975C7D" w14:textId="77777777" w:rsidR="00C00AC0" w:rsidRDefault="00C00AC0" w:rsidP="00C00AC0">
      <w:pPr>
        <w:pStyle w:val="Heading3"/>
        <w:rPr>
          <w:noProof/>
        </w:rPr>
      </w:pPr>
      <w:r>
        <w:rPr>
          <w:noProof/>
        </w:rPr>
        <w:t>Overall conclusions</w:t>
      </w:r>
      <w:r w:rsidR="00AA017A" w:rsidRPr="003B4077">
        <w:rPr>
          <w:noProof/>
        </w:rPr>
        <w:t xml:space="preserve"> </w:t>
      </w:r>
    </w:p>
    <w:p w14:paraId="50C3F7CF" w14:textId="257BAD9D" w:rsidR="00AA5ED0" w:rsidRDefault="005A6DFE" w:rsidP="005A6DFE">
      <w:r>
        <w:t>The evaluation finds that Phase 2 of Australia’s urban water program in Solomon Islands has successfully built on previous support to Solomon Water.</w:t>
      </w:r>
      <w:r w:rsidR="00B7259D">
        <w:t xml:space="preserve"> The objective of the Development Plan </w:t>
      </w:r>
      <w:r w:rsidR="00B7259D" w:rsidRPr="00B7259D">
        <w:t>has been largely achieved</w:t>
      </w:r>
      <w:r w:rsidR="00373A4B">
        <w:t>.</w:t>
      </w:r>
      <w:r>
        <w:t xml:space="preserve"> In particular, significant achievements in the supply of water to residents of Honiara have occurred as a result of the </w:t>
      </w:r>
      <w:r w:rsidR="00373A4B">
        <w:t xml:space="preserve">implementation of the </w:t>
      </w:r>
      <w:r>
        <w:t>Development Plan</w:t>
      </w:r>
      <w:r w:rsidR="00E06F73">
        <w:t xml:space="preserve"> supported by Australia under Phase 2</w:t>
      </w:r>
      <w:r>
        <w:t xml:space="preserve">. </w:t>
      </w:r>
    </w:p>
    <w:p w14:paraId="09069638" w14:textId="77777777" w:rsidR="005A6DFE" w:rsidRDefault="005A6DFE" w:rsidP="005A6DFE">
      <w:r>
        <w:t>Stabilisation of Solomon Water’s financial position has also been a notable achievement of the Development Plan. Some of the organisational improvements, such as a more proactive approach to debt recovery and greater customer responsiveness, have laid a platform for future success.</w:t>
      </w:r>
    </w:p>
    <w:p w14:paraId="5CBDA9E6" w14:textId="30ED3EA0" w:rsidR="007E6F51" w:rsidRDefault="007E6F51" w:rsidP="005A6DFE">
      <w:r>
        <w:t>Nonetheless, t</w:t>
      </w:r>
      <w:r w:rsidR="005A6DFE">
        <w:t>here are real risks to the sustainability of the outcomes achieved so far</w:t>
      </w:r>
      <w:r>
        <w:t xml:space="preserve">: </w:t>
      </w:r>
    </w:p>
    <w:p w14:paraId="732BC84C" w14:textId="71DD248D" w:rsidR="00272E1B" w:rsidRPr="00665F74" w:rsidRDefault="005A6DFE" w:rsidP="00B00680">
      <w:pPr>
        <w:pStyle w:val="Bullet"/>
      </w:pPr>
      <w:r>
        <w:t xml:space="preserve">While Solomon Water’s immediate financial position is sound, a net operating surplus becomes a </w:t>
      </w:r>
      <w:r w:rsidRPr="00036F3D">
        <w:rPr>
          <w:i/>
        </w:rPr>
        <w:t>deficit</w:t>
      </w:r>
      <w:r>
        <w:t xml:space="preserve"> once donor contributions are deducted.</w:t>
      </w:r>
      <w:r w:rsidR="007E6F51">
        <w:t xml:space="preserve"> Phase 2 of Australia’s support is set to conclude in mid-2017 following the completion of </w:t>
      </w:r>
      <w:r w:rsidR="00C9007B">
        <w:t xml:space="preserve">its allocated </w:t>
      </w:r>
      <w:r w:rsidR="00A756D7">
        <w:t xml:space="preserve">funding </w:t>
      </w:r>
      <w:r w:rsidR="00166F51">
        <w:t xml:space="preserve">for </w:t>
      </w:r>
      <w:r w:rsidR="007E6F51">
        <w:t xml:space="preserve">Development Plan implementation. </w:t>
      </w:r>
      <w:r w:rsidR="007E6F51" w:rsidRPr="00B00680">
        <w:t>T</w:t>
      </w:r>
      <w:r w:rsidR="00E06F73" w:rsidRPr="00B00680">
        <w:t>he completion of Australia’s support</w:t>
      </w:r>
      <w:r w:rsidRPr="00B00680">
        <w:t xml:space="preserve"> </w:t>
      </w:r>
      <w:r w:rsidR="00166F51">
        <w:t xml:space="preserve">will likely </w:t>
      </w:r>
      <w:r w:rsidRPr="00B00680">
        <w:t>see Solomon Water move back to a financially stressed situation</w:t>
      </w:r>
      <w:r w:rsidR="00E06F73" w:rsidRPr="00B00680">
        <w:t xml:space="preserve"> if other donor transfers are not identified</w:t>
      </w:r>
      <w:r w:rsidRPr="00B00680">
        <w:t>.</w:t>
      </w:r>
      <w:r>
        <w:t xml:space="preserve"> </w:t>
      </w:r>
      <w:r w:rsidR="00DF722A" w:rsidRPr="00665F74">
        <w:t xml:space="preserve">This underscores the need for the transition from Australian to </w:t>
      </w:r>
      <w:r w:rsidR="00222CC6">
        <w:t xml:space="preserve">possible </w:t>
      </w:r>
      <w:r w:rsidR="00DF722A" w:rsidRPr="00665F74">
        <w:t>European Union (EU) support to be as seamless and well-planned as possible.</w:t>
      </w:r>
    </w:p>
    <w:p w14:paraId="71B01374" w14:textId="7110697C" w:rsidR="005A6DFE" w:rsidRDefault="005A6DFE" w:rsidP="00B00680">
      <w:pPr>
        <w:pStyle w:val="BulletLast"/>
      </w:pPr>
      <w:r>
        <w:t>Ongoing success for the utility will be determined by further improvements in areas such as work ethic, professional development, leadership, management and customer care capacity. Moreover, Solomon Water</w:t>
      </w:r>
      <w:r w:rsidRPr="00D03C36">
        <w:t xml:space="preserve"> needs to move from a reactive to proactive maintenance culture that focuses on preventative maintenance</w:t>
      </w:r>
      <w:r>
        <w:t xml:space="preserve">.  Solomon Water management will need to pursue cultural change within the organisation, ensuring that there is </w:t>
      </w:r>
      <w:r w:rsidR="00580321">
        <w:t>engagement and support</w:t>
      </w:r>
      <w:r>
        <w:t xml:space="preserve"> from all levels of staff. Technology can help but will not succeed without such cultural change.</w:t>
      </w:r>
    </w:p>
    <w:p w14:paraId="0AE72F1F" w14:textId="63245261" w:rsidR="005A6DFE" w:rsidRDefault="005A6DFE" w:rsidP="005A6DFE">
      <w:r>
        <w:lastRenderedPageBreak/>
        <w:t xml:space="preserve">The upcoming strategic planning process provides a valuable opportunity for Solomon Water to lead conversations with stakeholders around significant long-term </w:t>
      </w:r>
      <w:r w:rsidR="00C9007B">
        <w:t xml:space="preserve">service provision </w:t>
      </w:r>
      <w:r>
        <w:t xml:space="preserve">considerations - such as improvements in its existing service areas, expansion into new service areas in the Provinces, </w:t>
      </w:r>
      <w:r w:rsidR="0081368F">
        <w:t xml:space="preserve">improved and expanded </w:t>
      </w:r>
      <w:r>
        <w:t>sewerage</w:t>
      </w:r>
      <w:r w:rsidR="0081368F">
        <w:t xml:space="preserve"> services</w:t>
      </w:r>
      <w:r w:rsidR="00C9007B">
        <w:t>,</w:t>
      </w:r>
      <w:r>
        <w:t xml:space="preserve"> and strategies for addressing the growing need in peri-urban and squatter settlements around Honiara. </w:t>
      </w:r>
    </w:p>
    <w:p w14:paraId="3D772D3E" w14:textId="77777777" w:rsidR="00C00AC0" w:rsidRDefault="00C00AC0" w:rsidP="00C00AC0">
      <w:pPr>
        <w:pStyle w:val="Heading3"/>
      </w:pPr>
      <w:r>
        <w:t>Key findings</w:t>
      </w:r>
    </w:p>
    <w:p w14:paraId="200F7499" w14:textId="538C14D4" w:rsidR="00C00AC0" w:rsidRDefault="00C00AC0" w:rsidP="00C14BB9">
      <w:pPr>
        <w:pStyle w:val="Bullet"/>
        <w:rPr>
          <w:rFonts w:eastAsia="Calibri"/>
          <w:lang w:val="en-NZ" w:eastAsia="en-US"/>
        </w:rPr>
      </w:pPr>
      <w:r>
        <w:rPr>
          <w:rFonts w:eastAsia="Calibri"/>
          <w:lang w:val="en-NZ" w:eastAsia="en-US"/>
        </w:rPr>
        <w:t xml:space="preserve">Solomon Water has made considerable progress in improving the quality, quantity and reliability of water supply across Honiara as a result of the implementation of the Development Plan. </w:t>
      </w:r>
    </w:p>
    <w:p w14:paraId="0BF8D997" w14:textId="15982934" w:rsidR="00C00AC0" w:rsidRPr="001F111B" w:rsidRDefault="00C00AC0" w:rsidP="00C14BB9">
      <w:pPr>
        <w:pStyle w:val="Bullet"/>
        <w:rPr>
          <w:rFonts w:eastAsia="Calibri"/>
          <w:lang w:val="en-NZ" w:eastAsia="en-US"/>
        </w:rPr>
      </w:pPr>
      <w:r w:rsidRPr="001F111B">
        <w:rPr>
          <w:rFonts w:eastAsia="Calibri"/>
          <w:lang w:val="en-NZ" w:eastAsia="en-US"/>
        </w:rPr>
        <w:t xml:space="preserve">While water quality has </w:t>
      </w:r>
      <w:r>
        <w:rPr>
          <w:rFonts w:eastAsia="Calibri"/>
          <w:lang w:val="en-NZ" w:eastAsia="en-US"/>
        </w:rPr>
        <w:t>i</w:t>
      </w:r>
      <w:r w:rsidRPr="001F111B">
        <w:rPr>
          <w:rFonts w:eastAsia="Calibri"/>
          <w:lang w:val="en-NZ" w:eastAsia="en-US"/>
        </w:rPr>
        <w:t>mproved since 2013, there are some concerns over the regular supply of chlorine and the frequency of testing for residual chlorine.</w:t>
      </w:r>
      <w:r>
        <w:rPr>
          <w:rFonts w:eastAsia="Calibri"/>
          <w:lang w:val="en-NZ" w:eastAsia="en-US"/>
        </w:rPr>
        <w:t xml:space="preserve"> </w:t>
      </w:r>
      <w:r w:rsidRPr="001F111B">
        <w:rPr>
          <w:rFonts w:eastAsia="Calibri"/>
          <w:lang w:val="en-NZ" w:eastAsia="en-US"/>
        </w:rPr>
        <w:t>The lack of regular independent water quality testing removes an important pillar for a reliable water quality monitoring program.</w:t>
      </w:r>
      <w:r w:rsidR="0081368F">
        <w:rPr>
          <w:rFonts w:eastAsia="Calibri"/>
          <w:lang w:val="en-NZ" w:eastAsia="en-US"/>
        </w:rPr>
        <w:t xml:space="preserve"> </w:t>
      </w:r>
      <w:r w:rsidR="00610D0D">
        <w:rPr>
          <w:rFonts w:eastAsia="Calibri"/>
          <w:lang w:val="en-NZ" w:eastAsia="en-US"/>
        </w:rPr>
        <w:t>Updating and implement</w:t>
      </w:r>
      <w:r w:rsidR="0089702E">
        <w:rPr>
          <w:rFonts w:eastAsia="Calibri"/>
          <w:lang w:val="en-NZ" w:eastAsia="en-US"/>
        </w:rPr>
        <w:t xml:space="preserve">ing </w:t>
      </w:r>
      <w:r w:rsidR="00610D0D">
        <w:rPr>
          <w:rFonts w:eastAsia="Calibri"/>
          <w:lang w:val="en-NZ" w:eastAsia="en-US"/>
        </w:rPr>
        <w:t>the draft Drinking Water Safety Plan for Honiara prepared in 2013 would assist in ensuring appropriate water quality monitoring procedures are in place</w:t>
      </w:r>
      <w:r w:rsidR="0089702E">
        <w:rPr>
          <w:rFonts w:eastAsia="Calibri"/>
          <w:lang w:val="en-NZ" w:eastAsia="en-US"/>
        </w:rPr>
        <w:t>.</w:t>
      </w:r>
    </w:p>
    <w:p w14:paraId="64C03EAF" w14:textId="77777777" w:rsidR="00C00AC0" w:rsidRPr="00B86D10" w:rsidRDefault="00C00AC0" w:rsidP="00C14BB9">
      <w:pPr>
        <w:pStyle w:val="Bullet"/>
        <w:rPr>
          <w:rFonts w:eastAsia="Calibri"/>
          <w:lang w:val="en-NZ" w:eastAsia="en-US"/>
        </w:rPr>
      </w:pPr>
      <w:r>
        <w:rPr>
          <w:rFonts w:eastAsia="Calibri"/>
          <w:lang w:val="en-NZ" w:eastAsia="en-US"/>
        </w:rPr>
        <w:t>The financial position of Solomon Water has improved significantly in recent years, as a result of DFAT support and a rigorous approach to debt collection. However, some of the financial indicators are giving an unrealistic impression of Solomon Water’s fiscal position – its operating surplus continues to be contingent upon donor contributions.</w:t>
      </w:r>
    </w:p>
    <w:p w14:paraId="3E31AEB1" w14:textId="5C69C366" w:rsidR="00C00AC0" w:rsidRPr="001F111B" w:rsidRDefault="00C00AC0" w:rsidP="00C14BB9">
      <w:pPr>
        <w:pStyle w:val="Bullet"/>
        <w:rPr>
          <w:rFonts w:eastAsia="Calibri"/>
          <w:lang w:val="en-NZ" w:eastAsia="en-US"/>
        </w:rPr>
      </w:pPr>
      <w:r w:rsidRPr="001F111B">
        <w:rPr>
          <w:rFonts w:eastAsia="Calibri"/>
          <w:lang w:val="en-NZ" w:eastAsia="en-US"/>
        </w:rPr>
        <w:t>The impact of the D</w:t>
      </w:r>
      <w:r>
        <w:rPr>
          <w:rFonts w:eastAsia="Calibri"/>
          <w:lang w:val="en-NZ" w:eastAsia="en-US"/>
        </w:rPr>
        <w:t xml:space="preserve">evelopment </w:t>
      </w:r>
      <w:r w:rsidRPr="001F111B">
        <w:rPr>
          <w:rFonts w:eastAsia="Calibri"/>
          <w:lang w:val="en-NZ" w:eastAsia="en-US"/>
        </w:rPr>
        <w:t>P</w:t>
      </w:r>
      <w:r>
        <w:rPr>
          <w:rFonts w:eastAsia="Calibri"/>
          <w:lang w:val="en-NZ" w:eastAsia="en-US"/>
        </w:rPr>
        <w:t>lan</w:t>
      </w:r>
      <w:r w:rsidRPr="001F111B">
        <w:rPr>
          <w:rFonts w:eastAsia="Calibri"/>
          <w:lang w:val="en-NZ" w:eastAsia="en-US"/>
        </w:rPr>
        <w:t xml:space="preserve"> on organisational change and capacity building with</w:t>
      </w:r>
      <w:r>
        <w:rPr>
          <w:rFonts w:eastAsia="Calibri"/>
          <w:lang w:val="en-NZ" w:eastAsia="en-US"/>
        </w:rPr>
        <w:t>in</w:t>
      </w:r>
      <w:r w:rsidRPr="001F111B">
        <w:rPr>
          <w:rFonts w:eastAsia="Calibri"/>
          <w:lang w:val="en-NZ" w:eastAsia="en-US"/>
        </w:rPr>
        <w:t xml:space="preserve"> </w:t>
      </w:r>
      <w:r>
        <w:rPr>
          <w:rFonts w:eastAsia="Calibri"/>
          <w:lang w:val="en-NZ" w:eastAsia="en-US"/>
        </w:rPr>
        <w:t>Solomon Water</w:t>
      </w:r>
      <w:r w:rsidRPr="001F111B">
        <w:rPr>
          <w:rFonts w:eastAsia="Calibri"/>
          <w:lang w:val="en-NZ" w:eastAsia="en-US"/>
        </w:rPr>
        <w:t xml:space="preserve"> has been less than anticipated. While on</w:t>
      </w:r>
      <w:r>
        <w:rPr>
          <w:rFonts w:eastAsia="Calibri"/>
          <w:lang w:val="en-NZ" w:eastAsia="en-US"/>
        </w:rPr>
        <w:t>-</w:t>
      </w:r>
      <w:r w:rsidRPr="001F111B">
        <w:rPr>
          <w:rFonts w:eastAsia="Calibri"/>
          <w:lang w:val="en-NZ" w:eastAsia="en-US"/>
        </w:rPr>
        <w:t>the</w:t>
      </w:r>
      <w:r>
        <w:rPr>
          <w:rFonts w:eastAsia="Calibri"/>
          <w:lang w:val="en-NZ" w:eastAsia="en-US"/>
        </w:rPr>
        <w:t>-</w:t>
      </w:r>
      <w:r w:rsidRPr="001F111B">
        <w:rPr>
          <w:rFonts w:eastAsia="Calibri"/>
          <w:lang w:val="en-NZ" w:eastAsia="en-US"/>
        </w:rPr>
        <w:t>job and supplier training was undertaken for specific activities</w:t>
      </w:r>
      <w:r w:rsidR="00D855F9">
        <w:rPr>
          <w:rFonts w:eastAsia="Calibri"/>
          <w:lang w:val="en-NZ" w:eastAsia="en-US"/>
        </w:rPr>
        <w:t>,</w:t>
      </w:r>
      <w:r w:rsidRPr="001F111B">
        <w:rPr>
          <w:rFonts w:eastAsia="Calibri"/>
          <w:lang w:val="en-NZ" w:eastAsia="en-US"/>
        </w:rPr>
        <w:t xml:space="preserve"> a more structured development and capacity building program needs to be undertaken</w:t>
      </w:r>
      <w:r>
        <w:rPr>
          <w:rFonts w:eastAsia="Calibri"/>
          <w:lang w:val="en-NZ" w:eastAsia="en-US"/>
        </w:rPr>
        <w:t xml:space="preserve"> in future</w:t>
      </w:r>
      <w:r w:rsidRPr="001F111B">
        <w:rPr>
          <w:rFonts w:eastAsia="Calibri"/>
          <w:lang w:val="en-NZ" w:eastAsia="en-US"/>
        </w:rPr>
        <w:t>.</w:t>
      </w:r>
    </w:p>
    <w:p w14:paraId="1307A474" w14:textId="77777777" w:rsidR="00C00AC0" w:rsidRPr="001F111B" w:rsidRDefault="00C00AC0" w:rsidP="00C14BB9">
      <w:pPr>
        <w:pStyle w:val="Bullet"/>
        <w:rPr>
          <w:rFonts w:eastAsia="Calibri"/>
          <w:lang w:val="en-NZ" w:eastAsia="en-US"/>
        </w:rPr>
      </w:pPr>
      <w:r>
        <w:rPr>
          <w:rFonts w:eastAsia="Calibri"/>
          <w:lang w:val="en-NZ" w:eastAsia="en-US"/>
        </w:rPr>
        <w:t xml:space="preserve">There has been an increase in the effectiveness of billing and </w:t>
      </w:r>
      <w:r w:rsidR="00ED1E54">
        <w:rPr>
          <w:rFonts w:eastAsia="Calibri"/>
          <w:lang w:val="en-NZ" w:eastAsia="en-US"/>
        </w:rPr>
        <w:t>debt</w:t>
      </w:r>
      <w:r>
        <w:rPr>
          <w:rFonts w:eastAsia="Calibri"/>
          <w:lang w:val="en-NZ" w:eastAsia="en-US"/>
        </w:rPr>
        <w:t xml:space="preserve"> recovery. I</w:t>
      </w:r>
      <w:r w:rsidRPr="001F111B">
        <w:rPr>
          <w:rFonts w:eastAsia="Calibri"/>
          <w:lang w:val="en-NZ" w:eastAsia="en-US"/>
        </w:rPr>
        <w:t xml:space="preserve">mproved customer care and </w:t>
      </w:r>
      <w:r>
        <w:rPr>
          <w:rFonts w:eastAsia="Calibri"/>
          <w:lang w:val="en-NZ" w:eastAsia="en-US"/>
        </w:rPr>
        <w:t>communications</w:t>
      </w:r>
      <w:r w:rsidRPr="001F111B">
        <w:rPr>
          <w:rFonts w:eastAsia="Calibri"/>
          <w:lang w:val="en-NZ" w:eastAsia="en-US"/>
        </w:rPr>
        <w:t xml:space="preserve"> have increased consumer confidence in </w:t>
      </w:r>
      <w:r>
        <w:rPr>
          <w:rFonts w:eastAsia="Calibri"/>
          <w:lang w:val="en-NZ" w:eastAsia="en-US"/>
        </w:rPr>
        <w:t xml:space="preserve">Solomon Water. </w:t>
      </w:r>
      <w:r>
        <w:t xml:space="preserve">The provision of a safe, reliable water supply </w:t>
      </w:r>
      <w:r w:rsidR="00C14BB9">
        <w:t xml:space="preserve">has </w:t>
      </w:r>
      <w:r>
        <w:t>improve</w:t>
      </w:r>
      <w:r w:rsidR="00C14BB9">
        <w:t>d</w:t>
      </w:r>
      <w:r>
        <w:t xml:space="preserve"> the image of </w:t>
      </w:r>
      <w:r w:rsidR="00C14BB9">
        <w:t xml:space="preserve">Solomon Water </w:t>
      </w:r>
      <w:r>
        <w:t xml:space="preserve">but this needs to be supported by further improvements </w:t>
      </w:r>
      <w:r w:rsidR="00C14BB9">
        <w:t xml:space="preserve">in </w:t>
      </w:r>
      <w:r>
        <w:t xml:space="preserve">customer care processes. </w:t>
      </w:r>
      <w:r>
        <w:rPr>
          <w:rFonts w:eastAsia="Calibri"/>
          <w:lang w:val="en-NZ" w:eastAsia="en-US"/>
        </w:rPr>
        <w:t>M</w:t>
      </w:r>
      <w:r w:rsidRPr="001F111B">
        <w:rPr>
          <w:rFonts w:eastAsia="Calibri"/>
          <w:lang w:val="en-NZ" w:eastAsia="en-US"/>
        </w:rPr>
        <w:t>ore effective communication</w:t>
      </w:r>
      <w:r w:rsidR="00C14BB9">
        <w:rPr>
          <w:rFonts w:eastAsia="Calibri"/>
          <w:lang w:val="en-NZ" w:eastAsia="en-US"/>
        </w:rPr>
        <w:t>,</w:t>
      </w:r>
      <w:r w:rsidRPr="001F111B">
        <w:rPr>
          <w:rFonts w:eastAsia="Calibri"/>
          <w:lang w:val="en-NZ" w:eastAsia="en-US"/>
        </w:rPr>
        <w:t xml:space="preserve"> especially with regard to disconnection policy, advice to customers of water quality risks and billing/meter reading issues</w:t>
      </w:r>
      <w:r w:rsidR="00C14BB9">
        <w:rPr>
          <w:rFonts w:eastAsia="Calibri"/>
          <w:lang w:val="en-NZ" w:eastAsia="en-US"/>
        </w:rPr>
        <w:t>,</w:t>
      </w:r>
      <w:r w:rsidRPr="001F111B">
        <w:rPr>
          <w:rFonts w:eastAsia="Calibri"/>
          <w:lang w:val="en-NZ" w:eastAsia="en-US"/>
        </w:rPr>
        <w:t xml:space="preserve"> would be appreciated by customers.</w:t>
      </w:r>
    </w:p>
    <w:p w14:paraId="273CBC0D" w14:textId="77777777" w:rsidR="00C00AC0" w:rsidRDefault="00C14BB9" w:rsidP="00C14BB9">
      <w:pPr>
        <w:pStyle w:val="Bullet"/>
        <w:rPr>
          <w:rFonts w:eastAsia="Calibri"/>
          <w:lang w:val="en-NZ" w:eastAsia="en-US"/>
        </w:rPr>
      </w:pPr>
      <w:r>
        <w:rPr>
          <w:rFonts w:eastAsia="Calibri"/>
          <w:lang w:val="en-NZ" w:eastAsia="en-US"/>
        </w:rPr>
        <w:t>The proposed trial</w:t>
      </w:r>
      <w:r w:rsidR="00C00AC0" w:rsidRPr="001F111B">
        <w:rPr>
          <w:rFonts w:eastAsia="Calibri"/>
          <w:lang w:val="en-NZ" w:eastAsia="en-US"/>
        </w:rPr>
        <w:t xml:space="preserve"> of cash meters is a</w:t>
      </w:r>
      <w:r w:rsidR="00C00AC0">
        <w:rPr>
          <w:rFonts w:eastAsia="Calibri"/>
          <w:lang w:val="en-NZ" w:eastAsia="en-US"/>
        </w:rPr>
        <w:t xml:space="preserve"> </w:t>
      </w:r>
      <w:r w:rsidR="00C00AC0" w:rsidRPr="001F111B">
        <w:rPr>
          <w:rFonts w:eastAsia="Calibri"/>
          <w:lang w:val="en-NZ" w:eastAsia="en-US"/>
        </w:rPr>
        <w:t>positive step to improve cash flow, will be welcomed by most customers</w:t>
      </w:r>
      <w:r w:rsidR="00C00AC0">
        <w:rPr>
          <w:rFonts w:eastAsia="Calibri"/>
          <w:lang w:val="en-NZ" w:eastAsia="en-US"/>
        </w:rPr>
        <w:t>,</w:t>
      </w:r>
      <w:r w:rsidR="00C00AC0" w:rsidRPr="001F111B">
        <w:rPr>
          <w:rFonts w:eastAsia="Calibri"/>
          <w:lang w:val="en-NZ" w:eastAsia="en-US"/>
        </w:rPr>
        <w:t xml:space="preserve"> and is strongly supported by this </w:t>
      </w:r>
      <w:r w:rsidR="00C00AC0">
        <w:rPr>
          <w:rFonts w:eastAsia="Calibri"/>
          <w:lang w:val="en-NZ" w:eastAsia="en-US"/>
        </w:rPr>
        <w:t>e</w:t>
      </w:r>
      <w:r w:rsidR="00C00AC0" w:rsidRPr="001F111B">
        <w:rPr>
          <w:rFonts w:eastAsia="Calibri"/>
          <w:lang w:val="en-NZ" w:eastAsia="en-US"/>
        </w:rPr>
        <w:t>valuation.</w:t>
      </w:r>
    </w:p>
    <w:p w14:paraId="60070441" w14:textId="77777777" w:rsidR="00C00AC0" w:rsidRDefault="00D855F9" w:rsidP="00C14BB9">
      <w:pPr>
        <w:pStyle w:val="Bullet"/>
      </w:pPr>
      <w:r>
        <w:t xml:space="preserve">Australia’s </w:t>
      </w:r>
      <w:r w:rsidR="00C00AC0">
        <w:t>b</w:t>
      </w:r>
      <w:r w:rsidR="00C00AC0" w:rsidRPr="007674E3">
        <w:t xml:space="preserve">udget support mechanism has been an effective way </w:t>
      </w:r>
      <w:r w:rsidR="00C00AC0">
        <w:t xml:space="preserve">for Solomon Water to manage DFAT funding and has provided a high level of accountability. Long-term technical assistance for in-line positions has also been valuable to Solomon Water and has provided the necessary organisational capacity for other donors to provide support to the organisation. </w:t>
      </w:r>
    </w:p>
    <w:p w14:paraId="7D6A0A1B" w14:textId="77777777" w:rsidR="005B172C" w:rsidRDefault="005B172C" w:rsidP="005B172C">
      <w:pPr>
        <w:pStyle w:val="Bullet"/>
      </w:pPr>
      <w:r w:rsidRPr="00D03C36">
        <w:t>DFAT procedures</w:t>
      </w:r>
      <w:r>
        <w:t xml:space="preserve"> for recruitment and performance management of in-line management positions were not entirely suitable. Recruitment and performance management for these positions should ideally be driven by the </w:t>
      </w:r>
      <w:r w:rsidRPr="00210963">
        <w:t>Board</w:t>
      </w:r>
      <w:r>
        <w:t xml:space="preserve"> and/or </w:t>
      </w:r>
      <w:r w:rsidRPr="00210963">
        <w:t>General Manager to whom they are responsible.</w:t>
      </w:r>
    </w:p>
    <w:p w14:paraId="5F6F0D91" w14:textId="77777777" w:rsidR="00C00AC0" w:rsidRDefault="00C00AC0" w:rsidP="00C14BB9">
      <w:pPr>
        <w:pStyle w:val="Bullet"/>
        <w:rPr>
          <w:rFonts w:eastAsia="Calibri"/>
          <w:lang w:val="en-NZ" w:eastAsia="en-US"/>
        </w:rPr>
      </w:pPr>
      <w:r w:rsidRPr="001F111B">
        <w:rPr>
          <w:rFonts w:eastAsia="Calibri"/>
          <w:lang w:val="en-NZ" w:eastAsia="en-US"/>
        </w:rPr>
        <w:t xml:space="preserve">The lack of a strong, dedicated Project Management Unit within </w:t>
      </w:r>
      <w:r>
        <w:rPr>
          <w:rFonts w:eastAsia="Calibri"/>
          <w:lang w:val="en-NZ" w:eastAsia="en-US"/>
        </w:rPr>
        <w:t>Solomon Water</w:t>
      </w:r>
      <w:r w:rsidRPr="001F111B">
        <w:rPr>
          <w:rFonts w:eastAsia="Calibri"/>
          <w:lang w:val="en-NZ" w:eastAsia="en-US"/>
        </w:rPr>
        <w:t xml:space="preserve"> resulted in some delays in implementation of the D</w:t>
      </w:r>
      <w:r>
        <w:rPr>
          <w:rFonts w:eastAsia="Calibri"/>
          <w:lang w:val="en-NZ" w:eastAsia="en-US"/>
        </w:rPr>
        <w:t xml:space="preserve">evelopment </w:t>
      </w:r>
      <w:r w:rsidRPr="001F111B">
        <w:rPr>
          <w:rFonts w:eastAsia="Calibri"/>
          <w:lang w:val="en-NZ" w:eastAsia="en-US"/>
        </w:rPr>
        <w:t>P</w:t>
      </w:r>
      <w:r>
        <w:rPr>
          <w:rFonts w:eastAsia="Calibri"/>
          <w:lang w:val="en-NZ" w:eastAsia="en-US"/>
        </w:rPr>
        <w:t>lan</w:t>
      </w:r>
      <w:r w:rsidRPr="001F111B">
        <w:rPr>
          <w:rFonts w:eastAsia="Calibri"/>
          <w:lang w:val="en-NZ" w:eastAsia="en-US"/>
        </w:rPr>
        <w:t>. This may also impact on future capital works programs.</w:t>
      </w:r>
    </w:p>
    <w:p w14:paraId="42684F77" w14:textId="77777777" w:rsidR="00C00AC0" w:rsidRDefault="00C00AC0" w:rsidP="00C14BB9">
      <w:pPr>
        <w:pStyle w:val="Bullet"/>
        <w:rPr>
          <w:rFonts w:eastAsia="Calibri"/>
          <w:lang w:val="en-NZ" w:eastAsia="en-US"/>
        </w:rPr>
      </w:pPr>
      <w:r w:rsidRPr="001F111B">
        <w:rPr>
          <w:rFonts w:eastAsia="Calibri"/>
          <w:lang w:val="en-NZ" w:eastAsia="en-US"/>
        </w:rPr>
        <w:t xml:space="preserve">Issues of land acquisition/leasing for proposed water supply facilities and right of way for </w:t>
      </w:r>
      <w:r>
        <w:rPr>
          <w:rFonts w:eastAsia="Calibri"/>
          <w:lang w:val="en-NZ" w:eastAsia="en-US"/>
        </w:rPr>
        <w:t xml:space="preserve">existing </w:t>
      </w:r>
      <w:r w:rsidRPr="001F111B">
        <w:rPr>
          <w:rFonts w:eastAsia="Calibri"/>
          <w:lang w:val="en-NZ" w:eastAsia="en-US"/>
        </w:rPr>
        <w:t xml:space="preserve">pipelines </w:t>
      </w:r>
      <w:r>
        <w:rPr>
          <w:rFonts w:eastAsia="Calibri"/>
          <w:lang w:val="en-NZ" w:eastAsia="en-US"/>
        </w:rPr>
        <w:t xml:space="preserve">and </w:t>
      </w:r>
      <w:r w:rsidRPr="001F111B">
        <w:rPr>
          <w:rFonts w:eastAsia="Calibri"/>
          <w:lang w:val="en-NZ" w:eastAsia="en-US"/>
        </w:rPr>
        <w:t>facilities have caused delays to some components of the D</w:t>
      </w:r>
      <w:r>
        <w:rPr>
          <w:rFonts w:eastAsia="Calibri"/>
          <w:lang w:val="en-NZ" w:eastAsia="en-US"/>
        </w:rPr>
        <w:t xml:space="preserve">evelopment Plan. </w:t>
      </w:r>
      <w:r w:rsidRPr="001F111B">
        <w:rPr>
          <w:rFonts w:eastAsia="Calibri"/>
          <w:lang w:val="en-NZ" w:eastAsia="en-US"/>
        </w:rPr>
        <w:t xml:space="preserve">While these issues will not be quickly resolved, </w:t>
      </w:r>
      <w:r>
        <w:rPr>
          <w:rFonts w:eastAsia="Calibri"/>
          <w:lang w:val="en-NZ" w:eastAsia="en-US"/>
        </w:rPr>
        <w:t>Solomon Water</w:t>
      </w:r>
      <w:r w:rsidRPr="001F111B">
        <w:rPr>
          <w:rFonts w:eastAsia="Calibri"/>
          <w:lang w:val="en-NZ" w:eastAsia="en-US"/>
        </w:rPr>
        <w:t xml:space="preserve"> needs to build into the planning process the necessary time and procedures to resolve land issues well in advance o</w:t>
      </w:r>
      <w:r>
        <w:rPr>
          <w:rFonts w:eastAsia="Calibri"/>
          <w:lang w:val="en-NZ" w:eastAsia="en-US"/>
        </w:rPr>
        <w:t>f</w:t>
      </w:r>
      <w:r w:rsidRPr="001F111B">
        <w:rPr>
          <w:rFonts w:eastAsia="Calibri"/>
          <w:lang w:val="en-NZ" w:eastAsia="en-US"/>
        </w:rPr>
        <w:t xml:space="preserve"> project implementation.</w:t>
      </w:r>
    </w:p>
    <w:p w14:paraId="36BD4F43" w14:textId="77777777" w:rsidR="00C00AC0" w:rsidRDefault="00C00AC0" w:rsidP="00C14BB9">
      <w:pPr>
        <w:pStyle w:val="Bullet"/>
      </w:pPr>
      <w:r>
        <w:lastRenderedPageBreak/>
        <w:t xml:space="preserve">Reduction of non-revenue water is a critical issue for the long-term sustainability of Solomon Water. </w:t>
      </w:r>
    </w:p>
    <w:p w14:paraId="17969EAD" w14:textId="77777777" w:rsidR="00C00AC0" w:rsidRDefault="00C00AC0" w:rsidP="00C14BB9">
      <w:pPr>
        <w:pStyle w:val="Bullet"/>
      </w:pPr>
      <w:r w:rsidRPr="00CF501F">
        <w:t>For</w:t>
      </w:r>
      <w:r>
        <w:t xml:space="preserve"> Solomon Water to expand further in the Provincial </w:t>
      </w:r>
      <w:r w:rsidR="00C14BB9">
        <w:t>c</w:t>
      </w:r>
      <w:r>
        <w:t xml:space="preserve">apitals, financial sustainability of </w:t>
      </w:r>
      <w:r w:rsidR="00C14BB9">
        <w:t xml:space="preserve">its </w:t>
      </w:r>
      <w:r>
        <w:t xml:space="preserve">current operations needs to be assured and </w:t>
      </w:r>
      <w:r w:rsidR="00D855F9">
        <w:t>the Solomon Islands Government’s (</w:t>
      </w:r>
      <w:r>
        <w:t>SIG</w:t>
      </w:r>
      <w:r w:rsidR="00D855F9">
        <w:t>)</w:t>
      </w:r>
      <w:r>
        <w:t xml:space="preserve"> policy support for expansion and</w:t>
      </w:r>
      <w:r w:rsidR="00D855F9">
        <w:t xml:space="preserve"> the</w:t>
      </w:r>
      <w:r>
        <w:t xml:space="preserve"> user</w:t>
      </w:r>
      <w:r w:rsidR="00C14BB9">
        <w:t>-</w:t>
      </w:r>
      <w:r>
        <w:t xml:space="preserve">pay principle </w:t>
      </w:r>
      <w:r w:rsidR="00C14BB9">
        <w:t xml:space="preserve">is </w:t>
      </w:r>
      <w:r>
        <w:t>need</w:t>
      </w:r>
      <w:r w:rsidR="00C14BB9">
        <w:t>ed</w:t>
      </w:r>
      <w:r>
        <w:t>.</w:t>
      </w:r>
    </w:p>
    <w:p w14:paraId="08520474" w14:textId="77777777" w:rsidR="00C00AC0" w:rsidRDefault="00C00AC0" w:rsidP="00C14BB9">
      <w:pPr>
        <w:pStyle w:val="Bullet"/>
      </w:pPr>
      <w:r>
        <w:t xml:space="preserve">Governance oversight provided by a functional Board is critical to the on-going success of Solomon Water. </w:t>
      </w:r>
    </w:p>
    <w:p w14:paraId="4D81930F" w14:textId="77777777" w:rsidR="00C00AC0" w:rsidRDefault="00C00AC0" w:rsidP="00C14BB9">
      <w:pPr>
        <w:pStyle w:val="Bullet"/>
      </w:pPr>
      <w:r>
        <w:t>Continued dialogue between Solomon Water management and Board, relevant SIG Ministries</w:t>
      </w:r>
      <w:r w:rsidR="00D855F9">
        <w:t xml:space="preserve"> and, as appropriate, DFAT</w:t>
      </w:r>
      <w:r>
        <w:t xml:space="preserve"> </w:t>
      </w:r>
      <w:r w:rsidR="00C14BB9">
        <w:t xml:space="preserve">is needed </w:t>
      </w:r>
      <w:r>
        <w:t xml:space="preserve">to ensure that mutual obligations are understood and commitments upheld.  </w:t>
      </w:r>
    </w:p>
    <w:p w14:paraId="7EF373C6" w14:textId="0837F954" w:rsidR="00C00AC0" w:rsidRDefault="00C159A3" w:rsidP="00C14BB9">
      <w:pPr>
        <w:pStyle w:val="Bullet"/>
      </w:pPr>
      <w:r w:rsidRPr="003436E0">
        <w:rPr>
          <w:lang w:eastAsia="en-NZ"/>
        </w:rPr>
        <w:t xml:space="preserve">A gradual and well-planned </w:t>
      </w:r>
      <w:r>
        <w:rPr>
          <w:lang w:eastAsia="en-NZ"/>
        </w:rPr>
        <w:t xml:space="preserve">exit </w:t>
      </w:r>
      <w:r w:rsidRPr="003436E0">
        <w:rPr>
          <w:lang w:eastAsia="en-NZ"/>
        </w:rPr>
        <w:t xml:space="preserve">phase is required </w:t>
      </w:r>
      <w:r>
        <w:rPr>
          <w:lang w:eastAsia="en-NZ"/>
        </w:rPr>
        <w:t xml:space="preserve">for the completion of </w:t>
      </w:r>
      <w:r w:rsidRPr="003436E0">
        <w:rPr>
          <w:lang w:eastAsia="en-NZ"/>
        </w:rPr>
        <w:t xml:space="preserve">Australian </w:t>
      </w:r>
      <w:r>
        <w:rPr>
          <w:lang w:eastAsia="en-NZ"/>
        </w:rPr>
        <w:t xml:space="preserve">funding so that Solomon Water is well-prepared to access </w:t>
      </w:r>
      <w:r w:rsidRPr="003436E0">
        <w:rPr>
          <w:lang w:eastAsia="en-NZ"/>
        </w:rPr>
        <w:t xml:space="preserve">European Union funding </w:t>
      </w:r>
      <w:r>
        <w:rPr>
          <w:lang w:eastAsia="en-NZ"/>
        </w:rPr>
        <w:t>in a way that maximises outcomes to date and mitigates against risks</w:t>
      </w:r>
      <w:r w:rsidR="00C00AC0" w:rsidRPr="003436E0">
        <w:rPr>
          <w:lang w:eastAsia="en-NZ"/>
        </w:rPr>
        <w:t>.</w:t>
      </w:r>
    </w:p>
    <w:p w14:paraId="5CAD5E27" w14:textId="77777777" w:rsidR="00C00AC0" w:rsidRDefault="00C00AC0" w:rsidP="00C00AC0">
      <w:pPr>
        <w:pStyle w:val="RecommendationName"/>
      </w:pPr>
      <w:r>
        <w:t>Recommendations</w:t>
      </w:r>
    </w:p>
    <w:p w14:paraId="0201D550" w14:textId="4BD02384" w:rsidR="00C00AC0" w:rsidRDefault="00C00AC0" w:rsidP="00C00AC0">
      <w:pPr>
        <w:pStyle w:val="RecommendationText"/>
        <w:ind w:left="720" w:hanging="720"/>
        <w:rPr>
          <w:rFonts w:eastAsia="Calibri"/>
          <w:lang w:val="en-NZ" w:eastAsia="en-US"/>
        </w:rPr>
      </w:pPr>
      <w:r>
        <w:rPr>
          <w:rFonts w:eastAsia="Calibri"/>
          <w:lang w:val="en-NZ" w:eastAsia="en-US"/>
        </w:rPr>
        <w:t>i</w:t>
      </w:r>
      <w:r>
        <w:rPr>
          <w:rFonts w:eastAsia="Calibri"/>
          <w:lang w:val="en-NZ" w:eastAsia="en-US"/>
        </w:rPr>
        <w:tab/>
        <w:t xml:space="preserve">Solomon Water </w:t>
      </w:r>
      <w:r w:rsidR="00932B41">
        <w:rPr>
          <w:rFonts w:eastAsia="Calibri"/>
          <w:lang w:val="en-NZ" w:eastAsia="en-US"/>
        </w:rPr>
        <w:t>undertakes</w:t>
      </w:r>
      <w:r>
        <w:rPr>
          <w:rFonts w:eastAsia="Calibri"/>
          <w:lang w:val="en-NZ" w:eastAsia="en-US"/>
        </w:rPr>
        <w:t xml:space="preserve"> more frequent water quality testing. Solomon Water liaise</w:t>
      </w:r>
      <w:r w:rsidR="00D855F9">
        <w:rPr>
          <w:rFonts w:eastAsia="Calibri"/>
          <w:lang w:val="en-NZ" w:eastAsia="en-US"/>
        </w:rPr>
        <w:t>s</w:t>
      </w:r>
      <w:r>
        <w:rPr>
          <w:rFonts w:eastAsia="Calibri"/>
          <w:lang w:val="en-NZ" w:eastAsia="en-US"/>
        </w:rPr>
        <w:t xml:space="preserve"> with </w:t>
      </w:r>
      <w:r w:rsidR="00C14BB9">
        <w:rPr>
          <w:rFonts w:eastAsia="Calibri"/>
          <w:lang w:val="en-NZ" w:eastAsia="en-US"/>
        </w:rPr>
        <w:t xml:space="preserve">the </w:t>
      </w:r>
      <w:r w:rsidR="00D855F9">
        <w:rPr>
          <w:rFonts w:eastAsia="Calibri"/>
          <w:lang w:val="en-NZ" w:eastAsia="en-US"/>
        </w:rPr>
        <w:t xml:space="preserve">Ministry </w:t>
      </w:r>
      <w:r w:rsidR="00C14BB9">
        <w:rPr>
          <w:rFonts w:eastAsia="Calibri"/>
          <w:lang w:val="en-NZ" w:eastAsia="en-US"/>
        </w:rPr>
        <w:t xml:space="preserve">of Health </w:t>
      </w:r>
      <w:r>
        <w:rPr>
          <w:rFonts w:eastAsia="Calibri"/>
          <w:lang w:val="en-NZ" w:eastAsia="en-US"/>
        </w:rPr>
        <w:t>to bring about more frequent independent water quality testing.</w:t>
      </w:r>
    </w:p>
    <w:p w14:paraId="1B611B0F" w14:textId="33C46B7D" w:rsidR="00C00AC0" w:rsidRDefault="00C00AC0" w:rsidP="00610D0D">
      <w:pPr>
        <w:pStyle w:val="RecommendationText"/>
        <w:ind w:left="709" w:hanging="709"/>
      </w:pPr>
      <w:r>
        <w:t>ii</w:t>
      </w:r>
      <w:r>
        <w:tab/>
      </w:r>
      <w:r w:rsidR="005D7BA3">
        <w:t>Solomon Water update, approve and operationalise the draft Drinking Water Safety Plan in the near future.</w:t>
      </w:r>
    </w:p>
    <w:p w14:paraId="7757BC61" w14:textId="77777777" w:rsidR="00C00AC0" w:rsidRDefault="00C00AC0" w:rsidP="00C00AC0">
      <w:pPr>
        <w:pStyle w:val="RecommendationText"/>
        <w:ind w:left="720" w:hanging="720"/>
      </w:pPr>
      <w:r>
        <w:t>iii</w:t>
      </w:r>
      <w:r>
        <w:tab/>
        <w:t>Solomon Water undertake f</w:t>
      </w:r>
      <w:r w:rsidRPr="00F469F8">
        <w:t>urther</w:t>
      </w:r>
      <w:r>
        <w:t xml:space="preserve"> customer education about the communication process and the responsibilities of Solomon Water and customers, especially related to water pricing, service disruptions, water quality, billing and payment and disconnections. This should be outlined in the Communications Plan </w:t>
      </w:r>
      <w:r w:rsidR="00C14BB9">
        <w:t xml:space="preserve">and </w:t>
      </w:r>
      <w:r>
        <w:t>understood by all Solomon Water staff.</w:t>
      </w:r>
    </w:p>
    <w:p w14:paraId="7BE2D357" w14:textId="77777777" w:rsidR="00C00AC0" w:rsidRDefault="00C00AC0" w:rsidP="00C00AC0">
      <w:pPr>
        <w:pStyle w:val="RecommendationText"/>
        <w:ind w:left="720" w:hanging="720"/>
      </w:pPr>
      <w:r>
        <w:t>iv</w:t>
      </w:r>
      <w:r>
        <w:tab/>
        <w:t>Solomon Water implement the key areas identified for strengthening organisational capacity.</w:t>
      </w:r>
    </w:p>
    <w:p w14:paraId="47D2A56B" w14:textId="4FA4C0EC" w:rsidR="00C00AC0" w:rsidRDefault="00C00AC0" w:rsidP="00C00AC0">
      <w:pPr>
        <w:pStyle w:val="RecommendationText"/>
        <w:ind w:left="720" w:hanging="720"/>
      </w:pPr>
      <w:r>
        <w:t>v</w:t>
      </w:r>
      <w:r>
        <w:tab/>
      </w:r>
      <w:r w:rsidR="00470B9E">
        <w:t>Solomon Water develop a stakeholder consultation strategy to support the strategic planning process. The consultation strategy should support Solomon Water to strengthen future co-ordination and engagement with key partners in the water sector</w:t>
      </w:r>
      <w:r>
        <w:t>.</w:t>
      </w:r>
    </w:p>
    <w:p w14:paraId="7720DA9A" w14:textId="333C8AAC" w:rsidR="00C00AC0" w:rsidRDefault="00C00AC0" w:rsidP="00C00AC0">
      <w:pPr>
        <w:pStyle w:val="RecommendationText"/>
        <w:ind w:left="720" w:hanging="720"/>
      </w:pPr>
      <w:r>
        <w:t xml:space="preserve">vi </w:t>
      </w:r>
      <w:r>
        <w:tab/>
        <w:t>Solomon Water establishes a</w:t>
      </w:r>
      <w:r w:rsidRPr="00DD37BD">
        <w:t xml:space="preserve"> </w:t>
      </w:r>
      <w:r>
        <w:t>p</w:t>
      </w:r>
      <w:r w:rsidRPr="00DD37BD">
        <w:t xml:space="preserve">roject </w:t>
      </w:r>
      <w:r>
        <w:t>m</w:t>
      </w:r>
      <w:r w:rsidRPr="00DD37BD">
        <w:t>anagement</w:t>
      </w:r>
      <w:r>
        <w:t xml:space="preserve"> capability (in-house or outsourced) to oversight construction and non-construction projects, especially those involving donor funding.</w:t>
      </w:r>
    </w:p>
    <w:p w14:paraId="2CE03A5D" w14:textId="08D5F159" w:rsidR="0034088B" w:rsidRDefault="0034088B" w:rsidP="0034088B">
      <w:pPr>
        <w:pStyle w:val="RecommendationText"/>
        <w:ind w:left="720" w:hanging="720"/>
      </w:pPr>
      <w:r>
        <w:t>Vii</w:t>
      </w:r>
      <w:r>
        <w:tab/>
        <w:t>For future capital works programs, Solomon Water ensures that the appropriate safeguard policies and activities are undertaken during the project preparation phase in advance of implementation.</w:t>
      </w:r>
    </w:p>
    <w:p w14:paraId="312BDAA7" w14:textId="77777777" w:rsidR="0034088B" w:rsidRDefault="0034088B" w:rsidP="0034088B">
      <w:pPr>
        <w:pStyle w:val="RecommendationText"/>
        <w:ind w:left="720" w:hanging="720"/>
      </w:pPr>
      <w:r>
        <w:t>viii</w:t>
      </w:r>
      <w:r>
        <w:tab/>
        <w:t>DFAT consider alternative approaches for the recruitment and performance management of in-line management positions to those used for long term and short term technical advisers.</w:t>
      </w:r>
    </w:p>
    <w:p w14:paraId="288BD2AF" w14:textId="77777777" w:rsidR="0034088B" w:rsidRDefault="0034088B" w:rsidP="0034088B">
      <w:pPr>
        <w:pStyle w:val="RecommendationText"/>
        <w:ind w:left="720" w:hanging="720"/>
      </w:pPr>
      <w:r>
        <w:rPr>
          <w:lang w:eastAsia="en-NZ"/>
        </w:rPr>
        <w:t>ix</w:t>
      </w:r>
      <w:r>
        <w:rPr>
          <w:lang w:eastAsia="en-NZ"/>
        </w:rPr>
        <w:tab/>
      </w:r>
      <w:r>
        <w:t>Solomon Water management and Board and, where appropriate, DFAT or other donors, encourage SIG to adhere to SOE regulations.</w:t>
      </w:r>
    </w:p>
    <w:p w14:paraId="171E479D" w14:textId="53B6D478" w:rsidR="0034088B" w:rsidRDefault="0034088B" w:rsidP="0034088B">
      <w:pPr>
        <w:pStyle w:val="RecommendationText"/>
        <w:ind w:left="720" w:hanging="720"/>
        <w:rPr>
          <w:lang w:eastAsia="en-NZ"/>
        </w:rPr>
      </w:pPr>
      <w:r>
        <w:rPr>
          <w:lang w:eastAsia="en-NZ"/>
        </w:rPr>
        <w:t>x</w:t>
      </w:r>
      <w:r>
        <w:rPr>
          <w:lang w:eastAsia="en-NZ"/>
        </w:rPr>
        <w:tab/>
        <w:t xml:space="preserve">DFAT </w:t>
      </w:r>
      <w:r w:rsidRPr="000053FC">
        <w:rPr>
          <w:lang w:eastAsia="en-NZ"/>
        </w:rPr>
        <w:t xml:space="preserve">use donor </w:t>
      </w:r>
      <w:r w:rsidRPr="000053FC">
        <w:t>co</w:t>
      </w:r>
      <w:r w:rsidRPr="000053FC">
        <w:rPr>
          <w:lang w:eastAsia="en-NZ"/>
        </w:rPr>
        <w:t xml:space="preserve">-ordination mechanisms to </w:t>
      </w:r>
      <w:r>
        <w:rPr>
          <w:lang w:eastAsia="en-NZ"/>
        </w:rPr>
        <w:t>advocate for</w:t>
      </w:r>
      <w:r w:rsidRPr="000053FC">
        <w:rPr>
          <w:lang w:eastAsia="en-NZ"/>
        </w:rPr>
        <w:t xml:space="preserve"> the</w:t>
      </w:r>
      <w:r w:rsidR="00DE5D73">
        <w:rPr>
          <w:lang w:eastAsia="en-NZ"/>
        </w:rPr>
        <w:t xml:space="preserve"> design of the</w:t>
      </w:r>
      <w:r w:rsidRPr="000053FC">
        <w:rPr>
          <w:lang w:eastAsia="en-NZ"/>
        </w:rPr>
        <w:t xml:space="preserve"> EDF </w:t>
      </w:r>
      <w:r>
        <w:rPr>
          <w:lang w:eastAsia="en-NZ"/>
        </w:rPr>
        <w:t xml:space="preserve">11 </w:t>
      </w:r>
      <w:r w:rsidRPr="000053FC">
        <w:rPr>
          <w:lang w:eastAsia="en-NZ"/>
        </w:rPr>
        <w:t xml:space="preserve">support </w:t>
      </w:r>
      <w:r>
        <w:rPr>
          <w:lang w:eastAsia="en-NZ"/>
        </w:rPr>
        <w:t xml:space="preserve">to Solomon Water </w:t>
      </w:r>
      <w:r w:rsidRPr="000053FC">
        <w:rPr>
          <w:lang w:eastAsia="en-NZ"/>
        </w:rPr>
        <w:t>to</w:t>
      </w:r>
      <w:r w:rsidR="00DE5D73">
        <w:rPr>
          <w:lang w:eastAsia="en-NZ"/>
        </w:rPr>
        <w:t>, as far as possible,</w:t>
      </w:r>
      <w:r w:rsidRPr="000053FC">
        <w:rPr>
          <w:lang w:eastAsia="en-NZ"/>
        </w:rPr>
        <w:t xml:space="preserve"> </w:t>
      </w:r>
      <w:r>
        <w:rPr>
          <w:lang w:eastAsia="en-NZ"/>
        </w:rPr>
        <w:t xml:space="preserve">build on the successful implementation of the Development Plan. </w:t>
      </w:r>
    </w:p>
    <w:p w14:paraId="455D54D2" w14:textId="0B938E45" w:rsidR="0034088B" w:rsidRDefault="0034088B" w:rsidP="0034088B">
      <w:pPr>
        <w:pStyle w:val="RecommendationText"/>
        <w:ind w:left="720" w:hanging="720"/>
      </w:pPr>
      <w:r>
        <w:t xml:space="preserve">xi </w:t>
      </w:r>
      <w:r>
        <w:tab/>
      </w:r>
      <w:r w:rsidRPr="003436E0">
        <w:t xml:space="preserve">DFAT, Solomon Water management and Board </w:t>
      </w:r>
      <w:r>
        <w:t xml:space="preserve">agree on (i) DFAT </w:t>
      </w:r>
      <w:r w:rsidR="00DE5D73">
        <w:t>consider</w:t>
      </w:r>
      <w:r w:rsidR="00553FA7">
        <w:t>s</w:t>
      </w:r>
      <w:r w:rsidR="002B55E4">
        <w:t xml:space="preserve"> </w:t>
      </w:r>
      <w:r>
        <w:t xml:space="preserve">to fully or partially fund the General Manager and Finance and Administration Manager positions </w:t>
      </w:r>
      <w:r w:rsidR="00DE5D73">
        <w:t>beyond June 2017</w:t>
      </w:r>
      <w:r>
        <w:t xml:space="preserve">; and (ii) a timeframe for discussions with the EU regarding transition planning. </w:t>
      </w:r>
    </w:p>
    <w:p w14:paraId="6946484B" w14:textId="77777777" w:rsidR="00AA017A" w:rsidRPr="003B4077" w:rsidRDefault="00AA017A" w:rsidP="003D4910">
      <w:pPr>
        <w:rPr>
          <w:noProof/>
        </w:rPr>
      </w:pPr>
    </w:p>
    <w:bookmarkStart w:id="6" w:name="_Toc453955980"/>
    <w:p w14:paraId="485051F8" w14:textId="77777777" w:rsidR="00AA017A" w:rsidRDefault="00DF13D7" w:rsidP="00DB23E0">
      <w:pPr>
        <w:pStyle w:val="Heading1"/>
      </w:pPr>
      <w:r>
        <w:rPr>
          <w:noProof/>
        </w:rPr>
        <w:lastRenderedPageBreak/>
        <mc:AlternateContent>
          <mc:Choice Requires="wps">
            <w:drawing>
              <wp:anchor distT="0" distB="0" distL="114300" distR="114300" simplePos="0" relativeHeight="251656704" behindDoc="1" locked="0" layoutInCell="1" allowOverlap="1" wp14:anchorId="09540670" wp14:editId="7787B600">
                <wp:simplePos x="0" y="0"/>
                <wp:positionH relativeFrom="margin">
                  <wp:posOffset>-939165</wp:posOffset>
                </wp:positionH>
                <wp:positionV relativeFrom="paragraph">
                  <wp:posOffset>-252095</wp:posOffset>
                </wp:positionV>
                <wp:extent cx="7610475" cy="1468755"/>
                <wp:effectExtent l="3810" t="0" r="0" b="254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8EF6E0" id="Rectangle 7" o:spid="_x0000_s1026" style="position:absolute;margin-left:-73.95pt;margin-top:-19.85pt;width:599.25pt;height:115.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" fillcolor="#124486" stroked="f" strokeweight="2pt">
                <w10:wrap anchorx="margin"/>
              </v:rect>
            </w:pict>
          </mc:Fallback>
        </mc:AlternateContent>
      </w:r>
      <w:r w:rsidR="007A72BD">
        <w:t>1</w:t>
      </w:r>
      <w:r w:rsidR="005C64D3">
        <w:tab/>
      </w:r>
      <w:r w:rsidR="00AA017A">
        <w:t>Background</w:t>
      </w:r>
      <w:bookmarkEnd w:id="6"/>
    </w:p>
    <w:p w14:paraId="4C656013" w14:textId="77777777" w:rsidR="003B4077" w:rsidRPr="00DD1152" w:rsidRDefault="00D63EF3" w:rsidP="00DD1152">
      <w:pPr>
        <w:pStyle w:val="Heading2"/>
        <w:rPr>
          <w:noProof/>
        </w:rPr>
      </w:pPr>
      <w:bookmarkStart w:id="7" w:name="_Toc453955981"/>
      <w:r>
        <w:rPr>
          <w:noProof/>
        </w:rPr>
        <w:t>1.1</w:t>
      </w:r>
      <w:r>
        <w:rPr>
          <w:noProof/>
        </w:rPr>
        <w:tab/>
      </w:r>
      <w:r w:rsidR="003B4077" w:rsidRPr="00DD1152">
        <w:rPr>
          <w:noProof/>
        </w:rPr>
        <w:t>Program overview</w:t>
      </w:r>
      <w:bookmarkEnd w:id="7"/>
    </w:p>
    <w:p w14:paraId="68238F98" w14:textId="77777777" w:rsidR="00E242F7" w:rsidRDefault="00DD1152" w:rsidP="00DD1152">
      <w:pPr>
        <w:rPr>
          <w:noProof/>
        </w:rPr>
      </w:pPr>
      <w:r>
        <w:rPr>
          <w:noProof/>
        </w:rPr>
        <w:t>Reliable, sustainable and equitably-priced water supply is critical for growth and human development in Solomon Islands.</w:t>
      </w:r>
      <w:r w:rsidRPr="007A0F44">
        <w:rPr>
          <w:noProof/>
        </w:rPr>
        <w:t xml:space="preserve"> The Solom</w:t>
      </w:r>
      <w:r>
        <w:rPr>
          <w:noProof/>
        </w:rPr>
        <w:t xml:space="preserve">on Islands Water Authority, </w:t>
      </w:r>
      <w:r w:rsidRPr="007A0F44">
        <w:rPr>
          <w:noProof/>
        </w:rPr>
        <w:t>trading as S</w:t>
      </w:r>
      <w:r>
        <w:rPr>
          <w:noProof/>
        </w:rPr>
        <w:t>olomon Water</w:t>
      </w:r>
      <w:r w:rsidR="004A7B95">
        <w:rPr>
          <w:noProof/>
        </w:rPr>
        <w:t xml:space="preserve"> since 2013</w:t>
      </w:r>
      <w:r w:rsidR="007070C9">
        <w:rPr>
          <w:noProof/>
        </w:rPr>
        <w:t>,</w:t>
      </w:r>
      <w:r w:rsidRPr="007A0F44">
        <w:rPr>
          <w:noProof/>
        </w:rPr>
        <w:t xml:space="preserve"> is </w:t>
      </w:r>
      <w:r>
        <w:rPr>
          <w:noProof/>
        </w:rPr>
        <w:t>the</w:t>
      </w:r>
      <w:r w:rsidRPr="007A0F44">
        <w:rPr>
          <w:noProof/>
        </w:rPr>
        <w:t xml:space="preserve"> state-owned enterprise responsible for water and sewerage in urban areas.</w:t>
      </w:r>
      <w:r>
        <w:rPr>
          <w:noProof/>
        </w:rPr>
        <w:t xml:space="preserve"> </w:t>
      </w:r>
    </w:p>
    <w:p w14:paraId="37489A21" w14:textId="77777777" w:rsidR="00DD1152" w:rsidRPr="00DD1152" w:rsidRDefault="00DD1152" w:rsidP="00DD1152">
      <w:pPr>
        <w:rPr>
          <w:noProof/>
        </w:rPr>
      </w:pPr>
      <w:r w:rsidRPr="00E242F7">
        <w:rPr>
          <w:noProof/>
        </w:rPr>
        <w:t>Australia has provided two phases of support to</w:t>
      </w:r>
      <w:r w:rsidR="007070C9">
        <w:rPr>
          <w:noProof/>
        </w:rPr>
        <w:t xml:space="preserve"> Solomon Water</w:t>
      </w:r>
      <w:r w:rsidRPr="00E242F7">
        <w:rPr>
          <w:noProof/>
        </w:rPr>
        <w:t xml:space="preserve">:  </w:t>
      </w:r>
      <w:r>
        <w:rPr>
          <w:noProof/>
        </w:rPr>
        <w:t xml:space="preserve"> </w:t>
      </w:r>
    </w:p>
    <w:p w14:paraId="774DAAA5" w14:textId="77777777" w:rsidR="003B4077" w:rsidRPr="00921B1B" w:rsidRDefault="003B4077" w:rsidP="003B4077">
      <w:pPr>
        <w:pStyle w:val="MediumGrid21"/>
        <w:spacing w:after="200" w:line="276" w:lineRule="auto"/>
        <w:rPr>
          <w:i/>
        </w:rPr>
      </w:pPr>
      <w:r w:rsidRPr="00921B1B">
        <w:rPr>
          <w:i/>
        </w:rPr>
        <w:t>Phase 1</w:t>
      </w:r>
      <w:r>
        <w:rPr>
          <w:i/>
        </w:rPr>
        <w:t xml:space="preserve">: </w:t>
      </w:r>
      <w:r w:rsidRPr="00921B1B">
        <w:rPr>
          <w:i/>
        </w:rPr>
        <w:t>Recovery Strategy and Action Plan 2011–2013</w:t>
      </w:r>
    </w:p>
    <w:p w14:paraId="799860CB" w14:textId="40EA7BFB" w:rsidR="003B4077" w:rsidRDefault="003B4077" w:rsidP="003B4077">
      <w:pPr>
        <w:rPr>
          <w:noProof/>
        </w:rPr>
      </w:pPr>
      <w:r w:rsidRPr="00EC5D65">
        <w:t>From 2000 to 2010</w:t>
      </w:r>
      <w:r>
        <w:t>,</w:t>
      </w:r>
      <w:r w:rsidRPr="00EC5D65">
        <w:t xml:space="preserve"> the </w:t>
      </w:r>
      <w:r>
        <w:t xml:space="preserve">operating </w:t>
      </w:r>
      <w:r w:rsidRPr="00EC5D65">
        <w:t>condition</w:t>
      </w:r>
      <w:r>
        <w:t>s</w:t>
      </w:r>
      <w:r w:rsidRPr="00EC5D65">
        <w:t xml:space="preserve"> of </w:t>
      </w:r>
      <w:r>
        <w:t>SIWA</w:t>
      </w:r>
      <w:r w:rsidRPr="00EC5D65">
        <w:t xml:space="preserve"> steadily deteriorated </w:t>
      </w:r>
      <w:r>
        <w:t>due to</w:t>
      </w:r>
      <w:r w:rsidRPr="00EC5D65">
        <w:t xml:space="preserve"> a combination of political instability, governance</w:t>
      </w:r>
      <w:r>
        <w:t xml:space="preserve"> and organisational capacity challenges</w:t>
      </w:r>
      <w:r w:rsidRPr="00EC5D65">
        <w:t xml:space="preserve">, </w:t>
      </w:r>
      <w:r>
        <w:t xml:space="preserve">and </w:t>
      </w:r>
      <w:r w:rsidRPr="00EC5D65">
        <w:t xml:space="preserve">inappropriate tariffs. By 2010, the organisation </w:t>
      </w:r>
      <w:r>
        <w:t>owed SBD37</w:t>
      </w:r>
      <w:r w:rsidRPr="00EC5D65">
        <w:t xml:space="preserve"> million to its electricity supplier, and the service was approaching a state of collapse.</w:t>
      </w:r>
    </w:p>
    <w:p w14:paraId="65C63877" w14:textId="28596E98" w:rsidR="003B4077" w:rsidRDefault="003B4077" w:rsidP="003B4077">
      <w:r w:rsidRPr="00683234">
        <w:rPr>
          <w:noProof/>
        </w:rPr>
        <w:t xml:space="preserve">In August 2010, </w:t>
      </w:r>
      <w:r>
        <w:rPr>
          <w:noProof/>
        </w:rPr>
        <w:t xml:space="preserve">the </w:t>
      </w:r>
      <w:r w:rsidRPr="00683234">
        <w:rPr>
          <w:noProof/>
        </w:rPr>
        <w:t>S</w:t>
      </w:r>
      <w:r>
        <w:rPr>
          <w:noProof/>
        </w:rPr>
        <w:t xml:space="preserve">olomon </w:t>
      </w:r>
      <w:r w:rsidRPr="00683234">
        <w:rPr>
          <w:noProof/>
        </w:rPr>
        <w:t>I</w:t>
      </w:r>
      <w:r>
        <w:rPr>
          <w:noProof/>
        </w:rPr>
        <w:t xml:space="preserve">slands </w:t>
      </w:r>
      <w:r w:rsidRPr="00683234">
        <w:rPr>
          <w:noProof/>
        </w:rPr>
        <w:t>G</w:t>
      </w:r>
      <w:r>
        <w:rPr>
          <w:noProof/>
        </w:rPr>
        <w:t>overnment (SIG)</w:t>
      </w:r>
      <w:r w:rsidRPr="00683234">
        <w:rPr>
          <w:noProof/>
        </w:rPr>
        <w:t xml:space="preserve"> replaced the </w:t>
      </w:r>
      <w:r w:rsidR="007070C9">
        <w:rPr>
          <w:noProof/>
        </w:rPr>
        <w:t>Solomon Water</w:t>
      </w:r>
      <w:r w:rsidRPr="00683234">
        <w:rPr>
          <w:noProof/>
        </w:rPr>
        <w:t xml:space="preserve"> </w:t>
      </w:r>
      <w:r>
        <w:rPr>
          <w:noProof/>
        </w:rPr>
        <w:t>B</w:t>
      </w:r>
      <w:r w:rsidRPr="00683234">
        <w:rPr>
          <w:noProof/>
        </w:rPr>
        <w:t>oard</w:t>
      </w:r>
      <w:r>
        <w:rPr>
          <w:noProof/>
        </w:rPr>
        <w:t>,</w:t>
      </w:r>
      <w:r w:rsidRPr="00683234">
        <w:rPr>
          <w:noProof/>
        </w:rPr>
        <w:t xml:space="preserve"> </w:t>
      </w:r>
      <w:r>
        <w:rPr>
          <w:noProof/>
        </w:rPr>
        <w:t>which then changed over</w:t>
      </w:r>
      <w:r w:rsidRPr="00683234">
        <w:rPr>
          <w:noProof/>
        </w:rPr>
        <w:t xml:space="preserve"> most of the management. </w:t>
      </w:r>
      <w:r>
        <w:rPr>
          <w:noProof/>
        </w:rPr>
        <w:t>With funding support from Australia, a</w:t>
      </w:r>
      <w:r w:rsidRPr="00683234">
        <w:rPr>
          <w:noProof/>
        </w:rPr>
        <w:t>n</w:t>
      </w:r>
      <w:r>
        <w:rPr>
          <w:noProof/>
        </w:rPr>
        <w:t xml:space="preserve"> expatriate General Manager</w:t>
      </w:r>
      <w:r>
        <w:t xml:space="preserve"> </w:t>
      </w:r>
      <w:r w:rsidRPr="00683234">
        <w:t xml:space="preserve">and Finance and Administration Manager </w:t>
      </w:r>
      <w:r>
        <w:t xml:space="preserve">commenced work in </w:t>
      </w:r>
      <w:r w:rsidR="007070C9">
        <w:t>Solomon Water</w:t>
      </w:r>
      <w:r>
        <w:t xml:space="preserve"> in April </w:t>
      </w:r>
      <w:r w:rsidRPr="00683234">
        <w:t>2011. The</w:t>
      </w:r>
      <w:r>
        <w:t>y</w:t>
      </w:r>
      <w:r w:rsidRPr="00683234">
        <w:t xml:space="preserve"> developed a Short-Term Recovery Strategy and Actio</w:t>
      </w:r>
      <w:r>
        <w:t>n Plan (RAP)</w:t>
      </w:r>
      <w:r w:rsidR="00884D7B">
        <w:t xml:space="preserve"> with </w:t>
      </w:r>
      <w:r>
        <w:t>Australia fund</w:t>
      </w:r>
      <w:r w:rsidR="00884D7B">
        <w:t>ing</w:t>
      </w:r>
      <w:r>
        <w:t xml:space="preserve"> its implementation.</w:t>
      </w:r>
    </w:p>
    <w:p w14:paraId="0E64E9F8" w14:textId="04968BAE" w:rsidR="003B4077" w:rsidRDefault="003B4077" w:rsidP="003B4077">
      <w:r w:rsidRPr="00504D8E">
        <w:t>The RAP</w:t>
      </w:r>
      <w:r>
        <w:t>’s</w:t>
      </w:r>
      <w:r w:rsidRPr="00504D8E">
        <w:t xml:space="preserve"> </w:t>
      </w:r>
      <w:r>
        <w:t xml:space="preserve">key priorities were </w:t>
      </w:r>
      <w:r w:rsidRPr="006233EF">
        <w:t xml:space="preserve">to stabilise </w:t>
      </w:r>
      <w:r w:rsidR="007070C9">
        <w:t>Solomon Water</w:t>
      </w:r>
      <w:r w:rsidRPr="006233EF">
        <w:t>’s financial capacity and improve service levels</w:t>
      </w:r>
      <w:r w:rsidRPr="00504D8E">
        <w:t>.</w:t>
      </w:r>
      <w:r>
        <w:t xml:space="preserve"> Australia provided AUD2.2million for the implementation of the RAP and placement of technical advisers within </w:t>
      </w:r>
      <w:r w:rsidR="007070C9">
        <w:t>Solomon Water</w:t>
      </w:r>
      <w:r>
        <w:t xml:space="preserve">. </w:t>
      </w:r>
      <w:r w:rsidRPr="00BD2B60">
        <w:t xml:space="preserve">The RAP saw significant improvements to </w:t>
      </w:r>
      <w:r w:rsidR="007070C9">
        <w:t>Solomon Water</w:t>
      </w:r>
      <w:r>
        <w:t>’s</w:t>
      </w:r>
      <w:r w:rsidRPr="00BD2B60">
        <w:t xml:space="preserve"> financial performance</w:t>
      </w:r>
      <w:r>
        <w:t>,</w:t>
      </w:r>
      <w:r w:rsidRPr="00BD2B60">
        <w:t xml:space="preserve"> organisational effectiveness and services.</w:t>
      </w:r>
      <w:r>
        <w:t xml:space="preserve"> K</w:t>
      </w:r>
      <w:r w:rsidRPr="00705F43">
        <w:t>ey achievement</w:t>
      </w:r>
      <w:r>
        <w:t>s</w:t>
      </w:r>
      <w:r w:rsidRPr="00705F43">
        <w:t xml:space="preserve"> of the RAP period </w:t>
      </w:r>
      <w:r>
        <w:t xml:space="preserve">included an agreement that settled </w:t>
      </w:r>
      <w:r w:rsidR="007070C9">
        <w:t>Solomon Water</w:t>
      </w:r>
      <w:r>
        <w:t>’s</w:t>
      </w:r>
      <w:r w:rsidRPr="00705F43">
        <w:t xml:space="preserve"> debt to the Solomon Islands Electricity Authority in May 2012, reform </w:t>
      </w:r>
      <w:r>
        <w:t xml:space="preserve">of </w:t>
      </w:r>
      <w:r w:rsidRPr="00705F43">
        <w:t>water tariffs and introduc</w:t>
      </w:r>
      <w:r>
        <w:t>tion of</w:t>
      </w:r>
      <w:r w:rsidRPr="00705F43">
        <w:t xml:space="preserve"> Comm</w:t>
      </w:r>
      <w:r>
        <w:t xml:space="preserve">unity Services Obligation </w:t>
      </w:r>
      <w:r w:rsidRPr="00705F43">
        <w:t>payments</w:t>
      </w:r>
      <w:r>
        <w:t xml:space="preserve"> from SIG</w:t>
      </w:r>
      <w:r w:rsidRPr="00705F43">
        <w:t xml:space="preserve"> to cover losses on </w:t>
      </w:r>
      <w:r w:rsidR="007070C9">
        <w:t>Solomon Water</w:t>
      </w:r>
      <w:r>
        <w:t>’s</w:t>
      </w:r>
      <w:r w:rsidRPr="00705F43">
        <w:t xml:space="preserve"> provincial</w:t>
      </w:r>
      <w:r>
        <w:t xml:space="preserve"> operations</w:t>
      </w:r>
      <w:r w:rsidRPr="00705F43">
        <w:t>.</w:t>
      </w:r>
      <w:r>
        <w:t xml:space="preserve"> </w:t>
      </w:r>
      <w:r w:rsidR="007070C9">
        <w:t>Solomon Water</w:t>
      </w:r>
      <w:r>
        <w:t xml:space="preserve"> went from having an operational loss of SBD30 million in 2010 to an operating surplus of SBD10 million in 2012.</w:t>
      </w:r>
    </w:p>
    <w:p w14:paraId="50708485" w14:textId="77777777" w:rsidR="003B4077" w:rsidRPr="00921B1B" w:rsidRDefault="003B4077" w:rsidP="003B4077">
      <w:pPr>
        <w:pStyle w:val="MediumGrid21"/>
        <w:spacing w:after="200" w:line="276" w:lineRule="auto"/>
        <w:rPr>
          <w:i/>
        </w:rPr>
      </w:pPr>
      <w:r w:rsidRPr="00921B1B">
        <w:rPr>
          <w:i/>
        </w:rPr>
        <w:t>Phase 2</w:t>
      </w:r>
      <w:r>
        <w:rPr>
          <w:i/>
        </w:rPr>
        <w:t xml:space="preserve">: </w:t>
      </w:r>
      <w:r w:rsidRPr="00921B1B">
        <w:rPr>
          <w:i/>
        </w:rPr>
        <w:t>Solomon Water Development Plan 2013</w:t>
      </w:r>
      <w:r>
        <w:rPr>
          <w:i/>
        </w:rPr>
        <w:t>–</w:t>
      </w:r>
      <w:r w:rsidRPr="00921B1B">
        <w:rPr>
          <w:i/>
        </w:rPr>
        <w:t>201</w:t>
      </w:r>
      <w:r w:rsidR="00B7317F">
        <w:rPr>
          <w:i/>
        </w:rPr>
        <w:t>7</w:t>
      </w:r>
      <w:r w:rsidRPr="00921B1B">
        <w:rPr>
          <w:i/>
        </w:rPr>
        <w:t xml:space="preserve"> </w:t>
      </w:r>
    </w:p>
    <w:p w14:paraId="0798B4DB" w14:textId="2E98756B" w:rsidR="003B4077" w:rsidRDefault="003B4077" w:rsidP="003B4077">
      <w:r w:rsidRPr="00E90095">
        <w:t xml:space="preserve">The </w:t>
      </w:r>
      <w:r>
        <w:t>Solomon Water Development Plan is a medium term plan that builds on the achievements of the RAP</w:t>
      </w:r>
      <w:r w:rsidRPr="00E90095">
        <w:t>. It aims to target a number of critical issues that must be addressed to ensure the sustainable development of the business into the future</w:t>
      </w:r>
      <w:r>
        <w:t>.</w:t>
      </w:r>
      <w:r w:rsidRPr="00E90095">
        <w:t xml:space="preserve"> The overall </w:t>
      </w:r>
      <w:r w:rsidR="00884D7B">
        <w:t>purpose</w:t>
      </w:r>
      <w:r w:rsidRPr="00E90095">
        <w:t xml:space="preserve"> of the Plan is to move </w:t>
      </w:r>
      <w:r w:rsidR="004A7B95">
        <w:t xml:space="preserve">Solomon Water </w:t>
      </w:r>
      <w:r w:rsidRPr="00E90095">
        <w:t xml:space="preserve">to a position where its infrastructure is capable of supporting an acceptable </w:t>
      </w:r>
      <w:r>
        <w:t>level</w:t>
      </w:r>
      <w:r w:rsidRPr="00E90095">
        <w:t xml:space="preserve"> of service to the population</w:t>
      </w:r>
      <w:r>
        <w:t>,</w:t>
      </w:r>
      <w:r w:rsidRPr="00E90095">
        <w:t xml:space="preserve"> and which is based on a firm financial position.</w:t>
      </w:r>
    </w:p>
    <w:p w14:paraId="0BBA25F5" w14:textId="70F4DB59" w:rsidR="00884D7B" w:rsidRDefault="003B4077" w:rsidP="003B4077">
      <w:r w:rsidRPr="003B4077">
        <w:t>Similar to the RAP, Australia is providing direct funding support to S</w:t>
      </w:r>
      <w:r w:rsidR="004A7B95">
        <w:t>olomon Water</w:t>
      </w:r>
      <w:r w:rsidRPr="003B4077">
        <w:t xml:space="preserve"> for the implementation of the Development Plan (up to AUD7 million), as well as technical assistance through the Solomon Islands Resource Facility (SIRF) to manage long and short term advisers and consultants for </w:t>
      </w:r>
      <w:r w:rsidR="00A17583">
        <w:t xml:space="preserve">Solomon Water </w:t>
      </w:r>
      <w:r w:rsidRPr="003B4077">
        <w:t>(up to AUD3.1 million)</w:t>
      </w:r>
      <w:r w:rsidR="00884D7B">
        <w:t xml:space="preserve"> (Table </w:t>
      </w:r>
      <w:r w:rsidR="00406A22">
        <w:t>1</w:t>
      </w:r>
      <w:r w:rsidR="00884D7B">
        <w:t>)</w:t>
      </w:r>
      <w:r w:rsidRPr="003B4077">
        <w:t>.</w:t>
      </w:r>
    </w:p>
    <w:p w14:paraId="2CDEBE57" w14:textId="592C97DD" w:rsidR="00884D7B" w:rsidRDefault="00884D7B" w:rsidP="00715F14">
      <w:pPr>
        <w:pStyle w:val="TableName"/>
      </w:pPr>
      <w:bookmarkStart w:id="8" w:name="_Toc453956010"/>
      <w:r>
        <w:lastRenderedPageBreak/>
        <w:t xml:space="preserve">Table </w:t>
      </w:r>
      <w:r w:rsidR="00406A22">
        <w:t>1</w:t>
      </w:r>
      <w:r>
        <w:tab/>
        <w:t>Technical assistance provided 2011-2017</w:t>
      </w:r>
      <w:bookmarkEnd w:id="8"/>
      <w:r>
        <w:t xml:space="preserve"> </w:t>
      </w:r>
    </w:p>
    <w:tbl>
      <w:tblPr>
        <w:tblStyle w:val="TableGrid"/>
        <w:tblW w:w="7670" w:type="dxa"/>
        <w:tblLook w:val="04A0" w:firstRow="1" w:lastRow="0" w:firstColumn="1" w:lastColumn="0" w:noHBand="0" w:noVBand="1"/>
      </w:tblPr>
      <w:tblGrid>
        <w:gridCol w:w="4460"/>
        <w:gridCol w:w="3210"/>
      </w:tblGrid>
      <w:tr w:rsidR="008B582D" w14:paraId="2C48B921" w14:textId="77777777" w:rsidTr="00664F0E">
        <w:trPr>
          <w:cnfStyle w:val="100000000000" w:firstRow="1" w:lastRow="0" w:firstColumn="0" w:lastColumn="0" w:oddVBand="0" w:evenVBand="0" w:oddHBand="0" w:evenHBand="0" w:firstRowFirstColumn="0" w:firstRowLastColumn="0" w:lastRowFirstColumn="0" w:lastRowLastColumn="0"/>
          <w:trHeight w:val="20"/>
        </w:trPr>
        <w:tc>
          <w:tcPr>
            <w:tcW w:w="4460" w:type="dxa"/>
            <w:noWrap/>
            <w:hideMark/>
          </w:tcPr>
          <w:p w14:paraId="031799EE" w14:textId="77777777" w:rsidR="008B582D" w:rsidRDefault="008B582D" w:rsidP="008B582D">
            <w:pPr>
              <w:pStyle w:val="TableHeading2"/>
            </w:pPr>
            <w:r>
              <w:t>Position</w:t>
            </w:r>
          </w:p>
        </w:tc>
        <w:tc>
          <w:tcPr>
            <w:tcW w:w="3210" w:type="dxa"/>
            <w:noWrap/>
            <w:hideMark/>
          </w:tcPr>
          <w:p w14:paraId="3B7901D9" w14:textId="77777777" w:rsidR="008B582D" w:rsidRDefault="008B582D" w:rsidP="008B582D">
            <w:pPr>
              <w:pStyle w:val="TableHeading2"/>
            </w:pPr>
            <w:r>
              <w:t>Dates</w:t>
            </w:r>
          </w:p>
        </w:tc>
      </w:tr>
      <w:tr w:rsidR="008B582D" w14:paraId="13499B81" w14:textId="77777777" w:rsidTr="00664F0E">
        <w:trPr>
          <w:trHeight w:val="20"/>
        </w:trPr>
        <w:tc>
          <w:tcPr>
            <w:tcW w:w="4460" w:type="dxa"/>
            <w:noWrap/>
            <w:hideMark/>
          </w:tcPr>
          <w:p w14:paraId="7CF2E28E" w14:textId="77777777" w:rsidR="008B582D" w:rsidRDefault="008B582D" w:rsidP="008B582D">
            <w:pPr>
              <w:pStyle w:val="TableText"/>
            </w:pPr>
            <w:r>
              <w:t>General Manager (former)</w:t>
            </w:r>
          </w:p>
        </w:tc>
        <w:tc>
          <w:tcPr>
            <w:tcW w:w="3210" w:type="dxa"/>
            <w:noWrap/>
            <w:hideMark/>
          </w:tcPr>
          <w:p w14:paraId="0CEA4AF0" w14:textId="38DE7462" w:rsidR="008B582D" w:rsidRDefault="008B582D" w:rsidP="008B582D">
            <w:pPr>
              <w:pStyle w:val="TableText"/>
            </w:pPr>
            <w:r>
              <w:t xml:space="preserve"> 1 Jul</w:t>
            </w:r>
            <w:r w:rsidR="00664F0E">
              <w:t>y</w:t>
            </w:r>
            <w:r>
              <w:t xml:space="preserve"> 2011 – 31 Jan</w:t>
            </w:r>
            <w:r w:rsidR="00664F0E">
              <w:t>uary</w:t>
            </w:r>
            <w:r>
              <w:t xml:space="preserve"> 2015  </w:t>
            </w:r>
          </w:p>
        </w:tc>
      </w:tr>
      <w:tr w:rsidR="008B582D" w14:paraId="21A5D312" w14:textId="77777777" w:rsidTr="00664F0E">
        <w:trPr>
          <w:trHeight w:val="20"/>
        </w:trPr>
        <w:tc>
          <w:tcPr>
            <w:tcW w:w="4460" w:type="dxa"/>
            <w:noWrap/>
            <w:hideMark/>
          </w:tcPr>
          <w:p w14:paraId="09DF4DD4" w14:textId="77777777" w:rsidR="008B582D" w:rsidRDefault="008B582D" w:rsidP="008B582D">
            <w:pPr>
              <w:pStyle w:val="TableText"/>
            </w:pPr>
            <w:r>
              <w:t>General Manager (current)</w:t>
            </w:r>
          </w:p>
        </w:tc>
        <w:tc>
          <w:tcPr>
            <w:tcW w:w="3210" w:type="dxa"/>
            <w:noWrap/>
            <w:hideMark/>
          </w:tcPr>
          <w:p w14:paraId="56B966B3" w14:textId="7EE39C8C" w:rsidR="008B582D" w:rsidRPr="00D231A7" w:rsidRDefault="008B582D" w:rsidP="008B582D">
            <w:pPr>
              <w:pStyle w:val="TableText"/>
              <w:rPr>
                <w:i/>
              </w:rPr>
            </w:pPr>
            <w:r>
              <w:t xml:space="preserve">1 </w:t>
            </w:r>
            <w:r w:rsidRPr="00F9294D">
              <w:t xml:space="preserve">July 2015 – </w:t>
            </w:r>
            <w:r w:rsidRPr="00664F0E">
              <w:rPr>
                <w:i/>
              </w:rPr>
              <w:t>30 Jun</w:t>
            </w:r>
            <w:r w:rsidR="00664F0E" w:rsidRPr="00664F0E">
              <w:rPr>
                <w:i/>
              </w:rPr>
              <w:t>e</w:t>
            </w:r>
            <w:r w:rsidRPr="00664F0E">
              <w:rPr>
                <w:i/>
              </w:rPr>
              <w:t xml:space="preserve"> 2017</w:t>
            </w:r>
            <w:r w:rsidR="00664F0E">
              <w:rPr>
                <w:i/>
              </w:rPr>
              <w:t xml:space="preserve"> (est)</w:t>
            </w:r>
          </w:p>
        </w:tc>
      </w:tr>
      <w:tr w:rsidR="008B582D" w14:paraId="0EAA836F" w14:textId="77777777" w:rsidTr="00664F0E">
        <w:trPr>
          <w:trHeight w:val="20"/>
        </w:trPr>
        <w:tc>
          <w:tcPr>
            <w:tcW w:w="4460" w:type="dxa"/>
            <w:noWrap/>
            <w:hideMark/>
          </w:tcPr>
          <w:p w14:paraId="719F1E8C" w14:textId="77777777" w:rsidR="008B582D" w:rsidRDefault="008B582D" w:rsidP="008B582D">
            <w:pPr>
              <w:pStyle w:val="TableText"/>
            </w:pPr>
            <w:r>
              <w:t>Finance and Administration Manager (former)</w:t>
            </w:r>
          </w:p>
        </w:tc>
        <w:tc>
          <w:tcPr>
            <w:tcW w:w="3210" w:type="dxa"/>
            <w:noWrap/>
            <w:hideMark/>
          </w:tcPr>
          <w:p w14:paraId="0063C5DE" w14:textId="0C2C1848" w:rsidR="008B582D" w:rsidRDefault="008B582D" w:rsidP="008B582D">
            <w:pPr>
              <w:pStyle w:val="TableText"/>
            </w:pPr>
            <w:r>
              <w:t>1 Jan</w:t>
            </w:r>
            <w:r w:rsidR="00664F0E">
              <w:t>uary</w:t>
            </w:r>
            <w:r>
              <w:t xml:space="preserve"> 2012 – 30 Jun</w:t>
            </w:r>
            <w:r w:rsidR="00664F0E">
              <w:t>e</w:t>
            </w:r>
            <w:r>
              <w:t xml:space="preserve"> 2013</w:t>
            </w:r>
          </w:p>
        </w:tc>
      </w:tr>
      <w:tr w:rsidR="008B582D" w14:paraId="67824909" w14:textId="77777777" w:rsidTr="00664F0E">
        <w:trPr>
          <w:trHeight w:val="20"/>
        </w:trPr>
        <w:tc>
          <w:tcPr>
            <w:tcW w:w="4460" w:type="dxa"/>
            <w:noWrap/>
            <w:hideMark/>
          </w:tcPr>
          <w:p w14:paraId="3E80EC21" w14:textId="77777777" w:rsidR="008B582D" w:rsidRDefault="008B582D" w:rsidP="008B582D">
            <w:pPr>
              <w:pStyle w:val="TableText"/>
            </w:pPr>
            <w:r>
              <w:t>Finance and Administration Manager (current)</w:t>
            </w:r>
          </w:p>
        </w:tc>
        <w:tc>
          <w:tcPr>
            <w:tcW w:w="3210" w:type="dxa"/>
            <w:noWrap/>
            <w:hideMark/>
          </w:tcPr>
          <w:p w14:paraId="72EF75AC" w14:textId="1642855D" w:rsidR="008B582D" w:rsidRPr="00F9294D" w:rsidRDefault="008B582D" w:rsidP="008B582D">
            <w:pPr>
              <w:pStyle w:val="TableText"/>
              <w:rPr>
                <w:i/>
              </w:rPr>
            </w:pPr>
            <w:r>
              <w:t>1 Jul</w:t>
            </w:r>
            <w:r w:rsidR="00664F0E">
              <w:t>y</w:t>
            </w:r>
            <w:r>
              <w:t xml:space="preserve"> 2013 </w:t>
            </w:r>
            <w:r w:rsidRPr="00F9294D">
              <w:t xml:space="preserve">– </w:t>
            </w:r>
            <w:r w:rsidRPr="00664F0E">
              <w:rPr>
                <w:i/>
              </w:rPr>
              <w:t>30 July 2017</w:t>
            </w:r>
            <w:r w:rsidR="00664F0E">
              <w:rPr>
                <w:i/>
              </w:rPr>
              <w:t xml:space="preserve"> (est)</w:t>
            </w:r>
          </w:p>
        </w:tc>
      </w:tr>
      <w:tr w:rsidR="008B582D" w14:paraId="236E2F95" w14:textId="77777777" w:rsidTr="00664F0E">
        <w:trPr>
          <w:trHeight w:val="20"/>
        </w:trPr>
        <w:tc>
          <w:tcPr>
            <w:tcW w:w="4460" w:type="dxa"/>
            <w:noWrap/>
            <w:hideMark/>
          </w:tcPr>
          <w:p w14:paraId="0C38BA5C" w14:textId="77777777" w:rsidR="008B582D" w:rsidRDefault="008B582D" w:rsidP="008B582D">
            <w:pPr>
              <w:pStyle w:val="TableText"/>
            </w:pPr>
            <w:r>
              <w:t>Program Manager (former)</w:t>
            </w:r>
          </w:p>
        </w:tc>
        <w:tc>
          <w:tcPr>
            <w:tcW w:w="3210" w:type="dxa"/>
            <w:noWrap/>
            <w:hideMark/>
          </w:tcPr>
          <w:p w14:paraId="775217F6" w14:textId="27D19407" w:rsidR="008B582D" w:rsidRDefault="008B582D" w:rsidP="008B582D">
            <w:pPr>
              <w:pStyle w:val="TableText"/>
            </w:pPr>
            <w:r>
              <w:t>1 Jul</w:t>
            </w:r>
            <w:r w:rsidR="00664F0E">
              <w:t>y</w:t>
            </w:r>
            <w:r>
              <w:t xml:space="preserve"> – 16 Dec</w:t>
            </w:r>
            <w:r w:rsidR="00427ADC">
              <w:t>ember</w:t>
            </w:r>
            <w:r>
              <w:t xml:space="preserve"> 2014</w:t>
            </w:r>
          </w:p>
        </w:tc>
      </w:tr>
      <w:tr w:rsidR="008B582D" w14:paraId="7E5D3802" w14:textId="77777777" w:rsidTr="00664F0E">
        <w:trPr>
          <w:trHeight w:val="20"/>
        </w:trPr>
        <w:tc>
          <w:tcPr>
            <w:tcW w:w="4460" w:type="dxa"/>
            <w:noWrap/>
            <w:hideMark/>
          </w:tcPr>
          <w:p w14:paraId="55241A4E" w14:textId="77777777" w:rsidR="008B582D" w:rsidRDefault="008B582D" w:rsidP="008B582D">
            <w:pPr>
              <w:pStyle w:val="TableText"/>
            </w:pPr>
            <w:r>
              <w:t>Program Manager (current)</w:t>
            </w:r>
          </w:p>
        </w:tc>
        <w:tc>
          <w:tcPr>
            <w:tcW w:w="3210" w:type="dxa"/>
            <w:noWrap/>
            <w:hideMark/>
          </w:tcPr>
          <w:p w14:paraId="6511FE7F" w14:textId="74C3AE92" w:rsidR="008B582D" w:rsidRDefault="008B582D" w:rsidP="008B582D">
            <w:pPr>
              <w:pStyle w:val="TableText"/>
            </w:pPr>
            <w:r>
              <w:t>1 Jul</w:t>
            </w:r>
            <w:r w:rsidR="00664F0E">
              <w:t>y</w:t>
            </w:r>
            <w:r>
              <w:t xml:space="preserve"> 2015 – </w:t>
            </w:r>
            <w:r w:rsidRPr="00664F0E">
              <w:rPr>
                <w:i/>
              </w:rPr>
              <w:t>30 Sep</w:t>
            </w:r>
            <w:r w:rsidR="00664F0E" w:rsidRPr="00664F0E">
              <w:rPr>
                <w:i/>
              </w:rPr>
              <w:t>tember</w:t>
            </w:r>
            <w:r w:rsidRPr="00664F0E">
              <w:rPr>
                <w:i/>
              </w:rPr>
              <w:t xml:space="preserve"> 2016</w:t>
            </w:r>
            <w:r w:rsidR="00664F0E">
              <w:rPr>
                <w:i/>
              </w:rPr>
              <w:t xml:space="preserve"> (est)</w:t>
            </w:r>
          </w:p>
        </w:tc>
      </w:tr>
      <w:tr w:rsidR="008B582D" w14:paraId="02135EE1" w14:textId="77777777" w:rsidTr="00664F0E">
        <w:trPr>
          <w:trHeight w:val="20"/>
        </w:trPr>
        <w:tc>
          <w:tcPr>
            <w:tcW w:w="4460" w:type="dxa"/>
            <w:noWrap/>
            <w:hideMark/>
          </w:tcPr>
          <w:p w14:paraId="593A97D1" w14:textId="77777777" w:rsidR="008B582D" w:rsidRDefault="008B582D" w:rsidP="008B582D">
            <w:pPr>
              <w:pStyle w:val="TableText"/>
            </w:pPr>
            <w:r>
              <w:t xml:space="preserve">Water Supply Systems Technical Coordinator </w:t>
            </w:r>
          </w:p>
        </w:tc>
        <w:tc>
          <w:tcPr>
            <w:tcW w:w="3210" w:type="dxa"/>
            <w:noWrap/>
            <w:hideMark/>
          </w:tcPr>
          <w:p w14:paraId="37DF06C4" w14:textId="5599F09E" w:rsidR="008B582D" w:rsidRDefault="008B582D" w:rsidP="008B582D">
            <w:pPr>
              <w:pStyle w:val="TableText"/>
            </w:pPr>
            <w:r>
              <w:t>10 May – 16 Dec</w:t>
            </w:r>
            <w:r w:rsidR="00664F0E">
              <w:t>ember</w:t>
            </w:r>
            <w:r>
              <w:t xml:space="preserve"> 2014</w:t>
            </w:r>
          </w:p>
        </w:tc>
      </w:tr>
      <w:tr w:rsidR="008B582D" w14:paraId="13A1C7B8" w14:textId="77777777" w:rsidTr="00664F0E">
        <w:trPr>
          <w:trHeight w:val="20"/>
        </w:trPr>
        <w:tc>
          <w:tcPr>
            <w:tcW w:w="4460" w:type="dxa"/>
            <w:noWrap/>
            <w:hideMark/>
          </w:tcPr>
          <w:p w14:paraId="3C2B90C4" w14:textId="77777777" w:rsidR="008B582D" w:rsidRDefault="008B582D" w:rsidP="008B582D">
            <w:pPr>
              <w:pStyle w:val="TableText"/>
            </w:pPr>
            <w:r>
              <w:t>Procurement advisor</w:t>
            </w:r>
          </w:p>
        </w:tc>
        <w:tc>
          <w:tcPr>
            <w:tcW w:w="3210" w:type="dxa"/>
            <w:noWrap/>
            <w:hideMark/>
          </w:tcPr>
          <w:p w14:paraId="6E5D7D6E" w14:textId="100FEC4E" w:rsidR="008B582D" w:rsidRDefault="008B582D" w:rsidP="008B582D">
            <w:pPr>
              <w:pStyle w:val="TableText"/>
            </w:pPr>
            <w:r>
              <w:t>23 Jul</w:t>
            </w:r>
            <w:r w:rsidR="00664F0E">
              <w:t>y</w:t>
            </w:r>
            <w:r>
              <w:t xml:space="preserve"> 2013 – 2 Jun</w:t>
            </w:r>
            <w:r w:rsidR="00664F0E">
              <w:t>e</w:t>
            </w:r>
            <w:r>
              <w:t xml:space="preserve"> 2015</w:t>
            </w:r>
          </w:p>
        </w:tc>
      </w:tr>
      <w:tr w:rsidR="008B582D" w14:paraId="7CD665BB" w14:textId="77777777" w:rsidTr="00664F0E">
        <w:trPr>
          <w:trHeight w:val="20"/>
        </w:trPr>
        <w:tc>
          <w:tcPr>
            <w:tcW w:w="4460" w:type="dxa"/>
            <w:noWrap/>
            <w:hideMark/>
          </w:tcPr>
          <w:p w14:paraId="4077A0C1" w14:textId="77777777" w:rsidR="008B582D" w:rsidRDefault="008B582D" w:rsidP="008B582D">
            <w:pPr>
              <w:pStyle w:val="TableText"/>
            </w:pPr>
            <w:r>
              <w:t>Water Supply Operations advisor</w:t>
            </w:r>
          </w:p>
        </w:tc>
        <w:tc>
          <w:tcPr>
            <w:tcW w:w="3210" w:type="dxa"/>
            <w:noWrap/>
            <w:hideMark/>
          </w:tcPr>
          <w:p w14:paraId="485EEDD2" w14:textId="77777777" w:rsidR="008B582D" w:rsidRDefault="008B582D" w:rsidP="008B582D">
            <w:pPr>
              <w:pStyle w:val="TableText"/>
            </w:pPr>
            <w:r>
              <w:t>29 Sep 2014 – 30 Jun 2015</w:t>
            </w:r>
          </w:p>
        </w:tc>
      </w:tr>
      <w:tr w:rsidR="008B582D" w14:paraId="34CB8CA6" w14:textId="77777777" w:rsidTr="00664F0E">
        <w:trPr>
          <w:trHeight w:val="20"/>
        </w:trPr>
        <w:tc>
          <w:tcPr>
            <w:tcW w:w="4460" w:type="dxa"/>
            <w:noWrap/>
            <w:hideMark/>
          </w:tcPr>
          <w:p w14:paraId="4809ABF9" w14:textId="77777777" w:rsidR="008B582D" w:rsidRDefault="008B582D" w:rsidP="008B582D">
            <w:pPr>
              <w:pStyle w:val="TableText"/>
            </w:pPr>
            <w:r>
              <w:t>Water Supply Maintenance advisor</w:t>
            </w:r>
          </w:p>
        </w:tc>
        <w:tc>
          <w:tcPr>
            <w:tcW w:w="3210" w:type="dxa"/>
            <w:noWrap/>
            <w:hideMark/>
          </w:tcPr>
          <w:p w14:paraId="36173EA8" w14:textId="251D10FD" w:rsidR="008B582D" w:rsidRDefault="008B582D" w:rsidP="008B582D">
            <w:pPr>
              <w:pStyle w:val="TableText"/>
            </w:pPr>
            <w:r>
              <w:t xml:space="preserve">27 Nov 2014 </w:t>
            </w:r>
            <w:r w:rsidRPr="00F9294D">
              <w:t xml:space="preserve">– </w:t>
            </w:r>
            <w:r w:rsidRPr="00664F0E">
              <w:rPr>
                <w:i/>
              </w:rPr>
              <w:t>31 May 2017</w:t>
            </w:r>
            <w:r w:rsidR="00664F0E">
              <w:rPr>
                <w:i/>
              </w:rPr>
              <w:t xml:space="preserve"> (est)</w:t>
            </w:r>
          </w:p>
        </w:tc>
      </w:tr>
    </w:tbl>
    <w:p w14:paraId="2E28A224" w14:textId="77777777" w:rsidR="00427ADC" w:rsidRDefault="00427ADC" w:rsidP="003B4077"/>
    <w:p w14:paraId="085ED8C7" w14:textId="6E12AD53" w:rsidR="003B4077" w:rsidRPr="003B4077" w:rsidRDefault="003B4077" w:rsidP="003B4077">
      <w:r w:rsidRPr="003B4077">
        <w:t xml:space="preserve">The purpose of Australia’s support is to provide a safe and reliable water supply service to an increased share of the population in </w:t>
      </w:r>
      <w:r w:rsidR="00A17583">
        <w:t xml:space="preserve">Solomon Water’s </w:t>
      </w:r>
      <w:r w:rsidRPr="003B4077">
        <w:t>current service areas, based on a sound financial position. The key desired outcome areas are:</w:t>
      </w:r>
    </w:p>
    <w:p w14:paraId="39AF0C01" w14:textId="77777777" w:rsidR="003B4077" w:rsidRDefault="003B4077" w:rsidP="00F57A5D">
      <w:pPr>
        <w:pStyle w:val="ColorfulList-Accent11"/>
        <w:numPr>
          <w:ilvl w:val="0"/>
          <w:numId w:val="14"/>
        </w:numPr>
        <w:spacing w:before="0" w:after="200" w:line="276" w:lineRule="auto"/>
        <w:ind w:left="1077" w:hanging="357"/>
      </w:pPr>
      <w:r>
        <w:t>improved levels of service for water supply;</w:t>
      </w:r>
    </w:p>
    <w:p w14:paraId="0B6C67AB" w14:textId="77777777" w:rsidR="003B4077" w:rsidRDefault="003B4077" w:rsidP="00F57A5D">
      <w:pPr>
        <w:pStyle w:val="ColorfulList-Accent11"/>
        <w:numPr>
          <w:ilvl w:val="0"/>
          <w:numId w:val="14"/>
        </w:numPr>
        <w:spacing w:before="0" w:after="200" w:line="276" w:lineRule="auto"/>
        <w:ind w:left="1077" w:hanging="357"/>
      </w:pPr>
      <w:r>
        <w:t>improved customer care and communications;</w:t>
      </w:r>
    </w:p>
    <w:p w14:paraId="58D1D4C6" w14:textId="77777777" w:rsidR="003B4077" w:rsidRDefault="003B4077" w:rsidP="00F57A5D">
      <w:pPr>
        <w:pStyle w:val="ColorfulList-Accent11"/>
        <w:numPr>
          <w:ilvl w:val="0"/>
          <w:numId w:val="14"/>
        </w:numPr>
        <w:spacing w:before="0" w:after="200" w:line="276" w:lineRule="auto"/>
        <w:ind w:left="1077" w:hanging="357"/>
      </w:pPr>
      <w:r>
        <w:t>improved organisational capacity;</w:t>
      </w:r>
    </w:p>
    <w:p w14:paraId="04DC9EFA" w14:textId="77777777" w:rsidR="003B4077" w:rsidRDefault="003B4077" w:rsidP="00F57A5D">
      <w:pPr>
        <w:pStyle w:val="ColorfulList-Accent11"/>
        <w:numPr>
          <w:ilvl w:val="0"/>
          <w:numId w:val="14"/>
        </w:numPr>
        <w:spacing w:before="0" w:after="200" w:line="276" w:lineRule="auto"/>
        <w:ind w:left="1077" w:hanging="357"/>
      </w:pPr>
      <w:r>
        <w:t>strengthened financial management and administration; and</w:t>
      </w:r>
    </w:p>
    <w:p w14:paraId="1ECB97A4" w14:textId="77777777" w:rsidR="003B4077" w:rsidRPr="00921B1B" w:rsidRDefault="003B4077" w:rsidP="00F57A5D">
      <w:pPr>
        <w:pStyle w:val="ColorfulList-Accent11"/>
        <w:numPr>
          <w:ilvl w:val="0"/>
          <w:numId w:val="14"/>
        </w:numPr>
        <w:spacing w:before="0" w:after="200" w:line="276" w:lineRule="auto"/>
        <w:contextualSpacing w:val="0"/>
      </w:pPr>
      <w:r>
        <w:t>improved strategic planning.</w:t>
      </w:r>
      <w:r w:rsidRPr="00921B1B">
        <w:t xml:space="preserve"> </w:t>
      </w:r>
    </w:p>
    <w:p w14:paraId="0385389C" w14:textId="32B73760" w:rsidR="003B4077" w:rsidRPr="003B4077" w:rsidRDefault="003B4077" w:rsidP="003B4077">
      <w:r>
        <w:t xml:space="preserve">The Development Plan was initially intended to be completed by June 2015. However, delays in procurement and expenditure early in the Development Plan’s implementation, as well as unexpected vacancies in </w:t>
      </w:r>
      <w:r w:rsidR="007070C9">
        <w:t>Solomon Water</w:t>
      </w:r>
      <w:r>
        <w:t>’s General Manager and Program Manager positions, meant that the Plan was</w:t>
      </w:r>
      <w:r w:rsidR="00C22710">
        <w:t xml:space="preserve"> not</w:t>
      </w:r>
      <w:r>
        <w:t xml:space="preserve"> fully delivered on time. As a result, in March 2015, </w:t>
      </w:r>
      <w:r w:rsidR="007070C9">
        <w:t>Solomon Water</w:t>
      </w:r>
      <w:r>
        <w:t xml:space="preserve"> and Australia agreed to extend the Development Plan until December 2016, with a deferral of Australia’s final funding commitment to 2016 to support the extension.</w:t>
      </w:r>
      <w:r w:rsidR="00B7317F">
        <w:t xml:space="preserve"> In May 2016, Solomon Water and Australia agreed to further extend the Development Plan until June 2017, to enable the completion of some major reservoir works.</w:t>
      </w:r>
    </w:p>
    <w:p w14:paraId="28D97DD5" w14:textId="1CA3E214" w:rsidR="0049094C" w:rsidRDefault="003B4077" w:rsidP="00A17583">
      <w:r>
        <w:t>With Australian support, S</w:t>
      </w:r>
      <w:r w:rsidR="00A17583">
        <w:t xml:space="preserve">olomon Water </w:t>
      </w:r>
      <w:r w:rsidR="00ED1E54">
        <w:t>will develop a 30</w:t>
      </w:r>
      <w:r>
        <w:t>-year Sewerage and Water Strategic Plan with an associated Five-Year Action Plan (5YAP) to replace the Development Plan from 2017 onwards</w:t>
      </w:r>
      <w:r w:rsidR="002E6A1C">
        <w:t>, underpinned by a Tariff Review</w:t>
      </w:r>
      <w:r>
        <w:t xml:space="preserve">. </w:t>
      </w:r>
      <w:r w:rsidR="00A756D7">
        <w:t>D</w:t>
      </w:r>
      <w:r>
        <w:t>onor support will be needed to implement the 5YAP.</w:t>
      </w:r>
      <w:r w:rsidR="00A17583">
        <w:t xml:space="preserve"> T</w:t>
      </w:r>
      <w:r w:rsidR="0049094C">
        <w:t xml:space="preserve">he </w:t>
      </w:r>
      <w:r w:rsidR="00077BEB">
        <w:t>EU</w:t>
      </w:r>
      <w:r w:rsidR="0049094C">
        <w:t xml:space="preserve"> is considering a significant package of budget support for the Solomon Islands water sector, which </w:t>
      </w:r>
      <w:r w:rsidR="00CE5E38">
        <w:t xml:space="preserve">could </w:t>
      </w:r>
      <w:r w:rsidR="0049094C">
        <w:t xml:space="preserve">include Solomon Water </w:t>
      </w:r>
      <w:r w:rsidR="004F3461">
        <w:t xml:space="preserve">as a primary implementing partner. The scope and nature of support is expected to be decided in 2017, </w:t>
      </w:r>
      <w:r w:rsidR="0049094C">
        <w:t>and commence in early 2018.</w:t>
      </w:r>
    </w:p>
    <w:p w14:paraId="3ABD20F5" w14:textId="77777777" w:rsidR="00AA017A" w:rsidRDefault="00D63EF3" w:rsidP="00A63277">
      <w:pPr>
        <w:pStyle w:val="Heading2"/>
        <w:rPr>
          <w:noProof/>
        </w:rPr>
      </w:pPr>
      <w:bookmarkStart w:id="9" w:name="_Toc453955982"/>
      <w:r>
        <w:rPr>
          <w:noProof/>
        </w:rPr>
        <w:lastRenderedPageBreak/>
        <w:t>1.2</w:t>
      </w:r>
      <w:r>
        <w:rPr>
          <w:noProof/>
        </w:rPr>
        <w:tab/>
      </w:r>
      <w:r w:rsidR="00AA017A">
        <w:rPr>
          <w:noProof/>
        </w:rPr>
        <w:t>Purpose and scope</w:t>
      </w:r>
      <w:bookmarkEnd w:id="9"/>
    </w:p>
    <w:p w14:paraId="7495F831" w14:textId="2A19940E" w:rsidR="003B4077" w:rsidRPr="00396BBA" w:rsidRDefault="003B4077" w:rsidP="00645BD0">
      <w:r w:rsidRPr="00645BD0">
        <w:t>Th</w:t>
      </w:r>
      <w:r w:rsidR="00E00A2D">
        <w:t>is</w:t>
      </w:r>
      <w:r w:rsidR="00645BD0" w:rsidRPr="00645BD0">
        <w:t xml:space="preserve"> evaluation </w:t>
      </w:r>
      <w:r w:rsidRPr="00645BD0">
        <w:t>assess</w:t>
      </w:r>
      <w:r w:rsidR="00E00A2D">
        <w:t>es</w:t>
      </w:r>
      <w:r>
        <w:t xml:space="preserve"> </w:t>
      </w:r>
      <w:r w:rsidR="00645BD0">
        <w:t xml:space="preserve">the </w:t>
      </w:r>
      <w:r>
        <w:t>overall program performance of the Development Plan (2013–201</w:t>
      </w:r>
      <w:r w:rsidR="004C6B1E">
        <w:t>7</w:t>
      </w:r>
      <w:r>
        <w:t>) and DFAT’s support for its implementation (direct support to S</w:t>
      </w:r>
      <w:r w:rsidR="00A17583">
        <w:t xml:space="preserve">olomon Water </w:t>
      </w:r>
      <w:r>
        <w:t>and technical assistance through the SIRF). This evaluation has a two-fold purpose:</w:t>
      </w:r>
    </w:p>
    <w:p w14:paraId="385F6ECE" w14:textId="6F218EF9" w:rsidR="003B4077" w:rsidRPr="00396BBA" w:rsidRDefault="003B4077" w:rsidP="002509F3">
      <w:pPr>
        <w:spacing w:after="0"/>
        <w:ind w:left="426" w:hanging="426"/>
      </w:pPr>
      <w:r w:rsidRPr="00396BBA">
        <w:t xml:space="preserve">a) </w:t>
      </w:r>
      <w:r w:rsidR="002509F3">
        <w:tab/>
      </w:r>
      <w:r>
        <w:t>Program assessment</w:t>
      </w:r>
      <w:r w:rsidR="002509F3">
        <w:t>:</w:t>
      </w:r>
    </w:p>
    <w:p w14:paraId="402AAA2E" w14:textId="56931FC1" w:rsidR="003B4077" w:rsidRDefault="003B4077" w:rsidP="002509F3">
      <w:pPr>
        <w:pStyle w:val="Bullet"/>
        <w:ind w:left="851"/>
      </w:pPr>
      <w:r>
        <w:t>To e</w:t>
      </w:r>
      <w:r w:rsidRPr="00396BBA">
        <w:t>va</w:t>
      </w:r>
      <w:r>
        <w:t>luate the program and the extent to which DFAT</w:t>
      </w:r>
      <w:r w:rsidRPr="00396BBA">
        <w:t xml:space="preserve"> funding has enabled </w:t>
      </w:r>
      <w:r w:rsidR="007070C9">
        <w:t>Solomon Water</w:t>
      </w:r>
      <w:r w:rsidRPr="00396BBA">
        <w:t xml:space="preserve"> to achieve its objectives </w:t>
      </w:r>
      <w:r>
        <w:t>under the Development Plan.</w:t>
      </w:r>
    </w:p>
    <w:p w14:paraId="3FCF7C48" w14:textId="093DD205" w:rsidR="003B4077" w:rsidRPr="00396BBA" w:rsidRDefault="003B4077" w:rsidP="002509F3">
      <w:pPr>
        <w:spacing w:after="0"/>
        <w:ind w:left="426" w:hanging="426"/>
      </w:pPr>
      <w:r w:rsidRPr="00396BBA">
        <w:t xml:space="preserve">b) </w:t>
      </w:r>
      <w:r w:rsidR="002509F3">
        <w:tab/>
      </w:r>
      <w:r>
        <w:t>Program improvement</w:t>
      </w:r>
      <w:r w:rsidR="002509F3">
        <w:t>:</w:t>
      </w:r>
      <w:r w:rsidRPr="00396BBA">
        <w:t xml:space="preserve"> </w:t>
      </w:r>
    </w:p>
    <w:p w14:paraId="15DF9A45" w14:textId="77777777" w:rsidR="003B4077" w:rsidRPr="00396BBA" w:rsidRDefault="003B4077" w:rsidP="002509F3">
      <w:pPr>
        <w:pStyle w:val="Bullet"/>
        <w:ind w:left="851"/>
      </w:pPr>
      <w:r>
        <w:t>To r</w:t>
      </w:r>
      <w:r w:rsidRPr="00396BBA">
        <w:t xml:space="preserve">eview lessons that the </w:t>
      </w:r>
      <w:r>
        <w:t>p</w:t>
      </w:r>
      <w:r w:rsidRPr="00396BBA">
        <w:t>rogram has learnt</w:t>
      </w:r>
      <w:r>
        <w:t>,</w:t>
      </w:r>
      <w:r w:rsidRPr="00396BBA">
        <w:t xml:space="preserve"> which can be useful in further improving the </w:t>
      </w:r>
      <w:r>
        <w:t>p</w:t>
      </w:r>
      <w:r w:rsidRPr="00396BBA">
        <w:t>rogram</w:t>
      </w:r>
      <w:r w:rsidR="0049094C">
        <w:t xml:space="preserve"> and </w:t>
      </w:r>
      <w:r w:rsidR="007070C9">
        <w:t>Solomon Water</w:t>
      </w:r>
      <w:r w:rsidR="0049094C">
        <w:t>’s service delivery</w:t>
      </w:r>
      <w:r>
        <w:t>.</w:t>
      </w:r>
    </w:p>
    <w:p w14:paraId="3E2E00D0" w14:textId="77777777" w:rsidR="003B4077" w:rsidRDefault="003B4077" w:rsidP="002509F3">
      <w:pPr>
        <w:pStyle w:val="BulletLast"/>
        <w:ind w:left="851"/>
      </w:pPr>
      <w:r>
        <w:t>To c</w:t>
      </w:r>
      <w:r w:rsidRPr="00396BBA">
        <w:t xml:space="preserve">onfirm the </w:t>
      </w:r>
      <w:r>
        <w:t>p</w:t>
      </w:r>
      <w:r w:rsidRPr="00396BBA">
        <w:t xml:space="preserve">rogram’s relevance to </w:t>
      </w:r>
      <w:r>
        <w:t>SIG’s strategy and DFAT’s</w:t>
      </w:r>
      <w:r w:rsidRPr="00396BBA">
        <w:t xml:space="preserve"> prio</w:t>
      </w:r>
      <w:r>
        <w:t>rities</w:t>
      </w:r>
      <w:r w:rsidRPr="00396BBA">
        <w:t xml:space="preserve"> and recommend strategies </w:t>
      </w:r>
      <w:r w:rsidR="00077BEB" w:rsidRPr="00077BEB">
        <w:t xml:space="preserve">for DFAT to support </w:t>
      </w:r>
      <w:r w:rsidR="007070C9">
        <w:t>Solomon Water</w:t>
      </w:r>
      <w:r w:rsidR="00077BEB" w:rsidRPr="00077BEB">
        <w:t>’s transition to longer term EU support</w:t>
      </w:r>
      <w:r w:rsidRPr="00396BBA">
        <w:t>.</w:t>
      </w:r>
    </w:p>
    <w:p w14:paraId="05E20ACD" w14:textId="77777777" w:rsidR="00720B66" w:rsidRDefault="00720B66" w:rsidP="00720B66">
      <w:r>
        <w:t xml:space="preserve">This evaluation will be used to inform DFAT Honiara, </w:t>
      </w:r>
      <w:r w:rsidR="006179AA">
        <w:t xml:space="preserve">Solomon Water Board and </w:t>
      </w:r>
      <w:r>
        <w:t>management</w:t>
      </w:r>
      <w:r w:rsidR="006179AA">
        <w:t>,</w:t>
      </w:r>
      <w:r>
        <w:t xml:space="preserve"> and relevant SIG ministries of </w:t>
      </w:r>
      <w:r w:rsidR="006179AA">
        <w:t xml:space="preserve">Solomon Water’s </w:t>
      </w:r>
      <w:r>
        <w:t>progress through the implementation of the Development Plan. It provide</w:t>
      </w:r>
      <w:r w:rsidR="00360E55">
        <w:t>s</w:t>
      </w:r>
      <w:r>
        <w:t xml:space="preserve"> evidence</w:t>
      </w:r>
      <w:r>
        <w:noBreakHyphen/>
        <w:t>based findings to guide</w:t>
      </w:r>
      <w:r w:rsidRPr="001A7DB1">
        <w:t xml:space="preserve"> </w:t>
      </w:r>
      <w:r>
        <w:t xml:space="preserve">DFAT Honiara and </w:t>
      </w:r>
      <w:r w:rsidR="006179AA">
        <w:t xml:space="preserve">Solomon Water </w:t>
      </w:r>
      <w:r>
        <w:t xml:space="preserve">in the final stages of implementation of the Development Plan. </w:t>
      </w:r>
    </w:p>
    <w:p w14:paraId="60EE9DDF" w14:textId="77777777" w:rsidR="003B4077" w:rsidRDefault="003B4077" w:rsidP="00645BD0">
      <w:r>
        <w:t>The evaluation limit</w:t>
      </w:r>
      <w:r w:rsidR="002D022D">
        <w:t>ed</w:t>
      </w:r>
      <w:r>
        <w:t xml:space="preserve"> its scope to activities implemented under the </w:t>
      </w:r>
      <w:r w:rsidR="006179AA">
        <w:t xml:space="preserve">Solomon Water </w:t>
      </w:r>
      <w:r>
        <w:t>Development Plan since 2013</w:t>
      </w:r>
      <w:r w:rsidR="00852D66">
        <w:t xml:space="preserve">. </w:t>
      </w:r>
      <w:r>
        <w:t xml:space="preserve">This includes the design, performance and management of technical assistance. </w:t>
      </w:r>
      <w:r w:rsidR="001E52D5">
        <w:t>T</w:t>
      </w:r>
      <w:r>
        <w:t>h</w:t>
      </w:r>
      <w:r w:rsidR="001E52D5">
        <w:t xml:space="preserve">is report </w:t>
      </w:r>
      <w:r>
        <w:t>also provide</w:t>
      </w:r>
      <w:r w:rsidR="001E52D5">
        <w:t>s</w:t>
      </w:r>
      <w:r>
        <w:t xml:space="preserve"> future</w:t>
      </w:r>
      <w:r>
        <w:noBreakHyphen/>
        <w:t>looking recommendations based on the evaluation’s findings.</w:t>
      </w:r>
    </w:p>
    <w:p w14:paraId="3D2B5D36" w14:textId="77777777" w:rsidR="00AA017A" w:rsidRDefault="00D63EF3" w:rsidP="000A3C6B">
      <w:pPr>
        <w:pStyle w:val="Heading2"/>
      </w:pPr>
      <w:bookmarkStart w:id="10" w:name="_Toc453955983"/>
      <w:r>
        <w:t>1.3</w:t>
      </w:r>
      <w:r>
        <w:tab/>
      </w:r>
      <w:r w:rsidR="00AA017A">
        <w:t>Evaluation questions</w:t>
      </w:r>
      <w:bookmarkEnd w:id="10"/>
    </w:p>
    <w:p w14:paraId="43A3BB5B" w14:textId="7B93CCE2" w:rsidR="003B4077" w:rsidRDefault="009F6AD1" w:rsidP="003B4077">
      <w:r w:rsidRPr="0039203F">
        <w:rPr>
          <w:szCs w:val="21"/>
        </w:rPr>
        <w:t xml:space="preserve">The terms of reference for the </w:t>
      </w:r>
      <w:r>
        <w:rPr>
          <w:szCs w:val="21"/>
        </w:rPr>
        <w:t xml:space="preserve">evaluation </w:t>
      </w:r>
      <w:r w:rsidRPr="0039203F">
        <w:rPr>
          <w:szCs w:val="21"/>
        </w:rPr>
        <w:t>are at Appendix A</w:t>
      </w:r>
      <w:r>
        <w:rPr>
          <w:szCs w:val="21"/>
        </w:rPr>
        <w:t xml:space="preserve">. </w:t>
      </w:r>
      <w:r w:rsidR="003B4077">
        <w:t xml:space="preserve">The following questions </w:t>
      </w:r>
      <w:r w:rsidR="001E52D5">
        <w:t>g</w:t>
      </w:r>
      <w:r w:rsidR="003B4077">
        <w:t>uide</w:t>
      </w:r>
      <w:r w:rsidR="001E52D5">
        <w:t>d</w:t>
      </w:r>
      <w:r w:rsidR="003B4077">
        <w:t xml:space="preserve"> the evaluation</w:t>
      </w:r>
      <w:r w:rsidR="00D15497">
        <w:rPr>
          <w:rStyle w:val="FootnoteReference"/>
        </w:rPr>
        <w:footnoteReference w:id="1"/>
      </w:r>
      <w:r w:rsidR="003B4077">
        <w:t>.</w:t>
      </w:r>
    </w:p>
    <w:p w14:paraId="7B576A9F" w14:textId="77777777" w:rsidR="003B4077" w:rsidRPr="00532E5F" w:rsidRDefault="003B4077" w:rsidP="003B4077">
      <w:pPr>
        <w:rPr>
          <w:i/>
        </w:rPr>
      </w:pPr>
      <w:r w:rsidRPr="00532E5F">
        <w:rPr>
          <w:i/>
        </w:rPr>
        <w:t>First priority</w:t>
      </w:r>
    </w:p>
    <w:p w14:paraId="63A24A6C" w14:textId="2F74B35D" w:rsidR="003B4077" w:rsidRDefault="009F6AD1" w:rsidP="009F6AD1">
      <w:pPr>
        <w:spacing w:after="0"/>
        <w:ind w:left="426" w:hanging="426"/>
      </w:pPr>
      <w:r>
        <w:t>a)</w:t>
      </w:r>
      <w:r>
        <w:tab/>
      </w:r>
      <w:r w:rsidR="003B4077">
        <w:t xml:space="preserve">To what extent have the </w:t>
      </w:r>
      <w:r w:rsidR="003B4077" w:rsidRPr="00B56E5A">
        <w:rPr>
          <w:b/>
        </w:rPr>
        <w:t>objectives</w:t>
      </w:r>
      <w:r w:rsidR="003B4077">
        <w:t xml:space="preserve"> of the Development Plan, and of DFAT’s support for its implementation, been achieved? Do they still correspond to the SIG’s medium and long term development policies and priorities? Does the program of support align with DFAT’s priorities in the Solomon Islands Aid Investment Plan (2015), such as economic growth, private sector development, human development and gender equality?</w:t>
      </w:r>
    </w:p>
    <w:p w14:paraId="640E0A64" w14:textId="095A2A23" w:rsidR="009B3C15" w:rsidRDefault="009F6AD1" w:rsidP="009F6AD1">
      <w:pPr>
        <w:spacing w:after="0"/>
        <w:ind w:left="426" w:hanging="426"/>
      </w:pPr>
      <w:r>
        <w:t>b)</w:t>
      </w:r>
      <w:r>
        <w:tab/>
      </w:r>
      <w:r w:rsidR="009B3C15">
        <w:t xml:space="preserve">How effective, efficient and well-managed were DFAT’s </w:t>
      </w:r>
      <w:r w:rsidR="009B3C15" w:rsidRPr="009B3C15">
        <w:rPr>
          <w:b/>
        </w:rPr>
        <w:t>funding and support modalities</w:t>
      </w:r>
      <w:r w:rsidR="009B3C15" w:rsidRPr="00B56E5A">
        <w:t xml:space="preserve"> </w:t>
      </w:r>
      <w:r w:rsidR="009B3C15">
        <w:t xml:space="preserve">for the </w:t>
      </w:r>
      <w:r w:rsidR="009B3C15" w:rsidRPr="009E7C03">
        <w:t>Development Plan</w:t>
      </w:r>
      <w:r w:rsidR="009B3C15">
        <w:t xml:space="preserve"> (direct support to </w:t>
      </w:r>
      <w:r w:rsidR="007070C9">
        <w:t>Solomon Water</w:t>
      </w:r>
      <w:r w:rsidR="009B3C15">
        <w:t xml:space="preserve"> and technical assistance)?  Did they produce the expected results? How can DFAT support </w:t>
      </w:r>
      <w:r w:rsidR="007070C9">
        <w:t>Solomon Water</w:t>
      </w:r>
      <w:r w:rsidR="009B3C15">
        <w:t xml:space="preserve"> to transition to longer term EU support in a way that: (1) protects the outcomes achieved since 2011—for both urban water supply and </w:t>
      </w:r>
      <w:r w:rsidR="007070C9">
        <w:t>Solomon Water</w:t>
      </w:r>
      <w:r w:rsidR="009B3C15">
        <w:t xml:space="preserve">’s organisational capacity; (2) prepares </w:t>
      </w:r>
      <w:r w:rsidR="007070C9">
        <w:t>Solomon Water</w:t>
      </w:r>
      <w:r w:rsidR="009B3C15">
        <w:t xml:space="preserve"> for transition to budget support that may not include technical assistance; and (3) protects DFAT’s reputation during the transition?</w:t>
      </w:r>
    </w:p>
    <w:p w14:paraId="09B19385" w14:textId="56EF925E" w:rsidR="003B4077" w:rsidRDefault="009F6AD1" w:rsidP="009F6AD1">
      <w:pPr>
        <w:spacing w:after="0"/>
        <w:ind w:left="426" w:hanging="426"/>
      </w:pPr>
      <w:r>
        <w:t>c)</w:t>
      </w:r>
      <w:r>
        <w:tab/>
      </w:r>
      <w:r w:rsidR="003B4077">
        <w:t xml:space="preserve">To what extent has implementation of the </w:t>
      </w:r>
      <w:r w:rsidR="003B4077" w:rsidRPr="009E7C03">
        <w:t xml:space="preserve">Development Plan </w:t>
      </w:r>
      <w:r w:rsidR="003B4077">
        <w:t xml:space="preserve">influenced the </w:t>
      </w:r>
      <w:r w:rsidR="003B4077" w:rsidRPr="00B56E5A">
        <w:rPr>
          <w:b/>
        </w:rPr>
        <w:t>organisational capacity</w:t>
      </w:r>
      <w:r w:rsidR="003B4077">
        <w:t xml:space="preserve"> of </w:t>
      </w:r>
      <w:r w:rsidR="007070C9">
        <w:t>Solomon Water</w:t>
      </w:r>
      <w:r w:rsidR="003B4077">
        <w:t xml:space="preserve">? What capacity issues </w:t>
      </w:r>
      <w:r w:rsidR="00715F14">
        <w:t xml:space="preserve">will </w:t>
      </w:r>
      <w:r w:rsidR="003B4077">
        <w:t>need to continue to be addressed beyond 2016?</w:t>
      </w:r>
    </w:p>
    <w:p w14:paraId="7C750C16" w14:textId="77777777" w:rsidR="003B4077" w:rsidRPr="00532E5F" w:rsidRDefault="003B4077" w:rsidP="003B4077">
      <w:r w:rsidRPr="003B4077">
        <w:rPr>
          <w:i/>
        </w:rPr>
        <w:lastRenderedPageBreak/>
        <w:t>Second</w:t>
      </w:r>
      <w:r w:rsidRPr="00532E5F">
        <w:t xml:space="preserve"> </w:t>
      </w:r>
      <w:r w:rsidRPr="003B4077">
        <w:rPr>
          <w:i/>
        </w:rPr>
        <w:t>priority</w:t>
      </w:r>
    </w:p>
    <w:p w14:paraId="315D9FBB" w14:textId="27DAAC7E" w:rsidR="000723EB" w:rsidRDefault="00D15497" w:rsidP="00D15497">
      <w:pPr>
        <w:spacing w:after="0"/>
        <w:ind w:left="426" w:hanging="426"/>
      </w:pPr>
      <w:r>
        <w:t>d)</w:t>
      </w:r>
      <w:r>
        <w:tab/>
      </w:r>
      <w:r w:rsidR="000723EB">
        <w:t xml:space="preserve">Did the Development Plan have the right </w:t>
      </w:r>
      <w:r w:rsidR="000723EB" w:rsidRPr="009227B7">
        <w:rPr>
          <w:b/>
        </w:rPr>
        <w:t>mix of projects and</w:t>
      </w:r>
      <w:r w:rsidR="000723EB">
        <w:t xml:space="preserve"> </w:t>
      </w:r>
      <w:r w:rsidR="000723EB" w:rsidRPr="00561801">
        <w:rPr>
          <w:b/>
        </w:rPr>
        <w:t>activities</w:t>
      </w:r>
      <w:r w:rsidR="000723EB">
        <w:rPr>
          <w:b/>
        </w:rPr>
        <w:t xml:space="preserve">, </w:t>
      </w:r>
      <w:r w:rsidR="000723EB">
        <w:t>supported by the right mix of short and long term advisers, to achieve its objectives? What caused delays to the implementation of the Development Plan, and have these been addressed where possible? Are risks being addressed? How might they be better managed in the future?</w:t>
      </w:r>
    </w:p>
    <w:p w14:paraId="6FC58699" w14:textId="7DAA0827" w:rsidR="003B4077" w:rsidRDefault="00D15497" w:rsidP="00D15497">
      <w:pPr>
        <w:spacing w:after="0"/>
        <w:ind w:left="426" w:hanging="426"/>
      </w:pPr>
      <w:r>
        <w:t>e)</w:t>
      </w:r>
      <w:r>
        <w:tab/>
      </w:r>
      <w:r w:rsidR="003B4077">
        <w:t xml:space="preserve">How </w:t>
      </w:r>
      <w:r w:rsidR="003B4077" w:rsidRPr="00561801">
        <w:rPr>
          <w:b/>
        </w:rPr>
        <w:t>sustainable</w:t>
      </w:r>
      <w:r w:rsidR="003B4077">
        <w:t xml:space="preserve"> are the Development Plan’s outcomes? What factors increased or decreased their sustainability? What would happen to </w:t>
      </w:r>
      <w:r w:rsidR="007070C9">
        <w:t>Solomon Water</w:t>
      </w:r>
      <w:r w:rsidR="003B4077">
        <w:t xml:space="preserve"> and Solomon Islands’ water supply services without donor funding and/or international technical assistance? How feasible are alternative sources of funding?</w:t>
      </w:r>
    </w:p>
    <w:p w14:paraId="07C9883B" w14:textId="285E286F" w:rsidR="001A06C5" w:rsidRDefault="00D15497" w:rsidP="00D15497">
      <w:pPr>
        <w:spacing w:after="0"/>
        <w:ind w:left="426" w:hanging="426"/>
      </w:pPr>
      <w:r>
        <w:t>f)</w:t>
      </w:r>
      <w:r>
        <w:tab/>
      </w:r>
      <w:r w:rsidR="003B4077">
        <w:t xml:space="preserve">How sufficient are the </w:t>
      </w:r>
      <w:r w:rsidR="003B4077" w:rsidRPr="00B56E5A">
        <w:rPr>
          <w:b/>
        </w:rPr>
        <w:t>monitoring and evaluation</w:t>
      </w:r>
      <w:r w:rsidR="003B4077">
        <w:t xml:space="preserve"> mechanisms, for both </w:t>
      </w:r>
      <w:r w:rsidR="007070C9">
        <w:t>Solomon Water</w:t>
      </w:r>
      <w:r w:rsidR="003B4077">
        <w:t xml:space="preserve"> and DFAT, to measure immediate and long term changes, and to learn and improve in the process?</w:t>
      </w:r>
    </w:p>
    <w:p w14:paraId="05560CF9" w14:textId="77777777" w:rsidR="004C2953" w:rsidRDefault="00D63EF3" w:rsidP="004C2953">
      <w:pPr>
        <w:pStyle w:val="Heading2"/>
      </w:pPr>
      <w:bookmarkStart w:id="11" w:name="_Toc453955984"/>
      <w:r>
        <w:t>1.4</w:t>
      </w:r>
      <w:r>
        <w:tab/>
      </w:r>
      <w:r w:rsidR="004C2953">
        <w:t>Methodology</w:t>
      </w:r>
      <w:bookmarkEnd w:id="11"/>
    </w:p>
    <w:p w14:paraId="513C5D62" w14:textId="17E35C2E" w:rsidR="00F621FF" w:rsidRPr="008C2146" w:rsidRDefault="00EA115D" w:rsidP="00F621FF">
      <w:pPr>
        <w:rPr>
          <w:rFonts w:eastAsia="MS Mincho"/>
        </w:rPr>
      </w:pPr>
      <w:r w:rsidRPr="00F621FF">
        <w:rPr>
          <w:rFonts w:eastAsia="MS Mincho"/>
        </w:rPr>
        <w:t>The evaluation objectives are both summative (assessing the extent of progress towards results) and formative (improving management and implementation). The evaluation design therefore includes a mix of methodologies to assess achievements and capture learning for improvement</w:t>
      </w:r>
      <w:r w:rsidR="009D1F8D">
        <w:rPr>
          <w:rStyle w:val="FootnoteReference"/>
          <w:rFonts w:eastAsia="MS Mincho"/>
        </w:rPr>
        <w:footnoteReference w:id="2"/>
      </w:r>
      <w:r w:rsidRPr="00F621FF">
        <w:rPr>
          <w:rFonts w:eastAsia="MS Mincho"/>
        </w:rPr>
        <w:t xml:space="preserve">. </w:t>
      </w:r>
      <w:r w:rsidR="00F621FF" w:rsidRPr="008C2146">
        <w:rPr>
          <w:rFonts w:eastAsia="MS Mincho"/>
        </w:rPr>
        <w:t xml:space="preserve">A detailed methodology is </w:t>
      </w:r>
      <w:r w:rsidR="00F621FF">
        <w:rPr>
          <w:rFonts w:eastAsia="MS Mincho"/>
        </w:rPr>
        <w:t xml:space="preserve">at Appendix B. </w:t>
      </w:r>
      <w:r w:rsidR="00F621FF" w:rsidRPr="008C2146">
        <w:rPr>
          <w:rFonts w:eastAsia="MS Mincho"/>
        </w:rPr>
        <w:t>This section summarises the main features.</w:t>
      </w:r>
    </w:p>
    <w:p w14:paraId="13D769E5" w14:textId="77777777" w:rsidR="00EA115D" w:rsidRPr="00D31408" w:rsidRDefault="00EA115D" w:rsidP="00D31408">
      <w:pPr>
        <w:rPr>
          <w:rFonts w:eastAsia="MS Mincho"/>
        </w:rPr>
      </w:pPr>
      <w:r w:rsidRPr="00D31408">
        <w:rPr>
          <w:rFonts w:eastAsia="MS Mincho"/>
        </w:rPr>
        <w:t xml:space="preserve">Data collection </w:t>
      </w:r>
      <w:r w:rsidR="00F621FF" w:rsidRPr="00D31408">
        <w:rPr>
          <w:rFonts w:eastAsia="MS Mincho"/>
        </w:rPr>
        <w:t xml:space="preserve">and analysis </w:t>
      </w:r>
      <w:r w:rsidRPr="00D31408">
        <w:rPr>
          <w:rFonts w:eastAsia="MS Mincho"/>
        </w:rPr>
        <w:t xml:space="preserve">was undertaken in three main phases: </w:t>
      </w:r>
    </w:p>
    <w:p w14:paraId="6D282C5F" w14:textId="76E6AC6B" w:rsidR="002D6D77" w:rsidRDefault="004F1B75" w:rsidP="004F1B75">
      <w:pPr>
        <w:pStyle w:val="NumberList"/>
      </w:pPr>
      <w:r>
        <w:t>1</w:t>
      </w:r>
      <w:r>
        <w:tab/>
      </w:r>
      <w:r w:rsidR="00D31408">
        <w:t xml:space="preserve">A </w:t>
      </w:r>
      <w:r w:rsidR="002D6D77" w:rsidRPr="004F1B75">
        <w:rPr>
          <w:b/>
        </w:rPr>
        <w:t>review</w:t>
      </w:r>
      <w:r w:rsidR="00D31408" w:rsidRPr="004F1B75">
        <w:rPr>
          <w:b/>
        </w:rPr>
        <w:t xml:space="preserve"> of </w:t>
      </w:r>
      <w:r w:rsidR="002D6D77" w:rsidRPr="004F1B75">
        <w:rPr>
          <w:b/>
        </w:rPr>
        <w:t>the key documents</w:t>
      </w:r>
      <w:r w:rsidR="002D6D77">
        <w:t xml:space="preserve"> provided an overview of contextual factors </w:t>
      </w:r>
      <w:r>
        <w:t xml:space="preserve">and </w:t>
      </w:r>
      <w:r w:rsidR="00D31408">
        <w:t xml:space="preserve">enabled the evaluation team to make preliminary assessments of </w:t>
      </w:r>
      <w:r w:rsidR="002D6D77">
        <w:t xml:space="preserve">progress </w:t>
      </w:r>
      <w:r>
        <w:t xml:space="preserve">against the </w:t>
      </w:r>
      <w:r w:rsidR="002D6D77">
        <w:t>Development Plan outputs and objective</w:t>
      </w:r>
      <w:r w:rsidR="00D31408">
        <w:t xml:space="preserve"> and the </w:t>
      </w:r>
      <w:r w:rsidR="002D6D77">
        <w:t>status of implementation of activities</w:t>
      </w:r>
      <w:r>
        <w:t xml:space="preserve">. </w:t>
      </w:r>
      <w:r w:rsidR="002D6D77">
        <w:t>Th</w:t>
      </w:r>
      <w:r>
        <w:t xml:space="preserve">is </w:t>
      </w:r>
      <w:r w:rsidR="002D6D77">
        <w:t>informed the lines of enquiry for the data collection phase of the evaluation.</w:t>
      </w:r>
    </w:p>
    <w:p w14:paraId="2E916686" w14:textId="3BFA6A77" w:rsidR="00D31408" w:rsidRDefault="004F1B75" w:rsidP="004F1B75">
      <w:pPr>
        <w:pStyle w:val="NumberList"/>
      </w:pPr>
      <w:r>
        <w:t>2</w:t>
      </w:r>
      <w:r>
        <w:tab/>
      </w:r>
      <w:r w:rsidR="002D6D77">
        <w:t>The evaluation team travelled to Honiara 2-12 May</w:t>
      </w:r>
      <w:r w:rsidR="001B4E7C">
        <w:t xml:space="preserve"> 2016</w:t>
      </w:r>
      <w:r w:rsidR="002D6D77">
        <w:t xml:space="preserve"> to </w:t>
      </w:r>
      <w:r w:rsidR="002D6D77" w:rsidRPr="004F1B75">
        <w:rPr>
          <w:b/>
        </w:rPr>
        <w:t>collect and validate data</w:t>
      </w:r>
      <w:r w:rsidR="002D6D77" w:rsidRPr="00AD4451">
        <w:t xml:space="preserve"> </w:t>
      </w:r>
      <w:r w:rsidR="002D6D77" w:rsidRPr="000D38EC">
        <w:t xml:space="preserve">through </w:t>
      </w:r>
      <w:r w:rsidR="002D6D77">
        <w:t xml:space="preserve">individual </w:t>
      </w:r>
      <w:r w:rsidR="002D6D77" w:rsidRPr="000D38EC">
        <w:t>interviews</w:t>
      </w:r>
      <w:r w:rsidR="002D6D77">
        <w:t>, site visits</w:t>
      </w:r>
      <w:r w:rsidR="002D6D77" w:rsidRPr="000D38EC">
        <w:t xml:space="preserve"> and </w:t>
      </w:r>
      <w:r w:rsidR="002D6D77">
        <w:t xml:space="preserve">small group </w:t>
      </w:r>
      <w:r w:rsidR="002D6D77" w:rsidRPr="000D38EC">
        <w:t>discussion</w:t>
      </w:r>
      <w:r w:rsidR="002D6D77">
        <w:t>s</w:t>
      </w:r>
      <w:r w:rsidR="002D6D77" w:rsidRPr="000D38EC">
        <w:t>.</w:t>
      </w:r>
      <w:r w:rsidR="002D6D77">
        <w:t xml:space="preserve"> The evaluation team met with ~50 stakeholders including: Solomon Water management, staff and </w:t>
      </w:r>
      <w:r w:rsidR="00676807">
        <w:t>Board members</w:t>
      </w:r>
      <w:r w:rsidR="002D6D77">
        <w:t xml:space="preserve">; DFAT officials; </w:t>
      </w:r>
      <w:r w:rsidR="001B4E7C">
        <w:t>SIG</w:t>
      </w:r>
      <w:r w:rsidR="002D6D77">
        <w:t xml:space="preserve"> officials; </w:t>
      </w:r>
      <w:r w:rsidR="00676807">
        <w:t>c</w:t>
      </w:r>
      <w:r w:rsidR="002D6D77">
        <w:t xml:space="preserve">ivil society representatives; </w:t>
      </w:r>
      <w:r w:rsidR="007070C9">
        <w:t>Solomon Water</w:t>
      </w:r>
      <w:r w:rsidR="002D6D77">
        <w:t xml:space="preserve"> customers (individuals, hotels, hospital); and </w:t>
      </w:r>
      <w:r w:rsidR="00676807">
        <w:t>the Solomon Islands office of the Japan International Cooperation Agency (</w:t>
      </w:r>
      <w:r w:rsidR="002D6D77">
        <w:t>JICA</w:t>
      </w:r>
      <w:r w:rsidR="00676807">
        <w:t>)</w:t>
      </w:r>
      <w:r w:rsidR="002D6D77">
        <w:t>.</w:t>
      </w:r>
      <w:r w:rsidR="00D31408">
        <w:t xml:space="preserve"> A list of people consulted is available at Appendix C.</w:t>
      </w:r>
    </w:p>
    <w:p w14:paraId="5A303F84" w14:textId="6A5EC1B9" w:rsidR="002D6D77" w:rsidRDefault="004F1B75" w:rsidP="004F1B75">
      <w:pPr>
        <w:pStyle w:val="NumberList"/>
      </w:pPr>
      <w:r>
        <w:t>3</w:t>
      </w:r>
      <w:r>
        <w:tab/>
      </w:r>
      <w:r w:rsidR="002D6D77" w:rsidRPr="004F1B75">
        <w:rPr>
          <w:b/>
        </w:rPr>
        <w:t>Analysis of the data</w:t>
      </w:r>
      <w:r w:rsidR="002D6D77" w:rsidRPr="00897BE9">
        <w:t xml:space="preserve"> occur</w:t>
      </w:r>
      <w:r w:rsidR="002D6D77">
        <w:t>red</w:t>
      </w:r>
      <w:r w:rsidR="002D6D77" w:rsidRPr="00897BE9">
        <w:t xml:space="preserve"> on an ongoing basis during the data collection phase. The </w:t>
      </w:r>
      <w:r w:rsidR="002D6D77">
        <w:t>evaluation team</w:t>
      </w:r>
      <w:r w:rsidR="002D6D77" w:rsidRPr="00897BE9">
        <w:t xml:space="preserve"> record</w:t>
      </w:r>
      <w:r w:rsidR="002D6D77">
        <w:t>ed</w:t>
      </w:r>
      <w:r w:rsidR="002D6D77" w:rsidRPr="00897BE9">
        <w:t xml:space="preserve"> and track</w:t>
      </w:r>
      <w:r w:rsidR="002D6D77">
        <w:t>ed</w:t>
      </w:r>
      <w:r w:rsidR="002D6D77" w:rsidRPr="00897BE9">
        <w:t xml:space="preserve"> analytical </w:t>
      </w:r>
      <w:r w:rsidR="00932B41" w:rsidRPr="00897BE9">
        <w:t>insights</w:t>
      </w:r>
      <w:r w:rsidR="002D6D77">
        <w:t xml:space="preserve"> and set aside time each day </w:t>
      </w:r>
      <w:r w:rsidR="002D6D77" w:rsidRPr="00897BE9">
        <w:t xml:space="preserve">to briefly discuss their major observations, impressions and emergent sense-making of the data. </w:t>
      </w:r>
    </w:p>
    <w:p w14:paraId="6F562273" w14:textId="77777777" w:rsidR="009F6AD1" w:rsidRDefault="002D6D77" w:rsidP="002D6D77">
      <w:r w:rsidRPr="00F82F78">
        <w:t xml:space="preserve">In the latter part of the in-country mission, the evaluation team conducted a half-day ‘lessons learned’ session with </w:t>
      </w:r>
      <w:r w:rsidR="00AD2804">
        <w:t xml:space="preserve">Solomon Water </w:t>
      </w:r>
      <w:r w:rsidRPr="00F82F78">
        <w:t xml:space="preserve">to discuss lessons </w:t>
      </w:r>
      <w:r w:rsidR="009F6AD1">
        <w:t xml:space="preserve">learned, and </w:t>
      </w:r>
      <w:r w:rsidRPr="00F82F78">
        <w:t xml:space="preserve">identify strategies and actions to ensure </w:t>
      </w:r>
      <w:r w:rsidR="00AD2804">
        <w:t xml:space="preserve">the </w:t>
      </w:r>
      <w:r w:rsidRPr="00F82F78">
        <w:t>lesson</w:t>
      </w:r>
      <w:r w:rsidR="00AD2804">
        <w:t>s</w:t>
      </w:r>
      <w:r w:rsidRPr="00F82F78">
        <w:t xml:space="preserve"> </w:t>
      </w:r>
      <w:r w:rsidR="00AD2804">
        <w:t xml:space="preserve">are </w:t>
      </w:r>
      <w:r w:rsidRPr="00F82F78">
        <w:t>applied. The lessons are fully documented in a separate report.</w:t>
      </w:r>
      <w:r w:rsidR="009F6AD1">
        <w:t xml:space="preserve"> </w:t>
      </w:r>
    </w:p>
    <w:p w14:paraId="5FF2F18F" w14:textId="77777777" w:rsidR="002D6D77" w:rsidRPr="00220206" w:rsidRDefault="002D6D77" w:rsidP="00D31408">
      <w:pPr>
        <w:autoSpaceDE w:val="0"/>
        <w:autoSpaceDN w:val="0"/>
        <w:adjustRightInd w:val="0"/>
        <w:spacing w:after="0" w:line="240" w:lineRule="auto"/>
        <w:contextualSpacing/>
        <w:rPr>
          <w:lang w:val="en-NZ"/>
        </w:rPr>
      </w:pPr>
      <w:r w:rsidRPr="00220206">
        <w:rPr>
          <w:rFonts w:ascii="Arial" w:hAnsi="Arial"/>
          <w:b/>
          <w:bCs/>
          <w:sz w:val="22"/>
          <w:szCs w:val="28"/>
        </w:rPr>
        <w:t>Limitations</w:t>
      </w:r>
    </w:p>
    <w:p w14:paraId="0629F144" w14:textId="7ABF1D25" w:rsidR="001E52D5" w:rsidRPr="001E52D5" w:rsidRDefault="003002FA" w:rsidP="001E52D5">
      <w:r w:rsidRPr="00220206">
        <w:t>Precise</w:t>
      </w:r>
      <w:r w:rsidR="002D6D77" w:rsidRPr="00220206">
        <w:t xml:space="preserve"> details of the proposed EU funding </w:t>
      </w:r>
      <w:r w:rsidR="00091172">
        <w:t xml:space="preserve">for the water sector in </w:t>
      </w:r>
      <w:r w:rsidR="002D6D77" w:rsidRPr="00220206">
        <w:t xml:space="preserve">Solomon </w:t>
      </w:r>
      <w:r w:rsidR="00091172">
        <w:t xml:space="preserve">Islands </w:t>
      </w:r>
      <w:r w:rsidR="00366137" w:rsidRPr="00220206">
        <w:t>are</w:t>
      </w:r>
      <w:r w:rsidR="002D6D77" w:rsidRPr="00220206">
        <w:t xml:space="preserve"> yet to be designed. This has limited the evaluation’s ability to identify specific activities that would prepare Solomon Water for transitioning to EU funding. Instead, some general recommendations and considerations have been put forward in this report</w:t>
      </w:r>
      <w:r w:rsidR="002D6D77">
        <w:t xml:space="preserve">. </w:t>
      </w:r>
    </w:p>
    <w:bookmarkStart w:id="12" w:name="_Toc453955985"/>
    <w:p w14:paraId="121969EA" w14:textId="77777777" w:rsidR="003B4077" w:rsidRDefault="00DF13D7" w:rsidP="001A06C5">
      <w:pPr>
        <w:pStyle w:val="Heading1"/>
      </w:pPr>
      <w:r>
        <w:rPr>
          <w:noProof/>
        </w:rPr>
        <w:lastRenderedPageBreak/>
        <mc:AlternateContent>
          <mc:Choice Requires="wps">
            <w:drawing>
              <wp:anchor distT="0" distB="0" distL="114300" distR="114300" simplePos="0" relativeHeight="251660800" behindDoc="1" locked="0" layoutInCell="1" allowOverlap="1" wp14:anchorId="2C5E0A7F" wp14:editId="2EC58494">
                <wp:simplePos x="0" y="0"/>
                <wp:positionH relativeFrom="margin">
                  <wp:align>center</wp:align>
                </wp:positionH>
                <wp:positionV relativeFrom="paragraph">
                  <wp:posOffset>-99695</wp:posOffset>
                </wp:positionV>
                <wp:extent cx="7610475" cy="1468755"/>
                <wp:effectExtent l="0" t="0" r="0" b="254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508012" id="Rectangle 11" o:spid="_x0000_s1026" style="position:absolute;margin-left:0;margin-top:-7.85pt;width:599.25pt;height:115.6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" fillcolor="#124486" stroked="f" strokeweight="2pt">
                <w10:wrap anchorx="margin"/>
              </v:rect>
            </w:pict>
          </mc:Fallback>
        </mc:AlternateContent>
      </w:r>
      <w:r w:rsidR="001A06C5">
        <w:t xml:space="preserve">2 </w:t>
      </w:r>
      <w:r w:rsidR="001A06C5">
        <w:tab/>
        <w:t>Context</w:t>
      </w:r>
      <w:bookmarkEnd w:id="12"/>
    </w:p>
    <w:p w14:paraId="7400EFED" w14:textId="77777777" w:rsidR="00460DC8" w:rsidRDefault="00460DC8" w:rsidP="00460DC8">
      <w:pPr>
        <w:pStyle w:val="Heading2"/>
      </w:pPr>
      <w:bookmarkStart w:id="13" w:name="_Toc453955986"/>
      <w:r>
        <w:t>2.1</w:t>
      </w:r>
      <w:r>
        <w:tab/>
        <w:t>Solomon Water</w:t>
      </w:r>
      <w:bookmarkEnd w:id="13"/>
    </w:p>
    <w:p w14:paraId="63014098" w14:textId="10CDFCF8" w:rsidR="00460DC8" w:rsidRDefault="00512570" w:rsidP="00460DC8">
      <w:r>
        <w:t xml:space="preserve">The Solomon Islands Water Authority is a state-owned enterprise (SOE) wholly owned by </w:t>
      </w:r>
      <w:r w:rsidR="00676807">
        <w:t>SIG.</w:t>
      </w:r>
      <w:r w:rsidR="00460DC8" w:rsidRPr="00460DC8">
        <w:t xml:space="preserve"> In 2013, SIWA began using Solomon Water as a trading </w:t>
      </w:r>
      <w:r w:rsidR="00932B41" w:rsidRPr="00460DC8">
        <w:t>name;</w:t>
      </w:r>
      <w:r w:rsidR="00460DC8" w:rsidRPr="00460DC8">
        <w:t xml:space="preserve"> however Solomon Islands Water Authority or SIWA remains the legal</w:t>
      </w:r>
      <w:r w:rsidR="001F2616">
        <w:t>ly</w:t>
      </w:r>
      <w:r w:rsidR="00460DC8" w:rsidRPr="00460DC8">
        <w:t xml:space="preserve"> constituted name for the organisation and is used in all contracts and legal documents. For the purpose of this evaluation report, the organisation is referred to as ‘Solomon Water’. </w:t>
      </w:r>
    </w:p>
    <w:p w14:paraId="4217FDD5" w14:textId="0DCC6837" w:rsidR="00512570" w:rsidRDefault="00460DC8" w:rsidP="00460DC8">
      <w:r>
        <w:t xml:space="preserve">Solomon Water </w:t>
      </w:r>
      <w:r w:rsidR="00512570">
        <w:t xml:space="preserve">has an independent Board of Directors responsible for the prudent and transparent governance of the organisation. The Ministers of Mines, Energy and Rural Electrification (MMERE) and of Finance and Trade (MOFT) are the Accountable Ministers (AMs) under the SOE Act responsible for ensuring the satisfactory operation of </w:t>
      </w:r>
      <w:r w:rsidR="007070C9">
        <w:t>Solomon Water</w:t>
      </w:r>
      <w:r w:rsidR="00512570">
        <w:t xml:space="preserve"> in accordance with the relevant legislation. </w:t>
      </w:r>
      <w:r>
        <w:t xml:space="preserve">The current Board members were appointed in 2010, and their </w:t>
      </w:r>
      <w:r w:rsidR="00512570">
        <w:t>terms of office have expired</w:t>
      </w:r>
      <w:r>
        <w:t>. A</w:t>
      </w:r>
      <w:r w:rsidR="00512570">
        <w:t xml:space="preserve"> recruitment process to replace or reappoint members </w:t>
      </w:r>
      <w:r>
        <w:t xml:space="preserve">has been </w:t>
      </w:r>
      <w:r w:rsidR="00512570">
        <w:t>underway</w:t>
      </w:r>
      <w:r>
        <w:t xml:space="preserve"> for some time</w:t>
      </w:r>
      <w:r w:rsidR="006B5BF2">
        <w:rPr>
          <w:rStyle w:val="FootnoteReference"/>
        </w:rPr>
        <w:footnoteReference w:id="3"/>
      </w:r>
      <w:r w:rsidR="00512570">
        <w:t>.</w:t>
      </w:r>
    </w:p>
    <w:p w14:paraId="2D719C76" w14:textId="1681D77F" w:rsidR="00512570" w:rsidRDefault="00C97A8C" w:rsidP="00612606">
      <w:r>
        <w:t xml:space="preserve">Solomon Water </w:t>
      </w:r>
      <w:r w:rsidRPr="00460DC8">
        <w:t>has 14</w:t>
      </w:r>
      <w:r>
        <w:t>2</w:t>
      </w:r>
      <w:r w:rsidRPr="00460DC8">
        <w:t xml:space="preserve"> staff an</w:t>
      </w:r>
      <w:r w:rsidR="00756A27">
        <w:t>d turnover of approximately SBD</w:t>
      </w:r>
      <w:r w:rsidRPr="00460DC8">
        <w:t>96</w:t>
      </w:r>
      <w:r w:rsidR="00756A27">
        <w:t xml:space="preserve"> </w:t>
      </w:r>
      <w:r w:rsidRPr="00460DC8">
        <w:t>m</w:t>
      </w:r>
      <w:r w:rsidR="00756A27">
        <w:t>illion</w:t>
      </w:r>
      <w:r w:rsidRPr="00460DC8">
        <w:t xml:space="preserve">. </w:t>
      </w:r>
      <w:r>
        <w:t>It is mandated to operate as the provider of municipal water and wastewater services in Solomon Islands by the S</w:t>
      </w:r>
      <w:r w:rsidR="007070C9">
        <w:t xml:space="preserve">olomon Island Water Authority </w:t>
      </w:r>
      <w:r>
        <w:t xml:space="preserve">Act of 1992. </w:t>
      </w:r>
      <w:r w:rsidR="00FD62C1" w:rsidRPr="00FD62C1">
        <w:t>Solomon Water provides water services to customers in Honiara and three Provincial centres (Auki, Noro and Tulagi). Wastewater services are provided to</w:t>
      </w:r>
      <w:r w:rsidR="00ED1E54">
        <w:t xml:space="preserve"> parts of </w:t>
      </w:r>
      <w:r w:rsidR="00FD62C1" w:rsidRPr="00FD62C1">
        <w:t>Honiara only</w:t>
      </w:r>
      <w:r w:rsidR="00ED1E54">
        <w:rPr>
          <w:rStyle w:val="FootnoteReference"/>
        </w:rPr>
        <w:footnoteReference w:id="4"/>
      </w:r>
      <w:r w:rsidR="00FD62C1" w:rsidRPr="00FD62C1">
        <w:t>.</w:t>
      </w:r>
      <w:r w:rsidR="00FD62C1">
        <w:t xml:space="preserve"> </w:t>
      </w:r>
      <w:r>
        <w:t xml:space="preserve">As a SOE it is also subject to the State-Owned Enterprise Act of 2007 and the Regulations of 2010. </w:t>
      </w:r>
      <w:r w:rsidRPr="00C97A8C">
        <w:t xml:space="preserve">A summary of </w:t>
      </w:r>
      <w:r w:rsidR="00512570" w:rsidRPr="00C97A8C">
        <w:t xml:space="preserve">Solomon Islands legislation relating to </w:t>
      </w:r>
      <w:r w:rsidR="00BE5D2E">
        <w:t xml:space="preserve">SOEs and </w:t>
      </w:r>
      <w:r w:rsidR="00512570" w:rsidRPr="00C97A8C">
        <w:t xml:space="preserve">water supply and sewage management is </w:t>
      </w:r>
      <w:r w:rsidRPr="00C97A8C">
        <w:t xml:space="preserve">provided at Appendix D. </w:t>
      </w:r>
    </w:p>
    <w:p w14:paraId="7A8C2AAA" w14:textId="77777777" w:rsidR="00512570" w:rsidRDefault="009D53BF" w:rsidP="009D53BF">
      <w:pPr>
        <w:pStyle w:val="Heading2"/>
      </w:pPr>
      <w:bookmarkStart w:id="14" w:name="_Toc453955987"/>
      <w:r>
        <w:t>2.2</w:t>
      </w:r>
      <w:r>
        <w:tab/>
      </w:r>
      <w:r w:rsidR="00B87C3E">
        <w:t>R</w:t>
      </w:r>
      <w:r w:rsidR="00512570">
        <w:t>elevant Government and local authorities</w:t>
      </w:r>
      <w:bookmarkEnd w:id="14"/>
      <w:r w:rsidR="00512570">
        <w:t xml:space="preserve"> </w:t>
      </w:r>
    </w:p>
    <w:p w14:paraId="6E4DA6C1" w14:textId="2B124B5C" w:rsidR="00512570" w:rsidRDefault="006C5EEF" w:rsidP="006C5EEF">
      <w:pPr>
        <w:pStyle w:val="TableName"/>
        <w:rPr>
          <w:rFonts w:ascii="Calibri" w:hAnsi="Calibri" w:cs="Calibri"/>
        </w:rPr>
      </w:pPr>
      <w:bookmarkStart w:id="15" w:name="_Toc453956011"/>
      <w:r>
        <w:t xml:space="preserve">Table </w:t>
      </w:r>
      <w:r w:rsidR="00D00A00">
        <w:t>2</w:t>
      </w:r>
      <w:r>
        <w:tab/>
        <w:t>G</w:t>
      </w:r>
      <w:r w:rsidR="00512570">
        <w:t>overnment and local authorities with</w:t>
      </w:r>
      <w:r>
        <w:t xml:space="preserve"> </w:t>
      </w:r>
      <w:r w:rsidR="00512570">
        <w:t>responsibilities that affect provision of water and wastewater</w:t>
      </w:r>
      <w:bookmarkEnd w:id="15"/>
    </w:p>
    <w:tbl>
      <w:tblPr>
        <w:tblpPr w:leftFromText="180" w:rightFromText="180" w:vertAnchor="text" w:tblpY="1"/>
        <w:tblOverlap w:val="never"/>
        <w:tblW w:w="4890" w:type="pct"/>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3151"/>
        <w:gridCol w:w="5676"/>
      </w:tblGrid>
      <w:tr w:rsidR="00512570" w:rsidRPr="006E6FBC" w14:paraId="06F24DE5" w14:textId="77777777" w:rsidTr="00392D42">
        <w:trPr>
          <w:trHeight w:val="567"/>
        </w:trPr>
        <w:tc>
          <w:tcPr>
            <w:tcW w:w="1785" w:type="pct"/>
            <w:shd w:val="clear" w:color="auto" w:fill="007FAD"/>
          </w:tcPr>
          <w:p w14:paraId="340322A4" w14:textId="77777777" w:rsidR="00512570" w:rsidRPr="006E6FBC" w:rsidRDefault="00512570" w:rsidP="00392D42">
            <w:pPr>
              <w:pStyle w:val="TableHeading2"/>
            </w:pPr>
            <w:r w:rsidRPr="006E6FBC">
              <w:t xml:space="preserve">Local  and Central Government Institution </w:t>
            </w:r>
          </w:p>
        </w:tc>
        <w:tc>
          <w:tcPr>
            <w:tcW w:w="3215" w:type="pct"/>
            <w:shd w:val="clear" w:color="auto" w:fill="007FAD"/>
          </w:tcPr>
          <w:p w14:paraId="7754B009" w14:textId="77777777" w:rsidR="00512570" w:rsidRPr="006E6FBC" w:rsidRDefault="00512570" w:rsidP="00392D42">
            <w:pPr>
              <w:pStyle w:val="TableHeading2"/>
            </w:pPr>
            <w:r w:rsidRPr="006E6FBC">
              <w:t>Relevant Activities</w:t>
            </w:r>
          </w:p>
        </w:tc>
      </w:tr>
      <w:tr w:rsidR="00512570" w:rsidRPr="006E6FBC" w14:paraId="1C2D82B6" w14:textId="77777777" w:rsidTr="00392D42">
        <w:trPr>
          <w:trHeight w:val="20"/>
        </w:trPr>
        <w:tc>
          <w:tcPr>
            <w:tcW w:w="1785" w:type="pct"/>
            <w:shd w:val="clear" w:color="auto" w:fill="FFFFFF"/>
          </w:tcPr>
          <w:p w14:paraId="18A31127" w14:textId="77777777" w:rsidR="00512570" w:rsidRPr="00191501" w:rsidRDefault="00512570" w:rsidP="00392D42">
            <w:pPr>
              <w:pStyle w:val="TableText"/>
              <w:rPr>
                <w:rFonts w:ascii="Calibri-Bold" w:hAnsi="Calibri-Bold" w:cs="Calibri-Bold"/>
                <w:b/>
                <w:bCs/>
              </w:rPr>
            </w:pPr>
            <w:r>
              <w:t>Honiara City Council</w:t>
            </w:r>
          </w:p>
        </w:tc>
        <w:tc>
          <w:tcPr>
            <w:tcW w:w="3215" w:type="pct"/>
            <w:shd w:val="clear" w:color="auto" w:fill="FFFFFF"/>
          </w:tcPr>
          <w:p w14:paraId="42D5B92B" w14:textId="77777777" w:rsidR="00512570" w:rsidRPr="00191501" w:rsidRDefault="00512570" w:rsidP="00392D42">
            <w:pPr>
              <w:pStyle w:val="TableText"/>
              <w:rPr>
                <w:rFonts w:ascii="Calibri-Bold" w:hAnsi="Calibri-Bold" w:cs="Calibri-Bold"/>
                <w:b/>
                <w:bCs/>
              </w:rPr>
            </w:pPr>
            <w:r>
              <w:t xml:space="preserve">Urban growth planning and enforcement of the relevant legislation and bylaws for managing growth </w:t>
            </w:r>
          </w:p>
        </w:tc>
      </w:tr>
      <w:tr w:rsidR="00512570" w:rsidRPr="006E6FBC" w14:paraId="3BA053FD" w14:textId="77777777" w:rsidTr="00392D42">
        <w:trPr>
          <w:trHeight w:val="20"/>
        </w:trPr>
        <w:tc>
          <w:tcPr>
            <w:tcW w:w="1785" w:type="pct"/>
            <w:shd w:val="clear" w:color="auto" w:fill="FFFFFF"/>
          </w:tcPr>
          <w:p w14:paraId="18FC3CA9" w14:textId="77777777" w:rsidR="00512570" w:rsidRPr="00191501" w:rsidRDefault="00512570" w:rsidP="00392D42">
            <w:pPr>
              <w:pStyle w:val="TableText"/>
              <w:rPr>
                <w:rFonts w:ascii="Calibri-Bold" w:hAnsi="Calibri-Bold" w:cs="Calibri-Bold"/>
                <w:b/>
                <w:bCs/>
              </w:rPr>
            </w:pPr>
            <w:r>
              <w:t xml:space="preserve">Ministry of Development Planning and Aid Coordination  </w:t>
            </w:r>
          </w:p>
        </w:tc>
        <w:tc>
          <w:tcPr>
            <w:tcW w:w="3215" w:type="pct"/>
            <w:shd w:val="clear" w:color="auto" w:fill="FFFFFF"/>
          </w:tcPr>
          <w:p w14:paraId="1FAFF03F" w14:textId="77777777" w:rsidR="00512570" w:rsidRPr="00191501" w:rsidRDefault="00512570" w:rsidP="00392D42">
            <w:pPr>
              <w:pStyle w:val="TableText"/>
              <w:rPr>
                <w:rFonts w:ascii="Calibri-Bold" w:hAnsi="Calibri-Bold" w:cs="Calibri-Bold"/>
                <w:b/>
                <w:bCs/>
              </w:rPr>
            </w:pPr>
            <w:r>
              <w:t xml:space="preserve">Preparation and monitoring of the National Development Strategy and the National Infrastructure Investment Plan, and co-ordination of development partner aid programs </w:t>
            </w:r>
          </w:p>
        </w:tc>
      </w:tr>
      <w:tr w:rsidR="00512570" w:rsidRPr="006E6FBC" w14:paraId="1660F868" w14:textId="77777777" w:rsidTr="00392D42">
        <w:trPr>
          <w:trHeight w:val="20"/>
        </w:trPr>
        <w:tc>
          <w:tcPr>
            <w:tcW w:w="1785" w:type="pct"/>
            <w:shd w:val="clear" w:color="auto" w:fill="FFFFFF"/>
          </w:tcPr>
          <w:p w14:paraId="10C2E61B" w14:textId="77777777" w:rsidR="00512570" w:rsidRPr="00191501" w:rsidRDefault="00512570" w:rsidP="00392D42">
            <w:pPr>
              <w:pStyle w:val="TableText"/>
              <w:rPr>
                <w:rFonts w:ascii="Calibri-Bold" w:hAnsi="Calibri-Bold" w:cs="Calibri-Bold"/>
                <w:b/>
                <w:bCs/>
              </w:rPr>
            </w:pPr>
            <w:r>
              <w:t>Ministry of Environment, Climate Change, Disaster Management &amp; Meteorology</w:t>
            </w:r>
          </w:p>
        </w:tc>
        <w:tc>
          <w:tcPr>
            <w:tcW w:w="3215" w:type="pct"/>
            <w:shd w:val="clear" w:color="auto" w:fill="FFFFFF"/>
          </w:tcPr>
          <w:p w14:paraId="20026171" w14:textId="77777777" w:rsidR="00512570" w:rsidRPr="00191501" w:rsidRDefault="00512570" w:rsidP="00392D42">
            <w:pPr>
              <w:pStyle w:val="TableText"/>
              <w:rPr>
                <w:rFonts w:ascii="Calibri-Bold" w:hAnsi="Calibri-Bold" w:cs="Calibri-Bold"/>
                <w:b/>
                <w:bCs/>
              </w:rPr>
            </w:pPr>
            <w:r>
              <w:t>Responsible for environment</w:t>
            </w:r>
            <w:r w:rsidR="00676807">
              <w:t>al</w:t>
            </w:r>
            <w:r>
              <w:t xml:space="preserve"> assessment</w:t>
            </w:r>
          </w:p>
        </w:tc>
      </w:tr>
      <w:tr w:rsidR="00512570" w:rsidRPr="006E6FBC" w14:paraId="4BF0148E" w14:textId="77777777" w:rsidTr="00392D42">
        <w:trPr>
          <w:trHeight w:val="20"/>
        </w:trPr>
        <w:tc>
          <w:tcPr>
            <w:tcW w:w="1785" w:type="pct"/>
            <w:shd w:val="clear" w:color="auto" w:fill="FFFFFF"/>
          </w:tcPr>
          <w:p w14:paraId="212664C8" w14:textId="77777777" w:rsidR="00512570" w:rsidRDefault="00512570" w:rsidP="00392D42">
            <w:pPr>
              <w:pStyle w:val="TableText"/>
            </w:pPr>
            <w:r>
              <w:lastRenderedPageBreak/>
              <w:t xml:space="preserve">Ministry of Finance and </w:t>
            </w:r>
            <w:r w:rsidR="001F2616">
              <w:t>Treasury</w:t>
            </w:r>
          </w:p>
        </w:tc>
        <w:tc>
          <w:tcPr>
            <w:tcW w:w="3215" w:type="pct"/>
            <w:shd w:val="clear" w:color="auto" w:fill="FFFFFF"/>
          </w:tcPr>
          <w:p w14:paraId="58F50C92" w14:textId="77777777" w:rsidR="00512570" w:rsidRDefault="00512570" w:rsidP="00392D42">
            <w:pPr>
              <w:pStyle w:val="TableText"/>
            </w:pPr>
            <w:r>
              <w:t>Administration of SOE Act financial requirements, including responsibility with MMERE for provision and payment of Community Service Obligations (CSO), appointment of Board members, review and acceptance of Statement of Corporate Objectives (SCO)</w:t>
            </w:r>
          </w:p>
        </w:tc>
      </w:tr>
      <w:tr w:rsidR="00512570" w:rsidRPr="006E6FBC" w14:paraId="64F2BFB5" w14:textId="77777777" w:rsidTr="00392D42">
        <w:trPr>
          <w:trHeight w:val="20"/>
        </w:trPr>
        <w:tc>
          <w:tcPr>
            <w:tcW w:w="1785" w:type="pct"/>
            <w:shd w:val="clear" w:color="auto" w:fill="FFFFFF"/>
          </w:tcPr>
          <w:p w14:paraId="54516B6B" w14:textId="77777777" w:rsidR="00512570" w:rsidRDefault="00512570" w:rsidP="00392D42">
            <w:pPr>
              <w:pStyle w:val="TableText"/>
            </w:pPr>
            <w:r>
              <w:t>Ministry of Health and Medical Services</w:t>
            </w:r>
          </w:p>
        </w:tc>
        <w:tc>
          <w:tcPr>
            <w:tcW w:w="3215" w:type="pct"/>
            <w:shd w:val="clear" w:color="auto" w:fill="FFFFFF"/>
          </w:tcPr>
          <w:p w14:paraId="5292CDEC" w14:textId="77777777" w:rsidR="00512570" w:rsidRDefault="00512570" w:rsidP="00392D42">
            <w:pPr>
              <w:pStyle w:val="TableText"/>
            </w:pPr>
            <w:r>
              <w:t xml:space="preserve">Water supply and sanitation in rural areas; coordinate and assess </w:t>
            </w:r>
            <w:r w:rsidR="00676807">
              <w:t>d</w:t>
            </w:r>
            <w:r>
              <w:t>emands coming from provincial governments; compile and document demands.</w:t>
            </w:r>
          </w:p>
        </w:tc>
      </w:tr>
      <w:tr w:rsidR="00512570" w:rsidRPr="006E6FBC" w14:paraId="703DCF6D" w14:textId="77777777" w:rsidTr="00392D42">
        <w:trPr>
          <w:trHeight w:val="20"/>
        </w:trPr>
        <w:tc>
          <w:tcPr>
            <w:tcW w:w="1785" w:type="pct"/>
            <w:shd w:val="clear" w:color="auto" w:fill="FFFFFF"/>
          </w:tcPr>
          <w:p w14:paraId="4FB16EF3" w14:textId="77777777" w:rsidR="00512570" w:rsidRDefault="00512570" w:rsidP="00392D42">
            <w:pPr>
              <w:pStyle w:val="TableText"/>
            </w:pPr>
            <w:r>
              <w:t>Ministry of Lands, Housing and Survey</w:t>
            </w:r>
          </w:p>
        </w:tc>
        <w:tc>
          <w:tcPr>
            <w:tcW w:w="3215" w:type="pct"/>
            <w:shd w:val="clear" w:color="auto" w:fill="FFFFFF"/>
          </w:tcPr>
          <w:p w14:paraId="64FA4534" w14:textId="77777777" w:rsidR="00512570" w:rsidRDefault="00512570" w:rsidP="00392D42">
            <w:pPr>
              <w:pStyle w:val="TableText"/>
            </w:pPr>
            <w:r>
              <w:t>Secure and manage access to certain customary lands used for water catchment and source provision</w:t>
            </w:r>
          </w:p>
        </w:tc>
      </w:tr>
      <w:tr w:rsidR="00512570" w:rsidRPr="006E6FBC" w14:paraId="35BF35AC" w14:textId="77777777" w:rsidTr="00392D42">
        <w:trPr>
          <w:trHeight w:val="20"/>
        </w:trPr>
        <w:tc>
          <w:tcPr>
            <w:tcW w:w="1785" w:type="pct"/>
            <w:shd w:val="clear" w:color="auto" w:fill="FFFFFF"/>
          </w:tcPr>
          <w:p w14:paraId="0E4B8C40" w14:textId="6A6F23F3" w:rsidR="00512570" w:rsidRDefault="00512570" w:rsidP="00392D42">
            <w:pPr>
              <w:pStyle w:val="TableText"/>
            </w:pPr>
            <w:r>
              <w:t xml:space="preserve">Ministry of </w:t>
            </w:r>
            <w:r w:rsidR="00764D84">
              <w:t>Mines, Energy</w:t>
            </w:r>
            <w:r>
              <w:t xml:space="preserve"> and Rural Electrification (MMERE)</w:t>
            </w:r>
          </w:p>
        </w:tc>
        <w:tc>
          <w:tcPr>
            <w:tcW w:w="3215" w:type="pct"/>
            <w:shd w:val="clear" w:color="auto" w:fill="FFFFFF"/>
          </w:tcPr>
          <w:p w14:paraId="03502C46" w14:textId="77777777" w:rsidR="00512570" w:rsidRDefault="00512570" w:rsidP="00392D42">
            <w:pPr>
              <w:pStyle w:val="TableText"/>
            </w:pPr>
            <w:r>
              <w:t xml:space="preserve">Responsible for water resources assessment and management, plus hydrogeological surveys and management of groundwater reserves  </w:t>
            </w:r>
          </w:p>
        </w:tc>
      </w:tr>
      <w:tr w:rsidR="00512570" w:rsidRPr="006E6FBC" w14:paraId="26897C27" w14:textId="77777777" w:rsidTr="00392D42">
        <w:trPr>
          <w:trHeight w:val="20"/>
        </w:trPr>
        <w:tc>
          <w:tcPr>
            <w:tcW w:w="1785" w:type="pct"/>
            <w:shd w:val="clear" w:color="auto" w:fill="FFFFFF"/>
          </w:tcPr>
          <w:p w14:paraId="037AE2D4" w14:textId="77777777" w:rsidR="00512570" w:rsidRDefault="00512570" w:rsidP="00392D42">
            <w:pPr>
              <w:pStyle w:val="TableText"/>
            </w:pPr>
            <w:r>
              <w:t>Provincial governments --</w:t>
            </w:r>
            <w:r w:rsidRPr="00191501">
              <w:rPr>
                <w:rFonts w:ascii="Cambria Math" w:hAnsi="Cambria Math" w:cs="Cambria Math"/>
              </w:rPr>
              <w:t>‐</w:t>
            </w:r>
            <w:r>
              <w:t xml:space="preserve"> Water Units</w:t>
            </w:r>
          </w:p>
        </w:tc>
        <w:tc>
          <w:tcPr>
            <w:tcW w:w="3215" w:type="pct"/>
            <w:shd w:val="clear" w:color="auto" w:fill="FFFFFF"/>
          </w:tcPr>
          <w:p w14:paraId="1C5C933E" w14:textId="77777777" w:rsidR="00512570" w:rsidRDefault="00512570" w:rsidP="00392D42">
            <w:pPr>
              <w:pStyle w:val="TableText"/>
            </w:pPr>
            <w:r>
              <w:t>Water supply in rural areas and provincial towns; assess villages’ demands and transmit requests to Ministry of Health; design, implement and maintain rural water schemes</w:t>
            </w:r>
          </w:p>
        </w:tc>
      </w:tr>
      <w:tr w:rsidR="00512570" w:rsidRPr="006E6FBC" w14:paraId="27E10342" w14:textId="77777777" w:rsidTr="00392D42">
        <w:trPr>
          <w:trHeight w:val="20"/>
        </w:trPr>
        <w:tc>
          <w:tcPr>
            <w:tcW w:w="1785" w:type="pct"/>
            <w:shd w:val="clear" w:color="auto" w:fill="FFFFFF"/>
          </w:tcPr>
          <w:p w14:paraId="036CBAB7" w14:textId="77777777" w:rsidR="00512570" w:rsidRDefault="00512570" w:rsidP="00392D42">
            <w:pPr>
              <w:pStyle w:val="TableText"/>
            </w:pPr>
            <w:r>
              <w:t>Solomon Water</w:t>
            </w:r>
          </w:p>
        </w:tc>
        <w:tc>
          <w:tcPr>
            <w:tcW w:w="3215" w:type="pct"/>
            <w:shd w:val="clear" w:color="auto" w:fill="FFFFFF"/>
          </w:tcPr>
          <w:p w14:paraId="7D43AA16" w14:textId="77777777" w:rsidR="00512570" w:rsidRDefault="00512570" w:rsidP="00392D42">
            <w:pPr>
              <w:pStyle w:val="TableText"/>
            </w:pPr>
            <w:r>
              <w:t>Responsible for water supply and sanitation in urban areas of Honiara, Auki, Tulagi and Noro.</w:t>
            </w:r>
          </w:p>
        </w:tc>
      </w:tr>
    </w:tbl>
    <w:p w14:paraId="7E46B8CA" w14:textId="77777777" w:rsidR="00B87C3E" w:rsidRPr="009B2CE5" w:rsidRDefault="00B87C3E" w:rsidP="00B87C3E">
      <w:pPr>
        <w:pStyle w:val="Heading2"/>
      </w:pPr>
      <w:bookmarkStart w:id="16" w:name="_Toc453955988"/>
      <w:r>
        <w:t>2</w:t>
      </w:r>
      <w:r w:rsidRPr="009B2CE5">
        <w:t>.3</w:t>
      </w:r>
      <w:r w:rsidRPr="009B2CE5">
        <w:tab/>
      </w:r>
      <w:r w:rsidR="009B2CE5">
        <w:t>Water supply c</w:t>
      </w:r>
      <w:r w:rsidRPr="009B2CE5">
        <w:t>hallenges</w:t>
      </w:r>
      <w:bookmarkEnd w:id="16"/>
      <w:r w:rsidRPr="009B2CE5">
        <w:t xml:space="preserve"> </w:t>
      </w:r>
    </w:p>
    <w:p w14:paraId="7A2C17F6" w14:textId="2E13BDD9" w:rsidR="00512570" w:rsidRDefault="00512570" w:rsidP="00612606">
      <w:r w:rsidRPr="009B2CE5">
        <w:t xml:space="preserve">The </w:t>
      </w:r>
      <w:r w:rsidR="00B87C3E" w:rsidRPr="009B2CE5">
        <w:t>w</w:t>
      </w:r>
      <w:r w:rsidRPr="009B2CE5">
        <w:t xml:space="preserve">ater </w:t>
      </w:r>
      <w:r w:rsidR="00B87C3E" w:rsidRPr="009B2CE5">
        <w:t>s</w:t>
      </w:r>
      <w:r w:rsidRPr="009B2CE5">
        <w:t xml:space="preserve">upply and </w:t>
      </w:r>
      <w:r w:rsidR="00B87C3E" w:rsidRPr="009B2CE5">
        <w:t>s</w:t>
      </w:r>
      <w:r w:rsidRPr="009B2CE5">
        <w:t>anitation sector in Solomon Islands faces many challenges. The most urgent of these is b</w:t>
      </w:r>
      <w:r w:rsidR="00676807">
        <w:t>eing</w:t>
      </w:r>
      <w:r w:rsidRPr="009B2CE5">
        <w:t xml:space="preserve"> able to</w:t>
      </w:r>
      <w:r w:rsidR="00D87C58">
        <w:t xml:space="preserve"> upgrade the water supply system, and</w:t>
      </w:r>
      <w:r>
        <w:t xml:space="preserve"> wastewater management and disposal system that will serve Honiara for at least the next 30 years. </w:t>
      </w:r>
      <w:r w:rsidR="00FD11AC">
        <w:t>EU funding for the water sector</w:t>
      </w:r>
      <w:r w:rsidR="00932B41">
        <w:t>, currently</w:t>
      </w:r>
      <w:r>
        <w:t xml:space="preserve"> under development</w:t>
      </w:r>
      <w:r w:rsidR="00FD11AC">
        <w:t xml:space="preserve">, </w:t>
      </w:r>
      <w:r>
        <w:t xml:space="preserve">could assist in providing rural water and sanitation in some areas, as well as potentially assisting </w:t>
      </w:r>
      <w:r w:rsidR="008833A4">
        <w:t xml:space="preserve">Solomon Water </w:t>
      </w:r>
      <w:r>
        <w:t xml:space="preserve">with its growth needs.       </w:t>
      </w:r>
    </w:p>
    <w:p w14:paraId="08A03EDE" w14:textId="77777777" w:rsidR="00512570" w:rsidRDefault="00512570" w:rsidP="00612606">
      <w:r>
        <w:t xml:space="preserve">The Solomon Islands National Water Policy (WATSAN) was drafted in 2013 under the Pacific Action for Water Governance and is still awaiting final approval and adoption by SIG. </w:t>
      </w:r>
    </w:p>
    <w:p w14:paraId="06987FED" w14:textId="3EA2DD23" w:rsidR="009B2CE5" w:rsidRDefault="00460DC8" w:rsidP="009B2CE5">
      <w:r w:rsidRPr="007A0F44">
        <w:rPr>
          <w:noProof/>
        </w:rPr>
        <w:t xml:space="preserve">Honiara’s water supply comes from a combination of </w:t>
      </w:r>
      <w:r>
        <w:rPr>
          <w:noProof/>
        </w:rPr>
        <w:t>surface water</w:t>
      </w:r>
      <w:r w:rsidRPr="007A0F44">
        <w:rPr>
          <w:noProof/>
        </w:rPr>
        <w:t xml:space="preserve"> sources and boreholes. </w:t>
      </w:r>
      <w:r>
        <w:rPr>
          <w:noProof/>
        </w:rPr>
        <w:t xml:space="preserve">The </w:t>
      </w:r>
      <w:r w:rsidRPr="007A0F44">
        <w:rPr>
          <w:noProof/>
        </w:rPr>
        <w:t>boreholes were built</w:t>
      </w:r>
      <w:r>
        <w:rPr>
          <w:noProof/>
        </w:rPr>
        <w:t xml:space="preserve"> and completed</w:t>
      </w:r>
      <w:r w:rsidRPr="007A0F44">
        <w:rPr>
          <w:noProof/>
        </w:rPr>
        <w:t xml:space="preserve"> by </w:t>
      </w:r>
      <w:r>
        <w:rPr>
          <w:noProof/>
        </w:rPr>
        <w:t xml:space="preserve">JICA in 2014. </w:t>
      </w:r>
      <w:r w:rsidRPr="007A0F44">
        <w:rPr>
          <w:noProof/>
        </w:rPr>
        <w:t>However, the boreholes are more expensive to operate as the water needs to be pumped</w:t>
      </w:r>
      <w:r w:rsidR="002375A6">
        <w:rPr>
          <w:noProof/>
        </w:rPr>
        <w:t xml:space="preserve"> from depth</w:t>
      </w:r>
      <w:r w:rsidRPr="007A0F44">
        <w:rPr>
          <w:noProof/>
        </w:rPr>
        <w:t xml:space="preserve"> and some </w:t>
      </w:r>
      <w:r>
        <w:rPr>
          <w:noProof/>
        </w:rPr>
        <w:t xml:space="preserve">boreholes </w:t>
      </w:r>
      <w:r w:rsidRPr="007A0F44">
        <w:rPr>
          <w:noProof/>
        </w:rPr>
        <w:t>are at risk of contamination from squatter settlements.</w:t>
      </w:r>
      <w:r>
        <w:rPr>
          <w:noProof/>
        </w:rPr>
        <w:t xml:space="preserve"> With an extreme El Niño weather event in 2015, and customary landowners blocking access to one of Honiara’s key spring water</w:t>
      </w:r>
      <w:r>
        <w:t xml:space="preserve"> sources, </w:t>
      </w:r>
      <w:r w:rsidR="009B2CE5">
        <w:t>Solomon Water</w:t>
      </w:r>
      <w:r>
        <w:t xml:space="preserve"> is facing ever increasing water supply challenges.</w:t>
      </w:r>
      <w:r w:rsidR="009B2CE5">
        <w:t xml:space="preserve"> </w:t>
      </w:r>
    </w:p>
    <w:p w14:paraId="23706032" w14:textId="77777777" w:rsidR="009B2CE5" w:rsidRPr="009B2CE5" w:rsidRDefault="009B2CE5" w:rsidP="009B2CE5">
      <w:pPr>
        <w:rPr>
          <w:noProof/>
        </w:rPr>
      </w:pPr>
      <w:r w:rsidRPr="009B2CE5">
        <w:rPr>
          <w:noProof/>
        </w:rPr>
        <w:t>Major challenges</w:t>
      </w:r>
      <w:r w:rsidR="00E917CA">
        <w:rPr>
          <w:noProof/>
        </w:rPr>
        <w:t xml:space="preserve"> identified by Solomon Water</w:t>
      </w:r>
      <w:r w:rsidRPr="009B2CE5">
        <w:rPr>
          <w:noProof/>
        </w:rPr>
        <w:t xml:space="preserve"> include:</w:t>
      </w:r>
    </w:p>
    <w:p w14:paraId="29272160" w14:textId="706CE64A" w:rsidR="009B2CE5" w:rsidRPr="00696F88" w:rsidRDefault="009B2CE5" w:rsidP="009B2CE5">
      <w:pPr>
        <w:pStyle w:val="Bullet"/>
        <w:ind w:hanging="357"/>
        <w:contextualSpacing/>
      </w:pPr>
      <w:r w:rsidRPr="00696F88">
        <w:t>ability to continually meet the ever increasing requirement for safe and adequate water and sanitation for a rapidly increasing population</w:t>
      </w:r>
      <w:r w:rsidR="002375A6">
        <w:t xml:space="preserve"> which will require</w:t>
      </w:r>
      <w:r w:rsidR="00290242">
        <w:t>:</w:t>
      </w:r>
      <w:r w:rsidRPr="00696F88">
        <w:t xml:space="preserve"> </w:t>
      </w:r>
    </w:p>
    <w:p w14:paraId="5D383717" w14:textId="77777777" w:rsidR="009B2CE5" w:rsidRPr="00696F88" w:rsidRDefault="009B2CE5" w:rsidP="009B2CE5">
      <w:pPr>
        <w:pStyle w:val="Bullet"/>
        <w:numPr>
          <w:ilvl w:val="1"/>
          <w:numId w:val="8"/>
        </w:numPr>
        <w:ind w:hanging="357"/>
        <w:contextualSpacing/>
      </w:pPr>
      <w:r w:rsidRPr="00696F88">
        <w:t xml:space="preserve">guaranteed permanent access to current sources  </w:t>
      </w:r>
    </w:p>
    <w:p w14:paraId="50A657AE" w14:textId="75AE72B2" w:rsidR="009B2CE5" w:rsidRPr="00696F88" w:rsidRDefault="009B2CE5" w:rsidP="009B2CE5">
      <w:pPr>
        <w:pStyle w:val="Bullet"/>
        <w:numPr>
          <w:ilvl w:val="1"/>
          <w:numId w:val="8"/>
        </w:numPr>
        <w:ind w:hanging="357"/>
        <w:contextualSpacing/>
        <w:rPr>
          <w:rFonts w:cs="Calibri"/>
        </w:rPr>
      </w:pPr>
      <w:r w:rsidRPr="00696F88">
        <w:t>alternative</w:t>
      </w:r>
      <w:r w:rsidRPr="00696F88">
        <w:rPr>
          <w:rFonts w:cs="Calibri"/>
        </w:rPr>
        <w:t xml:space="preserve"> and additional sources are to meet the growing demand </w:t>
      </w:r>
    </w:p>
    <w:p w14:paraId="187E7E63" w14:textId="77777777" w:rsidR="009B2CE5" w:rsidRPr="00696F88" w:rsidRDefault="009B2CE5" w:rsidP="009B2CE5">
      <w:pPr>
        <w:pStyle w:val="Bullet"/>
        <w:ind w:hanging="357"/>
        <w:contextualSpacing/>
        <w:rPr>
          <w:rFonts w:cs="Calibri"/>
        </w:rPr>
      </w:pPr>
      <w:r w:rsidRPr="00696F88">
        <w:t>combined</w:t>
      </w:r>
      <w:r w:rsidRPr="00696F88">
        <w:rPr>
          <w:rFonts w:cs="Calibri"/>
        </w:rPr>
        <w:t xml:space="preserve">  effect of financial losses (from non-revenue water through pipe breakages and illegal connections</w:t>
      </w:r>
      <w:r w:rsidR="00696F88" w:rsidRPr="00696F88">
        <w:rPr>
          <w:rFonts w:cs="Calibri"/>
        </w:rPr>
        <w:t>,</w:t>
      </w:r>
      <w:r w:rsidRPr="00696F88">
        <w:rPr>
          <w:rFonts w:cs="Calibri"/>
        </w:rPr>
        <w:t xml:space="preserve"> and </w:t>
      </w:r>
      <w:r w:rsidR="00696F88" w:rsidRPr="00696F88">
        <w:rPr>
          <w:rFonts w:cs="Calibri"/>
        </w:rPr>
        <w:t>customer debts</w:t>
      </w:r>
      <w:r w:rsidRPr="00696F88">
        <w:rPr>
          <w:rFonts w:cs="Calibri"/>
        </w:rPr>
        <w:t>)</w:t>
      </w:r>
    </w:p>
    <w:p w14:paraId="47C35D14" w14:textId="1B1FA949" w:rsidR="009B2CE5" w:rsidRPr="00696F88" w:rsidRDefault="002375A6" w:rsidP="009B2CE5">
      <w:pPr>
        <w:pStyle w:val="Bullet"/>
        <w:ind w:hanging="357"/>
        <w:contextualSpacing/>
      </w:pPr>
      <w:r>
        <w:rPr>
          <w:rFonts w:cs="Calibri"/>
        </w:rPr>
        <w:t xml:space="preserve">the impact of </w:t>
      </w:r>
      <w:r w:rsidR="009B2CE5" w:rsidRPr="00696F88">
        <w:rPr>
          <w:rFonts w:cs="Calibri"/>
        </w:rPr>
        <w:t xml:space="preserve">high energy </w:t>
      </w:r>
      <w:r w:rsidR="009B2CE5" w:rsidRPr="00696F88">
        <w:t xml:space="preserve">costs on establishing tariffs that are both realistic and affordable </w:t>
      </w:r>
    </w:p>
    <w:p w14:paraId="2CD69C30" w14:textId="16EE0B3E" w:rsidR="009B2CE5" w:rsidRPr="00696F88" w:rsidRDefault="002375A6" w:rsidP="009B2CE5">
      <w:pPr>
        <w:pStyle w:val="Bullet"/>
        <w:ind w:hanging="357"/>
        <w:contextualSpacing/>
        <w:rPr>
          <w:rFonts w:cs="Calibri"/>
        </w:rPr>
      </w:pPr>
      <w:r>
        <w:t xml:space="preserve">the presence of </w:t>
      </w:r>
      <w:r w:rsidR="00676807" w:rsidRPr="00696F88">
        <w:t>u</w:t>
      </w:r>
      <w:r w:rsidR="009B2CE5" w:rsidRPr="00696F88">
        <w:t>ncontrolled,</w:t>
      </w:r>
      <w:r w:rsidR="009B2CE5" w:rsidRPr="00696F88">
        <w:rPr>
          <w:rFonts w:cs="Calibri"/>
        </w:rPr>
        <w:t xml:space="preserve"> informal settlements </w:t>
      </w:r>
      <w:r>
        <w:rPr>
          <w:rFonts w:cs="Calibri"/>
        </w:rPr>
        <w:t>that:</w:t>
      </w:r>
    </w:p>
    <w:p w14:paraId="4032A1B3" w14:textId="4073125F" w:rsidR="009B2CE5" w:rsidRPr="00696F88" w:rsidRDefault="009B2CE5" w:rsidP="009B2CE5">
      <w:pPr>
        <w:pStyle w:val="Bullet"/>
        <w:numPr>
          <w:ilvl w:val="1"/>
          <w:numId w:val="8"/>
        </w:numPr>
        <w:ind w:hanging="357"/>
        <w:contextualSpacing/>
      </w:pPr>
      <w:r w:rsidRPr="00696F88">
        <w:t xml:space="preserve">prevent  access to  easements in order to service wells   </w:t>
      </w:r>
    </w:p>
    <w:p w14:paraId="717215B5" w14:textId="796A827A" w:rsidR="009B2CE5" w:rsidRPr="00696F88" w:rsidRDefault="00D52267" w:rsidP="009B2CE5">
      <w:pPr>
        <w:pStyle w:val="Bullet"/>
        <w:numPr>
          <w:ilvl w:val="1"/>
          <w:numId w:val="8"/>
        </w:numPr>
        <w:ind w:hanging="357"/>
        <w:contextualSpacing/>
      </w:pPr>
      <w:r>
        <w:t xml:space="preserve">result in </w:t>
      </w:r>
      <w:r w:rsidR="009B2CE5" w:rsidRPr="00696F88">
        <w:t xml:space="preserve"> illegal connections  into the reticulation system </w:t>
      </w:r>
    </w:p>
    <w:p w14:paraId="40B7BE1C" w14:textId="1DCBBE67" w:rsidR="009B2CE5" w:rsidRPr="00696F88" w:rsidRDefault="009B2CE5" w:rsidP="009B2CE5">
      <w:pPr>
        <w:pStyle w:val="Bullet"/>
        <w:numPr>
          <w:ilvl w:val="1"/>
          <w:numId w:val="8"/>
        </w:numPr>
        <w:ind w:hanging="357"/>
        <w:contextualSpacing/>
      </w:pPr>
      <w:r w:rsidRPr="00696F88">
        <w:t>mak</w:t>
      </w:r>
      <w:r w:rsidR="00D52267">
        <w:t>e</w:t>
      </w:r>
      <w:r w:rsidRPr="00696F88">
        <w:t xml:space="preserve"> extending the sewerage systems extremely difficult and expensive</w:t>
      </w:r>
    </w:p>
    <w:p w14:paraId="64050DAA" w14:textId="47921787" w:rsidR="00512570" w:rsidRPr="00696F88" w:rsidRDefault="00D52267" w:rsidP="003E726F">
      <w:pPr>
        <w:pStyle w:val="Bullet"/>
        <w:numPr>
          <w:ilvl w:val="1"/>
          <w:numId w:val="8"/>
        </w:numPr>
        <w:ind w:hanging="357"/>
        <w:contextualSpacing/>
      </w:pPr>
      <w:r>
        <w:t xml:space="preserve">represent a </w:t>
      </w:r>
      <w:r w:rsidR="009B2CE5" w:rsidRPr="00696F88">
        <w:t xml:space="preserve">potential threat to the cleanliness of nearby ground and surface water sources   </w:t>
      </w:r>
    </w:p>
    <w:bookmarkStart w:id="17" w:name="_Toc453955989"/>
    <w:p w14:paraId="30EA1644" w14:textId="77777777" w:rsidR="00737FEA" w:rsidRDefault="00DF13D7" w:rsidP="00A16B6A">
      <w:pPr>
        <w:pStyle w:val="Heading1"/>
      </w:pPr>
      <w:r>
        <w:rPr>
          <w:noProof/>
        </w:rPr>
        <w:lastRenderedPageBreak/>
        <mc:AlternateContent>
          <mc:Choice Requires="wps">
            <w:drawing>
              <wp:anchor distT="0" distB="0" distL="114300" distR="114300" simplePos="0" relativeHeight="251657728" behindDoc="1" locked="0" layoutInCell="1" allowOverlap="1" wp14:anchorId="6A7BDE75" wp14:editId="2D120D4A">
                <wp:simplePos x="0" y="0"/>
                <wp:positionH relativeFrom="margin">
                  <wp:posOffset>-937260</wp:posOffset>
                </wp:positionH>
                <wp:positionV relativeFrom="paragraph">
                  <wp:posOffset>-137795</wp:posOffset>
                </wp:positionV>
                <wp:extent cx="7610475" cy="1468755"/>
                <wp:effectExtent l="0" t="0" r="3810" b="254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B53E3B" id="Rectangle 8" o:spid="_x0000_s1026" style="position:absolute;margin-left:-73.8pt;margin-top:-10.85pt;width:599.25pt;height:115.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" fillcolor="#124486" stroked="f" strokeweight="2pt">
                <w10:wrap anchorx="margin"/>
              </v:rect>
            </w:pict>
          </mc:Fallback>
        </mc:AlternateContent>
      </w:r>
      <w:r w:rsidR="001A06C5">
        <w:t>3</w:t>
      </w:r>
      <w:r w:rsidR="00A16B6A">
        <w:tab/>
      </w:r>
      <w:r w:rsidR="00737FEA">
        <w:t>Findings</w:t>
      </w:r>
      <w:bookmarkEnd w:id="17"/>
      <w:r w:rsidR="00737FEA">
        <w:t xml:space="preserve">   </w:t>
      </w:r>
    </w:p>
    <w:p w14:paraId="1F64EA93" w14:textId="77777777" w:rsidR="00DE14CF" w:rsidRPr="006409EB" w:rsidRDefault="00DE14CF" w:rsidP="00DE14CF">
      <w:pPr>
        <w:rPr>
          <w:b/>
        </w:rPr>
      </w:pPr>
      <w:r>
        <w:t>This chapter discusses the extent to which the objective and outputs of the</w:t>
      </w:r>
      <w:r w:rsidR="00D0308E">
        <w:t xml:space="preserve"> Solomon Water Development Plan </w:t>
      </w:r>
      <w:r>
        <w:t>have been achieved.</w:t>
      </w:r>
      <w:r w:rsidR="006409EB">
        <w:t xml:space="preserve"> This chapter also examines </w:t>
      </w:r>
      <w:r w:rsidRPr="000F71BB">
        <w:t xml:space="preserve">DFAT </w:t>
      </w:r>
      <w:r w:rsidR="00A26DCC">
        <w:t>support for implementation</w:t>
      </w:r>
      <w:r w:rsidR="00311A4A">
        <w:t>,</w:t>
      </w:r>
      <w:r w:rsidR="00A26DCC">
        <w:t xml:space="preserve"> </w:t>
      </w:r>
      <w:r w:rsidRPr="000F71BB">
        <w:t>modalities</w:t>
      </w:r>
      <w:r w:rsidR="00A26DCC">
        <w:t>, and risk management</w:t>
      </w:r>
      <w:r w:rsidRPr="000F71BB">
        <w:t xml:space="preserve">. </w:t>
      </w:r>
      <w:r w:rsidR="006409EB" w:rsidRPr="000F71BB">
        <w:t xml:space="preserve">It concludes with a brief discussion on the adequacy of the monitoring and evaluation </w:t>
      </w:r>
      <w:r w:rsidR="00046940" w:rsidRPr="000F71BB">
        <w:t>mechanisms.</w:t>
      </w:r>
    </w:p>
    <w:p w14:paraId="7D87C1E5" w14:textId="77777777" w:rsidR="009777AF" w:rsidRDefault="00D63EF3" w:rsidP="009777AF">
      <w:pPr>
        <w:pStyle w:val="Heading2"/>
        <w:rPr>
          <w:rFonts w:eastAsia="Calibri"/>
          <w:lang w:val="en-NZ"/>
        </w:rPr>
      </w:pPr>
      <w:bookmarkStart w:id="18" w:name="_Toc453955990"/>
      <w:r>
        <w:rPr>
          <w:rFonts w:eastAsia="Calibri"/>
          <w:lang w:val="en-NZ"/>
        </w:rPr>
        <w:t>3.1</w:t>
      </w:r>
      <w:r>
        <w:rPr>
          <w:rFonts w:eastAsia="Calibri"/>
          <w:lang w:val="en-NZ"/>
        </w:rPr>
        <w:tab/>
      </w:r>
      <w:r w:rsidR="009777AF">
        <w:rPr>
          <w:rFonts w:eastAsia="Calibri"/>
          <w:lang w:val="en-NZ"/>
        </w:rPr>
        <w:t xml:space="preserve">Achievements against the </w:t>
      </w:r>
      <w:r w:rsidR="006409EB">
        <w:rPr>
          <w:rFonts w:eastAsia="Calibri"/>
          <w:lang w:val="en-NZ"/>
        </w:rPr>
        <w:t xml:space="preserve">Solomon Water </w:t>
      </w:r>
      <w:r w:rsidR="009777AF" w:rsidRPr="00440064">
        <w:rPr>
          <w:rFonts w:eastAsia="Calibri"/>
          <w:lang w:val="en-NZ"/>
        </w:rPr>
        <w:t>Development Plan</w:t>
      </w:r>
      <w:r w:rsidR="009777AF">
        <w:rPr>
          <w:rFonts w:eastAsia="Calibri"/>
          <w:lang w:val="en-NZ"/>
        </w:rPr>
        <w:t xml:space="preserve"> objective and outputs</w:t>
      </w:r>
      <w:bookmarkEnd w:id="18"/>
      <w:r w:rsidR="009777AF">
        <w:rPr>
          <w:rFonts w:eastAsia="Calibri"/>
          <w:lang w:val="en-NZ"/>
        </w:rPr>
        <w:t xml:space="preserve"> </w:t>
      </w:r>
    </w:p>
    <w:p w14:paraId="5C266CBE" w14:textId="77777777" w:rsidR="009777AF" w:rsidRDefault="00D63EF3" w:rsidP="00186C2C">
      <w:pPr>
        <w:pStyle w:val="Heading3"/>
        <w:rPr>
          <w:rFonts w:eastAsia="Calibri"/>
          <w:lang w:val="en-NZ" w:eastAsia="en-US"/>
        </w:rPr>
      </w:pPr>
      <w:r>
        <w:rPr>
          <w:rFonts w:eastAsia="Calibri"/>
          <w:lang w:val="en-NZ" w:eastAsia="en-US"/>
        </w:rPr>
        <w:t>3.1.</w:t>
      </w:r>
      <w:r w:rsidR="00186C2C" w:rsidRPr="00046940">
        <w:rPr>
          <w:rFonts w:eastAsia="Calibri"/>
          <w:lang w:val="en-NZ" w:eastAsia="en-US"/>
        </w:rPr>
        <w:t>1</w:t>
      </w:r>
      <w:r w:rsidR="00186C2C" w:rsidRPr="00046940">
        <w:rPr>
          <w:rFonts w:eastAsia="Calibri"/>
          <w:lang w:val="en-NZ" w:eastAsia="en-US"/>
        </w:rPr>
        <w:tab/>
      </w:r>
      <w:r w:rsidR="00046940" w:rsidRPr="00046940">
        <w:rPr>
          <w:rFonts w:eastAsia="Calibri"/>
          <w:i/>
          <w:lang w:val="en-NZ" w:eastAsia="en-US"/>
        </w:rPr>
        <w:t>Objective</w:t>
      </w:r>
      <w:r w:rsidR="00046940" w:rsidRPr="00046940">
        <w:rPr>
          <w:rFonts w:eastAsia="Calibri"/>
          <w:lang w:val="en-NZ" w:eastAsia="en-US"/>
        </w:rPr>
        <w:t xml:space="preserve">: </w:t>
      </w:r>
      <w:r w:rsidR="009777AF" w:rsidRPr="00046940">
        <w:rPr>
          <w:rFonts w:eastAsia="Calibri"/>
          <w:lang w:val="en-NZ" w:eastAsia="en-US"/>
        </w:rPr>
        <w:t>Improved levels of service (</w:t>
      </w:r>
      <w:r w:rsidR="00046940" w:rsidRPr="00046940">
        <w:rPr>
          <w:rFonts w:eastAsia="Calibri"/>
          <w:lang w:val="en-NZ" w:eastAsia="en-US"/>
        </w:rPr>
        <w:t xml:space="preserve">in terms of </w:t>
      </w:r>
      <w:r w:rsidR="009777AF" w:rsidRPr="00046940">
        <w:rPr>
          <w:rFonts w:eastAsia="Calibri"/>
          <w:lang w:val="en-NZ" w:eastAsia="en-US"/>
        </w:rPr>
        <w:t>quantity, quality, reliability) to a larger proportion</w:t>
      </w:r>
      <w:r w:rsidR="009777AF" w:rsidRPr="00440064">
        <w:rPr>
          <w:rFonts w:eastAsia="Calibri"/>
          <w:lang w:val="en-NZ" w:eastAsia="en-US"/>
        </w:rPr>
        <w:t xml:space="preserve"> of people in the existing service area</w:t>
      </w:r>
      <w:r w:rsidR="00186C2C">
        <w:rPr>
          <w:rFonts w:eastAsia="Calibri"/>
          <w:lang w:val="en-NZ" w:eastAsia="en-US"/>
        </w:rPr>
        <w:t>,</w:t>
      </w:r>
      <w:r w:rsidR="009777AF" w:rsidRPr="00440064">
        <w:rPr>
          <w:rFonts w:eastAsia="Calibri"/>
          <w:lang w:val="en-NZ" w:eastAsia="en-US"/>
        </w:rPr>
        <w:t xml:space="preserve"> based on a sound financial position. </w:t>
      </w:r>
    </w:p>
    <w:p w14:paraId="4926AD48" w14:textId="77777777" w:rsidR="009777AF" w:rsidRDefault="006409EB" w:rsidP="00613243">
      <w:pPr>
        <w:rPr>
          <w:rFonts w:eastAsia="Calibri"/>
          <w:lang w:val="en-NZ" w:eastAsia="en-US"/>
        </w:rPr>
      </w:pPr>
      <w:r>
        <w:rPr>
          <w:rFonts w:eastAsia="Calibri"/>
          <w:lang w:val="en-NZ" w:eastAsia="en-US"/>
        </w:rPr>
        <w:t xml:space="preserve">The specific achievements related to </w:t>
      </w:r>
      <w:r w:rsidR="009777AF">
        <w:rPr>
          <w:rFonts w:eastAsia="Calibri"/>
          <w:lang w:val="en-NZ" w:eastAsia="en-US"/>
        </w:rPr>
        <w:t>improved level</w:t>
      </w:r>
      <w:r w:rsidR="00AF0C66">
        <w:rPr>
          <w:rFonts w:eastAsia="Calibri"/>
          <w:lang w:val="en-NZ" w:eastAsia="en-US"/>
        </w:rPr>
        <w:t>s</w:t>
      </w:r>
      <w:r w:rsidR="009777AF">
        <w:rPr>
          <w:rFonts w:eastAsia="Calibri"/>
          <w:lang w:val="en-NZ" w:eastAsia="en-US"/>
        </w:rPr>
        <w:t xml:space="preserve"> of service </w:t>
      </w:r>
      <w:r>
        <w:rPr>
          <w:rFonts w:eastAsia="Calibri"/>
          <w:lang w:val="en-NZ" w:eastAsia="en-US"/>
        </w:rPr>
        <w:t xml:space="preserve">are detailed in section 3.1.2 </w:t>
      </w:r>
      <w:r w:rsidR="00AF0C66">
        <w:rPr>
          <w:rFonts w:eastAsia="Calibri"/>
          <w:lang w:val="en-NZ" w:eastAsia="en-US"/>
        </w:rPr>
        <w:t xml:space="preserve">and show </w:t>
      </w:r>
      <w:r>
        <w:rPr>
          <w:rFonts w:eastAsia="Calibri"/>
          <w:lang w:val="en-NZ" w:eastAsia="en-US"/>
        </w:rPr>
        <w:t xml:space="preserve">that considerable progress has been made in improving the quality, quantity and reliability of water supply across Honiara as a result of the implementation of the </w:t>
      </w:r>
      <w:r w:rsidR="00E12034">
        <w:rPr>
          <w:rFonts w:eastAsia="Calibri"/>
          <w:lang w:val="en-NZ" w:eastAsia="en-US"/>
        </w:rPr>
        <w:t>Development Plan</w:t>
      </w:r>
      <w:r>
        <w:rPr>
          <w:rFonts w:eastAsia="Calibri"/>
          <w:lang w:val="en-NZ" w:eastAsia="en-US"/>
        </w:rPr>
        <w:t>.</w:t>
      </w:r>
    </w:p>
    <w:p w14:paraId="6BD29173" w14:textId="77777777" w:rsidR="009777AF" w:rsidRDefault="00AF0C66" w:rsidP="00613243">
      <w:pPr>
        <w:rPr>
          <w:rFonts w:eastAsia="Calibri"/>
          <w:lang w:val="en-NZ" w:eastAsia="en-US"/>
        </w:rPr>
      </w:pPr>
      <w:r>
        <w:rPr>
          <w:rFonts w:eastAsia="Calibri"/>
          <w:lang w:val="en-NZ" w:eastAsia="en-US"/>
        </w:rPr>
        <w:t>Solomon Water has had mixed success p</w:t>
      </w:r>
      <w:r w:rsidR="009777AF">
        <w:rPr>
          <w:rFonts w:eastAsia="Calibri"/>
          <w:lang w:val="en-NZ" w:eastAsia="en-US"/>
        </w:rPr>
        <w:t>rovid</w:t>
      </w:r>
      <w:r>
        <w:rPr>
          <w:rFonts w:eastAsia="Calibri"/>
          <w:lang w:val="en-NZ" w:eastAsia="en-US"/>
        </w:rPr>
        <w:t>ing these improved services</w:t>
      </w:r>
      <w:r w:rsidR="009777AF">
        <w:rPr>
          <w:rFonts w:eastAsia="Calibri"/>
          <w:lang w:val="en-NZ" w:eastAsia="en-US"/>
        </w:rPr>
        <w:t xml:space="preserve"> to a </w:t>
      </w:r>
      <w:r w:rsidR="009777AF" w:rsidRPr="00DB6588">
        <w:rPr>
          <w:rFonts w:eastAsia="Calibri"/>
          <w:b/>
          <w:lang w:val="en-NZ" w:eastAsia="en-US"/>
        </w:rPr>
        <w:t xml:space="preserve">larger proportion of people </w:t>
      </w:r>
      <w:r w:rsidR="009777AF">
        <w:rPr>
          <w:rFonts w:eastAsia="Calibri"/>
          <w:lang w:val="en-NZ" w:eastAsia="en-US"/>
        </w:rPr>
        <w:t>within the existing service area. While the number of service connections within the existing service area increased between 201</w:t>
      </w:r>
      <w:r w:rsidR="006570AB">
        <w:rPr>
          <w:rFonts w:eastAsia="Calibri"/>
          <w:lang w:val="en-NZ" w:eastAsia="en-US"/>
        </w:rPr>
        <w:t>3</w:t>
      </w:r>
      <w:r w:rsidR="009777AF">
        <w:rPr>
          <w:rFonts w:eastAsia="Calibri"/>
          <w:lang w:val="en-NZ" w:eastAsia="en-US"/>
        </w:rPr>
        <w:t xml:space="preserve"> and 2014, it decreased significantly to </w:t>
      </w:r>
      <w:r w:rsidR="009777AF" w:rsidRPr="00AF0C66">
        <w:rPr>
          <w:rFonts w:eastAsia="Calibri"/>
          <w:lang w:val="en-NZ" w:eastAsia="en-US"/>
        </w:rPr>
        <w:t>7</w:t>
      </w:r>
      <w:r w:rsidR="00FA46A7">
        <w:rPr>
          <w:rFonts w:eastAsia="Calibri"/>
          <w:lang w:val="en-NZ" w:eastAsia="en-US"/>
        </w:rPr>
        <w:t>,</w:t>
      </w:r>
      <w:r w:rsidR="009777AF" w:rsidRPr="00AF0C66">
        <w:rPr>
          <w:rFonts w:eastAsia="Calibri"/>
          <w:lang w:val="en-NZ" w:eastAsia="en-US"/>
        </w:rPr>
        <w:t>195</w:t>
      </w:r>
      <w:r w:rsidR="009777AF">
        <w:rPr>
          <w:rFonts w:eastAsia="Calibri"/>
          <w:lang w:val="en-NZ" w:eastAsia="en-US"/>
        </w:rPr>
        <w:t xml:space="preserve"> in 2015</w:t>
      </w:r>
      <w:r w:rsidR="006570AB">
        <w:rPr>
          <w:rFonts w:eastAsia="Calibri"/>
          <w:lang w:val="en-NZ" w:eastAsia="en-US"/>
        </w:rPr>
        <w:t xml:space="preserve"> (Figure </w:t>
      </w:r>
      <w:r w:rsidR="00BB5E57">
        <w:rPr>
          <w:rFonts w:eastAsia="Calibri"/>
          <w:lang w:val="en-NZ" w:eastAsia="en-US"/>
        </w:rPr>
        <w:t>1</w:t>
      </w:r>
      <w:r w:rsidR="006570AB">
        <w:rPr>
          <w:rFonts w:eastAsia="Calibri"/>
          <w:lang w:val="en-NZ" w:eastAsia="en-US"/>
        </w:rPr>
        <w:t xml:space="preserve">) as </w:t>
      </w:r>
      <w:r w:rsidR="009777AF">
        <w:rPr>
          <w:rFonts w:eastAsia="Calibri"/>
          <w:lang w:val="en-NZ" w:eastAsia="en-US"/>
        </w:rPr>
        <w:t xml:space="preserve">result of </w:t>
      </w:r>
      <w:r w:rsidR="00696F88">
        <w:rPr>
          <w:rFonts w:eastAsia="Calibri"/>
          <w:lang w:val="en-NZ" w:eastAsia="en-US"/>
        </w:rPr>
        <w:t>a structured and more rigorous</w:t>
      </w:r>
      <w:r w:rsidR="00B05FA5">
        <w:rPr>
          <w:rFonts w:eastAsia="Calibri"/>
          <w:lang w:val="en-NZ" w:eastAsia="en-US"/>
        </w:rPr>
        <w:t xml:space="preserve"> </w:t>
      </w:r>
      <w:r w:rsidR="006570AB">
        <w:rPr>
          <w:rFonts w:eastAsia="Calibri"/>
          <w:lang w:val="en-NZ" w:eastAsia="en-US"/>
        </w:rPr>
        <w:t xml:space="preserve">approach </w:t>
      </w:r>
      <w:r w:rsidR="00B05FA5">
        <w:rPr>
          <w:rFonts w:eastAsia="Calibri"/>
          <w:lang w:val="en-NZ" w:eastAsia="en-US"/>
        </w:rPr>
        <w:t xml:space="preserve">to disconnecting overdue accounts </w:t>
      </w:r>
      <w:r w:rsidR="009777AF">
        <w:rPr>
          <w:rFonts w:eastAsia="Calibri"/>
          <w:lang w:val="en-NZ" w:eastAsia="en-US"/>
        </w:rPr>
        <w:t>in 2015</w:t>
      </w:r>
      <w:r w:rsidR="00A94CB4">
        <w:rPr>
          <w:rStyle w:val="FootnoteReference"/>
          <w:rFonts w:eastAsia="Calibri"/>
          <w:lang w:val="en-NZ" w:eastAsia="en-US"/>
        </w:rPr>
        <w:footnoteReference w:id="5"/>
      </w:r>
      <w:r w:rsidR="006570AB">
        <w:rPr>
          <w:rFonts w:eastAsia="Calibri"/>
          <w:lang w:val="en-NZ" w:eastAsia="en-US"/>
        </w:rPr>
        <w:t xml:space="preserve">. Encouragingly the number of new connections has been gradually increasing during the period of the Development Plan </w:t>
      </w:r>
      <w:r w:rsidR="009777AF" w:rsidRPr="00B05FA5">
        <w:rPr>
          <w:rFonts w:eastAsia="Calibri"/>
          <w:lang w:val="en-NZ" w:eastAsia="en-US"/>
        </w:rPr>
        <w:t xml:space="preserve">(Figure </w:t>
      </w:r>
      <w:r w:rsidR="001E368B" w:rsidRPr="00B05FA5">
        <w:rPr>
          <w:rFonts w:eastAsia="Calibri"/>
          <w:lang w:val="en-NZ" w:eastAsia="en-US"/>
        </w:rPr>
        <w:t>1)</w:t>
      </w:r>
      <w:r w:rsidR="009777AF" w:rsidRPr="00B05FA5">
        <w:rPr>
          <w:rFonts w:eastAsia="Calibri"/>
          <w:lang w:val="en-NZ" w:eastAsia="en-US"/>
        </w:rPr>
        <w:t>.</w:t>
      </w:r>
    </w:p>
    <w:p w14:paraId="0822D102" w14:textId="77777777" w:rsidR="00105F4B" w:rsidRDefault="00105F4B" w:rsidP="00105F4B">
      <w:pPr>
        <w:pStyle w:val="FigureName"/>
        <w:rPr>
          <w:rFonts w:eastAsia="Calibri"/>
          <w:lang w:val="en-NZ" w:eastAsia="en-US"/>
        </w:rPr>
      </w:pPr>
      <w:bookmarkStart w:id="19" w:name="_Toc453956015"/>
      <w:r>
        <w:rPr>
          <w:rFonts w:eastAsia="Calibri"/>
          <w:lang w:val="en-NZ" w:eastAsia="en-US"/>
        </w:rPr>
        <w:t xml:space="preserve">Figure </w:t>
      </w:r>
      <w:r w:rsidR="001E368B">
        <w:rPr>
          <w:rFonts w:eastAsia="Calibri"/>
          <w:lang w:val="en-NZ" w:eastAsia="en-US"/>
        </w:rPr>
        <w:t>1</w:t>
      </w:r>
      <w:r>
        <w:rPr>
          <w:rFonts w:eastAsia="Calibri"/>
          <w:lang w:val="en-NZ" w:eastAsia="en-US"/>
        </w:rPr>
        <w:tab/>
      </w:r>
      <w:r w:rsidR="006570AB">
        <w:rPr>
          <w:rFonts w:eastAsia="Calibri"/>
          <w:lang w:val="en-NZ" w:eastAsia="en-US"/>
        </w:rPr>
        <w:t>S</w:t>
      </w:r>
      <w:r>
        <w:rPr>
          <w:rFonts w:eastAsia="Calibri"/>
          <w:lang w:val="en-NZ" w:eastAsia="en-US"/>
        </w:rPr>
        <w:t>ervice connections 201</w:t>
      </w:r>
      <w:r w:rsidR="00C22A34">
        <w:rPr>
          <w:rFonts w:eastAsia="Calibri"/>
          <w:lang w:val="en-NZ" w:eastAsia="en-US"/>
        </w:rPr>
        <w:t>3</w:t>
      </w:r>
      <w:r>
        <w:rPr>
          <w:rFonts w:eastAsia="Calibri"/>
          <w:lang w:val="en-NZ" w:eastAsia="en-US"/>
        </w:rPr>
        <w:t>-2015</w:t>
      </w:r>
      <w:bookmarkEnd w:id="19"/>
    </w:p>
    <w:tbl>
      <w:tblPr>
        <w:tblW w:w="0" w:type="auto"/>
        <w:jc w:val="center"/>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615"/>
        <w:gridCol w:w="2627"/>
        <w:gridCol w:w="222"/>
        <w:gridCol w:w="2757"/>
      </w:tblGrid>
      <w:tr w:rsidR="00A94CB4" w:rsidRPr="003B09BE" w14:paraId="252D2EB0" w14:textId="77777777" w:rsidTr="003B09BE">
        <w:trPr>
          <w:trHeight w:val="300"/>
          <w:jc w:val="center"/>
        </w:trPr>
        <w:tc>
          <w:tcPr>
            <w:tcW w:w="0" w:type="auto"/>
            <w:shd w:val="clear" w:color="auto" w:fill="007FAD"/>
            <w:noWrap/>
            <w:hideMark/>
          </w:tcPr>
          <w:p w14:paraId="3AB8E051" w14:textId="77777777" w:rsidR="00A94CB4" w:rsidRPr="004271D3" w:rsidRDefault="00A94CB4" w:rsidP="004271D3">
            <w:pPr>
              <w:pStyle w:val="TableHeading2"/>
              <w:spacing w:before="0" w:after="0"/>
              <w:rPr>
                <w:rFonts w:ascii="Segoe UI" w:hAnsi="Segoe UI"/>
                <w:sz w:val="18"/>
                <w:szCs w:val="18"/>
                <w:lang w:val="en-NZ" w:eastAsia="en-NZ"/>
              </w:rPr>
            </w:pPr>
            <w:r w:rsidRPr="004271D3">
              <w:rPr>
                <w:sz w:val="18"/>
                <w:szCs w:val="18"/>
                <w:lang w:val="en-NZ" w:eastAsia="en-NZ"/>
              </w:rPr>
              <w:t>Year</w:t>
            </w:r>
          </w:p>
        </w:tc>
        <w:tc>
          <w:tcPr>
            <w:tcW w:w="0" w:type="auto"/>
            <w:shd w:val="clear" w:color="auto" w:fill="007FAD"/>
            <w:noWrap/>
          </w:tcPr>
          <w:p w14:paraId="61824BCE" w14:textId="77777777" w:rsidR="00A94CB4" w:rsidRPr="004271D3" w:rsidRDefault="00A94CB4" w:rsidP="004271D3">
            <w:pPr>
              <w:pStyle w:val="TableHeading2"/>
              <w:spacing w:before="0" w:after="0"/>
              <w:jc w:val="center"/>
              <w:rPr>
                <w:sz w:val="18"/>
                <w:szCs w:val="18"/>
                <w:lang w:val="en-NZ" w:eastAsia="en-NZ"/>
              </w:rPr>
            </w:pPr>
            <w:r w:rsidRPr="004271D3">
              <w:rPr>
                <w:sz w:val="18"/>
                <w:szCs w:val="18"/>
                <w:lang w:val="en-NZ" w:eastAsia="en-NZ"/>
              </w:rPr>
              <w:t>Number of new connections</w:t>
            </w:r>
          </w:p>
        </w:tc>
        <w:tc>
          <w:tcPr>
            <w:tcW w:w="0" w:type="auto"/>
            <w:shd w:val="clear" w:color="auto" w:fill="007FAD"/>
            <w:hideMark/>
          </w:tcPr>
          <w:p w14:paraId="5EA30982" w14:textId="77777777" w:rsidR="00A94CB4" w:rsidRPr="004271D3" w:rsidRDefault="00A94CB4" w:rsidP="004271D3">
            <w:pPr>
              <w:spacing w:before="0" w:after="0" w:line="200" w:lineRule="atLeast"/>
              <w:rPr>
                <w:rFonts w:ascii="Segoe UI" w:hAnsi="Segoe UI" w:cs="Segoe UI"/>
                <w:color w:val="000000"/>
                <w:sz w:val="18"/>
                <w:szCs w:val="18"/>
                <w:lang w:val="en-NZ" w:eastAsia="en-NZ"/>
              </w:rPr>
            </w:pPr>
          </w:p>
        </w:tc>
        <w:tc>
          <w:tcPr>
            <w:tcW w:w="0" w:type="auto"/>
            <w:shd w:val="clear" w:color="auto" w:fill="007FAD"/>
          </w:tcPr>
          <w:p w14:paraId="2FB09ABE" w14:textId="77777777" w:rsidR="00A94CB4" w:rsidRPr="004271D3" w:rsidRDefault="00A94CB4" w:rsidP="004271D3">
            <w:pPr>
              <w:pStyle w:val="TableHeading2"/>
              <w:spacing w:before="0" w:after="0"/>
              <w:jc w:val="center"/>
              <w:rPr>
                <w:sz w:val="18"/>
                <w:szCs w:val="18"/>
                <w:lang w:val="en-NZ" w:eastAsia="en-NZ"/>
              </w:rPr>
            </w:pPr>
            <w:r w:rsidRPr="004271D3">
              <w:rPr>
                <w:sz w:val="18"/>
                <w:szCs w:val="18"/>
                <w:lang w:val="en-NZ" w:eastAsia="en-NZ"/>
              </w:rPr>
              <w:t>Total connections at year end</w:t>
            </w:r>
          </w:p>
        </w:tc>
      </w:tr>
      <w:tr w:rsidR="00A94CB4" w:rsidRPr="003B09BE" w14:paraId="49256CE7" w14:textId="77777777" w:rsidTr="003B09BE">
        <w:trPr>
          <w:trHeight w:val="315"/>
          <w:jc w:val="center"/>
        </w:trPr>
        <w:tc>
          <w:tcPr>
            <w:tcW w:w="0" w:type="auto"/>
            <w:shd w:val="clear" w:color="auto" w:fill="FFFFFF"/>
            <w:noWrap/>
            <w:hideMark/>
          </w:tcPr>
          <w:p w14:paraId="5164CA3D" w14:textId="77777777" w:rsidR="00A94CB4" w:rsidRPr="00C22A34" w:rsidRDefault="00A94CB4" w:rsidP="004271D3">
            <w:pPr>
              <w:pStyle w:val="TableText"/>
              <w:spacing w:before="0" w:after="0"/>
            </w:pPr>
            <w:r w:rsidRPr="00C22A34">
              <w:t>2013</w:t>
            </w:r>
          </w:p>
        </w:tc>
        <w:tc>
          <w:tcPr>
            <w:tcW w:w="0" w:type="auto"/>
            <w:gridSpan w:val="2"/>
            <w:shd w:val="clear" w:color="auto" w:fill="FFFFFF"/>
            <w:noWrap/>
            <w:vAlign w:val="center"/>
            <w:hideMark/>
          </w:tcPr>
          <w:p w14:paraId="22AF57C2" w14:textId="77777777" w:rsidR="00A94CB4" w:rsidRPr="00C22A34" w:rsidRDefault="00A94CB4" w:rsidP="004271D3">
            <w:pPr>
              <w:pStyle w:val="TableText"/>
              <w:spacing w:before="0" w:after="0"/>
              <w:jc w:val="center"/>
            </w:pPr>
            <w:r w:rsidRPr="00C22A34">
              <w:t>200</w:t>
            </w:r>
          </w:p>
        </w:tc>
        <w:tc>
          <w:tcPr>
            <w:tcW w:w="0" w:type="auto"/>
            <w:shd w:val="clear" w:color="auto" w:fill="FFFFFF"/>
          </w:tcPr>
          <w:p w14:paraId="3BC67FE6" w14:textId="77777777" w:rsidR="00A94CB4" w:rsidRPr="00C22A34" w:rsidRDefault="00A94CB4" w:rsidP="004271D3">
            <w:pPr>
              <w:pStyle w:val="TableText"/>
              <w:spacing w:before="0" w:after="0"/>
              <w:jc w:val="center"/>
            </w:pPr>
            <w:r>
              <w:t>7 890</w:t>
            </w:r>
          </w:p>
        </w:tc>
      </w:tr>
      <w:tr w:rsidR="00A94CB4" w:rsidRPr="003B09BE" w14:paraId="0A08D742" w14:textId="77777777" w:rsidTr="003B09BE">
        <w:trPr>
          <w:trHeight w:val="300"/>
          <w:jc w:val="center"/>
        </w:trPr>
        <w:tc>
          <w:tcPr>
            <w:tcW w:w="0" w:type="auto"/>
            <w:shd w:val="clear" w:color="auto" w:fill="FFFFFF"/>
            <w:noWrap/>
            <w:hideMark/>
          </w:tcPr>
          <w:p w14:paraId="3BCFA54C" w14:textId="77777777" w:rsidR="00A94CB4" w:rsidRPr="00C22A34" w:rsidRDefault="00A94CB4" w:rsidP="004271D3">
            <w:pPr>
              <w:pStyle w:val="TableText"/>
              <w:spacing w:before="0" w:after="0"/>
            </w:pPr>
            <w:r w:rsidRPr="00C22A34">
              <w:t>2014</w:t>
            </w:r>
          </w:p>
        </w:tc>
        <w:tc>
          <w:tcPr>
            <w:tcW w:w="0" w:type="auto"/>
            <w:gridSpan w:val="2"/>
            <w:shd w:val="clear" w:color="auto" w:fill="FFFFFF"/>
            <w:noWrap/>
            <w:vAlign w:val="center"/>
            <w:hideMark/>
          </w:tcPr>
          <w:p w14:paraId="2805241C" w14:textId="77777777" w:rsidR="00A94CB4" w:rsidRPr="00C22A34" w:rsidRDefault="00A94CB4" w:rsidP="004271D3">
            <w:pPr>
              <w:pStyle w:val="TableText"/>
              <w:spacing w:before="0" w:after="0"/>
              <w:jc w:val="center"/>
            </w:pPr>
            <w:r w:rsidRPr="00C22A34">
              <w:t>289</w:t>
            </w:r>
          </w:p>
        </w:tc>
        <w:tc>
          <w:tcPr>
            <w:tcW w:w="0" w:type="auto"/>
            <w:shd w:val="clear" w:color="auto" w:fill="FFFFFF"/>
          </w:tcPr>
          <w:p w14:paraId="6847154B" w14:textId="77777777" w:rsidR="00A94CB4" w:rsidRPr="00C22A34" w:rsidRDefault="00A94CB4" w:rsidP="004271D3">
            <w:pPr>
              <w:pStyle w:val="TableText"/>
              <w:spacing w:before="0" w:after="0"/>
              <w:jc w:val="center"/>
            </w:pPr>
            <w:r>
              <w:t>9 845</w:t>
            </w:r>
          </w:p>
        </w:tc>
      </w:tr>
      <w:tr w:rsidR="00A94CB4" w:rsidRPr="003B09BE" w14:paraId="36A16C29" w14:textId="77777777" w:rsidTr="003B09BE">
        <w:trPr>
          <w:trHeight w:val="300"/>
          <w:jc w:val="center"/>
        </w:trPr>
        <w:tc>
          <w:tcPr>
            <w:tcW w:w="0" w:type="auto"/>
            <w:shd w:val="clear" w:color="auto" w:fill="FFFFFF"/>
            <w:noWrap/>
            <w:hideMark/>
          </w:tcPr>
          <w:p w14:paraId="1036BFDE" w14:textId="77777777" w:rsidR="00A94CB4" w:rsidRPr="00C22A34" w:rsidRDefault="00A94CB4" w:rsidP="004271D3">
            <w:pPr>
              <w:pStyle w:val="TableText"/>
              <w:spacing w:before="0" w:after="0"/>
            </w:pPr>
            <w:r w:rsidRPr="00C22A34">
              <w:t>2015</w:t>
            </w:r>
          </w:p>
        </w:tc>
        <w:tc>
          <w:tcPr>
            <w:tcW w:w="0" w:type="auto"/>
            <w:gridSpan w:val="2"/>
            <w:shd w:val="clear" w:color="auto" w:fill="FFFFFF"/>
            <w:noWrap/>
            <w:vAlign w:val="center"/>
            <w:hideMark/>
          </w:tcPr>
          <w:p w14:paraId="1F6B66AA" w14:textId="77777777" w:rsidR="00A94CB4" w:rsidRPr="00C22A34" w:rsidRDefault="00A94CB4" w:rsidP="004271D3">
            <w:pPr>
              <w:pStyle w:val="TableText"/>
              <w:spacing w:before="0" w:after="0"/>
              <w:jc w:val="center"/>
            </w:pPr>
            <w:r w:rsidRPr="00C22A34">
              <w:t>312</w:t>
            </w:r>
          </w:p>
        </w:tc>
        <w:tc>
          <w:tcPr>
            <w:tcW w:w="0" w:type="auto"/>
            <w:shd w:val="clear" w:color="auto" w:fill="FFFFFF"/>
          </w:tcPr>
          <w:p w14:paraId="764E5861" w14:textId="77777777" w:rsidR="00A94CB4" w:rsidRPr="00C22A34" w:rsidRDefault="00A94CB4" w:rsidP="004271D3">
            <w:pPr>
              <w:pStyle w:val="TableText"/>
              <w:spacing w:before="0" w:after="0"/>
              <w:jc w:val="center"/>
            </w:pPr>
            <w:r>
              <w:t>7 195</w:t>
            </w:r>
          </w:p>
        </w:tc>
      </w:tr>
      <w:tr w:rsidR="00A94CB4" w:rsidRPr="003B09BE" w14:paraId="5CC0D65C" w14:textId="77777777" w:rsidTr="003B09BE">
        <w:trPr>
          <w:trHeight w:val="300"/>
          <w:jc w:val="center"/>
        </w:trPr>
        <w:tc>
          <w:tcPr>
            <w:tcW w:w="0" w:type="auto"/>
            <w:shd w:val="clear" w:color="auto" w:fill="FFFFFF"/>
            <w:noWrap/>
            <w:hideMark/>
          </w:tcPr>
          <w:p w14:paraId="69BF4286" w14:textId="77777777" w:rsidR="00A94CB4" w:rsidRPr="003B09BE" w:rsidRDefault="00A94CB4" w:rsidP="004271D3">
            <w:pPr>
              <w:pStyle w:val="TableText"/>
              <w:spacing w:before="0" w:after="0"/>
              <w:rPr>
                <w:b/>
              </w:rPr>
            </w:pPr>
            <w:r w:rsidRPr="003B09BE">
              <w:rPr>
                <w:b/>
              </w:rPr>
              <w:t>Total</w:t>
            </w:r>
          </w:p>
        </w:tc>
        <w:tc>
          <w:tcPr>
            <w:tcW w:w="0" w:type="auto"/>
            <w:gridSpan w:val="2"/>
            <w:shd w:val="clear" w:color="auto" w:fill="FFFFFF"/>
            <w:noWrap/>
            <w:vAlign w:val="center"/>
            <w:hideMark/>
          </w:tcPr>
          <w:p w14:paraId="69680284" w14:textId="77777777" w:rsidR="00A94CB4" w:rsidRPr="003B09BE" w:rsidRDefault="00A94CB4" w:rsidP="004271D3">
            <w:pPr>
              <w:pStyle w:val="TableText"/>
              <w:spacing w:before="0" w:after="0"/>
              <w:jc w:val="center"/>
              <w:rPr>
                <w:b/>
              </w:rPr>
            </w:pPr>
            <w:r w:rsidRPr="003B09BE">
              <w:rPr>
                <w:b/>
              </w:rPr>
              <w:t>801</w:t>
            </w:r>
          </w:p>
        </w:tc>
        <w:tc>
          <w:tcPr>
            <w:tcW w:w="0" w:type="auto"/>
            <w:shd w:val="clear" w:color="auto" w:fill="FFFFFF"/>
          </w:tcPr>
          <w:p w14:paraId="56357B1C" w14:textId="77777777" w:rsidR="00A94CB4" w:rsidRPr="003B09BE" w:rsidRDefault="00A94CB4" w:rsidP="004271D3">
            <w:pPr>
              <w:pStyle w:val="TableText"/>
              <w:spacing w:before="0" w:after="0"/>
              <w:jc w:val="center"/>
              <w:rPr>
                <w:b/>
              </w:rPr>
            </w:pPr>
          </w:p>
        </w:tc>
      </w:tr>
    </w:tbl>
    <w:p w14:paraId="43DA9352" w14:textId="23047769" w:rsidR="00634A7C" w:rsidRDefault="00634A7C" w:rsidP="00010702">
      <w:pPr>
        <w:spacing w:before="240"/>
        <w:rPr>
          <w:rFonts w:eastAsia="Calibri"/>
          <w:lang w:val="en-NZ" w:eastAsia="en-US"/>
        </w:rPr>
      </w:pPr>
      <w:r>
        <w:rPr>
          <w:rFonts w:eastAsia="Calibri"/>
          <w:lang w:val="en-NZ" w:eastAsia="en-US"/>
        </w:rPr>
        <w:t>T</w:t>
      </w:r>
      <w:r w:rsidRPr="007F109A">
        <w:rPr>
          <w:rFonts w:eastAsia="Calibri"/>
          <w:lang w:val="en-NZ" w:eastAsia="en-US"/>
        </w:rPr>
        <w:t xml:space="preserve">he financial position of Solomon </w:t>
      </w:r>
      <w:r w:rsidR="00BB2F72">
        <w:rPr>
          <w:rFonts w:eastAsia="Calibri"/>
          <w:lang w:val="en-NZ" w:eastAsia="en-US"/>
        </w:rPr>
        <w:t>W</w:t>
      </w:r>
      <w:r w:rsidRPr="007F109A">
        <w:rPr>
          <w:rFonts w:eastAsia="Calibri"/>
          <w:lang w:val="en-NZ" w:eastAsia="en-US"/>
        </w:rPr>
        <w:t>ater has</w:t>
      </w:r>
      <w:r>
        <w:rPr>
          <w:rFonts w:eastAsia="Calibri"/>
          <w:lang w:val="en-NZ" w:eastAsia="en-US"/>
        </w:rPr>
        <w:t xml:space="preserve"> improved significantly in recent years from an operating loss of SBD 30 million in 2010 to a surplus of </w:t>
      </w:r>
      <w:r w:rsidR="00B24D60">
        <w:rPr>
          <w:rFonts w:eastAsia="Calibri"/>
          <w:lang w:val="en-NZ" w:eastAsia="en-US"/>
        </w:rPr>
        <w:t>SBD</w:t>
      </w:r>
      <w:r>
        <w:rPr>
          <w:rFonts w:eastAsia="Calibri"/>
          <w:lang w:val="en-NZ" w:eastAsia="en-US"/>
        </w:rPr>
        <w:t xml:space="preserve"> 7.17 million in 2015.</w:t>
      </w:r>
      <w:r>
        <w:rPr>
          <w:rStyle w:val="FootnoteReference"/>
          <w:rFonts w:eastAsia="Calibri"/>
          <w:lang w:val="en-NZ" w:eastAsia="en-US"/>
        </w:rPr>
        <w:footnoteReference w:id="6"/>
      </w:r>
      <w:r>
        <w:rPr>
          <w:rFonts w:eastAsia="Calibri"/>
          <w:lang w:val="en-NZ" w:eastAsia="en-US"/>
        </w:rPr>
        <w:t xml:space="preserve"> </w:t>
      </w:r>
      <w:r w:rsidR="000661BF">
        <w:rPr>
          <w:rFonts w:eastAsia="Calibri"/>
          <w:lang w:val="en-NZ" w:eastAsia="en-US"/>
        </w:rPr>
        <w:t xml:space="preserve">However, the true </w:t>
      </w:r>
      <w:r w:rsidRPr="003901AA">
        <w:rPr>
          <w:rFonts w:eastAsia="Calibri"/>
          <w:lang w:val="en-NZ" w:eastAsia="en-US"/>
        </w:rPr>
        <w:t xml:space="preserve">financial </w:t>
      </w:r>
      <w:r w:rsidRPr="003901AA">
        <w:rPr>
          <w:rFonts w:eastAsia="Calibri"/>
          <w:lang w:val="en-NZ" w:eastAsia="en-US"/>
        </w:rPr>
        <w:lastRenderedPageBreak/>
        <w:t xml:space="preserve">position is </w:t>
      </w:r>
      <w:r w:rsidR="000661BF">
        <w:rPr>
          <w:rFonts w:eastAsia="Calibri"/>
          <w:lang w:val="en-NZ" w:eastAsia="en-US"/>
        </w:rPr>
        <w:t xml:space="preserve">distorted </w:t>
      </w:r>
      <w:r w:rsidRPr="003901AA">
        <w:rPr>
          <w:rFonts w:eastAsia="Calibri"/>
          <w:lang w:val="en-NZ" w:eastAsia="en-US"/>
        </w:rPr>
        <w:t>somewhat by donor support</w:t>
      </w:r>
      <w:r w:rsidR="000661BF">
        <w:rPr>
          <w:rFonts w:eastAsia="Calibri"/>
          <w:lang w:val="en-NZ" w:eastAsia="en-US"/>
        </w:rPr>
        <w:t>,</w:t>
      </w:r>
      <w:r w:rsidRPr="003901AA">
        <w:rPr>
          <w:rFonts w:eastAsia="Calibri"/>
          <w:lang w:val="en-NZ" w:eastAsia="en-US"/>
        </w:rPr>
        <w:t xml:space="preserve"> without which an operating loss of about SBD </w:t>
      </w:r>
      <w:r>
        <w:rPr>
          <w:rFonts w:eastAsia="Calibri"/>
          <w:lang w:val="en-NZ" w:eastAsia="en-US"/>
        </w:rPr>
        <w:t>12</w:t>
      </w:r>
      <w:r w:rsidRPr="003901AA">
        <w:rPr>
          <w:rFonts w:eastAsia="Calibri"/>
          <w:lang w:val="en-NZ" w:eastAsia="en-US"/>
        </w:rPr>
        <w:t xml:space="preserve"> million would ensue</w:t>
      </w:r>
      <w:r w:rsidR="00D20295">
        <w:rPr>
          <w:rFonts w:eastAsia="Calibri"/>
          <w:lang w:val="en-NZ" w:eastAsia="en-US"/>
        </w:rPr>
        <w:t xml:space="preserve"> (section 3.1.4 details). </w:t>
      </w:r>
    </w:p>
    <w:p w14:paraId="335294D2" w14:textId="513B2E88" w:rsidR="009777AF" w:rsidRDefault="009777AF" w:rsidP="00613243">
      <w:pPr>
        <w:rPr>
          <w:rFonts w:eastAsia="Calibri"/>
          <w:lang w:val="en-NZ" w:eastAsia="en-US"/>
        </w:rPr>
      </w:pPr>
      <w:r>
        <w:rPr>
          <w:rFonts w:eastAsia="Calibri"/>
          <w:lang w:val="en-NZ" w:eastAsia="en-US"/>
        </w:rPr>
        <w:t>The status of the sewerage system in Honiara</w:t>
      </w:r>
      <w:r w:rsidR="002473AE">
        <w:rPr>
          <w:rFonts w:eastAsia="Calibri"/>
          <w:lang w:val="en-NZ" w:eastAsia="en-US"/>
        </w:rPr>
        <w:t>,</w:t>
      </w:r>
      <w:r>
        <w:rPr>
          <w:rFonts w:eastAsia="Calibri"/>
          <w:lang w:val="en-NZ" w:eastAsia="en-US"/>
        </w:rPr>
        <w:t xml:space="preserve"> and water supply</w:t>
      </w:r>
      <w:r w:rsidR="002473AE">
        <w:rPr>
          <w:rFonts w:eastAsia="Calibri"/>
          <w:lang w:val="en-NZ" w:eastAsia="en-US"/>
        </w:rPr>
        <w:t xml:space="preserve"> </w:t>
      </w:r>
      <w:r w:rsidR="00290242">
        <w:rPr>
          <w:rFonts w:eastAsia="Calibri"/>
          <w:lang w:val="en-NZ" w:eastAsia="en-US"/>
        </w:rPr>
        <w:t>and sewerage</w:t>
      </w:r>
      <w:r>
        <w:rPr>
          <w:rFonts w:eastAsia="Calibri"/>
          <w:lang w:val="en-NZ" w:eastAsia="en-US"/>
        </w:rPr>
        <w:t xml:space="preserve"> systems in the Provincial centres continues to be unsatisfactory. </w:t>
      </w:r>
      <w:r w:rsidR="00FC4E05">
        <w:rPr>
          <w:rFonts w:eastAsia="Calibri"/>
          <w:lang w:val="en-NZ" w:eastAsia="en-US"/>
        </w:rPr>
        <w:t>T</w:t>
      </w:r>
      <w:r>
        <w:rPr>
          <w:rFonts w:eastAsia="Calibri"/>
          <w:lang w:val="en-NZ" w:eastAsia="en-US"/>
        </w:rPr>
        <w:t xml:space="preserve">hese areas were not </w:t>
      </w:r>
      <w:r w:rsidR="009A314A">
        <w:rPr>
          <w:rFonts w:eastAsia="Calibri"/>
          <w:lang w:val="en-NZ" w:eastAsia="en-US"/>
        </w:rPr>
        <w:t xml:space="preserve">included as </w:t>
      </w:r>
      <w:r w:rsidR="00D42991">
        <w:rPr>
          <w:rFonts w:eastAsia="Calibri"/>
          <w:lang w:val="en-NZ" w:eastAsia="en-US"/>
        </w:rPr>
        <w:t xml:space="preserve">specific </w:t>
      </w:r>
      <w:r>
        <w:rPr>
          <w:rFonts w:eastAsia="Calibri"/>
          <w:lang w:val="en-NZ" w:eastAsia="en-US"/>
        </w:rPr>
        <w:t xml:space="preserve">targets of the </w:t>
      </w:r>
      <w:r w:rsidR="00E12034">
        <w:rPr>
          <w:rFonts w:eastAsia="Calibri"/>
          <w:lang w:val="en-NZ" w:eastAsia="en-US"/>
        </w:rPr>
        <w:t>Development Plan</w:t>
      </w:r>
      <w:r w:rsidR="00D42991">
        <w:rPr>
          <w:rFonts w:eastAsia="Calibri"/>
          <w:lang w:val="en-NZ" w:eastAsia="en-US"/>
        </w:rPr>
        <w:t>, although some support was provided to the Provincial operations through the provision of uniforms, vehicles, staff training and systems as well as some new pumps for the Auki water supply system</w:t>
      </w:r>
      <w:r>
        <w:rPr>
          <w:rFonts w:eastAsia="Calibri"/>
          <w:lang w:val="en-NZ" w:eastAsia="en-US"/>
        </w:rPr>
        <w:t xml:space="preserve">. </w:t>
      </w:r>
      <w:r w:rsidR="009A314A">
        <w:rPr>
          <w:rFonts w:eastAsia="Calibri"/>
          <w:lang w:val="en-NZ" w:eastAsia="en-US"/>
        </w:rPr>
        <w:t>It</w:t>
      </w:r>
      <w:r>
        <w:rPr>
          <w:rFonts w:eastAsia="Calibri"/>
          <w:lang w:val="en-NZ" w:eastAsia="en-US"/>
        </w:rPr>
        <w:t xml:space="preserve"> is critical that </w:t>
      </w:r>
      <w:r w:rsidR="002473AE">
        <w:rPr>
          <w:rFonts w:eastAsia="Calibri"/>
          <w:lang w:val="en-NZ" w:eastAsia="en-US"/>
        </w:rPr>
        <w:t xml:space="preserve">the sewerage </w:t>
      </w:r>
      <w:r w:rsidR="00D20295">
        <w:rPr>
          <w:rFonts w:eastAsia="Calibri"/>
          <w:lang w:val="en-NZ" w:eastAsia="en-US"/>
        </w:rPr>
        <w:t xml:space="preserve">system in Honiara </w:t>
      </w:r>
      <w:r w:rsidR="002473AE">
        <w:rPr>
          <w:rFonts w:eastAsia="Calibri"/>
          <w:lang w:val="en-NZ" w:eastAsia="en-US"/>
        </w:rPr>
        <w:t xml:space="preserve">and </w:t>
      </w:r>
      <w:r w:rsidR="00D20295">
        <w:rPr>
          <w:rFonts w:eastAsia="Calibri"/>
          <w:lang w:val="en-NZ" w:eastAsia="en-US"/>
        </w:rPr>
        <w:t xml:space="preserve">the </w:t>
      </w:r>
      <w:r w:rsidR="002473AE">
        <w:rPr>
          <w:rFonts w:eastAsia="Calibri"/>
          <w:lang w:val="en-NZ" w:eastAsia="en-US"/>
        </w:rPr>
        <w:t xml:space="preserve">water supply systems in </w:t>
      </w:r>
      <w:r w:rsidR="00D20295">
        <w:rPr>
          <w:rFonts w:eastAsia="Calibri"/>
          <w:lang w:val="en-NZ" w:eastAsia="en-US"/>
        </w:rPr>
        <w:t xml:space="preserve">Provincial centres </w:t>
      </w:r>
      <w:r w:rsidR="002473AE">
        <w:rPr>
          <w:rFonts w:eastAsia="Calibri"/>
          <w:lang w:val="en-NZ" w:eastAsia="en-US"/>
        </w:rPr>
        <w:t>be addressed</w:t>
      </w:r>
      <w:r>
        <w:rPr>
          <w:rFonts w:eastAsia="Calibri"/>
          <w:lang w:val="en-NZ" w:eastAsia="en-US"/>
        </w:rPr>
        <w:t xml:space="preserve"> in the not</w:t>
      </w:r>
      <w:r w:rsidR="00BB2F72">
        <w:rPr>
          <w:rFonts w:eastAsia="Calibri"/>
          <w:lang w:val="en-NZ" w:eastAsia="en-US"/>
        </w:rPr>
        <w:t>-</w:t>
      </w:r>
      <w:r>
        <w:rPr>
          <w:rFonts w:eastAsia="Calibri"/>
          <w:lang w:val="en-NZ" w:eastAsia="en-US"/>
        </w:rPr>
        <w:t>too</w:t>
      </w:r>
      <w:r w:rsidR="00BB2F72">
        <w:rPr>
          <w:rFonts w:eastAsia="Calibri"/>
          <w:lang w:val="en-NZ" w:eastAsia="en-US"/>
        </w:rPr>
        <w:t>-</w:t>
      </w:r>
      <w:r>
        <w:rPr>
          <w:rFonts w:eastAsia="Calibri"/>
          <w:lang w:val="en-NZ" w:eastAsia="en-US"/>
        </w:rPr>
        <w:t>distant future.</w:t>
      </w:r>
    </w:p>
    <w:p w14:paraId="4FDF5A57" w14:textId="723BA010" w:rsidR="00FA4AF0" w:rsidRDefault="0069619B" w:rsidP="0069619B">
      <w:pPr>
        <w:rPr>
          <w:rFonts w:eastAsia="Calibri"/>
          <w:lang w:eastAsia="en-US"/>
        </w:rPr>
      </w:pPr>
      <w:r w:rsidRPr="004B661C">
        <w:rPr>
          <w:rFonts w:eastAsia="Calibri"/>
          <w:lang w:eastAsia="en-US"/>
        </w:rPr>
        <w:t xml:space="preserve">Overall, the implementation of the Development Plan is likely to be substantially completed by the first quarter of 2017. </w:t>
      </w:r>
      <w:r w:rsidR="00FA4AF0">
        <w:rPr>
          <w:rFonts w:eastAsia="Calibri"/>
          <w:lang w:eastAsia="en-US"/>
        </w:rPr>
        <w:t>However, u</w:t>
      </w:r>
      <w:r>
        <w:rPr>
          <w:rFonts w:eastAsia="Calibri"/>
          <w:lang w:eastAsia="en-US"/>
        </w:rPr>
        <w:t xml:space="preserve">nder-estimation in the original Development Plan </w:t>
      </w:r>
      <w:r w:rsidRPr="0069619B">
        <w:rPr>
          <w:rFonts w:eastAsia="Calibri"/>
          <w:lang w:eastAsia="en-US"/>
        </w:rPr>
        <w:t>budget</w:t>
      </w:r>
      <w:r w:rsidRPr="0069619B">
        <w:rPr>
          <w:rFonts w:eastAsia="Calibri"/>
          <w:vertAlign w:val="superscript"/>
        </w:rPr>
        <w:footnoteReference w:id="7"/>
      </w:r>
      <w:r w:rsidRPr="0069619B">
        <w:rPr>
          <w:rFonts w:eastAsia="Calibri"/>
          <w:lang w:eastAsia="en-US"/>
        </w:rPr>
        <w:t xml:space="preserve"> </w:t>
      </w:r>
      <w:r>
        <w:rPr>
          <w:rFonts w:eastAsia="Calibri"/>
          <w:lang w:eastAsia="en-US"/>
        </w:rPr>
        <w:t xml:space="preserve">will </w:t>
      </w:r>
      <w:r w:rsidR="00133A64">
        <w:rPr>
          <w:rFonts w:eastAsia="Calibri"/>
          <w:lang w:eastAsia="en-US"/>
        </w:rPr>
        <w:t>see</w:t>
      </w:r>
      <w:r>
        <w:rPr>
          <w:rFonts w:eastAsia="Calibri"/>
          <w:lang w:eastAsia="en-US"/>
        </w:rPr>
        <w:t xml:space="preserve"> some </w:t>
      </w:r>
      <w:r w:rsidR="00133A64">
        <w:rPr>
          <w:rFonts w:eastAsia="Calibri"/>
          <w:lang w:eastAsia="en-US"/>
        </w:rPr>
        <w:t xml:space="preserve">capital works </w:t>
      </w:r>
      <w:r>
        <w:rPr>
          <w:rFonts w:eastAsia="Calibri"/>
          <w:lang w:eastAsia="en-US"/>
        </w:rPr>
        <w:t xml:space="preserve">components, including </w:t>
      </w:r>
      <w:r w:rsidRPr="0069619B">
        <w:rPr>
          <w:rFonts w:eastAsia="Calibri"/>
          <w:lang w:eastAsia="en-US"/>
        </w:rPr>
        <w:t>the East Kola Reservoir</w:t>
      </w:r>
      <w:r>
        <w:rPr>
          <w:rFonts w:eastAsia="Calibri"/>
          <w:lang w:eastAsia="en-US"/>
        </w:rPr>
        <w:t xml:space="preserve"> and </w:t>
      </w:r>
      <w:r w:rsidRPr="0069619B">
        <w:rPr>
          <w:rFonts w:eastAsia="Calibri"/>
          <w:lang w:eastAsia="en-US"/>
        </w:rPr>
        <w:t>distribution pipeline improvements</w:t>
      </w:r>
      <w:r>
        <w:rPr>
          <w:rFonts w:eastAsia="Calibri"/>
          <w:lang w:eastAsia="en-US"/>
        </w:rPr>
        <w:t xml:space="preserve">, </w:t>
      </w:r>
      <w:r w:rsidR="00133A64">
        <w:rPr>
          <w:rFonts w:eastAsia="Calibri"/>
          <w:lang w:eastAsia="en-US"/>
        </w:rPr>
        <w:t xml:space="preserve">not being completed within </w:t>
      </w:r>
      <w:r w:rsidR="00A0092E">
        <w:rPr>
          <w:rFonts w:eastAsia="Calibri"/>
          <w:lang w:eastAsia="en-US"/>
        </w:rPr>
        <w:t>the current budget</w:t>
      </w:r>
      <w:r>
        <w:rPr>
          <w:rFonts w:eastAsia="Calibri"/>
          <w:lang w:eastAsia="en-US"/>
        </w:rPr>
        <w:t>. Solomon Water will require a</w:t>
      </w:r>
      <w:r w:rsidRPr="0069619B">
        <w:rPr>
          <w:rFonts w:eastAsia="Calibri"/>
          <w:lang w:eastAsia="en-US"/>
        </w:rPr>
        <w:t xml:space="preserve">dditional funding </w:t>
      </w:r>
      <w:r>
        <w:rPr>
          <w:rFonts w:eastAsia="Calibri"/>
          <w:lang w:eastAsia="en-US"/>
        </w:rPr>
        <w:t>to complete these works</w:t>
      </w:r>
      <w:r w:rsidRPr="0069619B">
        <w:rPr>
          <w:rFonts w:eastAsia="Calibri"/>
          <w:lang w:eastAsia="en-US"/>
        </w:rPr>
        <w:t xml:space="preserve">. </w:t>
      </w:r>
    </w:p>
    <w:p w14:paraId="44BFA4BB" w14:textId="1399CF1F" w:rsidR="0069619B" w:rsidRPr="0069619B" w:rsidRDefault="00FA4AF0" w:rsidP="0069619B">
      <w:pPr>
        <w:rPr>
          <w:rFonts w:eastAsia="Calibri"/>
          <w:lang w:eastAsia="en-US"/>
        </w:rPr>
      </w:pPr>
      <w:r w:rsidRPr="004B661C">
        <w:rPr>
          <w:rFonts w:eastAsia="Calibri"/>
          <w:lang w:eastAsia="en-US"/>
        </w:rPr>
        <w:t xml:space="preserve">The </w:t>
      </w:r>
      <w:r>
        <w:rPr>
          <w:rFonts w:eastAsia="Calibri"/>
          <w:lang w:eastAsia="en-US"/>
        </w:rPr>
        <w:t>low disbursement of funds thus far</w:t>
      </w:r>
      <w:r>
        <w:rPr>
          <w:rStyle w:val="FootnoteReference"/>
          <w:rFonts w:eastAsia="Calibri"/>
          <w:lang w:eastAsia="en-US"/>
        </w:rPr>
        <w:footnoteReference w:id="8"/>
      </w:r>
      <w:r w:rsidRPr="004B661C">
        <w:rPr>
          <w:rFonts w:eastAsia="Calibri"/>
          <w:lang w:eastAsia="en-US"/>
        </w:rPr>
        <w:t xml:space="preserve"> is </w:t>
      </w:r>
      <w:r>
        <w:rPr>
          <w:rFonts w:eastAsia="Calibri"/>
          <w:lang w:eastAsia="en-US"/>
        </w:rPr>
        <w:t xml:space="preserve">mainly </w:t>
      </w:r>
      <w:r w:rsidRPr="004B661C">
        <w:rPr>
          <w:rFonts w:eastAsia="Calibri"/>
          <w:lang w:eastAsia="en-US"/>
        </w:rPr>
        <w:t xml:space="preserve">due to construction not having yet commenced on </w:t>
      </w:r>
      <w:r>
        <w:rPr>
          <w:rFonts w:eastAsia="Calibri"/>
          <w:lang w:eastAsia="en-US"/>
        </w:rPr>
        <w:t xml:space="preserve">a large capital works project - the </w:t>
      </w:r>
      <w:r w:rsidRPr="004B661C">
        <w:rPr>
          <w:rFonts w:eastAsia="Calibri"/>
          <w:lang w:eastAsia="en-US"/>
        </w:rPr>
        <w:t>Titinge-East Kola transmission main.  The need to re-align budgets due to the original under-estimate of th</w:t>
      </w:r>
      <w:r>
        <w:rPr>
          <w:rFonts w:eastAsia="Calibri"/>
          <w:lang w:eastAsia="en-US"/>
        </w:rPr>
        <w:t xml:space="preserve">is </w:t>
      </w:r>
      <w:r w:rsidRPr="004B661C">
        <w:rPr>
          <w:rFonts w:eastAsia="Calibri"/>
          <w:lang w:eastAsia="en-US"/>
        </w:rPr>
        <w:t>transmission main as well as the need to address right of way issues</w:t>
      </w:r>
      <w:r>
        <w:rPr>
          <w:rFonts w:eastAsia="Calibri"/>
          <w:lang w:eastAsia="en-US"/>
        </w:rPr>
        <w:t xml:space="preserve"> have</w:t>
      </w:r>
      <w:r w:rsidRPr="004B661C">
        <w:rPr>
          <w:rFonts w:eastAsia="Calibri"/>
          <w:lang w:eastAsia="en-US"/>
        </w:rPr>
        <w:t xml:space="preserve"> </w:t>
      </w:r>
      <w:r>
        <w:rPr>
          <w:rFonts w:eastAsia="Calibri"/>
          <w:lang w:eastAsia="en-US"/>
        </w:rPr>
        <w:t xml:space="preserve">contributed to some delays. </w:t>
      </w:r>
      <w:r w:rsidR="0069619B" w:rsidRPr="0069619B">
        <w:rPr>
          <w:rFonts w:eastAsia="Calibri"/>
          <w:lang w:eastAsia="en-US"/>
        </w:rPr>
        <w:t xml:space="preserve">Nevertheless, while behind the original schedule (details at Appendix E) the Development Plan can be considered </w:t>
      </w:r>
      <w:r w:rsidR="0069619B">
        <w:rPr>
          <w:rFonts w:eastAsia="Calibri"/>
          <w:lang w:eastAsia="en-US"/>
        </w:rPr>
        <w:t xml:space="preserve">on track </w:t>
      </w:r>
      <w:r w:rsidR="0069619B" w:rsidRPr="0069619B">
        <w:rPr>
          <w:rFonts w:eastAsia="Calibri"/>
          <w:lang w:eastAsia="en-US"/>
        </w:rPr>
        <w:t>to largely me</w:t>
      </w:r>
      <w:r w:rsidR="0069619B">
        <w:rPr>
          <w:rFonts w:eastAsia="Calibri"/>
          <w:lang w:eastAsia="en-US"/>
        </w:rPr>
        <w:t>e</w:t>
      </w:r>
      <w:r w:rsidR="0069619B" w:rsidRPr="0069619B">
        <w:rPr>
          <w:rFonts w:eastAsia="Calibri"/>
          <w:lang w:eastAsia="en-US"/>
        </w:rPr>
        <w:t>t</w:t>
      </w:r>
      <w:r w:rsidR="0069619B">
        <w:rPr>
          <w:rFonts w:eastAsia="Calibri"/>
          <w:lang w:eastAsia="en-US"/>
        </w:rPr>
        <w:t>ing</w:t>
      </w:r>
      <w:r w:rsidR="0069619B" w:rsidRPr="0069619B">
        <w:rPr>
          <w:rFonts w:eastAsia="Calibri"/>
          <w:lang w:eastAsia="en-US"/>
        </w:rPr>
        <w:t xml:space="preserve"> its objectives</w:t>
      </w:r>
      <w:r w:rsidR="0069619B">
        <w:rPr>
          <w:rFonts w:eastAsia="Calibri"/>
          <w:lang w:eastAsia="en-US"/>
        </w:rPr>
        <w:t>.</w:t>
      </w:r>
    </w:p>
    <w:p w14:paraId="3A83836A" w14:textId="77777777" w:rsidR="00046940" w:rsidRDefault="00D63EF3" w:rsidP="00046940">
      <w:pPr>
        <w:pStyle w:val="Heading3"/>
        <w:rPr>
          <w:rFonts w:eastAsia="Calibri"/>
          <w:lang w:val="en-NZ" w:eastAsia="en-US"/>
        </w:rPr>
      </w:pPr>
      <w:r>
        <w:rPr>
          <w:rFonts w:eastAsia="Calibri"/>
          <w:lang w:val="en-NZ" w:eastAsia="en-US"/>
        </w:rPr>
        <w:t>3.1.</w:t>
      </w:r>
      <w:r w:rsidR="00186C2C">
        <w:rPr>
          <w:rFonts w:eastAsia="Calibri"/>
          <w:lang w:val="en-NZ" w:eastAsia="en-US"/>
        </w:rPr>
        <w:t>2</w:t>
      </w:r>
      <w:r w:rsidR="00186C2C">
        <w:rPr>
          <w:rFonts w:eastAsia="Calibri"/>
          <w:lang w:val="en-NZ" w:eastAsia="en-US"/>
        </w:rPr>
        <w:tab/>
      </w:r>
      <w:r w:rsidR="009777AF" w:rsidRPr="00046940">
        <w:rPr>
          <w:rFonts w:eastAsia="Calibri"/>
          <w:i/>
          <w:lang w:val="en-NZ" w:eastAsia="en-US"/>
        </w:rPr>
        <w:t>Output</w:t>
      </w:r>
      <w:r w:rsidR="00046940">
        <w:rPr>
          <w:rFonts w:eastAsia="Calibri"/>
          <w:lang w:val="en-NZ" w:eastAsia="en-US"/>
        </w:rPr>
        <w:t xml:space="preserve">: </w:t>
      </w:r>
      <w:r w:rsidR="009777AF" w:rsidRPr="0059586B">
        <w:rPr>
          <w:rFonts w:eastAsia="Calibri"/>
          <w:lang w:val="en-NZ" w:eastAsia="en-US"/>
        </w:rPr>
        <w:t>Improved levels of service for water supply</w:t>
      </w:r>
    </w:p>
    <w:p w14:paraId="62555452" w14:textId="716B11BE" w:rsidR="009777AF" w:rsidRPr="0059586B" w:rsidRDefault="009777AF" w:rsidP="003C32E5">
      <w:pPr>
        <w:rPr>
          <w:rFonts w:eastAsia="Calibri"/>
          <w:lang w:val="en-NZ" w:eastAsia="en-US"/>
        </w:rPr>
      </w:pPr>
      <w:r>
        <w:rPr>
          <w:rFonts w:eastAsia="Calibri"/>
          <w:lang w:val="en-NZ" w:eastAsia="en-US"/>
        </w:rPr>
        <w:t>The improved level</w:t>
      </w:r>
      <w:r w:rsidR="007C6E44">
        <w:rPr>
          <w:rFonts w:eastAsia="Calibri"/>
          <w:lang w:val="en-NZ" w:eastAsia="en-US"/>
        </w:rPr>
        <w:t>s</w:t>
      </w:r>
      <w:r>
        <w:rPr>
          <w:rFonts w:eastAsia="Calibri"/>
          <w:lang w:val="en-NZ" w:eastAsia="en-US"/>
        </w:rPr>
        <w:t xml:space="preserve"> of service in terms of quantity, quality in the water sector </w:t>
      </w:r>
      <w:r w:rsidR="007C6E44">
        <w:rPr>
          <w:rFonts w:eastAsia="Calibri"/>
          <w:lang w:val="en-NZ" w:eastAsia="en-US"/>
        </w:rPr>
        <w:t>are</w:t>
      </w:r>
      <w:r>
        <w:rPr>
          <w:rFonts w:eastAsia="Calibri"/>
          <w:lang w:val="en-NZ" w:eastAsia="en-US"/>
        </w:rPr>
        <w:t xml:space="preserve"> borne out by the following performance indicators</w:t>
      </w:r>
      <w:r w:rsidR="00A537D9">
        <w:rPr>
          <w:rFonts w:eastAsia="Calibri"/>
          <w:lang w:val="en-NZ" w:eastAsia="en-US"/>
        </w:rPr>
        <w:t xml:space="preserve">, which </w:t>
      </w:r>
      <w:r w:rsidR="000723CE">
        <w:rPr>
          <w:rFonts w:eastAsia="Calibri"/>
          <w:lang w:val="en-NZ" w:eastAsia="en-US"/>
        </w:rPr>
        <w:t>largely reflect the water supply situation in Honiara</w:t>
      </w:r>
      <w:r>
        <w:rPr>
          <w:rFonts w:eastAsia="Calibri"/>
          <w:lang w:val="en-NZ" w:eastAsia="en-US"/>
        </w:rPr>
        <w:t>:</w:t>
      </w:r>
    </w:p>
    <w:p w14:paraId="3953518C" w14:textId="02F16B43" w:rsidR="00E630F4" w:rsidRDefault="009777AF" w:rsidP="003C32E5">
      <w:pPr>
        <w:rPr>
          <w:rFonts w:eastAsia="Calibri"/>
          <w:lang w:val="en-NZ" w:eastAsia="en-US"/>
        </w:rPr>
      </w:pPr>
      <w:r>
        <w:rPr>
          <w:rFonts w:eastAsia="Calibri"/>
          <w:b/>
          <w:lang w:val="en-NZ" w:eastAsia="en-US"/>
        </w:rPr>
        <w:t>The d</w:t>
      </w:r>
      <w:r w:rsidRPr="00127DDA">
        <w:rPr>
          <w:rFonts w:eastAsia="Calibri"/>
          <w:b/>
          <w:lang w:val="en-NZ" w:eastAsia="en-US"/>
        </w:rPr>
        <w:t>uration of supply</w:t>
      </w:r>
      <w:r>
        <w:rPr>
          <w:rFonts w:eastAsia="Calibri"/>
          <w:lang w:val="en-NZ" w:eastAsia="en-US"/>
        </w:rPr>
        <w:t xml:space="preserve"> has increased from</w:t>
      </w:r>
      <w:r w:rsidR="00E630F4">
        <w:rPr>
          <w:rFonts w:eastAsia="Calibri"/>
          <w:lang w:val="en-NZ" w:eastAsia="en-US"/>
        </w:rPr>
        <w:t xml:space="preserve"> eight</w:t>
      </w:r>
      <w:r>
        <w:rPr>
          <w:rFonts w:eastAsia="Calibri"/>
          <w:lang w:val="en-NZ" w:eastAsia="en-US"/>
        </w:rPr>
        <w:t xml:space="preserve"> hours</w:t>
      </w:r>
      <w:r w:rsidR="00E630F4">
        <w:rPr>
          <w:rFonts w:eastAsia="Calibri"/>
          <w:lang w:val="en-NZ" w:eastAsia="en-US"/>
        </w:rPr>
        <w:t xml:space="preserve"> per </w:t>
      </w:r>
      <w:r>
        <w:rPr>
          <w:rFonts w:eastAsia="Calibri"/>
          <w:lang w:val="en-NZ" w:eastAsia="en-US"/>
        </w:rPr>
        <w:t>day in 2010 to 22 hours</w:t>
      </w:r>
      <w:r w:rsidR="00E630F4">
        <w:rPr>
          <w:rFonts w:eastAsia="Calibri"/>
          <w:lang w:val="en-NZ" w:eastAsia="en-US"/>
        </w:rPr>
        <w:t xml:space="preserve"> per </w:t>
      </w:r>
      <w:r>
        <w:rPr>
          <w:rFonts w:eastAsia="Calibri"/>
          <w:lang w:val="en-NZ" w:eastAsia="en-US"/>
        </w:rPr>
        <w:t>day in 2015</w:t>
      </w:r>
      <w:r w:rsidR="00BB62B7">
        <w:rPr>
          <w:rFonts w:eastAsia="Calibri"/>
          <w:lang w:val="en-NZ" w:eastAsia="en-US"/>
        </w:rPr>
        <w:t xml:space="preserve"> (</w:t>
      </w:r>
      <w:r w:rsidR="0048628E">
        <w:rPr>
          <w:rFonts w:eastAsia="Calibri"/>
          <w:lang w:val="en-NZ" w:eastAsia="en-US"/>
        </w:rPr>
        <w:t>F</w:t>
      </w:r>
      <w:r w:rsidR="00BB62B7">
        <w:rPr>
          <w:rFonts w:eastAsia="Calibri"/>
          <w:lang w:val="en-NZ" w:eastAsia="en-US"/>
        </w:rPr>
        <w:t xml:space="preserve">igure 2).  Continuity of service increased in two steps between 2010 to 2011 and 2012 to 2014 which correspond to the development of new boreholes by JICA (2010-2011) and the new pumping facilities at the Kongulai source (RAP under DFAT) and provision of standby generators by DFAT under the Development Plan (2013-2014). Continuity of service has continued to be 22 hours/day on average since 2014 which reflects the greater difficulty and cost of reaching </w:t>
      </w:r>
      <w:r w:rsidR="008F0194">
        <w:rPr>
          <w:rFonts w:eastAsia="Calibri"/>
          <w:lang w:val="en-NZ" w:eastAsia="en-US"/>
        </w:rPr>
        <w:t xml:space="preserve">continuous supply across the entire </w:t>
      </w:r>
      <w:r w:rsidR="00BB62B7">
        <w:rPr>
          <w:rFonts w:eastAsia="Calibri"/>
          <w:lang w:val="en-NZ" w:eastAsia="en-US"/>
        </w:rPr>
        <w:t>service</w:t>
      </w:r>
      <w:r w:rsidR="008F0194">
        <w:rPr>
          <w:rFonts w:eastAsia="Calibri"/>
          <w:lang w:val="en-NZ" w:eastAsia="en-US"/>
        </w:rPr>
        <w:t xml:space="preserve"> area</w:t>
      </w:r>
      <w:r w:rsidR="0048628E">
        <w:rPr>
          <w:rFonts w:eastAsia="Calibri"/>
          <w:lang w:val="en-NZ" w:eastAsia="en-US"/>
        </w:rPr>
        <w:t xml:space="preserve">. </w:t>
      </w:r>
      <w:r w:rsidR="001D226D">
        <w:rPr>
          <w:rFonts w:eastAsia="Calibri"/>
          <w:lang w:val="en-NZ" w:eastAsia="en-US"/>
        </w:rPr>
        <w:t>Solomon Water report</w:t>
      </w:r>
      <w:r w:rsidR="00A96066">
        <w:rPr>
          <w:rFonts w:eastAsia="Calibri"/>
          <w:lang w:val="en-NZ" w:eastAsia="en-US"/>
        </w:rPr>
        <w:t>ed</w:t>
      </w:r>
      <w:r w:rsidR="001D226D">
        <w:rPr>
          <w:rFonts w:eastAsia="Calibri"/>
          <w:lang w:val="en-NZ" w:eastAsia="en-US"/>
        </w:rPr>
        <w:t xml:space="preserve"> a </w:t>
      </w:r>
      <w:r w:rsidR="00A96066">
        <w:rPr>
          <w:rFonts w:eastAsia="Calibri"/>
          <w:lang w:val="en-NZ" w:eastAsia="en-US"/>
        </w:rPr>
        <w:t>24</w:t>
      </w:r>
      <w:r w:rsidR="00E630F4">
        <w:rPr>
          <w:rFonts w:eastAsia="Calibri"/>
          <w:lang w:val="en-NZ" w:eastAsia="en-US"/>
        </w:rPr>
        <w:t>-</w:t>
      </w:r>
      <w:r w:rsidR="00A96066">
        <w:rPr>
          <w:rFonts w:eastAsia="Calibri"/>
          <w:lang w:val="en-NZ" w:eastAsia="en-US"/>
        </w:rPr>
        <w:t xml:space="preserve">hour </w:t>
      </w:r>
      <w:r w:rsidR="001D226D">
        <w:rPr>
          <w:rFonts w:eastAsia="Calibri"/>
          <w:lang w:val="en-NZ" w:eastAsia="en-US"/>
        </w:rPr>
        <w:t>supply of water to all but four water supply zones in 2015</w:t>
      </w:r>
      <w:r w:rsidR="001D226D">
        <w:rPr>
          <w:rStyle w:val="FootnoteReference"/>
          <w:rFonts w:eastAsia="Calibri"/>
          <w:lang w:val="en-NZ" w:eastAsia="en-US"/>
        </w:rPr>
        <w:footnoteReference w:id="9"/>
      </w:r>
      <w:r w:rsidR="001D226D">
        <w:rPr>
          <w:rFonts w:eastAsia="Calibri"/>
          <w:lang w:val="en-NZ" w:eastAsia="en-US"/>
        </w:rPr>
        <w:t>.</w:t>
      </w:r>
      <w:r>
        <w:rPr>
          <w:rFonts w:eastAsia="Calibri"/>
          <w:lang w:val="en-NZ" w:eastAsia="en-US"/>
        </w:rPr>
        <w:t xml:space="preserve"> </w:t>
      </w:r>
    </w:p>
    <w:p w14:paraId="0FFA6E3F" w14:textId="77777777" w:rsidR="0048628E" w:rsidRDefault="0048628E" w:rsidP="0048628E">
      <w:pPr>
        <w:pStyle w:val="FigureName"/>
        <w:rPr>
          <w:rFonts w:eastAsia="Calibri"/>
          <w:lang w:val="en-NZ" w:eastAsia="en-US"/>
        </w:rPr>
      </w:pPr>
      <w:bookmarkStart w:id="20" w:name="_Toc453956016"/>
      <w:r>
        <w:rPr>
          <w:rFonts w:eastAsia="Calibri"/>
          <w:lang w:val="en-NZ" w:eastAsia="en-US"/>
        </w:rPr>
        <w:t>Figure 2</w:t>
      </w:r>
      <w:r>
        <w:rPr>
          <w:rFonts w:eastAsia="Calibri"/>
          <w:lang w:val="en-NZ" w:eastAsia="en-US"/>
        </w:rPr>
        <w:tab/>
      </w:r>
      <w:r>
        <w:rPr>
          <w:rFonts w:eastAsia="Calibri"/>
          <w:lang w:val="en-NZ" w:eastAsia="en-US"/>
        </w:rPr>
        <w:tab/>
        <w:t>Average hours per day of service across Honiara</w:t>
      </w:r>
      <w:bookmarkEnd w:id="20"/>
      <w:r>
        <w:rPr>
          <w:rFonts w:eastAsia="Calibri"/>
          <w:lang w:val="en-NZ" w:eastAsia="en-US"/>
        </w:rPr>
        <w:t xml:space="preserve">  </w:t>
      </w:r>
    </w:p>
    <w:p w14:paraId="15642AA0" w14:textId="77777777" w:rsidR="0048628E" w:rsidRDefault="0048628E" w:rsidP="0048628E">
      <w:pPr>
        <w:rPr>
          <w:rFonts w:eastAsia="Calibri"/>
          <w:lang w:val="en-NZ" w:eastAsia="en-US"/>
        </w:rPr>
      </w:pPr>
      <w:r>
        <w:rPr>
          <w:noProof/>
        </w:rPr>
        <w:drawing>
          <wp:inline distT="0" distB="0" distL="0" distR="0" wp14:anchorId="7EF6AB2A" wp14:editId="66323D6B">
            <wp:extent cx="5023413" cy="1128531"/>
            <wp:effectExtent l="0" t="0" r="635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C3F765" w14:textId="77777777" w:rsidR="0048628E" w:rsidRPr="00E42ACB" w:rsidRDefault="0048628E" w:rsidP="0048628E">
      <w:pPr>
        <w:jc w:val="right"/>
        <w:rPr>
          <w:rFonts w:eastAsia="Calibri"/>
          <w:sz w:val="16"/>
          <w:szCs w:val="16"/>
          <w:lang w:val="en-NZ" w:eastAsia="en-US"/>
        </w:rPr>
      </w:pPr>
      <w:r w:rsidRPr="00E42ACB">
        <w:rPr>
          <w:rFonts w:eastAsia="Calibri"/>
          <w:sz w:val="16"/>
          <w:szCs w:val="16"/>
          <w:lang w:val="en-NZ" w:eastAsia="en-US"/>
        </w:rPr>
        <w:lastRenderedPageBreak/>
        <w:t>Source: Solomon Water for PWWA Benchmarking</w:t>
      </w:r>
    </w:p>
    <w:p w14:paraId="7E90C452" w14:textId="4578AF77" w:rsidR="009777AF" w:rsidRDefault="0048628E" w:rsidP="003C32E5">
      <w:pPr>
        <w:rPr>
          <w:rFonts w:eastAsia="Calibri"/>
          <w:lang w:val="en-NZ" w:eastAsia="en-US"/>
        </w:rPr>
      </w:pPr>
      <w:r>
        <w:rPr>
          <w:rFonts w:eastAsia="Calibri"/>
          <w:lang w:val="en-NZ" w:eastAsia="en-US"/>
        </w:rPr>
        <w:t xml:space="preserve">The quantity of water sold has increased from 3.46 to 4.5 mega-litres per day </w:t>
      </w:r>
      <w:r w:rsidR="000A49BA">
        <w:rPr>
          <w:rFonts w:eastAsia="Calibri"/>
          <w:lang w:val="en-NZ" w:eastAsia="en-US"/>
        </w:rPr>
        <w:t xml:space="preserve">from </w:t>
      </w:r>
      <w:r w:rsidR="008F0194">
        <w:rPr>
          <w:rFonts w:eastAsia="Calibri"/>
          <w:lang w:val="en-NZ" w:eastAsia="en-US"/>
        </w:rPr>
        <w:t>2010</w:t>
      </w:r>
      <w:r w:rsidR="000A49BA">
        <w:rPr>
          <w:rFonts w:eastAsia="Calibri"/>
          <w:lang w:val="en-NZ" w:eastAsia="en-US"/>
        </w:rPr>
        <w:t xml:space="preserve"> to </w:t>
      </w:r>
      <w:r w:rsidR="008F0194">
        <w:rPr>
          <w:rFonts w:eastAsia="Calibri"/>
          <w:lang w:val="en-NZ" w:eastAsia="en-US"/>
        </w:rPr>
        <w:t>2015</w:t>
      </w:r>
      <w:r>
        <w:rPr>
          <w:rStyle w:val="FootnoteReference"/>
          <w:rFonts w:eastAsia="Calibri"/>
          <w:lang w:val="en-NZ" w:eastAsia="en-US"/>
        </w:rPr>
        <w:footnoteReference w:id="10"/>
      </w:r>
      <w:r>
        <w:rPr>
          <w:rFonts w:eastAsia="Calibri"/>
          <w:lang w:val="en-NZ" w:eastAsia="en-US"/>
        </w:rPr>
        <w:t xml:space="preserve">.  </w:t>
      </w:r>
      <w:r w:rsidR="008F0194">
        <w:rPr>
          <w:rFonts w:eastAsia="Calibri"/>
          <w:lang w:val="en-NZ" w:eastAsia="en-US"/>
        </w:rPr>
        <w:t xml:space="preserve">Without exception, stakeholders interviewed for the evaluation advised that quantity and duration of water supply from Solomon Water had improved dramatically over the past 2-3 years. </w:t>
      </w:r>
      <w:r w:rsidR="009777AF">
        <w:rPr>
          <w:rFonts w:eastAsia="Calibri"/>
          <w:lang w:val="en-NZ" w:eastAsia="en-US"/>
        </w:rPr>
        <w:t>The increased quantity of water and duration of supply provided can be attributed to new pumps provided at the main Kong</w:t>
      </w:r>
      <w:r w:rsidR="00D0308E">
        <w:rPr>
          <w:rFonts w:eastAsia="Calibri"/>
          <w:lang w:val="en-NZ" w:eastAsia="en-US"/>
        </w:rPr>
        <w:t>u</w:t>
      </w:r>
      <w:r w:rsidR="009777AF">
        <w:rPr>
          <w:rFonts w:eastAsia="Calibri"/>
          <w:lang w:val="en-NZ" w:eastAsia="en-US"/>
        </w:rPr>
        <w:t xml:space="preserve">lai source under the </w:t>
      </w:r>
      <w:r w:rsidR="00D93859">
        <w:rPr>
          <w:rFonts w:eastAsia="Calibri"/>
          <w:lang w:val="en-NZ" w:eastAsia="en-US"/>
        </w:rPr>
        <w:t>DFAT</w:t>
      </w:r>
      <w:r w:rsidR="00BB2F72">
        <w:rPr>
          <w:rFonts w:eastAsia="Calibri"/>
          <w:lang w:val="en-NZ" w:eastAsia="en-US"/>
        </w:rPr>
        <w:t>-</w:t>
      </w:r>
      <w:r w:rsidR="00932B41">
        <w:rPr>
          <w:rFonts w:eastAsia="Calibri"/>
          <w:lang w:val="en-NZ" w:eastAsia="en-US"/>
        </w:rPr>
        <w:t>funded RAP</w:t>
      </w:r>
      <w:r w:rsidR="00DB2D74">
        <w:rPr>
          <w:rFonts w:eastAsia="Calibri"/>
          <w:lang w:val="en-NZ" w:eastAsia="en-US"/>
        </w:rPr>
        <w:t>, standby generators provided under the Development Plan</w:t>
      </w:r>
      <w:r w:rsidR="00D93859">
        <w:rPr>
          <w:rFonts w:eastAsia="Calibri"/>
          <w:lang w:val="en-NZ" w:eastAsia="en-US"/>
        </w:rPr>
        <w:t xml:space="preserve"> </w:t>
      </w:r>
      <w:r w:rsidR="009777AF">
        <w:rPr>
          <w:rFonts w:eastAsia="Calibri"/>
          <w:lang w:val="en-NZ" w:eastAsia="en-US"/>
        </w:rPr>
        <w:t>and new boreholes and pumping installations provided under the JICA project. The transmission pipeline</w:t>
      </w:r>
      <w:r w:rsidR="00932B41">
        <w:rPr>
          <w:rFonts w:eastAsia="Calibri"/>
          <w:lang w:val="en-NZ" w:eastAsia="en-US"/>
        </w:rPr>
        <w:t>,</w:t>
      </w:r>
      <w:r w:rsidR="009777AF">
        <w:rPr>
          <w:rFonts w:eastAsia="Calibri"/>
          <w:lang w:val="en-NZ" w:eastAsia="en-US"/>
        </w:rPr>
        <w:t xml:space="preserve"> still to be implemented under the </w:t>
      </w:r>
      <w:r w:rsidR="00E12034">
        <w:rPr>
          <w:rFonts w:eastAsia="Calibri"/>
          <w:lang w:val="en-NZ" w:eastAsia="en-US"/>
        </w:rPr>
        <w:t>Development Plan</w:t>
      </w:r>
      <w:r w:rsidR="00932B41">
        <w:rPr>
          <w:rFonts w:eastAsia="Calibri"/>
          <w:lang w:val="en-NZ" w:eastAsia="en-US"/>
        </w:rPr>
        <w:t>,</w:t>
      </w:r>
      <w:r w:rsidR="009777AF">
        <w:rPr>
          <w:rFonts w:eastAsia="Calibri"/>
          <w:lang w:val="en-NZ" w:eastAsia="en-US"/>
        </w:rPr>
        <w:t xml:space="preserve"> will further improve water services to the East of Honiara when completed.</w:t>
      </w:r>
      <w:r w:rsidR="00E630F4">
        <w:rPr>
          <w:rFonts w:eastAsia="Calibri"/>
          <w:lang w:val="en-NZ" w:eastAsia="en-US"/>
        </w:rPr>
        <w:t xml:space="preserve"> </w:t>
      </w:r>
      <w:r w:rsidR="008F0194">
        <w:rPr>
          <w:rFonts w:eastAsia="Calibri"/>
          <w:lang w:val="en-NZ" w:eastAsia="en-US"/>
        </w:rPr>
        <w:t xml:space="preserve">This, along with </w:t>
      </w:r>
      <w:r w:rsidR="00E630F4">
        <w:rPr>
          <w:rFonts w:eastAsia="Calibri"/>
          <w:lang w:val="en-NZ" w:eastAsia="en-US"/>
        </w:rPr>
        <w:t xml:space="preserve">further improvements </w:t>
      </w:r>
      <w:r w:rsidR="00E630F4">
        <w:rPr>
          <w:noProof/>
        </w:rPr>
        <w:t>in reducing non-revenue water (NRW) will be required</w:t>
      </w:r>
      <w:r w:rsidR="00E630F4">
        <w:rPr>
          <w:rFonts w:eastAsia="Calibri"/>
          <w:lang w:val="en-NZ" w:eastAsia="en-US"/>
        </w:rPr>
        <w:t xml:space="preserve"> to move closer to </w:t>
      </w:r>
      <w:r w:rsidR="008F0194">
        <w:rPr>
          <w:rFonts w:eastAsia="Calibri"/>
          <w:lang w:val="en-NZ" w:eastAsia="en-US"/>
        </w:rPr>
        <w:t xml:space="preserve">continuous </w:t>
      </w:r>
      <w:r w:rsidR="00E630F4">
        <w:rPr>
          <w:rFonts w:eastAsia="Calibri"/>
          <w:lang w:val="en-NZ" w:eastAsia="en-US"/>
        </w:rPr>
        <w:t>supply to the existing service area.</w:t>
      </w:r>
      <w:r w:rsidR="000A49BA" w:rsidRPr="000A49BA">
        <w:rPr>
          <w:rFonts w:eastAsia="Calibri"/>
          <w:lang w:val="en-NZ" w:eastAsia="en-US"/>
        </w:rPr>
        <w:t xml:space="preserve"> </w:t>
      </w:r>
      <w:r w:rsidR="000A49BA">
        <w:rPr>
          <w:rFonts w:eastAsia="Calibri"/>
          <w:lang w:val="en-NZ" w:eastAsia="en-US"/>
        </w:rPr>
        <w:t>These improvements will be further enhanced once deferred activities from the Development Plan such as the East Kola Reservoir and the distribution system improvements are able to be implemented.</w:t>
      </w:r>
    </w:p>
    <w:p w14:paraId="6919CA7F" w14:textId="4E193638" w:rsidR="00A16A96" w:rsidRDefault="008F0194" w:rsidP="00A16A96">
      <w:pPr>
        <w:rPr>
          <w:rFonts w:eastAsia="Calibri"/>
          <w:lang w:val="en-NZ" w:eastAsia="en-US"/>
        </w:rPr>
      </w:pPr>
      <w:r>
        <w:rPr>
          <w:rFonts w:eastAsia="Calibri"/>
          <w:lang w:val="en-NZ" w:eastAsia="en-US"/>
        </w:rPr>
        <w:t xml:space="preserve">The increased quantity and duration of supply has in turn significantly improved the </w:t>
      </w:r>
      <w:r w:rsidRPr="00B00059">
        <w:rPr>
          <w:rFonts w:eastAsia="Calibri"/>
          <w:b/>
          <w:lang w:val="en-NZ" w:eastAsia="en-US"/>
        </w:rPr>
        <w:t>reliability of the service</w:t>
      </w:r>
      <w:r>
        <w:rPr>
          <w:rFonts w:eastAsia="Calibri"/>
          <w:lang w:val="en-NZ" w:eastAsia="en-US"/>
        </w:rPr>
        <w:t xml:space="preserve">. </w:t>
      </w:r>
      <w:r w:rsidR="00A16A96">
        <w:rPr>
          <w:rFonts w:eastAsia="Calibri"/>
          <w:lang w:val="en-NZ" w:eastAsia="en-US"/>
        </w:rPr>
        <w:t>Measurements of reliability</w:t>
      </w:r>
      <w:r w:rsidR="009B2474">
        <w:rPr>
          <w:rFonts w:eastAsia="Calibri"/>
          <w:lang w:val="en-NZ" w:eastAsia="en-US"/>
        </w:rPr>
        <w:t xml:space="preserve"> also</w:t>
      </w:r>
      <w:r w:rsidR="00A16A96">
        <w:rPr>
          <w:rFonts w:eastAsia="Calibri"/>
          <w:lang w:val="en-NZ" w:eastAsia="en-US"/>
        </w:rPr>
        <w:t xml:space="preserve"> include the extent of service disruptions and the efficiency of addressing any disruptions. </w:t>
      </w:r>
      <w:r w:rsidR="009B2474">
        <w:rPr>
          <w:rFonts w:eastAsia="Calibri"/>
          <w:lang w:val="en-NZ" w:eastAsia="en-US"/>
        </w:rPr>
        <w:t>T</w:t>
      </w:r>
      <w:r w:rsidR="00A16A96">
        <w:rPr>
          <w:rFonts w:eastAsia="Calibri"/>
          <w:lang w:val="en-NZ" w:eastAsia="en-US"/>
        </w:rPr>
        <w:t xml:space="preserve">he provision under the </w:t>
      </w:r>
      <w:r w:rsidR="00E12034">
        <w:rPr>
          <w:rFonts w:eastAsia="Calibri"/>
          <w:lang w:val="en-NZ" w:eastAsia="en-US"/>
        </w:rPr>
        <w:t>Development Plan</w:t>
      </w:r>
      <w:r w:rsidR="00A16A96">
        <w:rPr>
          <w:rFonts w:eastAsia="Calibri"/>
          <w:lang w:val="en-NZ" w:eastAsia="en-US"/>
        </w:rPr>
        <w:t xml:space="preserve"> of standby generators </w:t>
      </w:r>
      <w:r w:rsidR="009B2474">
        <w:rPr>
          <w:rFonts w:eastAsia="Calibri"/>
          <w:lang w:val="en-NZ" w:eastAsia="en-US"/>
        </w:rPr>
        <w:t xml:space="preserve">at </w:t>
      </w:r>
      <w:r w:rsidR="00A16A96">
        <w:rPr>
          <w:rFonts w:eastAsia="Calibri"/>
          <w:lang w:val="en-NZ" w:eastAsia="en-US"/>
        </w:rPr>
        <w:t xml:space="preserve">seven critical sites </w:t>
      </w:r>
      <w:r w:rsidR="00BF12F5">
        <w:rPr>
          <w:rFonts w:eastAsia="Calibri"/>
          <w:lang w:val="en-NZ" w:eastAsia="en-US"/>
        </w:rPr>
        <w:t>(</w:t>
      </w:r>
      <w:r w:rsidR="00A16A96">
        <w:rPr>
          <w:rFonts w:eastAsia="Calibri"/>
          <w:lang w:val="en-NZ" w:eastAsia="en-US"/>
        </w:rPr>
        <w:t>including water sources</w:t>
      </w:r>
      <w:r w:rsidR="00BF12F5">
        <w:rPr>
          <w:rFonts w:eastAsia="Calibri"/>
          <w:lang w:val="en-NZ" w:eastAsia="en-US"/>
        </w:rPr>
        <w:t>)</w:t>
      </w:r>
      <w:r w:rsidR="00A16A96">
        <w:rPr>
          <w:rFonts w:eastAsia="Calibri"/>
          <w:lang w:val="en-NZ" w:eastAsia="en-US"/>
        </w:rPr>
        <w:t xml:space="preserve"> and a mobile compressor </w:t>
      </w:r>
      <w:r w:rsidR="00696F88">
        <w:rPr>
          <w:rFonts w:eastAsia="Calibri"/>
          <w:lang w:val="en-NZ" w:eastAsia="en-US"/>
        </w:rPr>
        <w:t xml:space="preserve">for bore maintenance </w:t>
      </w:r>
      <w:r w:rsidR="009B2474" w:rsidRPr="00766A3A">
        <w:rPr>
          <w:rFonts w:eastAsia="Calibri"/>
          <w:lang w:val="en-NZ" w:eastAsia="en-US"/>
        </w:rPr>
        <w:t>have</w:t>
      </w:r>
      <w:r w:rsidR="00766A3A">
        <w:rPr>
          <w:rFonts w:eastAsia="Calibri"/>
          <w:lang w:val="en-NZ" w:eastAsia="en-US"/>
        </w:rPr>
        <w:t xml:space="preserve"> reduced interruptions in water supply resulting from electricity power outages. </w:t>
      </w:r>
      <w:r w:rsidR="00A16A96">
        <w:rPr>
          <w:rFonts w:eastAsia="Calibri"/>
          <w:lang w:val="en-NZ" w:eastAsia="en-US"/>
        </w:rPr>
        <w:t xml:space="preserve">Generators still need to be provided for the Mataniko Depot and the two sewage pumping stations as proposed in the </w:t>
      </w:r>
      <w:r w:rsidR="00E12034">
        <w:rPr>
          <w:rFonts w:eastAsia="Calibri"/>
          <w:lang w:val="en-NZ" w:eastAsia="en-US"/>
        </w:rPr>
        <w:t>Development Plan</w:t>
      </w:r>
      <w:r w:rsidR="00E97DEC">
        <w:rPr>
          <w:rFonts w:eastAsia="Calibri"/>
          <w:lang w:val="en-NZ" w:eastAsia="en-US"/>
        </w:rPr>
        <w:t>,</w:t>
      </w:r>
      <w:r w:rsidR="00A16A96">
        <w:rPr>
          <w:rFonts w:eastAsia="Calibri"/>
          <w:lang w:val="en-NZ" w:eastAsia="en-US"/>
        </w:rPr>
        <w:t xml:space="preserve"> although funding for these is still to be sourced. </w:t>
      </w:r>
      <w:r w:rsidR="00BB2F72">
        <w:rPr>
          <w:rFonts w:eastAsia="Calibri"/>
          <w:lang w:val="en-NZ" w:eastAsia="en-US"/>
        </w:rPr>
        <w:t>Customer</w:t>
      </w:r>
      <w:r w:rsidR="0043266A">
        <w:rPr>
          <w:rFonts w:eastAsia="Calibri"/>
          <w:lang w:val="en-NZ" w:eastAsia="en-US"/>
        </w:rPr>
        <w:t>s</w:t>
      </w:r>
      <w:r w:rsidR="00BB2F72">
        <w:rPr>
          <w:rFonts w:eastAsia="Calibri"/>
          <w:lang w:val="en-NZ" w:eastAsia="en-US"/>
        </w:rPr>
        <w:t xml:space="preserve"> </w:t>
      </w:r>
      <w:r w:rsidR="00A16A96">
        <w:rPr>
          <w:rFonts w:eastAsia="Calibri"/>
          <w:lang w:val="en-NZ" w:eastAsia="en-US"/>
        </w:rPr>
        <w:t xml:space="preserve">advised that disruptions were less </w:t>
      </w:r>
      <w:r w:rsidR="00EE19CC">
        <w:rPr>
          <w:rFonts w:eastAsia="Calibri"/>
          <w:lang w:val="en-NZ" w:eastAsia="en-US"/>
        </w:rPr>
        <w:t xml:space="preserve">frequent than previous years </w:t>
      </w:r>
      <w:r w:rsidR="00A16A96">
        <w:rPr>
          <w:rFonts w:eastAsia="Calibri"/>
          <w:lang w:val="en-NZ" w:eastAsia="en-US"/>
        </w:rPr>
        <w:t xml:space="preserve">and that </w:t>
      </w:r>
      <w:r w:rsidR="00BB2F72">
        <w:rPr>
          <w:rFonts w:eastAsia="Calibri"/>
          <w:lang w:val="en-NZ" w:eastAsia="en-US"/>
        </w:rPr>
        <w:t xml:space="preserve">the </w:t>
      </w:r>
      <w:r w:rsidR="00A16A96">
        <w:rPr>
          <w:rFonts w:eastAsia="Calibri"/>
          <w:lang w:val="en-NZ" w:eastAsia="en-US"/>
        </w:rPr>
        <w:t xml:space="preserve">response time of service teams had improved significantly. </w:t>
      </w:r>
      <w:r w:rsidR="00D93E9B">
        <w:rPr>
          <w:rFonts w:eastAsia="Calibri"/>
          <w:lang w:val="en-NZ" w:eastAsia="en-US"/>
        </w:rPr>
        <w:t>T</w:t>
      </w:r>
      <w:r w:rsidR="00A16A96">
        <w:rPr>
          <w:rFonts w:eastAsia="Calibri"/>
          <w:lang w:val="en-NZ" w:eastAsia="en-US"/>
        </w:rPr>
        <w:t>he increased fleet of service vehicles</w:t>
      </w:r>
      <w:r w:rsidR="0043266A">
        <w:rPr>
          <w:rFonts w:eastAsia="Calibri"/>
          <w:lang w:val="en-NZ" w:eastAsia="en-US"/>
        </w:rPr>
        <w:t xml:space="preserve">, </w:t>
      </w:r>
      <w:r w:rsidR="00A16A96">
        <w:rPr>
          <w:rFonts w:eastAsia="Calibri"/>
          <w:lang w:val="en-NZ" w:eastAsia="en-US"/>
        </w:rPr>
        <w:t xml:space="preserve">provided under the </w:t>
      </w:r>
      <w:r w:rsidR="00E12034">
        <w:rPr>
          <w:rFonts w:eastAsia="Calibri"/>
          <w:lang w:val="en-NZ" w:eastAsia="en-US"/>
        </w:rPr>
        <w:t>Development Plan</w:t>
      </w:r>
      <w:r w:rsidR="0043266A">
        <w:rPr>
          <w:rFonts w:eastAsia="Calibri"/>
          <w:lang w:val="en-NZ" w:eastAsia="en-US"/>
        </w:rPr>
        <w:t>,</w:t>
      </w:r>
      <w:r w:rsidR="00D93E9B">
        <w:rPr>
          <w:rFonts w:eastAsia="Calibri"/>
          <w:lang w:val="en-NZ" w:eastAsia="en-US"/>
        </w:rPr>
        <w:t xml:space="preserve"> has likely contributed to this improvement</w:t>
      </w:r>
      <w:r w:rsidR="00A16A96">
        <w:rPr>
          <w:rFonts w:eastAsia="Calibri"/>
          <w:lang w:val="en-NZ" w:eastAsia="en-US"/>
        </w:rPr>
        <w:t>. It is notable that the length of distribution mains renewed has increased regularly from 2 km/year in 2010 to 37 km/year in 2015.  The number of pipe breaks</w:t>
      </w:r>
      <w:r w:rsidR="001932B9">
        <w:rPr>
          <w:rFonts w:eastAsia="Calibri"/>
          <w:lang w:val="en-NZ" w:eastAsia="en-US"/>
        </w:rPr>
        <w:t xml:space="preserve"> recorded</w:t>
      </w:r>
      <w:r w:rsidR="00A16A96">
        <w:rPr>
          <w:rFonts w:eastAsia="Calibri"/>
          <w:lang w:val="en-NZ" w:eastAsia="en-US"/>
        </w:rPr>
        <w:t xml:space="preserve"> has increased from 472 to 807 between 2010 and 2015</w:t>
      </w:r>
      <w:r w:rsidR="00DB2D74">
        <w:rPr>
          <w:rFonts w:eastAsia="Calibri"/>
          <w:lang w:val="en-NZ" w:eastAsia="en-US"/>
        </w:rPr>
        <w:t xml:space="preserve">, </w:t>
      </w:r>
      <w:r w:rsidR="00A16A96">
        <w:rPr>
          <w:rFonts w:eastAsia="Calibri"/>
          <w:lang w:val="en-NZ" w:eastAsia="en-US"/>
        </w:rPr>
        <w:t>which is</w:t>
      </w:r>
      <w:r w:rsidR="001932B9">
        <w:rPr>
          <w:rFonts w:eastAsia="Calibri"/>
          <w:lang w:val="en-NZ" w:eastAsia="en-US"/>
        </w:rPr>
        <w:t xml:space="preserve"> </w:t>
      </w:r>
      <w:r w:rsidR="00DB2D74">
        <w:rPr>
          <w:rFonts w:eastAsia="Calibri"/>
          <w:lang w:val="en-NZ" w:eastAsia="en-US"/>
        </w:rPr>
        <w:t xml:space="preserve">largely </w:t>
      </w:r>
      <w:r w:rsidR="00A16A96">
        <w:rPr>
          <w:rFonts w:eastAsia="Calibri"/>
          <w:lang w:val="en-NZ" w:eastAsia="en-US"/>
        </w:rPr>
        <w:t xml:space="preserve">a reflection of </w:t>
      </w:r>
      <w:r w:rsidR="001932B9">
        <w:rPr>
          <w:rFonts w:eastAsia="Calibri"/>
          <w:lang w:val="en-NZ" w:eastAsia="en-US"/>
        </w:rPr>
        <w:t>the</w:t>
      </w:r>
      <w:r w:rsidR="00A16A96">
        <w:rPr>
          <w:rFonts w:eastAsia="Calibri"/>
          <w:lang w:val="en-NZ" w:eastAsia="en-US"/>
        </w:rPr>
        <w:t xml:space="preserve"> more active maintenance team and improved reporting </w:t>
      </w:r>
      <w:r w:rsidR="001932B9">
        <w:rPr>
          <w:rFonts w:eastAsia="Calibri"/>
          <w:lang w:val="en-NZ" w:eastAsia="en-US"/>
        </w:rPr>
        <w:t xml:space="preserve">from the public </w:t>
      </w:r>
      <w:r w:rsidR="00A16A96">
        <w:rPr>
          <w:rFonts w:eastAsia="Calibri"/>
          <w:lang w:val="en-NZ" w:eastAsia="en-US"/>
        </w:rPr>
        <w:t xml:space="preserve">rather than a less reliable system. It </w:t>
      </w:r>
      <w:r w:rsidR="00DB2D74">
        <w:rPr>
          <w:rFonts w:eastAsia="Calibri"/>
          <w:lang w:val="en-NZ" w:eastAsia="en-US"/>
        </w:rPr>
        <w:t xml:space="preserve">is </w:t>
      </w:r>
      <w:r w:rsidR="00A16A96">
        <w:rPr>
          <w:rFonts w:eastAsia="Calibri"/>
          <w:lang w:val="en-NZ" w:eastAsia="en-US"/>
        </w:rPr>
        <w:t>also a reflection of increased pressure in the system resulting in more pipe bursts.</w:t>
      </w:r>
    </w:p>
    <w:p w14:paraId="1D7A695E" w14:textId="6DBEAD1A" w:rsidR="001D226D" w:rsidRDefault="001D226D" w:rsidP="001D226D">
      <w:pPr>
        <w:rPr>
          <w:rFonts w:eastAsia="Calibri"/>
          <w:lang w:val="en-NZ" w:eastAsia="en-US"/>
        </w:rPr>
      </w:pPr>
      <w:r w:rsidRPr="00856905">
        <w:rPr>
          <w:rFonts w:eastAsia="Calibri"/>
          <w:b/>
          <w:lang w:val="en-NZ" w:eastAsia="en-US"/>
        </w:rPr>
        <w:t xml:space="preserve">The quality of water provided </w:t>
      </w:r>
      <w:r w:rsidRPr="0036538D">
        <w:rPr>
          <w:rFonts w:eastAsia="Calibri"/>
          <w:lang w:val="en-NZ" w:eastAsia="en-US"/>
        </w:rPr>
        <w:t>by Solomon Water has</w:t>
      </w:r>
      <w:r>
        <w:rPr>
          <w:rFonts w:eastAsia="Calibri"/>
          <w:lang w:val="en-NZ" w:eastAsia="en-US"/>
        </w:rPr>
        <w:t xml:space="preserve"> improved during the period of the Development Plan (Figures </w:t>
      </w:r>
      <w:r w:rsidR="003C0A69">
        <w:rPr>
          <w:rFonts w:eastAsia="Calibri"/>
          <w:lang w:val="en-NZ" w:eastAsia="en-US"/>
        </w:rPr>
        <w:t>3</w:t>
      </w:r>
      <w:r>
        <w:rPr>
          <w:rFonts w:eastAsia="Calibri"/>
          <w:lang w:val="en-NZ" w:eastAsia="en-US"/>
        </w:rPr>
        <w:t xml:space="preserve"> and </w:t>
      </w:r>
      <w:r w:rsidR="003C0A69">
        <w:rPr>
          <w:rFonts w:eastAsia="Calibri"/>
          <w:lang w:val="en-NZ" w:eastAsia="en-US"/>
        </w:rPr>
        <w:t>4</w:t>
      </w:r>
      <w:r>
        <w:rPr>
          <w:rFonts w:eastAsia="Calibri"/>
          <w:lang w:val="en-NZ" w:eastAsia="en-US"/>
        </w:rPr>
        <w:t>).  The percentage of tests complying with</w:t>
      </w:r>
      <w:r w:rsidR="00BB2F72">
        <w:rPr>
          <w:rFonts w:eastAsia="Calibri"/>
          <w:lang w:val="en-NZ" w:eastAsia="en-US"/>
        </w:rPr>
        <w:t xml:space="preserve"> World Health Organisation (</w:t>
      </w:r>
      <w:r>
        <w:rPr>
          <w:rFonts w:eastAsia="Calibri"/>
          <w:lang w:val="en-NZ" w:eastAsia="en-US"/>
        </w:rPr>
        <w:t>WHO</w:t>
      </w:r>
      <w:r w:rsidR="00BB2F72">
        <w:rPr>
          <w:rFonts w:eastAsia="Calibri"/>
          <w:lang w:val="en-NZ" w:eastAsia="en-US"/>
        </w:rPr>
        <w:t>)</w:t>
      </w:r>
      <w:r>
        <w:rPr>
          <w:rFonts w:eastAsia="Calibri"/>
          <w:lang w:val="en-NZ" w:eastAsia="en-US"/>
        </w:rPr>
        <w:t xml:space="preserve"> </w:t>
      </w:r>
      <w:r w:rsidR="00B125BD">
        <w:rPr>
          <w:rFonts w:eastAsia="Calibri"/>
          <w:lang w:val="en-NZ" w:eastAsia="en-US"/>
        </w:rPr>
        <w:t>microbiological water quality</w:t>
      </w:r>
      <w:r>
        <w:rPr>
          <w:rFonts w:eastAsia="Calibri"/>
          <w:lang w:val="en-NZ" w:eastAsia="en-US"/>
        </w:rPr>
        <w:t xml:space="preserve"> standards (total coliforms and E. coli)</w:t>
      </w:r>
      <w:r>
        <w:rPr>
          <w:rStyle w:val="FootnoteReference"/>
          <w:rFonts w:eastAsia="Calibri"/>
          <w:lang w:val="en-NZ" w:eastAsia="en-US"/>
        </w:rPr>
        <w:footnoteReference w:id="11"/>
      </w:r>
      <w:r>
        <w:rPr>
          <w:rFonts w:eastAsia="Calibri"/>
          <w:lang w:val="en-NZ" w:eastAsia="en-US"/>
        </w:rPr>
        <w:t xml:space="preserve"> has increased: E. coli compliance has increased from about 80</w:t>
      </w:r>
      <w:r w:rsidR="0040644C">
        <w:rPr>
          <w:rFonts w:eastAsia="Calibri"/>
          <w:lang w:val="en-NZ" w:eastAsia="en-US"/>
        </w:rPr>
        <w:t xml:space="preserve"> </w:t>
      </w:r>
      <w:r>
        <w:rPr>
          <w:rFonts w:eastAsia="Calibri"/>
          <w:lang w:val="en-NZ" w:eastAsia="en-US"/>
        </w:rPr>
        <w:t xml:space="preserve">per cent in 2013 to almost 100 per </w:t>
      </w:r>
      <w:r w:rsidR="003C0A69">
        <w:rPr>
          <w:rFonts w:eastAsia="Calibri"/>
          <w:lang w:val="en-NZ" w:eastAsia="en-US"/>
        </w:rPr>
        <w:t>cent in 2016 (Figure 3</w:t>
      </w:r>
      <w:r>
        <w:rPr>
          <w:rFonts w:eastAsia="Calibri"/>
          <w:lang w:val="en-NZ" w:eastAsia="en-US"/>
        </w:rPr>
        <w:t xml:space="preserve">) while total coliform compliance has increased from 80 per cent to 90 per cent during the same </w:t>
      </w:r>
      <w:r w:rsidR="003C0A69">
        <w:rPr>
          <w:rFonts w:eastAsia="Calibri"/>
          <w:lang w:val="en-NZ" w:eastAsia="en-US"/>
        </w:rPr>
        <w:t>period (Figure 4</w:t>
      </w:r>
      <w:r w:rsidRPr="00997F43">
        <w:rPr>
          <w:rFonts w:eastAsia="Calibri"/>
          <w:lang w:val="en-NZ" w:eastAsia="en-US"/>
        </w:rPr>
        <w:t>).</w:t>
      </w:r>
      <w:r>
        <w:rPr>
          <w:rFonts w:eastAsia="Calibri"/>
          <w:lang w:val="en-NZ" w:eastAsia="en-US"/>
        </w:rPr>
        <w:t xml:space="preserve">  </w:t>
      </w:r>
    </w:p>
    <w:p w14:paraId="7C28FEF5" w14:textId="77777777" w:rsidR="001D226D" w:rsidRPr="00C10546" w:rsidRDefault="003C0A69" w:rsidP="001D226D">
      <w:pPr>
        <w:pStyle w:val="FigureName"/>
        <w:rPr>
          <w:rFonts w:eastAsia="Calibri"/>
          <w:lang w:val="en-NZ" w:eastAsia="en-US"/>
        </w:rPr>
      </w:pPr>
      <w:bookmarkStart w:id="21" w:name="_Toc453956017"/>
      <w:r>
        <w:rPr>
          <w:rFonts w:eastAsia="Calibri"/>
          <w:lang w:val="en-NZ" w:eastAsia="en-US"/>
        </w:rPr>
        <w:lastRenderedPageBreak/>
        <w:t>Figure 3</w:t>
      </w:r>
      <w:r w:rsidR="001D226D">
        <w:rPr>
          <w:rFonts w:eastAsia="Calibri"/>
          <w:lang w:val="en-NZ" w:eastAsia="en-US"/>
        </w:rPr>
        <w:tab/>
        <w:t>Percentage of E. coli tests compliant with WHO standards</w:t>
      </w:r>
      <w:bookmarkEnd w:id="21"/>
    </w:p>
    <w:p w14:paraId="6336469B" w14:textId="343F9807" w:rsidR="00BC31C0" w:rsidRDefault="00DF13D7" w:rsidP="001D226D">
      <w:pPr>
        <w:jc w:val="right"/>
        <w:rPr>
          <w:rFonts w:eastAsia="Calibri"/>
          <w:lang w:val="en-NZ" w:eastAsia="en-US"/>
        </w:rPr>
      </w:pPr>
      <w:r>
        <w:rPr>
          <w:noProof/>
        </w:rPr>
        <w:drawing>
          <wp:inline distT="0" distB="0" distL="0" distR="0" wp14:anchorId="2840D2B4" wp14:editId="7294BC1E">
            <wp:extent cx="5697415" cy="2574387"/>
            <wp:effectExtent l="0" t="0" r="17780" b="1651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D226D" w:rsidRPr="00D0357D">
        <w:rPr>
          <w:sz w:val="16"/>
          <w:szCs w:val="16"/>
        </w:rPr>
        <w:t>Source: Solomon Water Report to Program Steering Group, April 2016</w:t>
      </w:r>
    </w:p>
    <w:p w14:paraId="1B7A34AA" w14:textId="77777777" w:rsidR="003C0A69" w:rsidRDefault="003C0A69" w:rsidP="003C0A69">
      <w:pPr>
        <w:pStyle w:val="FigureName"/>
        <w:rPr>
          <w:rFonts w:eastAsia="Calibri"/>
          <w:lang w:val="en-NZ" w:eastAsia="en-US"/>
        </w:rPr>
      </w:pPr>
      <w:bookmarkStart w:id="22" w:name="_Toc453956018"/>
      <w:r>
        <w:rPr>
          <w:rFonts w:eastAsia="Calibri"/>
          <w:lang w:val="en-NZ" w:eastAsia="en-US"/>
        </w:rPr>
        <w:t>Figure 4</w:t>
      </w:r>
      <w:r>
        <w:rPr>
          <w:rFonts w:eastAsia="Calibri"/>
          <w:lang w:val="en-NZ" w:eastAsia="en-US"/>
        </w:rPr>
        <w:tab/>
        <w:t>Percentage of coliform tests compliant with WHO standards</w:t>
      </w:r>
      <w:bookmarkEnd w:id="22"/>
    </w:p>
    <w:p w14:paraId="3A4330EE" w14:textId="77777777" w:rsidR="003C0A69" w:rsidRPr="00513DD6" w:rsidRDefault="00DF13D7" w:rsidP="003C0A69">
      <w:pPr>
        <w:spacing w:before="0" w:after="200" w:line="276" w:lineRule="auto"/>
        <w:jc w:val="right"/>
        <w:rPr>
          <w:noProof/>
          <w:lang w:val="en-NZ" w:eastAsia="en-NZ"/>
        </w:rPr>
      </w:pPr>
      <w:r>
        <w:rPr>
          <w:noProof/>
        </w:rPr>
        <w:drawing>
          <wp:inline distT="0" distB="0" distL="0" distR="0" wp14:anchorId="035B8E4D" wp14:editId="0B80B1EB">
            <wp:extent cx="5746115" cy="2574000"/>
            <wp:effectExtent l="0" t="0" r="698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115" cy="2574000"/>
                    </a:xfrm>
                    <a:prstGeom prst="rect">
                      <a:avLst/>
                    </a:prstGeom>
                    <a:noFill/>
                    <a:ln>
                      <a:noFill/>
                    </a:ln>
                  </pic:spPr>
                </pic:pic>
              </a:graphicData>
            </a:graphic>
          </wp:inline>
        </w:drawing>
      </w:r>
      <w:r w:rsidR="003C0A69" w:rsidRPr="00D0357D">
        <w:rPr>
          <w:sz w:val="16"/>
          <w:szCs w:val="16"/>
        </w:rPr>
        <w:t>Source: Solomon Water Report to Program Steering Group, April 2016</w:t>
      </w:r>
    </w:p>
    <w:p w14:paraId="3EB8E5C4" w14:textId="41F04A03" w:rsidR="001D226D" w:rsidRDefault="00AA727A" w:rsidP="001D226D">
      <w:pPr>
        <w:rPr>
          <w:rFonts w:eastAsia="Calibri"/>
          <w:lang w:val="en-NZ" w:eastAsia="en-US"/>
        </w:rPr>
      </w:pPr>
      <w:r>
        <w:rPr>
          <w:rFonts w:eastAsia="Calibri"/>
          <w:lang w:val="en-NZ" w:eastAsia="en-US"/>
        </w:rPr>
        <w:t>T</w:t>
      </w:r>
      <w:r w:rsidR="001D226D">
        <w:rPr>
          <w:rFonts w:eastAsia="Calibri"/>
          <w:lang w:val="en-NZ" w:eastAsia="en-US"/>
        </w:rPr>
        <w:t>he 2013 PWWA benchmarking report</w:t>
      </w:r>
      <w:r>
        <w:rPr>
          <w:rFonts w:eastAsia="Calibri"/>
          <w:lang w:val="en-NZ" w:eastAsia="en-US"/>
        </w:rPr>
        <w:t xml:space="preserve"> notes </w:t>
      </w:r>
      <w:r w:rsidR="001D226D">
        <w:rPr>
          <w:rFonts w:eastAsia="Calibri"/>
          <w:lang w:val="en-NZ" w:eastAsia="en-US"/>
        </w:rPr>
        <w:t xml:space="preserve">81 per cent of samples tested </w:t>
      </w:r>
      <w:r>
        <w:rPr>
          <w:rFonts w:eastAsia="Calibri"/>
          <w:lang w:val="en-NZ" w:eastAsia="en-US"/>
        </w:rPr>
        <w:t xml:space="preserve">by medium </w:t>
      </w:r>
      <w:r w:rsidR="00932B41">
        <w:rPr>
          <w:rFonts w:eastAsia="Calibri"/>
          <w:lang w:val="en-NZ" w:eastAsia="en-US"/>
        </w:rPr>
        <w:t>sized utilities (which include</w:t>
      </w:r>
      <w:r>
        <w:rPr>
          <w:rFonts w:eastAsia="Calibri"/>
          <w:lang w:val="en-NZ" w:eastAsia="en-US"/>
        </w:rPr>
        <w:t xml:space="preserve"> Solomon Water) </w:t>
      </w:r>
      <w:r w:rsidR="001D226D">
        <w:rPr>
          <w:rFonts w:eastAsia="Calibri"/>
          <w:lang w:val="en-NZ" w:eastAsia="en-US"/>
        </w:rPr>
        <w:t>complied with WHO standards for microbiological water quality. This was about the same compliance that Solomon Water achieved at this time, but as noted above significant improvement has occurred since that time. This improvement can be attributed to activities undertaken during the RAP including the provision of new chlorine dosing equipment and the change from calcium hypochlorite powder to sodium hypochlorite liquid which has improved the efficiency of the dosing procedure</w:t>
      </w:r>
      <w:r w:rsidR="0052273C">
        <w:rPr>
          <w:rFonts w:eastAsia="Calibri"/>
          <w:lang w:val="en-NZ" w:eastAsia="en-US"/>
        </w:rPr>
        <w:t xml:space="preserve">. </w:t>
      </w:r>
      <w:r w:rsidR="001D226D">
        <w:rPr>
          <w:rFonts w:eastAsia="Calibri"/>
          <w:lang w:val="en-NZ" w:eastAsia="en-US"/>
        </w:rPr>
        <w:t xml:space="preserve">It was reported that compliance with WHO microbiological standards was as low as 40 per cent prior to the improvements provided under the RAP. </w:t>
      </w:r>
    </w:p>
    <w:p w14:paraId="0C832EFC" w14:textId="1867B5D2" w:rsidR="00B125BD" w:rsidRDefault="00B125BD" w:rsidP="00B125BD">
      <w:pPr>
        <w:rPr>
          <w:rFonts w:eastAsia="Calibri"/>
          <w:lang w:val="en-NZ" w:eastAsia="en-US"/>
        </w:rPr>
      </w:pPr>
      <w:r>
        <w:rPr>
          <w:rFonts w:eastAsia="Calibri"/>
          <w:lang w:val="en-NZ" w:eastAsia="en-US"/>
        </w:rPr>
        <w:t xml:space="preserve">Ideally, Solomon Water should aim to achieve the Pacific benchmark of 100 per cent compliance with WHO microbiological water quality standards. This is likely to require an improvement in procurement procedures to ensure supplies of chlorine are always available, rehabilitation of the distribution system to prevent the risk of cross contamination from sewage and drainage and a water quality monitoring program, especially for residual chlorine, in accordance with standard requirements. It is understood that Solomon Water is considering gas chlorination. This may improve the efficiency of </w:t>
      </w:r>
      <w:r>
        <w:rPr>
          <w:rFonts w:eastAsia="Calibri"/>
          <w:lang w:val="en-NZ" w:eastAsia="en-US"/>
        </w:rPr>
        <w:lastRenderedPageBreak/>
        <w:t>disinfection, but would need to be accompanied by a comprehensive training program to mitigate the safety risks of operating a gas chlorination system.</w:t>
      </w:r>
    </w:p>
    <w:p w14:paraId="76F18BB0" w14:textId="59A2269C" w:rsidR="00FE52E2" w:rsidRDefault="00FE52E2" w:rsidP="00FE52E2">
      <w:pPr>
        <w:rPr>
          <w:rFonts w:eastAsia="Calibri"/>
          <w:lang w:val="en-NZ" w:eastAsia="en-US"/>
        </w:rPr>
      </w:pPr>
      <w:r>
        <w:rPr>
          <w:rFonts w:eastAsia="Calibri"/>
          <w:lang w:val="en-NZ" w:eastAsia="en-US"/>
        </w:rPr>
        <w:t>In 2013 the average compliance across the Pacific for the number of tests for residual chlorine in treated water carried out and passed</w:t>
      </w:r>
      <w:r>
        <w:rPr>
          <w:rStyle w:val="FootnoteReference"/>
          <w:rFonts w:eastAsia="Calibri"/>
          <w:lang w:val="en-NZ" w:eastAsia="en-US"/>
        </w:rPr>
        <w:footnoteReference w:id="12"/>
      </w:r>
      <w:r>
        <w:rPr>
          <w:rFonts w:eastAsia="Calibri"/>
          <w:lang w:val="en-NZ" w:eastAsia="en-US"/>
        </w:rPr>
        <w:t xml:space="preserve"> was 62 per cent overall and 75 per cent for medium sized utilities. In 2013 Solomon Water was at 65 per cent compliance - slightly below the PWWA average for medium sized utilities. This has further fallen to 50 per cent in 2015.  The reason given by Solomon Water for this lower compliance is that the utility ran out of chlorine for periods during 2015 and was forced to reduce the chlorine dosage which resulted in lower concentrations of residual chlorine. The total coliform and e-coli compliance dipped during May-July 2015 (Figures 3 and 4) which may correlate with the periods of shortage of chlorine.</w:t>
      </w:r>
    </w:p>
    <w:p w14:paraId="2D344694" w14:textId="77777777" w:rsidR="00FE52E2" w:rsidRDefault="00B125BD" w:rsidP="001D226D">
      <w:pPr>
        <w:rPr>
          <w:rFonts w:eastAsia="Calibri"/>
          <w:lang w:val="en-NZ" w:eastAsia="en-US"/>
        </w:rPr>
      </w:pPr>
      <w:r>
        <w:rPr>
          <w:rFonts w:eastAsia="Calibri"/>
          <w:lang w:val="en-NZ" w:eastAsia="en-US"/>
        </w:rPr>
        <w:t>With regard to the frequency of testing, Solomon Water’s Water Quality Analyst advised that 16 samples are analysed each week for total coliform and e-coli which is greater than the WHO recommendation.</w:t>
      </w:r>
      <w:r>
        <w:rPr>
          <w:rStyle w:val="FootnoteReference"/>
          <w:rFonts w:eastAsia="Calibri"/>
          <w:lang w:val="en-NZ" w:eastAsia="en-US"/>
        </w:rPr>
        <w:footnoteReference w:id="13"/>
      </w:r>
      <w:r>
        <w:rPr>
          <w:rFonts w:eastAsia="Calibri"/>
          <w:lang w:val="en-NZ" w:eastAsia="en-US"/>
        </w:rPr>
        <w:t xml:space="preserve">  </w:t>
      </w:r>
      <w:r w:rsidR="001D226D">
        <w:rPr>
          <w:rFonts w:eastAsia="Calibri"/>
          <w:lang w:val="en-NZ" w:eastAsia="en-US"/>
        </w:rPr>
        <w:t>On the other hand since 2013, Solomon Water has been unable to meet the recommended frequency of tests for residual chlorine</w:t>
      </w:r>
      <w:r w:rsidR="001D226D">
        <w:rPr>
          <w:rStyle w:val="FootnoteReference"/>
          <w:rFonts w:eastAsia="Calibri"/>
          <w:lang w:val="en-NZ" w:eastAsia="en-US"/>
        </w:rPr>
        <w:footnoteReference w:id="14"/>
      </w:r>
      <w:r w:rsidR="00365392">
        <w:rPr>
          <w:rFonts w:eastAsia="Calibri"/>
          <w:lang w:val="en-NZ" w:eastAsia="en-US"/>
        </w:rPr>
        <w:t xml:space="preserve"> (Table </w:t>
      </w:r>
      <w:r w:rsidR="00D00A00">
        <w:rPr>
          <w:rFonts w:eastAsia="Calibri"/>
          <w:lang w:val="en-NZ" w:eastAsia="en-US"/>
        </w:rPr>
        <w:t>3</w:t>
      </w:r>
      <w:r w:rsidR="001D226D">
        <w:rPr>
          <w:rFonts w:eastAsia="Calibri"/>
          <w:lang w:val="en-NZ" w:eastAsia="en-US"/>
        </w:rPr>
        <w:t xml:space="preserve">). They have tended to concentrate on the elements of the system more at risk from bacteriological contamination such as surface sources. However, this does not necessarily protect against contamination from within the pipeline which can occur irrespective of the water source. </w:t>
      </w:r>
    </w:p>
    <w:p w14:paraId="14A8D5CE" w14:textId="6D75FD99" w:rsidR="001D226D" w:rsidRDefault="001D226D" w:rsidP="001D226D">
      <w:pPr>
        <w:pStyle w:val="TableName"/>
        <w:rPr>
          <w:rFonts w:eastAsia="Calibri"/>
          <w:lang w:val="en-NZ" w:eastAsia="en-US"/>
        </w:rPr>
      </w:pPr>
      <w:bookmarkStart w:id="23" w:name="_Toc453956012"/>
      <w:r>
        <w:rPr>
          <w:rFonts w:eastAsia="Calibri"/>
          <w:lang w:val="en-NZ" w:eastAsia="en-US"/>
        </w:rPr>
        <w:t xml:space="preserve">Table </w:t>
      </w:r>
      <w:r w:rsidR="00D00A00">
        <w:rPr>
          <w:rFonts w:eastAsia="Calibri"/>
          <w:lang w:val="en-NZ" w:eastAsia="en-US"/>
        </w:rPr>
        <w:t>3</w:t>
      </w:r>
      <w:r>
        <w:rPr>
          <w:rFonts w:eastAsia="Calibri"/>
          <w:lang w:val="en-NZ" w:eastAsia="en-US"/>
        </w:rPr>
        <w:tab/>
        <w:t>Tests of treated water for residual chlorine 2013-2015</w:t>
      </w:r>
      <w:bookmarkEnd w:id="23"/>
    </w:p>
    <w:tbl>
      <w:tblPr>
        <w:tblpPr w:leftFromText="180" w:rightFromText="180" w:vertAnchor="text" w:tblpY="1"/>
        <w:tblOverlap w:val="never"/>
        <w:tblW w:w="5000" w:type="pct"/>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682"/>
        <w:gridCol w:w="2769"/>
        <w:gridCol w:w="2968"/>
        <w:gridCol w:w="2607"/>
      </w:tblGrid>
      <w:tr w:rsidR="001D226D" w:rsidRPr="00191501" w14:paraId="6D55C14C" w14:textId="77777777" w:rsidTr="00E42ACB">
        <w:trPr>
          <w:trHeight w:val="20"/>
        </w:trPr>
        <w:tc>
          <w:tcPr>
            <w:tcW w:w="378" w:type="pct"/>
            <w:shd w:val="clear" w:color="auto" w:fill="007FAD"/>
          </w:tcPr>
          <w:p w14:paraId="2C1EEFB7" w14:textId="77777777" w:rsidR="001D226D" w:rsidRPr="00E42ACB" w:rsidRDefault="001D226D" w:rsidP="00E42ACB">
            <w:pPr>
              <w:pStyle w:val="TableHeading2"/>
              <w:spacing w:before="0" w:after="0"/>
              <w:rPr>
                <w:sz w:val="16"/>
                <w:szCs w:val="16"/>
                <w:lang w:eastAsia="en-NZ"/>
              </w:rPr>
            </w:pPr>
            <w:r w:rsidRPr="00E42ACB">
              <w:rPr>
                <w:sz w:val="16"/>
                <w:szCs w:val="16"/>
                <w:lang w:eastAsia="en-NZ"/>
              </w:rPr>
              <w:t>Year</w:t>
            </w:r>
          </w:p>
        </w:tc>
        <w:tc>
          <w:tcPr>
            <w:tcW w:w="1534" w:type="pct"/>
            <w:shd w:val="clear" w:color="auto" w:fill="007FAD"/>
            <w:hideMark/>
          </w:tcPr>
          <w:p w14:paraId="39DF1BF1" w14:textId="77777777" w:rsidR="001D226D" w:rsidRPr="00E42ACB" w:rsidRDefault="001D226D" w:rsidP="00E42ACB">
            <w:pPr>
              <w:pStyle w:val="TableHeading2"/>
              <w:spacing w:before="0" w:after="0"/>
              <w:rPr>
                <w:sz w:val="16"/>
                <w:szCs w:val="16"/>
                <w:lang w:eastAsia="en-NZ"/>
              </w:rPr>
            </w:pPr>
            <w:r w:rsidRPr="00E42ACB">
              <w:rPr>
                <w:sz w:val="16"/>
                <w:szCs w:val="16"/>
                <w:lang w:eastAsia="en-NZ"/>
              </w:rPr>
              <w:t xml:space="preserve">Required number of tests </w:t>
            </w:r>
          </w:p>
        </w:tc>
        <w:tc>
          <w:tcPr>
            <w:tcW w:w="1644" w:type="pct"/>
            <w:shd w:val="clear" w:color="auto" w:fill="007FAD"/>
            <w:hideMark/>
          </w:tcPr>
          <w:p w14:paraId="3F3FCBEF" w14:textId="77777777" w:rsidR="001D226D" w:rsidRPr="00E42ACB" w:rsidRDefault="001D226D" w:rsidP="00E42ACB">
            <w:pPr>
              <w:pStyle w:val="TableHeading2"/>
              <w:spacing w:before="0" w:after="0"/>
              <w:rPr>
                <w:sz w:val="16"/>
                <w:szCs w:val="16"/>
                <w:lang w:eastAsia="en-NZ"/>
              </w:rPr>
            </w:pPr>
            <w:r w:rsidRPr="00E42ACB">
              <w:rPr>
                <w:sz w:val="16"/>
                <w:szCs w:val="16"/>
                <w:lang w:eastAsia="en-NZ"/>
              </w:rPr>
              <w:t>Number of tests carried out</w:t>
            </w:r>
          </w:p>
        </w:tc>
        <w:tc>
          <w:tcPr>
            <w:tcW w:w="1444" w:type="pct"/>
            <w:shd w:val="clear" w:color="auto" w:fill="007FAD"/>
            <w:hideMark/>
          </w:tcPr>
          <w:p w14:paraId="0D7F726F" w14:textId="77777777" w:rsidR="001D226D" w:rsidRPr="00E42ACB" w:rsidRDefault="001D226D" w:rsidP="00E42ACB">
            <w:pPr>
              <w:pStyle w:val="TableHeading2"/>
              <w:spacing w:before="0" w:after="0"/>
              <w:rPr>
                <w:sz w:val="16"/>
                <w:szCs w:val="16"/>
                <w:lang w:eastAsia="en-NZ"/>
              </w:rPr>
            </w:pPr>
            <w:r w:rsidRPr="00E42ACB">
              <w:rPr>
                <w:sz w:val="16"/>
                <w:szCs w:val="16"/>
                <w:lang w:eastAsia="en-NZ"/>
              </w:rPr>
              <w:t>Number of tests passed</w:t>
            </w:r>
          </w:p>
        </w:tc>
      </w:tr>
      <w:tr w:rsidR="001D226D" w:rsidRPr="00191501" w14:paraId="2784EC53" w14:textId="77777777" w:rsidTr="00E42ACB">
        <w:trPr>
          <w:trHeight w:val="20"/>
        </w:trPr>
        <w:tc>
          <w:tcPr>
            <w:tcW w:w="378" w:type="pct"/>
            <w:shd w:val="clear" w:color="auto" w:fill="FFFFFF"/>
            <w:vAlign w:val="center"/>
          </w:tcPr>
          <w:p w14:paraId="0DE56A90" w14:textId="77777777" w:rsidR="001D226D" w:rsidRDefault="001D226D" w:rsidP="00E42ACB">
            <w:pPr>
              <w:pStyle w:val="TableText"/>
              <w:spacing w:before="0" w:after="0"/>
              <w:jc w:val="center"/>
              <w:rPr>
                <w:lang w:eastAsia="en-NZ"/>
              </w:rPr>
            </w:pPr>
          </w:p>
        </w:tc>
        <w:tc>
          <w:tcPr>
            <w:tcW w:w="1534" w:type="pct"/>
            <w:shd w:val="clear" w:color="auto" w:fill="FFFFFF"/>
            <w:vAlign w:val="center"/>
            <w:hideMark/>
          </w:tcPr>
          <w:p w14:paraId="3535C3CC" w14:textId="77777777" w:rsidR="001D226D" w:rsidRDefault="001D226D" w:rsidP="00E42ACB">
            <w:pPr>
              <w:pStyle w:val="TableText"/>
              <w:spacing w:before="0" w:after="0"/>
              <w:jc w:val="center"/>
              <w:rPr>
                <w:lang w:eastAsia="en-NZ"/>
              </w:rPr>
            </w:pPr>
            <w:r>
              <w:rPr>
                <w:lang w:eastAsia="en-NZ"/>
              </w:rPr>
              <w:t>per year</w:t>
            </w:r>
          </w:p>
        </w:tc>
        <w:tc>
          <w:tcPr>
            <w:tcW w:w="1644" w:type="pct"/>
            <w:shd w:val="clear" w:color="auto" w:fill="FFFFFF"/>
            <w:vAlign w:val="center"/>
            <w:hideMark/>
          </w:tcPr>
          <w:p w14:paraId="6AA52666" w14:textId="77777777" w:rsidR="001D226D" w:rsidRDefault="001D226D" w:rsidP="00E42ACB">
            <w:pPr>
              <w:pStyle w:val="TableText"/>
              <w:spacing w:before="0" w:after="0"/>
              <w:jc w:val="center"/>
              <w:rPr>
                <w:lang w:eastAsia="en-NZ"/>
              </w:rPr>
            </w:pPr>
            <w:r>
              <w:rPr>
                <w:lang w:eastAsia="en-NZ"/>
              </w:rPr>
              <w:t>per year</w:t>
            </w:r>
          </w:p>
        </w:tc>
        <w:tc>
          <w:tcPr>
            <w:tcW w:w="1444" w:type="pct"/>
            <w:shd w:val="clear" w:color="auto" w:fill="FFFFFF"/>
            <w:vAlign w:val="center"/>
            <w:hideMark/>
          </w:tcPr>
          <w:p w14:paraId="5CBF0739" w14:textId="77777777" w:rsidR="001D226D" w:rsidRDefault="001D226D" w:rsidP="00E42ACB">
            <w:pPr>
              <w:pStyle w:val="TableText"/>
              <w:spacing w:before="0" w:after="0"/>
              <w:jc w:val="center"/>
              <w:rPr>
                <w:lang w:eastAsia="en-NZ"/>
              </w:rPr>
            </w:pPr>
            <w:r>
              <w:rPr>
                <w:lang w:eastAsia="en-NZ"/>
              </w:rPr>
              <w:t>per year</w:t>
            </w:r>
          </w:p>
        </w:tc>
      </w:tr>
      <w:tr w:rsidR="001D226D" w:rsidRPr="00191501" w14:paraId="47562C82" w14:textId="77777777" w:rsidTr="00E42ACB">
        <w:trPr>
          <w:trHeight w:val="20"/>
        </w:trPr>
        <w:tc>
          <w:tcPr>
            <w:tcW w:w="378" w:type="pct"/>
            <w:shd w:val="clear" w:color="auto" w:fill="FFFFFF"/>
            <w:vAlign w:val="center"/>
          </w:tcPr>
          <w:p w14:paraId="316B0518"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2010</w:t>
            </w:r>
          </w:p>
        </w:tc>
        <w:tc>
          <w:tcPr>
            <w:tcW w:w="1534" w:type="pct"/>
            <w:shd w:val="clear" w:color="auto" w:fill="FFFFFF"/>
            <w:vAlign w:val="center"/>
            <w:hideMark/>
          </w:tcPr>
          <w:p w14:paraId="71AF347F"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2,184</w:t>
            </w:r>
          </w:p>
        </w:tc>
        <w:tc>
          <w:tcPr>
            <w:tcW w:w="1644" w:type="pct"/>
            <w:shd w:val="clear" w:color="auto" w:fill="FFFFFF"/>
            <w:vAlign w:val="center"/>
            <w:hideMark/>
          </w:tcPr>
          <w:p w14:paraId="697DD09D"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2,500</w:t>
            </w:r>
          </w:p>
        </w:tc>
        <w:tc>
          <w:tcPr>
            <w:tcW w:w="1444" w:type="pct"/>
            <w:shd w:val="clear" w:color="auto" w:fill="FFFFFF"/>
            <w:vAlign w:val="center"/>
            <w:hideMark/>
          </w:tcPr>
          <w:p w14:paraId="1AB90735"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2,100</w:t>
            </w:r>
          </w:p>
        </w:tc>
      </w:tr>
      <w:tr w:rsidR="001D226D" w:rsidRPr="00191501" w14:paraId="76203C25" w14:textId="77777777" w:rsidTr="00E42ACB">
        <w:trPr>
          <w:trHeight w:val="20"/>
        </w:trPr>
        <w:tc>
          <w:tcPr>
            <w:tcW w:w="378" w:type="pct"/>
            <w:shd w:val="clear" w:color="auto" w:fill="FFFFFF"/>
            <w:vAlign w:val="center"/>
          </w:tcPr>
          <w:p w14:paraId="4FF6502A"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2011</w:t>
            </w:r>
          </w:p>
        </w:tc>
        <w:tc>
          <w:tcPr>
            <w:tcW w:w="1534" w:type="pct"/>
            <w:shd w:val="clear" w:color="auto" w:fill="FFFFFF"/>
            <w:vAlign w:val="center"/>
            <w:hideMark/>
          </w:tcPr>
          <w:p w14:paraId="376E4C66"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1,825</w:t>
            </w:r>
          </w:p>
        </w:tc>
        <w:tc>
          <w:tcPr>
            <w:tcW w:w="1644" w:type="pct"/>
            <w:shd w:val="clear" w:color="auto" w:fill="FFFFFF"/>
            <w:vAlign w:val="center"/>
            <w:hideMark/>
          </w:tcPr>
          <w:p w14:paraId="1D75C989"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1,825</w:t>
            </w:r>
          </w:p>
        </w:tc>
        <w:tc>
          <w:tcPr>
            <w:tcW w:w="1444" w:type="pct"/>
            <w:shd w:val="clear" w:color="auto" w:fill="FFFFFF"/>
            <w:vAlign w:val="center"/>
            <w:hideMark/>
          </w:tcPr>
          <w:p w14:paraId="4AC15680"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1,460</w:t>
            </w:r>
          </w:p>
        </w:tc>
      </w:tr>
      <w:tr w:rsidR="001D226D" w:rsidRPr="00191501" w14:paraId="634C182D" w14:textId="77777777" w:rsidTr="00E42ACB">
        <w:trPr>
          <w:trHeight w:val="20"/>
        </w:trPr>
        <w:tc>
          <w:tcPr>
            <w:tcW w:w="378" w:type="pct"/>
            <w:shd w:val="clear" w:color="auto" w:fill="FFFFFF"/>
            <w:vAlign w:val="center"/>
          </w:tcPr>
          <w:p w14:paraId="4DB05ADD"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2012</w:t>
            </w:r>
          </w:p>
        </w:tc>
        <w:tc>
          <w:tcPr>
            <w:tcW w:w="1534" w:type="pct"/>
            <w:shd w:val="clear" w:color="auto" w:fill="FFFFFF"/>
            <w:vAlign w:val="center"/>
            <w:hideMark/>
          </w:tcPr>
          <w:p w14:paraId="019AC135"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1,993</w:t>
            </w:r>
          </w:p>
        </w:tc>
        <w:tc>
          <w:tcPr>
            <w:tcW w:w="1644" w:type="pct"/>
            <w:shd w:val="clear" w:color="auto" w:fill="FFFFFF"/>
            <w:vAlign w:val="center"/>
            <w:hideMark/>
          </w:tcPr>
          <w:p w14:paraId="28F2B777"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1,993</w:t>
            </w:r>
          </w:p>
        </w:tc>
        <w:tc>
          <w:tcPr>
            <w:tcW w:w="1444" w:type="pct"/>
            <w:shd w:val="clear" w:color="auto" w:fill="FFFFFF"/>
            <w:vAlign w:val="center"/>
            <w:hideMark/>
          </w:tcPr>
          <w:p w14:paraId="02752654"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1,334</w:t>
            </w:r>
          </w:p>
        </w:tc>
      </w:tr>
      <w:tr w:rsidR="001D226D" w:rsidRPr="00191501" w14:paraId="3D7B3459" w14:textId="77777777" w:rsidTr="00E42ACB">
        <w:trPr>
          <w:trHeight w:val="20"/>
        </w:trPr>
        <w:tc>
          <w:tcPr>
            <w:tcW w:w="378" w:type="pct"/>
            <w:shd w:val="clear" w:color="auto" w:fill="FFFFFF"/>
            <w:vAlign w:val="center"/>
          </w:tcPr>
          <w:p w14:paraId="79486C9F"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2013</w:t>
            </w:r>
          </w:p>
        </w:tc>
        <w:tc>
          <w:tcPr>
            <w:tcW w:w="1534" w:type="pct"/>
            <w:shd w:val="clear" w:color="auto" w:fill="FFFFFF"/>
            <w:vAlign w:val="center"/>
            <w:hideMark/>
          </w:tcPr>
          <w:p w14:paraId="6A7C08FE" w14:textId="77777777" w:rsidR="001D226D" w:rsidRPr="00191501" w:rsidRDefault="001D226D" w:rsidP="00E42ACB">
            <w:pPr>
              <w:pStyle w:val="TableText"/>
              <w:spacing w:before="0" w:after="0"/>
              <w:jc w:val="center"/>
              <w:rPr>
                <w:color w:val="0F243E"/>
                <w:lang w:eastAsia="en-NZ"/>
              </w:rPr>
            </w:pPr>
            <w:r w:rsidRPr="00191501">
              <w:rPr>
                <w:color w:val="0F243E"/>
                <w:lang w:eastAsia="en-NZ"/>
              </w:rPr>
              <w:t>5,840</w:t>
            </w:r>
          </w:p>
        </w:tc>
        <w:tc>
          <w:tcPr>
            <w:tcW w:w="1644" w:type="pct"/>
            <w:shd w:val="clear" w:color="auto" w:fill="FFFFFF"/>
            <w:vAlign w:val="center"/>
            <w:hideMark/>
          </w:tcPr>
          <w:p w14:paraId="3371F495"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1,530</w:t>
            </w:r>
          </w:p>
        </w:tc>
        <w:tc>
          <w:tcPr>
            <w:tcW w:w="1444" w:type="pct"/>
            <w:shd w:val="clear" w:color="auto" w:fill="FFFFFF"/>
            <w:vAlign w:val="center"/>
            <w:hideMark/>
          </w:tcPr>
          <w:p w14:paraId="35C0B8B8" w14:textId="77777777" w:rsidR="001D226D" w:rsidRPr="00191501" w:rsidRDefault="001D226D" w:rsidP="00E42ACB">
            <w:pPr>
              <w:pStyle w:val="TableText"/>
              <w:spacing w:before="0" w:after="0"/>
              <w:jc w:val="center"/>
              <w:rPr>
                <w:color w:val="0F243E"/>
                <w:lang w:eastAsia="en-NZ"/>
              </w:rPr>
            </w:pPr>
            <w:r w:rsidRPr="00191501">
              <w:rPr>
                <w:color w:val="0F243E"/>
                <w:lang w:eastAsia="en-NZ"/>
              </w:rPr>
              <w:t>1,517</w:t>
            </w:r>
          </w:p>
        </w:tc>
      </w:tr>
      <w:tr w:rsidR="001D226D" w:rsidRPr="00191501" w14:paraId="45C8156A" w14:textId="77777777" w:rsidTr="00E42ACB">
        <w:trPr>
          <w:trHeight w:val="20"/>
        </w:trPr>
        <w:tc>
          <w:tcPr>
            <w:tcW w:w="378" w:type="pct"/>
            <w:shd w:val="clear" w:color="auto" w:fill="FFFFFF"/>
            <w:vAlign w:val="center"/>
          </w:tcPr>
          <w:p w14:paraId="3A941B71"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2014</w:t>
            </w:r>
          </w:p>
        </w:tc>
        <w:tc>
          <w:tcPr>
            <w:tcW w:w="1534" w:type="pct"/>
            <w:shd w:val="clear" w:color="auto" w:fill="FFFFFF"/>
            <w:vAlign w:val="center"/>
            <w:hideMark/>
          </w:tcPr>
          <w:p w14:paraId="5EED811C" w14:textId="77777777" w:rsidR="001D226D" w:rsidRPr="00191501" w:rsidRDefault="001D226D" w:rsidP="00E42ACB">
            <w:pPr>
              <w:pStyle w:val="TableText"/>
              <w:spacing w:before="0" w:after="0"/>
              <w:jc w:val="center"/>
              <w:rPr>
                <w:color w:val="0F243E"/>
                <w:lang w:eastAsia="en-NZ"/>
              </w:rPr>
            </w:pPr>
            <w:r w:rsidRPr="00191501">
              <w:rPr>
                <w:color w:val="0F243E"/>
                <w:lang w:eastAsia="en-NZ"/>
              </w:rPr>
              <w:t>5,840</w:t>
            </w:r>
          </w:p>
        </w:tc>
        <w:tc>
          <w:tcPr>
            <w:tcW w:w="1644" w:type="pct"/>
            <w:shd w:val="clear" w:color="auto" w:fill="FFFFFF"/>
            <w:vAlign w:val="center"/>
            <w:hideMark/>
          </w:tcPr>
          <w:p w14:paraId="587EFED0" w14:textId="77777777" w:rsidR="001D226D" w:rsidRPr="00191501" w:rsidRDefault="001D226D" w:rsidP="00E42ACB">
            <w:pPr>
              <w:pStyle w:val="TableText"/>
              <w:spacing w:before="0" w:after="0"/>
              <w:jc w:val="center"/>
              <w:rPr>
                <w:color w:val="0F243E"/>
                <w:lang w:eastAsia="en-NZ"/>
              </w:rPr>
            </w:pPr>
            <w:r w:rsidRPr="00191501">
              <w:rPr>
                <w:color w:val="0F243E"/>
                <w:lang w:eastAsia="en-NZ"/>
              </w:rPr>
              <w:t>859</w:t>
            </w:r>
          </w:p>
        </w:tc>
        <w:tc>
          <w:tcPr>
            <w:tcW w:w="1444" w:type="pct"/>
            <w:shd w:val="clear" w:color="auto" w:fill="FFFFFF"/>
            <w:vAlign w:val="center"/>
            <w:hideMark/>
          </w:tcPr>
          <w:p w14:paraId="1B026421" w14:textId="77777777" w:rsidR="001D226D" w:rsidRPr="00191501" w:rsidRDefault="001D226D" w:rsidP="00E42ACB">
            <w:pPr>
              <w:pStyle w:val="TableText"/>
              <w:spacing w:before="0" w:after="0"/>
              <w:jc w:val="center"/>
              <w:rPr>
                <w:color w:val="0F243E"/>
                <w:lang w:eastAsia="en-NZ"/>
              </w:rPr>
            </w:pPr>
            <w:r w:rsidRPr="00191501">
              <w:rPr>
                <w:color w:val="0F243E"/>
                <w:lang w:eastAsia="en-NZ"/>
              </w:rPr>
              <w:t>859</w:t>
            </w:r>
          </w:p>
        </w:tc>
      </w:tr>
      <w:tr w:rsidR="001D226D" w:rsidRPr="00191501" w14:paraId="1592C847" w14:textId="77777777" w:rsidTr="00E42ACB">
        <w:trPr>
          <w:trHeight w:val="20"/>
        </w:trPr>
        <w:tc>
          <w:tcPr>
            <w:tcW w:w="378" w:type="pct"/>
            <w:shd w:val="clear" w:color="auto" w:fill="FFFFFF"/>
            <w:vAlign w:val="center"/>
          </w:tcPr>
          <w:p w14:paraId="27EA4BAA"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2015</w:t>
            </w:r>
          </w:p>
        </w:tc>
        <w:tc>
          <w:tcPr>
            <w:tcW w:w="1534" w:type="pct"/>
            <w:shd w:val="clear" w:color="auto" w:fill="FFFFFF"/>
            <w:vAlign w:val="center"/>
            <w:hideMark/>
          </w:tcPr>
          <w:p w14:paraId="62658F86" w14:textId="77777777" w:rsidR="001D226D" w:rsidRPr="00191501" w:rsidRDefault="001D226D" w:rsidP="00E42ACB">
            <w:pPr>
              <w:pStyle w:val="TableText"/>
              <w:spacing w:before="0" w:after="0"/>
              <w:jc w:val="center"/>
              <w:rPr>
                <w:color w:val="0F243E"/>
                <w:lang w:eastAsia="en-NZ"/>
              </w:rPr>
            </w:pPr>
            <w:r w:rsidRPr="00191501">
              <w:rPr>
                <w:color w:val="0F243E"/>
                <w:lang w:eastAsia="en-NZ"/>
              </w:rPr>
              <w:t>2,920</w:t>
            </w:r>
          </w:p>
        </w:tc>
        <w:tc>
          <w:tcPr>
            <w:tcW w:w="1644" w:type="pct"/>
            <w:shd w:val="clear" w:color="auto" w:fill="FFFFFF"/>
            <w:vAlign w:val="center"/>
            <w:hideMark/>
          </w:tcPr>
          <w:p w14:paraId="6D3FEE8E" w14:textId="77777777" w:rsidR="001D226D" w:rsidRPr="00191501" w:rsidRDefault="001D226D" w:rsidP="00E42ACB">
            <w:pPr>
              <w:pStyle w:val="TableText"/>
              <w:spacing w:before="0" w:after="0"/>
              <w:jc w:val="center"/>
              <w:rPr>
                <w:color w:val="0F243E"/>
                <w:lang w:eastAsia="en-NZ"/>
              </w:rPr>
            </w:pPr>
            <w:r w:rsidRPr="00191501">
              <w:rPr>
                <w:color w:val="0F243E"/>
                <w:lang w:eastAsia="en-NZ"/>
              </w:rPr>
              <w:t>860</w:t>
            </w:r>
          </w:p>
        </w:tc>
        <w:tc>
          <w:tcPr>
            <w:tcW w:w="1444" w:type="pct"/>
            <w:shd w:val="clear" w:color="auto" w:fill="FFFFFF"/>
            <w:vAlign w:val="center"/>
            <w:hideMark/>
          </w:tcPr>
          <w:p w14:paraId="48AFA67C" w14:textId="77777777" w:rsidR="001D226D" w:rsidRPr="00191501" w:rsidRDefault="001D226D" w:rsidP="00E42ACB">
            <w:pPr>
              <w:pStyle w:val="TableText"/>
              <w:spacing w:before="0" w:after="0"/>
              <w:jc w:val="center"/>
              <w:rPr>
                <w:color w:val="0F243E"/>
                <w:lang w:eastAsia="en-NZ"/>
              </w:rPr>
            </w:pPr>
            <w:r w:rsidRPr="00191501">
              <w:rPr>
                <w:color w:val="0F243E"/>
                <w:lang w:eastAsia="en-NZ"/>
              </w:rPr>
              <w:t>412</w:t>
            </w:r>
          </w:p>
        </w:tc>
      </w:tr>
    </w:tbl>
    <w:p w14:paraId="3B1A0E7B" w14:textId="77777777" w:rsidR="001D226D" w:rsidRPr="00E42ACB" w:rsidRDefault="001D226D" w:rsidP="001D226D">
      <w:pPr>
        <w:jc w:val="right"/>
        <w:rPr>
          <w:rFonts w:eastAsia="Calibri"/>
          <w:sz w:val="16"/>
          <w:szCs w:val="16"/>
          <w:lang w:val="en-NZ" w:eastAsia="en-US"/>
        </w:rPr>
      </w:pPr>
      <w:r w:rsidRPr="00E42ACB">
        <w:rPr>
          <w:rFonts w:eastAsia="Calibri"/>
          <w:sz w:val="16"/>
          <w:szCs w:val="16"/>
          <w:lang w:val="en-NZ" w:eastAsia="en-US"/>
        </w:rPr>
        <w:t>Source: Solomon Water for PWWA Benchmarking</w:t>
      </w:r>
    </w:p>
    <w:p w14:paraId="04644420" w14:textId="0EB906C7" w:rsidR="0020670A" w:rsidRDefault="0020670A" w:rsidP="0020670A">
      <w:pPr>
        <w:rPr>
          <w:rFonts w:eastAsia="Calibri"/>
          <w:lang w:val="en-NZ" w:eastAsia="en-US"/>
        </w:rPr>
      </w:pPr>
      <w:r>
        <w:rPr>
          <w:rFonts w:eastAsia="Calibri"/>
          <w:lang w:val="en-NZ" w:eastAsia="en-US"/>
        </w:rPr>
        <w:t>The Environmental Health Division of the Ministry of Health and Medical Services (MHMS) is responsible for undertaking bacteriological testing on water as an independent quality assurance on the water provided by Solomon Water. The aim is to conduct weekly water sampling at random points across the city but this is now irregular due to logistical issues and lack of laboratory equipment and reagents. If MHMS could maintain weekly random testing, this would suffice as a satisfactory health safeguard.</w:t>
      </w:r>
      <w:r w:rsidRPr="0020670A">
        <w:rPr>
          <w:rFonts w:eastAsia="Calibri"/>
          <w:lang w:val="en-NZ" w:eastAsia="en-US"/>
        </w:rPr>
        <w:t xml:space="preserve"> </w:t>
      </w:r>
      <w:r>
        <w:rPr>
          <w:rFonts w:eastAsia="Calibri"/>
          <w:lang w:val="en-NZ" w:eastAsia="en-US"/>
        </w:rPr>
        <w:t>Where current MHMS testing reveals water quality issues, Solomon Water is advised.</w:t>
      </w:r>
    </w:p>
    <w:p w14:paraId="71AA517B" w14:textId="77777777" w:rsidR="001D226D" w:rsidRDefault="001D226D" w:rsidP="001D226D">
      <w:pPr>
        <w:pStyle w:val="Heading4"/>
        <w:rPr>
          <w:rFonts w:eastAsia="Calibri"/>
          <w:lang w:val="en-NZ" w:eastAsia="en-US"/>
        </w:rPr>
      </w:pPr>
      <w:r>
        <w:rPr>
          <w:rFonts w:eastAsia="Calibri"/>
          <w:lang w:val="en-NZ" w:eastAsia="en-US"/>
        </w:rPr>
        <w:t xml:space="preserve">Consumer confidence </w:t>
      </w:r>
    </w:p>
    <w:p w14:paraId="2E04E2DB" w14:textId="77777777" w:rsidR="001D226D" w:rsidRDefault="001D226D" w:rsidP="001D226D">
      <w:pPr>
        <w:rPr>
          <w:rFonts w:eastAsia="Calibri"/>
          <w:lang w:val="en-NZ" w:eastAsia="en-US"/>
        </w:rPr>
      </w:pPr>
      <w:r>
        <w:rPr>
          <w:rFonts w:eastAsia="Calibri"/>
          <w:lang w:val="en-NZ" w:eastAsia="en-US"/>
        </w:rPr>
        <w:t xml:space="preserve">Most consumers raised the issue of the physical quality of the water supplied after heavy rains when it becomes turbid. Consumers considered that this was a relatively frequent occurrence during the </w:t>
      </w:r>
      <w:r>
        <w:rPr>
          <w:rFonts w:eastAsia="Calibri"/>
          <w:lang w:val="en-NZ" w:eastAsia="en-US"/>
        </w:rPr>
        <w:lastRenderedPageBreak/>
        <w:t xml:space="preserve">rainy season. During these periods, Solomon Water provides only borehole water to consumers where possible. However, some consumers have no access to borehole supplies and can only receive surface water supplies. Depending on the frequency of these events, it may be appropriate to provide some treatment downstream of the surface intakes which could be bypassed during the dry season. </w:t>
      </w:r>
    </w:p>
    <w:p w14:paraId="0C7FB91D" w14:textId="18301567" w:rsidR="001D226D" w:rsidRDefault="001D226D" w:rsidP="001D226D">
      <w:pPr>
        <w:rPr>
          <w:rFonts w:eastAsia="Calibri"/>
          <w:lang w:val="en-NZ" w:eastAsia="en-US"/>
        </w:rPr>
      </w:pPr>
      <w:r w:rsidRPr="00281D68">
        <w:rPr>
          <w:rFonts w:eastAsia="Calibri"/>
          <w:lang w:val="en-NZ" w:eastAsia="en-US"/>
        </w:rPr>
        <w:t>Despite the improvements in water quality</w:t>
      </w:r>
      <w:r w:rsidR="00014BB3" w:rsidRPr="00281D68">
        <w:rPr>
          <w:rFonts w:eastAsia="Calibri"/>
          <w:lang w:val="en-NZ" w:eastAsia="en-US"/>
        </w:rPr>
        <w:t xml:space="preserve"> </w:t>
      </w:r>
      <w:r w:rsidR="002473AE" w:rsidRPr="00281D68">
        <w:rPr>
          <w:rFonts w:eastAsia="Calibri"/>
          <w:lang w:val="en-NZ" w:eastAsia="en-US"/>
        </w:rPr>
        <w:t xml:space="preserve">stakeholders interviewed commented they think people generally </w:t>
      </w:r>
      <w:r w:rsidRPr="00281D68">
        <w:rPr>
          <w:rFonts w:eastAsia="Calibri"/>
          <w:lang w:val="en-NZ" w:eastAsia="en-US"/>
        </w:rPr>
        <w:t xml:space="preserve">prefer to </w:t>
      </w:r>
      <w:r w:rsidR="00014BB3" w:rsidRPr="00281D68">
        <w:rPr>
          <w:rFonts w:eastAsia="Calibri"/>
          <w:lang w:val="en-NZ" w:eastAsia="en-US"/>
        </w:rPr>
        <w:t xml:space="preserve">drink bottled water or rainwater rather than </w:t>
      </w:r>
      <w:r w:rsidRPr="00281D68">
        <w:rPr>
          <w:rFonts w:eastAsia="Calibri"/>
          <w:lang w:val="en-NZ" w:eastAsia="en-US"/>
        </w:rPr>
        <w:t>water supplied through the distribution system</w:t>
      </w:r>
      <w:r w:rsidR="00014BB3" w:rsidRPr="00281D68">
        <w:rPr>
          <w:rFonts w:eastAsia="Calibri"/>
          <w:lang w:val="en-NZ" w:eastAsia="en-US"/>
        </w:rPr>
        <w:t xml:space="preserve">. </w:t>
      </w:r>
      <w:r w:rsidRPr="00281D68">
        <w:rPr>
          <w:rFonts w:eastAsia="Calibri"/>
          <w:lang w:val="en-NZ" w:eastAsia="en-US"/>
        </w:rPr>
        <w:t xml:space="preserve">This may be attributed to a historical mistrust of the water quality or it may be that consumers prefer the taste of </w:t>
      </w:r>
      <w:r w:rsidR="002473AE" w:rsidRPr="00281D68">
        <w:rPr>
          <w:rFonts w:eastAsia="Calibri"/>
          <w:lang w:val="en-NZ" w:eastAsia="en-US"/>
        </w:rPr>
        <w:t xml:space="preserve">bottled water or </w:t>
      </w:r>
      <w:r w:rsidRPr="00281D68">
        <w:rPr>
          <w:rFonts w:eastAsia="Calibri"/>
          <w:lang w:val="en-NZ" w:eastAsia="en-US"/>
        </w:rPr>
        <w:t>rainwater. Some consumers commented that the taste of Solomon Water supplied water had improved in recent years.</w:t>
      </w:r>
      <w:r w:rsidR="002473AE">
        <w:rPr>
          <w:rFonts w:eastAsia="Calibri"/>
          <w:lang w:val="en-NZ" w:eastAsia="en-US"/>
        </w:rPr>
        <w:t xml:space="preserve"> </w:t>
      </w:r>
    </w:p>
    <w:p w14:paraId="1AED40F0" w14:textId="72A5400D" w:rsidR="001D226D" w:rsidRDefault="00583EAF" w:rsidP="001D226D">
      <w:pPr>
        <w:rPr>
          <w:rFonts w:eastAsia="Calibri"/>
          <w:lang w:val="en-NZ" w:eastAsia="en-US"/>
        </w:rPr>
      </w:pPr>
      <w:r>
        <w:rPr>
          <w:rFonts w:eastAsia="Calibri"/>
          <w:lang w:val="en-NZ" w:eastAsia="en-US"/>
        </w:rPr>
        <w:t>T</w:t>
      </w:r>
      <w:r w:rsidR="001D226D">
        <w:rPr>
          <w:rFonts w:eastAsia="Calibri"/>
          <w:lang w:val="en-NZ" w:eastAsia="en-US"/>
        </w:rPr>
        <w:t>he hardness of the water</w:t>
      </w:r>
      <w:r>
        <w:rPr>
          <w:rFonts w:eastAsia="Calibri"/>
          <w:lang w:val="en-NZ" w:eastAsia="en-US"/>
        </w:rPr>
        <w:t xml:space="preserve"> </w:t>
      </w:r>
      <w:r w:rsidR="001D226D" w:rsidRPr="008121F4">
        <w:rPr>
          <w:rFonts w:eastAsia="Calibri"/>
          <w:lang w:val="en-NZ" w:eastAsia="en-US"/>
        </w:rPr>
        <w:t>cause</w:t>
      </w:r>
      <w:r>
        <w:rPr>
          <w:rFonts w:eastAsia="Calibri"/>
          <w:lang w:val="en-NZ" w:eastAsia="en-US"/>
        </w:rPr>
        <w:t>s</w:t>
      </w:r>
      <w:r w:rsidR="001D226D" w:rsidRPr="008121F4">
        <w:rPr>
          <w:rFonts w:eastAsia="Calibri"/>
          <w:lang w:val="en-NZ" w:eastAsia="en-US"/>
        </w:rPr>
        <w:t xml:space="preserve"> </w:t>
      </w:r>
      <w:r>
        <w:rPr>
          <w:rFonts w:eastAsia="Calibri"/>
          <w:lang w:val="en-NZ" w:eastAsia="en-US"/>
        </w:rPr>
        <w:t xml:space="preserve">some </w:t>
      </w:r>
      <w:r w:rsidR="001D226D" w:rsidRPr="008121F4">
        <w:rPr>
          <w:rFonts w:eastAsia="Calibri"/>
          <w:lang w:val="en-NZ" w:eastAsia="en-US"/>
        </w:rPr>
        <w:t xml:space="preserve">concern for some industries and larger hotels, </w:t>
      </w:r>
      <w:r>
        <w:rPr>
          <w:rFonts w:eastAsia="Calibri"/>
          <w:lang w:val="en-NZ" w:eastAsia="en-US"/>
        </w:rPr>
        <w:t xml:space="preserve">some of which provide additional treatment for </w:t>
      </w:r>
      <w:r w:rsidR="001D226D" w:rsidRPr="008121F4">
        <w:rPr>
          <w:rFonts w:eastAsia="Calibri"/>
          <w:lang w:val="en-NZ" w:eastAsia="en-US"/>
        </w:rPr>
        <w:t>the water</w:t>
      </w:r>
      <w:r w:rsidR="001D226D">
        <w:rPr>
          <w:rFonts w:eastAsia="Calibri"/>
          <w:lang w:val="en-NZ" w:eastAsia="en-US"/>
        </w:rPr>
        <w:t xml:space="preserve">.  While this has a cost to industry, it is </w:t>
      </w:r>
      <w:r>
        <w:rPr>
          <w:rFonts w:eastAsia="Calibri"/>
          <w:lang w:val="en-NZ" w:eastAsia="en-US"/>
        </w:rPr>
        <w:t xml:space="preserve">a preferable situation to </w:t>
      </w:r>
      <w:r w:rsidR="001D226D">
        <w:rPr>
          <w:rFonts w:eastAsia="Calibri"/>
          <w:lang w:val="en-NZ" w:eastAsia="en-US"/>
        </w:rPr>
        <w:t>S</w:t>
      </w:r>
      <w:r w:rsidR="00BB2F72">
        <w:rPr>
          <w:rFonts w:eastAsia="Calibri"/>
          <w:lang w:val="en-NZ" w:eastAsia="en-US"/>
        </w:rPr>
        <w:t xml:space="preserve">olomon </w:t>
      </w:r>
      <w:r w:rsidR="001D226D">
        <w:rPr>
          <w:rFonts w:eastAsia="Calibri"/>
          <w:lang w:val="en-NZ" w:eastAsia="en-US"/>
        </w:rPr>
        <w:t>W</w:t>
      </w:r>
      <w:r w:rsidR="00BB2F72">
        <w:rPr>
          <w:rFonts w:eastAsia="Calibri"/>
          <w:lang w:val="en-NZ" w:eastAsia="en-US"/>
        </w:rPr>
        <w:t>ater</w:t>
      </w:r>
      <w:r w:rsidR="001D226D">
        <w:rPr>
          <w:rFonts w:eastAsia="Calibri"/>
          <w:lang w:val="en-NZ" w:eastAsia="en-US"/>
        </w:rPr>
        <w:t xml:space="preserve"> provid</w:t>
      </w:r>
      <w:r>
        <w:rPr>
          <w:rFonts w:eastAsia="Calibri"/>
          <w:lang w:val="en-NZ" w:eastAsia="en-US"/>
        </w:rPr>
        <w:t>ing</w:t>
      </w:r>
      <w:r w:rsidR="001D226D">
        <w:rPr>
          <w:rFonts w:eastAsia="Calibri"/>
          <w:lang w:val="en-NZ" w:eastAsia="en-US"/>
        </w:rPr>
        <w:t xml:space="preserve"> additional treatment </w:t>
      </w:r>
      <w:r>
        <w:rPr>
          <w:rFonts w:eastAsia="Calibri"/>
          <w:lang w:val="en-NZ" w:eastAsia="en-US"/>
        </w:rPr>
        <w:t xml:space="preserve">which would come </w:t>
      </w:r>
      <w:r w:rsidR="001D226D">
        <w:rPr>
          <w:rFonts w:eastAsia="Calibri"/>
          <w:lang w:val="en-NZ" w:eastAsia="en-US"/>
        </w:rPr>
        <w:t xml:space="preserve">at a cost to domestic consumers </w:t>
      </w:r>
      <w:r>
        <w:rPr>
          <w:rFonts w:eastAsia="Calibri"/>
          <w:lang w:val="en-NZ" w:eastAsia="en-US"/>
        </w:rPr>
        <w:t>(</w:t>
      </w:r>
      <w:r w:rsidR="001D226D">
        <w:rPr>
          <w:rFonts w:eastAsia="Calibri"/>
          <w:lang w:val="en-NZ" w:eastAsia="en-US"/>
        </w:rPr>
        <w:t>for wh</w:t>
      </w:r>
      <w:r>
        <w:rPr>
          <w:rFonts w:eastAsia="Calibri"/>
          <w:lang w:val="en-NZ" w:eastAsia="en-US"/>
        </w:rPr>
        <w:t>om</w:t>
      </w:r>
      <w:r w:rsidR="001D226D">
        <w:rPr>
          <w:rFonts w:eastAsia="Calibri"/>
          <w:lang w:val="en-NZ" w:eastAsia="en-US"/>
        </w:rPr>
        <w:t xml:space="preserve"> the level of hardness is likely to be acceptable</w:t>
      </w:r>
      <w:r>
        <w:rPr>
          <w:rFonts w:eastAsia="Calibri"/>
          <w:lang w:val="en-NZ" w:eastAsia="en-US"/>
        </w:rPr>
        <w:t>)</w:t>
      </w:r>
      <w:r w:rsidR="001D226D">
        <w:rPr>
          <w:rFonts w:eastAsia="Calibri"/>
          <w:lang w:val="en-NZ" w:eastAsia="en-US"/>
        </w:rPr>
        <w:t>.</w:t>
      </w:r>
    </w:p>
    <w:p w14:paraId="1AE101E5" w14:textId="1B4C33BA" w:rsidR="001D226D" w:rsidRPr="00C541D6" w:rsidRDefault="00BB2F72" w:rsidP="001D226D">
      <w:pPr>
        <w:rPr>
          <w:rFonts w:eastAsia="Calibri"/>
          <w:b/>
          <w:lang w:val="en-NZ" w:eastAsia="en-US"/>
        </w:rPr>
      </w:pPr>
      <w:r>
        <w:rPr>
          <w:rFonts w:eastAsia="Calibri"/>
          <w:lang w:val="en-NZ" w:eastAsia="en-US"/>
        </w:rPr>
        <w:t xml:space="preserve">Over the past </w:t>
      </w:r>
      <w:r w:rsidR="00C52C2C">
        <w:rPr>
          <w:rFonts w:eastAsia="Calibri"/>
          <w:lang w:val="en-NZ" w:eastAsia="en-US"/>
        </w:rPr>
        <w:t>decade</w:t>
      </w:r>
      <w:r>
        <w:rPr>
          <w:rFonts w:eastAsia="Calibri"/>
          <w:lang w:val="en-NZ" w:eastAsia="en-US"/>
        </w:rPr>
        <w:t xml:space="preserve"> </w:t>
      </w:r>
      <w:r w:rsidR="00C52C2C">
        <w:rPr>
          <w:rFonts w:eastAsia="Calibri"/>
          <w:lang w:val="en-NZ" w:eastAsia="en-US"/>
        </w:rPr>
        <w:t xml:space="preserve">the </w:t>
      </w:r>
      <w:r>
        <w:rPr>
          <w:rFonts w:eastAsia="Calibri"/>
          <w:lang w:val="en-NZ" w:eastAsia="en-US"/>
        </w:rPr>
        <w:t>global drive to implement drinking water safety planning</w:t>
      </w:r>
      <w:r w:rsidR="00C52C2C">
        <w:rPr>
          <w:rFonts w:eastAsia="Calibri"/>
          <w:lang w:val="en-NZ" w:eastAsia="en-US"/>
        </w:rPr>
        <w:t xml:space="preserve"> has been promoted </w:t>
      </w:r>
      <w:r>
        <w:rPr>
          <w:rFonts w:eastAsia="Calibri"/>
          <w:lang w:val="en-NZ" w:eastAsia="en-US"/>
        </w:rPr>
        <w:t xml:space="preserve">in the Pacific by agencies such as WHO, the Secretariat of the Pacific Community’s Geoscience Division (formerly SOPAC) and DFAT. Guidelines for the preparation of Water </w:t>
      </w:r>
      <w:r w:rsidR="00275F3F">
        <w:rPr>
          <w:rFonts w:eastAsia="Calibri"/>
          <w:lang w:val="en-NZ" w:eastAsia="en-US"/>
        </w:rPr>
        <w:t>S</w:t>
      </w:r>
      <w:r>
        <w:rPr>
          <w:rFonts w:eastAsia="Calibri"/>
          <w:lang w:val="en-NZ" w:eastAsia="en-US"/>
        </w:rPr>
        <w:t>afety Plans have been developed by those three agencies</w:t>
      </w:r>
      <w:r>
        <w:rPr>
          <w:rStyle w:val="FootnoteReference"/>
          <w:rFonts w:eastAsia="Calibri"/>
          <w:lang w:val="en-NZ" w:eastAsia="en-US"/>
        </w:rPr>
        <w:footnoteReference w:id="15"/>
      </w:r>
      <w:r>
        <w:rPr>
          <w:rFonts w:eastAsia="Calibri"/>
          <w:lang w:val="en-NZ" w:eastAsia="en-US"/>
        </w:rPr>
        <w:t xml:space="preserve"> to assist water supply operators and managers improve the day-to-day management of water supply with the objective of providing safe drinking water for consumers. </w:t>
      </w:r>
      <w:r w:rsidR="00C52C2C">
        <w:rPr>
          <w:rFonts w:eastAsia="Calibri"/>
          <w:lang w:val="en-NZ" w:eastAsia="en-US"/>
        </w:rPr>
        <w:t xml:space="preserve">One of the activities in the Development Plan was the preparation of a Drinking Water Safety Plan. </w:t>
      </w:r>
      <w:r w:rsidR="006B0D06">
        <w:rPr>
          <w:rFonts w:eastAsia="Calibri"/>
          <w:lang w:val="en-NZ" w:eastAsia="en-US"/>
        </w:rPr>
        <w:t>A draft Plan for Honiara was prepared in 2013</w:t>
      </w:r>
      <w:r w:rsidR="00275F3F">
        <w:rPr>
          <w:rFonts w:eastAsia="Calibri"/>
          <w:lang w:val="en-NZ" w:eastAsia="en-US"/>
        </w:rPr>
        <w:t xml:space="preserve"> by Solomon Water in collaboration with the Honiara Water Quality Monitoring Committee</w:t>
      </w:r>
      <w:r w:rsidR="00275F3F">
        <w:rPr>
          <w:rStyle w:val="FootnoteReference"/>
          <w:rFonts w:eastAsia="Calibri"/>
          <w:lang w:val="en-NZ" w:eastAsia="en-US"/>
        </w:rPr>
        <w:footnoteReference w:id="16"/>
      </w:r>
      <w:r w:rsidR="00C52C2C">
        <w:rPr>
          <w:rFonts w:eastAsia="Calibri"/>
          <w:lang w:val="en-NZ" w:eastAsia="en-US"/>
        </w:rPr>
        <w:t>, b</w:t>
      </w:r>
      <w:r w:rsidR="00275F3F">
        <w:rPr>
          <w:rFonts w:eastAsia="Calibri"/>
          <w:lang w:val="en-NZ" w:eastAsia="en-US"/>
        </w:rPr>
        <w:t xml:space="preserve">ut was </w:t>
      </w:r>
      <w:r w:rsidR="00C52C2C">
        <w:rPr>
          <w:rFonts w:eastAsia="Calibri"/>
          <w:lang w:val="en-NZ" w:eastAsia="en-US"/>
        </w:rPr>
        <w:t xml:space="preserve">not </w:t>
      </w:r>
      <w:r w:rsidR="00275F3F">
        <w:rPr>
          <w:rFonts w:eastAsia="Calibri"/>
          <w:lang w:val="en-NZ" w:eastAsia="en-US"/>
        </w:rPr>
        <w:t xml:space="preserve">finalised or approved. The draft Plan appears to be comprehensive and reflects the approach to </w:t>
      </w:r>
      <w:r>
        <w:rPr>
          <w:rFonts w:eastAsia="Calibri"/>
          <w:lang w:val="en-NZ" w:eastAsia="en-US"/>
        </w:rPr>
        <w:t>Water Safety Plans</w:t>
      </w:r>
      <w:r w:rsidR="00275F3F">
        <w:rPr>
          <w:rFonts w:eastAsia="Calibri"/>
          <w:lang w:val="en-NZ" w:eastAsia="en-US"/>
        </w:rPr>
        <w:t xml:space="preserve"> developed by W</w:t>
      </w:r>
      <w:r w:rsidR="00C52C2C">
        <w:rPr>
          <w:rFonts w:eastAsia="Calibri"/>
          <w:lang w:val="en-NZ" w:eastAsia="en-US"/>
        </w:rPr>
        <w:t xml:space="preserve">HO. Implementation of this plan, as part of Solomon Water’s standard operations procedures, </w:t>
      </w:r>
      <w:r w:rsidR="00275F3F">
        <w:rPr>
          <w:rFonts w:eastAsia="Calibri"/>
          <w:lang w:val="en-NZ" w:eastAsia="en-US"/>
        </w:rPr>
        <w:t xml:space="preserve">would address some of the water quality monitoring issues raised </w:t>
      </w:r>
      <w:r w:rsidR="00C52C2C">
        <w:rPr>
          <w:rFonts w:eastAsia="Calibri"/>
          <w:lang w:val="en-NZ" w:eastAsia="en-US"/>
        </w:rPr>
        <w:t xml:space="preserve">above. </w:t>
      </w:r>
    </w:p>
    <w:p w14:paraId="45126557" w14:textId="77777777" w:rsidR="00046940" w:rsidRDefault="00D63EF3" w:rsidP="00046940">
      <w:pPr>
        <w:pStyle w:val="Heading3"/>
        <w:rPr>
          <w:rFonts w:eastAsia="Calibri"/>
          <w:lang w:val="en-NZ" w:eastAsia="en-US"/>
        </w:rPr>
      </w:pPr>
      <w:r>
        <w:rPr>
          <w:rFonts w:eastAsia="Calibri"/>
          <w:lang w:val="en-NZ" w:eastAsia="en-US"/>
        </w:rPr>
        <w:t>3.1.</w:t>
      </w:r>
      <w:r w:rsidR="00046940">
        <w:rPr>
          <w:rFonts w:eastAsia="Calibri"/>
          <w:lang w:val="en-NZ" w:eastAsia="en-US"/>
        </w:rPr>
        <w:t>3</w:t>
      </w:r>
      <w:r w:rsidR="00046940">
        <w:rPr>
          <w:rFonts w:eastAsia="Calibri"/>
          <w:lang w:val="en-NZ" w:eastAsia="en-US"/>
        </w:rPr>
        <w:tab/>
      </w:r>
      <w:r w:rsidR="00046940" w:rsidRPr="00046940">
        <w:rPr>
          <w:rFonts w:eastAsia="Calibri"/>
          <w:i/>
          <w:lang w:val="en-NZ" w:eastAsia="en-US"/>
        </w:rPr>
        <w:t>Output</w:t>
      </w:r>
      <w:r w:rsidR="00046940">
        <w:rPr>
          <w:rFonts w:eastAsia="Calibri"/>
          <w:lang w:val="en-NZ" w:eastAsia="en-US"/>
        </w:rPr>
        <w:t xml:space="preserve">: </w:t>
      </w:r>
      <w:r w:rsidR="00046940" w:rsidRPr="0059586B">
        <w:rPr>
          <w:rFonts w:eastAsia="Calibri"/>
          <w:lang w:val="en-NZ" w:eastAsia="en-US"/>
        </w:rPr>
        <w:t xml:space="preserve">Improved </w:t>
      </w:r>
      <w:r w:rsidR="009777AF" w:rsidRPr="003C32E5">
        <w:rPr>
          <w:rFonts w:eastAsia="Calibri"/>
          <w:lang w:val="en-NZ" w:eastAsia="en-US"/>
        </w:rPr>
        <w:t>customer care and communication</w:t>
      </w:r>
    </w:p>
    <w:p w14:paraId="6DC68874" w14:textId="77777777" w:rsidR="00770352" w:rsidRDefault="009777AF" w:rsidP="003C32E5">
      <w:pPr>
        <w:rPr>
          <w:rFonts w:eastAsia="Calibri"/>
          <w:lang w:val="en-NZ" w:eastAsia="en-US"/>
        </w:rPr>
      </w:pPr>
      <w:r w:rsidRPr="00285789">
        <w:rPr>
          <w:rFonts w:eastAsia="Calibri"/>
          <w:lang w:val="en-NZ" w:eastAsia="en-US"/>
        </w:rPr>
        <w:t xml:space="preserve">Solomon Water has introduced a number of customer care and communication initiatives </w:t>
      </w:r>
      <w:r w:rsidR="00770352">
        <w:rPr>
          <w:rFonts w:eastAsia="Calibri"/>
          <w:lang w:val="en-NZ" w:eastAsia="en-US"/>
        </w:rPr>
        <w:t xml:space="preserve">both </w:t>
      </w:r>
      <w:r w:rsidRPr="00285789">
        <w:rPr>
          <w:rFonts w:eastAsia="Calibri"/>
          <w:lang w:val="en-NZ" w:eastAsia="en-US"/>
        </w:rPr>
        <w:t xml:space="preserve">during the RAP period and </w:t>
      </w:r>
      <w:r w:rsidR="00770352">
        <w:rPr>
          <w:rFonts w:eastAsia="Calibri"/>
          <w:lang w:val="en-NZ" w:eastAsia="en-US"/>
        </w:rPr>
        <w:t xml:space="preserve">under </w:t>
      </w:r>
      <w:r w:rsidRPr="00285789">
        <w:rPr>
          <w:rFonts w:eastAsia="Calibri"/>
          <w:lang w:val="en-NZ" w:eastAsia="en-US"/>
        </w:rPr>
        <w:t xml:space="preserve">the </w:t>
      </w:r>
      <w:r w:rsidR="00E12034">
        <w:rPr>
          <w:rFonts w:eastAsia="Calibri"/>
          <w:lang w:val="en-NZ" w:eastAsia="en-US"/>
        </w:rPr>
        <w:t>Development Plan</w:t>
      </w:r>
      <w:r w:rsidRPr="00285789">
        <w:rPr>
          <w:rFonts w:eastAsia="Calibri"/>
          <w:lang w:val="en-NZ" w:eastAsia="en-US"/>
        </w:rPr>
        <w:t>.</w:t>
      </w:r>
      <w:r>
        <w:rPr>
          <w:rFonts w:eastAsia="Calibri"/>
          <w:lang w:val="en-NZ" w:eastAsia="en-US"/>
        </w:rPr>
        <w:t xml:space="preserve"> Initiatives include</w:t>
      </w:r>
      <w:r w:rsidR="00770352">
        <w:rPr>
          <w:rFonts w:eastAsia="Calibri"/>
          <w:lang w:val="en-NZ" w:eastAsia="en-US"/>
        </w:rPr>
        <w:t>:</w:t>
      </w:r>
      <w:r>
        <w:rPr>
          <w:rFonts w:eastAsia="Calibri"/>
          <w:lang w:val="en-NZ" w:eastAsia="en-US"/>
        </w:rPr>
        <w:t xml:space="preserve"> the conduct of a weekly radio program</w:t>
      </w:r>
      <w:r w:rsidR="00770352">
        <w:rPr>
          <w:rFonts w:eastAsia="Calibri"/>
          <w:lang w:val="en-NZ" w:eastAsia="en-US"/>
        </w:rPr>
        <w:t>;</w:t>
      </w:r>
      <w:r>
        <w:rPr>
          <w:rFonts w:eastAsia="Calibri"/>
          <w:lang w:val="en-NZ" w:eastAsia="en-US"/>
        </w:rPr>
        <w:t xml:space="preserve"> visits of the communication team to schools and communities and working with World Vision on WASH awareness programs</w:t>
      </w:r>
      <w:r w:rsidR="00770352">
        <w:rPr>
          <w:rFonts w:eastAsia="Calibri"/>
          <w:lang w:val="en-NZ" w:eastAsia="en-US"/>
        </w:rPr>
        <w:t>;</w:t>
      </w:r>
      <w:r>
        <w:rPr>
          <w:rFonts w:eastAsia="Calibri"/>
          <w:lang w:val="en-NZ" w:eastAsia="en-US"/>
        </w:rPr>
        <w:t xml:space="preserve"> the establishment of a call </w:t>
      </w:r>
      <w:r w:rsidR="00980943">
        <w:rPr>
          <w:rFonts w:eastAsia="Calibri"/>
          <w:lang w:val="en-NZ" w:eastAsia="en-US"/>
        </w:rPr>
        <w:t>centre</w:t>
      </w:r>
      <w:r w:rsidR="00770352">
        <w:rPr>
          <w:rFonts w:eastAsia="Calibri"/>
          <w:lang w:val="en-NZ" w:eastAsia="en-US"/>
        </w:rPr>
        <w:t>;</w:t>
      </w:r>
      <w:r>
        <w:rPr>
          <w:rFonts w:eastAsia="Calibri"/>
          <w:lang w:val="en-NZ" w:eastAsia="en-US"/>
        </w:rPr>
        <w:t xml:space="preserve"> additional outlets for water bill payments</w:t>
      </w:r>
      <w:r w:rsidR="00770352">
        <w:rPr>
          <w:rFonts w:eastAsia="Calibri"/>
          <w:lang w:val="en-NZ" w:eastAsia="en-US"/>
        </w:rPr>
        <w:t xml:space="preserve">; option </w:t>
      </w:r>
      <w:r>
        <w:rPr>
          <w:rFonts w:eastAsia="Calibri"/>
          <w:lang w:val="en-NZ" w:eastAsia="en-US"/>
        </w:rPr>
        <w:t xml:space="preserve">to </w:t>
      </w:r>
      <w:r w:rsidR="00980943">
        <w:rPr>
          <w:rFonts w:eastAsia="Calibri"/>
          <w:lang w:val="en-NZ" w:eastAsia="en-US"/>
        </w:rPr>
        <w:t xml:space="preserve">receive </w:t>
      </w:r>
      <w:r>
        <w:rPr>
          <w:rFonts w:eastAsia="Calibri"/>
          <w:lang w:val="en-NZ" w:eastAsia="en-US"/>
        </w:rPr>
        <w:t>bills through email</w:t>
      </w:r>
      <w:r w:rsidR="00770352">
        <w:rPr>
          <w:rFonts w:eastAsia="Calibri"/>
          <w:lang w:val="en-NZ" w:eastAsia="en-US"/>
        </w:rPr>
        <w:t xml:space="preserve">; a website has been developed for Solomon Water and a Facebook page is regularly used to communicate with the public. </w:t>
      </w:r>
    </w:p>
    <w:p w14:paraId="746DBFC6" w14:textId="7734218A" w:rsidR="009777AF" w:rsidRDefault="009777AF" w:rsidP="003C32E5">
      <w:pPr>
        <w:rPr>
          <w:rFonts w:eastAsia="Calibri"/>
          <w:lang w:val="en-NZ" w:eastAsia="en-US"/>
        </w:rPr>
      </w:pPr>
      <w:r>
        <w:rPr>
          <w:rFonts w:eastAsia="Calibri"/>
          <w:lang w:val="en-NZ" w:eastAsia="en-US"/>
        </w:rPr>
        <w:t xml:space="preserve">Most customers interviewed </w:t>
      </w:r>
      <w:r w:rsidR="00E42ACB">
        <w:rPr>
          <w:rFonts w:eastAsia="Calibri"/>
          <w:lang w:val="en-NZ" w:eastAsia="en-US"/>
        </w:rPr>
        <w:t>remarked</w:t>
      </w:r>
      <w:r>
        <w:rPr>
          <w:rFonts w:eastAsia="Calibri"/>
          <w:lang w:val="en-NZ" w:eastAsia="en-US"/>
        </w:rPr>
        <w:t xml:space="preserve"> that customer care and communication by Solomon Water had improved markedly over the past few years. However, there were </w:t>
      </w:r>
      <w:r w:rsidR="00E42ACB">
        <w:rPr>
          <w:rFonts w:eastAsia="Calibri"/>
          <w:lang w:val="en-NZ" w:eastAsia="en-US"/>
        </w:rPr>
        <w:t xml:space="preserve">some </w:t>
      </w:r>
      <w:r>
        <w:rPr>
          <w:rFonts w:eastAsia="Calibri"/>
          <w:lang w:val="en-NZ" w:eastAsia="en-US"/>
        </w:rPr>
        <w:t xml:space="preserve">concerns that </w:t>
      </w:r>
      <w:r w:rsidR="00E42ACB">
        <w:rPr>
          <w:rFonts w:eastAsia="Calibri"/>
          <w:lang w:val="en-NZ" w:eastAsia="en-US"/>
        </w:rPr>
        <w:t xml:space="preserve">information was lacking </w:t>
      </w:r>
      <w:r>
        <w:rPr>
          <w:rFonts w:eastAsia="Calibri"/>
          <w:lang w:val="en-NZ" w:eastAsia="en-US"/>
        </w:rPr>
        <w:t xml:space="preserve">regarding disconnections and when water quality </w:t>
      </w:r>
      <w:r w:rsidR="00E42ACB">
        <w:rPr>
          <w:rFonts w:eastAsia="Calibri"/>
          <w:lang w:val="en-NZ" w:eastAsia="en-US"/>
        </w:rPr>
        <w:t xml:space="preserve">might </w:t>
      </w:r>
      <w:r>
        <w:rPr>
          <w:rFonts w:eastAsia="Calibri"/>
          <w:lang w:val="en-NZ" w:eastAsia="en-US"/>
        </w:rPr>
        <w:t>be compromised. Some customers complained that bills were not received in a timely manner, that meters were not read regularly and that the estimates used for the billing were excessive</w:t>
      </w:r>
      <w:r w:rsidR="001406AF">
        <w:rPr>
          <w:rFonts w:eastAsia="Calibri"/>
          <w:lang w:val="en-NZ" w:eastAsia="en-US"/>
        </w:rPr>
        <w:t>.</w:t>
      </w:r>
      <w:r w:rsidR="00DD1996" w:rsidRPr="00DD1996">
        <w:rPr>
          <w:rFonts w:eastAsia="Calibri"/>
          <w:lang w:val="en-NZ" w:eastAsia="en-US"/>
        </w:rPr>
        <w:t xml:space="preserve"> Consumers </w:t>
      </w:r>
      <w:r w:rsidR="00DD1996">
        <w:rPr>
          <w:rFonts w:eastAsia="Calibri"/>
          <w:lang w:val="en-NZ" w:eastAsia="en-US"/>
        </w:rPr>
        <w:t xml:space="preserve">appear to </w:t>
      </w:r>
      <w:r w:rsidR="00DD1996" w:rsidRPr="00DD1996">
        <w:rPr>
          <w:rFonts w:eastAsia="Calibri"/>
          <w:lang w:val="en-NZ" w:eastAsia="en-US"/>
        </w:rPr>
        <w:t>lack confidence in the quality of water supplied by S</w:t>
      </w:r>
      <w:r w:rsidR="00DD1996">
        <w:rPr>
          <w:rFonts w:eastAsia="Calibri"/>
          <w:lang w:val="en-NZ" w:eastAsia="en-US"/>
        </w:rPr>
        <w:t xml:space="preserve">olomon Water </w:t>
      </w:r>
      <w:r w:rsidR="00DD1996" w:rsidRPr="00DD1996">
        <w:rPr>
          <w:rFonts w:eastAsia="Calibri"/>
          <w:lang w:val="en-NZ" w:eastAsia="en-US"/>
        </w:rPr>
        <w:t>for drinking purposes. This might be address</w:t>
      </w:r>
      <w:r w:rsidR="0058610A">
        <w:rPr>
          <w:rFonts w:eastAsia="Calibri"/>
          <w:lang w:val="en-NZ" w:eastAsia="en-US"/>
        </w:rPr>
        <w:t>ed</w:t>
      </w:r>
      <w:r w:rsidR="00DD1996" w:rsidRPr="00DD1996">
        <w:rPr>
          <w:rFonts w:eastAsia="Calibri"/>
          <w:lang w:val="en-NZ" w:eastAsia="en-US"/>
        </w:rPr>
        <w:t xml:space="preserve"> through improved communication regarding the scale of testing and results.</w:t>
      </w:r>
      <w:r w:rsidR="00DD1996">
        <w:rPr>
          <w:rFonts w:eastAsia="Calibri"/>
          <w:lang w:val="en-NZ" w:eastAsia="en-US"/>
        </w:rPr>
        <w:t xml:space="preserve"> </w:t>
      </w:r>
      <w:r>
        <w:rPr>
          <w:rFonts w:eastAsia="Calibri"/>
          <w:lang w:val="en-NZ" w:eastAsia="en-US"/>
        </w:rPr>
        <w:t>Solomon Water has prepared a draft Communication Plan which is currently being reviewed by management and which may address some of these issues.</w:t>
      </w:r>
      <w:r w:rsidR="00770352">
        <w:rPr>
          <w:rFonts w:eastAsia="Calibri"/>
          <w:lang w:val="en-NZ" w:eastAsia="en-US"/>
        </w:rPr>
        <w:t xml:space="preserve"> Further activities, such as customer surveys, market research and analysing </w:t>
      </w:r>
      <w:r w:rsidR="00770352">
        <w:rPr>
          <w:rFonts w:eastAsia="Calibri"/>
          <w:lang w:val="en-NZ" w:eastAsia="en-US"/>
        </w:rPr>
        <w:lastRenderedPageBreak/>
        <w:t xml:space="preserve">data from the new customer relations system would give Solomon Water management a better understanding of what is needed to further address </w:t>
      </w:r>
      <w:r w:rsidR="00E7139F">
        <w:rPr>
          <w:rFonts w:eastAsia="Calibri"/>
          <w:lang w:val="en-NZ" w:eastAsia="en-US"/>
        </w:rPr>
        <w:t>public concerns</w:t>
      </w:r>
      <w:r w:rsidR="00770352">
        <w:rPr>
          <w:rFonts w:eastAsia="Calibri"/>
          <w:lang w:val="en-NZ" w:eastAsia="en-US"/>
        </w:rPr>
        <w:t xml:space="preserve"> related to water supply.</w:t>
      </w:r>
    </w:p>
    <w:p w14:paraId="31631607" w14:textId="77777777" w:rsidR="00A813F5" w:rsidRDefault="00DD1996" w:rsidP="003C32E5">
      <w:pPr>
        <w:rPr>
          <w:rFonts w:eastAsia="Calibri"/>
          <w:lang w:val="en-NZ" w:eastAsia="en-US"/>
        </w:rPr>
      </w:pPr>
      <w:r>
        <w:rPr>
          <w:rFonts w:eastAsia="Calibri"/>
          <w:lang w:val="en-NZ" w:eastAsia="en-US"/>
        </w:rPr>
        <w:t>K</w:t>
      </w:r>
      <w:r w:rsidR="001406AF">
        <w:rPr>
          <w:rFonts w:eastAsia="Calibri"/>
          <w:lang w:val="en-NZ" w:eastAsia="en-US"/>
        </w:rPr>
        <w:t xml:space="preserve">ey </w:t>
      </w:r>
      <w:r>
        <w:rPr>
          <w:rFonts w:eastAsia="Calibri"/>
          <w:lang w:val="en-NZ" w:eastAsia="en-US"/>
        </w:rPr>
        <w:t xml:space="preserve">government and non-government </w:t>
      </w:r>
      <w:r w:rsidR="001406AF">
        <w:rPr>
          <w:rFonts w:eastAsia="Calibri"/>
          <w:lang w:val="en-NZ" w:eastAsia="en-US"/>
        </w:rPr>
        <w:t xml:space="preserve">stakeholders </w:t>
      </w:r>
      <w:r>
        <w:rPr>
          <w:rFonts w:eastAsia="Calibri"/>
          <w:lang w:val="en-NZ" w:eastAsia="en-US"/>
        </w:rPr>
        <w:t xml:space="preserve">noted good collaboration with staff in Solomon Water, citing examples of Solomon Water staff consistently participating in relevant fora. Stakeholders also noted they would welcome more regular </w:t>
      </w:r>
      <w:r w:rsidR="001406AF">
        <w:rPr>
          <w:rFonts w:eastAsia="Calibri"/>
          <w:lang w:val="en-NZ" w:eastAsia="en-US"/>
        </w:rPr>
        <w:t xml:space="preserve">consultation with </w:t>
      </w:r>
      <w:r>
        <w:rPr>
          <w:rFonts w:eastAsia="Calibri"/>
          <w:lang w:val="en-NZ" w:eastAsia="en-US"/>
        </w:rPr>
        <w:t xml:space="preserve">Solomon Water </w:t>
      </w:r>
      <w:r w:rsidR="001406AF">
        <w:rPr>
          <w:rFonts w:eastAsia="Calibri"/>
          <w:lang w:val="en-NZ" w:eastAsia="en-US"/>
        </w:rPr>
        <w:t xml:space="preserve">regarding </w:t>
      </w:r>
      <w:r>
        <w:rPr>
          <w:rFonts w:eastAsia="Calibri"/>
          <w:lang w:val="en-NZ" w:eastAsia="en-US"/>
        </w:rPr>
        <w:t xml:space="preserve">strategic </w:t>
      </w:r>
      <w:r w:rsidR="001406AF">
        <w:rPr>
          <w:rFonts w:eastAsia="Calibri"/>
          <w:lang w:val="en-NZ" w:eastAsia="en-US"/>
        </w:rPr>
        <w:t xml:space="preserve">water supply </w:t>
      </w:r>
      <w:r>
        <w:rPr>
          <w:rFonts w:eastAsia="Calibri"/>
          <w:lang w:val="en-NZ" w:eastAsia="en-US"/>
        </w:rPr>
        <w:t xml:space="preserve">issues </w:t>
      </w:r>
      <w:r w:rsidR="001406AF">
        <w:rPr>
          <w:rFonts w:eastAsia="Calibri"/>
          <w:lang w:val="en-NZ" w:eastAsia="en-US"/>
        </w:rPr>
        <w:t xml:space="preserve">and policies </w:t>
      </w:r>
      <w:r>
        <w:rPr>
          <w:rFonts w:eastAsia="Calibri"/>
          <w:lang w:val="en-NZ" w:eastAsia="en-US"/>
        </w:rPr>
        <w:t>- many noted the upcoming strategic planning process as an optimal time to engage with Solomon Water on solutions to specific challenges in the water sector</w:t>
      </w:r>
      <w:r w:rsidR="001406AF">
        <w:rPr>
          <w:rFonts w:eastAsia="Calibri"/>
          <w:lang w:val="en-NZ" w:eastAsia="en-US"/>
        </w:rPr>
        <w:t xml:space="preserve">. </w:t>
      </w:r>
    </w:p>
    <w:p w14:paraId="4150D133" w14:textId="77777777" w:rsidR="00046940" w:rsidRDefault="00D63EF3" w:rsidP="00046940">
      <w:pPr>
        <w:pStyle w:val="Heading3"/>
        <w:rPr>
          <w:rFonts w:eastAsia="Calibri"/>
          <w:lang w:val="en-NZ" w:eastAsia="en-US"/>
        </w:rPr>
      </w:pPr>
      <w:r>
        <w:rPr>
          <w:rFonts w:eastAsia="Calibri"/>
          <w:lang w:val="en-NZ" w:eastAsia="en-US"/>
        </w:rPr>
        <w:lastRenderedPageBreak/>
        <w:t>3.1</w:t>
      </w:r>
      <w:r w:rsidR="00634A7C">
        <w:rPr>
          <w:rFonts w:eastAsia="Calibri"/>
          <w:lang w:val="en-NZ" w:eastAsia="en-US"/>
        </w:rPr>
        <w:t>.</w:t>
      </w:r>
      <w:r w:rsidR="00046940">
        <w:rPr>
          <w:rFonts w:eastAsia="Calibri"/>
          <w:lang w:val="en-NZ" w:eastAsia="en-US"/>
        </w:rPr>
        <w:t>4</w:t>
      </w:r>
      <w:r w:rsidR="00046940">
        <w:rPr>
          <w:rFonts w:eastAsia="Calibri"/>
          <w:lang w:val="en-NZ" w:eastAsia="en-US"/>
        </w:rPr>
        <w:tab/>
      </w:r>
      <w:r w:rsidR="00046940" w:rsidRPr="00046940">
        <w:rPr>
          <w:rFonts w:eastAsia="Calibri"/>
          <w:i/>
          <w:lang w:val="en-NZ" w:eastAsia="en-US"/>
        </w:rPr>
        <w:t>Output</w:t>
      </w:r>
      <w:r w:rsidR="00046940">
        <w:rPr>
          <w:rFonts w:eastAsia="Calibri"/>
          <w:lang w:val="en-NZ" w:eastAsia="en-US"/>
        </w:rPr>
        <w:t xml:space="preserve">: </w:t>
      </w:r>
      <w:r w:rsidR="009777AF" w:rsidRPr="003C32E5">
        <w:rPr>
          <w:rFonts w:eastAsia="Calibri"/>
          <w:lang w:val="en-NZ" w:eastAsia="en-US"/>
        </w:rPr>
        <w:t>Strengthened financial management and administration</w:t>
      </w:r>
    </w:p>
    <w:p w14:paraId="54767661" w14:textId="47D08E0F" w:rsidR="00426F6B" w:rsidRDefault="00993653" w:rsidP="003C32E5">
      <w:pPr>
        <w:rPr>
          <w:rFonts w:eastAsia="Calibri"/>
          <w:lang w:val="en-NZ" w:eastAsia="en-US"/>
        </w:rPr>
      </w:pPr>
      <w:r>
        <w:rPr>
          <w:rFonts w:eastAsia="Calibri"/>
          <w:lang w:val="en-NZ" w:eastAsia="en-US"/>
        </w:rPr>
        <w:t>T</w:t>
      </w:r>
      <w:r w:rsidR="009777AF" w:rsidRPr="007F109A">
        <w:rPr>
          <w:rFonts w:eastAsia="Calibri"/>
          <w:lang w:val="en-NZ" w:eastAsia="en-US"/>
        </w:rPr>
        <w:t>he financial position of Solomon water has</w:t>
      </w:r>
      <w:r w:rsidR="009777AF">
        <w:rPr>
          <w:rFonts w:eastAsia="Calibri"/>
          <w:lang w:val="en-NZ" w:eastAsia="en-US"/>
        </w:rPr>
        <w:t xml:space="preserve"> improved significantly in recent years from an operating loss of SBD30 million in 2010 to a surplus of </w:t>
      </w:r>
      <w:r w:rsidR="00B24D60">
        <w:rPr>
          <w:rFonts w:eastAsia="Calibri"/>
          <w:lang w:val="en-NZ" w:eastAsia="en-US"/>
        </w:rPr>
        <w:t>SBD</w:t>
      </w:r>
      <w:r w:rsidR="009777AF">
        <w:rPr>
          <w:rFonts w:eastAsia="Calibri"/>
          <w:lang w:val="en-NZ" w:eastAsia="en-US"/>
        </w:rPr>
        <w:t>7.17 million in 2015.</w:t>
      </w:r>
      <w:r w:rsidR="00A16A96">
        <w:rPr>
          <w:rStyle w:val="FootnoteReference"/>
          <w:rFonts w:eastAsia="Calibri"/>
          <w:lang w:val="en-NZ" w:eastAsia="en-US"/>
        </w:rPr>
        <w:footnoteReference w:id="17"/>
      </w:r>
      <w:r w:rsidR="009777AF">
        <w:rPr>
          <w:rFonts w:eastAsia="Calibri"/>
          <w:lang w:val="en-NZ" w:eastAsia="en-US"/>
        </w:rPr>
        <w:t xml:space="preserve"> </w:t>
      </w:r>
      <w:r w:rsidR="00B24D60">
        <w:rPr>
          <w:rFonts w:eastAsia="Calibri"/>
          <w:lang w:val="en-NZ" w:eastAsia="en-US"/>
        </w:rPr>
        <w:t>Further</w:t>
      </w:r>
      <w:r w:rsidR="00BB2F72">
        <w:rPr>
          <w:rFonts w:eastAsia="Calibri"/>
          <w:lang w:val="en-NZ" w:eastAsia="en-US"/>
        </w:rPr>
        <w:t>more</w:t>
      </w:r>
      <w:r w:rsidR="00B24D60">
        <w:rPr>
          <w:rFonts w:eastAsia="Calibri"/>
          <w:lang w:val="en-NZ" w:eastAsia="en-US"/>
        </w:rPr>
        <w:t>, unqualified external audits of the financial statements have been delivered since 2013.</w:t>
      </w:r>
    </w:p>
    <w:p w14:paraId="5FA853CF" w14:textId="33AC16E5" w:rsidR="002E51A0" w:rsidRDefault="002E51A0" w:rsidP="002E51A0">
      <w:pPr>
        <w:rPr>
          <w:rFonts w:eastAsia="Calibri"/>
          <w:lang w:val="en-NZ" w:eastAsia="en-US"/>
        </w:rPr>
      </w:pPr>
      <w:r>
        <w:rPr>
          <w:rFonts w:eastAsia="Calibri"/>
          <w:lang w:val="en-NZ" w:eastAsia="en-US"/>
        </w:rPr>
        <w:t xml:space="preserve">The reasons for the improved financial position are several, the most significant one being a </w:t>
      </w:r>
      <w:r w:rsidR="00D51DF3">
        <w:rPr>
          <w:rFonts w:eastAsia="Calibri"/>
          <w:lang w:val="en-NZ" w:eastAsia="en-US"/>
        </w:rPr>
        <w:t xml:space="preserve">proactive </w:t>
      </w:r>
      <w:r>
        <w:rPr>
          <w:rFonts w:eastAsia="Calibri"/>
          <w:lang w:val="en-NZ" w:eastAsia="en-US"/>
        </w:rPr>
        <w:t>approach to debt collection. Solomon Water has prioritised debt collection, especially from its largest SIG and commercial customers.  A</w:t>
      </w:r>
      <w:r w:rsidR="00696F88">
        <w:rPr>
          <w:rFonts w:eastAsia="Calibri"/>
          <w:lang w:val="en-NZ" w:eastAsia="en-US"/>
        </w:rPr>
        <w:t xml:space="preserve"> rigorous </w:t>
      </w:r>
      <w:r>
        <w:rPr>
          <w:rFonts w:eastAsia="Calibri"/>
          <w:lang w:val="en-NZ" w:eastAsia="en-US"/>
        </w:rPr>
        <w:t>approach to disconnect</w:t>
      </w:r>
      <w:r w:rsidR="00221B32">
        <w:rPr>
          <w:rFonts w:eastAsia="Calibri"/>
          <w:lang w:val="en-NZ" w:eastAsia="en-US"/>
        </w:rPr>
        <w:t>ing customers with overdue accounts</w:t>
      </w:r>
      <w:r>
        <w:rPr>
          <w:rFonts w:eastAsia="Calibri"/>
          <w:lang w:val="en-NZ" w:eastAsia="en-US"/>
        </w:rPr>
        <w:t xml:space="preserve">, as well as lodging legal proceedings to recover debt have been critical elements in this approach. This </w:t>
      </w:r>
      <w:r w:rsidR="00D51DF3">
        <w:rPr>
          <w:rFonts w:eastAsia="Calibri"/>
          <w:lang w:val="en-NZ" w:eastAsia="en-US"/>
        </w:rPr>
        <w:t xml:space="preserve">has </w:t>
      </w:r>
      <w:r>
        <w:rPr>
          <w:rFonts w:eastAsia="Calibri"/>
          <w:lang w:val="en-NZ" w:eastAsia="en-US"/>
        </w:rPr>
        <w:t>resulted in improvements in the average collection rate within the 30 days payment terms (</w:t>
      </w:r>
      <w:r w:rsidR="00B819B5">
        <w:rPr>
          <w:rFonts w:eastAsia="Calibri"/>
          <w:lang w:val="en-NZ" w:eastAsia="en-US"/>
        </w:rPr>
        <w:t>Table</w:t>
      </w:r>
      <w:r w:rsidR="00017608">
        <w:rPr>
          <w:rFonts w:eastAsia="Calibri"/>
          <w:lang w:val="en-NZ" w:eastAsia="en-US"/>
        </w:rPr>
        <w:t xml:space="preserve"> </w:t>
      </w:r>
      <w:r w:rsidR="00D00A00">
        <w:rPr>
          <w:rFonts w:eastAsia="Calibri"/>
          <w:lang w:val="en-NZ" w:eastAsia="en-US"/>
        </w:rPr>
        <w:t>4</w:t>
      </w:r>
      <w:r>
        <w:rPr>
          <w:rFonts w:eastAsia="Calibri"/>
          <w:lang w:val="en-NZ" w:eastAsia="en-US"/>
        </w:rPr>
        <w:t>). It is likely that change</w:t>
      </w:r>
      <w:r w:rsidR="00050CFA">
        <w:rPr>
          <w:rFonts w:eastAsia="Calibri"/>
          <w:lang w:val="en-NZ" w:eastAsia="en-US"/>
        </w:rPr>
        <w:t>s</w:t>
      </w:r>
      <w:r>
        <w:rPr>
          <w:rFonts w:eastAsia="Calibri"/>
          <w:lang w:val="en-NZ" w:eastAsia="en-US"/>
        </w:rPr>
        <w:t xml:space="preserve"> to billing services provided to customers ha</w:t>
      </w:r>
      <w:r w:rsidR="00AD0262">
        <w:rPr>
          <w:rFonts w:eastAsia="Calibri"/>
          <w:lang w:val="en-NZ" w:eastAsia="en-US"/>
        </w:rPr>
        <w:t>ve</w:t>
      </w:r>
      <w:r>
        <w:rPr>
          <w:rFonts w:eastAsia="Calibri"/>
          <w:lang w:val="en-NZ" w:eastAsia="en-US"/>
        </w:rPr>
        <w:t xml:space="preserve"> also contributed to better </w:t>
      </w:r>
      <w:r w:rsidR="00D51DF3">
        <w:rPr>
          <w:rFonts w:eastAsia="Calibri"/>
          <w:lang w:val="en-NZ" w:eastAsia="en-US"/>
        </w:rPr>
        <w:t xml:space="preserve">collection rates. </w:t>
      </w:r>
      <w:r>
        <w:rPr>
          <w:rFonts w:eastAsia="Calibri"/>
          <w:lang w:val="en-NZ" w:eastAsia="en-US"/>
        </w:rPr>
        <w:t xml:space="preserve">Customers interviewed said they paid attention to the </w:t>
      </w:r>
      <w:r>
        <w:t xml:space="preserve">watermarks </w:t>
      </w:r>
      <w:r w:rsidR="00D51DF3">
        <w:t xml:space="preserve">on their </w:t>
      </w:r>
      <w:r>
        <w:t xml:space="preserve">bills that are triggered when an account is overdue. </w:t>
      </w:r>
      <w:r>
        <w:rPr>
          <w:rFonts w:eastAsia="Calibri"/>
          <w:lang w:val="en-NZ" w:eastAsia="en-US"/>
        </w:rPr>
        <w:t xml:space="preserve"> Improved financial management particularly with respect to improved operational controls and processes around financial transactions and accurate financial reporting is also likely to be contributing to the improved financial position of Solomon Water.</w:t>
      </w:r>
    </w:p>
    <w:p w14:paraId="57A40D9B" w14:textId="6E77D6FF" w:rsidR="009C6C2E" w:rsidRDefault="00615444" w:rsidP="009C6C2E">
      <w:pPr>
        <w:rPr>
          <w:rFonts w:eastAsia="Calibri"/>
          <w:lang w:val="en-NZ" w:eastAsia="en-US"/>
        </w:rPr>
      </w:pPr>
      <w:r>
        <w:rPr>
          <w:rFonts w:eastAsia="Calibri"/>
          <w:lang w:val="en-NZ" w:eastAsia="en-US"/>
        </w:rPr>
        <w:t>However, s</w:t>
      </w:r>
      <w:r w:rsidR="009C6C2E">
        <w:rPr>
          <w:rFonts w:eastAsia="Calibri"/>
          <w:lang w:val="en-NZ" w:eastAsia="en-US"/>
        </w:rPr>
        <w:t xml:space="preserve">ome of the financial indicators </w:t>
      </w:r>
      <w:r>
        <w:rPr>
          <w:rFonts w:eastAsia="Calibri"/>
          <w:lang w:val="en-NZ" w:eastAsia="en-US"/>
        </w:rPr>
        <w:t xml:space="preserve">are </w:t>
      </w:r>
      <w:r w:rsidR="009C6C2E">
        <w:rPr>
          <w:rFonts w:eastAsia="Calibri"/>
          <w:lang w:val="en-NZ" w:eastAsia="en-US"/>
        </w:rPr>
        <w:t>giv</w:t>
      </w:r>
      <w:r>
        <w:rPr>
          <w:rFonts w:eastAsia="Calibri"/>
          <w:lang w:val="en-NZ" w:eastAsia="en-US"/>
        </w:rPr>
        <w:t>ing</w:t>
      </w:r>
      <w:r w:rsidR="009C6C2E">
        <w:rPr>
          <w:rFonts w:eastAsia="Calibri"/>
          <w:lang w:val="en-NZ" w:eastAsia="en-US"/>
        </w:rPr>
        <w:t xml:space="preserve"> an unrealistic impression. </w:t>
      </w:r>
      <w:r w:rsidR="00634A7C">
        <w:rPr>
          <w:rFonts w:eastAsia="Calibri"/>
          <w:lang w:val="en-NZ" w:eastAsia="en-US"/>
        </w:rPr>
        <w:t>T</w:t>
      </w:r>
      <w:r w:rsidRPr="003901AA">
        <w:rPr>
          <w:rFonts w:eastAsia="Calibri"/>
          <w:lang w:val="en-NZ" w:eastAsia="en-US"/>
        </w:rPr>
        <w:t xml:space="preserve">he financial position is masked somewhat by the donor support without which an operating loss of about SBD </w:t>
      </w:r>
      <w:r w:rsidR="003901AA">
        <w:rPr>
          <w:rFonts w:eastAsia="Calibri"/>
          <w:lang w:val="en-NZ" w:eastAsia="en-US"/>
        </w:rPr>
        <w:t>12</w:t>
      </w:r>
      <w:r w:rsidRPr="003901AA">
        <w:rPr>
          <w:rFonts w:eastAsia="Calibri"/>
          <w:lang w:val="en-NZ" w:eastAsia="en-US"/>
        </w:rPr>
        <w:t xml:space="preserve"> million would ensue</w:t>
      </w:r>
      <w:r w:rsidR="00D51DF3">
        <w:rPr>
          <w:rStyle w:val="FootnoteReference"/>
          <w:rFonts w:eastAsia="Calibri"/>
          <w:lang w:val="en-NZ" w:eastAsia="en-US"/>
        </w:rPr>
        <w:footnoteReference w:id="18"/>
      </w:r>
      <w:r w:rsidR="003901AA">
        <w:rPr>
          <w:rFonts w:eastAsia="Calibri"/>
          <w:lang w:val="en-NZ" w:eastAsia="en-US"/>
        </w:rPr>
        <w:t>.</w:t>
      </w:r>
      <w:r w:rsidRPr="003901AA">
        <w:rPr>
          <w:rFonts w:eastAsia="Calibri"/>
          <w:lang w:val="en-NZ" w:eastAsia="en-US"/>
        </w:rPr>
        <w:t xml:space="preserve"> </w:t>
      </w:r>
      <w:r w:rsidR="00A813F5">
        <w:rPr>
          <w:rFonts w:eastAsia="Calibri"/>
          <w:lang w:val="en-NZ" w:eastAsia="en-US"/>
        </w:rPr>
        <w:t>The r</w:t>
      </w:r>
      <w:r w:rsidR="009C6C2E" w:rsidRPr="003901AA">
        <w:rPr>
          <w:rFonts w:eastAsia="Calibri"/>
          <w:lang w:val="en-NZ" w:eastAsia="en-US"/>
        </w:rPr>
        <w:t>ec</w:t>
      </w:r>
      <w:r w:rsidR="009C6C2E">
        <w:rPr>
          <w:rFonts w:eastAsia="Calibri"/>
          <w:lang w:val="en-NZ" w:eastAsia="en-US"/>
        </w:rPr>
        <w:t xml:space="preserve">overy </w:t>
      </w:r>
      <w:r w:rsidR="003901AA">
        <w:rPr>
          <w:rFonts w:eastAsia="Calibri"/>
          <w:lang w:val="en-NZ" w:eastAsia="en-US"/>
        </w:rPr>
        <w:t>rate</w:t>
      </w:r>
      <w:r w:rsidR="009C6C2E">
        <w:rPr>
          <w:rFonts w:eastAsia="Calibri"/>
          <w:lang w:val="en-NZ" w:eastAsia="en-US"/>
        </w:rPr>
        <w:t xml:space="preserve"> is currently show</w:t>
      </w:r>
      <w:r w:rsidR="00750119">
        <w:rPr>
          <w:rFonts w:eastAsia="Calibri"/>
          <w:lang w:val="en-NZ" w:eastAsia="en-US"/>
        </w:rPr>
        <w:t>ing</w:t>
      </w:r>
      <w:r w:rsidR="009C6C2E">
        <w:rPr>
          <w:rFonts w:eastAsia="Calibri"/>
          <w:lang w:val="en-NZ" w:eastAsia="en-US"/>
        </w:rPr>
        <w:t xml:space="preserve"> as 105</w:t>
      </w:r>
      <w:r w:rsidR="008177B5">
        <w:rPr>
          <w:rFonts w:eastAsia="Calibri"/>
          <w:lang w:val="en-NZ" w:eastAsia="en-US"/>
        </w:rPr>
        <w:t xml:space="preserve"> per cent</w:t>
      </w:r>
      <w:r w:rsidR="009C6C2E">
        <w:rPr>
          <w:rFonts w:eastAsia="Calibri"/>
          <w:lang w:val="en-NZ" w:eastAsia="en-US"/>
        </w:rPr>
        <w:t xml:space="preserve">, but is inflated due to recent recovery of long-standing debts. </w:t>
      </w:r>
      <w:r w:rsidR="003901AA">
        <w:rPr>
          <w:rFonts w:eastAsia="Calibri"/>
          <w:lang w:val="en-NZ" w:eastAsia="en-US"/>
        </w:rPr>
        <w:t>A preferable indicator is the collection rate within the invoice period</w:t>
      </w:r>
      <w:r w:rsidR="006F5038">
        <w:rPr>
          <w:rFonts w:eastAsia="Calibri"/>
          <w:lang w:val="en-NZ" w:eastAsia="en-US"/>
        </w:rPr>
        <w:t xml:space="preserve"> (30 days)</w:t>
      </w:r>
      <w:r w:rsidR="008177B5">
        <w:rPr>
          <w:rFonts w:eastAsia="Calibri"/>
          <w:lang w:val="en-NZ" w:eastAsia="en-US"/>
        </w:rPr>
        <w:t>. The collection rate</w:t>
      </w:r>
      <w:r w:rsidR="001A603F">
        <w:rPr>
          <w:rFonts w:eastAsia="Calibri"/>
          <w:lang w:val="en-NZ" w:eastAsia="en-US"/>
        </w:rPr>
        <w:t xml:space="preserve"> within the invoice period</w:t>
      </w:r>
      <w:r w:rsidR="008177B5">
        <w:rPr>
          <w:rFonts w:eastAsia="Calibri"/>
          <w:lang w:val="en-NZ" w:eastAsia="en-US"/>
        </w:rPr>
        <w:t xml:space="preserve"> in 2015 was 3</w:t>
      </w:r>
      <w:r w:rsidR="003901AA">
        <w:rPr>
          <w:rFonts w:eastAsia="Calibri"/>
          <w:lang w:val="en-NZ" w:eastAsia="en-US"/>
        </w:rPr>
        <w:t>4 per</w:t>
      </w:r>
      <w:r w:rsidR="008177B5">
        <w:rPr>
          <w:rFonts w:eastAsia="Calibri"/>
          <w:lang w:val="en-NZ" w:eastAsia="en-US"/>
        </w:rPr>
        <w:t xml:space="preserve"> </w:t>
      </w:r>
      <w:r w:rsidR="003901AA">
        <w:rPr>
          <w:rFonts w:eastAsia="Calibri"/>
          <w:lang w:val="en-NZ" w:eastAsia="en-US"/>
        </w:rPr>
        <w:t>cent</w:t>
      </w:r>
      <w:r w:rsidR="008177B5">
        <w:rPr>
          <w:rFonts w:eastAsia="Calibri"/>
          <w:lang w:val="en-NZ" w:eastAsia="en-US"/>
        </w:rPr>
        <w:t xml:space="preserve">, </w:t>
      </w:r>
      <w:r w:rsidR="003901AA">
        <w:rPr>
          <w:rFonts w:eastAsia="Calibri"/>
          <w:lang w:val="en-NZ" w:eastAsia="en-US"/>
        </w:rPr>
        <w:t>up from</w:t>
      </w:r>
      <w:r w:rsidR="006F5038">
        <w:rPr>
          <w:rFonts w:eastAsia="Calibri"/>
          <w:lang w:val="en-NZ" w:eastAsia="en-US"/>
        </w:rPr>
        <w:t xml:space="preserve"> 26 </w:t>
      </w:r>
      <w:r w:rsidR="003901AA">
        <w:rPr>
          <w:rFonts w:eastAsia="Calibri"/>
          <w:lang w:val="en-NZ" w:eastAsia="en-US"/>
        </w:rPr>
        <w:t xml:space="preserve">per cent in </w:t>
      </w:r>
      <w:r w:rsidR="006F5038">
        <w:rPr>
          <w:rFonts w:eastAsia="Calibri"/>
          <w:lang w:val="en-NZ" w:eastAsia="en-US"/>
        </w:rPr>
        <w:t>2014</w:t>
      </w:r>
      <w:r w:rsidR="003901AA">
        <w:rPr>
          <w:rFonts w:eastAsia="Calibri"/>
          <w:lang w:val="en-NZ" w:eastAsia="en-US"/>
        </w:rPr>
        <w:t xml:space="preserve">. </w:t>
      </w:r>
      <w:r w:rsidR="009C6C2E">
        <w:rPr>
          <w:rFonts w:eastAsia="Calibri"/>
          <w:lang w:val="en-NZ" w:eastAsia="en-US"/>
        </w:rPr>
        <w:t xml:space="preserve">Return on capital </w:t>
      </w:r>
      <w:r w:rsidR="00F5313C">
        <w:rPr>
          <w:rFonts w:eastAsia="Calibri"/>
          <w:lang w:val="en-NZ" w:eastAsia="en-US"/>
        </w:rPr>
        <w:t>declined from 22 per</w:t>
      </w:r>
      <w:r w:rsidR="008177B5">
        <w:rPr>
          <w:rFonts w:eastAsia="Calibri"/>
          <w:lang w:val="en-NZ" w:eastAsia="en-US"/>
        </w:rPr>
        <w:t xml:space="preserve"> </w:t>
      </w:r>
      <w:r w:rsidR="00F5313C">
        <w:rPr>
          <w:rFonts w:eastAsia="Calibri"/>
          <w:lang w:val="en-NZ" w:eastAsia="en-US"/>
        </w:rPr>
        <w:t xml:space="preserve">cent in 2013 to </w:t>
      </w:r>
      <w:r w:rsidR="009C6C2E">
        <w:rPr>
          <w:rFonts w:eastAsia="Calibri"/>
          <w:lang w:val="en-NZ" w:eastAsia="en-US"/>
        </w:rPr>
        <w:t>4</w:t>
      </w:r>
      <w:r w:rsidR="00F5313C">
        <w:rPr>
          <w:rFonts w:eastAsia="Calibri"/>
          <w:lang w:val="en-NZ" w:eastAsia="en-US"/>
        </w:rPr>
        <w:t xml:space="preserve"> per</w:t>
      </w:r>
      <w:r w:rsidR="008177B5">
        <w:rPr>
          <w:rFonts w:eastAsia="Calibri"/>
          <w:lang w:val="en-NZ" w:eastAsia="en-US"/>
        </w:rPr>
        <w:t xml:space="preserve"> </w:t>
      </w:r>
      <w:r w:rsidR="00F5313C">
        <w:rPr>
          <w:rFonts w:eastAsia="Calibri"/>
          <w:lang w:val="en-NZ" w:eastAsia="en-US"/>
        </w:rPr>
        <w:t>cent in 2015</w:t>
      </w:r>
      <w:r w:rsidR="009C6C2E">
        <w:rPr>
          <w:rFonts w:eastAsia="Calibri"/>
          <w:lang w:val="en-NZ" w:eastAsia="en-US"/>
        </w:rPr>
        <w:t xml:space="preserve"> </w:t>
      </w:r>
      <w:r w:rsidR="00F5313C">
        <w:rPr>
          <w:rFonts w:eastAsia="Calibri"/>
          <w:lang w:val="en-NZ" w:eastAsia="en-US"/>
        </w:rPr>
        <w:t xml:space="preserve">following </w:t>
      </w:r>
      <w:r w:rsidR="009C6C2E">
        <w:rPr>
          <w:rFonts w:eastAsia="Calibri"/>
          <w:lang w:val="en-NZ" w:eastAsia="en-US"/>
        </w:rPr>
        <w:t xml:space="preserve">a revaluation of assets </w:t>
      </w:r>
      <w:r w:rsidR="00F5313C">
        <w:rPr>
          <w:rFonts w:eastAsia="Calibri"/>
          <w:lang w:val="en-NZ" w:eastAsia="en-US"/>
        </w:rPr>
        <w:t xml:space="preserve">in 2015 which saw a dramatic </w:t>
      </w:r>
      <w:r w:rsidR="009C6C2E">
        <w:rPr>
          <w:rFonts w:eastAsia="Calibri"/>
          <w:lang w:val="en-NZ" w:eastAsia="en-US"/>
        </w:rPr>
        <w:t>increase</w:t>
      </w:r>
      <w:r w:rsidR="00F5313C">
        <w:rPr>
          <w:rFonts w:eastAsia="Calibri"/>
          <w:lang w:val="en-NZ" w:eastAsia="en-US"/>
        </w:rPr>
        <w:t xml:space="preserve"> in </w:t>
      </w:r>
      <w:r w:rsidR="009C6C2E">
        <w:rPr>
          <w:rFonts w:eastAsia="Calibri"/>
          <w:lang w:val="en-NZ" w:eastAsia="en-US"/>
        </w:rPr>
        <w:t xml:space="preserve">the value of assets. </w:t>
      </w:r>
      <w:r w:rsidR="00F5313C">
        <w:rPr>
          <w:rFonts w:eastAsia="Calibri"/>
          <w:lang w:val="en-NZ" w:eastAsia="en-US"/>
        </w:rPr>
        <w:t xml:space="preserve">The original </w:t>
      </w:r>
      <w:r w:rsidR="009C6C2E">
        <w:rPr>
          <w:rFonts w:eastAsia="Calibri"/>
          <w:lang w:val="en-NZ" w:eastAsia="en-US"/>
        </w:rPr>
        <w:t>target</w:t>
      </w:r>
      <w:r w:rsidR="00F5313C">
        <w:rPr>
          <w:rFonts w:eastAsia="Calibri"/>
          <w:lang w:val="en-NZ" w:eastAsia="en-US"/>
        </w:rPr>
        <w:t>s</w:t>
      </w:r>
      <w:r w:rsidR="009C6C2E">
        <w:rPr>
          <w:rFonts w:eastAsia="Calibri"/>
          <w:lang w:val="en-NZ" w:eastAsia="en-US"/>
        </w:rPr>
        <w:t xml:space="preserve"> </w:t>
      </w:r>
      <w:r w:rsidR="00F5313C">
        <w:rPr>
          <w:rFonts w:eastAsia="Calibri"/>
          <w:lang w:val="en-NZ" w:eastAsia="en-US"/>
        </w:rPr>
        <w:t xml:space="preserve">of </w:t>
      </w:r>
      <w:r w:rsidR="009C6C2E">
        <w:rPr>
          <w:rFonts w:eastAsia="Calibri"/>
          <w:lang w:val="en-NZ" w:eastAsia="en-US"/>
        </w:rPr>
        <w:t>10-12</w:t>
      </w:r>
      <w:r w:rsidR="00F5313C">
        <w:rPr>
          <w:rFonts w:eastAsia="Calibri"/>
          <w:lang w:val="en-NZ" w:eastAsia="en-US"/>
        </w:rPr>
        <w:t xml:space="preserve"> per cent for return on capital appear reasonable</w:t>
      </w:r>
      <w:r w:rsidR="009C6C2E">
        <w:rPr>
          <w:rFonts w:eastAsia="Calibri"/>
          <w:lang w:val="en-NZ" w:eastAsia="en-US"/>
        </w:rPr>
        <w:t>.</w:t>
      </w:r>
    </w:p>
    <w:p w14:paraId="7072CE46" w14:textId="6533C23A" w:rsidR="00B819B5" w:rsidRDefault="00017608" w:rsidP="00B819B5">
      <w:pPr>
        <w:pStyle w:val="TableName"/>
        <w:rPr>
          <w:rFonts w:eastAsia="Calibri"/>
          <w:lang w:val="en-NZ" w:eastAsia="en-US"/>
        </w:rPr>
      </w:pPr>
      <w:bookmarkStart w:id="24" w:name="_Toc453956013"/>
      <w:r>
        <w:rPr>
          <w:rFonts w:eastAsia="Calibri"/>
          <w:lang w:val="en-NZ" w:eastAsia="en-US"/>
        </w:rPr>
        <w:t xml:space="preserve">Table </w:t>
      </w:r>
      <w:r w:rsidR="00D00A00">
        <w:rPr>
          <w:rFonts w:eastAsia="Calibri"/>
          <w:lang w:val="en-NZ" w:eastAsia="en-US"/>
        </w:rPr>
        <w:t>4</w:t>
      </w:r>
      <w:r w:rsidR="00B819B5">
        <w:rPr>
          <w:rFonts w:eastAsia="Calibri"/>
          <w:lang w:val="en-NZ" w:eastAsia="en-US"/>
        </w:rPr>
        <w:tab/>
        <w:t>Key financial indicators</w:t>
      </w:r>
      <w:bookmarkEnd w:id="24"/>
    </w:p>
    <w:tbl>
      <w:tblPr>
        <w:tblpPr w:leftFromText="180" w:rightFromText="180" w:vertAnchor="text" w:tblpY="1"/>
        <w:tblOverlap w:val="never"/>
        <w:tblW w:w="0" w:type="auto"/>
        <w:tblBorders>
          <w:top w:val="single" w:sz="4" w:space="0" w:color="007FAD"/>
          <w:bottom w:val="single" w:sz="4" w:space="0" w:color="007FAD"/>
          <w:insideH w:val="single" w:sz="4" w:space="0" w:color="007FAD"/>
        </w:tblBorders>
        <w:tblCellMar>
          <w:top w:w="85" w:type="dxa"/>
          <w:bottom w:w="85" w:type="dxa"/>
        </w:tblCellMar>
        <w:tblLook w:val="02A0" w:firstRow="1" w:lastRow="0" w:firstColumn="1" w:lastColumn="0" w:noHBand="1" w:noVBand="0"/>
      </w:tblPr>
      <w:tblGrid>
        <w:gridCol w:w="2716"/>
        <w:gridCol w:w="957"/>
        <w:gridCol w:w="1247"/>
        <w:gridCol w:w="953"/>
        <w:gridCol w:w="1247"/>
        <w:gridCol w:w="953"/>
        <w:gridCol w:w="953"/>
      </w:tblGrid>
      <w:tr w:rsidR="006C6EEA" w:rsidRPr="000672A9" w14:paraId="772AD5D2" w14:textId="77777777" w:rsidTr="00D6592C">
        <w:tc>
          <w:tcPr>
            <w:tcW w:w="0" w:type="auto"/>
            <w:shd w:val="clear" w:color="auto" w:fill="007FAD"/>
          </w:tcPr>
          <w:p w14:paraId="7F603B34" w14:textId="77777777" w:rsidR="006C6EEA" w:rsidRPr="002D7C74" w:rsidRDefault="006C6EEA" w:rsidP="002D7C74">
            <w:pPr>
              <w:pStyle w:val="TableHeading2"/>
              <w:spacing w:before="0" w:after="0"/>
              <w:rPr>
                <w:sz w:val="18"/>
                <w:szCs w:val="18"/>
              </w:rPr>
            </w:pPr>
            <w:r w:rsidRPr="002D7C74">
              <w:rPr>
                <w:sz w:val="18"/>
                <w:szCs w:val="18"/>
              </w:rPr>
              <w:t>Indicator</w:t>
            </w:r>
          </w:p>
        </w:tc>
        <w:tc>
          <w:tcPr>
            <w:tcW w:w="0" w:type="auto"/>
            <w:shd w:val="clear" w:color="auto" w:fill="007FAD"/>
          </w:tcPr>
          <w:p w14:paraId="29CC29C3" w14:textId="77777777" w:rsidR="006C6EEA" w:rsidRPr="002D7C74" w:rsidRDefault="006C6EEA" w:rsidP="002D7C74">
            <w:pPr>
              <w:spacing w:before="0" w:after="0" w:line="200" w:lineRule="atLeast"/>
              <w:jc w:val="center"/>
              <w:rPr>
                <w:rFonts w:ascii="Arial" w:hAnsi="Arial" w:cs="Arial"/>
                <w:b/>
                <w:bCs/>
                <w:color w:val="FFFFFF"/>
                <w:sz w:val="18"/>
                <w:szCs w:val="18"/>
              </w:rPr>
            </w:pPr>
            <w:r w:rsidRPr="002D7C74">
              <w:rPr>
                <w:rFonts w:ascii="Arial" w:hAnsi="Arial" w:cs="Arial"/>
                <w:b/>
                <w:bCs/>
                <w:color w:val="FFFFFF"/>
                <w:sz w:val="18"/>
                <w:szCs w:val="18"/>
              </w:rPr>
              <w:t>Baseline</w:t>
            </w:r>
          </w:p>
        </w:tc>
        <w:tc>
          <w:tcPr>
            <w:tcW w:w="0" w:type="auto"/>
            <w:shd w:val="clear" w:color="auto" w:fill="007FAD"/>
          </w:tcPr>
          <w:p w14:paraId="186AD8A9" w14:textId="77777777" w:rsidR="006C6EEA" w:rsidRPr="002D7C74" w:rsidRDefault="006C6EEA" w:rsidP="002D7C74">
            <w:pPr>
              <w:spacing w:before="0" w:after="0" w:line="200" w:lineRule="atLeast"/>
              <w:jc w:val="center"/>
              <w:rPr>
                <w:rFonts w:ascii="Arial" w:hAnsi="Arial" w:cs="Arial"/>
                <w:b/>
                <w:bCs/>
                <w:color w:val="D9D9D9"/>
                <w:sz w:val="18"/>
                <w:szCs w:val="18"/>
              </w:rPr>
            </w:pPr>
            <w:r w:rsidRPr="002D7C74">
              <w:rPr>
                <w:rFonts w:ascii="Arial" w:hAnsi="Arial" w:cs="Arial"/>
                <w:b/>
                <w:bCs/>
                <w:color w:val="D9D9D9"/>
                <w:sz w:val="18"/>
                <w:szCs w:val="18"/>
              </w:rPr>
              <w:t>Year 1 (2013) Target</w:t>
            </w:r>
          </w:p>
        </w:tc>
        <w:tc>
          <w:tcPr>
            <w:tcW w:w="0" w:type="auto"/>
            <w:shd w:val="clear" w:color="auto" w:fill="007FAD"/>
          </w:tcPr>
          <w:p w14:paraId="5606956C" w14:textId="77777777" w:rsidR="006C6EEA" w:rsidRPr="002D7C74" w:rsidRDefault="006C6EEA" w:rsidP="002D7C74">
            <w:pPr>
              <w:spacing w:before="0" w:after="0" w:line="200" w:lineRule="atLeast"/>
              <w:jc w:val="center"/>
              <w:rPr>
                <w:rFonts w:ascii="Arial" w:hAnsi="Arial" w:cs="Arial"/>
                <w:b/>
                <w:bCs/>
                <w:color w:val="FFFFFF"/>
                <w:sz w:val="18"/>
                <w:szCs w:val="18"/>
              </w:rPr>
            </w:pPr>
            <w:r w:rsidRPr="002D7C74">
              <w:rPr>
                <w:rFonts w:ascii="Arial" w:hAnsi="Arial" w:cs="Arial"/>
                <w:b/>
                <w:bCs/>
                <w:color w:val="FFFFFF"/>
                <w:sz w:val="18"/>
                <w:szCs w:val="18"/>
              </w:rPr>
              <w:t xml:space="preserve">2013 Actual </w:t>
            </w:r>
          </w:p>
        </w:tc>
        <w:tc>
          <w:tcPr>
            <w:tcW w:w="0" w:type="auto"/>
            <w:shd w:val="clear" w:color="auto" w:fill="007FAD"/>
          </w:tcPr>
          <w:p w14:paraId="559F3BC1" w14:textId="77777777" w:rsidR="006C6EEA" w:rsidRPr="002D7C74" w:rsidRDefault="006C6EEA" w:rsidP="002D7C74">
            <w:pPr>
              <w:spacing w:before="0" w:after="0" w:line="200" w:lineRule="atLeast"/>
              <w:jc w:val="center"/>
              <w:rPr>
                <w:rFonts w:ascii="Arial" w:hAnsi="Arial" w:cs="Arial"/>
                <w:b/>
                <w:bCs/>
                <w:color w:val="D9D9D9"/>
                <w:sz w:val="18"/>
                <w:szCs w:val="18"/>
              </w:rPr>
            </w:pPr>
            <w:r w:rsidRPr="002D7C74">
              <w:rPr>
                <w:rFonts w:ascii="Arial" w:hAnsi="Arial" w:cs="Arial"/>
                <w:b/>
                <w:bCs/>
                <w:color w:val="D9D9D9"/>
                <w:sz w:val="18"/>
                <w:szCs w:val="18"/>
              </w:rPr>
              <w:t>Year 2 (2014) Target</w:t>
            </w:r>
          </w:p>
        </w:tc>
        <w:tc>
          <w:tcPr>
            <w:tcW w:w="0" w:type="auto"/>
            <w:shd w:val="clear" w:color="auto" w:fill="007FAD"/>
          </w:tcPr>
          <w:p w14:paraId="58C44E0D" w14:textId="77777777" w:rsidR="006C6EEA" w:rsidRPr="002D7C74" w:rsidRDefault="006C6EEA" w:rsidP="002D7C74">
            <w:pPr>
              <w:spacing w:before="0" w:after="0" w:line="200" w:lineRule="atLeast"/>
              <w:jc w:val="center"/>
              <w:rPr>
                <w:rFonts w:ascii="Arial" w:hAnsi="Arial" w:cs="Arial"/>
                <w:b/>
                <w:bCs/>
                <w:color w:val="FFFFFF"/>
                <w:sz w:val="18"/>
                <w:szCs w:val="18"/>
              </w:rPr>
            </w:pPr>
            <w:r w:rsidRPr="002D7C74">
              <w:rPr>
                <w:rFonts w:ascii="Arial" w:hAnsi="Arial" w:cs="Arial"/>
                <w:b/>
                <w:bCs/>
                <w:color w:val="FFFFFF"/>
                <w:sz w:val="18"/>
                <w:szCs w:val="18"/>
              </w:rPr>
              <w:t xml:space="preserve">2014 Actual </w:t>
            </w:r>
          </w:p>
        </w:tc>
        <w:tc>
          <w:tcPr>
            <w:tcW w:w="0" w:type="auto"/>
            <w:shd w:val="clear" w:color="auto" w:fill="007FAD"/>
          </w:tcPr>
          <w:p w14:paraId="7DF33AFC" w14:textId="77777777" w:rsidR="006C6EEA" w:rsidRPr="002D7C74" w:rsidRDefault="006C6EEA" w:rsidP="002D7C74">
            <w:pPr>
              <w:spacing w:before="0" w:after="0" w:line="200" w:lineRule="atLeast"/>
              <w:jc w:val="center"/>
              <w:rPr>
                <w:rFonts w:ascii="Arial" w:hAnsi="Arial" w:cs="Arial"/>
                <w:b/>
                <w:bCs/>
                <w:color w:val="FFFFFF"/>
                <w:sz w:val="18"/>
                <w:szCs w:val="18"/>
              </w:rPr>
            </w:pPr>
            <w:r w:rsidRPr="002D7C74">
              <w:rPr>
                <w:rFonts w:ascii="Arial" w:hAnsi="Arial" w:cs="Arial"/>
                <w:b/>
                <w:bCs/>
                <w:color w:val="FFFFFF"/>
                <w:sz w:val="18"/>
                <w:szCs w:val="18"/>
              </w:rPr>
              <w:t xml:space="preserve">2015 Actual </w:t>
            </w:r>
          </w:p>
        </w:tc>
      </w:tr>
      <w:tr w:rsidR="006C6EEA" w:rsidRPr="000672A9" w14:paraId="2789B800" w14:textId="77777777" w:rsidTr="00D6592C">
        <w:tc>
          <w:tcPr>
            <w:tcW w:w="0" w:type="auto"/>
            <w:shd w:val="clear" w:color="auto" w:fill="FFFFFF"/>
          </w:tcPr>
          <w:p w14:paraId="4159D84B" w14:textId="77777777" w:rsidR="006C6EEA" w:rsidRPr="000672A9" w:rsidRDefault="006C6EEA" w:rsidP="002D7C74">
            <w:pPr>
              <w:pStyle w:val="TableText"/>
              <w:spacing w:before="0" w:after="0"/>
              <w:rPr>
                <w:rFonts w:eastAsia="Calibri"/>
              </w:rPr>
            </w:pPr>
            <w:r w:rsidRPr="000672A9">
              <w:rPr>
                <w:rFonts w:eastAsia="Calibri"/>
              </w:rPr>
              <w:t>Return on capital</w:t>
            </w:r>
          </w:p>
        </w:tc>
        <w:tc>
          <w:tcPr>
            <w:tcW w:w="0" w:type="auto"/>
            <w:shd w:val="clear" w:color="auto" w:fill="FFFFFF"/>
          </w:tcPr>
          <w:p w14:paraId="2ECB8A97" w14:textId="77777777" w:rsidR="006C6EEA" w:rsidRPr="000672A9" w:rsidRDefault="006C6EEA" w:rsidP="002D7C74">
            <w:pPr>
              <w:pStyle w:val="TableText"/>
              <w:spacing w:before="0" w:after="0"/>
              <w:rPr>
                <w:rFonts w:eastAsia="Calibri"/>
              </w:rPr>
            </w:pPr>
            <w:r w:rsidRPr="000672A9">
              <w:rPr>
                <w:rFonts w:eastAsia="Calibri"/>
              </w:rPr>
              <w:t>8%</w:t>
            </w:r>
          </w:p>
        </w:tc>
        <w:tc>
          <w:tcPr>
            <w:tcW w:w="0" w:type="auto"/>
            <w:shd w:val="clear" w:color="auto" w:fill="FFFFFF"/>
          </w:tcPr>
          <w:p w14:paraId="5190986C" w14:textId="77777777" w:rsidR="006C6EEA" w:rsidRPr="000672A9" w:rsidRDefault="006C6EEA" w:rsidP="002D7C74">
            <w:pPr>
              <w:pStyle w:val="TableText"/>
              <w:spacing w:before="0" w:after="0"/>
              <w:rPr>
                <w:rFonts w:eastAsia="Calibri"/>
                <w:color w:val="808080"/>
              </w:rPr>
            </w:pPr>
            <w:r w:rsidRPr="000672A9">
              <w:rPr>
                <w:rFonts w:eastAsia="Calibri"/>
                <w:color w:val="808080"/>
              </w:rPr>
              <w:t>10%</w:t>
            </w:r>
          </w:p>
        </w:tc>
        <w:tc>
          <w:tcPr>
            <w:tcW w:w="0" w:type="auto"/>
            <w:shd w:val="clear" w:color="auto" w:fill="FFFFFF"/>
          </w:tcPr>
          <w:p w14:paraId="333451B5" w14:textId="77777777" w:rsidR="006C6EEA" w:rsidRPr="000672A9" w:rsidRDefault="006C6EEA" w:rsidP="002D7C74">
            <w:pPr>
              <w:pStyle w:val="TableText"/>
              <w:spacing w:before="0" w:after="0"/>
              <w:rPr>
                <w:rFonts w:eastAsia="Calibri"/>
              </w:rPr>
            </w:pPr>
            <w:r w:rsidRPr="000672A9">
              <w:rPr>
                <w:rFonts w:eastAsia="Calibri"/>
              </w:rPr>
              <w:t>22%</w:t>
            </w:r>
            <w:r w:rsidR="00475934">
              <w:rPr>
                <w:rFonts w:eastAsia="Calibri"/>
                <w:vertAlign w:val="superscript"/>
              </w:rPr>
              <w:t>a</w:t>
            </w:r>
          </w:p>
        </w:tc>
        <w:tc>
          <w:tcPr>
            <w:tcW w:w="0" w:type="auto"/>
            <w:shd w:val="clear" w:color="auto" w:fill="FFFFFF"/>
          </w:tcPr>
          <w:p w14:paraId="792F6ADC" w14:textId="77777777" w:rsidR="006C6EEA" w:rsidRPr="000672A9" w:rsidRDefault="006C6EEA" w:rsidP="002D7C74">
            <w:pPr>
              <w:pStyle w:val="TableText"/>
              <w:spacing w:before="0" w:after="0"/>
              <w:rPr>
                <w:rFonts w:eastAsia="Calibri"/>
                <w:color w:val="808080"/>
              </w:rPr>
            </w:pPr>
            <w:r w:rsidRPr="000672A9">
              <w:rPr>
                <w:rFonts w:eastAsia="Calibri"/>
                <w:color w:val="808080"/>
              </w:rPr>
              <w:t>12%</w:t>
            </w:r>
          </w:p>
        </w:tc>
        <w:tc>
          <w:tcPr>
            <w:tcW w:w="0" w:type="auto"/>
            <w:shd w:val="clear" w:color="auto" w:fill="FFFFFF"/>
          </w:tcPr>
          <w:p w14:paraId="2B237F85" w14:textId="77777777" w:rsidR="006C6EEA" w:rsidRPr="000672A9" w:rsidRDefault="006C6EEA" w:rsidP="002D7C74">
            <w:pPr>
              <w:pStyle w:val="TableText"/>
              <w:spacing w:before="0" w:after="0"/>
              <w:rPr>
                <w:rFonts w:eastAsia="Calibri"/>
              </w:rPr>
            </w:pPr>
            <w:r w:rsidRPr="000672A9">
              <w:rPr>
                <w:rFonts w:eastAsia="Calibri"/>
              </w:rPr>
              <w:t>16%</w:t>
            </w:r>
            <w:r w:rsidR="00475934">
              <w:rPr>
                <w:rFonts w:eastAsia="Calibri"/>
                <w:vertAlign w:val="superscript"/>
              </w:rPr>
              <w:t>b</w:t>
            </w:r>
          </w:p>
        </w:tc>
        <w:tc>
          <w:tcPr>
            <w:tcW w:w="0" w:type="auto"/>
            <w:shd w:val="clear" w:color="auto" w:fill="FFFFFF"/>
          </w:tcPr>
          <w:p w14:paraId="0BDFE610" w14:textId="77777777" w:rsidR="006C6EEA" w:rsidRPr="000672A9" w:rsidRDefault="006C6EEA" w:rsidP="002D7C74">
            <w:pPr>
              <w:pStyle w:val="TableText"/>
              <w:spacing w:before="0" w:after="0"/>
              <w:rPr>
                <w:rFonts w:eastAsia="Calibri"/>
              </w:rPr>
            </w:pPr>
            <w:r w:rsidRPr="000672A9">
              <w:rPr>
                <w:rFonts w:eastAsia="Calibri"/>
              </w:rPr>
              <w:t>4%</w:t>
            </w:r>
            <w:r w:rsidR="00475934">
              <w:rPr>
                <w:rFonts w:eastAsia="Calibri"/>
                <w:vertAlign w:val="superscript"/>
              </w:rPr>
              <w:t>b</w:t>
            </w:r>
          </w:p>
        </w:tc>
      </w:tr>
      <w:tr w:rsidR="006C6EEA" w:rsidRPr="000672A9" w14:paraId="486996F4" w14:textId="77777777" w:rsidTr="00D6592C">
        <w:tc>
          <w:tcPr>
            <w:tcW w:w="0" w:type="auto"/>
            <w:shd w:val="clear" w:color="auto" w:fill="FFFFFF"/>
          </w:tcPr>
          <w:p w14:paraId="696496B6" w14:textId="77777777" w:rsidR="006C6EEA" w:rsidRPr="000672A9" w:rsidRDefault="006C6EEA" w:rsidP="002D7C74">
            <w:pPr>
              <w:pStyle w:val="TableText"/>
              <w:spacing w:before="0" w:after="0"/>
              <w:rPr>
                <w:rFonts w:eastAsia="Calibri"/>
              </w:rPr>
            </w:pPr>
            <w:r w:rsidRPr="000672A9">
              <w:rPr>
                <w:rFonts w:eastAsia="Calibri"/>
              </w:rPr>
              <w:t>Operating cost recovery</w:t>
            </w:r>
          </w:p>
        </w:tc>
        <w:tc>
          <w:tcPr>
            <w:tcW w:w="0" w:type="auto"/>
            <w:shd w:val="clear" w:color="auto" w:fill="FFFFFF"/>
          </w:tcPr>
          <w:p w14:paraId="52F6C598" w14:textId="77777777" w:rsidR="006C6EEA" w:rsidRPr="000672A9" w:rsidRDefault="006C6EEA" w:rsidP="002D7C74">
            <w:pPr>
              <w:pStyle w:val="TableText"/>
              <w:spacing w:before="0" w:after="0"/>
              <w:rPr>
                <w:rFonts w:eastAsia="Calibri"/>
              </w:rPr>
            </w:pPr>
            <w:r w:rsidRPr="000672A9">
              <w:rPr>
                <w:rFonts w:eastAsia="Calibri"/>
              </w:rPr>
              <w:t>105%</w:t>
            </w:r>
          </w:p>
        </w:tc>
        <w:tc>
          <w:tcPr>
            <w:tcW w:w="0" w:type="auto"/>
            <w:shd w:val="clear" w:color="auto" w:fill="FFFFFF"/>
          </w:tcPr>
          <w:p w14:paraId="60072D43" w14:textId="77777777" w:rsidR="006C6EEA" w:rsidRPr="000672A9" w:rsidRDefault="006C6EEA" w:rsidP="002D7C74">
            <w:pPr>
              <w:pStyle w:val="TableText"/>
              <w:spacing w:before="0" w:after="0"/>
              <w:rPr>
                <w:rFonts w:eastAsia="Calibri"/>
                <w:color w:val="808080"/>
              </w:rPr>
            </w:pPr>
            <w:r w:rsidRPr="000672A9">
              <w:rPr>
                <w:rFonts w:eastAsia="Calibri"/>
                <w:color w:val="808080"/>
              </w:rPr>
              <w:t>115%</w:t>
            </w:r>
          </w:p>
        </w:tc>
        <w:tc>
          <w:tcPr>
            <w:tcW w:w="0" w:type="auto"/>
            <w:shd w:val="clear" w:color="auto" w:fill="FFFFFF"/>
          </w:tcPr>
          <w:p w14:paraId="0E604367" w14:textId="77777777" w:rsidR="006C6EEA" w:rsidRPr="000672A9" w:rsidRDefault="006C6EEA" w:rsidP="002D7C74">
            <w:pPr>
              <w:pStyle w:val="TableText"/>
              <w:spacing w:before="0" w:after="0"/>
              <w:rPr>
                <w:rFonts w:eastAsia="Calibri"/>
              </w:rPr>
            </w:pPr>
            <w:r w:rsidRPr="000672A9">
              <w:rPr>
                <w:rFonts w:eastAsia="Calibri"/>
              </w:rPr>
              <w:t>125%</w:t>
            </w:r>
          </w:p>
        </w:tc>
        <w:tc>
          <w:tcPr>
            <w:tcW w:w="0" w:type="auto"/>
            <w:shd w:val="clear" w:color="auto" w:fill="FFFFFF"/>
          </w:tcPr>
          <w:p w14:paraId="1E0674A7" w14:textId="77777777" w:rsidR="006C6EEA" w:rsidRPr="000672A9" w:rsidRDefault="006C6EEA" w:rsidP="002D7C74">
            <w:pPr>
              <w:pStyle w:val="TableText"/>
              <w:spacing w:before="0" w:after="0"/>
              <w:rPr>
                <w:rFonts w:eastAsia="Calibri"/>
                <w:color w:val="808080"/>
              </w:rPr>
            </w:pPr>
            <w:r w:rsidRPr="000672A9">
              <w:rPr>
                <w:rFonts w:eastAsia="Calibri"/>
                <w:color w:val="808080"/>
              </w:rPr>
              <w:t>120%</w:t>
            </w:r>
          </w:p>
        </w:tc>
        <w:tc>
          <w:tcPr>
            <w:tcW w:w="0" w:type="auto"/>
            <w:shd w:val="clear" w:color="auto" w:fill="FFFFFF"/>
          </w:tcPr>
          <w:p w14:paraId="78B5E0EA" w14:textId="77777777" w:rsidR="006C6EEA" w:rsidRPr="000672A9" w:rsidRDefault="006C6EEA" w:rsidP="002D7C74">
            <w:pPr>
              <w:pStyle w:val="TableText"/>
              <w:spacing w:before="0" w:after="0"/>
              <w:rPr>
                <w:rFonts w:eastAsia="Calibri"/>
              </w:rPr>
            </w:pPr>
            <w:r w:rsidRPr="000672A9">
              <w:rPr>
                <w:rFonts w:eastAsia="Calibri"/>
              </w:rPr>
              <w:t>97%</w:t>
            </w:r>
          </w:p>
        </w:tc>
        <w:tc>
          <w:tcPr>
            <w:tcW w:w="0" w:type="auto"/>
            <w:shd w:val="clear" w:color="auto" w:fill="FFFFFF"/>
          </w:tcPr>
          <w:p w14:paraId="74825E53" w14:textId="77777777" w:rsidR="006C6EEA" w:rsidRPr="000672A9" w:rsidRDefault="006C6EEA" w:rsidP="002D7C74">
            <w:pPr>
              <w:pStyle w:val="TableText"/>
              <w:spacing w:before="0" w:after="0"/>
              <w:rPr>
                <w:rFonts w:eastAsia="Calibri"/>
              </w:rPr>
            </w:pPr>
            <w:r w:rsidRPr="000672A9">
              <w:rPr>
                <w:rFonts w:eastAsia="Calibri"/>
              </w:rPr>
              <w:t>101%</w:t>
            </w:r>
          </w:p>
        </w:tc>
      </w:tr>
      <w:tr w:rsidR="006C6EEA" w:rsidRPr="000672A9" w14:paraId="562F60DA" w14:textId="77777777" w:rsidTr="00D6592C">
        <w:trPr>
          <w:trHeight w:val="680"/>
        </w:trPr>
        <w:tc>
          <w:tcPr>
            <w:tcW w:w="0" w:type="auto"/>
            <w:shd w:val="clear" w:color="auto" w:fill="FFFFFF"/>
          </w:tcPr>
          <w:p w14:paraId="15D0F1C6" w14:textId="77777777" w:rsidR="006C6EEA" w:rsidRPr="000672A9" w:rsidRDefault="006C6EEA" w:rsidP="002D7C74">
            <w:pPr>
              <w:pStyle w:val="TableText"/>
              <w:spacing w:before="0" w:after="0"/>
              <w:rPr>
                <w:rFonts w:eastAsia="Calibri"/>
              </w:rPr>
            </w:pPr>
            <w:r w:rsidRPr="000672A9">
              <w:rPr>
                <w:rFonts w:eastAsia="Calibri"/>
              </w:rPr>
              <w:t>Operating cost recovery – adjusted to exclude donor contributions</w:t>
            </w:r>
          </w:p>
        </w:tc>
        <w:tc>
          <w:tcPr>
            <w:tcW w:w="0" w:type="auto"/>
            <w:shd w:val="clear" w:color="auto" w:fill="FFFFFF"/>
          </w:tcPr>
          <w:p w14:paraId="0BD7F853" w14:textId="77777777" w:rsidR="006C6EEA" w:rsidRPr="000672A9" w:rsidRDefault="006C6EEA" w:rsidP="002D7C74">
            <w:pPr>
              <w:pStyle w:val="TableText"/>
              <w:spacing w:before="0" w:after="0"/>
              <w:rPr>
                <w:rFonts w:eastAsia="Calibri"/>
              </w:rPr>
            </w:pPr>
            <w:r w:rsidRPr="000672A9">
              <w:rPr>
                <w:rFonts w:eastAsia="Calibri"/>
              </w:rPr>
              <w:t>-</w:t>
            </w:r>
          </w:p>
        </w:tc>
        <w:tc>
          <w:tcPr>
            <w:tcW w:w="0" w:type="auto"/>
            <w:shd w:val="clear" w:color="auto" w:fill="FFFFFF"/>
          </w:tcPr>
          <w:p w14:paraId="775E2EE3" w14:textId="77777777" w:rsidR="006C6EEA" w:rsidRPr="000672A9" w:rsidRDefault="006C6EEA" w:rsidP="002D7C74">
            <w:pPr>
              <w:pStyle w:val="TableText"/>
              <w:spacing w:before="0" w:after="0"/>
              <w:rPr>
                <w:rFonts w:eastAsia="Calibri"/>
                <w:color w:val="808080"/>
              </w:rPr>
            </w:pPr>
            <w:r w:rsidRPr="000672A9">
              <w:rPr>
                <w:rFonts w:eastAsia="Calibri"/>
                <w:color w:val="808080"/>
              </w:rPr>
              <w:t>-</w:t>
            </w:r>
          </w:p>
        </w:tc>
        <w:tc>
          <w:tcPr>
            <w:tcW w:w="0" w:type="auto"/>
            <w:shd w:val="clear" w:color="auto" w:fill="FFFFFF"/>
          </w:tcPr>
          <w:p w14:paraId="7339B725" w14:textId="77777777" w:rsidR="006C6EEA" w:rsidRPr="000672A9" w:rsidRDefault="006C6EEA" w:rsidP="002D7C74">
            <w:pPr>
              <w:pStyle w:val="TableText"/>
              <w:spacing w:before="0" w:after="0"/>
              <w:rPr>
                <w:rFonts w:eastAsia="Calibri"/>
              </w:rPr>
            </w:pPr>
            <w:r w:rsidRPr="000672A9">
              <w:rPr>
                <w:rFonts w:eastAsia="Calibri"/>
              </w:rPr>
              <w:t>-</w:t>
            </w:r>
          </w:p>
        </w:tc>
        <w:tc>
          <w:tcPr>
            <w:tcW w:w="0" w:type="auto"/>
            <w:shd w:val="clear" w:color="auto" w:fill="FFFFFF"/>
          </w:tcPr>
          <w:p w14:paraId="0833E9E0" w14:textId="77777777" w:rsidR="006C6EEA" w:rsidRPr="000672A9" w:rsidRDefault="006C6EEA" w:rsidP="002D7C74">
            <w:pPr>
              <w:pStyle w:val="TableText"/>
              <w:spacing w:before="0" w:after="0"/>
              <w:rPr>
                <w:rFonts w:eastAsia="Calibri"/>
                <w:color w:val="808080"/>
              </w:rPr>
            </w:pPr>
            <w:r w:rsidRPr="000672A9">
              <w:rPr>
                <w:rFonts w:eastAsia="Calibri"/>
                <w:color w:val="808080"/>
              </w:rPr>
              <w:t>-</w:t>
            </w:r>
          </w:p>
        </w:tc>
        <w:tc>
          <w:tcPr>
            <w:tcW w:w="0" w:type="auto"/>
            <w:shd w:val="clear" w:color="auto" w:fill="FFFFFF"/>
          </w:tcPr>
          <w:p w14:paraId="4A9FEB59" w14:textId="77777777" w:rsidR="006C6EEA" w:rsidRPr="000672A9" w:rsidRDefault="006C6EEA" w:rsidP="002D7C74">
            <w:pPr>
              <w:pStyle w:val="TableText"/>
              <w:spacing w:before="0" w:after="0"/>
              <w:rPr>
                <w:rFonts w:eastAsia="Calibri"/>
              </w:rPr>
            </w:pPr>
            <w:r w:rsidRPr="000672A9">
              <w:rPr>
                <w:rFonts w:eastAsia="Calibri"/>
              </w:rPr>
              <w:t>89%</w:t>
            </w:r>
          </w:p>
        </w:tc>
        <w:tc>
          <w:tcPr>
            <w:tcW w:w="0" w:type="auto"/>
            <w:shd w:val="clear" w:color="auto" w:fill="FFFFFF"/>
          </w:tcPr>
          <w:p w14:paraId="74149F47" w14:textId="77777777" w:rsidR="006C6EEA" w:rsidRPr="000672A9" w:rsidRDefault="006C6EEA" w:rsidP="002D7C74">
            <w:pPr>
              <w:pStyle w:val="TableText"/>
              <w:spacing w:before="0" w:after="0"/>
              <w:rPr>
                <w:rFonts w:eastAsia="Calibri"/>
              </w:rPr>
            </w:pPr>
            <w:r w:rsidRPr="000672A9">
              <w:rPr>
                <w:rFonts w:eastAsia="Calibri"/>
              </w:rPr>
              <w:t>93%</w:t>
            </w:r>
          </w:p>
        </w:tc>
      </w:tr>
      <w:tr w:rsidR="006C6EEA" w14:paraId="6DB62575" w14:textId="77777777" w:rsidTr="00D6592C">
        <w:tc>
          <w:tcPr>
            <w:tcW w:w="0" w:type="auto"/>
            <w:shd w:val="clear" w:color="auto" w:fill="FFFFFF"/>
          </w:tcPr>
          <w:p w14:paraId="72A360FC" w14:textId="77777777" w:rsidR="006C6EEA" w:rsidRPr="000672A9" w:rsidRDefault="006C6EEA" w:rsidP="002D7C74">
            <w:pPr>
              <w:pStyle w:val="TableText"/>
              <w:spacing w:before="0" w:after="0"/>
              <w:rPr>
                <w:rFonts w:eastAsia="Calibri" w:cs="Calibri"/>
              </w:rPr>
            </w:pPr>
            <w:r w:rsidRPr="000672A9">
              <w:rPr>
                <w:rFonts w:eastAsia="Calibri" w:cs="Calibri"/>
              </w:rPr>
              <w:t>Collection ratio</w:t>
            </w:r>
            <w:r w:rsidR="00F868E3">
              <w:rPr>
                <w:rFonts w:eastAsia="Calibri" w:cs="Calibri"/>
              </w:rPr>
              <w:t xml:space="preserve"> (recovery rate)</w:t>
            </w:r>
            <w:r w:rsidRPr="000672A9">
              <w:rPr>
                <w:rFonts w:eastAsia="Calibri" w:cs="Calibri"/>
              </w:rPr>
              <w:t xml:space="preserve"> :</w:t>
            </w:r>
          </w:p>
          <w:p w14:paraId="00CCA2EE" w14:textId="77777777" w:rsidR="006C6EEA" w:rsidRPr="000672A9" w:rsidRDefault="006C6EEA" w:rsidP="002D7C74">
            <w:pPr>
              <w:pStyle w:val="TableText"/>
              <w:spacing w:before="0" w:after="0"/>
              <w:rPr>
                <w:rFonts w:eastAsia="Calibri" w:cs="Calibri"/>
              </w:rPr>
            </w:pPr>
            <w:r w:rsidRPr="000672A9">
              <w:rPr>
                <w:rFonts w:eastAsia="Calibri" w:cs="Calibri"/>
              </w:rPr>
              <w:t>Actual cash vs. billed revenue</w:t>
            </w:r>
            <w:r w:rsidRPr="000672A9">
              <w:rPr>
                <w:rStyle w:val="FootnoteReference"/>
                <w:rFonts w:ascii="Calibri" w:eastAsia="Calibri" w:hAnsi="Calibri" w:cs="Calibri"/>
                <w:szCs w:val="22"/>
              </w:rPr>
              <w:footnoteReference w:id="19"/>
            </w:r>
          </w:p>
        </w:tc>
        <w:tc>
          <w:tcPr>
            <w:tcW w:w="0" w:type="auto"/>
            <w:shd w:val="clear" w:color="auto" w:fill="FFFFFF"/>
          </w:tcPr>
          <w:p w14:paraId="45932FD8" w14:textId="77777777" w:rsidR="006C6EEA" w:rsidRPr="000672A9" w:rsidRDefault="006C6EEA" w:rsidP="002D7C74">
            <w:pPr>
              <w:pStyle w:val="TableText"/>
              <w:spacing w:before="0" w:after="0"/>
              <w:rPr>
                <w:rFonts w:eastAsia="Calibri" w:cs="Calibri"/>
              </w:rPr>
            </w:pPr>
            <w:r w:rsidRPr="000672A9">
              <w:rPr>
                <w:rFonts w:eastAsia="Calibri" w:cs="Calibri"/>
              </w:rPr>
              <w:t>82%</w:t>
            </w:r>
          </w:p>
        </w:tc>
        <w:tc>
          <w:tcPr>
            <w:tcW w:w="0" w:type="auto"/>
            <w:shd w:val="clear" w:color="auto" w:fill="FFFFFF"/>
          </w:tcPr>
          <w:p w14:paraId="3A9F51D4" w14:textId="77777777" w:rsidR="006C6EEA" w:rsidRPr="000672A9" w:rsidRDefault="006C6EEA" w:rsidP="002D7C74">
            <w:pPr>
              <w:pStyle w:val="TableText"/>
              <w:spacing w:before="0" w:after="0"/>
              <w:rPr>
                <w:rFonts w:eastAsia="Calibri" w:cs="Calibri"/>
                <w:color w:val="808080"/>
              </w:rPr>
            </w:pPr>
            <w:r w:rsidRPr="000672A9">
              <w:rPr>
                <w:rFonts w:eastAsia="Calibri" w:cs="Calibri"/>
                <w:color w:val="808080"/>
              </w:rPr>
              <w:t>90%</w:t>
            </w:r>
          </w:p>
        </w:tc>
        <w:tc>
          <w:tcPr>
            <w:tcW w:w="0" w:type="auto"/>
            <w:shd w:val="clear" w:color="auto" w:fill="FFFFFF"/>
          </w:tcPr>
          <w:p w14:paraId="0D130796" w14:textId="77777777" w:rsidR="006C6EEA" w:rsidRPr="000672A9" w:rsidRDefault="006C6EEA" w:rsidP="002D7C74">
            <w:pPr>
              <w:pStyle w:val="TableText"/>
              <w:spacing w:before="0" w:after="0"/>
              <w:rPr>
                <w:rFonts w:eastAsia="Calibri" w:cs="Calibri"/>
              </w:rPr>
            </w:pPr>
          </w:p>
        </w:tc>
        <w:tc>
          <w:tcPr>
            <w:tcW w:w="0" w:type="auto"/>
            <w:shd w:val="clear" w:color="auto" w:fill="FFFFFF"/>
          </w:tcPr>
          <w:p w14:paraId="2E16C99A" w14:textId="77777777" w:rsidR="006C6EEA" w:rsidRPr="000672A9" w:rsidRDefault="006C6EEA" w:rsidP="002D7C74">
            <w:pPr>
              <w:pStyle w:val="TableText"/>
              <w:spacing w:before="0" w:after="0"/>
              <w:rPr>
                <w:rFonts w:eastAsia="Calibri" w:cs="Calibri"/>
                <w:color w:val="808080"/>
              </w:rPr>
            </w:pPr>
            <w:r w:rsidRPr="000672A9">
              <w:rPr>
                <w:rFonts w:eastAsia="Calibri" w:cs="Calibri"/>
                <w:color w:val="808080"/>
              </w:rPr>
              <w:t>92%</w:t>
            </w:r>
          </w:p>
        </w:tc>
        <w:tc>
          <w:tcPr>
            <w:tcW w:w="0" w:type="auto"/>
            <w:shd w:val="clear" w:color="auto" w:fill="FFFFFF"/>
          </w:tcPr>
          <w:p w14:paraId="3B40F70E" w14:textId="77777777" w:rsidR="006C6EEA" w:rsidRPr="000672A9" w:rsidRDefault="006C6EEA" w:rsidP="002D7C74">
            <w:pPr>
              <w:pStyle w:val="TableText"/>
              <w:spacing w:before="0" w:after="0"/>
              <w:rPr>
                <w:rFonts w:eastAsia="Calibri" w:cs="Calibri"/>
              </w:rPr>
            </w:pPr>
            <w:r w:rsidRPr="000672A9">
              <w:rPr>
                <w:rFonts w:eastAsia="Calibri" w:cs="Calibri"/>
              </w:rPr>
              <w:t>89%</w:t>
            </w:r>
          </w:p>
        </w:tc>
        <w:tc>
          <w:tcPr>
            <w:tcW w:w="0" w:type="auto"/>
            <w:shd w:val="clear" w:color="auto" w:fill="FFFFFF"/>
          </w:tcPr>
          <w:p w14:paraId="4652B352" w14:textId="77777777" w:rsidR="006C6EEA" w:rsidRPr="000672A9" w:rsidRDefault="006C6EEA" w:rsidP="002D7C74">
            <w:pPr>
              <w:pStyle w:val="TableText"/>
              <w:spacing w:before="0" w:after="0"/>
              <w:rPr>
                <w:rFonts w:eastAsia="Calibri" w:cs="Calibri"/>
              </w:rPr>
            </w:pPr>
            <w:r w:rsidRPr="000672A9">
              <w:rPr>
                <w:rFonts w:eastAsia="Calibri" w:cs="Calibri"/>
              </w:rPr>
              <w:t>105%</w:t>
            </w:r>
          </w:p>
        </w:tc>
      </w:tr>
      <w:tr w:rsidR="006C6EEA" w14:paraId="25033E6F" w14:textId="77777777" w:rsidTr="00D6592C">
        <w:tc>
          <w:tcPr>
            <w:tcW w:w="0" w:type="auto"/>
            <w:shd w:val="clear" w:color="auto" w:fill="FFFFFF"/>
          </w:tcPr>
          <w:p w14:paraId="7FC7DD14" w14:textId="77777777" w:rsidR="006C6EEA" w:rsidRPr="000672A9" w:rsidRDefault="006C6EEA" w:rsidP="002D7C74">
            <w:pPr>
              <w:pStyle w:val="TableText"/>
              <w:spacing w:before="0" w:after="0"/>
              <w:rPr>
                <w:rFonts w:eastAsia="Calibri" w:cs="Calibri"/>
              </w:rPr>
            </w:pPr>
            <w:r w:rsidRPr="000672A9">
              <w:rPr>
                <w:rFonts w:eastAsia="Calibri" w:cs="Calibri"/>
              </w:rPr>
              <w:t>Average collection rate within invoice period</w:t>
            </w:r>
          </w:p>
        </w:tc>
        <w:tc>
          <w:tcPr>
            <w:tcW w:w="0" w:type="auto"/>
            <w:shd w:val="clear" w:color="auto" w:fill="FFFFFF"/>
          </w:tcPr>
          <w:p w14:paraId="317957E8" w14:textId="77777777" w:rsidR="006C6EEA" w:rsidRPr="000672A9" w:rsidRDefault="006C6EEA" w:rsidP="002D7C74">
            <w:pPr>
              <w:pStyle w:val="TableText"/>
              <w:spacing w:before="0" w:after="0"/>
              <w:rPr>
                <w:rFonts w:eastAsia="Calibri" w:cs="Calibri"/>
              </w:rPr>
            </w:pPr>
          </w:p>
        </w:tc>
        <w:tc>
          <w:tcPr>
            <w:tcW w:w="0" w:type="auto"/>
            <w:shd w:val="clear" w:color="auto" w:fill="FFFFFF"/>
          </w:tcPr>
          <w:p w14:paraId="172E1AB4" w14:textId="77777777" w:rsidR="006C6EEA" w:rsidRPr="000672A9" w:rsidRDefault="006C6EEA" w:rsidP="002D7C74">
            <w:pPr>
              <w:pStyle w:val="TableText"/>
              <w:spacing w:before="0" w:after="0"/>
              <w:rPr>
                <w:rFonts w:eastAsia="Calibri" w:cs="Calibri"/>
                <w:color w:val="808080"/>
              </w:rPr>
            </w:pPr>
          </w:p>
        </w:tc>
        <w:tc>
          <w:tcPr>
            <w:tcW w:w="0" w:type="auto"/>
            <w:shd w:val="clear" w:color="auto" w:fill="FFFFFF"/>
          </w:tcPr>
          <w:p w14:paraId="5EC32070" w14:textId="77777777" w:rsidR="006C6EEA" w:rsidRPr="000672A9" w:rsidRDefault="006C6EEA" w:rsidP="002D7C74">
            <w:pPr>
              <w:pStyle w:val="TableText"/>
              <w:spacing w:before="0" w:after="0"/>
              <w:rPr>
                <w:rFonts w:eastAsia="Calibri" w:cs="Calibri"/>
              </w:rPr>
            </w:pPr>
          </w:p>
        </w:tc>
        <w:tc>
          <w:tcPr>
            <w:tcW w:w="0" w:type="auto"/>
            <w:shd w:val="clear" w:color="auto" w:fill="FFFFFF"/>
          </w:tcPr>
          <w:p w14:paraId="7EC0599A" w14:textId="77777777" w:rsidR="006C6EEA" w:rsidRPr="000672A9" w:rsidRDefault="006C6EEA" w:rsidP="002D7C74">
            <w:pPr>
              <w:pStyle w:val="TableText"/>
              <w:spacing w:before="0" w:after="0"/>
              <w:rPr>
                <w:rFonts w:eastAsia="Calibri" w:cs="Calibri"/>
                <w:color w:val="808080"/>
              </w:rPr>
            </w:pPr>
          </w:p>
        </w:tc>
        <w:tc>
          <w:tcPr>
            <w:tcW w:w="0" w:type="auto"/>
            <w:shd w:val="clear" w:color="auto" w:fill="FFFFFF"/>
          </w:tcPr>
          <w:p w14:paraId="343A5EE2" w14:textId="77777777" w:rsidR="006C6EEA" w:rsidRPr="000672A9" w:rsidRDefault="006C6EEA" w:rsidP="002D7C74">
            <w:pPr>
              <w:pStyle w:val="TableText"/>
              <w:spacing w:before="0" w:after="0"/>
              <w:rPr>
                <w:rFonts w:eastAsia="Calibri" w:cs="Calibri"/>
              </w:rPr>
            </w:pPr>
            <w:r w:rsidRPr="000672A9">
              <w:rPr>
                <w:rFonts w:eastAsia="Calibri" w:cs="Calibri"/>
              </w:rPr>
              <w:t>26%</w:t>
            </w:r>
            <w:r w:rsidR="00475934">
              <w:rPr>
                <w:rFonts w:eastAsia="Calibri" w:cs="Calibri"/>
                <w:vertAlign w:val="superscript"/>
              </w:rPr>
              <w:t>b</w:t>
            </w:r>
          </w:p>
        </w:tc>
        <w:tc>
          <w:tcPr>
            <w:tcW w:w="0" w:type="auto"/>
            <w:shd w:val="clear" w:color="auto" w:fill="FFFFFF"/>
          </w:tcPr>
          <w:p w14:paraId="3E56DA58" w14:textId="77777777" w:rsidR="006C6EEA" w:rsidRPr="000672A9" w:rsidRDefault="006C6EEA" w:rsidP="002D7C74">
            <w:pPr>
              <w:pStyle w:val="TableText"/>
              <w:spacing w:before="0" w:after="0"/>
              <w:rPr>
                <w:rFonts w:eastAsia="Calibri" w:cs="Calibri"/>
              </w:rPr>
            </w:pPr>
            <w:r w:rsidRPr="000672A9">
              <w:rPr>
                <w:rFonts w:eastAsia="Calibri" w:cs="Calibri"/>
              </w:rPr>
              <w:t>34%</w:t>
            </w:r>
            <w:r w:rsidR="00475934">
              <w:rPr>
                <w:rFonts w:eastAsia="Calibri" w:cs="Calibri"/>
                <w:vertAlign w:val="superscript"/>
              </w:rPr>
              <w:t>b</w:t>
            </w:r>
          </w:p>
        </w:tc>
      </w:tr>
      <w:tr w:rsidR="006C6EEA" w14:paraId="20347489" w14:textId="77777777" w:rsidTr="00D6592C">
        <w:tc>
          <w:tcPr>
            <w:tcW w:w="0" w:type="auto"/>
            <w:shd w:val="clear" w:color="auto" w:fill="FFFFFF"/>
          </w:tcPr>
          <w:p w14:paraId="087EE159" w14:textId="77777777" w:rsidR="006C6EEA" w:rsidRPr="000672A9" w:rsidRDefault="006C6EEA" w:rsidP="002D7C74">
            <w:pPr>
              <w:pStyle w:val="TableText"/>
              <w:spacing w:before="0" w:after="0"/>
              <w:rPr>
                <w:rFonts w:eastAsia="Calibri" w:cs="Calibri"/>
              </w:rPr>
            </w:pPr>
            <w:r w:rsidRPr="000672A9">
              <w:rPr>
                <w:rFonts w:eastAsia="Calibri" w:cs="Calibri"/>
              </w:rPr>
              <w:t>Accounts receivable (days)</w:t>
            </w:r>
            <w:r w:rsidRPr="000672A9">
              <w:rPr>
                <w:rStyle w:val="FootnoteReference"/>
                <w:rFonts w:ascii="Calibri" w:eastAsia="Calibri" w:hAnsi="Calibri" w:cs="Calibri"/>
                <w:szCs w:val="22"/>
              </w:rPr>
              <w:footnoteReference w:id="20"/>
            </w:r>
          </w:p>
        </w:tc>
        <w:tc>
          <w:tcPr>
            <w:tcW w:w="0" w:type="auto"/>
            <w:shd w:val="clear" w:color="auto" w:fill="FFFFFF"/>
          </w:tcPr>
          <w:p w14:paraId="0697CF94" w14:textId="77777777" w:rsidR="006C6EEA" w:rsidRPr="000672A9" w:rsidRDefault="006C6EEA" w:rsidP="002D7C74">
            <w:pPr>
              <w:pStyle w:val="TableText"/>
              <w:spacing w:before="0" w:after="0"/>
              <w:rPr>
                <w:rFonts w:eastAsia="Calibri" w:cs="Calibri"/>
              </w:rPr>
            </w:pPr>
            <w:r w:rsidRPr="000672A9">
              <w:rPr>
                <w:rFonts w:eastAsia="Calibri" w:cs="Calibri"/>
              </w:rPr>
              <w:t>92</w:t>
            </w:r>
          </w:p>
        </w:tc>
        <w:tc>
          <w:tcPr>
            <w:tcW w:w="0" w:type="auto"/>
            <w:shd w:val="clear" w:color="auto" w:fill="FFFFFF"/>
          </w:tcPr>
          <w:p w14:paraId="090315BE" w14:textId="77777777" w:rsidR="006C6EEA" w:rsidRPr="000672A9" w:rsidRDefault="006C6EEA" w:rsidP="002D7C74">
            <w:pPr>
              <w:pStyle w:val="TableText"/>
              <w:spacing w:before="0" w:after="0"/>
              <w:rPr>
                <w:rFonts w:eastAsia="Calibri" w:cs="Calibri"/>
                <w:color w:val="808080"/>
              </w:rPr>
            </w:pPr>
            <w:r w:rsidRPr="000672A9">
              <w:rPr>
                <w:rFonts w:eastAsia="Calibri" w:cs="Calibri"/>
                <w:color w:val="808080"/>
              </w:rPr>
              <w:t>88</w:t>
            </w:r>
          </w:p>
        </w:tc>
        <w:tc>
          <w:tcPr>
            <w:tcW w:w="0" w:type="auto"/>
            <w:shd w:val="clear" w:color="auto" w:fill="FFFFFF"/>
          </w:tcPr>
          <w:p w14:paraId="5665DD9C" w14:textId="77777777" w:rsidR="006C6EEA" w:rsidRPr="000672A9" w:rsidRDefault="006F5038" w:rsidP="002D7C74">
            <w:pPr>
              <w:pStyle w:val="TableText"/>
              <w:spacing w:before="0" w:after="0"/>
              <w:rPr>
                <w:rFonts w:eastAsia="Calibri" w:cs="Calibri"/>
              </w:rPr>
            </w:pPr>
            <w:r>
              <w:rPr>
                <w:rFonts w:eastAsia="Calibri" w:cs="Calibri"/>
              </w:rPr>
              <w:t>74</w:t>
            </w:r>
          </w:p>
        </w:tc>
        <w:tc>
          <w:tcPr>
            <w:tcW w:w="0" w:type="auto"/>
            <w:shd w:val="clear" w:color="auto" w:fill="FFFFFF"/>
          </w:tcPr>
          <w:p w14:paraId="1CF37D5F" w14:textId="77777777" w:rsidR="006C6EEA" w:rsidRPr="000672A9" w:rsidRDefault="006C6EEA" w:rsidP="002D7C74">
            <w:pPr>
              <w:pStyle w:val="TableText"/>
              <w:spacing w:before="0" w:after="0"/>
              <w:rPr>
                <w:rFonts w:eastAsia="Calibri" w:cs="Calibri"/>
                <w:color w:val="808080"/>
              </w:rPr>
            </w:pPr>
            <w:r w:rsidRPr="000672A9">
              <w:rPr>
                <w:rFonts w:eastAsia="Calibri" w:cs="Calibri"/>
                <w:color w:val="808080"/>
              </w:rPr>
              <w:t>85</w:t>
            </w:r>
          </w:p>
        </w:tc>
        <w:tc>
          <w:tcPr>
            <w:tcW w:w="0" w:type="auto"/>
            <w:shd w:val="clear" w:color="auto" w:fill="FFFFFF"/>
          </w:tcPr>
          <w:p w14:paraId="441D54DE" w14:textId="77777777" w:rsidR="006C6EEA" w:rsidRPr="000672A9" w:rsidRDefault="006F5038" w:rsidP="002D7C74">
            <w:pPr>
              <w:pStyle w:val="TableText"/>
              <w:spacing w:before="0" w:after="0"/>
              <w:rPr>
                <w:rFonts w:eastAsia="Calibri" w:cs="Calibri"/>
              </w:rPr>
            </w:pPr>
            <w:r>
              <w:rPr>
                <w:rFonts w:eastAsia="Calibri" w:cs="Calibri"/>
              </w:rPr>
              <w:t>63</w:t>
            </w:r>
          </w:p>
        </w:tc>
        <w:tc>
          <w:tcPr>
            <w:tcW w:w="0" w:type="auto"/>
            <w:shd w:val="clear" w:color="auto" w:fill="FFFFFF"/>
          </w:tcPr>
          <w:p w14:paraId="344D9AB2" w14:textId="77777777" w:rsidR="006C6EEA" w:rsidRPr="000672A9" w:rsidRDefault="006F5038" w:rsidP="002D7C74">
            <w:pPr>
              <w:pStyle w:val="TableText"/>
              <w:spacing w:before="0" w:after="0"/>
              <w:rPr>
                <w:rFonts w:eastAsia="Calibri" w:cs="Calibri"/>
              </w:rPr>
            </w:pPr>
            <w:r>
              <w:rPr>
                <w:rFonts w:eastAsia="Calibri" w:cs="Calibri"/>
              </w:rPr>
              <w:t>41</w:t>
            </w:r>
          </w:p>
        </w:tc>
      </w:tr>
    </w:tbl>
    <w:p w14:paraId="17676564" w14:textId="77777777" w:rsidR="00584EE3" w:rsidRDefault="00475934" w:rsidP="00475934">
      <w:pPr>
        <w:pStyle w:val="TFNoteSource"/>
      </w:pPr>
      <w:r>
        <w:rPr>
          <w:vertAlign w:val="superscript"/>
        </w:rPr>
        <w:t xml:space="preserve">a </w:t>
      </w:r>
      <w:r>
        <w:t>Program Steering Group Report, 30 September 2014</w:t>
      </w:r>
    </w:p>
    <w:p w14:paraId="24DEC360" w14:textId="6C5548F1" w:rsidR="00475934" w:rsidRPr="00503608" w:rsidRDefault="00475934" w:rsidP="00503608">
      <w:pPr>
        <w:pStyle w:val="TFNoteSource"/>
        <w:spacing w:after="120"/>
        <w:rPr>
          <w:rFonts w:eastAsia="Calibri"/>
          <w:vertAlign w:val="superscript"/>
          <w:lang w:val="en-NZ" w:eastAsia="en-US"/>
        </w:rPr>
      </w:pPr>
      <w:r>
        <w:rPr>
          <w:vertAlign w:val="superscript"/>
        </w:rPr>
        <w:t>b</w:t>
      </w:r>
      <w:r w:rsidRPr="00475934">
        <w:t xml:space="preserve"> </w:t>
      </w:r>
      <w:r>
        <w:t>Program Steering Group Report, 14 April 2016</w:t>
      </w:r>
    </w:p>
    <w:p w14:paraId="10FA0089" w14:textId="77777777" w:rsidR="00993653" w:rsidRDefault="009B1DBA" w:rsidP="003C32E5">
      <w:pPr>
        <w:rPr>
          <w:rFonts w:eastAsia="Calibri"/>
          <w:lang w:val="en-NZ" w:eastAsia="en-US"/>
        </w:rPr>
      </w:pPr>
      <w:r>
        <w:rPr>
          <w:rFonts w:eastAsia="Calibri"/>
          <w:lang w:val="en-NZ" w:eastAsia="en-US"/>
        </w:rPr>
        <w:lastRenderedPageBreak/>
        <w:t>T</w:t>
      </w:r>
      <w:r w:rsidR="009777AF">
        <w:rPr>
          <w:rFonts w:eastAsia="Calibri"/>
          <w:lang w:val="en-NZ" w:eastAsia="en-US"/>
        </w:rPr>
        <w:t>he Community Service Obligation (CSO)</w:t>
      </w:r>
      <w:r w:rsidR="00F868E3">
        <w:rPr>
          <w:rStyle w:val="FootnoteReference"/>
          <w:rFonts w:eastAsia="Calibri"/>
          <w:lang w:val="en-NZ" w:eastAsia="en-US"/>
        </w:rPr>
        <w:footnoteReference w:id="21"/>
      </w:r>
      <w:r w:rsidR="009777AF">
        <w:rPr>
          <w:rFonts w:eastAsia="Calibri"/>
          <w:lang w:val="en-NZ" w:eastAsia="en-US"/>
        </w:rPr>
        <w:t xml:space="preserve"> was not received from </w:t>
      </w:r>
      <w:r w:rsidR="001E0C3F">
        <w:rPr>
          <w:rFonts w:eastAsia="Calibri"/>
          <w:lang w:val="en-NZ" w:eastAsia="en-US"/>
        </w:rPr>
        <w:t xml:space="preserve">SIG </w:t>
      </w:r>
      <w:r w:rsidR="009777AF">
        <w:rPr>
          <w:rFonts w:eastAsia="Calibri"/>
          <w:lang w:val="en-NZ" w:eastAsia="en-US"/>
        </w:rPr>
        <w:t xml:space="preserve">in 2015 which would have helped cover losses experienced in the Provincial operations, although </w:t>
      </w:r>
      <w:r w:rsidR="000F3F15">
        <w:rPr>
          <w:rFonts w:eastAsia="Calibri"/>
          <w:lang w:val="en-NZ" w:eastAsia="en-US"/>
        </w:rPr>
        <w:t xml:space="preserve">a </w:t>
      </w:r>
      <w:r w:rsidR="00B24D60">
        <w:rPr>
          <w:rFonts w:eastAsia="Calibri"/>
          <w:lang w:val="en-NZ" w:eastAsia="en-US"/>
        </w:rPr>
        <w:t>SBD</w:t>
      </w:r>
      <w:r w:rsidR="009777AF">
        <w:rPr>
          <w:rFonts w:eastAsia="Calibri"/>
          <w:lang w:val="en-NZ" w:eastAsia="en-US"/>
        </w:rPr>
        <w:t xml:space="preserve"> 4.7 million CSO has been </w:t>
      </w:r>
      <w:r w:rsidR="00AD0262">
        <w:rPr>
          <w:rFonts w:eastAsia="Calibri"/>
          <w:lang w:val="en-NZ" w:eastAsia="en-US"/>
        </w:rPr>
        <w:t xml:space="preserve">committed </w:t>
      </w:r>
      <w:r w:rsidR="009777AF">
        <w:rPr>
          <w:rFonts w:eastAsia="Calibri"/>
          <w:lang w:val="en-NZ" w:eastAsia="en-US"/>
        </w:rPr>
        <w:t xml:space="preserve">for 2016.   </w:t>
      </w:r>
      <w:r w:rsidR="00DB6F4C">
        <w:rPr>
          <w:rFonts w:eastAsia="Calibri"/>
          <w:lang w:val="en-NZ" w:eastAsia="en-US"/>
        </w:rPr>
        <w:t xml:space="preserve"> </w:t>
      </w:r>
    </w:p>
    <w:p w14:paraId="61F34642" w14:textId="543726D2" w:rsidR="009777AF" w:rsidRPr="000F3F15" w:rsidRDefault="00750119" w:rsidP="003C32E5">
      <w:pPr>
        <w:rPr>
          <w:rFonts w:eastAsia="Calibri"/>
        </w:rPr>
      </w:pPr>
      <w:r>
        <w:rPr>
          <w:rFonts w:eastAsia="Calibri"/>
          <w:lang w:val="en-NZ" w:eastAsia="en-US"/>
        </w:rPr>
        <w:t>Steady c</w:t>
      </w:r>
      <w:r w:rsidR="009777AF">
        <w:rPr>
          <w:rFonts w:eastAsia="Calibri"/>
          <w:lang w:val="en-NZ" w:eastAsia="en-US"/>
        </w:rPr>
        <w:t xml:space="preserve">ash flow continues to be an on-going </w:t>
      </w:r>
      <w:r>
        <w:rPr>
          <w:rFonts w:eastAsia="Calibri"/>
          <w:lang w:val="en-NZ" w:eastAsia="en-US"/>
        </w:rPr>
        <w:t xml:space="preserve">issue for Solomon Water’s </w:t>
      </w:r>
      <w:r w:rsidR="009777AF">
        <w:rPr>
          <w:rFonts w:eastAsia="Calibri"/>
          <w:lang w:val="en-NZ" w:eastAsia="en-US"/>
        </w:rPr>
        <w:t xml:space="preserve">financial </w:t>
      </w:r>
      <w:r>
        <w:rPr>
          <w:rFonts w:eastAsia="Calibri"/>
          <w:lang w:val="en-NZ" w:eastAsia="en-US"/>
        </w:rPr>
        <w:t xml:space="preserve">stability. </w:t>
      </w:r>
      <w:r w:rsidR="00D447A1">
        <w:rPr>
          <w:rFonts w:eastAsia="Calibri"/>
          <w:lang w:val="en-NZ" w:eastAsia="en-US"/>
        </w:rPr>
        <w:t xml:space="preserve">‘Cash </w:t>
      </w:r>
      <w:r w:rsidR="009777AF">
        <w:rPr>
          <w:rFonts w:eastAsia="Calibri"/>
          <w:lang w:val="en-NZ" w:eastAsia="en-US"/>
        </w:rPr>
        <w:t>meters</w:t>
      </w:r>
      <w:r w:rsidR="00D447A1">
        <w:rPr>
          <w:rFonts w:eastAsia="Calibri"/>
          <w:lang w:val="en-NZ" w:eastAsia="en-US"/>
        </w:rPr>
        <w:t>’</w:t>
      </w:r>
      <w:r w:rsidR="009777AF">
        <w:rPr>
          <w:rFonts w:eastAsia="Calibri"/>
          <w:lang w:val="en-NZ" w:eastAsia="en-US"/>
        </w:rPr>
        <w:t xml:space="preserve"> are now being trialled which, if successful, could significantly </w:t>
      </w:r>
      <w:r w:rsidR="00D447A1">
        <w:rPr>
          <w:rFonts w:eastAsia="Calibri"/>
          <w:lang w:val="en-NZ" w:eastAsia="en-US"/>
        </w:rPr>
        <w:t xml:space="preserve">address Solomon Water’s </w:t>
      </w:r>
      <w:r w:rsidR="009777AF">
        <w:rPr>
          <w:rFonts w:eastAsia="Calibri"/>
          <w:lang w:val="en-NZ" w:eastAsia="en-US"/>
        </w:rPr>
        <w:t xml:space="preserve">cash flow </w:t>
      </w:r>
      <w:r w:rsidR="009777AF" w:rsidRPr="000F3F15">
        <w:rPr>
          <w:rFonts w:eastAsia="Calibri"/>
        </w:rPr>
        <w:t>situation.</w:t>
      </w:r>
      <w:r w:rsidR="000F3F15" w:rsidRPr="000F3F15">
        <w:rPr>
          <w:rFonts w:eastAsia="Calibri"/>
        </w:rPr>
        <w:t xml:space="preserve"> </w:t>
      </w:r>
      <w:r w:rsidR="000F3F15">
        <w:rPr>
          <w:rFonts w:eastAsia="Calibri"/>
        </w:rPr>
        <w:t>Most interviewees expressed</w:t>
      </w:r>
      <w:r w:rsidR="009777AF" w:rsidRPr="000F3F15">
        <w:rPr>
          <w:rFonts w:eastAsia="Calibri"/>
          <w:lang w:val="en-NZ" w:eastAsia="en-US"/>
        </w:rPr>
        <w:t xml:space="preserve"> strong support</w:t>
      </w:r>
      <w:r w:rsidR="000F3F15">
        <w:rPr>
          <w:rFonts w:eastAsia="Calibri"/>
          <w:lang w:val="en-NZ" w:eastAsia="en-US"/>
        </w:rPr>
        <w:t xml:space="preserve"> for </w:t>
      </w:r>
      <w:r w:rsidR="009777AF" w:rsidRPr="000F3F15">
        <w:rPr>
          <w:rFonts w:eastAsia="Calibri"/>
          <w:lang w:val="en-NZ" w:eastAsia="en-US"/>
        </w:rPr>
        <w:t xml:space="preserve">the introduction of </w:t>
      </w:r>
      <w:r w:rsidR="00D447A1">
        <w:rPr>
          <w:rFonts w:eastAsia="Calibri"/>
          <w:lang w:val="en-NZ" w:eastAsia="en-US"/>
        </w:rPr>
        <w:t xml:space="preserve">such </w:t>
      </w:r>
      <w:r w:rsidR="009777AF" w:rsidRPr="000F3F15">
        <w:rPr>
          <w:rFonts w:eastAsia="Calibri"/>
          <w:lang w:val="en-NZ" w:eastAsia="en-US"/>
        </w:rPr>
        <w:t>meters</w:t>
      </w:r>
      <w:r w:rsidR="000F3F15">
        <w:rPr>
          <w:rFonts w:eastAsia="Calibri"/>
          <w:lang w:val="en-NZ" w:eastAsia="en-US"/>
        </w:rPr>
        <w:t>, often referring to their positive experiences of Solomon Power</w:t>
      </w:r>
      <w:r w:rsidR="008B3158">
        <w:rPr>
          <w:rFonts w:eastAsia="Calibri"/>
          <w:lang w:val="en-NZ" w:eastAsia="en-US"/>
        </w:rPr>
        <w:t xml:space="preserve">’s </w:t>
      </w:r>
      <w:r w:rsidR="008B3158" w:rsidRPr="008B3158">
        <w:rPr>
          <w:rFonts w:eastAsia="Calibri"/>
          <w:i/>
          <w:lang w:val="en-NZ" w:eastAsia="en-US"/>
        </w:rPr>
        <w:t>Cashpower</w:t>
      </w:r>
      <w:r w:rsidR="008B3158">
        <w:rPr>
          <w:rFonts w:eastAsia="Calibri"/>
          <w:lang w:val="en-NZ" w:eastAsia="en-US"/>
        </w:rPr>
        <w:t xml:space="preserve"> meters</w:t>
      </w:r>
      <w:r w:rsidR="000F3F15">
        <w:rPr>
          <w:rFonts w:eastAsia="Calibri"/>
          <w:lang w:val="en-NZ" w:eastAsia="en-US"/>
        </w:rPr>
        <w:t xml:space="preserve">. </w:t>
      </w:r>
    </w:p>
    <w:p w14:paraId="4CDB3E8C" w14:textId="77777777" w:rsidR="00046940" w:rsidRDefault="00D63EF3" w:rsidP="00046940">
      <w:pPr>
        <w:pStyle w:val="Heading3"/>
        <w:rPr>
          <w:rFonts w:eastAsia="Calibri"/>
          <w:lang w:val="en-NZ" w:eastAsia="en-US"/>
        </w:rPr>
      </w:pPr>
      <w:r>
        <w:rPr>
          <w:rFonts w:eastAsia="Calibri"/>
          <w:lang w:val="en-NZ" w:eastAsia="en-US"/>
        </w:rPr>
        <w:t>3.1.</w:t>
      </w:r>
      <w:r w:rsidR="00046940">
        <w:rPr>
          <w:rFonts w:eastAsia="Calibri"/>
          <w:lang w:val="en-NZ" w:eastAsia="en-US"/>
        </w:rPr>
        <w:t>5</w:t>
      </w:r>
      <w:r w:rsidR="003C32E5">
        <w:rPr>
          <w:rFonts w:eastAsia="Calibri"/>
          <w:lang w:val="en-NZ" w:eastAsia="en-US"/>
        </w:rPr>
        <w:tab/>
      </w:r>
      <w:r w:rsidR="009777AF" w:rsidRPr="003C32E5">
        <w:rPr>
          <w:rFonts w:eastAsia="Calibri"/>
          <w:lang w:val="en-NZ" w:eastAsia="en-US"/>
        </w:rPr>
        <w:t>Improved organisational capacity</w:t>
      </w:r>
    </w:p>
    <w:p w14:paraId="11FB6245" w14:textId="77777777" w:rsidR="00C24166" w:rsidRDefault="00C24166" w:rsidP="00C24166">
      <w:pPr>
        <w:pStyle w:val="Heading4"/>
      </w:pPr>
      <w:r>
        <w:t>Progress against intended outcomes</w:t>
      </w:r>
    </w:p>
    <w:p w14:paraId="73F5A9A2" w14:textId="77777777" w:rsidR="00610392" w:rsidRDefault="00CE0D7B" w:rsidP="0085344C">
      <w:r w:rsidRPr="0071420B">
        <w:rPr>
          <w:rFonts w:eastAsia="Calibri"/>
          <w:lang w:val="en-NZ" w:eastAsia="en-US"/>
        </w:rPr>
        <w:t>S</w:t>
      </w:r>
      <w:r>
        <w:rPr>
          <w:rFonts w:eastAsia="Calibri"/>
          <w:lang w:val="en-NZ" w:eastAsia="en-US"/>
        </w:rPr>
        <w:t xml:space="preserve">olomon </w:t>
      </w:r>
      <w:r w:rsidRPr="0071420B">
        <w:rPr>
          <w:rFonts w:eastAsia="Calibri"/>
          <w:lang w:val="en-NZ" w:eastAsia="en-US"/>
        </w:rPr>
        <w:t>W</w:t>
      </w:r>
      <w:r>
        <w:rPr>
          <w:rFonts w:eastAsia="Calibri"/>
          <w:lang w:val="en-NZ" w:eastAsia="en-US"/>
        </w:rPr>
        <w:t>ater</w:t>
      </w:r>
      <w:r w:rsidRPr="0071420B">
        <w:rPr>
          <w:rFonts w:eastAsia="Calibri"/>
          <w:lang w:val="en-NZ" w:eastAsia="en-US"/>
        </w:rPr>
        <w:t xml:space="preserve"> has come through a tumultuous period of significant change</w:t>
      </w:r>
      <w:r>
        <w:rPr>
          <w:rFonts w:eastAsia="Calibri"/>
          <w:lang w:val="en-NZ" w:eastAsia="en-US"/>
        </w:rPr>
        <w:t xml:space="preserve"> in the recent past</w:t>
      </w:r>
      <w:r w:rsidRPr="0071420B">
        <w:rPr>
          <w:rFonts w:eastAsia="Calibri"/>
          <w:lang w:val="en-NZ" w:eastAsia="en-US"/>
        </w:rPr>
        <w:t>.</w:t>
      </w:r>
      <w:r>
        <w:rPr>
          <w:rFonts w:eastAsia="Calibri"/>
          <w:lang w:val="en-NZ" w:eastAsia="en-US"/>
        </w:rPr>
        <w:t xml:space="preserve"> Major disruptions such as trade u</w:t>
      </w:r>
      <w:r w:rsidRPr="0071420B">
        <w:rPr>
          <w:rFonts w:eastAsia="Calibri"/>
          <w:lang w:val="en-NZ" w:eastAsia="en-US"/>
        </w:rPr>
        <w:t xml:space="preserve">nion </w:t>
      </w:r>
      <w:r>
        <w:rPr>
          <w:rFonts w:eastAsia="Calibri"/>
          <w:lang w:val="en-NZ" w:eastAsia="en-US"/>
        </w:rPr>
        <w:t xml:space="preserve">disputes </w:t>
      </w:r>
      <w:r w:rsidRPr="0071420B">
        <w:rPr>
          <w:rFonts w:eastAsia="Calibri"/>
          <w:lang w:val="en-NZ" w:eastAsia="en-US"/>
        </w:rPr>
        <w:t>and</w:t>
      </w:r>
      <w:r>
        <w:rPr>
          <w:rFonts w:eastAsia="Calibri"/>
          <w:lang w:val="en-NZ" w:eastAsia="en-US"/>
        </w:rPr>
        <w:t xml:space="preserve"> significant</w:t>
      </w:r>
      <w:r w:rsidRPr="0071420B">
        <w:rPr>
          <w:rFonts w:eastAsia="Calibri"/>
          <w:lang w:val="en-NZ" w:eastAsia="en-US"/>
        </w:rPr>
        <w:t xml:space="preserve"> gaps in senior management were not </w:t>
      </w:r>
      <w:r>
        <w:rPr>
          <w:rFonts w:eastAsia="Calibri"/>
          <w:lang w:val="en-NZ" w:eastAsia="en-US"/>
        </w:rPr>
        <w:t xml:space="preserve">anticipated </w:t>
      </w:r>
      <w:r w:rsidRPr="0071420B">
        <w:rPr>
          <w:rFonts w:eastAsia="Calibri"/>
          <w:lang w:val="en-NZ" w:eastAsia="en-US"/>
        </w:rPr>
        <w:t>when the elements to strengthen org</w:t>
      </w:r>
      <w:r>
        <w:rPr>
          <w:rFonts w:eastAsia="Calibri"/>
          <w:lang w:val="en-NZ" w:eastAsia="en-US"/>
        </w:rPr>
        <w:t>anisational</w:t>
      </w:r>
      <w:r w:rsidRPr="0071420B">
        <w:rPr>
          <w:rFonts w:eastAsia="Calibri"/>
          <w:lang w:val="en-NZ" w:eastAsia="en-US"/>
        </w:rPr>
        <w:t xml:space="preserve"> capacity </w:t>
      </w:r>
      <w:r>
        <w:rPr>
          <w:rFonts w:eastAsia="Calibri"/>
          <w:lang w:val="en-NZ" w:eastAsia="en-US"/>
        </w:rPr>
        <w:t xml:space="preserve">were being designed </w:t>
      </w:r>
      <w:r w:rsidRPr="0071420B">
        <w:rPr>
          <w:rFonts w:eastAsia="Calibri"/>
          <w:lang w:val="en-NZ" w:eastAsia="en-US"/>
        </w:rPr>
        <w:t>under the Development Plan.</w:t>
      </w:r>
      <w:r>
        <w:rPr>
          <w:rFonts w:eastAsia="Calibri"/>
          <w:lang w:val="en-NZ" w:eastAsia="en-US"/>
        </w:rPr>
        <w:t xml:space="preserve"> It is therefore not surprising that </w:t>
      </w:r>
      <w:r>
        <w:rPr>
          <w:b/>
        </w:rPr>
        <w:t>s</w:t>
      </w:r>
      <w:r w:rsidR="00C24166" w:rsidRPr="0085344C">
        <w:rPr>
          <w:b/>
        </w:rPr>
        <w:t xml:space="preserve">trengthening </w:t>
      </w:r>
      <w:r w:rsidR="00EF4D36" w:rsidRPr="0085344C">
        <w:rPr>
          <w:b/>
        </w:rPr>
        <w:t xml:space="preserve">human resource </w:t>
      </w:r>
      <w:r w:rsidR="005B7ED0">
        <w:rPr>
          <w:b/>
        </w:rPr>
        <w:t xml:space="preserve">(HR) </w:t>
      </w:r>
      <w:r w:rsidR="00EF4D36" w:rsidRPr="0085344C">
        <w:rPr>
          <w:b/>
        </w:rPr>
        <w:t>management</w:t>
      </w:r>
      <w:r w:rsidR="0085344C">
        <w:t xml:space="preserve"> within Solomon Water has </w:t>
      </w:r>
      <w:r w:rsidR="005B7ED0">
        <w:t xml:space="preserve">not </w:t>
      </w:r>
      <w:r w:rsidR="00CC7E00">
        <w:t xml:space="preserve">fully </w:t>
      </w:r>
      <w:r w:rsidR="005B7ED0">
        <w:t>progressed according to the original intentions set out in the Development Plan. The development of a HR plan</w:t>
      </w:r>
      <w:r w:rsidR="005B7ED0">
        <w:rPr>
          <w:rStyle w:val="FootnoteReference"/>
        </w:rPr>
        <w:footnoteReference w:id="22"/>
      </w:r>
      <w:r w:rsidR="00610392">
        <w:t xml:space="preserve"> did not occur. The lack of the HR plan, combined with </w:t>
      </w:r>
      <w:r>
        <w:t xml:space="preserve">the </w:t>
      </w:r>
      <w:r w:rsidR="00610392">
        <w:t xml:space="preserve">other factors </w:t>
      </w:r>
      <w:r>
        <w:t>mentioned above</w:t>
      </w:r>
      <w:r w:rsidR="00610392">
        <w:t xml:space="preserve">, meant </w:t>
      </w:r>
      <w:r w:rsidR="005B7ED0">
        <w:t xml:space="preserve">subsequent recruitment, training, retirement and career/succession plans </w:t>
      </w:r>
      <w:r w:rsidR="00610392">
        <w:t xml:space="preserve">also </w:t>
      </w:r>
      <w:r w:rsidR="005B7ED0">
        <w:t xml:space="preserve">did not </w:t>
      </w:r>
      <w:r w:rsidR="00EA696B">
        <w:t>occur</w:t>
      </w:r>
      <w:r w:rsidR="00610392">
        <w:t xml:space="preserve"> as intended</w:t>
      </w:r>
      <w:r w:rsidR="005B7ED0">
        <w:t>.</w:t>
      </w:r>
      <w:r w:rsidR="003B2D21">
        <w:t xml:space="preserve"> </w:t>
      </w:r>
    </w:p>
    <w:p w14:paraId="3279B160" w14:textId="3A543081" w:rsidR="00925E2A" w:rsidRDefault="00032F3B" w:rsidP="0085344C">
      <w:r>
        <w:t>Learning and development</w:t>
      </w:r>
      <w:r w:rsidR="00CE0D7B">
        <w:t xml:space="preserve"> activities under the Development Plan have </w:t>
      </w:r>
      <w:r>
        <w:t>been of an ad-hoc</w:t>
      </w:r>
      <w:r w:rsidR="00CE0D7B">
        <w:t xml:space="preserve"> and </w:t>
      </w:r>
      <w:r>
        <w:t xml:space="preserve">opportunistic nature. </w:t>
      </w:r>
      <w:r w:rsidR="00610392">
        <w:t>A basic training plan was developed, though it was not</w:t>
      </w:r>
      <w:r w:rsidR="00CE0D7B">
        <w:t xml:space="preserve"> substantively</w:t>
      </w:r>
      <w:r w:rsidR="00610392">
        <w:t xml:space="preserve"> implemented</w:t>
      </w:r>
      <w:r>
        <w:t xml:space="preserve">. </w:t>
      </w:r>
      <w:r w:rsidR="00CE0D7B">
        <w:t>A range of</w:t>
      </w:r>
      <w:r w:rsidR="00304A58">
        <w:t xml:space="preserve"> formal and on-the-job</w:t>
      </w:r>
      <w:r w:rsidR="00CE0D7B">
        <w:t xml:space="preserve"> </w:t>
      </w:r>
      <w:r>
        <w:t xml:space="preserve">training has occurred under the Development </w:t>
      </w:r>
      <w:r w:rsidR="00932B41">
        <w:t>Plan</w:t>
      </w:r>
      <w:r>
        <w:t xml:space="preserve"> and through assistance from other donors (</w:t>
      </w:r>
      <w:r w:rsidR="00D9624C">
        <w:t xml:space="preserve">Appendix </w:t>
      </w:r>
      <w:r w:rsidR="00017608">
        <w:t>F</w:t>
      </w:r>
      <w:r>
        <w:t>).</w:t>
      </w:r>
      <w:r w:rsidR="00925E2A">
        <w:t xml:space="preserve"> </w:t>
      </w:r>
    </w:p>
    <w:p w14:paraId="01967DBB" w14:textId="35D7E1FB" w:rsidR="003B2D21" w:rsidRPr="00C24166" w:rsidRDefault="00925E2A" w:rsidP="003B2D21">
      <w:r>
        <w:t>Much of the training is related to core functions of various roles throughout Solomon Water, and the evaluation team heard from some staff about the effectiveness of some of the training, for example, JICA’s on-the-job technical skills strengthening. The evaluation also heard of the benefits of the leadership training delivered by the Australia-Pacific Technical College in helping create linkages and networks between Solomon Water staff and other organisations. Despite a high turnover of staff</w:t>
      </w:r>
      <w:r w:rsidR="00A813F5">
        <w:t xml:space="preserve"> in 2015</w:t>
      </w:r>
      <w:r>
        <w:t>, many of the key technical positions in Solomon Water continue to be filled by personnel who have benefitted from training</w:t>
      </w:r>
      <w:r w:rsidR="00A813F5">
        <w:t xml:space="preserve"> under the Development Plan</w:t>
      </w:r>
      <w:r>
        <w:t>.</w:t>
      </w:r>
      <w:r w:rsidR="003B2D21">
        <w:t xml:space="preserve"> However, the evaluation heard t</w:t>
      </w:r>
      <w:r w:rsidR="003B2D21" w:rsidRPr="003436E0">
        <w:t xml:space="preserve">he unavailability of suitable, technically qualified staff </w:t>
      </w:r>
      <w:r w:rsidR="003B2D21">
        <w:t xml:space="preserve">continues to </w:t>
      </w:r>
      <w:r w:rsidR="003B2D21" w:rsidRPr="003436E0">
        <w:t>affect Solomon Water operations and organisational capacity</w:t>
      </w:r>
      <w:r w:rsidR="003B2D21">
        <w:t>.</w:t>
      </w:r>
      <w:r w:rsidR="00141439">
        <w:t xml:space="preserve"> This situation is not unique to Solomon Water</w:t>
      </w:r>
      <w:r w:rsidR="00ED2F76">
        <w:rPr>
          <w:rStyle w:val="FootnoteReference"/>
        </w:rPr>
        <w:footnoteReference w:id="23"/>
      </w:r>
      <w:r w:rsidR="00ED2F76">
        <w:t xml:space="preserve">. </w:t>
      </w:r>
      <w:r w:rsidR="00A813F5">
        <w:t xml:space="preserve">    </w:t>
      </w:r>
      <w:r w:rsidR="003B2D21">
        <w:t xml:space="preserve"> </w:t>
      </w:r>
    </w:p>
    <w:p w14:paraId="1EE7DA43" w14:textId="77777777" w:rsidR="00CC36DB" w:rsidRDefault="00D128E1" w:rsidP="00925E2A">
      <w:r>
        <w:t>U</w:t>
      </w:r>
      <w:r w:rsidR="00032F3B">
        <w:t>s</w:t>
      </w:r>
      <w:r>
        <w:t xml:space="preserve">ing </w:t>
      </w:r>
      <w:r w:rsidR="00032F3B">
        <w:t xml:space="preserve">short term </w:t>
      </w:r>
      <w:r>
        <w:t xml:space="preserve">advisers </w:t>
      </w:r>
      <w:r w:rsidR="00925E2A">
        <w:t xml:space="preserve">to deliver training has not been effective, with little progress made in this area. </w:t>
      </w:r>
      <w:r w:rsidR="001A603F">
        <w:t xml:space="preserve"> To be effective, </w:t>
      </w:r>
      <w:r>
        <w:t xml:space="preserve">this training </w:t>
      </w:r>
      <w:r w:rsidR="001A603F">
        <w:t>need</w:t>
      </w:r>
      <w:r>
        <w:t>ed</w:t>
      </w:r>
      <w:r w:rsidR="001A603F">
        <w:t xml:space="preserve"> to be very specific </w:t>
      </w:r>
      <w:r w:rsidR="00FD38E2">
        <w:t>with technology transfer provided to specific recipients. This did not appear to occur</w:t>
      </w:r>
      <w:r>
        <w:t>,</w:t>
      </w:r>
      <w:r w:rsidR="00FD38E2">
        <w:t xml:space="preserve"> for example with the network modelling where skills were not adequately transferred.</w:t>
      </w:r>
      <w:r>
        <w:t xml:space="preserve"> </w:t>
      </w:r>
    </w:p>
    <w:p w14:paraId="056217D9" w14:textId="3FACF882" w:rsidR="008C6E59" w:rsidRDefault="005E3AF8" w:rsidP="00925E2A">
      <w:r>
        <w:t xml:space="preserve">Solomon Water is </w:t>
      </w:r>
      <w:r w:rsidR="00032F3B" w:rsidRPr="00925E2A">
        <w:t>us</w:t>
      </w:r>
      <w:r>
        <w:t>ing</w:t>
      </w:r>
      <w:r w:rsidR="00032F3B" w:rsidRPr="00925E2A">
        <w:t xml:space="preserve"> suppliers to deliver training as part of their contracts</w:t>
      </w:r>
      <w:r>
        <w:t xml:space="preserve"> </w:t>
      </w:r>
      <w:r w:rsidR="00925E2A">
        <w:t xml:space="preserve">– </w:t>
      </w:r>
      <w:r w:rsidR="00377A66">
        <w:t>for example, t</w:t>
      </w:r>
      <w:r w:rsidR="00377A66" w:rsidRPr="008C6E59">
        <w:t xml:space="preserve">raining to strengthen </w:t>
      </w:r>
      <w:r>
        <w:t xml:space="preserve">the </w:t>
      </w:r>
      <w:r w:rsidR="00377A66" w:rsidRPr="008C6E59">
        <w:t>capacity of NRW task force</w:t>
      </w:r>
      <w:r w:rsidR="00377A66">
        <w:t xml:space="preserve">. </w:t>
      </w:r>
      <w:r w:rsidR="00377A66" w:rsidRPr="008C6E59">
        <w:t xml:space="preserve"> </w:t>
      </w:r>
      <w:r w:rsidR="00377A66">
        <w:t>I</w:t>
      </w:r>
      <w:r w:rsidR="00925E2A">
        <w:t xml:space="preserve">t is too early </w:t>
      </w:r>
      <w:r w:rsidR="00377A66">
        <w:t xml:space="preserve">however </w:t>
      </w:r>
      <w:r w:rsidR="00925E2A">
        <w:t>to make</w:t>
      </w:r>
      <w:r w:rsidR="00377A66">
        <w:t xml:space="preserve"> definitive</w:t>
      </w:r>
      <w:r w:rsidR="00925E2A">
        <w:t xml:space="preserve"> judgements about th</w:t>
      </w:r>
      <w:r w:rsidR="00377A66">
        <w:t xml:space="preserve">e effectiveness of this </w:t>
      </w:r>
      <w:r w:rsidR="00925E2A">
        <w:t xml:space="preserve">model as key </w:t>
      </w:r>
      <w:r w:rsidR="00377A66">
        <w:t>training</w:t>
      </w:r>
      <w:r>
        <w:t xml:space="preserve"> activities</w:t>
      </w:r>
      <w:r w:rsidR="00377A66">
        <w:t xml:space="preserve">, such as training </w:t>
      </w:r>
      <w:r w:rsidR="008C6E59" w:rsidRPr="008C6E59">
        <w:t xml:space="preserve">electronic technicians </w:t>
      </w:r>
      <w:r w:rsidR="001E0C3F">
        <w:lastRenderedPageBreak/>
        <w:t>in</w:t>
      </w:r>
      <w:r w:rsidR="001E0C3F" w:rsidRPr="001E0C3F">
        <w:t xml:space="preserve"> </w:t>
      </w:r>
      <w:r w:rsidR="001E0C3F" w:rsidRPr="008C6E59">
        <w:t xml:space="preserve">the </w:t>
      </w:r>
      <w:r w:rsidR="00815FC8" w:rsidRPr="00EC2DBA">
        <w:t xml:space="preserve">Supervisory Control </w:t>
      </w:r>
      <w:r w:rsidR="00815FC8">
        <w:t>a</w:t>
      </w:r>
      <w:r w:rsidR="00815FC8" w:rsidRPr="00EC2DBA">
        <w:t xml:space="preserve">nd Data Acquisition </w:t>
      </w:r>
      <w:r w:rsidR="00815FC8">
        <w:t>(</w:t>
      </w:r>
      <w:r w:rsidR="008C6E59" w:rsidRPr="008C6E59">
        <w:t>SCADA</w:t>
      </w:r>
      <w:r w:rsidR="00815FC8">
        <w:t>)</w:t>
      </w:r>
      <w:r w:rsidR="008C6E59" w:rsidRPr="008C6E59">
        <w:t xml:space="preserve"> system</w:t>
      </w:r>
      <w:r w:rsidR="00377A66">
        <w:t xml:space="preserve"> and </w:t>
      </w:r>
      <w:r w:rsidR="00DD40C7">
        <w:t>t</w:t>
      </w:r>
      <w:r w:rsidR="008C6E59" w:rsidRPr="008C6E59">
        <w:t>raining of supervisors in quality pipeline construction and repair</w:t>
      </w:r>
      <w:r>
        <w:t>,</w:t>
      </w:r>
      <w:r w:rsidR="008C6E59" w:rsidRPr="008C6E59">
        <w:t xml:space="preserve"> </w:t>
      </w:r>
      <w:r w:rsidR="00377A66">
        <w:t xml:space="preserve">are yet to occur. </w:t>
      </w:r>
    </w:p>
    <w:p w14:paraId="1F399A0E" w14:textId="15DE0ABB" w:rsidR="003927CD" w:rsidRPr="008C6E59" w:rsidRDefault="003927CD" w:rsidP="00925E2A">
      <w:r>
        <w:t>Progress in relation to occupational health, safety and welfare policies is lacking</w:t>
      </w:r>
      <w:r w:rsidR="00AE74D7">
        <w:t>. P</w:t>
      </w:r>
      <w:r>
        <w:t xml:space="preserve">lanned short term advisory support </w:t>
      </w:r>
      <w:r w:rsidR="00AE74D7">
        <w:t xml:space="preserve">was </w:t>
      </w:r>
      <w:r>
        <w:t>not fielded</w:t>
      </w:r>
      <w:r w:rsidR="00AE74D7">
        <w:t>, instead responsibility for occupational health, safety and welfare policies was incorporated into the responsibilities of an existing adviser. However, time constraints and competing priorities have resulted in the deferral of activities such as the Workplace and Safety Manual. Occupational health, safety and welfare policies</w:t>
      </w:r>
      <w:r>
        <w:t xml:space="preserve"> remain a priority area for Solomon Water to address in future.  </w:t>
      </w:r>
    </w:p>
    <w:p w14:paraId="7FD7CF3A" w14:textId="77777777" w:rsidR="00750E3A" w:rsidRDefault="00750E3A" w:rsidP="00750E3A">
      <w:r>
        <w:t xml:space="preserve">The most progress has been with </w:t>
      </w:r>
      <w:r w:rsidRPr="00750E3A">
        <w:rPr>
          <w:b/>
        </w:rPr>
        <w:t xml:space="preserve">improving </w:t>
      </w:r>
      <w:r w:rsidR="00C24166" w:rsidRPr="00750E3A">
        <w:rPr>
          <w:b/>
        </w:rPr>
        <w:t>organisational effectiveness</w:t>
      </w:r>
      <w:r w:rsidRPr="00750E3A">
        <w:rPr>
          <w:b/>
        </w:rPr>
        <w:t>,</w:t>
      </w:r>
      <w:r w:rsidR="00C24166" w:rsidRPr="00750E3A">
        <w:rPr>
          <w:b/>
        </w:rPr>
        <w:t xml:space="preserve"> and </w:t>
      </w:r>
      <w:r w:rsidRPr="00750E3A">
        <w:rPr>
          <w:b/>
        </w:rPr>
        <w:t>a</w:t>
      </w:r>
      <w:r w:rsidR="00C24166" w:rsidRPr="00750E3A">
        <w:rPr>
          <w:b/>
        </w:rPr>
        <w:t xml:space="preserve">ssets and </w:t>
      </w:r>
      <w:r w:rsidRPr="00750E3A">
        <w:rPr>
          <w:b/>
        </w:rPr>
        <w:t>f</w:t>
      </w:r>
      <w:r w:rsidR="00C24166" w:rsidRPr="00750E3A">
        <w:rPr>
          <w:b/>
        </w:rPr>
        <w:t>acilities</w:t>
      </w:r>
      <w:r>
        <w:rPr>
          <w:b/>
        </w:rPr>
        <w:t>:</w:t>
      </w:r>
    </w:p>
    <w:p w14:paraId="1535D135" w14:textId="41C66C7B" w:rsidR="001E0C3F" w:rsidRPr="00A23D92" w:rsidRDefault="001E0C3F" w:rsidP="001E0C3F">
      <w:pPr>
        <w:pStyle w:val="Bullet"/>
      </w:pPr>
      <w:r w:rsidRPr="00A23D92">
        <w:t>Asset management –</w:t>
      </w:r>
      <w:r>
        <w:t xml:space="preserve"> </w:t>
      </w:r>
      <w:r w:rsidRPr="00A23D92">
        <w:t xml:space="preserve">some progress </w:t>
      </w:r>
      <w:r>
        <w:t xml:space="preserve">is </w:t>
      </w:r>
      <w:r w:rsidRPr="00A23D92">
        <w:t xml:space="preserve">being made </w:t>
      </w:r>
      <w:r>
        <w:t>in regard</w:t>
      </w:r>
      <w:r w:rsidR="00947238">
        <w:t>s</w:t>
      </w:r>
      <w:r>
        <w:t xml:space="preserve"> to</w:t>
      </w:r>
      <w:r w:rsidRPr="00A23D92">
        <w:t xml:space="preserve"> management of both infrastructure and business assets. An asset management plan has not yet been fully devised and implemented. However, </w:t>
      </w:r>
      <w:r>
        <w:t>the re</w:t>
      </w:r>
      <w:r w:rsidRPr="00A23D92">
        <w:t xml:space="preserve">valuation </w:t>
      </w:r>
      <w:r>
        <w:t xml:space="preserve">of assets undertaken </w:t>
      </w:r>
      <w:r w:rsidRPr="00A23D92">
        <w:t xml:space="preserve">in 2015 </w:t>
      </w:r>
      <w:r>
        <w:t xml:space="preserve">has </w:t>
      </w:r>
      <w:r w:rsidRPr="00A23D92">
        <w:t xml:space="preserve">provided Solomon Water with a complete list of assets </w:t>
      </w:r>
      <w:r>
        <w:t xml:space="preserve">which </w:t>
      </w:r>
      <w:r w:rsidRPr="00A23D92">
        <w:t>will support the foundation work for asset management systems</w:t>
      </w:r>
      <w:r w:rsidR="00BB337F">
        <w:t xml:space="preserve"> and an asset management system is planned to be introduced later in 2016.</w:t>
      </w:r>
      <w:r w:rsidRPr="00A23D92">
        <w:t xml:space="preserve"> </w:t>
      </w:r>
    </w:p>
    <w:p w14:paraId="4CA79420" w14:textId="21CBAF84" w:rsidR="001E0C3F" w:rsidRPr="00A23D92" w:rsidRDefault="001E0C3F" w:rsidP="001E0C3F">
      <w:pPr>
        <w:pStyle w:val="Bullet"/>
      </w:pPr>
      <w:r w:rsidRPr="00A23D92">
        <w:t>Rather than designing and building a new billing system, Solomon Water took a more cost effective and efficient option of cleaning the existing databases and upgrading the existing system. Simple enhancements to existing functionality have allowed Solomon Water to ma</w:t>
      </w:r>
      <w:r w:rsidR="00AB066C">
        <w:t>k</w:t>
      </w:r>
      <w:r w:rsidRPr="00A23D92">
        <w:t>e quick improvements in areas such as email</w:t>
      </w:r>
      <w:r w:rsidR="00AC1E09">
        <w:t xml:space="preserve">ing invoices </w:t>
      </w:r>
      <w:r w:rsidR="00051C2D">
        <w:t>and the printing of a water mark “overdue” on customer invoices</w:t>
      </w:r>
      <w:r w:rsidRPr="00A23D92">
        <w:t xml:space="preserve">. </w:t>
      </w:r>
    </w:p>
    <w:p w14:paraId="53EA8077" w14:textId="77777777" w:rsidR="001E0C3F" w:rsidRPr="00A45A64" w:rsidRDefault="001E0C3F" w:rsidP="001E0C3F">
      <w:pPr>
        <w:pStyle w:val="Bullet"/>
      </w:pPr>
      <w:r w:rsidRPr="00A45A64">
        <w:t>Solomon Water has increased capacity to receive and respond to customer complaints through its new automated call system and after hours contact service. The customer relations management system, implemented at the beginning o</w:t>
      </w:r>
      <w:r>
        <w:t>f</w:t>
      </w:r>
      <w:r w:rsidRPr="00A45A64">
        <w:t xml:space="preserve"> 2016, allows for recording and tracking of complaints. This is an important first step for Solomon Water to efficiently manage complaints and further improve its customer care. </w:t>
      </w:r>
    </w:p>
    <w:p w14:paraId="664F4432" w14:textId="5899B395" w:rsidR="001E0C3F" w:rsidRPr="00B23E8A" w:rsidRDefault="001E0C3F" w:rsidP="002451B5">
      <w:pPr>
        <w:pStyle w:val="Bullet"/>
      </w:pPr>
      <w:r w:rsidRPr="00FD5686">
        <w:t xml:space="preserve">A range of </w:t>
      </w:r>
      <w:r w:rsidR="002451B5">
        <w:t>information and technology (IT)</w:t>
      </w:r>
      <w:r w:rsidRPr="00FD5686">
        <w:t xml:space="preserve"> equipment </w:t>
      </w:r>
      <w:r w:rsidR="00AC1E09">
        <w:t xml:space="preserve">was </w:t>
      </w:r>
      <w:r w:rsidRPr="00FD5686">
        <w:t xml:space="preserve">procured to support core functions and provide effective back-up capacity for Solomon Water, particularly in the event of disasters or disruptions to business. </w:t>
      </w:r>
      <w:r>
        <w:t>The f</w:t>
      </w:r>
      <w:r w:rsidRPr="00FD5686">
        <w:t>it</w:t>
      </w:r>
      <w:r>
        <w:t>-</w:t>
      </w:r>
      <w:r w:rsidRPr="00FD5686">
        <w:t xml:space="preserve">out of a new office in </w:t>
      </w:r>
      <w:r>
        <w:t>central Honiara</w:t>
      </w:r>
      <w:r w:rsidRPr="00FD5686">
        <w:t xml:space="preserve"> has provided improved office space for the finance, administration, communication and customer care units of Solomon Water</w:t>
      </w:r>
      <w:r>
        <w:t xml:space="preserve"> and includes features for improving efficiency, such as a basic</w:t>
      </w:r>
      <w:r w:rsidRPr="00FD5686">
        <w:t xml:space="preserve"> biometric system for staff to sign in/out. In addition to the benefits for Solomon Water employees, customers interviewed noted the advantages to having a more readily accessible </w:t>
      </w:r>
      <w:r w:rsidR="00C0626E">
        <w:t>Solomon Water</w:t>
      </w:r>
      <w:r w:rsidRPr="00FD5686">
        <w:t xml:space="preserve"> office in town</w:t>
      </w:r>
      <w:r>
        <w:t xml:space="preserve"> where they can pay bills and lodge requests</w:t>
      </w:r>
      <w:r w:rsidR="004E3899">
        <w:t xml:space="preserve"> or </w:t>
      </w:r>
      <w:r>
        <w:t>complaints</w:t>
      </w:r>
      <w:r w:rsidRPr="00FD5686">
        <w:t>.</w:t>
      </w:r>
      <w:r>
        <w:t xml:space="preserve"> Notwithstanding these improvements, Solomon Water faces longer-term issues with its physical premises, such as the poor condition of its </w:t>
      </w:r>
      <w:r w:rsidRPr="00B23E8A">
        <w:t>operations depot and the lack of suitable central stores</w:t>
      </w:r>
      <w:r w:rsidR="004E3899">
        <w:t xml:space="preserve">. </w:t>
      </w:r>
      <w:r w:rsidRPr="00B23E8A">
        <w:t>A project to refurbish the Mataniko depot to a</w:t>
      </w:r>
      <w:r w:rsidR="00AB066C">
        <w:t>ddress the</w:t>
      </w:r>
      <w:r w:rsidRPr="00B23E8A">
        <w:t>s</w:t>
      </w:r>
      <w:r w:rsidR="00AB066C">
        <w:t>e</w:t>
      </w:r>
      <w:r w:rsidRPr="00B23E8A">
        <w:t xml:space="preserve"> issues is in the planning stage, with options for the site to be reported in mid-2016. </w:t>
      </w:r>
    </w:p>
    <w:p w14:paraId="09F832BF" w14:textId="77777777" w:rsidR="001E0C3F" w:rsidRDefault="001E0C3F" w:rsidP="004E3899">
      <w:pPr>
        <w:pStyle w:val="BulletLast"/>
      </w:pPr>
      <w:r>
        <w:t>Solomon Water staff noted the 19 v</w:t>
      </w:r>
      <w:r w:rsidRPr="005F2A60">
        <w:t>ehicles</w:t>
      </w:r>
      <w:r w:rsidR="0000035F">
        <w:t>, complete</w:t>
      </w:r>
      <w:r w:rsidR="00A948DB">
        <w:t xml:space="preserve"> with tracking devices to monitor use, </w:t>
      </w:r>
      <w:r w:rsidR="0000035F">
        <w:t xml:space="preserve">purchased </w:t>
      </w:r>
      <w:r w:rsidR="00B05FA5">
        <w:t>under the Development Plan</w:t>
      </w:r>
      <w:r>
        <w:t xml:space="preserve"> has had a noticeable impact on their ability to undertake their core tasks. </w:t>
      </w:r>
    </w:p>
    <w:p w14:paraId="11BF712D" w14:textId="7DEBCB71" w:rsidR="00CC7E00" w:rsidRDefault="00CC7E00" w:rsidP="00CC7E00">
      <w:r>
        <w:t xml:space="preserve">The Development Plan’s support for </w:t>
      </w:r>
      <w:r w:rsidRPr="00360207">
        <w:rPr>
          <w:b/>
        </w:rPr>
        <w:t>strengthening corporate management</w:t>
      </w:r>
      <w:r w:rsidRPr="00C24166">
        <w:t xml:space="preserve"> </w:t>
      </w:r>
      <w:r>
        <w:t xml:space="preserve">through the provision </w:t>
      </w:r>
      <w:r w:rsidR="00932B41">
        <w:t>of in</w:t>
      </w:r>
      <w:r w:rsidR="00AD62D2">
        <w:t xml:space="preserve">-line </w:t>
      </w:r>
      <w:r>
        <w:t>positions (General Manager</w:t>
      </w:r>
      <w:r w:rsidR="00AD62D2">
        <w:t xml:space="preserve"> and</w:t>
      </w:r>
      <w:r>
        <w:t xml:space="preserve"> Finance and Administration Manager) has enabled change processes to be successfully implemented. However, many stakeholders interviewed remarked that the gap between the previous and current General Manager</w:t>
      </w:r>
      <w:r w:rsidR="004E3899">
        <w:t xml:space="preserve"> </w:t>
      </w:r>
      <w:r>
        <w:t>had a significant and detrimental impact on Solomon Water</w:t>
      </w:r>
      <w:r w:rsidR="002E0593">
        <w:t xml:space="preserve"> (and its</w:t>
      </w:r>
      <w:r>
        <w:t xml:space="preserve"> ability to continue its progress under the Development Plan</w:t>
      </w:r>
      <w:r w:rsidR="002E0593">
        <w:t>)</w:t>
      </w:r>
      <w:r>
        <w:t xml:space="preserve">. </w:t>
      </w:r>
    </w:p>
    <w:p w14:paraId="78659021" w14:textId="30915F46" w:rsidR="003B2D21" w:rsidRDefault="005938ED" w:rsidP="005938ED">
      <w:r w:rsidRPr="003436E0">
        <w:t xml:space="preserve">Some of the proposed capacity building outputs of the Development Plan have not </w:t>
      </w:r>
      <w:r>
        <w:t xml:space="preserve">provided their intended benefits, for example strengthening staff capability in </w:t>
      </w:r>
      <w:r w:rsidRPr="003436E0">
        <w:t xml:space="preserve">network analysis. </w:t>
      </w:r>
      <w:r>
        <w:t xml:space="preserve">This is an example </w:t>
      </w:r>
      <w:r>
        <w:lastRenderedPageBreak/>
        <w:t xml:space="preserve">of where </w:t>
      </w:r>
      <w:r w:rsidR="007E0739">
        <w:t xml:space="preserve">Solomon Water could consider outsourcing highly </w:t>
      </w:r>
      <w:r>
        <w:t xml:space="preserve">specialised technical </w:t>
      </w:r>
      <w:r w:rsidR="007E0739">
        <w:t xml:space="preserve">functions rather than building </w:t>
      </w:r>
      <w:r>
        <w:t>internal capacity.</w:t>
      </w:r>
      <w:r w:rsidR="00CC36DB">
        <w:t xml:space="preserve"> There was also no evidence of any useable output from s</w:t>
      </w:r>
      <w:r w:rsidR="00717848">
        <w:t>hort-term advisory assistance for procurement improvements</w:t>
      </w:r>
      <w:r w:rsidR="00CC36DB">
        <w:t xml:space="preserve">. </w:t>
      </w:r>
      <w:r w:rsidR="00717848">
        <w:t xml:space="preserve">A Procurement Manual is currently being prepared with support from the Maintenance Adviser. </w:t>
      </w:r>
    </w:p>
    <w:p w14:paraId="6B573873" w14:textId="77777777" w:rsidR="00C24166" w:rsidRDefault="00C24166" w:rsidP="00C24166">
      <w:pPr>
        <w:pStyle w:val="Heading4"/>
      </w:pPr>
      <w:r>
        <w:t>Future focus for strengthening Solomon Water’s organisational capacity</w:t>
      </w:r>
    </w:p>
    <w:p w14:paraId="0C1D745D" w14:textId="77777777" w:rsidR="001479DD" w:rsidRDefault="00C95922" w:rsidP="001479DD">
      <w:r>
        <w:t xml:space="preserve">The implementation of the capacity building elements of the Development Plan came after heavy restructuring of Solomon Water during the RAP period. Solomon Water is now looking at a slower path of organisational change focused on consolidating changes and enhancing professionalism. </w:t>
      </w:r>
      <w:r w:rsidR="00304A58">
        <w:t xml:space="preserve">Around 37 job descriptions have been completed, covering just over 80 roles within the organisation. </w:t>
      </w:r>
    </w:p>
    <w:p w14:paraId="21C37447" w14:textId="77777777" w:rsidR="00F06743" w:rsidRDefault="00C95922" w:rsidP="0071420B">
      <w:pPr>
        <w:rPr>
          <w:rFonts w:eastAsia="Calibri"/>
          <w:lang w:val="en-NZ" w:eastAsia="en-US"/>
        </w:rPr>
      </w:pPr>
      <w:r>
        <w:t xml:space="preserve">The </w:t>
      </w:r>
      <w:r w:rsidR="00F06743">
        <w:t>consolidation</w:t>
      </w:r>
      <w:r>
        <w:t xml:space="preserve"> of these </w:t>
      </w:r>
      <w:r w:rsidRPr="003436E0">
        <w:t xml:space="preserve">organisational </w:t>
      </w:r>
      <w:r>
        <w:t xml:space="preserve">changes will take considerable time as Solomon Water has a number of areas that </w:t>
      </w:r>
      <w:r w:rsidRPr="003436E0">
        <w:t>are still being developed</w:t>
      </w:r>
      <w:r w:rsidR="00F06743">
        <w:t>,</w:t>
      </w:r>
      <w:r w:rsidRPr="003436E0">
        <w:t xml:space="preserve"> but improved capability is noted in areas such as finance and billing; customer care; operations and maintenance. </w:t>
      </w:r>
      <w:r>
        <w:t xml:space="preserve">Encouragingly, many Solomon Water staff and a range of other stakeholders talked of an increase in staff morale which is </w:t>
      </w:r>
      <w:r w:rsidR="001E0C3F">
        <w:rPr>
          <w:noProof/>
        </w:rPr>
        <w:t>translating to better performance and better public perceptions of the organisation</w:t>
      </w:r>
      <w:r>
        <w:t xml:space="preserve">. </w:t>
      </w:r>
      <w:r w:rsidR="0071420B" w:rsidRPr="0071420B">
        <w:rPr>
          <w:rFonts w:eastAsia="Calibri"/>
          <w:lang w:val="en-NZ" w:eastAsia="en-US"/>
        </w:rPr>
        <w:t>S</w:t>
      </w:r>
      <w:r>
        <w:rPr>
          <w:rFonts w:eastAsia="Calibri"/>
          <w:lang w:val="en-NZ" w:eastAsia="en-US"/>
        </w:rPr>
        <w:t xml:space="preserve">olomon </w:t>
      </w:r>
      <w:r w:rsidR="0071420B" w:rsidRPr="0071420B">
        <w:rPr>
          <w:rFonts w:eastAsia="Calibri"/>
          <w:lang w:val="en-NZ" w:eastAsia="en-US"/>
        </w:rPr>
        <w:t>W</w:t>
      </w:r>
      <w:r>
        <w:rPr>
          <w:rFonts w:eastAsia="Calibri"/>
          <w:lang w:val="en-NZ" w:eastAsia="en-US"/>
        </w:rPr>
        <w:t>ater</w:t>
      </w:r>
      <w:r w:rsidR="0071420B" w:rsidRPr="0071420B">
        <w:rPr>
          <w:rFonts w:eastAsia="Calibri"/>
          <w:lang w:val="en-NZ" w:eastAsia="en-US"/>
        </w:rPr>
        <w:t xml:space="preserve"> </w:t>
      </w:r>
      <w:r>
        <w:rPr>
          <w:rFonts w:eastAsia="Calibri"/>
          <w:lang w:val="en-NZ" w:eastAsia="en-US"/>
        </w:rPr>
        <w:t xml:space="preserve">is </w:t>
      </w:r>
      <w:r w:rsidR="0071420B" w:rsidRPr="0071420B">
        <w:rPr>
          <w:rFonts w:eastAsia="Calibri"/>
          <w:lang w:val="en-NZ" w:eastAsia="en-US"/>
        </w:rPr>
        <w:t xml:space="preserve">in a position to consolidate and build on its stronger organisational platform. </w:t>
      </w:r>
    </w:p>
    <w:p w14:paraId="36835DF6" w14:textId="625095A4" w:rsidR="0071420B" w:rsidRPr="0071420B" w:rsidRDefault="00C95922" w:rsidP="0071420B">
      <w:pPr>
        <w:rPr>
          <w:rFonts w:eastAsia="Calibri"/>
          <w:lang w:val="en-NZ" w:eastAsia="en-US"/>
        </w:rPr>
      </w:pPr>
      <w:r>
        <w:rPr>
          <w:rFonts w:eastAsia="Calibri"/>
          <w:lang w:val="en-NZ" w:eastAsia="en-US"/>
        </w:rPr>
        <w:t>Success</w:t>
      </w:r>
      <w:r w:rsidR="003E5F90">
        <w:rPr>
          <w:rFonts w:eastAsia="Calibri"/>
          <w:lang w:val="en-NZ" w:eastAsia="en-US"/>
        </w:rPr>
        <w:t>ful</w:t>
      </w:r>
      <w:r>
        <w:rPr>
          <w:rFonts w:eastAsia="Calibri"/>
          <w:lang w:val="en-NZ" w:eastAsia="en-US"/>
        </w:rPr>
        <w:t xml:space="preserve"> strengthening of Solomon Water’s organisational capacity in future </w:t>
      </w:r>
      <w:r w:rsidR="003E5F90">
        <w:rPr>
          <w:rFonts w:eastAsia="Calibri"/>
          <w:lang w:val="en-NZ" w:eastAsia="en-US"/>
        </w:rPr>
        <w:t>will require a</w:t>
      </w:r>
      <w:r>
        <w:rPr>
          <w:rFonts w:eastAsia="Calibri"/>
          <w:lang w:val="en-NZ" w:eastAsia="en-US"/>
        </w:rPr>
        <w:t xml:space="preserve"> focus on</w:t>
      </w:r>
      <w:r w:rsidR="005B6CFF">
        <w:rPr>
          <w:rFonts w:eastAsia="Calibri"/>
          <w:lang w:val="en-NZ" w:eastAsia="en-US"/>
        </w:rPr>
        <w:t xml:space="preserve"> </w:t>
      </w:r>
      <w:r w:rsidR="003E5F90">
        <w:rPr>
          <w:rFonts w:eastAsia="Calibri"/>
          <w:lang w:val="en-NZ" w:eastAsia="en-US"/>
        </w:rPr>
        <w:t xml:space="preserve">the following </w:t>
      </w:r>
      <w:r w:rsidR="005B6CFF">
        <w:rPr>
          <w:rFonts w:eastAsia="Calibri"/>
          <w:lang w:val="en-NZ" w:eastAsia="en-US"/>
        </w:rPr>
        <w:t>key areas (many of which are already underway)</w:t>
      </w:r>
      <w:r>
        <w:rPr>
          <w:rFonts w:eastAsia="Calibri"/>
          <w:lang w:val="en-NZ" w:eastAsia="en-US"/>
        </w:rPr>
        <w:t xml:space="preserve">: </w:t>
      </w:r>
    </w:p>
    <w:p w14:paraId="68B86BD3" w14:textId="275A2637" w:rsidR="00046940" w:rsidRDefault="00046940" w:rsidP="00046940">
      <w:pPr>
        <w:pStyle w:val="BulletLast"/>
      </w:pPr>
      <w:r w:rsidRPr="003436E0">
        <w:t>Finalising</w:t>
      </w:r>
      <w:r w:rsidR="005B6CFF">
        <w:t xml:space="preserve"> the</w:t>
      </w:r>
      <w:r w:rsidRPr="003436E0">
        <w:t xml:space="preserve"> organisational</w:t>
      </w:r>
      <w:r>
        <w:t xml:space="preserve"> structure</w:t>
      </w:r>
      <w:r w:rsidRPr="003436E0">
        <w:t xml:space="preserve"> and </w:t>
      </w:r>
      <w:r w:rsidR="005B6CFF">
        <w:t>complet</w:t>
      </w:r>
      <w:r w:rsidR="00F06743">
        <w:t>ing</w:t>
      </w:r>
      <w:r w:rsidR="005B6CFF">
        <w:t xml:space="preserve"> </w:t>
      </w:r>
      <w:r w:rsidRPr="003436E0">
        <w:t>workforce planning</w:t>
      </w:r>
      <w:r w:rsidR="00F06743">
        <w:t xml:space="preserve"> - </w:t>
      </w:r>
      <w:r w:rsidR="003E5F90">
        <w:t>t</w:t>
      </w:r>
      <w:r w:rsidR="005B6CFF">
        <w:t>he overall architecture of the organisation needs to be bedded down. Solomon Water is building a solid understanding of appropriate job roles/sizes and related remuneration packages. Further work is needed on</w:t>
      </w:r>
      <w:r w:rsidR="00FA0B85">
        <w:t xml:space="preserve"> ensuring the organisational structure support</w:t>
      </w:r>
      <w:r w:rsidR="003E5F90">
        <w:t>s</w:t>
      </w:r>
      <w:r w:rsidR="00FA0B85">
        <w:t xml:space="preserve"> new work practices deriving from operational changes (e.g. </w:t>
      </w:r>
      <w:r w:rsidR="00F06743">
        <w:t xml:space="preserve">the </w:t>
      </w:r>
      <w:r w:rsidR="00FA0B85">
        <w:t xml:space="preserve">SCADA </w:t>
      </w:r>
      <w:r w:rsidR="00F06743">
        <w:t xml:space="preserve">system </w:t>
      </w:r>
      <w:r w:rsidR="00FA0B85">
        <w:t>and NRW)</w:t>
      </w:r>
      <w:r w:rsidR="00E12322">
        <w:t>.</w:t>
      </w:r>
    </w:p>
    <w:p w14:paraId="060D661B" w14:textId="77777777" w:rsidR="00A43B73" w:rsidRDefault="00E41508" w:rsidP="00A43B73">
      <w:pPr>
        <w:pStyle w:val="Bullet"/>
      </w:pPr>
      <w:r>
        <w:t xml:space="preserve">Focusing on management, leadership and incentives/deterrents to </w:t>
      </w:r>
      <w:r w:rsidRPr="00E41508">
        <w:t>professionalis</w:t>
      </w:r>
      <w:r>
        <w:t xml:space="preserve">e Solomon Water’s work culture. </w:t>
      </w:r>
      <w:r w:rsidR="00046940" w:rsidRPr="003436E0">
        <w:t>Identifying a range of professional development strategies to address the different capacity cons</w:t>
      </w:r>
      <w:r w:rsidR="00415F3B">
        <w:t>traints across the organisation and support changes in workplace culture</w:t>
      </w:r>
      <w:r>
        <w:t xml:space="preserve">. </w:t>
      </w:r>
      <w:r w:rsidR="00A43B73" w:rsidRPr="003436E0">
        <w:t>Implementing an effective training plan (which ideally would be linked to the performance management system).</w:t>
      </w:r>
      <w:r w:rsidR="003C2412" w:rsidRPr="003C2412">
        <w:t xml:space="preserve"> </w:t>
      </w:r>
      <w:r w:rsidR="003C2412">
        <w:t>More emphasis could also be placed on coaching and mentoring in providing for organisation capacity building and sustainability</w:t>
      </w:r>
      <w:r w:rsidR="00947238">
        <w:t>.</w:t>
      </w:r>
    </w:p>
    <w:p w14:paraId="4B12D53A" w14:textId="77777777" w:rsidR="00A43B73" w:rsidRPr="003436E0" w:rsidRDefault="00A43B73" w:rsidP="00A43B73">
      <w:pPr>
        <w:pStyle w:val="Bullet"/>
      </w:pPr>
      <w:r w:rsidRPr="003436E0">
        <w:t>Building contract and project management capability (to be developed in-house or outsourced)</w:t>
      </w:r>
      <w:r>
        <w:t>. E</w:t>
      </w:r>
      <w:r w:rsidRPr="003436E0">
        <w:t>nhancing procurement</w:t>
      </w:r>
      <w:r>
        <w:t xml:space="preserve"> policy and practice, </w:t>
      </w:r>
      <w:r w:rsidRPr="003436E0">
        <w:t>and operations and maintenance planning, budgeting and implementation.</w:t>
      </w:r>
      <w:r>
        <w:t xml:space="preserve"> </w:t>
      </w:r>
    </w:p>
    <w:p w14:paraId="2C8AED7C" w14:textId="77777777" w:rsidR="00EB2111" w:rsidRDefault="00EB2111" w:rsidP="00EB2111">
      <w:pPr>
        <w:pStyle w:val="BulletLast"/>
      </w:pPr>
      <w:r w:rsidRPr="00F469F8">
        <w:t>Annual plans for</w:t>
      </w:r>
      <w:r>
        <w:t xml:space="preserve"> operation and maintenance activities and estimates prepared based on prioritised work items, placed in the annual budgets and the </w:t>
      </w:r>
      <w:r w:rsidR="00AF1CB8">
        <w:t>Operations and Management</w:t>
      </w:r>
      <w:r>
        <w:t xml:space="preserve"> Division held accountable for expenses in accordance with budget.</w:t>
      </w:r>
    </w:p>
    <w:p w14:paraId="68C57899" w14:textId="77777777" w:rsidR="00046940" w:rsidRDefault="00D63EF3" w:rsidP="00046940">
      <w:pPr>
        <w:pStyle w:val="Heading3"/>
        <w:rPr>
          <w:rFonts w:eastAsia="Calibri"/>
          <w:lang w:val="en-NZ" w:eastAsia="en-US"/>
        </w:rPr>
      </w:pPr>
      <w:r>
        <w:rPr>
          <w:rFonts w:eastAsia="Calibri"/>
          <w:lang w:val="en-NZ" w:eastAsia="en-US"/>
        </w:rPr>
        <w:t>3.1.</w:t>
      </w:r>
      <w:r w:rsidR="00046940">
        <w:rPr>
          <w:rFonts w:eastAsia="Calibri"/>
          <w:lang w:val="en-NZ" w:eastAsia="en-US"/>
        </w:rPr>
        <w:t>6</w:t>
      </w:r>
      <w:r w:rsidR="003C32E5">
        <w:rPr>
          <w:rFonts w:eastAsia="Calibri"/>
          <w:lang w:val="en-NZ" w:eastAsia="en-US"/>
        </w:rPr>
        <w:tab/>
      </w:r>
      <w:r w:rsidR="009777AF" w:rsidRPr="003C32E5">
        <w:rPr>
          <w:rFonts w:eastAsia="Calibri"/>
          <w:lang w:val="en-NZ" w:eastAsia="en-US"/>
        </w:rPr>
        <w:t>Improved Strategic Planning</w:t>
      </w:r>
    </w:p>
    <w:p w14:paraId="7AB07B84" w14:textId="77777777" w:rsidR="009777AF" w:rsidRDefault="009777AF" w:rsidP="003C32E5">
      <w:pPr>
        <w:rPr>
          <w:rFonts w:eastAsia="Calibri"/>
          <w:lang w:val="en-NZ" w:eastAsia="en-US"/>
        </w:rPr>
      </w:pPr>
      <w:r>
        <w:rPr>
          <w:rFonts w:eastAsia="Calibri"/>
          <w:lang w:val="en-NZ" w:eastAsia="en-US"/>
        </w:rPr>
        <w:t xml:space="preserve">The </w:t>
      </w:r>
      <w:r w:rsidR="00E12034">
        <w:rPr>
          <w:rFonts w:eastAsia="Calibri"/>
          <w:lang w:val="en-NZ" w:eastAsia="en-US"/>
        </w:rPr>
        <w:t>Development Plan</w:t>
      </w:r>
      <w:r>
        <w:rPr>
          <w:rFonts w:eastAsia="Calibri"/>
          <w:lang w:val="en-NZ" w:eastAsia="en-US"/>
        </w:rPr>
        <w:t xml:space="preserve"> proposed the following strategic planning initiatives:</w:t>
      </w:r>
    </w:p>
    <w:p w14:paraId="5F7F7368" w14:textId="77777777" w:rsidR="009777AF" w:rsidRDefault="009777AF" w:rsidP="003C32E5">
      <w:pPr>
        <w:pStyle w:val="Bullet"/>
        <w:rPr>
          <w:rFonts w:eastAsia="Calibri"/>
          <w:lang w:val="en-NZ" w:eastAsia="en-US"/>
        </w:rPr>
      </w:pPr>
      <w:r>
        <w:rPr>
          <w:rFonts w:eastAsia="Calibri"/>
          <w:lang w:val="en-NZ" w:eastAsia="en-US"/>
        </w:rPr>
        <w:t xml:space="preserve">Five Year Strategic Plan for Solomon Water development, including improvements in the operations in Provincial </w:t>
      </w:r>
      <w:r w:rsidR="00F86CB0" w:rsidRPr="00F86CB0">
        <w:rPr>
          <w:rFonts w:eastAsia="Calibri"/>
          <w:lang w:eastAsia="en-US"/>
        </w:rPr>
        <w:t>Centres</w:t>
      </w:r>
    </w:p>
    <w:p w14:paraId="377B51BF" w14:textId="77777777" w:rsidR="009777AF" w:rsidRDefault="009777AF" w:rsidP="003C32E5">
      <w:pPr>
        <w:pStyle w:val="Bullet"/>
        <w:rPr>
          <w:rFonts w:eastAsia="Calibri"/>
          <w:lang w:val="en-NZ" w:eastAsia="en-US"/>
        </w:rPr>
      </w:pPr>
      <w:r>
        <w:rPr>
          <w:rFonts w:eastAsia="Calibri"/>
          <w:lang w:val="en-NZ" w:eastAsia="en-US"/>
        </w:rPr>
        <w:t>Water Sector Master Plan for Honiara</w:t>
      </w:r>
    </w:p>
    <w:p w14:paraId="10FBD49F" w14:textId="77777777" w:rsidR="009777AF" w:rsidRDefault="009777AF" w:rsidP="003C32E5">
      <w:pPr>
        <w:pStyle w:val="Bullet"/>
        <w:rPr>
          <w:rFonts w:eastAsia="Calibri"/>
          <w:lang w:val="en-NZ" w:eastAsia="en-US"/>
        </w:rPr>
      </w:pPr>
      <w:r>
        <w:rPr>
          <w:rFonts w:eastAsia="Calibri"/>
          <w:lang w:val="en-NZ" w:eastAsia="en-US"/>
        </w:rPr>
        <w:t>Master Plan for Municipal Wastewater Collection and Treatment</w:t>
      </w:r>
    </w:p>
    <w:p w14:paraId="28188F23" w14:textId="77777777" w:rsidR="009777AF" w:rsidRDefault="009777AF" w:rsidP="003C32E5">
      <w:pPr>
        <w:pStyle w:val="Bullet"/>
        <w:rPr>
          <w:rFonts w:eastAsia="Calibri"/>
          <w:lang w:val="en-NZ" w:eastAsia="en-US"/>
        </w:rPr>
      </w:pPr>
      <w:r>
        <w:rPr>
          <w:rFonts w:eastAsia="Calibri"/>
          <w:lang w:val="en-NZ" w:eastAsia="en-US"/>
        </w:rPr>
        <w:t>Strategy for institutional arrangements for Solomon Water including options available for private sector involvement</w:t>
      </w:r>
    </w:p>
    <w:p w14:paraId="5137EE1B" w14:textId="77777777" w:rsidR="009777AF" w:rsidRDefault="009777AF" w:rsidP="003C32E5">
      <w:pPr>
        <w:pStyle w:val="BulletLast"/>
        <w:rPr>
          <w:rFonts w:eastAsia="Calibri"/>
          <w:lang w:val="en-NZ" w:eastAsia="en-US"/>
        </w:rPr>
      </w:pPr>
      <w:r>
        <w:rPr>
          <w:rFonts w:eastAsia="Calibri"/>
          <w:lang w:val="en-NZ" w:eastAsia="en-US"/>
        </w:rPr>
        <w:lastRenderedPageBreak/>
        <w:t>Water Regulation and Tariff Reform Study.</w:t>
      </w:r>
    </w:p>
    <w:p w14:paraId="69B66B15" w14:textId="77777777" w:rsidR="009777AF" w:rsidRPr="003C32E5" w:rsidRDefault="009777AF" w:rsidP="003C32E5">
      <w:r w:rsidRPr="003C32E5">
        <w:t>Solomon Water is currently in the tendering process for the following:</w:t>
      </w:r>
    </w:p>
    <w:p w14:paraId="1636E657" w14:textId="77777777" w:rsidR="009777AF" w:rsidRDefault="009777AF" w:rsidP="003C32E5">
      <w:pPr>
        <w:pStyle w:val="Bullet"/>
        <w:rPr>
          <w:rFonts w:eastAsia="Calibri"/>
          <w:lang w:val="en-NZ" w:eastAsia="en-US"/>
        </w:rPr>
      </w:pPr>
      <w:r>
        <w:rPr>
          <w:rFonts w:eastAsia="Calibri"/>
          <w:lang w:val="en-NZ" w:eastAsia="en-US"/>
        </w:rPr>
        <w:t xml:space="preserve">30 Year Strategic Plan (2017-2047) for </w:t>
      </w:r>
      <w:r w:rsidR="00C0626E">
        <w:rPr>
          <w:rFonts w:eastAsia="Calibri"/>
          <w:lang w:val="en-NZ" w:eastAsia="en-US"/>
        </w:rPr>
        <w:t>Solomon Water</w:t>
      </w:r>
      <w:r>
        <w:rPr>
          <w:rFonts w:eastAsia="Calibri"/>
          <w:lang w:val="en-NZ" w:eastAsia="en-US"/>
        </w:rPr>
        <w:t>’s continued development as a SOE to meet the projected demands for drinking water supply and wastewater management services.</w:t>
      </w:r>
    </w:p>
    <w:p w14:paraId="532F45AF" w14:textId="77777777" w:rsidR="009777AF" w:rsidRDefault="009777AF" w:rsidP="003C32E5">
      <w:pPr>
        <w:pStyle w:val="Bullet"/>
        <w:rPr>
          <w:rFonts w:eastAsia="Calibri"/>
          <w:lang w:val="en-NZ" w:eastAsia="en-US"/>
        </w:rPr>
      </w:pPr>
      <w:r>
        <w:rPr>
          <w:rFonts w:eastAsia="Calibri"/>
          <w:lang w:val="en-NZ" w:eastAsia="en-US"/>
        </w:rPr>
        <w:t xml:space="preserve">5 Year Action Plan for 2017-2022 as the first </w:t>
      </w:r>
      <w:r w:rsidR="00E918FA">
        <w:rPr>
          <w:rFonts w:eastAsia="Calibri"/>
          <w:lang w:val="en-NZ" w:eastAsia="en-US"/>
        </w:rPr>
        <w:t xml:space="preserve">stage </w:t>
      </w:r>
      <w:r>
        <w:rPr>
          <w:rFonts w:eastAsia="Calibri"/>
          <w:lang w:val="en-NZ" w:eastAsia="en-US"/>
        </w:rPr>
        <w:t>of implementing the Strategic Plan.</w:t>
      </w:r>
    </w:p>
    <w:p w14:paraId="57913F9C" w14:textId="77777777" w:rsidR="009777AF" w:rsidRDefault="009777AF" w:rsidP="003C32E5">
      <w:pPr>
        <w:pStyle w:val="BulletLast"/>
        <w:rPr>
          <w:rFonts w:eastAsia="Calibri"/>
          <w:lang w:val="en-NZ" w:eastAsia="en-US"/>
        </w:rPr>
      </w:pPr>
      <w:r>
        <w:rPr>
          <w:rFonts w:eastAsia="Calibri"/>
          <w:lang w:val="en-NZ" w:eastAsia="en-US"/>
        </w:rPr>
        <w:t>Tariff review, including the development of a tariff model for ongoing use by S</w:t>
      </w:r>
      <w:r w:rsidR="00FD1A90">
        <w:rPr>
          <w:rFonts w:eastAsia="Calibri"/>
          <w:lang w:val="en-NZ" w:eastAsia="en-US"/>
        </w:rPr>
        <w:t>olomon Water</w:t>
      </w:r>
      <w:r>
        <w:rPr>
          <w:rFonts w:eastAsia="Calibri"/>
          <w:lang w:val="en-NZ" w:eastAsia="en-US"/>
        </w:rPr>
        <w:t>.</w:t>
      </w:r>
    </w:p>
    <w:p w14:paraId="7A42393B" w14:textId="77777777" w:rsidR="009777AF" w:rsidRPr="00C5560F" w:rsidRDefault="009777AF" w:rsidP="003C32E5">
      <w:pPr>
        <w:rPr>
          <w:rFonts w:eastAsia="Calibri"/>
          <w:lang w:val="en-NZ" w:eastAsia="en-US"/>
        </w:rPr>
      </w:pPr>
      <w:r w:rsidRPr="003C32E5">
        <w:t xml:space="preserve">This work is expected to commence by end of June 2016 and </w:t>
      </w:r>
      <w:r w:rsidR="00E918FA">
        <w:t xml:space="preserve">be </w:t>
      </w:r>
      <w:r w:rsidRPr="003C32E5">
        <w:t xml:space="preserve">completed by February 2017. It will more than meet the requirement of the </w:t>
      </w:r>
      <w:r w:rsidR="00E12034">
        <w:t>Development Plan</w:t>
      </w:r>
      <w:r w:rsidRPr="003C32E5">
        <w:t xml:space="preserve">. Currently the intention is for </w:t>
      </w:r>
      <w:r w:rsidR="00FD1A90">
        <w:t xml:space="preserve">Solomon Water </w:t>
      </w:r>
      <w:r w:rsidRPr="003C32E5">
        <w:t xml:space="preserve">to continue as a SOE and the consideration of options for further private sector involvement are not part of the </w:t>
      </w:r>
      <w:r w:rsidR="00FD1A90">
        <w:t xml:space="preserve">terms of reference </w:t>
      </w:r>
      <w:r w:rsidRPr="003C32E5">
        <w:t>for the Strategic Plan.</w:t>
      </w:r>
      <w:r w:rsidR="006274C5">
        <w:t xml:space="preserve"> Stakeholders consulted for this evaluation emphasised the importance of th</w:t>
      </w:r>
      <w:r w:rsidR="003E5F90">
        <w:t xml:space="preserve">e strategic planning </w:t>
      </w:r>
      <w:r w:rsidR="006274C5">
        <w:t>work, not only for Solomon Water’s future but also as an opportunity for ne</w:t>
      </w:r>
      <w:r w:rsidR="003E5F90">
        <w:t>eded</w:t>
      </w:r>
      <w:r w:rsidR="006274C5">
        <w:t xml:space="preserve"> discussions around urban/peri-urban water supply and wastewater services throughout </w:t>
      </w:r>
      <w:r w:rsidR="003E5F90">
        <w:t xml:space="preserve">Honiara and Provincial centres. </w:t>
      </w:r>
      <w:r w:rsidR="00C5560F" w:rsidRPr="001F111B">
        <w:rPr>
          <w:rFonts w:eastAsia="Calibri"/>
          <w:lang w:val="en-NZ" w:eastAsia="en-US"/>
        </w:rPr>
        <w:t>Extensive consultation with government, consumers, industry and other key stakeholders in the sector will be essential during and after the preparation</w:t>
      </w:r>
      <w:r w:rsidR="00C5560F">
        <w:rPr>
          <w:rFonts w:eastAsia="Calibri"/>
          <w:lang w:val="en-NZ" w:eastAsia="en-US"/>
        </w:rPr>
        <w:t xml:space="preserve"> of the 30 Year Strategic Plan.</w:t>
      </w:r>
      <w:r w:rsidR="006274C5">
        <w:t xml:space="preserve"> </w:t>
      </w:r>
    </w:p>
    <w:p w14:paraId="599A8C69" w14:textId="77777777" w:rsidR="00246A3E" w:rsidRDefault="00246A3E" w:rsidP="00246A3E">
      <w:pPr>
        <w:pStyle w:val="Heading4"/>
        <w:rPr>
          <w:rFonts w:eastAsia="Calibri"/>
          <w:lang w:val="en-NZ" w:eastAsia="en-US"/>
        </w:rPr>
      </w:pPr>
      <w:r>
        <w:rPr>
          <w:rFonts w:eastAsia="Calibri"/>
          <w:lang w:val="en-NZ" w:eastAsia="en-US"/>
        </w:rPr>
        <w:t>Key findings</w:t>
      </w:r>
    </w:p>
    <w:p w14:paraId="19097B47" w14:textId="77777777" w:rsidR="00D93859" w:rsidRDefault="00482AEB" w:rsidP="00D93859">
      <w:pPr>
        <w:rPr>
          <w:rFonts w:eastAsia="Calibri"/>
          <w:lang w:val="en-NZ" w:eastAsia="en-US"/>
        </w:rPr>
      </w:pPr>
      <w:r>
        <w:rPr>
          <w:rFonts w:eastAsia="Calibri"/>
          <w:lang w:val="en-NZ" w:eastAsia="en-US"/>
        </w:rPr>
        <w:t xml:space="preserve">Solomon Water has made considerable progress in improving the quality, quantity and reliability of water supply across Honiara as a result of the implementation of the Development Plan. </w:t>
      </w:r>
    </w:p>
    <w:p w14:paraId="512AF475" w14:textId="2E95DA26" w:rsidR="00102C86" w:rsidRPr="001F111B" w:rsidRDefault="001F111B" w:rsidP="001F111B">
      <w:pPr>
        <w:rPr>
          <w:rFonts w:eastAsia="Calibri"/>
          <w:lang w:val="en-NZ" w:eastAsia="en-US"/>
        </w:rPr>
      </w:pPr>
      <w:r w:rsidRPr="001F111B">
        <w:rPr>
          <w:rFonts w:eastAsia="Calibri"/>
          <w:lang w:val="en-NZ" w:eastAsia="en-US"/>
        </w:rPr>
        <w:t>W</w:t>
      </w:r>
      <w:r w:rsidR="00D93859" w:rsidRPr="001F111B">
        <w:rPr>
          <w:rFonts w:eastAsia="Calibri"/>
          <w:lang w:val="en-NZ" w:eastAsia="en-US"/>
        </w:rPr>
        <w:t xml:space="preserve">hile water quality has </w:t>
      </w:r>
      <w:r w:rsidR="00775A44">
        <w:rPr>
          <w:rFonts w:eastAsia="Calibri"/>
          <w:lang w:val="en-NZ" w:eastAsia="en-US"/>
        </w:rPr>
        <w:t>i</w:t>
      </w:r>
      <w:r w:rsidR="00D93859" w:rsidRPr="001F111B">
        <w:rPr>
          <w:rFonts w:eastAsia="Calibri"/>
          <w:lang w:val="en-NZ" w:eastAsia="en-US"/>
        </w:rPr>
        <w:t>mproved since 2013, there are some concerns over the regular supply of chlorine and the frequency of testing for residual chlorine.</w:t>
      </w:r>
      <w:r>
        <w:rPr>
          <w:rFonts w:eastAsia="Calibri"/>
          <w:lang w:val="en-NZ" w:eastAsia="en-US"/>
        </w:rPr>
        <w:t xml:space="preserve"> </w:t>
      </w:r>
      <w:r w:rsidR="00D93859" w:rsidRPr="001F111B">
        <w:rPr>
          <w:rFonts w:eastAsia="Calibri"/>
          <w:lang w:val="en-NZ" w:eastAsia="en-US"/>
        </w:rPr>
        <w:t>The lack of regular independent water quality testing by DOH removes an important pillar for a reliable water quality monitoring program.</w:t>
      </w:r>
      <w:r w:rsidR="0089702E" w:rsidRPr="0089702E">
        <w:rPr>
          <w:rFonts w:eastAsia="Calibri"/>
          <w:lang w:val="en-NZ" w:eastAsia="en-US"/>
        </w:rPr>
        <w:t xml:space="preserve"> </w:t>
      </w:r>
      <w:r w:rsidR="0089702E">
        <w:rPr>
          <w:rFonts w:eastAsia="Calibri"/>
          <w:lang w:val="en-NZ" w:eastAsia="en-US"/>
        </w:rPr>
        <w:t>Updating and implementing the draft Drinking Water Safety Plan for Honiara prepared in 2013 would assist in ensuring appropriate water quality monitoring procedures are in place.</w:t>
      </w:r>
    </w:p>
    <w:p w14:paraId="5885622D" w14:textId="77777777" w:rsidR="00482AEB" w:rsidRPr="00B86D10" w:rsidRDefault="00482AEB" w:rsidP="00482AEB">
      <w:pPr>
        <w:rPr>
          <w:rFonts w:eastAsia="Calibri"/>
          <w:lang w:val="en-NZ" w:eastAsia="en-US"/>
        </w:rPr>
      </w:pPr>
      <w:r>
        <w:rPr>
          <w:rFonts w:eastAsia="Calibri"/>
          <w:lang w:val="en-NZ" w:eastAsia="en-US"/>
        </w:rPr>
        <w:t>The financial position of Solomon Water has improved significantly in recent years, as a result of DFAT support and a rigorous approach to debt collection. However, some of the financial indicators are giving an unrealistic impression of Solomon Water’s fiscal position – its operating surplus continues to be contingent upon donor contributions.</w:t>
      </w:r>
    </w:p>
    <w:p w14:paraId="10142EAB" w14:textId="77777777" w:rsidR="00D93859" w:rsidRPr="001F111B" w:rsidRDefault="00D93859" w:rsidP="001F111B">
      <w:pPr>
        <w:rPr>
          <w:rFonts w:eastAsia="Calibri"/>
          <w:lang w:val="en-NZ" w:eastAsia="en-US"/>
        </w:rPr>
      </w:pPr>
      <w:r w:rsidRPr="001F111B">
        <w:rPr>
          <w:rFonts w:eastAsia="Calibri"/>
          <w:lang w:val="en-NZ" w:eastAsia="en-US"/>
        </w:rPr>
        <w:t>The impact of the D</w:t>
      </w:r>
      <w:r w:rsidR="00775A44">
        <w:rPr>
          <w:rFonts w:eastAsia="Calibri"/>
          <w:lang w:val="en-NZ" w:eastAsia="en-US"/>
        </w:rPr>
        <w:t xml:space="preserve">evelopment </w:t>
      </w:r>
      <w:r w:rsidRPr="001F111B">
        <w:rPr>
          <w:rFonts w:eastAsia="Calibri"/>
          <w:lang w:val="en-NZ" w:eastAsia="en-US"/>
        </w:rPr>
        <w:t>P</w:t>
      </w:r>
      <w:r w:rsidR="00775A44">
        <w:rPr>
          <w:rFonts w:eastAsia="Calibri"/>
          <w:lang w:val="en-NZ" w:eastAsia="en-US"/>
        </w:rPr>
        <w:t>lan</w:t>
      </w:r>
      <w:r w:rsidRPr="001F111B">
        <w:rPr>
          <w:rFonts w:eastAsia="Calibri"/>
          <w:lang w:val="en-NZ" w:eastAsia="en-US"/>
        </w:rPr>
        <w:t xml:space="preserve"> on organisational change and capacity building with</w:t>
      </w:r>
      <w:r w:rsidR="00775A44">
        <w:rPr>
          <w:rFonts w:eastAsia="Calibri"/>
          <w:lang w:val="en-NZ" w:eastAsia="en-US"/>
        </w:rPr>
        <w:t>in</w:t>
      </w:r>
      <w:r w:rsidRPr="001F111B">
        <w:rPr>
          <w:rFonts w:eastAsia="Calibri"/>
          <w:lang w:val="en-NZ" w:eastAsia="en-US"/>
        </w:rPr>
        <w:t xml:space="preserve"> </w:t>
      </w:r>
      <w:r w:rsidR="002A70E6">
        <w:rPr>
          <w:rFonts w:eastAsia="Calibri"/>
          <w:lang w:val="en-NZ" w:eastAsia="en-US"/>
        </w:rPr>
        <w:t>Solomon Water</w:t>
      </w:r>
      <w:r w:rsidRPr="001F111B">
        <w:rPr>
          <w:rFonts w:eastAsia="Calibri"/>
          <w:lang w:val="en-NZ" w:eastAsia="en-US"/>
        </w:rPr>
        <w:t xml:space="preserve"> has been less than anticipated. While on</w:t>
      </w:r>
      <w:r w:rsidR="001039A6">
        <w:rPr>
          <w:rFonts w:eastAsia="Calibri"/>
          <w:lang w:val="en-NZ" w:eastAsia="en-US"/>
        </w:rPr>
        <w:t>-</w:t>
      </w:r>
      <w:r w:rsidRPr="001F111B">
        <w:rPr>
          <w:rFonts w:eastAsia="Calibri"/>
          <w:lang w:val="en-NZ" w:eastAsia="en-US"/>
        </w:rPr>
        <w:t>the</w:t>
      </w:r>
      <w:r w:rsidR="001039A6">
        <w:rPr>
          <w:rFonts w:eastAsia="Calibri"/>
          <w:lang w:val="en-NZ" w:eastAsia="en-US"/>
        </w:rPr>
        <w:t>-</w:t>
      </w:r>
      <w:r w:rsidRPr="001F111B">
        <w:rPr>
          <w:rFonts w:eastAsia="Calibri"/>
          <w:lang w:val="en-NZ" w:eastAsia="en-US"/>
        </w:rPr>
        <w:t>job and supplier training was undertaken for specific activities</w:t>
      </w:r>
      <w:r w:rsidR="00947238">
        <w:rPr>
          <w:rFonts w:eastAsia="Calibri"/>
          <w:lang w:val="en-NZ" w:eastAsia="en-US"/>
        </w:rPr>
        <w:t>,</w:t>
      </w:r>
      <w:r w:rsidRPr="001F111B">
        <w:rPr>
          <w:rFonts w:eastAsia="Calibri"/>
          <w:lang w:val="en-NZ" w:eastAsia="en-US"/>
        </w:rPr>
        <w:t xml:space="preserve"> a more structured development and capacity building program needs to be undertaken</w:t>
      </w:r>
      <w:r w:rsidR="001039A6">
        <w:rPr>
          <w:rFonts w:eastAsia="Calibri"/>
          <w:lang w:val="en-NZ" w:eastAsia="en-US"/>
        </w:rPr>
        <w:t xml:space="preserve"> in future</w:t>
      </w:r>
      <w:r w:rsidRPr="001F111B">
        <w:rPr>
          <w:rFonts w:eastAsia="Calibri"/>
          <w:lang w:val="en-NZ" w:eastAsia="en-US"/>
        </w:rPr>
        <w:t>.</w:t>
      </w:r>
    </w:p>
    <w:p w14:paraId="714F132F" w14:textId="77777777" w:rsidR="00D93859" w:rsidRPr="001F111B" w:rsidRDefault="001E0C3F" w:rsidP="001F111B">
      <w:pPr>
        <w:rPr>
          <w:rFonts w:eastAsia="Calibri"/>
          <w:lang w:val="en-NZ" w:eastAsia="en-US"/>
        </w:rPr>
      </w:pPr>
      <w:r>
        <w:rPr>
          <w:rFonts w:eastAsia="Calibri"/>
          <w:lang w:val="en-NZ" w:eastAsia="en-US"/>
        </w:rPr>
        <w:t xml:space="preserve">There has been </w:t>
      </w:r>
      <w:r w:rsidR="00E21DAD">
        <w:rPr>
          <w:rFonts w:eastAsia="Calibri"/>
          <w:lang w:val="en-NZ" w:eastAsia="en-US"/>
        </w:rPr>
        <w:t xml:space="preserve">an increase in the effectiveness of billing and cost recovery. </w:t>
      </w:r>
      <w:r w:rsidR="001F111B">
        <w:rPr>
          <w:rFonts w:eastAsia="Calibri"/>
          <w:lang w:val="en-NZ" w:eastAsia="en-US"/>
        </w:rPr>
        <w:t>I</w:t>
      </w:r>
      <w:r w:rsidR="00D93859" w:rsidRPr="001F111B">
        <w:rPr>
          <w:rFonts w:eastAsia="Calibri"/>
          <w:lang w:val="en-NZ" w:eastAsia="en-US"/>
        </w:rPr>
        <w:t xml:space="preserve">mproved customer care and </w:t>
      </w:r>
      <w:r w:rsidR="001039A6">
        <w:rPr>
          <w:rFonts w:eastAsia="Calibri"/>
          <w:lang w:val="en-NZ" w:eastAsia="en-US"/>
        </w:rPr>
        <w:t>communications</w:t>
      </w:r>
      <w:r w:rsidR="00D93859" w:rsidRPr="001F111B">
        <w:rPr>
          <w:rFonts w:eastAsia="Calibri"/>
          <w:lang w:val="en-NZ" w:eastAsia="en-US"/>
        </w:rPr>
        <w:t xml:space="preserve"> have increased consumer confidence in </w:t>
      </w:r>
      <w:r w:rsidR="002A70E6">
        <w:rPr>
          <w:rFonts w:eastAsia="Calibri"/>
          <w:lang w:val="en-NZ" w:eastAsia="en-US"/>
        </w:rPr>
        <w:t>Solomon Water</w:t>
      </w:r>
      <w:r w:rsidR="00D93859" w:rsidRPr="001F111B">
        <w:rPr>
          <w:rFonts w:eastAsia="Calibri"/>
          <w:lang w:val="en-NZ" w:eastAsia="en-US"/>
        </w:rPr>
        <w:t xml:space="preserve"> during the D</w:t>
      </w:r>
      <w:r w:rsidR="001039A6">
        <w:rPr>
          <w:rFonts w:eastAsia="Calibri"/>
          <w:lang w:val="en-NZ" w:eastAsia="en-US"/>
        </w:rPr>
        <w:t xml:space="preserve">evelopment </w:t>
      </w:r>
      <w:r w:rsidR="00D93859" w:rsidRPr="001F111B">
        <w:rPr>
          <w:rFonts w:eastAsia="Calibri"/>
          <w:lang w:val="en-NZ" w:eastAsia="en-US"/>
        </w:rPr>
        <w:t>P</w:t>
      </w:r>
      <w:r w:rsidR="001039A6">
        <w:rPr>
          <w:rFonts w:eastAsia="Calibri"/>
          <w:lang w:val="en-NZ" w:eastAsia="en-US"/>
        </w:rPr>
        <w:t>lan period</w:t>
      </w:r>
      <w:r w:rsidR="001F111B">
        <w:rPr>
          <w:rFonts w:eastAsia="Calibri"/>
          <w:lang w:val="en-NZ" w:eastAsia="en-US"/>
        </w:rPr>
        <w:t>.</w:t>
      </w:r>
      <w:r w:rsidR="001039A6">
        <w:rPr>
          <w:rFonts w:eastAsia="Calibri"/>
          <w:lang w:val="en-NZ" w:eastAsia="en-US"/>
        </w:rPr>
        <w:t xml:space="preserve"> </w:t>
      </w:r>
      <w:r w:rsidR="00C14BB9">
        <w:t xml:space="preserve">The provision of a safe, reliable water supply has improved the image of Solomon Water but this needs to be supported by further improvements in customer care processes. </w:t>
      </w:r>
      <w:r w:rsidR="00C14BB9">
        <w:rPr>
          <w:rFonts w:eastAsia="Calibri"/>
          <w:lang w:val="en-NZ" w:eastAsia="en-US"/>
        </w:rPr>
        <w:t>M</w:t>
      </w:r>
      <w:r w:rsidR="00C14BB9" w:rsidRPr="001F111B">
        <w:rPr>
          <w:rFonts w:eastAsia="Calibri"/>
          <w:lang w:val="en-NZ" w:eastAsia="en-US"/>
        </w:rPr>
        <w:t>ore effective communication</w:t>
      </w:r>
      <w:r w:rsidR="00C14BB9">
        <w:rPr>
          <w:rFonts w:eastAsia="Calibri"/>
          <w:lang w:val="en-NZ" w:eastAsia="en-US"/>
        </w:rPr>
        <w:t>,</w:t>
      </w:r>
      <w:r w:rsidR="00C14BB9" w:rsidRPr="001F111B">
        <w:rPr>
          <w:rFonts w:eastAsia="Calibri"/>
          <w:lang w:val="en-NZ" w:eastAsia="en-US"/>
        </w:rPr>
        <w:t xml:space="preserve"> especially with regard to disconnection policy, advice to customers of water quality risks and billing/meter reading issues</w:t>
      </w:r>
      <w:r w:rsidR="00C14BB9">
        <w:rPr>
          <w:rFonts w:eastAsia="Calibri"/>
          <w:lang w:val="en-NZ" w:eastAsia="en-US"/>
        </w:rPr>
        <w:t>,</w:t>
      </w:r>
      <w:r w:rsidR="00C14BB9" w:rsidRPr="001F111B">
        <w:rPr>
          <w:rFonts w:eastAsia="Calibri"/>
          <w:lang w:val="en-NZ" w:eastAsia="en-US"/>
        </w:rPr>
        <w:t xml:space="preserve"> would be appreciated by customers.</w:t>
      </w:r>
    </w:p>
    <w:p w14:paraId="019FF3B4" w14:textId="77777777" w:rsidR="00D93859" w:rsidRPr="001F111B" w:rsidRDefault="00C14BB9" w:rsidP="001F111B">
      <w:pPr>
        <w:rPr>
          <w:rFonts w:eastAsia="Calibri"/>
          <w:lang w:val="en-NZ" w:eastAsia="en-US"/>
        </w:rPr>
      </w:pPr>
      <w:r>
        <w:rPr>
          <w:rFonts w:eastAsia="Calibri"/>
          <w:lang w:val="en-NZ" w:eastAsia="en-US"/>
        </w:rPr>
        <w:t>The proposed trial</w:t>
      </w:r>
      <w:r w:rsidR="00D93859" w:rsidRPr="001F111B">
        <w:rPr>
          <w:rFonts w:eastAsia="Calibri"/>
          <w:lang w:val="en-NZ" w:eastAsia="en-US"/>
        </w:rPr>
        <w:t xml:space="preserve"> of cash meters is a</w:t>
      </w:r>
      <w:r w:rsidR="001F111B">
        <w:rPr>
          <w:rFonts w:eastAsia="Calibri"/>
          <w:lang w:val="en-NZ" w:eastAsia="en-US"/>
        </w:rPr>
        <w:t xml:space="preserve"> </w:t>
      </w:r>
      <w:r w:rsidR="00D93859" w:rsidRPr="001F111B">
        <w:rPr>
          <w:rFonts w:eastAsia="Calibri"/>
          <w:lang w:val="en-NZ" w:eastAsia="en-US"/>
        </w:rPr>
        <w:t>positive step to improve cash flow, will be welcomed by most customers</w:t>
      </w:r>
      <w:r w:rsidR="001039A6">
        <w:rPr>
          <w:rFonts w:eastAsia="Calibri"/>
          <w:lang w:val="en-NZ" w:eastAsia="en-US"/>
        </w:rPr>
        <w:t>,</w:t>
      </w:r>
      <w:r w:rsidR="00D93859" w:rsidRPr="001F111B">
        <w:rPr>
          <w:rFonts w:eastAsia="Calibri"/>
          <w:lang w:val="en-NZ" w:eastAsia="en-US"/>
        </w:rPr>
        <w:t xml:space="preserve"> and is strongly supported by this </w:t>
      </w:r>
      <w:r w:rsidR="001F111B">
        <w:rPr>
          <w:rFonts w:eastAsia="Calibri"/>
          <w:lang w:val="en-NZ" w:eastAsia="en-US"/>
        </w:rPr>
        <w:t>e</w:t>
      </w:r>
      <w:r w:rsidR="00D93859" w:rsidRPr="001F111B">
        <w:rPr>
          <w:rFonts w:eastAsia="Calibri"/>
          <w:lang w:val="en-NZ" w:eastAsia="en-US"/>
        </w:rPr>
        <w:t>valuation.</w:t>
      </w:r>
    </w:p>
    <w:p w14:paraId="7054FD28" w14:textId="77777777" w:rsidR="00246A3E" w:rsidRDefault="00246A3E" w:rsidP="00246A3E">
      <w:pPr>
        <w:pStyle w:val="RecommendationName"/>
        <w:rPr>
          <w:rFonts w:eastAsia="Calibri"/>
          <w:lang w:val="en-NZ" w:eastAsia="en-US"/>
        </w:rPr>
      </w:pPr>
      <w:r>
        <w:rPr>
          <w:rFonts w:eastAsia="Calibri"/>
          <w:lang w:val="en-NZ" w:eastAsia="en-US"/>
        </w:rPr>
        <w:t>Recommendations</w:t>
      </w:r>
    </w:p>
    <w:p w14:paraId="0780CD4A" w14:textId="59E8AA81" w:rsidR="00246A3E" w:rsidRDefault="00D17906" w:rsidP="00C67836">
      <w:pPr>
        <w:pStyle w:val="RecommendationText"/>
        <w:ind w:left="720" w:hanging="720"/>
        <w:rPr>
          <w:rFonts w:eastAsia="Calibri"/>
          <w:lang w:val="en-NZ" w:eastAsia="en-US"/>
        </w:rPr>
      </w:pPr>
      <w:r>
        <w:rPr>
          <w:rFonts w:eastAsia="Calibri"/>
          <w:lang w:val="en-NZ" w:eastAsia="en-US"/>
        </w:rPr>
        <w:lastRenderedPageBreak/>
        <w:t>i</w:t>
      </w:r>
      <w:r>
        <w:rPr>
          <w:rFonts w:eastAsia="Calibri"/>
          <w:lang w:val="en-NZ" w:eastAsia="en-US"/>
        </w:rPr>
        <w:tab/>
      </w:r>
      <w:r w:rsidR="002A70E6">
        <w:rPr>
          <w:rFonts w:eastAsia="Calibri"/>
          <w:lang w:val="en-NZ" w:eastAsia="en-US"/>
        </w:rPr>
        <w:t>Solomon Water</w:t>
      </w:r>
      <w:r w:rsidR="00246A3E">
        <w:rPr>
          <w:rFonts w:eastAsia="Calibri"/>
          <w:lang w:val="en-NZ" w:eastAsia="en-US"/>
        </w:rPr>
        <w:t xml:space="preserve"> </w:t>
      </w:r>
      <w:r w:rsidR="00932B41">
        <w:rPr>
          <w:rFonts w:eastAsia="Calibri"/>
          <w:lang w:val="en-NZ" w:eastAsia="en-US"/>
        </w:rPr>
        <w:t>undertakes</w:t>
      </w:r>
      <w:r w:rsidR="00114963">
        <w:rPr>
          <w:rFonts w:eastAsia="Calibri"/>
          <w:lang w:val="en-NZ" w:eastAsia="en-US"/>
        </w:rPr>
        <w:t xml:space="preserve"> </w:t>
      </w:r>
      <w:r w:rsidR="00246A3E">
        <w:rPr>
          <w:rFonts w:eastAsia="Calibri"/>
          <w:lang w:val="en-NZ" w:eastAsia="en-US"/>
        </w:rPr>
        <w:t>more frequent</w:t>
      </w:r>
      <w:r w:rsidR="00C67836">
        <w:rPr>
          <w:rFonts w:eastAsia="Calibri"/>
          <w:lang w:val="en-NZ" w:eastAsia="en-US"/>
        </w:rPr>
        <w:t xml:space="preserve"> </w:t>
      </w:r>
      <w:r w:rsidR="00246A3E">
        <w:rPr>
          <w:rFonts w:eastAsia="Calibri"/>
          <w:lang w:val="en-NZ" w:eastAsia="en-US"/>
        </w:rPr>
        <w:t>water quality testing</w:t>
      </w:r>
      <w:r w:rsidR="00114963">
        <w:rPr>
          <w:rFonts w:eastAsia="Calibri"/>
          <w:lang w:val="en-NZ" w:eastAsia="en-US"/>
        </w:rPr>
        <w:t>.</w:t>
      </w:r>
      <w:r w:rsidR="00C67836">
        <w:rPr>
          <w:rFonts w:eastAsia="Calibri"/>
          <w:lang w:val="en-NZ" w:eastAsia="en-US"/>
        </w:rPr>
        <w:t xml:space="preserve"> Solomon Water liaise with </w:t>
      </w:r>
      <w:r w:rsidR="00397A84">
        <w:rPr>
          <w:rFonts w:eastAsia="Calibri"/>
          <w:lang w:val="en-NZ" w:eastAsia="en-US"/>
        </w:rPr>
        <w:t xml:space="preserve">MHMS </w:t>
      </w:r>
      <w:r w:rsidR="00C67836">
        <w:rPr>
          <w:rFonts w:eastAsia="Calibri"/>
          <w:lang w:val="en-NZ" w:eastAsia="en-US"/>
        </w:rPr>
        <w:t>to bring about more frequents independent water quality testing.</w:t>
      </w:r>
    </w:p>
    <w:p w14:paraId="73504228" w14:textId="4D32F1A4" w:rsidR="001F111B" w:rsidRDefault="00D17906" w:rsidP="00102C86">
      <w:pPr>
        <w:pStyle w:val="RecommendationText"/>
        <w:ind w:left="709" w:hanging="709"/>
      </w:pPr>
      <w:r>
        <w:t>ii</w:t>
      </w:r>
      <w:r>
        <w:tab/>
      </w:r>
      <w:r w:rsidR="002A70E6">
        <w:t>Solomon Water</w:t>
      </w:r>
      <w:r w:rsidR="001F111B">
        <w:t xml:space="preserve"> </w:t>
      </w:r>
      <w:r w:rsidR="00102C86">
        <w:t>update, approve and operationalise</w:t>
      </w:r>
      <w:r w:rsidR="001F111B">
        <w:t xml:space="preserve"> </w:t>
      </w:r>
      <w:r w:rsidR="00102C86">
        <w:t>the draft</w:t>
      </w:r>
      <w:r w:rsidR="001F111B">
        <w:t xml:space="preserve"> </w:t>
      </w:r>
      <w:r w:rsidR="00114963">
        <w:t xml:space="preserve">Drinking </w:t>
      </w:r>
      <w:r w:rsidR="001F111B">
        <w:t>Water Safety Plan in the near future</w:t>
      </w:r>
      <w:r w:rsidR="00114963">
        <w:t>.</w:t>
      </w:r>
    </w:p>
    <w:p w14:paraId="6906F429" w14:textId="77777777" w:rsidR="00EB2111" w:rsidRDefault="00D17906" w:rsidP="00D17906">
      <w:pPr>
        <w:pStyle w:val="RecommendationText"/>
        <w:ind w:left="720" w:hanging="720"/>
      </w:pPr>
      <w:r>
        <w:t>iii</w:t>
      </w:r>
      <w:r>
        <w:tab/>
      </w:r>
      <w:r w:rsidR="00D33C38">
        <w:t>Solomon Water undertake f</w:t>
      </w:r>
      <w:r w:rsidR="00EB2111" w:rsidRPr="00F469F8">
        <w:t>urther</w:t>
      </w:r>
      <w:r w:rsidR="00EB2111">
        <w:t xml:space="preserve"> customer education </w:t>
      </w:r>
      <w:r w:rsidR="00D33C38">
        <w:t xml:space="preserve">about </w:t>
      </w:r>
      <w:r w:rsidR="00EB2111">
        <w:t xml:space="preserve">the communication process and the responsibilities of </w:t>
      </w:r>
      <w:r w:rsidR="002A70E6">
        <w:t>Solomon Water</w:t>
      </w:r>
      <w:r w:rsidR="00EB2111">
        <w:t xml:space="preserve"> and customers, especially related to water pricing, service disruptions, water quality, billing and payment and disconnections. This should be outlined in </w:t>
      </w:r>
      <w:r w:rsidR="00D33C38">
        <w:t xml:space="preserve">the </w:t>
      </w:r>
      <w:r w:rsidR="00EB2111">
        <w:t xml:space="preserve">Communications Plan understood by all </w:t>
      </w:r>
      <w:r w:rsidR="002A70E6">
        <w:t>Solomon Water</w:t>
      </w:r>
      <w:r w:rsidR="00EB2111">
        <w:t xml:space="preserve"> staff.</w:t>
      </w:r>
    </w:p>
    <w:p w14:paraId="4AD1BE02" w14:textId="03C307A3" w:rsidR="00242749" w:rsidRDefault="00D17906" w:rsidP="00D17906">
      <w:pPr>
        <w:pStyle w:val="RecommendationText"/>
        <w:ind w:left="720" w:hanging="720"/>
      </w:pPr>
      <w:r>
        <w:t>iv</w:t>
      </w:r>
      <w:r>
        <w:tab/>
      </w:r>
      <w:r w:rsidR="00197B6C">
        <w:t xml:space="preserve">Solomon Water </w:t>
      </w:r>
      <w:r w:rsidR="003C2412">
        <w:t xml:space="preserve">implement the key areas identified </w:t>
      </w:r>
      <w:r w:rsidR="00470B9E">
        <w:t xml:space="preserve">in section 3.1.5 </w:t>
      </w:r>
      <w:r w:rsidR="003C2412">
        <w:t>for strengthening organisational capacity</w:t>
      </w:r>
      <w:r w:rsidR="00242749">
        <w:t>.</w:t>
      </w:r>
    </w:p>
    <w:p w14:paraId="6B7328E4" w14:textId="3105913F" w:rsidR="00242749" w:rsidRDefault="00D17906" w:rsidP="00D17906">
      <w:pPr>
        <w:pStyle w:val="RecommendationText"/>
        <w:ind w:left="720" w:hanging="720"/>
      </w:pPr>
      <w:r>
        <w:t>v</w:t>
      </w:r>
      <w:r>
        <w:tab/>
      </w:r>
      <w:r w:rsidR="00242749">
        <w:t>Solomon Water</w:t>
      </w:r>
      <w:r w:rsidR="007F3E31">
        <w:t xml:space="preserve"> d</w:t>
      </w:r>
      <w:r w:rsidR="00242749">
        <w:t>evelop a stakeholder consultation strategy to support the strategic planning process.</w:t>
      </w:r>
      <w:r w:rsidR="00825374">
        <w:t xml:space="preserve"> The consultation strategy should </w:t>
      </w:r>
      <w:r w:rsidR="00470B9E">
        <w:t xml:space="preserve">support </w:t>
      </w:r>
      <w:r w:rsidR="00825374">
        <w:t xml:space="preserve">Solomon Water to strengthen </w:t>
      </w:r>
      <w:r w:rsidR="00470B9E">
        <w:t xml:space="preserve">future </w:t>
      </w:r>
      <w:r w:rsidR="00825374">
        <w:t>co-ordination and engagement with key partners in the water sector.</w:t>
      </w:r>
    </w:p>
    <w:p w14:paraId="3BF4AEAF" w14:textId="77777777" w:rsidR="003436E0" w:rsidRDefault="00D63EF3" w:rsidP="003436E0">
      <w:pPr>
        <w:pStyle w:val="Heading2"/>
      </w:pPr>
      <w:bookmarkStart w:id="25" w:name="_Toc453955991"/>
      <w:r>
        <w:t>3.2</w:t>
      </w:r>
      <w:r>
        <w:tab/>
      </w:r>
      <w:r w:rsidR="003436E0">
        <w:t xml:space="preserve">Funding and </w:t>
      </w:r>
      <w:r w:rsidR="00672897">
        <w:t xml:space="preserve">implementation </w:t>
      </w:r>
      <w:r w:rsidR="003436E0">
        <w:t>support</w:t>
      </w:r>
      <w:bookmarkEnd w:id="25"/>
      <w:r w:rsidR="003436E0">
        <w:t xml:space="preserve"> </w:t>
      </w:r>
    </w:p>
    <w:p w14:paraId="34DE5328" w14:textId="77777777" w:rsidR="00993C04" w:rsidRPr="00993C04" w:rsidRDefault="00D63EF3" w:rsidP="00993C04">
      <w:pPr>
        <w:pStyle w:val="Heading3"/>
      </w:pPr>
      <w:r>
        <w:t>3.2.1</w:t>
      </w:r>
      <w:r>
        <w:tab/>
      </w:r>
      <w:r w:rsidR="00993C04">
        <w:t>Budget support</w:t>
      </w:r>
    </w:p>
    <w:p w14:paraId="5028E85E" w14:textId="77777777" w:rsidR="003436E0" w:rsidRPr="003436E0" w:rsidRDefault="0071420B" w:rsidP="00B67E67">
      <w:r>
        <w:t>The Board and management of Solomon Water confirmed that t</w:t>
      </w:r>
      <w:r w:rsidR="003436E0" w:rsidRPr="003436E0">
        <w:t xml:space="preserve">he direct budget support model has been </w:t>
      </w:r>
      <w:r>
        <w:t xml:space="preserve">an </w:t>
      </w:r>
      <w:r w:rsidR="003436E0" w:rsidRPr="003436E0">
        <w:t xml:space="preserve">efficient and </w:t>
      </w:r>
      <w:r>
        <w:t>cost-effective mechanism.</w:t>
      </w:r>
      <w:r w:rsidR="003436E0" w:rsidRPr="003436E0">
        <w:t xml:space="preserve"> The flow of funds has proceeded smoothly and appropriate oversight of the account </w:t>
      </w:r>
      <w:r w:rsidR="000C77DF">
        <w:t xml:space="preserve">has </w:t>
      </w:r>
      <w:r w:rsidR="003436E0" w:rsidRPr="003436E0">
        <w:t>mitigated fraud</w:t>
      </w:r>
      <w:r w:rsidR="000C77DF">
        <w:t xml:space="preserve"> risks</w:t>
      </w:r>
      <w:r w:rsidR="003436E0" w:rsidRPr="003436E0">
        <w:t>.</w:t>
      </w:r>
      <w:r w:rsidR="007117A2">
        <w:t xml:space="preserve"> </w:t>
      </w:r>
      <w:r w:rsidR="00B60E20">
        <w:t xml:space="preserve">The mechanism also allowed sufficient flexibility to respond to the unpredictability of Solomon Water’s access to cash for its contributions to the Development Plan. </w:t>
      </w:r>
    </w:p>
    <w:p w14:paraId="4C6738E3" w14:textId="77777777" w:rsidR="003436E0" w:rsidRDefault="003436E0" w:rsidP="00B67E67">
      <w:r w:rsidRPr="003436E0">
        <w:t xml:space="preserve">This </w:t>
      </w:r>
      <w:r w:rsidR="00111B4B">
        <w:t xml:space="preserve">direct budget support </w:t>
      </w:r>
      <w:r w:rsidRPr="003436E0">
        <w:t xml:space="preserve">model however </w:t>
      </w:r>
      <w:r w:rsidR="00D44CBE">
        <w:t xml:space="preserve">requires Solomon Water to have </w:t>
      </w:r>
      <w:r w:rsidRPr="003436E0">
        <w:t xml:space="preserve">substantial contract management </w:t>
      </w:r>
      <w:r w:rsidR="00D44CBE">
        <w:t xml:space="preserve">capability. While the Development Plan set out specific roles for technical assistance to booster organisational capability, it did not specifically address how or when Solomon Water would ensure it had the necessary management capability (i.e. setting up </w:t>
      </w:r>
      <w:r w:rsidRPr="003436E0">
        <w:t>a dedicated capital works/major projects team</w:t>
      </w:r>
      <w:r w:rsidR="00D44CBE">
        <w:t xml:space="preserve"> either from existing staff or insourcing additional personnel)</w:t>
      </w:r>
      <w:r w:rsidRPr="003436E0">
        <w:t xml:space="preserve">. This, along with the interim absence of a General Manager and Program Manager, has affected the </w:t>
      </w:r>
      <w:r w:rsidR="00D44CBE">
        <w:t xml:space="preserve">timing of </w:t>
      </w:r>
      <w:r w:rsidRPr="003436E0">
        <w:t xml:space="preserve">results </w:t>
      </w:r>
      <w:r w:rsidR="00D44CBE">
        <w:t xml:space="preserve">achievement </w:t>
      </w:r>
      <w:r w:rsidRPr="003436E0">
        <w:t xml:space="preserve">under the </w:t>
      </w:r>
      <w:r w:rsidR="00E12034">
        <w:t>Development Plan</w:t>
      </w:r>
      <w:r w:rsidRPr="003436E0">
        <w:t xml:space="preserve">. </w:t>
      </w:r>
    </w:p>
    <w:p w14:paraId="2EFE3508" w14:textId="77777777" w:rsidR="00993C04" w:rsidRPr="003436E0" w:rsidRDefault="00D63EF3" w:rsidP="00993C04">
      <w:pPr>
        <w:pStyle w:val="Heading3"/>
      </w:pPr>
      <w:r>
        <w:t>3.2.2</w:t>
      </w:r>
      <w:r>
        <w:tab/>
      </w:r>
      <w:r w:rsidR="00993C04">
        <w:t>Technical assistance</w:t>
      </w:r>
    </w:p>
    <w:p w14:paraId="69454234" w14:textId="1959FAD9" w:rsidR="004D5FAF" w:rsidRDefault="003436E0" w:rsidP="00B67E67">
      <w:r w:rsidRPr="003436E0">
        <w:t xml:space="preserve">The use of </w:t>
      </w:r>
      <w:r w:rsidR="006C5D93">
        <w:t>long</w:t>
      </w:r>
      <w:r w:rsidR="00243E67">
        <w:t xml:space="preserve"> </w:t>
      </w:r>
      <w:r w:rsidR="006C5D93">
        <w:t>term</w:t>
      </w:r>
      <w:r w:rsidR="005F650C">
        <w:rPr>
          <w:rStyle w:val="FootnoteReference"/>
        </w:rPr>
        <w:footnoteReference w:id="24"/>
      </w:r>
      <w:r w:rsidR="006C5D93">
        <w:t xml:space="preserve"> </w:t>
      </w:r>
      <w:r w:rsidRPr="003436E0">
        <w:t xml:space="preserve">technical assistance </w:t>
      </w:r>
      <w:r w:rsidR="0017163A">
        <w:t xml:space="preserve">(TA) </w:t>
      </w:r>
      <w:r w:rsidRPr="003436E0">
        <w:t>has been largely effective</w:t>
      </w:r>
      <w:r w:rsidR="00DB2974">
        <w:t xml:space="preserve"> with </w:t>
      </w:r>
      <w:r w:rsidR="006C5D93">
        <w:t xml:space="preserve">in-line and advisory </w:t>
      </w:r>
      <w:r w:rsidR="00DB2974">
        <w:t>positions providing increased capacity in organisational leadership, and financial and operational support</w:t>
      </w:r>
      <w:r w:rsidRPr="003436E0">
        <w:t xml:space="preserve">. </w:t>
      </w:r>
      <w:r w:rsidR="00E94B93">
        <w:t>This increased capacity resulted in effective management of DFAT’s budget support to Solomon Water. As noted by JICA</w:t>
      </w:r>
      <w:r w:rsidR="00E27179">
        <w:t>’s</w:t>
      </w:r>
      <w:r w:rsidR="00E94B93">
        <w:t xml:space="preserve"> representative</w:t>
      </w:r>
      <w:r w:rsidR="00E27179">
        <w:t xml:space="preserve"> to Solomon Islands</w:t>
      </w:r>
      <w:r w:rsidR="00E94B93">
        <w:t>, it also provided a level of confidence and leadership for other donors to provide funding to S</w:t>
      </w:r>
      <w:r w:rsidR="00E27179">
        <w:t xml:space="preserve">olomon </w:t>
      </w:r>
      <w:r w:rsidR="00E94B93">
        <w:t>W</w:t>
      </w:r>
      <w:r w:rsidR="00E27179">
        <w:t>ater</w:t>
      </w:r>
      <w:r w:rsidR="00E94B93">
        <w:t xml:space="preserve">.  </w:t>
      </w:r>
    </w:p>
    <w:p w14:paraId="2109BDFA" w14:textId="77777777" w:rsidR="00DB2974" w:rsidRPr="00E27179" w:rsidRDefault="003436E0" w:rsidP="00B67E67">
      <w:r w:rsidRPr="003436E0">
        <w:t xml:space="preserve">However lessons have been learned regarding DFAT management and Solomon Water oversight of </w:t>
      </w:r>
      <w:r w:rsidR="00243E67">
        <w:t xml:space="preserve">long and short term </w:t>
      </w:r>
      <w:r w:rsidR="0017163A">
        <w:t>TA</w:t>
      </w:r>
      <w:r w:rsidRPr="00E27179">
        <w:t xml:space="preserve"> which impacted the implementation of the </w:t>
      </w:r>
      <w:r w:rsidR="00E12034" w:rsidRPr="00E27179">
        <w:t>Development Plan</w:t>
      </w:r>
      <w:r w:rsidR="00DB2974" w:rsidRPr="00E27179">
        <w:t xml:space="preserve">, including: </w:t>
      </w:r>
    </w:p>
    <w:p w14:paraId="0DC9E7AE" w14:textId="42875AA1" w:rsidR="004D5FAF" w:rsidRPr="00E27179" w:rsidRDefault="00291071" w:rsidP="00BD25DB">
      <w:pPr>
        <w:pStyle w:val="Bullet"/>
      </w:pPr>
      <w:r>
        <w:t xml:space="preserve">In the event of the short notice departures of key advisers </w:t>
      </w:r>
      <w:r w:rsidR="00BD25DB">
        <w:t xml:space="preserve">DFAT’s systems to </w:t>
      </w:r>
      <w:r w:rsidR="00BD25DB" w:rsidRPr="00E27179">
        <w:t xml:space="preserve">recruit, contract and mobilise international </w:t>
      </w:r>
      <w:r w:rsidR="00BD25DB">
        <w:t xml:space="preserve">advisers were not able to recruit quickly, resulting in </w:t>
      </w:r>
      <w:r w:rsidR="004D5FAF" w:rsidRPr="00E27179">
        <w:t xml:space="preserve">significant gaps </w:t>
      </w:r>
      <w:r w:rsidR="00BD25DB">
        <w:t>which impacted Solomon Water.</w:t>
      </w:r>
      <w:r w:rsidR="004D5FAF" w:rsidRPr="00E27179">
        <w:t xml:space="preserve">  </w:t>
      </w:r>
    </w:p>
    <w:p w14:paraId="15C9B91C" w14:textId="296155E3" w:rsidR="00DB2974" w:rsidRDefault="00E94B93" w:rsidP="00046FE3">
      <w:pPr>
        <w:pStyle w:val="Bullet"/>
      </w:pPr>
      <w:r>
        <w:lastRenderedPageBreak/>
        <w:t>DFAT</w:t>
      </w:r>
      <w:r w:rsidR="006C5D93">
        <w:t xml:space="preserve"> applie</w:t>
      </w:r>
      <w:r w:rsidR="00953EAB">
        <w:t>d</w:t>
      </w:r>
      <w:r w:rsidR="00282851">
        <w:t xml:space="preserve"> the same </w:t>
      </w:r>
      <w:r w:rsidR="00953EAB">
        <w:t xml:space="preserve">recruitment </w:t>
      </w:r>
      <w:r w:rsidR="00282851">
        <w:t>and performance management process</w:t>
      </w:r>
      <w:r w:rsidR="006C5D93">
        <w:t>es</w:t>
      </w:r>
      <w:r w:rsidR="006C5D93">
        <w:rPr>
          <w:rStyle w:val="FootnoteReference"/>
        </w:rPr>
        <w:footnoteReference w:id="25"/>
      </w:r>
      <w:r w:rsidR="00282851">
        <w:t xml:space="preserve"> for </w:t>
      </w:r>
      <w:r w:rsidR="00953EAB">
        <w:t xml:space="preserve">the </w:t>
      </w:r>
      <w:r w:rsidR="00282851">
        <w:t xml:space="preserve">in-line </w:t>
      </w:r>
      <w:r w:rsidR="00953EAB">
        <w:t xml:space="preserve">management </w:t>
      </w:r>
      <w:r w:rsidR="00282851">
        <w:t xml:space="preserve">positions </w:t>
      </w:r>
      <w:r w:rsidR="003A6B98">
        <w:t xml:space="preserve">at Solomon Water </w:t>
      </w:r>
      <w:r w:rsidR="00282851">
        <w:t>a</w:t>
      </w:r>
      <w:r w:rsidR="00953EAB">
        <w:t xml:space="preserve">s </w:t>
      </w:r>
      <w:r w:rsidR="006C5D93">
        <w:t>for the long and short</w:t>
      </w:r>
      <w:r w:rsidR="003B48EB">
        <w:t xml:space="preserve"> </w:t>
      </w:r>
      <w:r w:rsidR="006C5D93">
        <w:t xml:space="preserve">term </w:t>
      </w:r>
      <w:r>
        <w:t>advisory roles</w:t>
      </w:r>
      <w:r w:rsidR="00282851">
        <w:t>. F</w:t>
      </w:r>
      <w:r>
        <w:t xml:space="preserve">or sustainability and good governance principles, future models for recruitment and management should have as an outcome the strengthening of the normal </w:t>
      </w:r>
      <w:r w:rsidR="006C5D93">
        <w:t xml:space="preserve">recruitment and performance </w:t>
      </w:r>
      <w:r w:rsidR="00282851">
        <w:t xml:space="preserve">management </w:t>
      </w:r>
      <w:r>
        <w:t xml:space="preserve">systems for in-line </w:t>
      </w:r>
      <w:r w:rsidR="00953EAB">
        <w:t xml:space="preserve">management </w:t>
      </w:r>
      <w:r>
        <w:t>positions</w:t>
      </w:r>
      <w:r w:rsidR="00EF0311">
        <w:rPr>
          <w:rStyle w:val="FootnoteReference"/>
        </w:rPr>
        <w:footnoteReference w:id="26"/>
      </w:r>
      <w:r>
        <w:t xml:space="preserve">. </w:t>
      </w:r>
      <w:r w:rsidR="00291071" w:rsidRPr="00514922">
        <w:t>The evaluation heard that the w</w:t>
      </w:r>
      <w:r w:rsidR="00205D40" w:rsidRPr="00514922">
        <w:t>orking relationship</w:t>
      </w:r>
      <w:r w:rsidR="00514922">
        <w:t>s</w:t>
      </w:r>
      <w:r w:rsidR="00205D40" w:rsidRPr="00514922">
        <w:t xml:space="preserve"> </w:t>
      </w:r>
      <w:r w:rsidR="005A7BBF" w:rsidRPr="00514922">
        <w:t>between DFAT</w:t>
      </w:r>
      <w:r w:rsidR="00514922">
        <w:t xml:space="preserve"> and </w:t>
      </w:r>
      <w:r w:rsidR="005A7BBF" w:rsidRPr="00514922">
        <w:t xml:space="preserve">Solomon Water had, at times, been affected by issues </w:t>
      </w:r>
      <w:r w:rsidR="0094537A" w:rsidRPr="00514922">
        <w:t>related to adviser recruitment and management.</w:t>
      </w:r>
      <w:r>
        <w:t xml:space="preserve"> </w:t>
      </w:r>
      <w:r w:rsidR="0073613D">
        <w:t xml:space="preserve">   </w:t>
      </w:r>
    </w:p>
    <w:p w14:paraId="76CF11CE" w14:textId="77777777" w:rsidR="00046FE3" w:rsidRPr="003436E0" w:rsidRDefault="00046FE3" w:rsidP="00046FE3">
      <w:pPr>
        <w:pStyle w:val="Bullet"/>
      </w:pPr>
      <w:r w:rsidRPr="00E27179">
        <w:t xml:space="preserve">The effectiveness of some of the short-term advisory positions was </w:t>
      </w:r>
      <w:r>
        <w:t xml:space="preserve">diminished </w:t>
      </w:r>
      <w:r w:rsidRPr="00E27179">
        <w:t>by (i) the absence of a General Manager and Program Manager during 2014/2015 which saw a lack of strategic oversight to inputs; (ii) the need for Advisers to take on roles outside their specific terms of reference (for example following the floods in 2014); and (iii) short</w:t>
      </w:r>
      <w:r w:rsidR="00B0565C">
        <w:t>-</w:t>
      </w:r>
      <w:r w:rsidRPr="00E27179">
        <w:t>term Advisers not consistently producing useful, sustainable</w:t>
      </w:r>
      <w:r w:rsidRPr="003436E0">
        <w:t xml:space="preserve"> outputs</w:t>
      </w:r>
      <w:r>
        <w:t xml:space="preserve"> as expected</w:t>
      </w:r>
      <w:r w:rsidRPr="003436E0">
        <w:t>.</w:t>
      </w:r>
    </w:p>
    <w:p w14:paraId="00EAF33E" w14:textId="77777777" w:rsidR="00672897" w:rsidRDefault="00D63EF3" w:rsidP="00672897">
      <w:pPr>
        <w:pStyle w:val="Heading3"/>
      </w:pPr>
      <w:r>
        <w:t>3.</w:t>
      </w:r>
      <w:r w:rsidR="00246A3E">
        <w:t>2</w:t>
      </w:r>
      <w:r>
        <w:t>.3</w:t>
      </w:r>
      <w:r>
        <w:tab/>
      </w:r>
      <w:r w:rsidR="00672897">
        <w:t>Mix of projects and activities</w:t>
      </w:r>
    </w:p>
    <w:p w14:paraId="5082381C" w14:textId="77777777" w:rsidR="007240DA" w:rsidRDefault="007240DA" w:rsidP="00B67E67">
      <w:r>
        <w:t>Flexibility in management of the implement</w:t>
      </w:r>
      <w:r w:rsidR="00D8208F">
        <w:t>ation</w:t>
      </w:r>
      <w:r>
        <w:t xml:space="preserve"> of the Development Plan has been vital in ensuring the relevance and appropriateness of various projects and activities.</w:t>
      </w:r>
      <w:r w:rsidR="00B0565C">
        <w:t xml:space="preserve"> </w:t>
      </w:r>
      <w:r>
        <w:t xml:space="preserve">For example, the IT solutions proposed in the Development Plan would have required business knowledge in how to build and use a new system. However, </w:t>
      </w:r>
      <w:r w:rsidR="00DC0727">
        <w:t>Solomon Water and DFAT agreed</w:t>
      </w:r>
      <w:r>
        <w:t xml:space="preserve"> that upgrading the billing system and HR database was a more cost effective, appropriate and efficient use of funds. </w:t>
      </w:r>
      <w:r w:rsidR="00DC0727">
        <w:t xml:space="preserve">DFAT’s </w:t>
      </w:r>
      <w:r w:rsidR="00B0565C">
        <w:t xml:space="preserve">budget support </w:t>
      </w:r>
      <w:r>
        <w:t xml:space="preserve">mechanism and management arrangements meant Solomon Water was able to implement this approach instead. </w:t>
      </w:r>
    </w:p>
    <w:p w14:paraId="2EAF78EB" w14:textId="4AA6FECC" w:rsidR="00313954" w:rsidRDefault="007E0219" w:rsidP="007240DA">
      <w:r w:rsidRPr="003436E0">
        <w:t xml:space="preserve">Some activities </w:t>
      </w:r>
      <w:r w:rsidR="000456DB">
        <w:t xml:space="preserve">implemented under </w:t>
      </w:r>
      <w:r w:rsidRPr="003436E0">
        <w:t xml:space="preserve">the </w:t>
      </w:r>
      <w:r w:rsidR="00E12034">
        <w:t>Development Plan</w:t>
      </w:r>
      <w:r w:rsidRPr="003436E0">
        <w:t xml:space="preserve"> were</w:t>
      </w:r>
      <w:r w:rsidR="000456DB">
        <w:t xml:space="preserve"> not appropriate. For example</w:t>
      </w:r>
      <w:r w:rsidRPr="003436E0">
        <w:t xml:space="preserve">, the </w:t>
      </w:r>
      <w:r w:rsidR="003B48EB">
        <w:t xml:space="preserve">in-house </w:t>
      </w:r>
      <w:r w:rsidRPr="003436E0">
        <w:t>development of the network model</w:t>
      </w:r>
      <w:r w:rsidR="000456DB">
        <w:t xml:space="preserve"> </w:t>
      </w:r>
      <w:r w:rsidRPr="003436E0">
        <w:t xml:space="preserve">may </w:t>
      </w:r>
      <w:r w:rsidR="000456DB">
        <w:t xml:space="preserve">have been </w:t>
      </w:r>
      <w:r w:rsidRPr="003436E0">
        <w:t>more appropriate</w:t>
      </w:r>
      <w:r w:rsidR="003B48EB">
        <w:t>ly outsourced</w:t>
      </w:r>
      <w:r w:rsidR="000456DB">
        <w:t>.</w:t>
      </w:r>
    </w:p>
    <w:p w14:paraId="1CBEA025" w14:textId="77777777" w:rsidR="007240DA" w:rsidRPr="00E54FC8" w:rsidRDefault="00313954" w:rsidP="007240DA">
      <w:r>
        <w:t>S</w:t>
      </w:r>
      <w:r w:rsidR="007E0219" w:rsidRPr="003436E0">
        <w:t xml:space="preserve">ome of </w:t>
      </w:r>
      <w:r>
        <w:t>the</w:t>
      </w:r>
      <w:r w:rsidR="007E0219" w:rsidRPr="003436E0">
        <w:t xml:space="preserve"> training activities were not undertaken as proposed in</w:t>
      </w:r>
      <w:r>
        <w:t xml:space="preserve"> the Development Plan</w:t>
      </w:r>
      <w:r w:rsidR="00ED5A9F">
        <w:t xml:space="preserve">; </w:t>
      </w:r>
      <w:r>
        <w:t>particularly the f</w:t>
      </w:r>
      <w:r w:rsidRPr="007240DA">
        <w:t xml:space="preserve">ormal technical training of </w:t>
      </w:r>
      <w:r>
        <w:t xml:space="preserve">operations and maintenance </w:t>
      </w:r>
      <w:r w:rsidRPr="007240DA">
        <w:t>personnel</w:t>
      </w:r>
      <w:r>
        <w:t xml:space="preserve">. </w:t>
      </w:r>
      <w:r w:rsidRPr="003436E0">
        <w:t>Most technical training was on-the-job training.</w:t>
      </w:r>
      <w:r>
        <w:t xml:space="preserve"> A basic training plan was developed in the absence of thorough analysis of training needs and was subsequently not used.  </w:t>
      </w:r>
      <w:r w:rsidR="007240DA">
        <w:t>S</w:t>
      </w:r>
      <w:r w:rsidR="007240DA" w:rsidRPr="00E54FC8">
        <w:t>ome</w:t>
      </w:r>
      <w:r w:rsidR="007240DA">
        <w:t xml:space="preserve"> training funding was</w:t>
      </w:r>
      <w:r w:rsidR="007240DA" w:rsidRPr="00E54FC8">
        <w:t xml:space="preserve"> re-align</w:t>
      </w:r>
      <w:r w:rsidR="00DC0727">
        <w:t>ed</w:t>
      </w:r>
      <w:r w:rsidR="007240DA" w:rsidRPr="00E54FC8">
        <w:t xml:space="preserve"> to adviser time and hardware</w:t>
      </w:r>
      <w:r>
        <w:t xml:space="preserve">. </w:t>
      </w:r>
    </w:p>
    <w:p w14:paraId="58127DF0" w14:textId="73EC8C3E" w:rsidR="009917CF" w:rsidRDefault="00636BA7" w:rsidP="00FC40AD">
      <w:r>
        <w:t>S</w:t>
      </w:r>
      <w:r w:rsidR="00313954">
        <w:t xml:space="preserve">olomon </w:t>
      </w:r>
      <w:r>
        <w:t>W</w:t>
      </w:r>
      <w:r w:rsidR="00313954">
        <w:t>ater</w:t>
      </w:r>
      <w:r>
        <w:t xml:space="preserve"> </w:t>
      </w:r>
      <w:r w:rsidR="00313954">
        <w:t xml:space="preserve">management is giving considerable attention to how the </w:t>
      </w:r>
      <w:r>
        <w:t>differen</w:t>
      </w:r>
      <w:r w:rsidR="00313954">
        <w:t>t</w:t>
      </w:r>
      <w:r>
        <w:t xml:space="preserve"> </w:t>
      </w:r>
      <w:r w:rsidR="00932B41">
        <w:t>experiences of delivering training are</w:t>
      </w:r>
      <w:r w:rsidR="00313954">
        <w:t xml:space="preserve"> helping the organisation</w:t>
      </w:r>
      <w:r w:rsidR="00313954" w:rsidRPr="00A6322D">
        <w:t>. E</w:t>
      </w:r>
      <w:r w:rsidRPr="00A6322D">
        <w:t xml:space="preserve">arly </w:t>
      </w:r>
      <w:r w:rsidR="00313954" w:rsidRPr="00A6322D">
        <w:t xml:space="preserve">indications </w:t>
      </w:r>
      <w:r w:rsidRPr="00A6322D">
        <w:t xml:space="preserve">are that the </w:t>
      </w:r>
      <w:r w:rsidR="00313954" w:rsidRPr="00A6322D">
        <w:t xml:space="preserve">preferred </w:t>
      </w:r>
      <w:r w:rsidRPr="00A6322D">
        <w:t xml:space="preserve">approaches for </w:t>
      </w:r>
      <w:r w:rsidR="00F626FB" w:rsidRPr="00A6322D">
        <w:t xml:space="preserve">future learning and development are: </w:t>
      </w:r>
      <w:r w:rsidR="00ED5A9F" w:rsidRPr="00A6322D">
        <w:t xml:space="preserve">using </w:t>
      </w:r>
      <w:r w:rsidRPr="00A6322D">
        <w:t xml:space="preserve">twinning </w:t>
      </w:r>
      <w:r w:rsidR="00ED5A9F" w:rsidRPr="00A6322D">
        <w:t xml:space="preserve">arrangements with other water utilities </w:t>
      </w:r>
      <w:r w:rsidRPr="00A6322D">
        <w:t xml:space="preserve">for </w:t>
      </w:r>
      <w:r w:rsidR="00ED5A9F" w:rsidRPr="00A6322D">
        <w:t xml:space="preserve">enhancing </w:t>
      </w:r>
      <w:r w:rsidRPr="00A6322D">
        <w:t>technical skills</w:t>
      </w:r>
      <w:r w:rsidR="00ED5A9F" w:rsidRPr="00A6322D">
        <w:t xml:space="preserve"> of Solomon Water staff</w:t>
      </w:r>
      <w:r w:rsidR="00F626FB" w:rsidRPr="00A6322D">
        <w:t xml:space="preserve">; </w:t>
      </w:r>
      <w:r w:rsidR="00ED5A9F" w:rsidRPr="00A6322D">
        <w:t xml:space="preserve">linking a learning and professional development approach to performance management; focusing on </w:t>
      </w:r>
      <w:r w:rsidRPr="00A6322D">
        <w:t>leadership</w:t>
      </w:r>
      <w:r w:rsidR="00ED5A9F" w:rsidRPr="00A6322D">
        <w:t xml:space="preserve">, </w:t>
      </w:r>
      <w:r w:rsidRPr="00A6322D">
        <w:t>management</w:t>
      </w:r>
      <w:r w:rsidR="00ED5A9F" w:rsidRPr="00A6322D">
        <w:t xml:space="preserve"> and </w:t>
      </w:r>
      <w:r w:rsidRPr="00A6322D">
        <w:t xml:space="preserve">ethics </w:t>
      </w:r>
      <w:r w:rsidR="00ED5A9F" w:rsidRPr="00A6322D">
        <w:t xml:space="preserve">training to support a change in the work culture; </w:t>
      </w:r>
      <w:r w:rsidR="00F626FB" w:rsidRPr="00A6322D">
        <w:t>upskilling staff</w:t>
      </w:r>
      <w:r w:rsidR="00A6322D" w:rsidRPr="00A6322D">
        <w:t xml:space="preserve"> – particularly new graduates</w:t>
      </w:r>
      <w:r w:rsidR="00F626FB" w:rsidRPr="00A6322D">
        <w:t>;</w:t>
      </w:r>
      <w:r w:rsidR="00A6322D" w:rsidRPr="00A6322D">
        <w:t xml:space="preserve"> and</w:t>
      </w:r>
      <w:r w:rsidR="00F626FB" w:rsidRPr="00A6322D">
        <w:t xml:space="preserve"> linking with other organisations </w:t>
      </w:r>
      <w:r w:rsidR="00A6322D" w:rsidRPr="00A6322D">
        <w:t>(for example, Solomon Power) for joint training opportunities.</w:t>
      </w:r>
      <w:r w:rsidR="00F626FB">
        <w:t xml:space="preserve">    </w:t>
      </w:r>
      <w:r>
        <w:t xml:space="preserve"> </w:t>
      </w:r>
    </w:p>
    <w:p w14:paraId="58763980" w14:textId="68955DE1" w:rsidR="000A67A4" w:rsidRDefault="0063218D" w:rsidP="000A67A4">
      <w:r>
        <w:t xml:space="preserve">The </w:t>
      </w:r>
      <w:r w:rsidR="000A67A4" w:rsidRPr="00D5182B">
        <w:t>introduc</w:t>
      </w:r>
      <w:r>
        <w:t xml:space="preserve">tion of </w:t>
      </w:r>
      <w:r w:rsidR="003B48EB">
        <w:t xml:space="preserve">new systems, for example </w:t>
      </w:r>
      <w:r w:rsidR="000A67A4" w:rsidRPr="00D5182B">
        <w:t>SCADA and GI</w:t>
      </w:r>
      <w:r w:rsidR="000A67A4">
        <w:t>S</w:t>
      </w:r>
      <w:r w:rsidR="000A67A4" w:rsidRPr="00D5182B">
        <w:t xml:space="preserve">, </w:t>
      </w:r>
      <w:r>
        <w:t>require</w:t>
      </w:r>
      <w:r w:rsidR="003B48EB">
        <w:t>s</w:t>
      </w:r>
      <w:r>
        <w:t xml:space="preserve"> significant </w:t>
      </w:r>
      <w:r w:rsidR="000A67A4" w:rsidRPr="00D5182B">
        <w:t xml:space="preserve">consideration </w:t>
      </w:r>
      <w:r>
        <w:t xml:space="preserve">of the </w:t>
      </w:r>
      <w:r w:rsidR="000A67A4" w:rsidRPr="00D5182B">
        <w:t>operating costs and skills required to</w:t>
      </w:r>
      <w:r w:rsidR="000A67A4">
        <w:t xml:space="preserve"> operate</w:t>
      </w:r>
      <w:r w:rsidR="003B48EB">
        <w:t xml:space="preserve"> them</w:t>
      </w:r>
      <w:r w:rsidR="000A67A4">
        <w:t>.</w:t>
      </w:r>
      <w:r w:rsidR="000A67A4" w:rsidRPr="000A67A4">
        <w:t xml:space="preserve"> </w:t>
      </w:r>
      <w:r>
        <w:t>This is an area that could be strengthened</w:t>
      </w:r>
      <w:r w:rsidR="003B48EB">
        <w:t xml:space="preserve">. </w:t>
      </w:r>
    </w:p>
    <w:p w14:paraId="4A88D11F" w14:textId="77777777" w:rsidR="00C5122B" w:rsidRPr="00ED61C4" w:rsidRDefault="00ED61C4" w:rsidP="00FC40AD">
      <w:pPr>
        <w:pStyle w:val="Heading3"/>
      </w:pPr>
      <w:r>
        <w:lastRenderedPageBreak/>
        <w:t>3.</w:t>
      </w:r>
      <w:r w:rsidR="00246A3E">
        <w:t>2</w:t>
      </w:r>
      <w:r>
        <w:t>.4</w:t>
      </w:r>
      <w:r>
        <w:tab/>
      </w:r>
      <w:r w:rsidRPr="00ED61C4">
        <w:t xml:space="preserve">Factors affecting </w:t>
      </w:r>
      <w:r w:rsidR="00EC14EB">
        <w:t>i</w:t>
      </w:r>
      <w:r w:rsidRPr="00ED61C4">
        <w:t xml:space="preserve">mplementation </w:t>
      </w:r>
    </w:p>
    <w:p w14:paraId="7DCB6222" w14:textId="40BBB8FD" w:rsidR="00210963" w:rsidRDefault="00E7041F" w:rsidP="00FC40AD">
      <w:pPr>
        <w:rPr>
          <w:rFonts w:eastAsia="Calibri"/>
          <w:lang w:val="en-NZ" w:eastAsia="en-US"/>
        </w:rPr>
      </w:pPr>
      <w:r>
        <w:rPr>
          <w:rFonts w:eastAsia="Calibri"/>
          <w:lang w:val="en-NZ" w:eastAsia="en-US"/>
        </w:rPr>
        <w:t xml:space="preserve">The status of each of the proposed activities in the </w:t>
      </w:r>
      <w:r w:rsidR="00E12034">
        <w:rPr>
          <w:rFonts w:eastAsia="Calibri"/>
          <w:lang w:val="en-NZ" w:eastAsia="en-US"/>
        </w:rPr>
        <w:t>Development Plan</w:t>
      </w:r>
      <w:r>
        <w:rPr>
          <w:rFonts w:eastAsia="Calibri"/>
          <w:lang w:val="en-NZ" w:eastAsia="en-US"/>
        </w:rPr>
        <w:t xml:space="preserve"> is shown in </w:t>
      </w:r>
      <w:r w:rsidRPr="00C417E3">
        <w:rPr>
          <w:rFonts w:eastAsia="Calibri"/>
          <w:lang w:val="en-NZ" w:eastAsia="en-US"/>
        </w:rPr>
        <w:t xml:space="preserve">Appendix </w:t>
      </w:r>
      <w:r w:rsidR="00156019">
        <w:rPr>
          <w:rFonts w:eastAsia="Calibri"/>
          <w:lang w:val="en-NZ" w:eastAsia="en-US"/>
        </w:rPr>
        <w:t>E</w:t>
      </w:r>
      <w:r w:rsidR="00C417E3">
        <w:rPr>
          <w:rFonts w:eastAsia="Calibri"/>
          <w:lang w:val="en-NZ" w:eastAsia="en-US"/>
        </w:rPr>
        <w:t>.</w:t>
      </w:r>
      <w:r>
        <w:rPr>
          <w:rFonts w:eastAsia="Calibri"/>
          <w:lang w:val="en-NZ" w:eastAsia="en-US"/>
        </w:rPr>
        <w:t xml:space="preserve"> </w:t>
      </w:r>
      <w:r w:rsidR="00781CC1">
        <w:rPr>
          <w:rFonts w:eastAsia="Calibri"/>
          <w:lang w:val="en-NZ" w:eastAsia="en-US"/>
        </w:rPr>
        <w:t xml:space="preserve">Originally a two-year </w:t>
      </w:r>
      <w:r w:rsidR="001273FD">
        <w:rPr>
          <w:rFonts w:eastAsia="Calibri"/>
          <w:lang w:val="en-NZ" w:eastAsia="en-US"/>
        </w:rPr>
        <w:t xml:space="preserve">plan, implementation will have extended to </w:t>
      </w:r>
      <w:r w:rsidR="00B9107F">
        <w:rPr>
          <w:rFonts w:eastAsia="Calibri"/>
          <w:lang w:val="en-NZ" w:eastAsia="en-US"/>
        </w:rPr>
        <w:t>4.5</w:t>
      </w:r>
      <w:r w:rsidR="00781CC1">
        <w:rPr>
          <w:rFonts w:eastAsia="Calibri"/>
          <w:lang w:val="en-NZ" w:eastAsia="en-US"/>
        </w:rPr>
        <w:t xml:space="preserve"> years once completed. </w:t>
      </w:r>
    </w:p>
    <w:p w14:paraId="7E80A450" w14:textId="77777777" w:rsidR="00781CC1" w:rsidRDefault="0071420B" w:rsidP="00FC40AD">
      <w:pPr>
        <w:rPr>
          <w:rFonts w:eastAsia="Calibri"/>
          <w:lang w:val="en-NZ" w:eastAsia="en-US"/>
        </w:rPr>
      </w:pPr>
      <w:r>
        <w:rPr>
          <w:rFonts w:eastAsia="Calibri"/>
          <w:lang w:val="en-NZ" w:eastAsia="en-US"/>
        </w:rPr>
        <w:t xml:space="preserve">Several </w:t>
      </w:r>
      <w:r w:rsidR="00781CC1">
        <w:rPr>
          <w:rFonts w:eastAsia="Calibri"/>
          <w:lang w:val="en-NZ" w:eastAsia="en-US"/>
        </w:rPr>
        <w:t xml:space="preserve">factors </w:t>
      </w:r>
      <w:r w:rsidR="001273FD">
        <w:rPr>
          <w:rFonts w:eastAsia="Calibri"/>
          <w:lang w:val="en-NZ" w:eastAsia="en-US"/>
        </w:rPr>
        <w:t xml:space="preserve">have </w:t>
      </w:r>
      <w:r w:rsidR="00210963">
        <w:rPr>
          <w:rFonts w:eastAsia="Calibri"/>
          <w:lang w:val="en-NZ" w:eastAsia="en-US"/>
        </w:rPr>
        <w:t>affected implementation</w:t>
      </w:r>
      <w:r w:rsidR="00BE7D03">
        <w:rPr>
          <w:rFonts w:eastAsia="Calibri"/>
          <w:lang w:val="en-NZ" w:eastAsia="en-US"/>
        </w:rPr>
        <w:t>, including</w:t>
      </w:r>
      <w:r w:rsidR="00781CC1">
        <w:rPr>
          <w:rFonts w:eastAsia="Calibri"/>
          <w:lang w:val="en-NZ" w:eastAsia="en-US"/>
        </w:rPr>
        <w:t>:</w:t>
      </w:r>
    </w:p>
    <w:p w14:paraId="282C9BE8" w14:textId="07E78308" w:rsidR="00BE7D03" w:rsidRDefault="00E7041F" w:rsidP="00FC40AD">
      <w:pPr>
        <w:pStyle w:val="Bullet"/>
        <w:rPr>
          <w:rFonts w:eastAsia="Calibri"/>
          <w:lang w:val="en-NZ" w:eastAsia="en-US"/>
        </w:rPr>
      </w:pPr>
      <w:r w:rsidRPr="00822567">
        <w:rPr>
          <w:rFonts w:eastAsia="Calibri"/>
          <w:lang w:val="en-NZ" w:eastAsia="en-US"/>
        </w:rPr>
        <w:t xml:space="preserve">The cost of the </w:t>
      </w:r>
      <w:r w:rsidR="00210963">
        <w:rPr>
          <w:rFonts w:eastAsia="Calibri"/>
          <w:lang w:val="en-NZ" w:eastAsia="en-US"/>
        </w:rPr>
        <w:t>Titinge-East Kola transmission main</w:t>
      </w:r>
      <w:r w:rsidRPr="00822567">
        <w:rPr>
          <w:rFonts w:eastAsia="Calibri"/>
          <w:lang w:val="en-NZ" w:eastAsia="en-US"/>
        </w:rPr>
        <w:t xml:space="preserve"> was substantially underestimated which has required a re-alignment of the budget resulting in the </w:t>
      </w:r>
      <w:r w:rsidR="00633462">
        <w:rPr>
          <w:rFonts w:eastAsia="Calibri"/>
          <w:lang w:val="en-NZ" w:eastAsia="en-US"/>
        </w:rPr>
        <w:t>de-prioritisation</w:t>
      </w:r>
      <w:r w:rsidR="00633462" w:rsidRPr="00822567">
        <w:rPr>
          <w:rFonts w:eastAsia="Calibri"/>
          <w:lang w:val="en-NZ" w:eastAsia="en-US"/>
        </w:rPr>
        <w:t xml:space="preserve"> </w:t>
      </w:r>
      <w:r w:rsidRPr="00822567">
        <w:rPr>
          <w:rFonts w:eastAsia="Calibri"/>
          <w:lang w:val="en-NZ" w:eastAsia="en-US"/>
        </w:rPr>
        <w:t xml:space="preserve">of some of the proposed activities. The most significant of these was the </w:t>
      </w:r>
      <w:r w:rsidR="00633462">
        <w:rPr>
          <w:rFonts w:eastAsia="Calibri"/>
          <w:lang w:val="en-NZ" w:eastAsia="en-US"/>
        </w:rPr>
        <w:t>deferral</w:t>
      </w:r>
      <w:r w:rsidR="00633462" w:rsidRPr="00822567">
        <w:rPr>
          <w:rFonts w:eastAsia="Calibri"/>
          <w:lang w:val="en-NZ" w:eastAsia="en-US"/>
        </w:rPr>
        <w:t xml:space="preserve"> </w:t>
      </w:r>
      <w:r w:rsidRPr="00822567">
        <w:rPr>
          <w:rFonts w:eastAsia="Calibri"/>
          <w:lang w:val="en-NZ" w:eastAsia="en-US"/>
        </w:rPr>
        <w:t xml:space="preserve">of distribution system improvements </w:t>
      </w:r>
      <w:r w:rsidR="000A49BA">
        <w:rPr>
          <w:rFonts w:eastAsia="Calibri"/>
          <w:lang w:val="en-NZ" w:eastAsia="en-US"/>
        </w:rPr>
        <w:t xml:space="preserve">and the East Kola reservoir </w:t>
      </w:r>
      <w:r w:rsidRPr="00822567">
        <w:rPr>
          <w:rFonts w:eastAsia="Calibri"/>
          <w:lang w:val="en-NZ" w:eastAsia="en-US"/>
        </w:rPr>
        <w:t xml:space="preserve">which will impact upon the reliability of the water supply </w:t>
      </w:r>
      <w:r w:rsidRPr="00822567">
        <w:t>service</w:t>
      </w:r>
      <w:r w:rsidRPr="00822567">
        <w:rPr>
          <w:rFonts w:eastAsia="Calibri"/>
          <w:lang w:val="en-NZ" w:eastAsia="en-US"/>
        </w:rPr>
        <w:t xml:space="preserve"> and the NRW reduction. </w:t>
      </w:r>
    </w:p>
    <w:p w14:paraId="5265DD16" w14:textId="5DE8F897" w:rsidR="00BE7D03" w:rsidRDefault="00BE7D03" w:rsidP="00FC40AD">
      <w:pPr>
        <w:pStyle w:val="Bullet"/>
        <w:rPr>
          <w:rFonts w:eastAsia="Calibri"/>
          <w:lang w:val="en-NZ" w:eastAsia="en-US"/>
        </w:rPr>
      </w:pPr>
      <w:r w:rsidRPr="003436E0">
        <w:t>Discontinuity in senior leadership</w:t>
      </w:r>
      <w:r w:rsidR="00D01F4B">
        <w:t xml:space="preserve">, brought about by </w:t>
      </w:r>
      <w:r w:rsidR="00633462">
        <w:t>the unexpected departure of the Program Manager and General Manager in late 2014</w:t>
      </w:r>
      <w:r w:rsidR="00932B41">
        <w:t xml:space="preserve">, </w:t>
      </w:r>
      <w:r w:rsidR="00932B41" w:rsidRPr="003436E0">
        <w:t>delayed</w:t>
      </w:r>
      <w:r w:rsidRPr="003436E0">
        <w:t xml:space="preserve"> </w:t>
      </w:r>
      <w:r>
        <w:t xml:space="preserve">implementation and affected organisational capacity and leadership to implement a reform agenda across key operational areas of the organisation. </w:t>
      </w:r>
    </w:p>
    <w:p w14:paraId="28DF6B9C" w14:textId="77777777" w:rsidR="00AC1A7E" w:rsidRPr="00440064" w:rsidRDefault="00AC1A7E" w:rsidP="00FC40AD">
      <w:pPr>
        <w:pStyle w:val="Bullet"/>
        <w:rPr>
          <w:rFonts w:eastAsia="Calibri"/>
          <w:lang w:val="en-NZ" w:eastAsia="en-US"/>
        </w:rPr>
      </w:pPr>
      <w:r>
        <w:t>S</w:t>
      </w:r>
      <w:r w:rsidR="006B2A31">
        <w:t xml:space="preserve">olomon Water’s financial situation is sensitive to cash payments, which has meant at various times the organisation did not have cash available </w:t>
      </w:r>
      <w:r>
        <w:t xml:space="preserve">to support </w:t>
      </w:r>
      <w:r w:rsidR="006B2A31">
        <w:t xml:space="preserve">its nominated </w:t>
      </w:r>
      <w:r>
        <w:t>contribution</w:t>
      </w:r>
      <w:r w:rsidR="006B2A31">
        <w:t>s</w:t>
      </w:r>
      <w:r>
        <w:t xml:space="preserve"> to </w:t>
      </w:r>
      <w:r w:rsidR="006B2A31">
        <w:t xml:space="preserve">the Development Plan. </w:t>
      </w:r>
    </w:p>
    <w:p w14:paraId="1E30189D" w14:textId="7D74F5A6" w:rsidR="00E7041F" w:rsidRPr="003436E0" w:rsidRDefault="00E7041F" w:rsidP="00FC40AD">
      <w:pPr>
        <w:pStyle w:val="Bullet"/>
      </w:pPr>
      <w:r w:rsidRPr="003436E0">
        <w:t>Issues such as land acquisition, resettlement and environmental impact of major projects such as the transmission mains were not fully addressed</w:t>
      </w:r>
      <w:r w:rsidR="00BE7D03">
        <w:t xml:space="preserve"> </w:t>
      </w:r>
      <w:r w:rsidR="00A40EEF">
        <w:t>during</w:t>
      </w:r>
      <w:r w:rsidR="003B51B1">
        <w:t xml:space="preserve"> </w:t>
      </w:r>
      <w:r w:rsidRPr="003436E0">
        <w:t xml:space="preserve">project </w:t>
      </w:r>
      <w:r w:rsidR="006B2A31">
        <w:t xml:space="preserve">planning and </w:t>
      </w:r>
      <w:r w:rsidRPr="003436E0">
        <w:t>development</w:t>
      </w:r>
      <w:r w:rsidR="00A40EEF">
        <w:t xml:space="preserve"> which meant that implementation was delayed while these safeguard issues were being undertaken and negotiations with landowners continued.  </w:t>
      </w:r>
    </w:p>
    <w:p w14:paraId="362D09D1" w14:textId="77777777" w:rsidR="0071420B" w:rsidRDefault="00F77B74" w:rsidP="00FC40AD">
      <w:pPr>
        <w:pStyle w:val="Bullet"/>
      </w:pPr>
      <w:r>
        <w:t xml:space="preserve">The floods in Honiara in </w:t>
      </w:r>
      <w:r w:rsidR="0071420B">
        <w:t xml:space="preserve">April 2014 </w:t>
      </w:r>
      <w:r>
        <w:t xml:space="preserve">affected the operations of Solomon Water, </w:t>
      </w:r>
      <w:r w:rsidR="00DD231F">
        <w:t xml:space="preserve">and </w:t>
      </w:r>
      <w:r w:rsidR="006265A0">
        <w:t xml:space="preserve">necessarily </w:t>
      </w:r>
      <w:r w:rsidR="00DD231F">
        <w:t xml:space="preserve">delayed </w:t>
      </w:r>
      <w:r>
        <w:t xml:space="preserve">the implementation of the Development Plan. </w:t>
      </w:r>
    </w:p>
    <w:p w14:paraId="78DE550A" w14:textId="77777777" w:rsidR="00AA6B4F" w:rsidRDefault="00AA6B4F" w:rsidP="00FC40AD">
      <w:pPr>
        <w:pStyle w:val="Heading4"/>
        <w:rPr>
          <w:rFonts w:eastAsia="Calibri"/>
          <w:lang w:val="en-NZ" w:eastAsia="en-US"/>
        </w:rPr>
      </w:pPr>
      <w:r>
        <w:rPr>
          <w:rFonts w:eastAsia="Calibri"/>
          <w:lang w:val="en-NZ" w:eastAsia="en-US"/>
        </w:rPr>
        <w:t>Key findings</w:t>
      </w:r>
    </w:p>
    <w:p w14:paraId="047150BB" w14:textId="77777777" w:rsidR="00CF69F2" w:rsidRDefault="009C5C1A" w:rsidP="00FC40AD">
      <w:r>
        <w:t>The b</w:t>
      </w:r>
      <w:r w:rsidR="00CF69F2" w:rsidRPr="007674E3">
        <w:t xml:space="preserve">udget support mechanism has been an effective way </w:t>
      </w:r>
      <w:r>
        <w:t xml:space="preserve">for Solomon Water to manage DFAT funding and has </w:t>
      </w:r>
      <w:r w:rsidR="00CF69F2">
        <w:t>provide</w:t>
      </w:r>
      <w:r>
        <w:t>d</w:t>
      </w:r>
      <w:r w:rsidR="00CF69F2">
        <w:t xml:space="preserve"> a high level of accountability</w:t>
      </w:r>
      <w:r>
        <w:t xml:space="preserve">. Long-term technical assistance </w:t>
      </w:r>
      <w:r w:rsidR="00F735E7">
        <w:t xml:space="preserve">for </w:t>
      </w:r>
      <w:r>
        <w:t xml:space="preserve">in-line positions has also been valuable to Solomon Water and has provided the necessary organisational capacity for other donors to provide support to the organisation. </w:t>
      </w:r>
    </w:p>
    <w:p w14:paraId="0A32BF39" w14:textId="523EEBD1" w:rsidR="00CF69F2" w:rsidRDefault="00CF69F2" w:rsidP="00FC40AD">
      <w:r w:rsidRPr="00D03C36">
        <w:t>DFAT procedures</w:t>
      </w:r>
      <w:r>
        <w:t xml:space="preserve"> </w:t>
      </w:r>
      <w:r w:rsidR="00F735E7">
        <w:t xml:space="preserve">for </w:t>
      </w:r>
      <w:r>
        <w:t xml:space="preserve">recruitment and </w:t>
      </w:r>
      <w:r w:rsidR="001919CD">
        <w:t xml:space="preserve">performance </w:t>
      </w:r>
      <w:r>
        <w:t xml:space="preserve">management </w:t>
      </w:r>
      <w:r w:rsidR="00F735E7">
        <w:t xml:space="preserve">of </w:t>
      </w:r>
      <w:r>
        <w:t>in</w:t>
      </w:r>
      <w:r w:rsidR="009C5C1A">
        <w:t>-</w:t>
      </w:r>
      <w:r>
        <w:t>line management positions</w:t>
      </w:r>
      <w:r w:rsidR="005B172C">
        <w:t xml:space="preserve"> were not entirely suitable. R</w:t>
      </w:r>
      <w:r>
        <w:t xml:space="preserve">ecruitment and </w:t>
      </w:r>
      <w:r w:rsidR="001919CD">
        <w:t xml:space="preserve">performance </w:t>
      </w:r>
      <w:r>
        <w:t xml:space="preserve">management for these positions should </w:t>
      </w:r>
      <w:r w:rsidR="009C5C1A">
        <w:t xml:space="preserve">ideally </w:t>
      </w:r>
      <w:r>
        <w:t xml:space="preserve">be driven by the </w:t>
      </w:r>
      <w:r w:rsidRPr="00210963">
        <w:t>Board</w:t>
      </w:r>
      <w:r w:rsidR="005B172C">
        <w:t xml:space="preserve"> and/or </w:t>
      </w:r>
      <w:r w:rsidRPr="00210963">
        <w:t>General Manager to whom they are responsible.</w:t>
      </w:r>
    </w:p>
    <w:p w14:paraId="57DEA467" w14:textId="4E52CE9C" w:rsidR="001039A6" w:rsidRDefault="001039A6" w:rsidP="001039A6">
      <w:pPr>
        <w:rPr>
          <w:rFonts w:eastAsia="Calibri"/>
          <w:lang w:val="en-NZ" w:eastAsia="en-US"/>
        </w:rPr>
      </w:pPr>
      <w:r w:rsidRPr="001F111B">
        <w:rPr>
          <w:rFonts w:eastAsia="Calibri"/>
          <w:lang w:val="en-NZ" w:eastAsia="en-US"/>
        </w:rPr>
        <w:t xml:space="preserve">The lack of a strong, dedicated Project Management Unit within </w:t>
      </w:r>
      <w:r>
        <w:rPr>
          <w:rFonts w:eastAsia="Calibri"/>
          <w:lang w:val="en-NZ" w:eastAsia="en-US"/>
        </w:rPr>
        <w:t>Solomon Water</w:t>
      </w:r>
      <w:r w:rsidRPr="001F111B">
        <w:rPr>
          <w:rFonts w:eastAsia="Calibri"/>
          <w:lang w:val="en-NZ" w:eastAsia="en-US"/>
        </w:rPr>
        <w:t xml:space="preserve"> resulted in delays in implementation of the D</w:t>
      </w:r>
      <w:r w:rsidR="009C5C1A">
        <w:rPr>
          <w:rFonts w:eastAsia="Calibri"/>
          <w:lang w:val="en-NZ" w:eastAsia="en-US"/>
        </w:rPr>
        <w:t xml:space="preserve">evelopment </w:t>
      </w:r>
      <w:r w:rsidRPr="001F111B">
        <w:rPr>
          <w:rFonts w:eastAsia="Calibri"/>
          <w:lang w:val="en-NZ" w:eastAsia="en-US"/>
        </w:rPr>
        <w:t>P</w:t>
      </w:r>
      <w:r w:rsidR="009C5C1A">
        <w:rPr>
          <w:rFonts w:eastAsia="Calibri"/>
          <w:lang w:val="en-NZ" w:eastAsia="en-US"/>
        </w:rPr>
        <w:t>lan</w:t>
      </w:r>
      <w:r w:rsidRPr="001F111B">
        <w:rPr>
          <w:rFonts w:eastAsia="Calibri"/>
          <w:lang w:val="en-NZ" w:eastAsia="en-US"/>
        </w:rPr>
        <w:t>. This may also impact on future capital works programs.</w:t>
      </w:r>
    </w:p>
    <w:p w14:paraId="1355F430" w14:textId="77777777" w:rsidR="00AC3E86" w:rsidRPr="001F111B" w:rsidRDefault="00AC3E86" w:rsidP="00AC3E86">
      <w:pPr>
        <w:rPr>
          <w:rFonts w:eastAsia="Calibri"/>
          <w:lang w:val="en-NZ" w:eastAsia="en-US"/>
        </w:rPr>
      </w:pPr>
      <w:r w:rsidRPr="001F111B">
        <w:rPr>
          <w:rFonts w:eastAsia="Calibri"/>
          <w:lang w:val="en-NZ" w:eastAsia="en-US"/>
        </w:rPr>
        <w:t xml:space="preserve">Issues of land acquisition/leasing for proposed water supply facilities and right of way for </w:t>
      </w:r>
      <w:r w:rsidR="000C1E95">
        <w:rPr>
          <w:rFonts w:eastAsia="Calibri"/>
          <w:lang w:val="en-NZ" w:eastAsia="en-US"/>
        </w:rPr>
        <w:t xml:space="preserve">existing </w:t>
      </w:r>
      <w:r w:rsidRPr="001F111B">
        <w:rPr>
          <w:rFonts w:eastAsia="Calibri"/>
          <w:lang w:val="en-NZ" w:eastAsia="en-US"/>
        </w:rPr>
        <w:t xml:space="preserve">pipelines </w:t>
      </w:r>
      <w:r w:rsidR="000C1E95">
        <w:rPr>
          <w:rFonts w:eastAsia="Calibri"/>
          <w:lang w:val="en-NZ" w:eastAsia="en-US"/>
        </w:rPr>
        <w:t xml:space="preserve">and </w:t>
      </w:r>
      <w:r w:rsidRPr="001F111B">
        <w:rPr>
          <w:rFonts w:eastAsia="Calibri"/>
          <w:lang w:val="en-NZ" w:eastAsia="en-US"/>
        </w:rPr>
        <w:t>facilities have caused delays to some components of the D</w:t>
      </w:r>
      <w:r w:rsidR="000C1E95">
        <w:rPr>
          <w:rFonts w:eastAsia="Calibri"/>
          <w:lang w:val="en-NZ" w:eastAsia="en-US"/>
        </w:rPr>
        <w:t xml:space="preserve">evelopment Plan. </w:t>
      </w:r>
      <w:r w:rsidRPr="001F111B">
        <w:rPr>
          <w:rFonts w:eastAsia="Calibri"/>
          <w:lang w:val="en-NZ" w:eastAsia="en-US"/>
        </w:rPr>
        <w:t xml:space="preserve">While these issues will not be quickly resolved, </w:t>
      </w:r>
      <w:r>
        <w:rPr>
          <w:rFonts w:eastAsia="Calibri"/>
          <w:lang w:val="en-NZ" w:eastAsia="en-US"/>
        </w:rPr>
        <w:t>Solomon Water</w:t>
      </w:r>
      <w:r w:rsidRPr="001F111B">
        <w:rPr>
          <w:rFonts w:eastAsia="Calibri"/>
          <w:lang w:val="en-NZ" w:eastAsia="en-US"/>
        </w:rPr>
        <w:t xml:space="preserve"> needs to build into the planning process the necessary time and procedures to resolve land issues well in advance o</w:t>
      </w:r>
      <w:r w:rsidR="000C1E95">
        <w:rPr>
          <w:rFonts w:eastAsia="Calibri"/>
          <w:lang w:val="en-NZ" w:eastAsia="en-US"/>
        </w:rPr>
        <w:t>f</w:t>
      </w:r>
      <w:r w:rsidRPr="001F111B">
        <w:rPr>
          <w:rFonts w:eastAsia="Calibri"/>
          <w:lang w:val="en-NZ" w:eastAsia="en-US"/>
        </w:rPr>
        <w:t xml:space="preserve"> project implementation.</w:t>
      </w:r>
    </w:p>
    <w:p w14:paraId="63859713" w14:textId="77777777" w:rsidR="00AA6B4F" w:rsidRDefault="00AA6B4F" w:rsidP="00FC40AD">
      <w:pPr>
        <w:pStyle w:val="RecommendationName"/>
      </w:pPr>
      <w:r>
        <w:t>Recommendations</w:t>
      </w:r>
    </w:p>
    <w:p w14:paraId="508DAB95" w14:textId="77777777" w:rsidR="00A40EEF" w:rsidRDefault="008B2D7D" w:rsidP="008B2D7D">
      <w:pPr>
        <w:pStyle w:val="RecommendationText"/>
        <w:ind w:left="720" w:hanging="720"/>
      </w:pPr>
      <w:r>
        <w:t>vi</w:t>
      </w:r>
      <w:r>
        <w:tab/>
      </w:r>
      <w:r w:rsidR="0020766C">
        <w:t>Solomon Water establishes a</w:t>
      </w:r>
      <w:r w:rsidR="00B528D9" w:rsidRPr="00DD37BD">
        <w:t xml:space="preserve"> </w:t>
      </w:r>
      <w:r w:rsidR="007C1576">
        <w:t>p</w:t>
      </w:r>
      <w:r w:rsidR="00B528D9" w:rsidRPr="00DD37BD">
        <w:t xml:space="preserve">roject </w:t>
      </w:r>
      <w:r w:rsidR="007C1576">
        <w:t>m</w:t>
      </w:r>
      <w:r w:rsidR="00B528D9" w:rsidRPr="00DD37BD">
        <w:t>anagement</w:t>
      </w:r>
      <w:r w:rsidR="0020766C">
        <w:t xml:space="preserve"> </w:t>
      </w:r>
      <w:r w:rsidR="007C1576">
        <w:t xml:space="preserve">capability </w:t>
      </w:r>
      <w:r w:rsidR="0020766C">
        <w:t>(in-house or outsourced) to oversight construction and non-construction projects, especially those involving donor funding.</w:t>
      </w:r>
    </w:p>
    <w:p w14:paraId="1701923D" w14:textId="75DD5C1E" w:rsidR="001919CD" w:rsidRDefault="00A40EEF" w:rsidP="008B2D7D">
      <w:pPr>
        <w:pStyle w:val="RecommendationText"/>
        <w:ind w:left="720" w:hanging="720"/>
      </w:pPr>
      <w:r>
        <w:lastRenderedPageBreak/>
        <w:t>vii</w:t>
      </w:r>
      <w:r w:rsidR="001919CD">
        <w:tab/>
      </w:r>
      <w:r w:rsidR="00E11E9B">
        <w:t>F</w:t>
      </w:r>
      <w:r>
        <w:t xml:space="preserve">or future capital works programs, Solomon Water ensures that the appropriate safeguard </w:t>
      </w:r>
      <w:r w:rsidR="00E11E9B">
        <w:t>policies and activities are undertaken</w:t>
      </w:r>
      <w:r>
        <w:t xml:space="preserve"> </w:t>
      </w:r>
      <w:r w:rsidR="00E11E9B">
        <w:t>during the project preparation phase in advance of implementation.</w:t>
      </w:r>
    </w:p>
    <w:p w14:paraId="40438F47" w14:textId="06D4A482" w:rsidR="00E11E9B" w:rsidRDefault="00E11E9B" w:rsidP="008B2D7D">
      <w:pPr>
        <w:pStyle w:val="RecommendationText"/>
        <w:ind w:left="720" w:hanging="720"/>
      </w:pPr>
      <w:r>
        <w:t>viii</w:t>
      </w:r>
      <w:r>
        <w:tab/>
        <w:t xml:space="preserve">DFAT consider </w:t>
      </w:r>
      <w:r w:rsidR="005B172C">
        <w:t xml:space="preserve">alternative approaches for the </w:t>
      </w:r>
      <w:r>
        <w:t xml:space="preserve">recruitment and performance management </w:t>
      </w:r>
      <w:r w:rsidR="005B172C">
        <w:t xml:space="preserve">of </w:t>
      </w:r>
      <w:r>
        <w:t xml:space="preserve">in-line </w:t>
      </w:r>
      <w:r w:rsidR="005B172C">
        <w:t xml:space="preserve">management </w:t>
      </w:r>
      <w:r>
        <w:t xml:space="preserve">positions to those </w:t>
      </w:r>
      <w:r w:rsidR="005B172C">
        <w:t xml:space="preserve">used for </w:t>
      </w:r>
      <w:r>
        <w:t>long term and short term technical advisers.</w:t>
      </w:r>
    </w:p>
    <w:p w14:paraId="3253FBF0" w14:textId="77777777" w:rsidR="00672897" w:rsidRPr="00672897" w:rsidRDefault="00D63EF3" w:rsidP="00FC40AD">
      <w:pPr>
        <w:pStyle w:val="Heading2"/>
      </w:pPr>
      <w:bookmarkStart w:id="26" w:name="_Toc453955992"/>
      <w:r>
        <w:t>3.</w:t>
      </w:r>
      <w:r w:rsidR="00246A3E">
        <w:t>3</w:t>
      </w:r>
      <w:r>
        <w:tab/>
      </w:r>
      <w:r w:rsidR="00672897">
        <w:t>Risk management</w:t>
      </w:r>
      <w:bookmarkEnd w:id="26"/>
    </w:p>
    <w:p w14:paraId="5AF4EE7E" w14:textId="137B2B43" w:rsidR="00E93C24" w:rsidRDefault="00D93119" w:rsidP="00D93119">
      <w:r>
        <w:t>A number of risks were identified in the Development Plan</w:t>
      </w:r>
      <w:r w:rsidR="00803372">
        <w:t>, s</w:t>
      </w:r>
      <w:r>
        <w:t xml:space="preserve">everal of </w:t>
      </w:r>
      <w:r w:rsidR="00803372">
        <w:t xml:space="preserve">which </w:t>
      </w:r>
      <w:r>
        <w:t>have eventuated.</w:t>
      </w:r>
      <w:r w:rsidR="00F25EFC" w:rsidRPr="00F25EFC">
        <w:t xml:space="preserve"> </w:t>
      </w:r>
      <w:r w:rsidR="00F25EFC">
        <w:t xml:space="preserve">With the exception of </w:t>
      </w:r>
      <w:r w:rsidR="00F25EFC" w:rsidRPr="00803372">
        <w:t>Solomon Water’s report to the Program Steering Group in 2016 there does not appear to be routine</w:t>
      </w:r>
      <w:r w:rsidR="00E93C24">
        <w:t xml:space="preserve"> formal</w:t>
      </w:r>
      <w:r w:rsidR="00F25EFC" w:rsidRPr="00803372">
        <w:t xml:space="preserve"> reporting of risks and risk management.</w:t>
      </w:r>
      <w:r w:rsidRPr="00803372">
        <w:t xml:space="preserve"> </w:t>
      </w:r>
      <w:r w:rsidR="00E93C24">
        <w:t xml:space="preserve">DFAT and Solomon Water indicated they </w:t>
      </w:r>
      <w:r w:rsidR="00E121B1">
        <w:t xml:space="preserve">have </w:t>
      </w:r>
      <w:r w:rsidR="00E93C24">
        <w:t>regular discuss</w:t>
      </w:r>
      <w:r w:rsidR="00E121B1">
        <w:t>ions about</w:t>
      </w:r>
      <w:r w:rsidR="00E93C24">
        <w:t xml:space="preserve"> major risks and ways to address them. </w:t>
      </w:r>
    </w:p>
    <w:p w14:paraId="016E3C7B" w14:textId="77777777" w:rsidR="003436E0" w:rsidRPr="00803372" w:rsidRDefault="00F25EFC" w:rsidP="00D93119">
      <w:r w:rsidRPr="00803372">
        <w:t>M</w:t>
      </w:r>
      <w:r w:rsidR="00D93119" w:rsidRPr="00803372">
        <w:t xml:space="preserve">ajor </w:t>
      </w:r>
      <w:r w:rsidRPr="00803372">
        <w:t>risks experienced include</w:t>
      </w:r>
      <w:r w:rsidR="00D93119" w:rsidRPr="00803372">
        <w:t xml:space="preserve">: </w:t>
      </w:r>
    </w:p>
    <w:p w14:paraId="7D12F2F4" w14:textId="77777777" w:rsidR="003436E0" w:rsidRPr="00803372" w:rsidRDefault="00D93119" w:rsidP="00FC40AD">
      <w:pPr>
        <w:pStyle w:val="Bullet"/>
      </w:pPr>
      <w:r w:rsidRPr="00803372">
        <w:t>Solomon Water had i</w:t>
      </w:r>
      <w:r w:rsidR="003436E0" w:rsidRPr="00803372">
        <w:t xml:space="preserve">nsufficient in-house skills to support the delivery of the </w:t>
      </w:r>
      <w:r w:rsidR="00E12034" w:rsidRPr="00803372">
        <w:t>Development Plan</w:t>
      </w:r>
      <w:r w:rsidR="00803372">
        <w:t xml:space="preserve">. </w:t>
      </w:r>
    </w:p>
    <w:p w14:paraId="5AFF644A" w14:textId="1FEB5BFB" w:rsidR="00246A3E" w:rsidRPr="00803372" w:rsidRDefault="003436E0" w:rsidP="00FC40AD">
      <w:pPr>
        <w:pStyle w:val="Bullet"/>
      </w:pPr>
      <w:r w:rsidRPr="00803372">
        <w:t>Land issues and disputes affect</w:t>
      </w:r>
      <w:r w:rsidR="00A4269D" w:rsidRPr="00803372">
        <w:t>ed</w:t>
      </w:r>
      <w:r w:rsidRPr="00803372">
        <w:t xml:space="preserve"> water sources</w:t>
      </w:r>
      <w:r w:rsidR="001B39B3" w:rsidRPr="00803372">
        <w:t xml:space="preserve"> </w:t>
      </w:r>
      <w:r w:rsidR="00DF63D4" w:rsidRPr="00803372">
        <w:t>(particularly Kongulai)</w:t>
      </w:r>
      <w:r w:rsidR="00803372">
        <w:t xml:space="preserve">, </w:t>
      </w:r>
      <w:r w:rsidR="001B39B3" w:rsidRPr="00803372">
        <w:t xml:space="preserve">impacted </w:t>
      </w:r>
      <w:r w:rsidR="00DF63D4" w:rsidRPr="00803372">
        <w:t xml:space="preserve">the </w:t>
      </w:r>
      <w:r w:rsidR="001B39B3" w:rsidRPr="00803372">
        <w:t xml:space="preserve">Panatina </w:t>
      </w:r>
      <w:r w:rsidR="00764D84" w:rsidRPr="00803372">
        <w:t>bore field</w:t>
      </w:r>
      <w:r w:rsidR="001B39B3" w:rsidRPr="00803372">
        <w:t xml:space="preserve"> </w:t>
      </w:r>
      <w:r w:rsidR="00DF63D4" w:rsidRPr="00803372">
        <w:t>s</w:t>
      </w:r>
      <w:r w:rsidR="001B39B3" w:rsidRPr="00803372">
        <w:t>trategy</w:t>
      </w:r>
      <w:r w:rsidR="00803372">
        <w:t xml:space="preserve"> and </w:t>
      </w:r>
      <w:r w:rsidR="007E16CD">
        <w:t xml:space="preserve">are </w:t>
      </w:r>
      <w:r w:rsidR="00803372">
        <w:t xml:space="preserve">currently impacting the </w:t>
      </w:r>
      <w:r w:rsidR="00803372">
        <w:rPr>
          <w:rFonts w:eastAsia="Calibri"/>
          <w:lang w:val="en-NZ" w:eastAsia="en-US"/>
        </w:rPr>
        <w:t>Titinge-East Kola transmission main works.</w:t>
      </w:r>
      <w:r w:rsidR="00DF63D4" w:rsidRPr="00803372">
        <w:t xml:space="preserve"> </w:t>
      </w:r>
    </w:p>
    <w:p w14:paraId="6B5DA059" w14:textId="1F08DC7C" w:rsidR="00543B21" w:rsidRPr="00803372" w:rsidRDefault="00A4269D" w:rsidP="00DF63D4">
      <w:pPr>
        <w:pStyle w:val="BulletLast"/>
      </w:pPr>
      <w:r w:rsidRPr="00803372">
        <w:t xml:space="preserve">Mixed </w:t>
      </w:r>
      <w:r w:rsidR="00246A3E" w:rsidRPr="00803372">
        <w:t xml:space="preserve">commitment </w:t>
      </w:r>
      <w:r w:rsidRPr="00803372">
        <w:t>from SIG to</w:t>
      </w:r>
      <w:r w:rsidR="009A179C">
        <w:t xml:space="preserve"> provide leadership in the water sector and</w:t>
      </w:r>
      <w:r w:rsidRPr="00803372">
        <w:t xml:space="preserve"> uphold SO</w:t>
      </w:r>
      <w:r w:rsidR="00246A3E" w:rsidRPr="00803372">
        <w:t>E reforms</w:t>
      </w:r>
      <w:r w:rsidR="00803372">
        <w:t>:</w:t>
      </w:r>
      <w:r w:rsidR="00246A3E" w:rsidRPr="00803372">
        <w:t xml:space="preserve"> </w:t>
      </w:r>
      <w:r w:rsidR="00803372">
        <w:t xml:space="preserve">for example, </w:t>
      </w:r>
      <w:r w:rsidR="00246A3E" w:rsidRPr="00803372">
        <w:t>delays in confirming Board nominations;</w:t>
      </w:r>
      <w:r w:rsidRPr="00803372">
        <w:t xml:space="preserve"> </w:t>
      </w:r>
      <w:r w:rsidR="009A179C">
        <w:t xml:space="preserve">delays in approving the National Water Policy; </w:t>
      </w:r>
      <w:r w:rsidRPr="00803372">
        <w:t xml:space="preserve">upholding agreements for </w:t>
      </w:r>
      <w:r w:rsidR="00246A3E" w:rsidRPr="00803372">
        <w:t>tax exemptions</w:t>
      </w:r>
      <w:r w:rsidRPr="00803372">
        <w:t xml:space="preserve"> of donor-funded goods</w:t>
      </w:r>
      <w:r w:rsidR="007E16CD">
        <w:t xml:space="preserve"> and services</w:t>
      </w:r>
      <w:r w:rsidR="00CB779F">
        <w:t>;</w:t>
      </w:r>
      <w:r w:rsidRPr="00803372">
        <w:t xml:space="preserve"> provision of CSOs</w:t>
      </w:r>
      <w:r w:rsidR="009A179C">
        <w:t>; advocating user pays approaches which could enable expansion of Solomon Water service areas in Provincial centres</w:t>
      </w:r>
      <w:r w:rsidR="00246A3E" w:rsidRPr="00803372">
        <w:t xml:space="preserve">. </w:t>
      </w:r>
    </w:p>
    <w:p w14:paraId="1E35A377" w14:textId="77777777" w:rsidR="003436E0" w:rsidRDefault="00D63EF3" w:rsidP="00FC40AD">
      <w:pPr>
        <w:pStyle w:val="Heading2"/>
      </w:pPr>
      <w:bookmarkStart w:id="27" w:name="_Toc453955993"/>
      <w:r>
        <w:t>3.4</w:t>
      </w:r>
      <w:r>
        <w:tab/>
      </w:r>
      <w:r w:rsidR="003436E0">
        <w:t xml:space="preserve">Alignment with </w:t>
      </w:r>
      <w:r w:rsidR="00FA128A">
        <w:t xml:space="preserve">Australian and </w:t>
      </w:r>
      <w:r w:rsidR="003436E0">
        <w:t>S</w:t>
      </w:r>
      <w:r w:rsidR="00FA128A">
        <w:t xml:space="preserve">olomon </w:t>
      </w:r>
      <w:r w:rsidR="003436E0">
        <w:t>I</w:t>
      </w:r>
      <w:r w:rsidR="00FA128A">
        <w:t>sland</w:t>
      </w:r>
      <w:r w:rsidR="00A542A9">
        <w:t>s</w:t>
      </w:r>
      <w:r w:rsidR="00FA128A">
        <w:t xml:space="preserve"> priorities</w:t>
      </w:r>
      <w:bookmarkEnd w:id="27"/>
      <w:r w:rsidR="00FA128A">
        <w:t xml:space="preserve"> </w:t>
      </w:r>
    </w:p>
    <w:p w14:paraId="0ACCC7F4" w14:textId="036B9F35" w:rsidR="003436E0" w:rsidRDefault="003436E0" w:rsidP="00FC40AD">
      <w:r w:rsidRPr="002C15A8">
        <w:t>The Solomon Islands Government recognises the urgent need for improvements in water supply and sanitation in Honiara and urban centres. During the provincial consultation process for developing the National Development Strategy</w:t>
      </w:r>
      <w:r w:rsidR="00A05871">
        <w:t>,</w:t>
      </w:r>
      <w:r w:rsidRPr="002C15A8">
        <w:t xml:space="preserve"> access to water supply and improved sanitation was highlighted as the highest priority need, particularly in rural areas. </w:t>
      </w:r>
      <w:r w:rsidR="002C15A8">
        <w:t xml:space="preserve">However, as noted above, there has been mixed commitment from SIG to </w:t>
      </w:r>
      <w:r w:rsidR="00E23341">
        <w:t xml:space="preserve">engage in the water sector and </w:t>
      </w:r>
      <w:r w:rsidR="002C15A8">
        <w:t xml:space="preserve">uphold various elements of SOE reforms that are necessary for the proper </w:t>
      </w:r>
      <w:r w:rsidR="002C15A8" w:rsidRPr="002C15A8">
        <w:t>functioning of Solomon Water.</w:t>
      </w:r>
    </w:p>
    <w:p w14:paraId="65B8A0D1" w14:textId="76FE6C22" w:rsidR="00C063F8" w:rsidRPr="002C15A8" w:rsidRDefault="00C063F8" w:rsidP="00FC40AD">
      <w:r w:rsidRPr="002C15A8">
        <w:t>Urban water supply continues to be a relevant area of investment for donors in Solomon Islands given the significant investment costs that are required to get new infrastructure in place and/or existing infrastructure upgraded.</w:t>
      </w:r>
    </w:p>
    <w:p w14:paraId="6D1F8633" w14:textId="4F8BD5B4" w:rsidR="003436E0" w:rsidRPr="002C15A8" w:rsidRDefault="00F35AD9" w:rsidP="00FC40AD">
      <w:r w:rsidRPr="00F35AD9">
        <w:t>Australia’s aid program in Solomon Islands focuses on three strategic objectives: supporting stability</w:t>
      </w:r>
      <w:r w:rsidR="00932B41" w:rsidRPr="00F35AD9">
        <w:t>, enabling</w:t>
      </w:r>
      <w:r w:rsidRPr="00F35AD9">
        <w:t xml:space="preserve"> economic growth, and enhancing human development</w:t>
      </w:r>
      <w:r w:rsidRPr="00F35AD9">
        <w:rPr>
          <w:vertAlign w:val="superscript"/>
        </w:rPr>
        <w:footnoteReference w:id="27"/>
      </w:r>
      <w:r w:rsidRPr="00F35AD9">
        <w:t xml:space="preserve">. </w:t>
      </w:r>
      <w:r w:rsidR="00E23341" w:rsidRPr="00F35AD9">
        <w:t>Australia recognises the importance of water and sanitation for building the foundation for a healthier population</w:t>
      </w:r>
      <w:r w:rsidRPr="00F35AD9">
        <w:t xml:space="preserve"> in Solomon Islands</w:t>
      </w:r>
      <w:r w:rsidR="00E23341">
        <w:t>.</w:t>
      </w:r>
      <w:r>
        <w:t xml:space="preserve"> Evidence was not available at the time of this evaluation to </w:t>
      </w:r>
      <w:r w:rsidR="00E63F29">
        <w:t>assess</w:t>
      </w:r>
      <w:r>
        <w:t xml:space="preserve"> the impact of improved water quality on the health of Honiara </w:t>
      </w:r>
      <w:r w:rsidR="00932B41">
        <w:t>residents;</w:t>
      </w:r>
      <w:r>
        <w:t xml:space="preserve"> however, </w:t>
      </w:r>
      <w:r w:rsidR="00E63F29">
        <w:t xml:space="preserve">the evaluation heard </w:t>
      </w:r>
      <w:r>
        <w:t xml:space="preserve">that </w:t>
      </w:r>
      <w:r w:rsidR="00E63F29">
        <w:t xml:space="preserve">an </w:t>
      </w:r>
      <w:r w:rsidR="00E63F29">
        <w:rPr>
          <w:lang w:val="en"/>
        </w:rPr>
        <w:t>assessment of water, sanitation and hygiene coverage may be conducted in Honiara</w:t>
      </w:r>
      <w:r w:rsidR="008F7BFF">
        <w:rPr>
          <w:lang w:val="en"/>
        </w:rPr>
        <w:t xml:space="preserve"> in future</w:t>
      </w:r>
      <w:r w:rsidR="00E63F29">
        <w:rPr>
          <w:rStyle w:val="FootnoteReference"/>
          <w:lang w:val="en"/>
        </w:rPr>
        <w:footnoteReference w:id="28"/>
      </w:r>
      <w:r w:rsidR="00E63F29">
        <w:rPr>
          <w:lang w:val="en"/>
        </w:rPr>
        <w:t>.</w:t>
      </w:r>
      <w:r w:rsidR="008F7BFF">
        <w:rPr>
          <w:lang w:val="en"/>
        </w:rPr>
        <w:t xml:space="preserve"> The importance of water supply to support economic growth is also of interest to Australia’s aid program. The evaluation </w:t>
      </w:r>
      <w:r w:rsidR="008F7BFF">
        <w:rPr>
          <w:lang w:val="en"/>
        </w:rPr>
        <w:lastRenderedPageBreak/>
        <w:t xml:space="preserve">heard from some hotels and a construction company </w:t>
      </w:r>
      <w:r w:rsidR="00C063F8">
        <w:rPr>
          <w:lang w:val="en"/>
        </w:rPr>
        <w:t xml:space="preserve">about the benefits of </w:t>
      </w:r>
      <w:r w:rsidR="008F7BFF">
        <w:rPr>
          <w:lang w:val="en"/>
        </w:rPr>
        <w:t>improved supply and quality of water</w:t>
      </w:r>
      <w:r w:rsidR="00C063F8">
        <w:rPr>
          <w:lang w:val="en"/>
        </w:rPr>
        <w:t xml:space="preserve"> – </w:t>
      </w:r>
      <w:r w:rsidR="000A49BA">
        <w:rPr>
          <w:lang w:val="en"/>
        </w:rPr>
        <w:t>although</w:t>
      </w:r>
      <w:r w:rsidR="00C063F8">
        <w:rPr>
          <w:lang w:val="en"/>
        </w:rPr>
        <w:t xml:space="preserve"> these benefits could not be quantified</w:t>
      </w:r>
      <w:r w:rsidR="008F7BFF">
        <w:rPr>
          <w:lang w:val="en"/>
        </w:rPr>
        <w:t xml:space="preserve">.   </w:t>
      </w:r>
      <w:r w:rsidR="00E63F29">
        <w:rPr>
          <w:lang w:val="en"/>
        </w:rPr>
        <w:t xml:space="preserve">   </w:t>
      </w:r>
    </w:p>
    <w:p w14:paraId="6D6C32F5" w14:textId="77777777" w:rsidR="003436E0" w:rsidRDefault="00D63EF3" w:rsidP="00FC40AD">
      <w:pPr>
        <w:pStyle w:val="Heading2"/>
      </w:pPr>
      <w:bookmarkStart w:id="28" w:name="_Toc453955994"/>
      <w:r>
        <w:t>3.5</w:t>
      </w:r>
      <w:r>
        <w:tab/>
      </w:r>
      <w:r w:rsidR="003436E0">
        <w:t>Monitoring and evaluation mechanisms</w:t>
      </w:r>
      <w:bookmarkEnd w:id="28"/>
    </w:p>
    <w:p w14:paraId="6AEBD883" w14:textId="429246D0" w:rsidR="00D5182B" w:rsidRDefault="003436E0" w:rsidP="00D5182B">
      <w:r w:rsidRPr="00D5182B">
        <w:t xml:space="preserve">The monitoring and evaluation </w:t>
      </w:r>
      <w:r w:rsidR="00D5182B">
        <w:t xml:space="preserve">(M&amp;E) </w:t>
      </w:r>
      <w:r w:rsidRPr="00D5182B">
        <w:t xml:space="preserve">system being used for the </w:t>
      </w:r>
      <w:r w:rsidR="00E12034" w:rsidRPr="00D5182B">
        <w:t>Development Plan</w:t>
      </w:r>
      <w:r w:rsidRPr="00D5182B">
        <w:t xml:space="preserve"> is not considered entirely suitable. </w:t>
      </w:r>
      <w:r w:rsidR="00D5182B">
        <w:t xml:space="preserve">A set of performance measurement tables in the Development Plan set out the indicators and, where possible, baselines and annual targets for performance assessment. These performance measures require some </w:t>
      </w:r>
      <w:r w:rsidR="00D5182B" w:rsidRPr="00D5182B">
        <w:t>modification to ensure all indicators are measurable and useful, and that reporting supports learning and improvement.</w:t>
      </w:r>
      <w:r w:rsidR="00D5182B">
        <w:t xml:space="preserve"> To this end, some populated </w:t>
      </w:r>
      <w:r w:rsidR="00932B41">
        <w:t>performance measurement</w:t>
      </w:r>
      <w:r w:rsidR="00D5182B">
        <w:t xml:space="preserve"> tables with explanatory notes, for</w:t>
      </w:r>
      <w:r w:rsidR="00461747">
        <w:t xml:space="preserve"> the</w:t>
      </w:r>
      <w:r w:rsidR="00D5182B">
        <w:t xml:space="preserve"> objective and outputs</w:t>
      </w:r>
      <w:r w:rsidR="000E4A3D">
        <w:t xml:space="preserve"> are</w:t>
      </w:r>
      <w:r w:rsidR="00591D72">
        <w:t xml:space="preserve"> included</w:t>
      </w:r>
      <w:r w:rsidR="00D5182B">
        <w:t xml:space="preserve"> at Appendix G.</w:t>
      </w:r>
    </w:p>
    <w:p w14:paraId="74DE0F00" w14:textId="6145072A" w:rsidR="000A67A4" w:rsidRDefault="00EB2111" w:rsidP="00FC40AD">
      <w:r w:rsidRPr="00D5182B">
        <w:t>Monitoring to provide information for continuous improvements is not part of the current culture within S</w:t>
      </w:r>
      <w:r w:rsidR="0044002E" w:rsidRPr="00D5182B">
        <w:t xml:space="preserve">olomon </w:t>
      </w:r>
      <w:r w:rsidRPr="00D5182B">
        <w:t>W</w:t>
      </w:r>
      <w:r w:rsidR="0044002E" w:rsidRPr="00D5182B">
        <w:t>ater</w:t>
      </w:r>
      <w:r w:rsidRPr="00D5182B">
        <w:t>. The water quality data should be used for pro-active maintenance to ensure that failures can result in corrective action through, for example, improved treatment processes and dosing quality and reliability.</w:t>
      </w:r>
      <w:r w:rsidR="000A67A4">
        <w:t xml:space="preserve"> </w:t>
      </w:r>
      <w:r w:rsidRPr="00D5182B">
        <w:t>There is a need for all S</w:t>
      </w:r>
      <w:r w:rsidR="000A67A4">
        <w:t xml:space="preserve">olomon Water </w:t>
      </w:r>
      <w:r w:rsidRPr="00D5182B">
        <w:t>staff to understand how monitoring and measurement instrumentation</w:t>
      </w:r>
      <w:r w:rsidR="00815FC8">
        <w:t>,</w:t>
      </w:r>
      <w:r w:rsidRPr="00D5182B">
        <w:t xml:space="preserve"> including the SCADA system</w:t>
      </w:r>
      <w:r w:rsidR="00815FC8">
        <w:t>,</w:t>
      </w:r>
      <w:r w:rsidRPr="00D5182B">
        <w:t xml:space="preserve"> will contribute to more systematic and efficient operation. </w:t>
      </w:r>
    </w:p>
    <w:bookmarkStart w:id="29" w:name="_Toc453955995"/>
    <w:p w14:paraId="05F2651F" w14:textId="77777777" w:rsidR="005C64D3" w:rsidRDefault="00DF13D7" w:rsidP="00737FEA">
      <w:pPr>
        <w:pStyle w:val="Heading1"/>
      </w:pPr>
      <w:r>
        <w:rPr>
          <w:noProof/>
        </w:rPr>
        <w:lastRenderedPageBreak/>
        <mc:AlternateContent>
          <mc:Choice Requires="wps">
            <w:drawing>
              <wp:anchor distT="0" distB="0" distL="114300" distR="114300" simplePos="0" relativeHeight="251658752" behindDoc="1" locked="0" layoutInCell="1" allowOverlap="1" wp14:anchorId="3B08998D" wp14:editId="53F7826D">
                <wp:simplePos x="0" y="0"/>
                <wp:positionH relativeFrom="margin">
                  <wp:posOffset>-941070</wp:posOffset>
                </wp:positionH>
                <wp:positionV relativeFrom="paragraph">
                  <wp:posOffset>-245745</wp:posOffset>
                </wp:positionV>
                <wp:extent cx="7610475" cy="1468755"/>
                <wp:effectExtent l="1905" t="190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12E20F" id="Rectangle 9" o:spid="_x0000_s1026" style="position:absolute;margin-left:-74.1pt;margin-top:-19.35pt;width:599.25pt;height:11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" fillcolor="#124486" stroked="f" strokeweight="2pt">
                <w10:wrap anchorx="margin"/>
              </v:rect>
            </w:pict>
          </mc:Fallback>
        </mc:AlternateContent>
      </w:r>
      <w:r w:rsidR="001A06C5">
        <w:t>4</w:t>
      </w:r>
      <w:r w:rsidR="007A72BD">
        <w:tab/>
        <w:t>Sustainability</w:t>
      </w:r>
      <w:r w:rsidR="00CE04A1">
        <w:t xml:space="preserve"> and </w:t>
      </w:r>
      <w:r w:rsidR="007A72BD">
        <w:t>transition</w:t>
      </w:r>
      <w:r w:rsidR="00A876C6">
        <w:t xml:space="preserve"> arrangements</w:t>
      </w:r>
      <w:bookmarkEnd w:id="29"/>
      <w:r w:rsidR="00BA7AF4">
        <w:t xml:space="preserve"> </w:t>
      </w:r>
    </w:p>
    <w:p w14:paraId="3F1DFBF3" w14:textId="77777777" w:rsidR="003436E0" w:rsidRDefault="00D63EF3" w:rsidP="003436E0">
      <w:pPr>
        <w:pStyle w:val="Heading2"/>
      </w:pPr>
      <w:bookmarkStart w:id="30" w:name="_Toc453955996"/>
      <w:r>
        <w:t>4.1</w:t>
      </w:r>
      <w:r>
        <w:tab/>
      </w:r>
      <w:r w:rsidR="003436E0">
        <w:t>Sustainability</w:t>
      </w:r>
      <w:bookmarkEnd w:id="30"/>
    </w:p>
    <w:p w14:paraId="7C578120" w14:textId="77777777" w:rsidR="00636BA7" w:rsidRPr="00636BA7" w:rsidRDefault="00636BA7" w:rsidP="00636BA7">
      <w:pPr>
        <w:pStyle w:val="Heading3"/>
      </w:pPr>
      <w:r>
        <w:t>4.1.1</w:t>
      </w:r>
      <w:r>
        <w:tab/>
        <w:t>Non-revenue water</w:t>
      </w:r>
      <w:r w:rsidR="000666ED">
        <w:t xml:space="preserve"> (NRW)</w:t>
      </w:r>
      <w:r>
        <w:t xml:space="preserve"> reduction</w:t>
      </w:r>
    </w:p>
    <w:p w14:paraId="428584AB" w14:textId="31C7FFCC" w:rsidR="00AA75A7" w:rsidRDefault="00E97DEC" w:rsidP="00E97DEC">
      <w:r>
        <w:t xml:space="preserve">Reduction of </w:t>
      </w:r>
      <w:r w:rsidR="000666ED">
        <w:t>NRW</w:t>
      </w:r>
      <w:r>
        <w:t xml:space="preserve"> is a critical issue for the long-term sustainability of Solomon Water. The pilot zones introduced </w:t>
      </w:r>
      <w:r w:rsidR="000666ED">
        <w:t xml:space="preserve">with </w:t>
      </w:r>
      <w:r>
        <w:t>JICA support and the</w:t>
      </w:r>
      <w:r w:rsidRPr="003436E0">
        <w:t xml:space="preserve"> initial development of </w:t>
      </w:r>
      <w:r w:rsidR="00FB3604">
        <w:t>four</w:t>
      </w:r>
      <w:r w:rsidRPr="003436E0">
        <w:t xml:space="preserve"> </w:t>
      </w:r>
      <w:r>
        <w:t xml:space="preserve">District Metering </w:t>
      </w:r>
      <w:r w:rsidRPr="00E97DEC">
        <w:t>Area (DMA) zones</w:t>
      </w:r>
      <w:r w:rsidRPr="003436E0">
        <w:t xml:space="preserve"> ha</w:t>
      </w:r>
      <w:r>
        <w:t xml:space="preserve">ve </w:t>
      </w:r>
      <w:r w:rsidRPr="003436E0">
        <w:t>delivered good results in terms of NRW reduction</w:t>
      </w:r>
      <w:r w:rsidR="00A61F9E">
        <w:t xml:space="preserve">. </w:t>
      </w:r>
      <w:r>
        <w:t xml:space="preserve">However, this has been a relatively labour intensive process delivered on a project basis by a Task Force with support from the JICA advisers. Continuing the same process for the remaining 24 DMA zones </w:t>
      </w:r>
      <w:r w:rsidR="000666ED">
        <w:t xml:space="preserve">will place significant additional demand on </w:t>
      </w:r>
      <w:r>
        <w:t>the resources of Solomon Water.</w:t>
      </w:r>
      <w:r w:rsidR="00AA75A7">
        <w:t xml:space="preserve"> Solomon Water found the JICA target of 25 per cent</w:t>
      </w:r>
      <w:r w:rsidR="00DD63CB">
        <w:rPr>
          <w:rStyle w:val="FootnoteReference"/>
        </w:rPr>
        <w:footnoteReference w:id="29"/>
      </w:r>
      <w:r w:rsidR="00AA75A7">
        <w:t xml:space="preserve"> for NRW to be difficult to achieve and has set a target of 30 per cent. </w:t>
      </w:r>
    </w:p>
    <w:p w14:paraId="0D4C6F10" w14:textId="6E0AF707" w:rsidR="00CF69F2" w:rsidRDefault="00AA75A7" w:rsidP="00AA75A7">
      <w:r>
        <w:t xml:space="preserve">If this </w:t>
      </w:r>
      <w:r w:rsidR="00E97DEC">
        <w:t xml:space="preserve">NRW </w:t>
      </w:r>
      <w:r>
        <w:t xml:space="preserve">target is to be reached </w:t>
      </w:r>
      <w:r w:rsidR="00E97DEC">
        <w:t xml:space="preserve">in all 28 zones, the NRW program may need to be converted from a project activity into a ‘Business as Usual’ activity and become part of the normal operations of the </w:t>
      </w:r>
      <w:r w:rsidR="00F80750">
        <w:t>O</w:t>
      </w:r>
      <w:r w:rsidR="00E97DEC">
        <w:t xml:space="preserve">perations and </w:t>
      </w:r>
      <w:r w:rsidR="00F80750">
        <w:t>M</w:t>
      </w:r>
      <w:r w:rsidR="00E97DEC">
        <w:t xml:space="preserve">aintenance Division. The NRW activities </w:t>
      </w:r>
      <w:r w:rsidR="00B86B89">
        <w:t xml:space="preserve">do not appear to be </w:t>
      </w:r>
      <w:r w:rsidR="00E97DEC">
        <w:t>well understood across the Division</w:t>
      </w:r>
      <w:r w:rsidR="00B86B89">
        <w:t>. S</w:t>
      </w:r>
      <w:r w:rsidR="00E97DEC">
        <w:t>taff will need to be advised of the cost/benefit of reducing NRW, provided with additional training and workforce arrangements re-organised. An alternative would be to continue NRW reduction as a project activity, but outsource the activity with a performance based approach as is done with some utilities internationally.</w:t>
      </w:r>
      <w:r w:rsidR="00E97DEC" w:rsidRPr="003436E0">
        <w:t xml:space="preserve"> </w:t>
      </w:r>
      <w:r w:rsidR="00E97DEC">
        <w:t xml:space="preserve">The rate at which NRW can be reduced will also be impacted upon by the progress in rehabilitating the distribution system. This activity, planned under the Development Plan, was </w:t>
      </w:r>
      <w:r w:rsidR="00FB3604">
        <w:t xml:space="preserve">deferred </w:t>
      </w:r>
      <w:r w:rsidR="00E97DEC">
        <w:t>for budgetary reasons, but funding needs to be prioritised for this work if NRW reductions targets are to be met in the near future</w:t>
      </w:r>
      <w:r w:rsidR="00CF69F2">
        <w:t>.</w:t>
      </w:r>
    </w:p>
    <w:p w14:paraId="484D60F9" w14:textId="77777777" w:rsidR="003436E0" w:rsidRPr="003436E0" w:rsidRDefault="00636BA7" w:rsidP="00636BA7">
      <w:pPr>
        <w:pStyle w:val="Heading3"/>
      </w:pPr>
      <w:r>
        <w:t>4.1.2</w:t>
      </w:r>
      <w:r>
        <w:tab/>
      </w:r>
      <w:r w:rsidR="003436E0" w:rsidRPr="003436E0">
        <w:t xml:space="preserve">Source </w:t>
      </w:r>
      <w:r>
        <w:t>d</w:t>
      </w:r>
      <w:r w:rsidR="003436E0" w:rsidRPr="003436E0">
        <w:t>evelopment</w:t>
      </w:r>
    </w:p>
    <w:p w14:paraId="669F24D4" w14:textId="33740938" w:rsidR="00F80750" w:rsidRPr="003436E0" w:rsidRDefault="00DD63CB" w:rsidP="003436E0">
      <w:r>
        <w:t>M</w:t>
      </w:r>
      <w:r w:rsidR="003436E0" w:rsidRPr="003436E0">
        <w:t xml:space="preserve">aximum effort should be given to </w:t>
      </w:r>
      <w:r w:rsidR="00F80750">
        <w:t xml:space="preserve">optimising existing sources </w:t>
      </w:r>
      <w:r w:rsidR="003436E0" w:rsidRPr="003436E0">
        <w:t xml:space="preserve">through NRW reduction and demand management. </w:t>
      </w:r>
      <w:r w:rsidR="00893C70">
        <w:t>W</w:t>
      </w:r>
      <w:r w:rsidR="003436E0" w:rsidRPr="003436E0">
        <w:t>ater consumption by Honiara household</w:t>
      </w:r>
      <w:r w:rsidR="00893C70">
        <w:t>s</w:t>
      </w:r>
      <w:r w:rsidR="003436E0" w:rsidRPr="003436E0">
        <w:t xml:space="preserve"> is </w:t>
      </w:r>
      <w:r w:rsidR="00F80750">
        <w:t xml:space="preserve">higher than the </w:t>
      </w:r>
      <w:r w:rsidR="003436E0" w:rsidRPr="003436E0">
        <w:t>PWWA benchmark</w:t>
      </w:r>
      <w:r w:rsidR="00F80750">
        <w:rPr>
          <w:rStyle w:val="FootnoteReference"/>
        </w:rPr>
        <w:footnoteReference w:id="30"/>
      </w:r>
      <w:r w:rsidR="00893040">
        <w:t>.</w:t>
      </w:r>
      <w:r>
        <w:t xml:space="preserve"> Consumer education programs to reduce household consumption (both through better use of water as well as knowing how to address leakages) could assist with demand management. </w:t>
      </w:r>
      <w:r w:rsidR="003436E0" w:rsidRPr="003436E0">
        <w:t>S</w:t>
      </w:r>
      <w:r w:rsidR="00A613B8">
        <w:t xml:space="preserve">olomon </w:t>
      </w:r>
      <w:r w:rsidR="003436E0" w:rsidRPr="003436E0">
        <w:t>W</w:t>
      </w:r>
      <w:r w:rsidR="00A613B8">
        <w:t>ater</w:t>
      </w:r>
      <w:r w:rsidR="003436E0" w:rsidRPr="003436E0">
        <w:t xml:space="preserve"> advocacy for rainwater harvesting may </w:t>
      </w:r>
      <w:r>
        <w:t xml:space="preserve">also </w:t>
      </w:r>
      <w:r w:rsidR="003436E0" w:rsidRPr="003436E0">
        <w:t>be suitable to reduce stress on groundwater and surface water sources.</w:t>
      </w:r>
      <w:r>
        <w:t xml:space="preserve"> </w:t>
      </w:r>
      <w:r w:rsidRPr="003436E0">
        <w:t xml:space="preserve">Planning for new source development should </w:t>
      </w:r>
      <w:r>
        <w:t xml:space="preserve">however </w:t>
      </w:r>
      <w:r w:rsidRPr="003436E0">
        <w:t>continue in parallel</w:t>
      </w:r>
      <w:r>
        <w:t xml:space="preserve"> with efforts to maximise existing sources</w:t>
      </w:r>
      <w:r w:rsidRPr="003436E0">
        <w:t>.</w:t>
      </w:r>
    </w:p>
    <w:p w14:paraId="753EBF7B" w14:textId="77777777" w:rsidR="00636BA7" w:rsidRDefault="00636BA7" w:rsidP="00636BA7">
      <w:pPr>
        <w:pStyle w:val="Heading3"/>
      </w:pPr>
      <w:r>
        <w:t>4.1.</w:t>
      </w:r>
      <w:r w:rsidR="00C87529">
        <w:t>3</w:t>
      </w:r>
      <w:r>
        <w:tab/>
        <w:t xml:space="preserve">Financial and organisational </w:t>
      </w:r>
      <w:r w:rsidR="00C87529">
        <w:t>capacity to sustain and expand services</w:t>
      </w:r>
    </w:p>
    <w:p w14:paraId="0344DA6F" w14:textId="6701E506" w:rsidR="00B7308A" w:rsidRDefault="007B6181" w:rsidP="007B6181">
      <w:r>
        <w:t xml:space="preserve">Currently, </w:t>
      </w:r>
      <w:r w:rsidRPr="003436E0">
        <w:t xml:space="preserve">Solomon Water’s net operating surplus is contingent upon donor funding. At this stage it appears the only alternative source of </w:t>
      </w:r>
      <w:r>
        <w:t xml:space="preserve">donor </w:t>
      </w:r>
      <w:r w:rsidRPr="003436E0">
        <w:t xml:space="preserve">funding is the </w:t>
      </w:r>
      <w:r w:rsidR="0063378A">
        <w:t xml:space="preserve">EU’s </w:t>
      </w:r>
      <w:r w:rsidRPr="003436E0">
        <w:t>EDF 11</w:t>
      </w:r>
      <w:r w:rsidR="00CE5E38">
        <w:rPr>
          <w:rStyle w:val="FootnoteReference"/>
        </w:rPr>
        <w:footnoteReference w:id="31"/>
      </w:r>
      <w:r w:rsidRPr="003436E0">
        <w:t xml:space="preserve">. The Pacific Water and </w:t>
      </w:r>
      <w:r w:rsidRPr="003436E0">
        <w:lastRenderedPageBreak/>
        <w:t xml:space="preserve">Waste Management Association and the Australia Water Partnership offer opportunities for Solomon Water to harness technical expertise from other water utilities in the region. These mechanisms however do not provide funds for capital works. </w:t>
      </w:r>
    </w:p>
    <w:p w14:paraId="6C345293" w14:textId="36E4C6D9" w:rsidR="0063378A" w:rsidRDefault="008C6725" w:rsidP="0063378A">
      <w:r>
        <w:t>As mentioned above, NRW and water source development need to be prioritised</w:t>
      </w:r>
      <w:r w:rsidR="0063378A">
        <w:t xml:space="preserve"> as a basis for long-term viability of the utility</w:t>
      </w:r>
      <w:r>
        <w:t>.</w:t>
      </w:r>
      <w:r w:rsidR="009B2287">
        <w:t xml:space="preserve"> </w:t>
      </w:r>
      <w:r w:rsidR="00755092">
        <w:t xml:space="preserve">Consolidating organisational changes and bedding down a professional work culture </w:t>
      </w:r>
      <w:r w:rsidR="0063378A">
        <w:t xml:space="preserve">is </w:t>
      </w:r>
      <w:r w:rsidR="009B2287">
        <w:t xml:space="preserve">also </w:t>
      </w:r>
      <w:r w:rsidR="00755092">
        <w:t>critical</w:t>
      </w:r>
      <w:r w:rsidR="0063378A">
        <w:t xml:space="preserve"> for the sustainability of gains made by Solomon Water during the Development Plan period</w:t>
      </w:r>
      <w:r w:rsidR="00755092">
        <w:t xml:space="preserve">. </w:t>
      </w:r>
      <w:r w:rsidR="0063378A">
        <w:t xml:space="preserve">There are strong indications that Solomon Water has created goodwill with its customers through improvements in service delivery. Sustaining the positive image that Solomon Water has been cultivating in the last few years is contingent upon the continued reliability and affordability of water supply for customers. </w:t>
      </w:r>
    </w:p>
    <w:p w14:paraId="0F7221C2" w14:textId="4AF70BBF" w:rsidR="00CA6233" w:rsidRPr="00CA6233" w:rsidRDefault="00B33EA4" w:rsidP="00CA6233">
      <w:r>
        <w:t>A</w:t>
      </w:r>
      <w:r w:rsidR="000A49BA">
        <w:t xml:space="preserve">n equitable, </w:t>
      </w:r>
      <w:r>
        <w:t xml:space="preserve">affordable </w:t>
      </w:r>
      <w:r w:rsidR="000A49BA">
        <w:t xml:space="preserve">tariff structure is </w:t>
      </w:r>
      <w:r>
        <w:t xml:space="preserve">essential for Solomon Water’s </w:t>
      </w:r>
      <w:r w:rsidR="000A49BA">
        <w:t>financial viability</w:t>
      </w:r>
      <w:r>
        <w:t xml:space="preserve">. </w:t>
      </w:r>
      <w:r w:rsidR="00CA6233">
        <w:t>A c</w:t>
      </w:r>
      <w:r w:rsidR="00D42BC7">
        <w:t xml:space="preserve">ost of </w:t>
      </w:r>
      <w:r w:rsidR="00CA6233">
        <w:t>s</w:t>
      </w:r>
      <w:r w:rsidR="00D42BC7">
        <w:t xml:space="preserve">ervice </w:t>
      </w:r>
      <w:r w:rsidR="00CA6233">
        <w:t xml:space="preserve">study </w:t>
      </w:r>
      <w:r w:rsidR="00D42BC7">
        <w:t xml:space="preserve">and </w:t>
      </w:r>
      <w:r w:rsidR="00CA6233">
        <w:t>t</w:t>
      </w:r>
      <w:r w:rsidR="00D42BC7">
        <w:t xml:space="preserve">ariff </w:t>
      </w:r>
      <w:r w:rsidR="00CA6233">
        <w:t xml:space="preserve">review </w:t>
      </w:r>
      <w:r w:rsidR="00D42BC7">
        <w:t xml:space="preserve">to be completed in conjunction with the Strategic Planning process will </w:t>
      </w:r>
      <w:r w:rsidR="00CA6233" w:rsidRPr="00CA6233">
        <w:t xml:space="preserve">enable </w:t>
      </w:r>
      <w:r w:rsidR="00CA6233">
        <w:t xml:space="preserve">Solomon Water </w:t>
      </w:r>
      <w:r w:rsidR="00CA6233" w:rsidRPr="00CA6233">
        <w:t xml:space="preserve">and SIG to </w:t>
      </w:r>
      <w:r w:rsidR="00CA6233">
        <w:t xml:space="preserve">better understand Solomon Water’s </w:t>
      </w:r>
      <w:r w:rsidR="00CA6233" w:rsidRPr="00CA6233">
        <w:t>cost structure, cost drivers, and</w:t>
      </w:r>
      <w:r w:rsidR="00CA6233">
        <w:t xml:space="preserve"> the </w:t>
      </w:r>
      <w:r w:rsidR="00CA6233" w:rsidRPr="00CA6233">
        <w:t>revenue requirements that need to be reflected in appropriate tariff levels and non</w:t>
      </w:r>
      <w:r w:rsidR="00CA6233">
        <w:t>-t</w:t>
      </w:r>
      <w:r w:rsidR="00CA6233" w:rsidRPr="00CA6233">
        <w:t>ariff charges</w:t>
      </w:r>
      <w:r w:rsidR="00CA6233">
        <w:t xml:space="preserve">. It is </w:t>
      </w:r>
      <w:r w:rsidR="009B2287">
        <w:t xml:space="preserve">anticipated a </w:t>
      </w:r>
      <w:r w:rsidR="00CA6233" w:rsidRPr="00CA6233">
        <w:t>new tariff structure and tariff setting mechanism</w:t>
      </w:r>
      <w:r w:rsidR="009B2287">
        <w:t xml:space="preserve"> would be submitted for SIG approval by the end of 2016</w:t>
      </w:r>
      <w:r w:rsidR="00CA6233">
        <w:t xml:space="preserve">.  </w:t>
      </w:r>
      <w:r w:rsidR="00CA6233" w:rsidRPr="00CA6233">
        <w:t xml:space="preserve"> </w:t>
      </w:r>
    </w:p>
    <w:p w14:paraId="2E50B61B" w14:textId="72223BC8" w:rsidR="009265D4" w:rsidRDefault="009265D4" w:rsidP="009265D4">
      <w:r w:rsidRPr="003436E0">
        <w:t xml:space="preserve">With </w:t>
      </w:r>
      <w:r w:rsidR="006A36CE">
        <w:t xml:space="preserve">future </w:t>
      </w:r>
      <w:r w:rsidRPr="003436E0">
        <w:t xml:space="preserve">improved financial </w:t>
      </w:r>
      <w:r>
        <w:t>sustainability</w:t>
      </w:r>
      <w:r w:rsidRPr="003436E0">
        <w:t xml:space="preserve">, Solomon Water </w:t>
      </w:r>
      <w:r>
        <w:t xml:space="preserve">will </w:t>
      </w:r>
      <w:r w:rsidRPr="003436E0">
        <w:t xml:space="preserve">need to consider how </w:t>
      </w:r>
      <w:r w:rsidR="006A36CE">
        <w:t xml:space="preserve">it </w:t>
      </w:r>
      <w:r w:rsidR="00755092">
        <w:t xml:space="preserve">could </w:t>
      </w:r>
      <w:r w:rsidRPr="003436E0">
        <w:t>address sewerage</w:t>
      </w:r>
      <w:r w:rsidR="009B2287">
        <w:t xml:space="preserve"> and </w:t>
      </w:r>
      <w:r w:rsidRPr="003436E0">
        <w:t xml:space="preserve">sanitation in Honiara, </w:t>
      </w:r>
      <w:r>
        <w:t xml:space="preserve">expand services to peri-urban areas in Honiara, </w:t>
      </w:r>
      <w:r w:rsidRPr="003436E0">
        <w:t>improve of services in Auki, Noro and Tulagi and</w:t>
      </w:r>
      <w:r>
        <w:t xml:space="preserve"> possibly</w:t>
      </w:r>
      <w:r w:rsidRPr="003436E0">
        <w:t xml:space="preserve"> expan</w:t>
      </w:r>
      <w:r w:rsidR="006A36CE">
        <w:t>d</w:t>
      </w:r>
      <w:r w:rsidRPr="003436E0">
        <w:t xml:space="preserve"> into other Provincial centres (notwithstanding </w:t>
      </w:r>
      <w:r w:rsidR="006A36CE">
        <w:t xml:space="preserve">consumer </w:t>
      </w:r>
      <w:r w:rsidRPr="003436E0">
        <w:t xml:space="preserve">unwillingness to pay and </w:t>
      </w:r>
      <w:r w:rsidR="006A36CE">
        <w:t xml:space="preserve">Provincial Government </w:t>
      </w:r>
      <w:r w:rsidRPr="003436E0">
        <w:t xml:space="preserve">unwillingness to charge in </w:t>
      </w:r>
      <w:r w:rsidR="006A36CE">
        <w:t xml:space="preserve">some </w:t>
      </w:r>
      <w:r w:rsidRPr="003436E0">
        <w:t>centres).</w:t>
      </w:r>
    </w:p>
    <w:p w14:paraId="69670871" w14:textId="77777777" w:rsidR="00636BA7" w:rsidRDefault="00636BA7" w:rsidP="00636BA7">
      <w:pPr>
        <w:pStyle w:val="Heading3"/>
      </w:pPr>
      <w:r>
        <w:t>4.1.4</w:t>
      </w:r>
      <w:r>
        <w:tab/>
        <w:t>Governance and political commitment</w:t>
      </w:r>
    </w:p>
    <w:p w14:paraId="30BBC0B3" w14:textId="740B1F23" w:rsidR="00311676" w:rsidRDefault="006B0AF2" w:rsidP="00355923">
      <w:r>
        <w:t>T</w:t>
      </w:r>
      <w:r w:rsidR="00355923">
        <w:t xml:space="preserve">he current </w:t>
      </w:r>
      <w:r w:rsidR="00D80CB8">
        <w:t xml:space="preserve">Board </w:t>
      </w:r>
      <w:r w:rsidR="00355923">
        <w:t xml:space="preserve">arrangement has served Solomon Water well during the period of the Development Plan, </w:t>
      </w:r>
      <w:r>
        <w:t xml:space="preserve">however </w:t>
      </w:r>
      <w:r w:rsidR="00355923">
        <w:t xml:space="preserve">the terms for the current Board members have expired with no confirmation from SIG as to when membership for the new Board will be finalised. It is imperative that Solomon Water has surety of its Board arrangements. The Board and Solomon Water management also need to </w:t>
      </w:r>
      <w:r w:rsidR="00D62CBA">
        <w:t xml:space="preserve">progress current plans for recruiting </w:t>
      </w:r>
      <w:r w:rsidR="00B33EA4">
        <w:t>a</w:t>
      </w:r>
      <w:r w:rsidR="00D62CBA">
        <w:t xml:space="preserve"> position </w:t>
      </w:r>
      <w:r w:rsidR="00355923">
        <w:t xml:space="preserve">for the governance support role for the Board. This role is critical for </w:t>
      </w:r>
      <w:r w:rsidR="00EF5151">
        <w:t>completing</w:t>
      </w:r>
      <w:r w:rsidR="00355923">
        <w:t xml:space="preserve"> tasks such as the approval of </w:t>
      </w:r>
      <w:r w:rsidR="00D80CB8">
        <w:t>delegations</w:t>
      </w:r>
      <w:r w:rsidR="00866716">
        <w:t xml:space="preserve"> between the Board and Solomon Water</w:t>
      </w:r>
      <w:r w:rsidR="004B3921">
        <w:t>.</w:t>
      </w:r>
    </w:p>
    <w:p w14:paraId="2DDC7137" w14:textId="77777777" w:rsidR="00B75565" w:rsidRDefault="00B75565" w:rsidP="00672FFE">
      <w:r>
        <w:t>As mentioned above, t</w:t>
      </w:r>
      <w:r w:rsidR="0027113B">
        <w:t>he evaluation heard examples of</w:t>
      </w:r>
      <w:r>
        <w:t xml:space="preserve"> mixed commitment from SIG in upholding the SOE regulations. </w:t>
      </w:r>
      <w:r w:rsidR="00672FFE">
        <w:t xml:space="preserve">The issues raised require continued dialogue between DFAT, Solomon Water management and Board, and relevant SIG Ministries to ensure that mutual obligations are understood and commitments upheld.  </w:t>
      </w:r>
    </w:p>
    <w:p w14:paraId="7CF00AD1" w14:textId="77777777" w:rsidR="003436E0" w:rsidRDefault="00D63EF3" w:rsidP="003436E0">
      <w:pPr>
        <w:pStyle w:val="Heading2"/>
      </w:pPr>
      <w:bookmarkStart w:id="31" w:name="_Toc453955997"/>
      <w:r>
        <w:t>4.</w:t>
      </w:r>
      <w:r w:rsidR="00246A3E">
        <w:t>2</w:t>
      </w:r>
      <w:r>
        <w:tab/>
      </w:r>
      <w:r w:rsidR="003436E0">
        <w:t>Transition arrangements</w:t>
      </w:r>
      <w:bookmarkEnd w:id="31"/>
    </w:p>
    <w:p w14:paraId="1FDBEAD7" w14:textId="7E6AB314" w:rsidR="0078606A" w:rsidRDefault="008F2382" w:rsidP="003436E0">
      <w:r>
        <w:t xml:space="preserve">Australia’s support for the </w:t>
      </w:r>
      <w:r w:rsidR="00E12034">
        <w:t>Development Plan</w:t>
      </w:r>
      <w:r w:rsidR="0072021F">
        <w:t xml:space="preserve"> </w:t>
      </w:r>
      <w:r>
        <w:t>include</w:t>
      </w:r>
      <w:r w:rsidR="00932B41">
        <w:t>d neither</w:t>
      </w:r>
      <w:r>
        <w:t xml:space="preserve"> an </w:t>
      </w:r>
      <w:r w:rsidR="0072021F">
        <w:t xml:space="preserve">exit strategy </w:t>
      </w:r>
      <w:r>
        <w:t xml:space="preserve">for eventual withdrawal of support </w:t>
      </w:r>
      <w:r w:rsidR="00FB08EE">
        <w:t xml:space="preserve">nor a process for </w:t>
      </w:r>
      <w:r>
        <w:t xml:space="preserve">the normalisation of Solomon Water </w:t>
      </w:r>
      <w:r w:rsidR="0078606A">
        <w:t xml:space="preserve">organisational and </w:t>
      </w:r>
      <w:r>
        <w:t xml:space="preserve">financial management without donor support. </w:t>
      </w:r>
      <w:r w:rsidR="00D66F33">
        <w:t>The completion of DFAT’s program of support for Solomon Water</w:t>
      </w:r>
      <w:r w:rsidR="0078606A">
        <w:t xml:space="preserve"> brings with it an urgent imperative to</w:t>
      </w:r>
      <w:r w:rsidR="00B902C5">
        <w:t xml:space="preserve"> carefully plan a</w:t>
      </w:r>
      <w:r w:rsidR="002320DC">
        <w:t>n exit strategy for Australian funding</w:t>
      </w:r>
      <w:r w:rsidR="00DF1AE7">
        <w:t>,</w:t>
      </w:r>
      <w:r w:rsidR="002320DC">
        <w:t xml:space="preserve"> and for Solomon Water to </w:t>
      </w:r>
      <w:r w:rsidR="00D66F33">
        <w:t>transition to alternative funding sources</w:t>
      </w:r>
      <w:r w:rsidR="00DF1AE7">
        <w:t xml:space="preserve"> for capital works and other expenditure which it cannot </w:t>
      </w:r>
      <w:r w:rsidR="00487E8F">
        <w:t>meet</w:t>
      </w:r>
      <w:r w:rsidR="00B902C5">
        <w:t xml:space="preserve">. </w:t>
      </w:r>
      <w:r w:rsidR="002320DC">
        <w:t xml:space="preserve">A key </w:t>
      </w:r>
      <w:r w:rsidR="00CE1EC9">
        <w:t xml:space="preserve">focus </w:t>
      </w:r>
      <w:r w:rsidR="002320DC">
        <w:t xml:space="preserve">of this </w:t>
      </w:r>
      <w:r w:rsidR="00CE1EC9">
        <w:t>should be Solomon Water return</w:t>
      </w:r>
      <w:r w:rsidR="002320DC">
        <w:t>ing</w:t>
      </w:r>
      <w:r w:rsidR="00CE1EC9">
        <w:t xml:space="preserve"> to ‘business as usual’ with regards to senior management recruitment and financial oversight. </w:t>
      </w:r>
      <w:r w:rsidR="00B902C5">
        <w:t xml:space="preserve"> </w:t>
      </w:r>
      <w:r w:rsidR="0078606A">
        <w:t xml:space="preserve">   </w:t>
      </w:r>
    </w:p>
    <w:p w14:paraId="52CCF7C5" w14:textId="3C6F0838" w:rsidR="0078606A" w:rsidRDefault="008F2382" w:rsidP="003436E0">
      <w:r>
        <w:t>The current lack of certainty regarding future donor funding is of concern for Solomon Water</w:t>
      </w:r>
      <w:r w:rsidR="00CE1EC9">
        <w:t xml:space="preserve"> management and Board</w:t>
      </w:r>
      <w:r>
        <w:t xml:space="preserve"> – not </w:t>
      </w:r>
      <w:r w:rsidR="00FB08EE">
        <w:t xml:space="preserve">necessarily </w:t>
      </w:r>
      <w:r>
        <w:t>because donor funds are need</w:t>
      </w:r>
      <w:r w:rsidR="00B902C5">
        <w:t>ed</w:t>
      </w:r>
      <w:r>
        <w:t xml:space="preserve"> in</w:t>
      </w:r>
      <w:r w:rsidR="00FB08EE">
        <w:t xml:space="preserve"> the</w:t>
      </w:r>
      <w:r>
        <w:t xml:space="preserve"> long term (Board </w:t>
      </w:r>
      <w:r w:rsidR="00FB08EE">
        <w:t xml:space="preserve">members </w:t>
      </w:r>
      <w:r>
        <w:t xml:space="preserve">indicated </w:t>
      </w:r>
      <w:r w:rsidR="00FB08EE">
        <w:t xml:space="preserve">an </w:t>
      </w:r>
      <w:r>
        <w:t>in</w:t>
      </w:r>
      <w:r w:rsidR="0078606A">
        <w:t xml:space="preserve">dependent </w:t>
      </w:r>
      <w:r>
        <w:t xml:space="preserve">financial position </w:t>
      </w:r>
      <w:r w:rsidR="00FB08EE">
        <w:t>is Solomon Water’s ultimate aim</w:t>
      </w:r>
      <w:r>
        <w:t xml:space="preserve">) but because </w:t>
      </w:r>
      <w:r>
        <w:lastRenderedPageBreak/>
        <w:t>there has not been advance planning</w:t>
      </w:r>
      <w:r w:rsidR="00B902C5" w:rsidRPr="00B902C5">
        <w:t xml:space="preserve"> </w:t>
      </w:r>
      <w:r w:rsidR="00B902C5">
        <w:t>for how Solomon Water and its Board will take over financial contributions</w:t>
      </w:r>
      <w:r>
        <w:t xml:space="preserve"> </w:t>
      </w:r>
      <w:r w:rsidR="0078606A">
        <w:t>or certainty around key management positions going forward.</w:t>
      </w:r>
      <w:r w:rsidR="005175E5">
        <w:t xml:space="preserve">  </w:t>
      </w:r>
    </w:p>
    <w:p w14:paraId="1C4A2D37" w14:textId="384772A8" w:rsidR="003436E0" w:rsidRPr="003436E0" w:rsidRDefault="003436E0" w:rsidP="003436E0">
      <w:r w:rsidRPr="003436E0">
        <w:t>DFAT, Solomon Water management and Board should discuss</w:t>
      </w:r>
      <w:r w:rsidR="00085A9D">
        <w:t xml:space="preserve"> the</w:t>
      </w:r>
      <w:r w:rsidRPr="003436E0">
        <w:t xml:space="preserve"> implications of </w:t>
      </w:r>
      <w:r w:rsidR="00D66F33">
        <w:t>the completion of DFAT’s funding</w:t>
      </w:r>
      <w:r w:rsidR="00085A9D">
        <w:t>,</w:t>
      </w:r>
      <w:r w:rsidR="00D66F33">
        <w:t xml:space="preserve"> </w:t>
      </w:r>
      <w:r w:rsidRPr="003436E0">
        <w:t>including, among others:</w:t>
      </w:r>
    </w:p>
    <w:p w14:paraId="64B558FE" w14:textId="3F097C53" w:rsidR="00CE1EC9" w:rsidRDefault="003436E0" w:rsidP="00CE1EC9">
      <w:pPr>
        <w:pStyle w:val="Bullet"/>
      </w:pPr>
      <w:r w:rsidRPr="003436E0">
        <w:t>Continuity of Solomon Water management and key advisory positions</w:t>
      </w:r>
      <w:r w:rsidR="00D80CB8">
        <w:t>: DF</w:t>
      </w:r>
      <w:r w:rsidR="0040088D">
        <w:t>A</w:t>
      </w:r>
      <w:r w:rsidR="00D80CB8">
        <w:t>T to confirm funding availability and develop detailed timeframes (including handover periods) for recruitment and/or continuation of existing contracts</w:t>
      </w:r>
      <w:r w:rsidR="00CE1EC9">
        <w:t xml:space="preserve">. </w:t>
      </w:r>
      <w:r w:rsidR="005175E5">
        <w:t xml:space="preserve">It is imperative that DFAT agree with the Solomon Water Board arrangements for Solomon Water to take over responsibility for funding the </w:t>
      </w:r>
      <w:r w:rsidR="00930A9F">
        <w:t>General Manager and Finance and Administration Manager</w:t>
      </w:r>
      <w:r w:rsidR="005175E5">
        <w:t xml:space="preserve"> positions</w:t>
      </w:r>
      <w:r w:rsidR="00553FA7">
        <w:t xml:space="preserve"> – specifically when Solomon Water will be able to fully fund the positions.</w:t>
      </w:r>
      <w:r w:rsidR="005175E5">
        <w:t xml:space="preserve"> </w:t>
      </w:r>
      <w:r w:rsidR="00553FA7">
        <w:t xml:space="preserve">It may be that </w:t>
      </w:r>
      <w:r w:rsidR="005175E5">
        <w:t xml:space="preserve">DFAT </w:t>
      </w:r>
      <w:r w:rsidR="00553FA7">
        <w:t xml:space="preserve">will need to consider </w:t>
      </w:r>
      <w:r w:rsidR="005175E5">
        <w:t xml:space="preserve">fully or partially funding these two positions </w:t>
      </w:r>
      <w:r w:rsidR="00553FA7">
        <w:t xml:space="preserve">post June 2017. </w:t>
      </w:r>
    </w:p>
    <w:p w14:paraId="1C23E317" w14:textId="1F0949CA" w:rsidR="003436E0" w:rsidRDefault="003436E0" w:rsidP="00CE1EC9">
      <w:pPr>
        <w:pStyle w:val="BulletLast"/>
      </w:pPr>
      <w:r w:rsidRPr="003436E0">
        <w:t>Future recruitment processes for the General Manager and technical advisers</w:t>
      </w:r>
      <w:r w:rsidR="008730EF">
        <w:t>: t</w:t>
      </w:r>
      <w:r w:rsidR="00EC20B1">
        <w:t>he priority should be the n</w:t>
      </w:r>
      <w:r w:rsidR="00AB2D49" w:rsidRPr="00AB2D49">
        <w:t xml:space="preserve">ormalisation of recruitment </w:t>
      </w:r>
      <w:r w:rsidR="00EC20B1">
        <w:t xml:space="preserve">and performance management </w:t>
      </w:r>
      <w:r w:rsidR="00AB2D49" w:rsidRPr="00AB2D49">
        <w:t xml:space="preserve">process for </w:t>
      </w:r>
      <w:r w:rsidR="00EC20B1">
        <w:t xml:space="preserve">the </w:t>
      </w:r>
      <w:r w:rsidR="00AB2D49" w:rsidRPr="00AB2D49">
        <w:t>G</w:t>
      </w:r>
      <w:r w:rsidR="00EC20B1">
        <w:t xml:space="preserve">eneral </w:t>
      </w:r>
      <w:r w:rsidR="00AB2D49" w:rsidRPr="00AB2D49">
        <w:t>M</w:t>
      </w:r>
      <w:r w:rsidR="00EC20B1">
        <w:t>anager and Chief Financial Officer at the end of their current contracts</w:t>
      </w:r>
      <w:r w:rsidR="008730EF">
        <w:t xml:space="preserve">. Options for recruitment include use of both Board sub-committees and outsourcing to HR companies to provide necessary support to Board for international recruitments. DFAT and Solomon Water can look to </w:t>
      </w:r>
      <w:r w:rsidR="00AB2D49" w:rsidRPr="00AB2D49">
        <w:t>other SOEs</w:t>
      </w:r>
      <w:r w:rsidR="00FF33A2">
        <w:t xml:space="preserve"> and private companies</w:t>
      </w:r>
      <w:r w:rsidR="00AB2D49" w:rsidRPr="00AB2D49">
        <w:t xml:space="preserve"> </w:t>
      </w:r>
      <w:r w:rsidR="008730EF">
        <w:t xml:space="preserve">who </w:t>
      </w:r>
      <w:r w:rsidR="00AB2D49" w:rsidRPr="00AB2D49">
        <w:t xml:space="preserve">have </w:t>
      </w:r>
      <w:r w:rsidR="00AB2D49">
        <w:t>undertaken international recruitments</w:t>
      </w:r>
      <w:r w:rsidR="00EC20B1">
        <w:t xml:space="preserve"> for their </w:t>
      </w:r>
      <w:r w:rsidR="008730EF">
        <w:t>G</w:t>
      </w:r>
      <w:r w:rsidR="00FF33A2">
        <w:t xml:space="preserve">eneral </w:t>
      </w:r>
      <w:r w:rsidR="008730EF">
        <w:t>M</w:t>
      </w:r>
      <w:r w:rsidR="00FF33A2">
        <w:t>anagers as examples</w:t>
      </w:r>
      <w:r w:rsidR="008730EF">
        <w:t xml:space="preserve">. Prior to these discussions DFAT should consider </w:t>
      </w:r>
      <w:r w:rsidR="00EC20B1">
        <w:t xml:space="preserve">whether support for </w:t>
      </w:r>
      <w:r w:rsidR="008730EF">
        <w:t xml:space="preserve">the Board’s </w:t>
      </w:r>
      <w:r w:rsidR="00EC20B1">
        <w:t xml:space="preserve">recruitment </w:t>
      </w:r>
      <w:r w:rsidR="008730EF">
        <w:t xml:space="preserve">process </w:t>
      </w:r>
      <w:r w:rsidR="00EC20B1">
        <w:t xml:space="preserve">and/or salary supplementation is possible. </w:t>
      </w:r>
    </w:p>
    <w:p w14:paraId="27CBA287" w14:textId="623AA5EC" w:rsidR="005A5966" w:rsidRDefault="005A5966" w:rsidP="005A5966">
      <w:pPr>
        <w:pStyle w:val="Bullet"/>
        <w:numPr>
          <w:ilvl w:val="0"/>
          <w:numId w:val="0"/>
        </w:numPr>
      </w:pPr>
      <w:r w:rsidRPr="003436E0">
        <w:t xml:space="preserve">Solomon Water management and Board should </w:t>
      </w:r>
      <w:r w:rsidR="00380CE3">
        <w:t xml:space="preserve">discuss with the EU </w:t>
      </w:r>
      <w:r w:rsidRPr="003436E0">
        <w:t>implications of</w:t>
      </w:r>
      <w:r w:rsidR="00380CE3">
        <w:t xml:space="preserve"> EDF 11 funding to Solomon Water, including</w:t>
      </w:r>
      <w:r w:rsidR="00CE1EC9">
        <w:t>:</w:t>
      </w:r>
    </w:p>
    <w:p w14:paraId="4A26DF39" w14:textId="77777777" w:rsidR="003436E0" w:rsidRPr="003436E0" w:rsidRDefault="003436E0" w:rsidP="003436E0">
      <w:pPr>
        <w:pStyle w:val="Bullet"/>
      </w:pPr>
      <w:r w:rsidRPr="003436E0">
        <w:t>Financing mechanisms</w:t>
      </w:r>
      <w:r w:rsidR="00380CE3">
        <w:t xml:space="preserve">, </w:t>
      </w:r>
      <w:r w:rsidRPr="003436E0">
        <w:t>contract/project management arrangements</w:t>
      </w:r>
      <w:r w:rsidR="00380CE3">
        <w:t xml:space="preserve"> and any risks associated with these.</w:t>
      </w:r>
    </w:p>
    <w:p w14:paraId="504E60CD" w14:textId="77777777" w:rsidR="003436E0" w:rsidRDefault="003436E0" w:rsidP="003436E0">
      <w:pPr>
        <w:pStyle w:val="Bullet"/>
      </w:pPr>
      <w:r w:rsidRPr="003436E0">
        <w:t>Application of lessons learned from DFAT funding arrangements to the proposed EDF 11 support.</w:t>
      </w:r>
    </w:p>
    <w:p w14:paraId="69E4832B" w14:textId="77777777" w:rsidR="003839C7" w:rsidRDefault="003839C7" w:rsidP="003436E0">
      <w:pPr>
        <w:pStyle w:val="BulletLast"/>
      </w:pPr>
      <w:r>
        <w:t xml:space="preserve">Current </w:t>
      </w:r>
      <w:r w:rsidR="00C0626E">
        <w:t>Solomon Water</w:t>
      </w:r>
      <w:r>
        <w:t xml:space="preserve"> strategic planning, 5YAP and tariff review critical for the organisation positioning itself for the future (and ability to strategically and effectively use donor support to achieve its long-term goals).</w:t>
      </w:r>
    </w:p>
    <w:p w14:paraId="7E88FBA2" w14:textId="77777777" w:rsidR="00380CE3" w:rsidRDefault="00380CE3" w:rsidP="003436E0">
      <w:pPr>
        <w:pStyle w:val="BulletLast"/>
      </w:pPr>
      <w:r>
        <w:t xml:space="preserve">Arrangements for the design of the EU program of support and whether a </w:t>
      </w:r>
      <w:r w:rsidRPr="003436E0">
        <w:t>detailed transition plan</w:t>
      </w:r>
      <w:r>
        <w:t xml:space="preserve"> needs to occur separately to an EU design process. </w:t>
      </w:r>
    </w:p>
    <w:p w14:paraId="682A6F15" w14:textId="77777777" w:rsidR="00AA6B4F" w:rsidRDefault="00AA6B4F" w:rsidP="00AA6B4F">
      <w:pPr>
        <w:pStyle w:val="Heading4"/>
      </w:pPr>
      <w:r>
        <w:t>Key findings</w:t>
      </w:r>
    </w:p>
    <w:p w14:paraId="265C640A" w14:textId="77777777" w:rsidR="006A36CE" w:rsidRDefault="00467F3E" w:rsidP="00B528D9">
      <w:r>
        <w:t xml:space="preserve">Reduction of non-revenue water is a critical issue for the long-term sustainability of Solomon Water. </w:t>
      </w:r>
    </w:p>
    <w:p w14:paraId="4336DBC7" w14:textId="41769B31" w:rsidR="00B528D9" w:rsidRDefault="00B528D9" w:rsidP="00B528D9">
      <w:r w:rsidRPr="00CF501F">
        <w:t>For</w:t>
      </w:r>
      <w:r>
        <w:t xml:space="preserve"> Solomon Water to expand further in the Provincial </w:t>
      </w:r>
      <w:r w:rsidR="003E650C">
        <w:t>c</w:t>
      </w:r>
      <w:r>
        <w:t xml:space="preserve">apitals, financial sustainability of </w:t>
      </w:r>
      <w:r w:rsidR="003E650C">
        <w:t xml:space="preserve">its </w:t>
      </w:r>
      <w:r>
        <w:t>current operations needs to be assured and SIG policy support for expansion and user</w:t>
      </w:r>
      <w:r w:rsidR="003E650C">
        <w:t>-</w:t>
      </w:r>
      <w:r>
        <w:t xml:space="preserve">pay principle </w:t>
      </w:r>
      <w:r w:rsidR="003E650C">
        <w:t xml:space="preserve">is </w:t>
      </w:r>
      <w:r>
        <w:t>need</w:t>
      </w:r>
      <w:r w:rsidR="003E650C">
        <w:t>ed</w:t>
      </w:r>
      <w:r>
        <w:t>.</w:t>
      </w:r>
    </w:p>
    <w:p w14:paraId="7E2C6C2E" w14:textId="77777777" w:rsidR="006A36CE" w:rsidRDefault="005A1C66" w:rsidP="005A1C66">
      <w:r>
        <w:t xml:space="preserve">Governance oversight provided by a functional Board is critical to the on-going success of Solomon Water. </w:t>
      </w:r>
      <w:r w:rsidR="006A36CE">
        <w:t xml:space="preserve"> </w:t>
      </w:r>
    </w:p>
    <w:p w14:paraId="7768B537" w14:textId="093F288F" w:rsidR="00467F3E" w:rsidRDefault="00A14132" w:rsidP="005A1C66">
      <w:r>
        <w:t>C</w:t>
      </w:r>
      <w:r w:rsidR="00467F3E">
        <w:t xml:space="preserve">ontinued dialogue between Solomon Water management and Board, relevant SIG Ministries </w:t>
      </w:r>
      <w:r w:rsidR="00C159A3">
        <w:t xml:space="preserve">and, as appropriate, DFAT </w:t>
      </w:r>
      <w:r w:rsidR="003E650C">
        <w:t xml:space="preserve">is needed </w:t>
      </w:r>
      <w:r w:rsidR="00467F3E">
        <w:t xml:space="preserve">to ensure that mutual obligations are understood and commitments upheld.  </w:t>
      </w:r>
    </w:p>
    <w:p w14:paraId="06FCE869" w14:textId="66612D3F" w:rsidR="00A14132" w:rsidRDefault="00A14132" w:rsidP="005A1C66">
      <w:r w:rsidRPr="003436E0">
        <w:rPr>
          <w:lang w:eastAsia="en-NZ"/>
        </w:rPr>
        <w:t xml:space="preserve">A gradual and well-planned </w:t>
      </w:r>
      <w:r w:rsidR="008C7512">
        <w:rPr>
          <w:lang w:eastAsia="en-NZ"/>
        </w:rPr>
        <w:t xml:space="preserve">exit </w:t>
      </w:r>
      <w:r w:rsidRPr="003436E0">
        <w:rPr>
          <w:lang w:eastAsia="en-NZ"/>
        </w:rPr>
        <w:t xml:space="preserve">phase is required </w:t>
      </w:r>
      <w:r w:rsidR="00085A9D">
        <w:rPr>
          <w:lang w:eastAsia="en-NZ"/>
        </w:rPr>
        <w:t xml:space="preserve">for the completion of </w:t>
      </w:r>
      <w:r w:rsidRPr="003436E0">
        <w:rPr>
          <w:lang w:eastAsia="en-NZ"/>
        </w:rPr>
        <w:t xml:space="preserve">Australian </w:t>
      </w:r>
      <w:r w:rsidR="00085A9D">
        <w:rPr>
          <w:lang w:eastAsia="en-NZ"/>
        </w:rPr>
        <w:t>funding</w:t>
      </w:r>
      <w:r w:rsidR="008C7512">
        <w:rPr>
          <w:lang w:eastAsia="en-NZ"/>
        </w:rPr>
        <w:t xml:space="preserve">, so that Solomon Water </w:t>
      </w:r>
      <w:r w:rsidR="00764D84">
        <w:rPr>
          <w:lang w:eastAsia="en-NZ"/>
        </w:rPr>
        <w:t>is</w:t>
      </w:r>
      <w:r w:rsidR="008C7512">
        <w:rPr>
          <w:lang w:eastAsia="en-NZ"/>
        </w:rPr>
        <w:t xml:space="preserve"> well-prepared to access </w:t>
      </w:r>
      <w:r w:rsidRPr="003436E0">
        <w:rPr>
          <w:lang w:eastAsia="en-NZ"/>
        </w:rPr>
        <w:t xml:space="preserve">European Union funding </w:t>
      </w:r>
      <w:r>
        <w:rPr>
          <w:lang w:eastAsia="en-NZ"/>
        </w:rPr>
        <w:t>in a way that maximises outcomes to date and mitigates against risks</w:t>
      </w:r>
      <w:r w:rsidRPr="003436E0">
        <w:rPr>
          <w:lang w:eastAsia="en-NZ"/>
        </w:rPr>
        <w:t>.</w:t>
      </w:r>
      <w:r w:rsidR="00932B41">
        <w:rPr>
          <w:lang w:eastAsia="en-NZ"/>
        </w:rPr>
        <w:t xml:space="preserve"> </w:t>
      </w:r>
    </w:p>
    <w:p w14:paraId="2F6CA723" w14:textId="77777777" w:rsidR="003839C7" w:rsidRDefault="00AA6B4F" w:rsidP="00AA6B4F">
      <w:pPr>
        <w:pStyle w:val="RecommendationName"/>
      </w:pPr>
      <w:r>
        <w:lastRenderedPageBreak/>
        <w:t>Recommendations</w:t>
      </w:r>
    </w:p>
    <w:p w14:paraId="2BDF1BC5" w14:textId="35CEABD4" w:rsidR="00206974" w:rsidRDefault="00467F3E" w:rsidP="00206974">
      <w:pPr>
        <w:pStyle w:val="RecommendationSub"/>
      </w:pPr>
      <w:r>
        <w:rPr>
          <w:lang w:eastAsia="en-NZ"/>
        </w:rPr>
        <w:t>i</w:t>
      </w:r>
      <w:r w:rsidR="004E1D5C">
        <w:rPr>
          <w:lang w:eastAsia="en-NZ"/>
        </w:rPr>
        <w:t>x</w:t>
      </w:r>
      <w:r>
        <w:rPr>
          <w:lang w:eastAsia="en-NZ"/>
        </w:rPr>
        <w:tab/>
      </w:r>
      <w:r w:rsidR="00206974">
        <w:t xml:space="preserve">Solomon Water management and </w:t>
      </w:r>
      <w:r w:rsidR="005A1C66">
        <w:t xml:space="preserve">Board </w:t>
      </w:r>
      <w:r w:rsidR="005F5F16">
        <w:t xml:space="preserve">and, where appropriate, DFAT or other donors, </w:t>
      </w:r>
      <w:r w:rsidR="005A1C66">
        <w:t>encourag</w:t>
      </w:r>
      <w:r w:rsidR="005F5F16">
        <w:t>e</w:t>
      </w:r>
      <w:r w:rsidR="005A1C66">
        <w:t xml:space="preserve"> SIG to adhere to </w:t>
      </w:r>
      <w:r w:rsidR="00206974">
        <w:t>SOE regulations.</w:t>
      </w:r>
    </w:p>
    <w:p w14:paraId="29391D2C" w14:textId="146D698D" w:rsidR="003E650C" w:rsidRDefault="004E1D5C" w:rsidP="003E650C">
      <w:pPr>
        <w:pStyle w:val="RecommendationSub"/>
        <w:rPr>
          <w:lang w:eastAsia="en-NZ"/>
        </w:rPr>
      </w:pPr>
      <w:r>
        <w:rPr>
          <w:lang w:eastAsia="en-NZ"/>
        </w:rPr>
        <w:t>x</w:t>
      </w:r>
      <w:r w:rsidR="003E650C">
        <w:rPr>
          <w:lang w:eastAsia="en-NZ"/>
        </w:rPr>
        <w:tab/>
        <w:t xml:space="preserve">DFAT </w:t>
      </w:r>
      <w:r w:rsidR="003E650C" w:rsidRPr="000053FC">
        <w:rPr>
          <w:lang w:eastAsia="en-NZ"/>
        </w:rPr>
        <w:t xml:space="preserve">use donor co-ordination mechanisms to </w:t>
      </w:r>
      <w:r w:rsidR="005F5F16">
        <w:rPr>
          <w:lang w:eastAsia="en-NZ"/>
        </w:rPr>
        <w:t>advocate for</w:t>
      </w:r>
      <w:r w:rsidR="005F5F16" w:rsidRPr="000053FC">
        <w:rPr>
          <w:lang w:eastAsia="en-NZ"/>
        </w:rPr>
        <w:t xml:space="preserve"> </w:t>
      </w:r>
      <w:r w:rsidR="003E650C" w:rsidRPr="000053FC">
        <w:rPr>
          <w:lang w:eastAsia="en-NZ"/>
        </w:rPr>
        <w:t xml:space="preserve">the EDF </w:t>
      </w:r>
      <w:r w:rsidR="003E650C">
        <w:rPr>
          <w:lang w:eastAsia="en-NZ"/>
        </w:rPr>
        <w:t xml:space="preserve">11 </w:t>
      </w:r>
      <w:r w:rsidR="003E650C" w:rsidRPr="000053FC">
        <w:rPr>
          <w:lang w:eastAsia="en-NZ"/>
        </w:rPr>
        <w:t xml:space="preserve">support </w:t>
      </w:r>
      <w:r w:rsidR="003E650C">
        <w:rPr>
          <w:lang w:eastAsia="en-NZ"/>
        </w:rPr>
        <w:t xml:space="preserve">to Solomon Water </w:t>
      </w:r>
      <w:r w:rsidR="003E650C" w:rsidRPr="000053FC">
        <w:rPr>
          <w:lang w:eastAsia="en-NZ"/>
        </w:rPr>
        <w:t xml:space="preserve">to </w:t>
      </w:r>
      <w:r w:rsidR="003E650C">
        <w:rPr>
          <w:lang w:eastAsia="en-NZ"/>
        </w:rPr>
        <w:t xml:space="preserve">build on the successful implementation of the Development Plan. </w:t>
      </w:r>
    </w:p>
    <w:p w14:paraId="0F20FB34" w14:textId="7CF72081" w:rsidR="003E650C" w:rsidRDefault="003E650C" w:rsidP="00206974">
      <w:pPr>
        <w:pStyle w:val="RecommendationSub"/>
      </w:pPr>
      <w:r>
        <w:t>x</w:t>
      </w:r>
      <w:r w:rsidR="004E1D5C">
        <w:t>i</w:t>
      </w:r>
      <w:r>
        <w:t xml:space="preserve"> </w:t>
      </w:r>
      <w:r>
        <w:tab/>
      </w:r>
      <w:r w:rsidR="00553FA7" w:rsidRPr="003436E0">
        <w:t xml:space="preserve">DFAT, Solomon Water management and Board </w:t>
      </w:r>
      <w:r w:rsidR="00553FA7">
        <w:t>agree on (i) DFAT considers to fully or partially fund the General Manager and Finance and Administration Manager positions beyond June 2017; and (ii) a timeframe for discussions with the EU regarding transition planning</w:t>
      </w:r>
      <w:r>
        <w:t xml:space="preserve">. </w:t>
      </w:r>
    </w:p>
    <w:p w14:paraId="7F51A1AD" w14:textId="77777777" w:rsidR="00AA6B4F" w:rsidRDefault="00AA6B4F" w:rsidP="00311676">
      <w:pPr>
        <w:pStyle w:val="BulletLast"/>
        <w:numPr>
          <w:ilvl w:val="0"/>
          <w:numId w:val="0"/>
        </w:numPr>
        <w:ind w:left="360" w:hanging="360"/>
      </w:pPr>
    </w:p>
    <w:bookmarkStart w:id="32" w:name="_Toc453955998"/>
    <w:p w14:paraId="79B454FE" w14:textId="77777777" w:rsidR="005C64D3" w:rsidRDefault="00DF13D7" w:rsidP="005C64D3">
      <w:pPr>
        <w:pStyle w:val="Heading1"/>
      </w:pPr>
      <w:r>
        <w:rPr>
          <w:noProof/>
        </w:rPr>
        <w:lastRenderedPageBreak/>
        <mc:AlternateContent>
          <mc:Choice Requires="wps">
            <w:drawing>
              <wp:anchor distT="0" distB="0" distL="114300" distR="114300" simplePos="0" relativeHeight="251659776" behindDoc="1" locked="0" layoutInCell="1" allowOverlap="1" wp14:anchorId="59535F05" wp14:editId="6E713155">
                <wp:simplePos x="0" y="0"/>
                <wp:positionH relativeFrom="margin">
                  <wp:posOffset>-941070</wp:posOffset>
                </wp:positionH>
                <wp:positionV relativeFrom="paragraph">
                  <wp:posOffset>-506095</wp:posOffset>
                </wp:positionV>
                <wp:extent cx="7610475" cy="1468755"/>
                <wp:effectExtent l="1905"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46875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77922A" id="Rectangle 10" o:spid="_x0000_s1026" style="position:absolute;margin-left:-74.1pt;margin-top:-39.85pt;width:599.25pt;height:115.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" fillcolor="#124486" stroked="f" strokeweight="2pt">
                <w10:wrap anchorx="margin"/>
              </v:rect>
            </w:pict>
          </mc:Fallback>
        </mc:AlternateContent>
      </w:r>
      <w:r w:rsidR="001A06C5">
        <w:t>5</w:t>
      </w:r>
      <w:r w:rsidR="005C64D3">
        <w:tab/>
        <w:t>Lessons and conclusions</w:t>
      </w:r>
      <w:bookmarkEnd w:id="32"/>
    </w:p>
    <w:p w14:paraId="162D8AE3" w14:textId="77777777" w:rsidR="00295ED1" w:rsidRDefault="00D63EF3" w:rsidP="00295ED1">
      <w:pPr>
        <w:pStyle w:val="Heading2"/>
      </w:pPr>
      <w:bookmarkStart w:id="33" w:name="_Toc453955999"/>
      <w:r>
        <w:t>5.1</w:t>
      </w:r>
      <w:r>
        <w:tab/>
      </w:r>
      <w:r w:rsidR="00295ED1">
        <w:t>Lessons</w:t>
      </w:r>
      <w:bookmarkEnd w:id="33"/>
      <w:r w:rsidR="00295ED1">
        <w:t xml:space="preserve"> </w:t>
      </w:r>
    </w:p>
    <w:p w14:paraId="6C35EE9E" w14:textId="77777777" w:rsidR="00970936" w:rsidRDefault="00970936" w:rsidP="00B528D9">
      <w:r>
        <w:t xml:space="preserve">A separate, comprehensive lessons learned document has been developed to accompany this evaluation report as a result of a workshop held with Solomon Water management and international advisers. Some of the key lessons identified include: </w:t>
      </w:r>
    </w:p>
    <w:p w14:paraId="6C102087" w14:textId="4D5EF955" w:rsidR="00B528D9" w:rsidRDefault="00B528D9" w:rsidP="00970936">
      <w:pPr>
        <w:pStyle w:val="Bullet"/>
      </w:pPr>
      <w:r>
        <w:t>Donor funded development programs need appropriate program design with sufficient stakeholder consultation, including staff, to adequately scope the activities. Adviser roles should be carefully considered in the context of the absorptive capacity of the organisation with short term advisers only considered for specialised tasks. Donors should also consider providing basic templates, manuals or toolkits to enable recipient agencies to implement projects in accordance with the donor requirements</w:t>
      </w:r>
      <w:r w:rsidR="0091583C">
        <w:t xml:space="preserve"> for safeguard issues such as environmental assessment</w:t>
      </w:r>
      <w:r w:rsidR="009F74CA">
        <w:t xml:space="preserve"> and resettlement</w:t>
      </w:r>
      <w:r>
        <w:t>.</w:t>
      </w:r>
    </w:p>
    <w:p w14:paraId="41BCC212" w14:textId="77777777" w:rsidR="00B528D9" w:rsidRPr="00DD37BD" w:rsidRDefault="00B528D9" w:rsidP="00970936">
      <w:pPr>
        <w:pStyle w:val="Bullet"/>
      </w:pPr>
      <w:r>
        <w:t>Senior management support and continuity over the duration of a donor program is critical to obtain full effectiveness of advisory support and program activities.</w:t>
      </w:r>
    </w:p>
    <w:p w14:paraId="016DFD17" w14:textId="77777777" w:rsidR="00B528D9" w:rsidRDefault="00B528D9" w:rsidP="00970936">
      <w:pPr>
        <w:pStyle w:val="Bullet"/>
      </w:pPr>
      <w:r w:rsidRPr="004A0AA2">
        <w:t xml:space="preserve">Organisational recovery can be a slow process, is often unpredictable and needs significant analysis and planning. Financial recovery does not always lead </w:t>
      </w:r>
      <w:r>
        <w:t xml:space="preserve">immediately </w:t>
      </w:r>
      <w:r w:rsidRPr="004A0AA2">
        <w:t>to organisational strengthening</w:t>
      </w:r>
      <w:r>
        <w:t xml:space="preserve">. </w:t>
      </w:r>
    </w:p>
    <w:p w14:paraId="739318F2" w14:textId="6E057AC4" w:rsidR="00197B6C" w:rsidRPr="006278DA" w:rsidRDefault="00CF69F2" w:rsidP="00970936">
      <w:pPr>
        <w:pStyle w:val="Bullet"/>
      </w:pPr>
      <w:r w:rsidRPr="006278DA">
        <w:t xml:space="preserve">Availability of skilled personnel </w:t>
      </w:r>
      <w:r w:rsidR="00197B6C">
        <w:t xml:space="preserve">is critical for success </w:t>
      </w:r>
      <w:r>
        <w:t>o</w:t>
      </w:r>
      <w:r w:rsidR="00197B6C">
        <w:t>f</w:t>
      </w:r>
      <w:r>
        <w:t xml:space="preserve"> Solomon Water operations and long term capacity </w:t>
      </w:r>
      <w:r w:rsidR="00EF13A4">
        <w:t>can</w:t>
      </w:r>
      <w:r>
        <w:t>not be created through the use of expat</w:t>
      </w:r>
      <w:r w:rsidR="00EF13A4">
        <w:t>riate</w:t>
      </w:r>
      <w:r>
        <w:t xml:space="preserve"> staff</w:t>
      </w:r>
      <w:r w:rsidR="00D1418F">
        <w:t xml:space="preserve"> alone</w:t>
      </w:r>
      <w:r>
        <w:t xml:space="preserve">. There needs to be a long term capacity building strategy including engaging with training institutions, development of graduate programs, associations with professional organisations and implementation of leadership development programs. </w:t>
      </w:r>
      <w:r w:rsidR="0044382A">
        <w:t>Where appropriate, c</w:t>
      </w:r>
      <w:r>
        <w:t>onsideration could be given to recruiting personnel with skill levels below what is theoretically need</w:t>
      </w:r>
      <w:r w:rsidR="00C4094A">
        <w:t>ed</w:t>
      </w:r>
      <w:r>
        <w:t xml:space="preserve"> and providing training to bring them up to the required level</w:t>
      </w:r>
      <w:r w:rsidR="0044382A">
        <w:t xml:space="preserve">. </w:t>
      </w:r>
    </w:p>
    <w:p w14:paraId="6D30E197" w14:textId="77777777" w:rsidR="00295ED1" w:rsidRDefault="00D63EF3" w:rsidP="00295ED1">
      <w:pPr>
        <w:pStyle w:val="Heading2"/>
      </w:pPr>
      <w:bookmarkStart w:id="34" w:name="_Toc453956000"/>
      <w:r>
        <w:t>5.2</w:t>
      </w:r>
      <w:r>
        <w:tab/>
      </w:r>
      <w:r w:rsidR="00295ED1">
        <w:t>Conclusions</w:t>
      </w:r>
      <w:bookmarkEnd w:id="34"/>
    </w:p>
    <w:p w14:paraId="074B55F8" w14:textId="77777777" w:rsidR="00EF13A4" w:rsidRDefault="00EF13A4" w:rsidP="00EF13A4">
      <w:r>
        <w:t xml:space="preserve">The evaluation finds that Phase 2 of Australia’s urban water program in Solomon Islands has successfully built on previous support to Solomon Water. The objective of the Solomon Water Development Plan </w:t>
      </w:r>
      <w:r w:rsidRPr="00B7259D">
        <w:t>has been largely achieved</w:t>
      </w:r>
      <w:r>
        <w:t xml:space="preserve">. In particular, significant achievements in the supply of water to residents of Honiara have occurred as a result of the implementation of the Development Plan. </w:t>
      </w:r>
    </w:p>
    <w:p w14:paraId="702DC529" w14:textId="77777777" w:rsidR="00EF13A4" w:rsidRDefault="00EF13A4" w:rsidP="00EF13A4">
      <w:r>
        <w:t>Stabilisation of Solomon Water’s financial position has also been a notable achievement of the Development Plan. Some of the organisational improvements, such as a more proactive approach to debt recovery and greater customer responsiveness, have laid a platform for future success.</w:t>
      </w:r>
    </w:p>
    <w:p w14:paraId="26F1AD55" w14:textId="77777777" w:rsidR="00EF13A4" w:rsidRDefault="00EF13A4" w:rsidP="00EF13A4">
      <w:r>
        <w:t xml:space="preserve">Nonetheless, there are real risks to the sustainability of the outcomes achieved so far: </w:t>
      </w:r>
    </w:p>
    <w:p w14:paraId="20935E09" w14:textId="2FA6EB7A" w:rsidR="00EF13A4" w:rsidRPr="00665F74" w:rsidRDefault="00EF13A4" w:rsidP="00EF13A4">
      <w:pPr>
        <w:pStyle w:val="Bullet"/>
      </w:pPr>
      <w:r>
        <w:t xml:space="preserve">While Solomon Water’s immediate financial position is sound, a net operating surplus becomes a </w:t>
      </w:r>
      <w:r w:rsidRPr="00036F3D">
        <w:rPr>
          <w:i/>
        </w:rPr>
        <w:t>deficit</w:t>
      </w:r>
      <w:r>
        <w:t xml:space="preserve"> once donor contributions are deducted. Phase 2 of Australia’s support is set to conclude in mid-2017 following the completion of Development Plan implementation. </w:t>
      </w:r>
      <w:r w:rsidRPr="00B00680">
        <w:t xml:space="preserve">The completion of </w:t>
      </w:r>
      <w:r w:rsidRPr="00B00680">
        <w:lastRenderedPageBreak/>
        <w:t xml:space="preserve">Australia’s </w:t>
      </w:r>
      <w:r w:rsidR="00932B41" w:rsidRPr="00B00680">
        <w:t>support could</w:t>
      </w:r>
      <w:r w:rsidRPr="00B00680">
        <w:t xml:space="preserve"> see Solomon Water move back to a financially stressed situation if other donor transfers are not identified.</w:t>
      </w:r>
      <w:r>
        <w:t xml:space="preserve"> </w:t>
      </w:r>
      <w:r w:rsidRPr="00665F74">
        <w:t>This underscores the need for the transition from Australian to European Union (EU) support to be as seamless and well-planned as possible.</w:t>
      </w:r>
    </w:p>
    <w:p w14:paraId="508B5609" w14:textId="77777777" w:rsidR="00EF13A4" w:rsidRDefault="00EF13A4" w:rsidP="00EF13A4">
      <w:pPr>
        <w:pStyle w:val="BulletLast"/>
      </w:pPr>
      <w:r>
        <w:t>Ongoing success for the utility will be determined by further improvements in areas such as work ethic, professional development, leadership, management and customer care capacity. Moreover, Solomon Water</w:t>
      </w:r>
      <w:r w:rsidRPr="00D03C36">
        <w:t xml:space="preserve"> needs to move from a reactive to proactive maintenance culture that focuses on preventative maintenance</w:t>
      </w:r>
      <w:r>
        <w:t>.  Solomon Water management will need to pursue cultural change within the organisation, ensuring that there is engagement and support from all levels of staff. Technology can help but will not succeed without such cultural change.</w:t>
      </w:r>
    </w:p>
    <w:p w14:paraId="0C707E26" w14:textId="5577023D" w:rsidR="00EF13A4" w:rsidRDefault="00EF13A4" w:rsidP="00EF13A4">
      <w:r>
        <w:t xml:space="preserve">The upcoming strategic planning process provides a valuable opportunity for Solomon Water to lead conversations with stakeholders around significant long-term considerations - such as improvements in its existing service areas, expansion into new service areas in the Provinces, </w:t>
      </w:r>
      <w:r w:rsidR="00290242">
        <w:t xml:space="preserve">improved and expanded sewerage services </w:t>
      </w:r>
      <w:r>
        <w:t xml:space="preserve">and strategies for addressing the growing need in peri-urban and squatter settlements around Honiara. </w:t>
      </w:r>
    </w:p>
    <w:p w14:paraId="52A43A57" w14:textId="77777777" w:rsidR="005A6DFE" w:rsidRDefault="005A6DFE" w:rsidP="005A6DFE"/>
    <w:p w14:paraId="015F00D6" w14:textId="77777777" w:rsidR="007A72BD" w:rsidRPr="007A72BD" w:rsidRDefault="007A72BD" w:rsidP="007A72BD">
      <w:pPr>
        <w:sectPr w:rsidR="007A72BD" w:rsidRPr="007A72BD" w:rsidSect="00A47C67">
          <w:headerReference w:type="first" r:id="rId18"/>
          <w:footerReference w:type="first" r:id="rId19"/>
          <w:pgSz w:w="11906" w:h="16838" w:code="9"/>
          <w:pgMar w:top="1440" w:right="1440" w:bottom="1440" w:left="1440" w:header="576" w:footer="576" w:gutter="0"/>
          <w:pgNumType w:start="1"/>
          <w:cols w:space="720"/>
          <w:titlePg/>
          <w:docGrid w:linePitch="286"/>
        </w:sectPr>
      </w:pPr>
    </w:p>
    <w:p w14:paraId="34AFD46E" w14:textId="77777777" w:rsidR="007A72BD" w:rsidRDefault="00AA017A" w:rsidP="005F609A">
      <w:pPr>
        <w:pStyle w:val="SectionTitle"/>
        <w:rPr>
          <w:noProof/>
        </w:rPr>
      </w:pPr>
      <w:bookmarkStart w:id="35" w:name="_Toc453956001"/>
      <w:r>
        <w:rPr>
          <w:noProof/>
        </w:rPr>
        <w:lastRenderedPageBreak/>
        <w:t xml:space="preserve">Appendix A: </w:t>
      </w:r>
      <w:r w:rsidR="007A72BD">
        <w:rPr>
          <w:noProof/>
        </w:rPr>
        <w:t>Terms of Reference</w:t>
      </w:r>
      <w:bookmarkEnd w:id="35"/>
    </w:p>
    <w:p w14:paraId="58754CC3" w14:textId="77777777" w:rsidR="00B55A71" w:rsidRPr="00921B1B" w:rsidRDefault="00B55A71" w:rsidP="00B55A71">
      <w:pPr>
        <w:pStyle w:val="Heading4"/>
      </w:pPr>
      <w:r w:rsidRPr="00921B1B">
        <w:t>BACKGROUND</w:t>
      </w:r>
    </w:p>
    <w:p w14:paraId="270EC127" w14:textId="77777777" w:rsidR="00B55A71" w:rsidRPr="00921B1B" w:rsidRDefault="00B55A71" w:rsidP="00B55A71">
      <w:pPr>
        <w:pStyle w:val="NoSpacing"/>
        <w:spacing w:after="200" w:line="276" w:lineRule="auto"/>
        <w:rPr>
          <w:b/>
        </w:rPr>
      </w:pPr>
      <w:r w:rsidRPr="00921B1B">
        <w:rPr>
          <w:b/>
        </w:rPr>
        <w:t>Context: Urban water in Solomon Islands</w:t>
      </w:r>
    </w:p>
    <w:p w14:paraId="7C14AAF7" w14:textId="77777777" w:rsidR="00B55A71" w:rsidRDefault="00B55A71" w:rsidP="00F41920">
      <w:pPr>
        <w:pStyle w:val="ListParagraph"/>
        <w:numPr>
          <w:ilvl w:val="0"/>
          <w:numId w:val="18"/>
        </w:numPr>
        <w:contextualSpacing w:val="0"/>
      </w:pPr>
      <w:r>
        <w:t xml:space="preserve">Reliable, sustainable and equitably-priced water supply is critical for growth and human development in Solomon Islands. </w:t>
      </w:r>
      <w:r w:rsidRPr="00BC5E06">
        <w:t>Australian support</w:t>
      </w:r>
      <w:r>
        <w:t xml:space="preserve"> has played a major part in improvements to</w:t>
      </w:r>
      <w:r w:rsidRPr="00BC5E06">
        <w:t xml:space="preserve"> the manage</w:t>
      </w:r>
      <w:r>
        <w:t>ment and quality of water supply.</w:t>
      </w:r>
      <w:r w:rsidRPr="00BC5E06">
        <w:t xml:space="preserve"> </w:t>
      </w:r>
      <w:r>
        <w:t>However,</w:t>
      </w:r>
      <w:r w:rsidRPr="00BC5E06">
        <w:t xml:space="preserve"> services remain</w:t>
      </w:r>
      <w:r>
        <w:t xml:space="preserve"> relatively</w:t>
      </w:r>
      <w:r w:rsidRPr="00BC5E06">
        <w:t xml:space="preserve"> expensive and access ou</w:t>
      </w:r>
      <w:r>
        <w:t>tside major centres, including in per-urban areas, is limited.</w:t>
      </w:r>
    </w:p>
    <w:p w14:paraId="3FEFAF9B" w14:textId="77777777" w:rsidR="00B55A71" w:rsidRDefault="00B55A71" w:rsidP="00F41920">
      <w:pPr>
        <w:pStyle w:val="ListParagraph"/>
        <w:numPr>
          <w:ilvl w:val="0"/>
          <w:numId w:val="18"/>
        </w:numPr>
        <w:contextualSpacing w:val="0"/>
      </w:pPr>
      <w:r w:rsidRPr="007A0F44">
        <w:t>The Solom</w:t>
      </w:r>
      <w:r>
        <w:t xml:space="preserve">on Islands Water Authority (SIWA, </w:t>
      </w:r>
      <w:r w:rsidRPr="007A0F44">
        <w:t>trading as S</w:t>
      </w:r>
      <w:r>
        <w:t>olomon Water</w:t>
      </w:r>
      <w:r w:rsidRPr="007A0F44">
        <w:t xml:space="preserve">) is </w:t>
      </w:r>
      <w:r>
        <w:t>the</w:t>
      </w:r>
      <w:r w:rsidRPr="007A0F44">
        <w:t xml:space="preserve"> state-owned enterprise responsible for water and sewerage in urban areas.</w:t>
      </w:r>
      <w:r>
        <w:t xml:space="preserve"> </w:t>
      </w:r>
      <w:r w:rsidRPr="00BC5E06">
        <w:t xml:space="preserve">The current focus of Australia’s funding to </w:t>
      </w:r>
      <w:r>
        <w:t>SIWA</w:t>
      </w:r>
      <w:r w:rsidRPr="00BC5E06">
        <w:t xml:space="preserve"> is to improve its core operations </w:t>
      </w:r>
      <w:r>
        <w:t>to eventually enable expansion</w:t>
      </w:r>
      <w:r w:rsidRPr="00BC5E06">
        <w:t xml:space="preserve">. Around one third of Honiara residents do not have domestic water connections (People’s Survey 2013) and </w:t>
      </w:r>
      <w:r>
        <w:t xml:space="preserve">outside of Honiara, </w:t>
      </w:r>
      <w:r w:rsidRPr="00BC5E06">
        <w:t>Solomon Water only services three provincial towns</w:t>
      </w:r>
      <w:r>
        <w:t xml:space="preserve"> (</w:t>
      </w:r>
      <w:r w:rsidRPr="007A0F44">
        <w:t xml:space="preserve">Auki in Malaita Province, Tulagi in Central Province </w:t>
      </w:r>
      <w:r>
        <w:t>and Noro in Western Provi</w:t>
      </w:r>
      <w:r w:rsidRPr="007A0F44">
        <w:t>nce</w:t>
      </w:r>
      <w:r>
        <w:t>)</w:t>
      </w:r>
      <w:r w:rsidRPr="00BC5E06">
        <w:t>.</w:t>
      </w:r>
    </w:p>
    <w:p w14:paraId="69309A1C" w14:textId="77777777" w:rsidR="00B55A71" w:rsidRDefault="00B55A71" w:rsidP="00F41920">
      <w:pPr>
        <w:pStyle w:val="ListParagraph"/>
        <w:numPr>
          <w:ilvl w:val="0"/>
          <w:numId w:val="18"/>
        </w:numPr>
        <w:contextualSpacing w:val="0"/>
      </w:pPr>
      <w:r w:rsidRPr="007A0F44">
        <w:t xml:space="preserve">Honiara’s water supply comes from a combination of </w:t>
      </w:r>
      <w:r>
        <w:t>surface water</w:t>
      </w:r>
      <w:r w:rsidRPr="007A0F44">
        <w:t xml:space="preserve"> sources and boreholes. </w:t>
      </w:r>
      <w:r>
        <w:t xml:space="preserve">The </w:t>
      </w:r>
      <w:r w:rsidRPr="007A0F44">
        <w:t>boreholes were built</w:t>
      </w:r>
      <w:r>
        <w:t xml:space="preserve"> and completed</w:t>
      </w:r>
      <w:r w:rsidRPr="007A0F44">
        <w:t xml:space="preserve"> by </w:t>
      </w:r>
      <w:r>
        <w:t xml:space="preserve">the </w:t>
      </w:r>
      <w:r w:rsidRPr="007A0F44">
        <w:t>J</w:t>
      </w:r>
      <w:r>
        <w:t xml:space="preserve">apanese </w:t>
      </w:r>
      <w:r w:rsidRPr="007A0F44">
        <w:t>I</w:t>
      </w:r>
      <w:r>
        <w:t xml:space="preserve">nternational Cooperation Agency (JICA) in 2014. </w:t>
      </w:r>
      <w:r w:rsidRPr="007A0F44">
        <w:t xml:space="preserve">However, the boreholes are more expensive to operate as the water needs to be pumped and some </w:t>
      </w:r>
      <w:r>
        <w:t xml:space="preserve">boreholes </w:t>
      </w:r>
      <w:r w:rsidRPr="007A0F44">
        <w:t>are at risk of contamination from squatter settlements.</w:t>
      </w:r>
      <w:r>
        <w:t xml:space="preserve"> With an extreme El Niño weather event in 2015, and customary landowners blocking access to one of Honiara’s key spring water sources, SIWA is facing ever increasing water supply challenges.</w:t>
      </w:r>
    </w:p>
    <w:p w14:paraId="089504FC" w14:textId="77777777" w:rsidR="00B55A71" w:rsidRPr="00921B1B" w:rsidRDefault="00B55A71" w:rsidP="00B55A71">
      <w:pPr>
        <w:pStyle w:val="NoSpacing"/>
        <w:spacing w:after="200" w:line="276" w:lineRule="auto"/>
        <w:rPr>
          <w:b/>
        </w:rPr>
      </w:pPr>
      <w:r w:rsidRPr="00921B1B">
        <w:rPr>
          <w:b/>
        </w:rPr>
        <w:t>Program overview</w:t>
      </w:r>
    </w:p>
    <w:p w14:paraId="57ECDEBC" w14:textId="77777777" w:rsidR="00B55A71" w:rsidRPr="00921B1B" w:rsidRDefault="00B55A71" w:rsidP="00B55A71">
      <w:pPr>
        <w:pStyle w:val="NoSpacing"/>
        <w:spacing w:after="200" w:line="276" w:lineRule="auto"/>
        <w:rPr>
          <w:i/>
        </w:rPr>
      </w:pPr>
      <w:r w:rsidRPr="00921B1B">
        <w:rPr>
          <w:i/>
        </w:rPr>
        <w:t>Phase 1</w:t>
      </w:r>
      <w:r>
        <w:rPr>
          <w:i/>
        </w:rPr>
        <w:t xml:space="preserve">: </w:t>
      </w:r>
      <w:r w:rsidRPr="00921B1B">
        <w:rPr>
          <w:i/>
        </w:rPr>
        <w:t>Recovery Strategy and Action Plan 2011–2013</w:t>
      </w:r>
    </w:p>
    <w:p w14:paraId="3529AC10" w14:textId="77777777" w:rsidR="00B55A71" w:rsidRDefault="00B55A71" w:rsidP="00F41920">
      <w:pPr>
        <w:pStyle w:val="ListParagraph"/>
        <w:numPr>
          <w:ilvl w:val="0"/>
          <w:numId w:val="18"/>
        </w:numPr>
        <w:contextualSpacing w:val="0"/>
      </w:pPr>
      <w:r w:rsidRPr="00EC5D65">
        <w:t>From 2000 to 2010</w:t>
      </w:r>
      <w:r>
        <w:t>,</w:t>
      </w:r>
      <w:r w:rsidRPr="00EC5D65">
        <w:t xml:space="preserve"> the </w:t>
      </w:r>
      <w:r>
        <w:t xml:space="preserve">operating </w:t>
      </w:r>
      <w:r w:rsidRPr="00EC5D65">
        <w:t>condition</w:t>
      </w:r>
      <w:r>
        <w:t>s</w:t>
      </w:r>
      <w:r w:rsidRPr="00EC5D65">
        <w:t xml:space="preserve"> of </w:t>
      </w:r>
      <w:r>
        <w:t>SIWA</w:t>
      </w:r>
      <w:r w:rsidRPr="00EC5D65">
        <w:t xml:space="preserve"> steadily deteriorated </w:t>
      </w:r>
      <w:r>
        <w:t>due to</w:t>
      </w:r>
      <w:r w:rsidRPr="00EC5D65">
        <w:t xml:space="preserve"> a combination of political instability, governance</w:t>
      </w:r>
      <w:r>
        <w:t xml:space="preserve"> and organisational capacity challenges</w:t>
      </w:r>
      <w:r w:rsidRPr="00EC5D65">
        <w:t xml:space="preserve">, </w:t>
      </w:r>
      <w:r>
        <w:t xml:space="preserve">and </w:t>
      </w:r>
      <w:r w:rsidRPr="00EC5D65">
        <w:t xml:space="preserve">inappropriate tariffs. By 2010, the organisation </w:t>
      </w:r>
      <w:r>
        <w:t>owed SBD37</w:t>
      </w:r>
      <w:r w:rsidRPr="00EC5D65">
        <w:t xml:space="preserve"> million to its electricity supplier, and the service was approaching a state of collapse. There was a serious risk that the already poor water and wastewater services in Honiara would largely cease to function with significant adverse impacts on human health and the local economy</w:t>
      </w:r>
      <w:r>
        <w:t>.</w:t>
      </w:r>
    </w:p>
    <w:p w14:paraId="1ABAAC85" w14:textId="77777777" w:rsidR="00B55A71" w:rsidRDefault="00B55A71" w:rsidP="00F41920">
      <w:pPr>
        <w:pStyle w:val="ListParagraph"/>
        <w:numPr>
          <w:ilvl w:val="0"/>
          <w:numId w:val="18"/>
        </w:numPr>
        <w:contextualSpacing w:val="0"/>
      </w:pPr>
      <w:r w:rsidRPr="00683234">
        <w:t xml:space="preserve">In August 2010, </w:t>
      </w:r>
      <w:r>
        <w:t xml:space="preserve">the </w:t>
      </w:r>
      <w:r w:rsidRPr="00683234">
        <w:t>S</w:t>
      </w:r>
      <w:r>
        <w:t xml:space="preserve">olomon </w:t>
      </w:r>
      <w:r w:rsidRPr="00683234">
        <w:t>I</w:t>
      </w:r>
      <w:r>
        <w:t xml:space="preserve">slands </w:t>
      </w:r>
      <w:r w:rsidRPr="00683234">
        <w:t>G</w:t>
      </w:r>
      <w:r>
        <w:t>overnment (SIG)</w:t>
      </w:r>
      <w:r w:rsidRPr="00683234">
        <w:t xml:space="preserve"> replaced the SIWA </w:t>
      </w:r>
      <w:r>
        <w:t>B</w:t>
      </w:r>
      <w:r w:rsidRPr="00683234">
        <w:t>oard</w:t>
      </w:r>
      <w:r>
        <w:t>,</w:t>
      </w:r>
      <w:r w:rsidRPr="00683234">
        <w:t xml:space="preserve"> </w:t>
      </w:r>
      <w:r>
        <w:t>which then changed over</w:t>
      </w:r>
      <w:r w:rsidRPr="00683234">
        <w:t xml:space="preserve"> most of the management. </w:t>
      </w:r>
      <w:r>
        <w:t>With funding support from Australia, a</w:t>
      </w:r>
      <w:r w:rsidRPr="00683234">
        <w:t>n</w:t>
      </w:r>
      <w:r>
        <w:t xml:space="preserve"> expatriate General Manager </w:t>
      </w:r>
      <w:r w:rsidRPr="00683234">
        <w:t xml:space="preserve">and Finance and Administration Manager </w:t>
      </w:r>
      <w:r>
        <w:t>commenced work in SIWA in April </w:t>
      </w:r>
      <w:r w:rsidRPr="00683234">
        <w:t>2011. The</w:t>
      </w:r>
      <w:r>
        <w:t>y</w:t>
      </w:r>
      <w:r w:rsidRPr="00683234">
        <w:t xml:space="preserve"> developed a Short-Term Recovery Strategy and Actio</w:t>
      </w:r>
      <w:r>
        <w:t xml:space="preserve">n Plan (RAP). </w:t>
      </w:r>
      <w:r w:rsidRPr="00C21361">
        <w:t xml:space="preserve">SIWA did not </w:t>
      </w:r>
      <w:r>
        <w:t>have the financial capacity to implement the RAP and so,</w:t>
      </w:r>
      <w:r w:rsidRPr="00C21361">
        <w:t xml:space="preserve"> </w:t>
      </w:r>
      <w:r>
        <w:t>following a request from SIG, Australia agreed to fund its implementation.</w:t>
      </w:r>
    </w:p>
    <w:p w14:paraId="06792178" w14:textId="77777777" w:rsidR="00B55A71" w:rsidRDefault="00B55A71" w:rsidP="00F41920">
      <w:pPr>
        <w:pStyle w:val="ListParagraph"/>
        <w:numPr>
          <w:ilvl w:val="0"/>
          <w:numId w:val="18"/>
        </w:numPr>
        <w:contextualSpacing w:val="0"/>
      </w:pPr>
      <w:r w:rsidRPr="00504D8E">
        <w:t>The RAP</w:t>
      </w:r>
      <w:r>
        <w:t>’s</w:t>
      </w:r>
      <w:r w:rsidRPr="00504D8E">
        <w:t xml:space="preserve"> </w:t>
      </w:r>
      <w:r>
        <w:t xml:space="preserve">key priorities were </w:t>
      </w:r>
      <w:r w:rsidRPr="006233EF">
        <w:t>to stabilise SIWA’s financial capacity and improve service levels</w:t>
      </w:r>
      <w:r w:rsidRPr="00504D8E">
        <w:t>.</w:t>
      </w:r>
      <w:r>
        <w:t xml:space="preserve"> </w:t>
      </w:r>
      <w:r w:rsidRPr="002F01C6">
        <w:t xml:space="preserve">The RAP proposed a series of measures and investments designed to halt SIWA’s decline, stabilise the operation and delivery of water and enable SIWA to </w:t>
      </w:r>
      <w:r>
        <w:t>achieve</w:t>
      </w:r>
      <w:r w:rsidRPr="002F01C6">
        <w:t xml:space="preserve"> a position </w:t>
      </w:r>
      <w:r>
        <w:t>from</w:t>
      </w:r>
      <w:r w:rsidRPr="002F01C6">
        <w:t xml:space="preserve"> which </w:t>
      </w:r>
      <w:r w:rsidRPr="002F01C6">
        <w:lastRenderedPageBreak/>
        <w:t>it was able to begin the long process of improvement.</w:t>
      </w:r>
      <w:r>
        <w:t xml:space="preserve"> Australia provided AUD2.2million for the implementation of the RAP and placement of technical advisers within SIWA. </w:t>
      </w:r>
    </w:p>
    <w:p w14:paraId="7005A014" w14:textId="77777777" w:rsidR="00B55A71" w:rsidRDefault="00B55A71" w:rsidP="00F41920">
      <w:pPr>
        <w:pStyle w:val="ListParagraph"/>
        <w:numPr>
          <w:ilvl w:val="0"/>
          <w:numId w:val="18"/>
        </w:numPr>
        <w:contextualSpacing w:val="0"/>
      </w:pPr>
      <w:r w:rsidRPr="00BD2B60">
        <w:t xml:space="preserve">The RAP saw significant improvements to </w:t>
      </w:r>
      <w:r>
        <w:t>SIWA’s</w:t>
      </w:r>
      <w:r w:rsidRPr="00BD2B60">
        <w:t xml:space="preserve"> financial performance</w:t>
      </w:r>
      <w:r>
        <w:t>,</w:t>
      </w:r>
      <w:r w:rsidRPr="00BD2B60">
        <w:t xml:space="preserve"> organisational effectiveness and services.</w:t>
      </w:r>
      <w:r>
        <w:t xml:space="preserve"> K</w:t>
      </w:r>
      <w:r w:rsidRPr="00705F43">
        <w:t>ey achievement</w:t>
      </w:r>
      <w:r>
        <w:t>s</w:t>
      </w:r>
      <w:r w:rsidRPr="00705F43">
        <w:t xml:space="preserve"> of the RAP period </w:t>
      </w:r>
      <w:r>
        <w:t>included an agreement that settled SIWA’s</w:t>
      </w:r>
      <w:r w:rsidRPr="00705F43">
        <w:t xml:space="preserve"> debt to the Solomon Islands Electricity Authority in May 2012, reform </w:t>
      </w:r>
      <w:r>
        <w:t xml:space="preserve">of </w:t>
      </w:r>
      <w:r w:rsidRPr="00705F43">
        <w:t>water tariffs and introduc</w:t>
      </w:r>
      <w:r>
        <w:t>tion of</w:t>
      </w:r>
      <w:r w:rsidRPr="00705F43">
        <w:t xml:space="preserve"> Comm</w:t>
      </w:r>
      <w:r>
        <w:t xml:space="preserve">unity Services Obligation </w:t>
      </w:r>
      <w:r w:rsidRPr="00705F43">
        <w:t>payments</w:t>
      </w:r>
      <w:r>
        <w:t xml:space="preserve"> from SIG</w:t>
      </w:r>
      <w:r w:rsidRPr="00705F43">
        <w:t xml:space="preserve"> to cover losses on S</w:t>
      </w:r>
      <w:r>
        <w:t>I</w:t>
      </w:r>
      <w:r w:rsidRPr="00705F43">
        <w:t>W</w:t>
      </w:r>
      <w:r>
        <w:t>A’s</w:t>
      </w:r>
      <w:r w:rsidRPr="00705F43">
        <w:t xml:space="preserve"> provincial</w:t>
      </w:r>
      <w:r>
        <w:t xml:space="preserve"> operations</w:t>
      </w:r>
      <w:r w:rsidRPr="00705F43">
        <w:t>.</w:t>
      </w:r>
      <w:r>
        <w:t xml:space="preserve"> SIWA went from having an operational loss of SBD30 million in 2010 to an operating surplus of SBD10 million in 2012.</w:t>
      </w:r>
    </w:p>
    <w:p w14:paraId="22DB14E8" w14:textId="77777777" w:rsidR="00B55A71" w:rsidRPr="00921B1B" w:rsidRDefault="00B55A71" w:rsidP="00B55A71">
      <w:pPr>
        <w:pStyle w:val="NoSpacing"/>
        <w:spacing w:after="200" w:line="276" w:lineRule="auto"/>
        <w:rPr>
          <w:i/>
        </w:rPr>
      </w:pPr>
      <w:r w:rsidRPr="00921B1B">
        <w:rPr>
          <w:i/>
        </w:rPr>
        <w:t>Phase 2</w:t>
      </w:r>
      <w:r>
        <w:rPr>
          <w:i/>
        </w:rPr>
        <w:t xml:space="preserve">: </w:t>
      </w:r>
      <w:r w:rsidRPr="00921B1B">
        <w:rPr>
          <w:i/>
        </w:rPr>
        <w:t>Solomon Water Development Plan 2013</w:t>
      </w:r>
      <w:r>
        <w:rPr>
          <w:i/>
        </w:rPr>
        <w:t>–</w:t>
      </w:r>
      <w:r w:rsidRPr="00921B1B">
        <w:rPr>
          <w:i/>
        </w:rPr>
        <w:t xml:space="preserve">2016 </w:t>
      </w:r>
    </w:p>
    <w:p w14:paraId="49BDC2A6" w14:textId="77777777" w:rsidR="00B55A71" w:rsidRDefault="00B55A71" w:rsidP="00F41920">
      <w:pPr>
        <w:pStyle w:val="NoSpacing"/>
        <w:numPr>
          <w:ilvl w:val="0"/>
          <w:numId w:val="18"/>
        </w:numPr>
        <w:spacing w:after="200" w:line="276" w:lineRule="auto"/>
      </w:pPr>
      <w:r w:rsidRPr="00E90095">
        <w:t xml:space="preserve">The </w:t>
      </w:r>
      <w:r>
        <w:t>Solomon Water Development Plan is a medium term plan that builds on the achievements of the RAP</w:t>
      </w:r>
      <w:r w:rsidRPr="00E90095">
        <w:t>. It aims to target a number of critical issues that must be addressed to ensure the sustainable development of the business into the future</w:t>
      </w:r>
      <w:r>
        <w:t>.</w:t>
      </w:r>
      <w:r w:rsidRPr="00E90095">
        <w:t xml:space="preserve"> The overall objective of the Plan is to move </w:t>
      </w:r>
      <w:r>
        <w:t>SIWA</w:t>
      </w:r>
      <w:r w:rsidRPr="00E90095">
        <w:t xml:space="preserve"> to a position where its infrastructure is capable of supporting an acceptable </w:t>
      </w:r>
      <w:r>
        <w:t>level</w:t>
      </w:r>
      <w:r w:rsidRPr="00E90095">
        <w:t xml:space="preserve"> of service to the population</w:t>
      </w:r>
      <w:r>
        <w:t>,</w:t>
      </w:r>
      <w:r w:rsidRPr="00E90095">
        <w:t xml:space="preserve"> and which is based on a firm financial position.</w:t>
      </w:r>
    </w:p>
    <w:p w14:paraId="0FE14741" w14:textId="77777777" w:rsidR="00B55A71" w:rsidRPr="00921B1B" w:rsidRDefault="00B55A71" w:rsidP="00F41920">
      <w:pPr>
        <w:pStyle w:val="ListParagraph"/>
        <w:numPr>
          <w:ilvl w:val="0"/>
          <w:numId w:val="18"/>
        </w:numPr>
        <w:spacing w:after="120"/>
        <w:ind w:left="357" w:hanging="357"/>
        <w:contextualSpacing w:val="0"/>
        <w:rPr>
          <w:i/>
        </w:rPr>
      </w:pPr>
      <w:r>
        <w:rPr>
          <w:rFonts w:eastAsia="SimSun" w:cs="Calibri"/>
        </w:rPr>
        <w:t xml:space="preserve">Similar to the RAP, </w:t>
      </w:r>
      <w:r w:rsidRPr="008E15CE">
        <w:rPr>
          <w:rFonts w:eastAsia="SimSun" w:cs="Calibri"/>
        </w:rPr>
        <w:t>Australia</w:t>
      </w:r>
      <w:r>
        <w:rPr>
          <w:rFonts w:eastAsia="SimSun" w:cs="Calibri"/>
        </w:rPr>
        <w:t xml:space="preserve"> is providing direct</w:t>
      </w:r>
      <w:r w:rsidRPr="008E15CE">
        <w:rPr>
          <w:rFonts w:eastAsia="SimSun" w:cs="Calibri"/>
        </w:rPr>
        <w:t xml:space="preserve"> funding support </w:t>
      </w:r>
      <w:r>
        <w:rPr>
          <w:rFonts w:eastAsia="SimSun" w:cs="Calibri"/>
        </w:rPr>
        <w:t xml:space="preserve">to SIWA </w:t>
      </w:r>
      <w:r w:rsidRPr="008E15CE">
        <w:rPr>
          <w:rFonts w:eastAsia="SimSun" w:cs="Calibri"/>
        </w:rPr>
        <w:t xml:space="preserve">for the implementation of the </w:t>
      </w:r>
      <w:r>
        <w:rPr>
          <w:rFonts w:eastAsia="SimSun" w:cs="Calibri"/>
        </w:rPr>
        <w:t xml:space="preserve">Development </w:t>
      </w:r>
      <w:r w:rsidRPr="00921B1B">
        <w:rPr>
          <w:rFonts w:eastAsia="SimSun" w:cs="Calibri"/>
        </w:rPr>
        <w:t>Plan (up to AUD7 million),</w:t>
      </w:r>
      <w:r>
        <w:rPr>
          <w:rFonts w:eastAsia="SimSun" w:cs="Calibri"/>
        </w:rPr>
        <w:t xml:space="preserve"> as well as </w:t>
      </w:r>
      <w:r w:rsidRPr="008E15CE">
        <w:rPr>
          <w:rFonts w:eastAsia="SimSun" w:cs="Calibri"/>
        </w:rPr>
        <w:t xml:space="preserve">technical </w:t>
      </w:r>
      <w:r>
        <w:rPr>
          <w:rFonts w:eastAsia="SimSun" w:cs="Calibri"/>
        </w:rPr>
        <w:t xml:space="preserve">assistance </w:t>
      </w:r>
      <w:r w:rsidRPr="008E15CE">
        <w:rPr>
          <w:rFonts w:eastAsia="SimSun" w:cs="Calibri"/>
        </w:rPr>
        <w:t xml:space="preserve">through the Solomon Islands </w:t>
      </w:r>
      <w:r>
        <w:rPr>
          <w:rFonts w:eastAsia="SimSun" w:cs="Calibri"/>
        </w:rPr>
        <w:t>Resource Facility (SIR</w:t>
      </w:r>
      <w:r w:rsidRPr="008E15CE">
        <w:rPr>
          <w:rFonts w:eastAsia="SimSun" w:cs="Calibri"/>
        </w:rPr>
        <w:t>F) to manage long and short term advisers and consultants for SIWA</w:t>
      </w:r>
      <w:r>
        <w:rPr>
          <w:rFonts w:eastAsia="SimSun" w:cs="Calibri"/>
        </w:rPr>
        <w:t xml:space="preserve"> (up to AUD3.1 million)</w:t>
      </w:r>
      <w:r w:rsidRPr="008E15CE">
        <w:rPr>
          <w:rFonts w:eastAsia="SimSun" w:cs="Calibri"/>
        </w:rPr>
        <w:t>.</w:t>
      </w:r>
      <w:r>
        <w:rPr>
          <w:rFonts w:eastAsia="SimSun" w:cs="Calibri"/>
        </w:rPr>
        <w:t xml:space="preserve"> The purpose of Australia’s support is to provide a safe and reliable water supply service to an increased share of the population in SIWA’s current service areas, based on a sound financial position. The key desired outcome areas are:</w:t>
      </w:r>
    </w:p>
    <w:p w14:paraId="50774022" w14:textId="77777777" w:rsidR="00B55A71" w:rsidRDefault="00B55A71" w:rsidP="00B55A71">
      <w:pPr>
        <w:pStyle w:val="ListParagraph"/>
        <w:numPr>
          <w:ilvl w:val="0"/>
          <w:numId w:val="14"/>
        </w:numPr>
        <w:ind w:left="1077" w:hanging="357"/>
      </w:pPr>
      <w:r>
        <w:t>improved levels of service for water supply;</w:t>
      </w:r>
    </w:p>
    <w:p w14:paraId="09E4490C" w14:textId="77777777" w:rsidR="00B55A71" w:rsidRDefault="00B55A71" w:rsidP="00B55A71">
      <w:pPr>
        <w:pStyle w:val="ListParagraph"/>
        <w:numPr>
          <w:ilvl w:val="0"/>
          <w:numId w:val="14"/>
        </w:numPr>
        <w:ind w:left="1077" w:hanging="357"/>
      </w:pPr>
      <w:r>
        <w:t>improved customer care and communications;</w:t>
      </w:r>
    </w:p>
    <w:p w14:paraId="15D30C08" w14:textId="77777777" w:rsidR="00B55A71" w:rsidRDefault="00B55A71" w:rsidP="00B55A71">
      <w:pPr>
        <w:pStyle w:val="ListParagraph"/>
        <w:numPr>
          <w:ilvl w:val="0"/>
          <w:numId w:val="14"/>
        </w:numPr>
        <w:ind w:left="1077" w:hanging="357"/>
      </w:pPr>
      <w:r>
        <w:t>improved organisational capacity;</w:t>
      </w:r>
    </w:p>
    <w:p w14:paraId="5C814AFF" w14:textId="77777777" w:rsidR="00B55A71" w:rsidRDefault="00B55A71" w:rsidP="00B55A71">
      <w:pPr>
        <w:pStyle w:val="ListParagraph"/>
        <w:numPr>
          <w:ilvl w:val="0"/>
          <w:numId w:val="14"/>
        </w:numPr>
        <w:ind w:left="1077" w:hanging="357"/>
      </w:pPr>
      <w:r>
        <w:t>strengthened financial management and administration; and</w:t>
      </w:r>
    </w:p>
    <w:p w14:paraId="67270C66" w14:textId="77777777" w:rsidR="00B55A71" w:rsidRPr="00921B1B" w:rsidRDefault="00B55A71" w:rsidP="00B55A71">
      <w:pPr>
        <w:pStyle w:val="ListParagraph"/>
        <w:numPr>
          <w:ilvl w:val="0"/>
          <w:numId w:val="14"/>
        </w:numPr>
        <w:contextualSpacing w:val="0"/>
      </w:pPr>
      <w:r>
        <w:t>improved strategic planning.</w:t>
      </w:r>
      <w:r w:rsidRPr="00921B1B">
        <w:t xml:space="preserve"> </w:t>
      </w:r>
    </w:p>
    <w:p w14:paraId="6013973E" w14:textId="77777777" w:rsidR="00B55A71" w:rsidRPr="008E15CE" w:rsidRDefault="00B55A71" w:rsidP="00F41920">
      <w:pPr>
        <w:pStyle w:val="ListParagraph"/>
        <w:numPr>
          <w:ilvl w:val="0"/>
          <w:numId w:val="18"/>
        </w:numPr>
        <w:contextualSpacing w:val="0"/>
        <w:rPr>
          <w:i/>
        </w:rPr>
      </w:pPr>
      <w:r>
        <w:t>The Development Plan was initially intended to be completed by June 2015. However, delays in procurement and expenditure early in the Development Plan’s implementation, as well as unexpected six-month vacancies in SIWA’s General Manager and Program Manager positions, meant that the Plan was fully delivered on time. As a result, in March 2015, SIWA and Australia agreed to extend the Development Plan until December 2016, with a deferral of Australia’s final funding commitment to 2016 to support the extension.</w:t>
      </w:r>
    </w:p>
    <w:p w14:paraId="6A9E1ED4" w14:textId="77777777" w:rsidR="00B55A71" w:rsidRPr="00921B1B" w:rsidRDefault="00B55A71" w:rsidP="00B55A71">
      <w:pPr>
        <w:pStyle w:val="NoSpacing"/>
        <w:keepNext/>
        <w:spacing w:after="200" w:line="276" w:lineRule="auto"/>
        <w:rPr>
          <w:b/>
        </w:rPr>
      </w:pPr>
      <w:r w:rsidRPr="00921B1B">
        <w:rPr>
          <w:b/>
        </w:rPr>
        <w:t xml:space="preserve">Current situation </w:t>
      </w:r>
    </w:p>
    <w:p w14:paraId="4F11AE24" w14:textId="77777777" w:rsidR="00B55A71" w:rsidRPr="00BC4778" w:rsidRDefault="00B55A71" w:rsidP="00F41920">
      <w:pPr>
        <w:pStyle w:val="ListParagraph"/>
        <w:numPr>
          <w:ilvl w:val="0"/>
          <w:numId w:val="18"/>
        </w:numPr>
        <w:contextualSpacing w:val="0"/>
        <w:rPr>
          <w:i/>
        </w:rPr>
      </w:pPr>
      <w:r w:rsidRPr="00CB2EEA">
        <w:rPr>
          <w:rFonts w:eastAsia="SimSun" w:cs="Calibri"/>
        </w:rPr>
        <w:t xml:space="preserve">Australian support to </w:t>
      </w:r>
      <w:r>
        <w:rPr>
          <w:rFonts w:eastAsia="SimSun" w:cs="Calibri"/>
        </w:rPr>
        <w:t xml:space="preserve">SIWA since 2011 </w:t>
      </w:r>
      <w:r w:rsidRPr="00CB2EEA">
        <w:rPr>
          <w:rFonts w:eastAsia="SimSun" w:cs="Calibri"/>
        </w:rPr>
        <w:t xml:space="preserve">has seen a dramatic turnaround in the performance of the organisation. </w:t>
      </w:r>
      <w:r>
        <w:rPr>
          <w:rFonts w:eastAsia="SimSun" w:cs="Calibri"/>
        </w:rPr>
        <w:t>SIWA advises that t</w:t>
      </w:r>
      <w:r w:rsidRPr="00CB2EEA">
        <w:rPr>
          <w:rFonts w:eastAsia="SimSun" w:cs="Calibri"/>
        </w:rPr>
        <w:t xml:space="preserve">he average proportion of water samples that pass </w:t>
      </w:r>
      <w:r>
        <w:rPr>
          <w:rFonts w:eastAsia="SimSun" w:cs="Calibri"/>
        </w:rPr>
        <w:t>World Health Organization</w:t>
      </w:r>
      <w:r w:rsidRPr="00CB2EEA">
        <w:rPr>
          <w:rFonts w:eastAsia="SimSun" w:cs="Calibri"/>
        </w:rPr>
        <w:t xml:space="preserve"> bacteria standards increased from less than half in 2011 to 94 per cent in 2014. Daily average hours of water supply across the country </w:t>
      </w:r>
      <w:r>
        <w:rPr>
          <w:rFonts w:eastAsia="SimSun" w:cs="Calibri"/>
        </w:rPr>
        <w:t xml:space="preserve">have </w:t>
      </w:r>
      <w:r w:rsidRPr="00CB2EEA">
        <w:rPr>
          <w:rFonts w:eastAsia="SimSun" w:cs="Calibri"/>
        </w:rPr>
        <w:t>increased to 20 hours, up from 14 in 2011. Around 87 per cent of Honiara had 24 hour water supply</w:t>
      </w:r>
      <w:r>
        <w:rPr>
          <w:rFonts w:eastAsia="SimSun" w:cs="Calibri"/>
        </w:rPr>
        <w:t xml:space="preserve"> in 2014</w:t>
      </w:r>
      <w:r w:rsidRPr="00CB2EEA">
        <w:rPr>
          <w:rFonts w:eastAsia="SimSun" w:cs="Calibri"/>
        </w:rPr>
        <w:t>, compared to 39 per cent in 2013. By the end of 2014, 9,845 households (around 69,000 people) had water connections—a 25 per cent growth from 2013.</w:t>
      </w:r>
    </w:p>
    <w:p w14:paraId="74526FF8" w14:textId="77777777" w:rsidR="00B55A71" w:rsidRPr="00532E5F" w:rsidRDefault="00B55A71" w:rsidP="00F41920">
      <w:pPr>
        <w:pStyle w:val="ListParagraph"/>
        <w:numPr>
          <w:ilvl w:val="0"/>
          <w:numId w:val="18"/>
        </w:numPr>
        <w:contextualSpacing w:val="0"/>
      </w:pPr>
      <w:r w:rsidRPr="002A2828">
        <w:rPr>
          <w:rFonts w:eastAsia="SimSun" w:cs="Calibri"/>
        </w:rPr>
        <w:lastRenderedPageBreak/>
        <w:t>Nonetheless, progress remains fragile.  SIWA’s financial position remains uncertain, particularly with increasing challenges in non-revenue water, and debt recovery and collection.  SIWA is forecasting an operating surplus of around SBD3 million in 2015</w:t>
      </w:r>
      <w:r>
        <w:rPr>
          <w:rFonts w:eastAsia="SimSun" w:cs="Calibri"/>
        </w:rPr>
        <w:t>, down from initial forecasts of SBD11.5 million</w:t>
      </w:r>
      <w:r w:rsidRPr="002A2828">
        <w:rPr>
          <w:rFonts w:eastAsia="SimSun" w:cs="Calibri"/>
        </w:rPr>
        <w:t xml:space="preserve">.  The decrease is </w:t>
      </w:r>
      <w:r>
        <w:rPr>
          <w:rFonts w:eastAsia="SimSun" w:cs="Calibri"/>
        </w:rPr>
        <w:t xml:space="preserve">mainly </w:t>
      </w:r>
      <w:r w:rsidRPr="002A2828">
        <w:rPr>
          <w:rFonts w:eastAsia="SimSun" w:cs="Calibri"/>
        </w:rPr>
        <w:t xml:space="preserve">due to unexpected accommodation costs to store valuable assets, recuperation </w:t>
      </w:r>
      <w:r>
        <w:rPr>
          <w:rFonts w:eastAsia="SimSun" w:cs="Calibri"/>
        </w:rPr>
        <w:t>of</w:t>
      </w:r>
      <w:r w:rsidRPr="002A2828">
        <w:rPr>
          <w:rFonts w:eastAsia="SimSun" w:cs="Calibri"/>
        </w:rPr>
        <w:t xml:space="preserve"> unbilled </w:t>
      </w:r>
      <w:r>
        <w:rPr>
          <w:rFonts w:eastAsia="SimSun" w:cs="Calibri"/>
        </w:rPr>
        <w:t xml:space="preserve">electricity </w:t>
      </w:r>
      <w:r w:rsidRPr="002A2828">
        <w:rPr>
          <w:rFonts w:eastAsia="SimSun" w:cs="Calibri"/>
        </w:rPr>
        <w:t>services and SIG’s decision not to pay SIWA its 2015 community service obligations (amounting to SBD3.9 million).</w:t>
      </w:r>
    </w:p>
    <w:p w14:paraId="199E7595" w14:textId="77777777" w:rsidR="00B55A71" w:rsidRDefault="00B55A71" w:rsidP="00F41920">
      <w:pPr>
        <w:pStyle w:val="ListParagraph"/>
        <w:numPr>
          <w:ilvl w:val="0"/>
          <w:numId w:val="18"/>
        </w:numPr>
        <w:contextualSpacing w:val="0"/>
      </w:pPr>
      <w:r>
        <w:rPr>
          <w:rFonts w:eastAsia="SimSun" w:cs="Calibri"/>
        </w:rPr>
        <w:t xml:space="preserve">While organisational capacity has improved substantially, there are still significant improvements to be made, for example in procurement, tariff collection, billing, results monitoring and records management. </w:t>
      </w:r>
      <w:r w:rsidRPr="00EC2DBA">
        <w:t>By end of 2015</w:t>
      </w:r>
      <w:r>
        <w:t>,</w:t>
      </w:r>
      <w:r w:rsidRPr="00EC2DBA">
        <w:t xml:space="preserve"> </w:t>
      </w:r>
      <w:r>
        <w:t>many</w:t>
      </w:r>
      <w:r w:rsidRPr="00EC2DBA">
        <w:t xml:space="preserve"> of the </w:t>
      </w:r>
      <w:r>
        <w:t>larger projects</w:t>
      </w:r>
      <w:r w:rsidRPr="00EC2DBA">
        <w:t xml:space="preserve"> under the </w:t>
      </w:r>
      <w:r>
        <w:t>Development Plan</w:t>
      </w:r>
      <w:r w:rsidRPr="00EC2DBA">
        <w:t xml:space="preserve"> were not </w:t>
      </w:r>
      <w:r>
        <w:t>yet completed</w:t>
      </w:r>
      <w:r w:rsidRPr="00EC2DBA">
        <w:t xml:space="preserve"> by SIWA</w:t>
      </w:r>
      <w:r>
        <w:t>,</w:t>
      </w:r>
      <w:r w:rsidRPr="00EC2DBA">
        <w:t xml:space="preserve"> including </w:t>
      </w:r>
      <w:r>
        <w:t>the</w:t>
      </w:r>
      <w:r w:rsidRPr="00EC2DBA">
        <w:t xml:space="preserve"> Tariff Review, </w:t>
      </w:r>
      <w:r>
        <w:t xml:space="preserve">implementation of a </w:t>
      </w:r>
      <w:r w:rsidRPr="00EC2DBA">
        <w:t xml:space="preserve">Supervisory Control </w:t>
      </w:r>
      <w:r>
        <w:t>a</w:t>
      </w:r>
      <w:r w:rsidRPr="00EC2DBA">
        <w:t>nd Data Acquisition (SCADA)</w:t>
      </w:r>
      <w:r w:rsidRPr="006D79CB">
        <w:t xml:space="preserve"> </w:t>
      </w:r>
      <w:r w:rsidRPr="00EC2DBA">
        <w:t xml:space="preserve">system and the </w:t>
      </w:r>
      <w:r>
        <w:t>e</w:t>
      </w:r>
      <w:r w:rsidRPr="00EC2DBA">
        <w:t>ngineering feasibility work for the construction of a</w:t>
      </w:r>
      <w:r>
        <w:t xml:space="preserve"> Honiara</w:t>
      </w:r>
      <w:r w:rsidRPr="00EC2DBA">
        <w:t xml:space="preserve"> East-West pipeline. </w:t>
      </w:r>
      <w:r>
        <w:t>D</w:t>
      </w:r>
      <w:r w:rsidRPr="00EC2DBA">
        <w:t xml:space="preserve">elays </w:t>
      </w:r>
      <w:r>
        <w:t>have largely</w:t>
      </w:r>
      <w:r w:rsidRPr="00EC2DBA">
        <w:t xml:space="preserve"> </w:t>
      </w:r>
      <w:r>
        <w:t xml:space="preserve">been </w:t>
      </w:r>
      <w:r w:rsidRPr="00EC2DBA">
        <w:t>due to</w:t>
      </w:r>
      <w:r>
        <w:t xml:space="preserve"> slow procurement and expenditure in the Development Plan’s first year of operation, followed by unexpected</w:t>
      </w:r>
      <w:r w:rsidRPr="00EC2DBA">
        <w:t xml:space="preserve"> changes</w:t>
      </w:r>
      <w:r>
        <w:t xml:space="preserve"> and extended vacancies</w:t>
      </w:r>
      <w:r w:rsidRPr="00EC2DBA">
        <w:t xml:space="preserve"> in SIWA</w:t>
      </w:r>
      <w:r>
        <w:t>’s</w:t>
      </w:r>
      <w:r w:rsidRPr="00EC2DBA">
        <w:t xml:space="preserve"> senior management</w:t>
      </w:r>
      <w:r>
        <w:t>, as well as industrial action by staff, in 2015</w:t>
      </w:r>
      <w:r w:rsidRPr="00EC2DBA">
        <w:t>.</w:t>
      </w:r>
    </w:p>
    <w:p w14:paraId="6F118B99" w14:textId="77777777" w:rsidR="00B55A71" w:rsidRDefault="00B55A71" w:rsidP="00F41920">
      <w:pPr>
        <w:pStyle w:val="NoSpacing"/>
        <w:numPr>
          <w:ilvl w:val="0"/>
          <w:numId w:val="18"/>
        </w:numPr>
        <w:spacing w:after="200" w:line="276" w:lineRule="auto"/>
      </w:pPr>
      <w:r>
        <w:t>Given these and other ongoing implementation challenges, SIWA and Australia are reviewing the remaining scope of the Development Plan. With Australian-funded advisory support, SIWA will develop a 25-year Sewerage and Water Strategic Plan with an associated Five-Year Action Plan (5YAP) to replace the Development Plan from January 2017 onwards. It is almost certain that donor support will be needed to implement the 5YAP.</w:t>
      </w:r>
    </w:p>
    <w:p w14:paraId="0F256ED0" w14:textId="77777777" w:rsidR="00B55A71" w:rsidRPr="00921B1B" w:rsidRDefault="00B55A71" w:rsidP="00B55A71">
      <w:pPr>
        <w:pStyle w:val="NoSpacing"/>
        <w:spacing w:after="200" w:line="276" w:lineRule="auto"/>
        <w:rPr>
          <w:b/>
        </w:rPr>
      </w:pPr>
      <w:r w:rsidRPr="00921B1B">
        <w:rPr>
          <w:b/>
        </w:rPr>
        <w:t>EVALUATION</w:t>
      </w:r>
    </w:p>
    <w:p w14:paraId="2A18C95A" w14:textId="77777777" w:rsidR="00B55A71" w:rsidRPr="00BB2314" w:rsidRDefault="00B55A71" w:rsidP="00B55A71">
      <w:pPr>
        <w:pStyle w:val="NoSpacing"/>
        <w:spacing w:after="200" w:line="276" w:lineRule="auto"/>
        <w:rPr>
          <w:b/>
        </w:rPr>
      </w:pPr>
      <w:r w:rsidRPr="00BB2314">
        <w:rPr>
          <w:b/>
        </w:rPr>
        <w:t xml:space="preserve">Purpose of </w:t>
      </w:r>
      <w:r>
        <w:rPr>
          <w:b/>
        </w:rPr>
        <w:t>e</w:t>
      </w:r>
      <w:r w:rsidRPr="00BB2314">
        <w:rPr>
          <w:b/>
        </w:rPr>
        <w:t>valuation</w:t>
      </w:r>
    </w:p>
    <w:p w14:paraId="13F1467C" w14:textId="31A46F7A" w:rsidR="00B55A71" w:rsidRDefault="00B55A71" w:rsidP="00F41920">
      <w:pPr>
        <w:pStyle w:val="ListParagraph"/>
        <w:numPr>
          <w:ilvl w:val="0"/>
          <w:numId w:val="18"/>
        </w:numPr>
        <w:contextualSpacing w:val="0"/>
      </w:pPr>
      <w:r>
        <w:t xml:space="preserve">Independent evaluations are mandatory for all Australian aid investments over AUD10 million, and the second phase of Australia’s support to Solomon Water amounts to AUD10.1 million. This will be a final evaluation to assess overall program performance of the Development </w:t>
      </w:r>
      <w:r w:rsidR="00932B41">
        <w:t>Plan (</w:t>
      </w:r>
      <w:r>
        <w:t>2013–2016) and DFAT’s support for its implementation (direct support to SIWA and technical assistance through the SIRF).  Progress in implementing the Development Plan has been significantly slower than anticipated.  This evaluation should help DFAT and SIWA understand why this has happened and what this means going forward.</w:t>
      </w:r>
    </w:p>
    <w:p w14:paraId="2A29ACC9" w14:textId="77777777" w:rsidR="00B55A71" w:rsidRPr="00F41920" w:rsidRDefault="00B55A71" w:rsidP="00F41920">
      <w:pPr>
        <w:pStyle w:val="NoSpacing"/>
        <w:numPr>
          <w:ilvl w:val="0"/>
          <w:numId w:val="18"/>
        </w:numPr>
        <w:spacing w:after="200" w:line="276" w:lineRule="auto"/>
      </w:pPr>
      <w:r w:rsidRPr="00F41920">
        <w:t>This evaluation has a two-fold purpose:</w:t>
      </w:r>
    </w:p>
    <w:p w14:paraId="1BD6552B" w14:textId="77777777" w:rsidR="00B55A71" w:rsidRPr="00F41920" w:rsidRDefault="00B55A71" w:rsidP="00B55A71">
      <w:pPr>
        <w:spacing w:after="0"/>
        <w:ind w:left="357"/>
        <w:rPr>
          <w:rFonts w:ascii="Calibri" w:hAnsi="Calibri"/>
          <w:sz w:val="22"/>
          <w:szCs w:val="22"/>
        </w:rPr>
      </w:pPr>
      <w:r w:rsidRPr="00F41920">
        <w:rPr>
          <w:rFonts w:ascii="Calibri" w:hAnsi="Calibri"/>
          <w:sz w:val="22"/>
          <w:szCs w:val="22"/>
        </w:rPr>
        <w:t>a) Program assessment</w:t>
      </w:r>
    </w:p>
    <w:p w14:paraId="088E044D" w14:textId="77777777" w:rsidR="00B55A71" w:rsidRPr="00F41920" w:rsidRDefault="00B55A71" w:rsidP="00B55A71">
      <w:pPr>
        <w:numPr>
          <w:ilvl w:val="0"/>
          <w:numId w:val="14"/>
        </w:numPr>
        <w:spacing w:before="0" w:after="200" w:line="276" w:lineRule="auto"/>
        <w:ind w:left="1077" w:hanging="357"/>
        <w:contextualSpacing/>
        <w:rPr>
          <w:rFonts w:ascii="Calibri" w:hAnsi="Calibri"/>
          <w:sz w:val="22"/>
          <w:szCs w:val="22"/>
        </w:rPr>
      </w:pPr>
      <w:r w:rsidRPr="00F41920">
        <w:rPr>
          <w:rFonts w:ascii="Calibri" w:hAnsi="Calibri"/>
          <w:sz w:val="22"/>
          <w:szCs w:val="22"/>
        </w:rPr>
        <w:t>To evaluate the program and the extent to which DFAT funding has enabled SIWA to achieve its objectives under the Development Plan, based on the evaluation questions outlined below.</w:t>
      </w:r>
    </w:p>
    <w:p w14:paraId="4B47C1DB" w14:textId="77777777" w:rsidR="00B55A71" w:rsidRPr="00F41920" w:rsidRDefault="00B55A71" w:rsidP="00B55A71">
      <w:pPr>
        <w:spacing w:after="0"/>
        <w:ind w:left="357"/>
        <w:rPr>
          <w:rFonts w:ascii="Calibri" w:hAnsi="Calibri"/>
          <w:sz w:val="22"/>
          <w:szCs w:val="22"/>
        </w:rPr>
      </w:pPr>
      <w:r w:rsidRPr="00F41920">
        <w:rPr>
          <w:rFonts w:ascii="Calibri" w:hAnsi="Calibri"/>
          <w:sz w:val="22"/>
          <w:szCs w:val="22"/>
        </w:rPr>
        <w:t xml:space="preserve">b) Program improvement </w:t>
      </w:r>
    </w:p>
    <w:p w14:paraId="1AE4DE21" w14:textId="77777777" w:rsidR="00B55A71" w:rsidRPr="00F41920" w:rsidRDefault="00B55A71" w:rsidP="00B55A71">
      <w:pPr>
        <w:numPr>
          <w:ilvl w:val="0"/>
          <w:numId w:val="14"/>
        </w:numPr>
        <w:spacing w:before="0" w:after="200" w:line="276" w:lineRule="auto"/>
        <w:ind w:left="1077" w:hanging="357"/>
        <w:contextualSpacing/>
        <w:rPr>
          <w:rFonts w:ascii="Calibri" w:hAnsi="Calibri"/>
          <w:sz w:val="22"/>
          <w:szCs w:val="22"/>
        </w:rPr>
      </w:pPr>
      <w:r w:rsidRPr="00F41920">
        <w:rPr>
          <w:rFonts w:ascii="Calibri" w:hAnsi="Calibri"/>
          <w:sz w:val="22"/>
          <w:szCs w:val="22"/>
        </w:rPr>
        <w:t>To review lessons that the program has learnt, which can be useful in further improving the program and SIWA’s service delivery.</w:t>
      </w:r>
    </w:p>
    <w:p w14:paraId="592A5D39" w14:textId="77777777" w:rsidR="00B55A71" w:rsidRPr="00F41920" w:rsidRDefault="00B55A71" w:rsidP="00B55A71">
      <w:pPr>
        <w:numPr>
          <w:ilvl w:val="0"/>
          <w:numId w:val="14"/>
        </w:numPr>
        <w:spacing w:before="0" w:after="200" w:line="276" w:lineRule="auto"/>
        <w:ind w:left="1077" w:hanging="357"/>
        <w:contextualSpacing/>
        <w:rPr>
          <w:rFonts w:ascii="Calibri" w:hAnsi="Calibri"/>
          <w:sz w:val="22"/>
          <w:szCs w:val="22"/>
        </w:rPr>
      </w:pPr>
      <w:r w:rsidRPr="00F41920">
        <w:rPr>
          <w:rFonts w:ascii="Calibri" w:hAnsi="Calibri"/>
          <w:sz w:val="22"/>
          <w:szCs w:val="22"/>
        </w:rPr>
        <w:t>To confirm the program’s relevance to SIG’s strategy and DFAT’s priorities and recommend strategies for DFAT to support SIWA’s transition to longer term EU support.</w:t>
      </w:r>
    </w:p>
    <w:p w14:paraId="49472740" w14:textId="77777777" w:rsidR="00B55A71" w:rsidRDefault="00B55A71" w:rsidP="00F41920">
      <w:pPr>
        <w:pStyle w:val="NoSpacing"/>
        <w:numPr>
          <w:ilvl w:val="0"/>
          <w:numId w:val="18"/>
        </w:numPr>
        <w:spacing w:after="200" w:line="276" w:lineRule="auto"/>
      </w:pPr>
      <w:r>
        <w:lastRenderedPageBreak/>
        <w:t>This evaluation will be used to inform DFAT Honiara, SIWA management and relevant SIG ministries of SIWA’s progress through the implementation of the Development Plan. It will provide evidence</w:t>
      </w:r>
      <w:r>
        <w:noBreakHyphen/>
        <w:t>based findings to guide</w:t>
      </w:r>
      <w:r w:rsidRPr="001A7DB1">
        <w:t xml:space="preserve"> </w:t>
      </w:r>
      <w:r>
        <w:t xml:space="preserve">DFAT Honiara and the SIWA General Manager in the final stages of implementation of the Development Plan, and inform DFAT Honiara’s and DFAT Canberra’s considerations of the future of any Australian assistance to the urban water sector in Solomon Islands. </w:t>
      </w:r>
    </w:p>
    <w:p w14:paraId="49B9B065" w14:textId="77777777" w:rsidR="00B55A71" w:rsidRPr="00A95B34" w:rsidRDefault="00B55A71" w:rsidP="00F41920">
      <w:pPr>
        <w:pStyle w:val="NoSpacing"/>
        <w:numPr>
          <w:ilvl w:val="0"/>
          <w:numId w:val="18"/>
        </w:numPr>
        <w:spacing w:after="200" w:line="276" w:lineRule="auto"/>
        <w:rPr>
          <w:i/>
        </w:rPr>
      </w:pPr>
      <w:r>
        <w:t>This will be the first independent evaluation of Australia’s support to SIWA. SIWA’s former General Manager submitted a final report of his views on the implementation of the RAP, but an independent evaluation was not undertaken.</w:t>
      </w:r>
    </w:p>
    <w:p w14:paraId="73B0ECFA" w14:textId="77777777" w:rsidR="00B55A71" w:rsidRPr="00715B96" w:rsidRDefault="00B55A71" w:rsidP="00B55A71">
      <w:pPr>
        <w:pStyle w:val="NoSpacing"/>
        <w:spacing w:after="200" w:line="276" w:lineRule="auto"/>
        <w:rPr>
          <w:b/>
        </w:rPr>
      </w:pPr>
      <w:r w:rsidRPr="00715B96">
        <w:rPr>
          <w:b/>
        </w:rPr>
        <w:t xml:space="preserve">Scope of </w:t>
      </w:r>
      <w:r>
        <w:rPr>
          <w:b/>
        </w:rPr>
        <w:t>e</w:t>
      </w:r>
      <w:r w:rsidRPr="00715B96">
        <w:rPr>
          <w:b/>
        </w:rPr>
        <w:t>valuation</w:t>
      </w:r>
    </w:p>
    <w:p w14:paraId="65802E4D" w14:textId="77777777" w:rsidR="00B55A71" w:rsidRDefault="00B55A71" w:rsidP="00F41920">
      <w:pPr>
        <w:pStyle w:val="NoSpacing"/>
        <w:numPr>
          <w:ilvl w:val="0"/>
          <w:numId w:val="18"/>
        </w:numPr>
        <w:spacing w:after="200" w:line="276" w:lineRule="auto"/>
      </w:pPr>
      <w:r>
        <w:t>The evaluation will limit its scope to activities implemented under the SIWA Development Plan since 2013, and DFAT’s program of support to it. This includes the design, performance and management of technical assistance. It is expected the evaluation team will also provide future</w:t>
      </w:r>
      <w:r>
        <w:noBreakHyphen/>
        <w:t>looking recommendations based on the evaluation’s findings.</w:t>
      </w:r>
    </w:p>
    <w:p w14:paraId="017D2701" w14:textId="77777777" w:rsidR="00B55A71" w:rsidRPr="00F41920" w:rsidRDefault="00B55A71" w:rsidP="00F41920">
      <w:pPr>
        <w:pStyle w:val="NoSpacing"/>
        <w:numPr>
          <w:ilvl w:val="0"/>
          <w:numId w:val="18"/>
        </w:numPr>
        <w:spacing w:after="200" w:line="276" w:lineRule="auto"/>
      </w:pPr>
      <w:r>
        <w:t xml:space="preserve">The following questions are intended to guide the evaluation. Additional questions may be </w:t>
      </w:r>
      <w:r w:rsidRPr="00F41920">
        <w:t>added as the evaluation progresses.</w:t>
      </w:r>
    </w:p>
    <w:p w14:paraId="394DFB79" w14:textId="77777777" w:rsidR="00B55A71" w:rsidRPr="00F41920" w:rsidRDefault="00B55A71" w:rsidP="00B55A71">
      <w:pPr>
        <w:rPr>
          <w:rFonts w:ascii="Calibri" w:hAnsi="Calibri"/>
          <w:i/>
          <w:sz w:val="22"/>
          <w:szCs w:val="22"/>
        </w:rPr>
      </w:pPr>
      <w:r w:rsidRPr="00F41920">
        <w:rPr>
          <w:rFonts w:ascii="Calibri" w:hAnsi="Calibri"/>
          <w:i/>
          <w:sz w:val="22"/>
          <w:szCs w:val="22"/>
        </w:rPr>
        <w:t>First priority</w:t>
      </w:r>
    </w:p>
    <w:p w14:paraId="7FB52DF1"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t xml:space="preserve">To what extent have the </w:t>
      </w:r>
      <w:r w:rsidRPr="00F41920">
        <w:rPr>
          <w:rFonts w:ascii="Calibri" w:hAnsi="Calibri"/>
          <w:b/>
          <w:sz w:val="22"/>
          <w:szCs w:val="22"/>
        </w:rPr>
        <w:t>objectives</w:t>
      </w:r>
      <w:r w:rsidRPr="00F41920">
        <w:rPr>
          <w:rFonts w:ascii="Calibri" w:hAnsi="Calibri"/>
          <w:sz w:val="22"/>
          <w:szCs w:val="22"/>
        </w:rPr>
        <w:t xml:space="preserve"> of the Development Plan, and of DFAT’s support for its implementation, been achieved? Do they still correspond to the SIG’s medium and long term development policies and priorities? Does the program of support align with DFAT’s priorities in the Solomon Islands Aid Investment Plan (2015), such as economic growth, private sector development, human development and gender equality?</w:t>
      </w:r>
    </w:p>
    <w:p w14:paraId="64B06BD0"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t xml:space="preserve">How effective, efficient and well-managed were DFAT’s </w:t>
      </w:r>
      <w:r w:rsidRPr="00F41920">
        <w:rPr>
          <w:rFonts w:ascii="Calibri" w:hAnsi="Calibri"/>
          <w:b/>
          <w:sz w:val="22"/>
          <w:szCs w:val="22"/>
        </w:rPr>
        <w:t>funding and support modalities</w:t>
      </w:r>
      <w:r w:rsidRPr="00F41920">
        <w:rPr>
          <w:rFonts w:ascii="Calibri" w:hAnsi="Calibri"/>
          <w:sz w:val="22"/>
          <w:szCs w:val="22"/>
        </w:rPr>
        <w:t xml:space="preserve"> for the Development Plan (direct support to SIWA and technical assistance)?  Did they produce the expected results? How can DFAT support SIWA to transition to longer term EU support in a way that: (1) protects the outcomes achieved since 2011—for both urban water supply and SIWA’s organisational capacity; (2) prepares SIWA for transition to budget support that may not include technical assistance; and (3) protects DFAT’s reputation during the transition?</w:t>
      </w:r>
    </w:p>
    <w:p w14:paraId="5F24EEBD"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t xml:space="preserve">To what extent has the implementation of the Development Plan influenced the </w:t>
      </w:r>
      <w:r w:rsidRPr="00F41920">
        <w:rPr>
          <w:rFonts w:ascii="Calibri" w:hAnsi="Calibri"/>
          <w:b/>
          <w:sz w:val="22"/>
          <w:szCs w:val="22"/>
        </w:rPr>
        <w:t>organisational capacity</w:t>
      </w:r>
      <w:r w:rsidRPr="00F41920">
        <w:rPr>
          <w:rFonts w:ascii="Calibri" w:hAnsi="Calibri"/>
          <w:sz w:val="22"/>
          <w:szCs w:val="22"/>
        </w:rPr>
        <w:t xml:space="preserve"> of SIWA? What capacity issues will need to continue to be addressed beyond 2016?</w:t>
      </w:r>
    </w:p>
    <w:p w14:paraId="26E7C33F" w14:textId="77777777" w:rsidR="00B55A71" w:rsidRPr="00F41920" w:rsidRDefault="00B55A71" w:rsidP="00B55A71">
      <w:pPr>
        <w:rPr>
          <w:rFonts w:ascii="Calibri" w:hAnsi="Calibri"/>
          <w:sz w:val="22"/>
          <w:szCs w:val="22"/>
        </w:rPr>
      </w:pPr>
      <w:r w:rsidRPr="00F41920">
        <w:rPr>
          <w:rFonts w:ascii="Calibri" w:hAnsi="Calibri"/>
          <w:i/>
          <w:sz w:val="22"/>
          <w:szCs w:val="22"/>
        </w:rPr>
        <w:t>Second</w:t>
      </w:r>
      <w:r w:rsidRPr="00F41920">
        <w:rPr>
          <w:rFonts w:ascii="Calibri" w:hAnsi="Calibri"/>
          <w:sz w:val="22"/>
          <w:szCs w:val="22"/>
        </w:rPr>
        <w:t xml:space="preserve"> </w:t>
      </w:r>
      <w:r w:rsidRPr="00F41920">
        <w:rPr>
          <w:rFonts w:ascii="Calibri" w:hAnsi="Calibri"/>
          <w:i/>
          <w:sz w:val="22"/>
          <w:szCs w:val="22"/>
        </w:rPr>
        <w:t>priority</w:t>
      </w:r>
    </w:p>
    <w:p w14:paraId="243A01A9"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t xml:space="preserve">Did the Development Plan have the right </w:t>
      </w:r>
      <w:r w:rsidRPr="00F41920">
        <w:rPr>
          <w:rFonts w:ascii="Calibri" w:hAnsi="Calibri"/>
          <w:b/>
          <w:sz w:val="22"/>
          <w:szCs w:val="22"/>
        </w:rPr>
        <w:t>mix of projects and</w:t>
      </w:r>
      <w:r w:rsidRPr="00F41920">
        <w:rPr>
          <w:rFonts w:ascii="Calibri" w:hAnsi="Calibri"/>
          <w:sz w:val="22"/>
          <w:szCs w:val="22"/>
        </w:rPr>
        <w:t xml:space="preserve"> </w:t>
      </w:r>
      <w:r w:rsidRPr="00F41920">
        <w:rPr>
          <w:rFonts w:ascii="Calibri" w:hAnsi="Calibri"/>
          <w:b/>
          <w:sz w:val="22"/>
          <w:szCs w:val="22"/>
        </w:rPr>
        <w:t xml:space="preserve">activities, </w:t>
      </w:r>
      <w:r w:rsidRPr="00F41920">
        <w:rPr>
          <w:rFonts w:ascii="Calibri" w:hAnsi="Calibri"/>
          <w:sz w:val="22"/>
          <w:szCs w:val="22"/>
        </w:rPr>
        <w:t>supported by the right mix of short and long term advisers, to achieve its objectives? What caused delays to the implementation of the Development Plan, and have these been addressed where possible? Are risks being addressed? How might they be better managed in the future?</w:t>
      </w:r>
    </w:p>
    <w:p w14:paraId="605E6598"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lastRenderedPageBreak/>
        <w:t xml:space="preserve">How </w:t>
      </w:r>
      <w:r w:rsidRPr="00F41920">
        <w:rPr>
          <w:rFonts w:ascii="Calibri" w:hAnsi="Calibri"/>
          <w:b/>
          <w:sz w:val="22"/>
          <w:szCs w:val="22"/>
        </w:rPr>
        <w:t>sustainable</w:t>
      </w:r>
      <w:r w:rsidRPr="00F41920">
        <w:rPr>
          <w:rFonts w:ascii="Calibri" w:hAnsi="Calibri"/>
          <w:sz w:val="22"/>
          <w:szCs w:val="22"/>
        </w:rPr>
        <w:t xml:space="preserve"> are the Development Plan’s outcomes? What factors increased or decreased their sustainability? What would happen to SIWA and Solomon Islands’ water supply services without donor funding and/or international technical assistance? How feasible are alternative sources of funding?</w:t>
      </w:r>
    </w:p>
    <w:p w14:paraId="206C50B6" w14:textId="77777777" w:rsidR="00B55A71" w:rsidRPr="00F41920" w:rsidRDefault="00B55A71" w:rsidP="00F41920">
      <w:pPr>
        <w:numPr>
          <w:ilvl w:val="0"/>
          <w:numId w:val="20"/>
        </w:numPr>
        <w:rPr>
          <w:rFonts w:ascii="Calibri" w:hAnsi="Calibri"/>
          <w:sz w:val="22"/>
          <w:szCs w:val="22"/>
        </w:rPr>
      </w:pPr>
      <w:r w:rsidRPr="00F41920">
        <w:rPr>
          <w:rFonts w:ascii="Calibri" w:hAnsi="Calibri"/>
          <w:sz w:val="22"/>
          <w:szCs w:val="22"/>
        </w:rPr>
        <w:t xml:space="preserve">How sufficient are the </w:t>
      </w:r>
      <w:r w:rsidRPr="00F41920">
        <w:rPr>
          <w:rFonts w:ascii="Calibri" w:hAnsi="Calibri"/>
          <w:b/>
          <w:sz w:val="22"/>
          <w:szCs w:val="22"/>
        </w:rPr>
        <w:t>monitoring and evaluation</w:t>
      </w:r>
      <w:r w:rsidRPr="00F41920">
        <w:rPr>
          <w:rFonts w:ascii="Calibri" w:hAnsi="Calibri"/>
          <w:sz w:val="22"/>
          <w:szCs w:val="22"/>
        </w:rPr>
        <w:t xml:space="preserve"> mechanisms, for both SIWA and DFAT, to measure immediate and long term changes, and to learn and improve in the process?</w:t>
      </w:r>
    </w:p>
    <w:p w14:paraId="76611D72" w14:textId="77777777" w:rsidR="00B55A71" w:rsidRPr="006E1D12" w:rsidRDefault="00B55A71" w:rsidP="00B55A71">
      <w:pPr>
        <w:pStyle w:val="NoSpacing"/>
        <w:keepNext/>
        <w:spacing w:after="200" w:line="276" w:lineRule="auto"/>
        <w:rPr>
          <w:b/>
        </w:rPr>
      </w:pPr>
      <w:r w:rsidRPr="006E1D12">
        <w:rPr>
          <w:b/>
        </w:rPr>
        <w:t xml:space="preserve">Evaluation </w:t>
      </w:r>
      <w:r>
        <w:rPr>
          <w:b/>
        </w:rPr>
        <w:t>t</w:t>
      </w:r>
      <w:r w:rsidRPr="006E1D12">
        <w:rPr>
          <w:b/>
        </w:rPr>
        <w:t>eam</w:t>
      </w:r>
    </w:p>
    <w:p w14:paraId="06B39BA0" w14:textId="77777777" w:rsidR="00B55A71" w:rsidRDefault="00B55A71" w:rsidP="00F41920">
      <w:pPr>
        <w:pStyle w:val="ListParagraph"/>
        <w:keepNext/>
        <w:numPr>
          <w:ilvl w:val="0"/>
          <w:numId w:val="18"/>
        </w:numPr>
        <w:contextualSpacing w:val="0"/>
      </w:pPr>
      <w:r w:rsidRPr="000E531E">
        <w:t xml:space="preserve">The </w:t>
      </w:r>
      <w:r>
        <w:t xml:space="preserve">evaluation team </w:t>
      </w:r>
      <w:r w:rsidRPr="000E531E">
        <w:t>will comprise</w:t>
      </w:r>
      <w:r>
        <w:t>:</w:t>
      </w:r>
    </w:p>
    <w:p w14:paraId="3365EA52" w14:textId="77777777" w:rsidR="00B55A71" w:rsidRDefault="00B55A71" w:rsidP="00F41920">
      <w:pPr>
        <w:pStyle w:val="ListParagraph"/>
        <w:numPr>
          <w:ilvl w:val="0"/>
          <w:numId w:val="19"/>
        </w:numPr>
        <w:contextualSpacing w:val="0"/>
      </w:pPr>
      <w:r>
        <w:t>T</w:t>
      </w:r>
      <w:r w:rsidRPr="000E531E">
        <w:t>eam leader</w:t>
      </w:r>
      <w:r>
        <w:t>: with strong experience and expertise</w:t>
      </w:r>
      <w:r w:rsidRPr="000E531E">
        <w:t xml:space="preserve"> in </w:t>
      </w:r>
      <w:r>
        <w:t>m</w:t>
      </w:r>
      <w:r w:rsidRPr="000E531E">
        <w:t xml:space="preserve">onitoring and </w:t>
      </w:r>
      <w:r>
        <w:t>e</w:t>
      </w:r>
      <w:r w:rsidRPr="000E531E">
        <w:t>valuati</w:t>
      </w:r>
      <w:r>
        <w:t>ng</w:t>
      </w:r>
      <w:r w:rsidRPr="000E531E">
        <w:t xml:space="preserve"> complex aid </w:t>
      </w:r>
      <w:r>
        <w:t>investments, preferably in the Pacific. The team leader will be responsible for the timely submission of high quality reports.</w:t>
      </w:r>
    </w:p>
    <w:p w14:paraId="67DB112C" w14:textId="77777777" w:rsidR="00B55A71" w:rsidRDefault="00B55A71" w:rsidP="00F41920">
      <w:pPr>
        <w:pStyle w:val="ListParagraph"/>
        <w:numPr>
          <w:ilvl w:val="0"/>
          <w:numId w:val="19"/>
        </w:numPr>
        <w:contextualSpacing w:val="0"/>
      </w:pPr>
      <w:r>
        <w:t>I</w:t>
      </w:r>
      <w:r w:rsidRPr="000E531E">
        <w:t>nfrastructure specialist</w:t>
      </w:r>
      <w:r>
        <w:t>:</w:t>
      </w:r>
      <w:r w:rsidRPr="000E531E">
        <w:t xml:space="preserve"> wit</w:t>
      </w:r>
      <w:r>
        <w:t xml:space="preserve">h urban water sector expertise, </w:t>
      </w:r>
      <w:r w:rsidRPr="000E531E">
        <w:t>preferably in a Pacific context.</w:t>
      </w:r>
      <w:r>
        <w:t xml:space="preserve"> The infrastructure specialist will provide technical inputs and support to the team leader.</w:t>
      </w:r>
    </w:p>
    <w:p w14:paraId="5A2EA677" w14:textId="77777777" w:rsidR="00B55A71" w:rsidRPr="00713349" w:rsidRDefault="00B55A71" w:rsidP="00F41920">
      <w:pPr>
        <w:pStyle w:val="ListParagraph"/>
        <w:numPr>
          <w:ilvl w:val="0"/>
          <w:numId w:val="18"/>
        </w:numPr>
        <w:contextualSpacing w:val="0"/>
      </w:pPr>
      <w:r>
        <w:t>SIWA and DFAT representatives may join the mission as observers for some meetings and visits.</w:t>
      </w:r>
    </w:p>
    <w:p w14:paraId="4AB50922" w14:textId="77777777" w:rsidR="00B55A71" w:rsidRPr="006E1D12" w:rsidRDefault="00B55A71" w:rsidP="00B55A71">
      <w:pPr>
        <w:pStyle w:val="NoSpacing"/>
        <w:spacing w:after="200" w:line="276" w:lineRule="auto"/>
        <w:rPr>
          <w:b/>
        </w:rPr>
      </w:pPr>
      <w:r w:rsidRPr="006E1D12">
        <w:rPr>
          <w:b/>
        </w:rPr>
        <w:t xml:space="preserve">Reporting </w:t>
      </w:r>
      <w:r>
        <w:rPr>
          <w:b/>
        </w:rPr>
        <w:t>r</w:t>
      </w:r>
      <w:r w:rsidRPr="006E1D12">
        <w:rPr>
          <w:b/>
        </w:rPr>
        <w:t>equirements</w:t>
      </w:r>
    </w:p>
    <w:p w14:paraId="1E2C3864" w14:textId="77777777" w:rsidR="00B55A71" w:rsidRDefault="00B55A71" w:rsidP="00F41920">
      <w:pPr>
        <w:pStyle w:val="ListParagraph"/>
        <w:numPr>
          <w:ilvl w:val="0"/>
          <w:numId w:val="18"/>
        </w:numPr>
        <w:contextualSpacing w:val="0"/>
      </w:pPr>
      <w:r>
        <w:t>The evaluation team will review relevant documents and conduct an in-country evaluation mission to inform its development of the following documents:</w:t>
      </w:r>
    </w:p>
    <w:p w14:paraId="217C2268" w14:textId="77777777" w:rsidR="00B55A71" w:rsidRDefault="00B55A71" w:rsidP="00B55A71">
      <w:pPr>
        <w:pStyle w:val="ListParagraph"/>
        <w:numPr>
          <w:ilvl w:val="0"/>
          <w:numId w:val="16"/>
        </w:numPr>
        <w:spacing w:after="120"/>
        <w:ind w:left="714" w:hanging="357"/>
        <w:contextualSpacing w:val="0"/>
      </w:pPr>
      <w:r w:rsidRPr="005F322E">
        <w:rPr>
          <w:b/>
        </w:rPr>
        <w:t>Evaluation Plan</w:t>
      </w:r>
      <w:r>
        <w:t xml:space="preserve"> – to outline the methods and timeframe the evaluation team will use to meet the purpose and scope set out in these terms of reference, including:</w:t>
      </w:r>
    </w:p>
    <w:p w14:paraId="3240AD99" w14:textId="77777777" w:rsidR="00B55A71" w:rsidRDefault="00B55A71" w:rsidP="00B55A71">
      <w:pPr>
        <w:pStyle w:val="ListParagraph"/>
        <w:numPr>
          <w:ilvl w:val="0"/>
          <w:numId w:val="14"/>
        </w:numPr>
        <w:ind w:left="1077" w:hanging="357"/>
      </w:pPr>
      <w:r>
        <w:t>an evaluation methodology and matrix based on the evaluation questions above, drawing on DFAT’s broader evaluation criteria as appropriate;</w:t>
      </w:r>
    </w:p>
    <w:p w14:paraId="76509ACC" w14:textId="77777777" w:rsidR="00B55A71" w:rsidRDefault="00B55A71" w:rsidP="00B55A71">
      <w:pPr>
        <w:pStyle w:val="ListParagraph"/>
        <w:numPr>
          <w:ilvl w:val="0"/>
          <w:numId w:val="14"/>
        </w:numPr>
        <w:ind w:left="1077" w:hanging="357"/>
      </w:pPr>
      <w:r>
        <w:t>a process for information collection and analysis;</w:t>
      </w:r>
    </w:p>
    <w:p w14:paraId="0D4F8A9C" w14:textId="77777777" w:rsidR="00B55A71" w:rsidRDefault="00B55A71" w:rsidP="00B55A71">
      <w:pPr>
        <w:pStyle w:val="ListParagraph"/>
        <w:numPr>
          <w:ilvl w:val="0"/>
          <w:numId w:val="14"/>
        </w:numPr>
        <w:ind w:left="1077" w:hanging="357"/>
      </w:pPr>
      <w:r>
        <w:t>identification of any substantial challenges to achieving the evaluation purpose;</w:t>
      </w:r>
    </w:p>
    <w:p w14:paraId="3F8537F2" w14:textId="77777777" w:rsidR="00B55A71" w:rsidRDefault="00B55A71" w:rsidP="00B55A71">
      <w:pPr>
        <w:pStyle w:val="ListParagraph"/>
        <w:numPr>
          <w:ilvl w:val="0"/>
          <w:numId w:val="14"/>
        </w:numPr>
        <w:ind w:left="1077" w:hanging="357"/>
      </w:pPr>
      <w:r>
        <w:t>allocation of tasks among the evaluation team; and</w:t>
      </w:r>
    </w:p>
    <w:p w14:paraId="74C01E5F" w14:textId="77777777" w:rsidR="00B55A71" w:rsidRDefault="00B55A71" w:rsidP="00B55A71">
      <w:pPr>
        <w:pStyle w:val="ListParagraph"/>
        <w:numPr>
          <w:ilvl w:val="0"/>
          <w:numId w:val="14"/>
        </w:numPr>
        <w:ind w:left="1077" w:hanging="357"/>
        <w:contextualSpacing w:val="0"/>
      </w:pPr>
      <w:r>
        <w:t>key timings and milestones.</w:t>
      </w:r>
    </w:p>
    <w:p w14:paraId="095A0C17" w14:textId="77777777" w:rsidR="00B55A71" w:rsidRPr="00921B1B" w:rsidRDefault="00B55A71" w:rsidP="00B55A71">
      <w:pPr>
        <w:pStyle w:val="ListParagraph"/>
        <w:numPr>
          <w:ilvl w:val="0"/>
          <w:numId w:val="16"/>
        </w:numPr>
        <w:contextualSpacing w:val="0"/>
      </w:pPr>
      <w:r w:rsidRPr="005F322E">
        <w:rPr>
          <w:b/>
        </w:rPr>
        <w:t>Aide Memoire</w:t>
      </w:r>
      <w:r w:rsidRPr="00921B1B">
        <w:t xml:space="preserve"> </w:t>
      </w:r>
      <w:r>
        <w:t xml:space="preserve">(up to three pages, in dot point format) </w:t>
      </w:r>
      <w:r w:rsidRPr="00921B1B">
        <w:t xml:space="preserve">– </w:t>
      </w:r>
      <w:r>
        <w:t>to</w:t>
      </w:r>
      <w:r w:rsidRPr="00921B1B">
        <w:t xml:space="preserve"> </w:t>
      </w:r>
      <w:r>
        <w:t>present</w:t>
      </w:r>
      <w:r w:rsidRPr="00921B1B">
        <w:t xml:space="preserve"> the </w:t>
      </w:r>
      <w:r>
        <w:t xml:space="preserve">evaluation </w:t>
      </w:r>
      <w:r w:rsidRPr="00921B1B">
        <w:t xml:space="preserve">team’s </w:t>
      </w:r>
      <w:r>
        <w:t>initial</w:t>
      </w:r>
      <w:r w:rsidRPr="00921B1B">
        <w:t xml:space="preserve"> findings</w:t>
      </w:r>
      <w:r>
        <w:t xml:space="preserve"> at the end of the in-country evaluation mission</w:t>
      </w:r>
      <w:r w:rsidRPr="00921B1B">
        <w:t>.</w:t>
      </w:r>
    </w:p>
    <w:p w14:paraId="5E8E7F48" w14:textId="77777777" w:rsidR="00B55A71" w:rsidRPr="00921B1B" w:rsidRDefault="00B55A71" w:rsidP="00B55A71">
      <w:pPr>
        <w:pStyle w:val="ListParagraph"/>
        <w:numPr>
          <w:ilvl w:val="0"/>
          <w:numId w:val="16"/>
        </w:numPr>
        <w:contextualSpacing w:val="0"/>
      </w:pPr>
      <w:r w:rsidRPr="005F322E">
        <w:rPr>
          <w:b/>
        </w:rPr>
        <w:t>Draft Evaluation Report</w:t>
      </w:r>
      <w:r>
        <w:t xml:space="preserve"> – to consult with SIWA and DFAT on the evaluation team’s draft analysis, findings and recommendations.</w:t>
      </w:r>
    </w:p>
    <w:p w14:paraId="1BB5DE73" w14:textId="77777777" w:rsidR="00B55A71" w:rsidRDefault="00B55A71" w:rsidP="00B55A71">
      <w:pPr>
        <w:pStyle w:val="ListParagraph"/>
        <w:numPr>
          <w:ilvl w:val="0"/>
          <w:numId w:val="16"/>
        </w:numPr>
        <w:contextualSpacing w:val="0"/>
      </w:pPr>
      <w:r w:rsidRPr="005F322E">
        <w:rPr>
          <w:b/>
        </w:rPr>
        <w:t>Final Evaluation Report</w:t>
      </w:r>
      <w:r>
        <w:t xml:space="preserve"> (up to 20 pages, excluding annexes) – to present the evaluation team’s final analysis, findings and recommendations for publication on DFAT’s website. </w:t>
      </w:r>
    </w:p>
    <w:p w14:paraId="2B23ADD5" w14:textId="77777777" w:rsidR="00B55A71" w:rsidRDefault="00B55A71" w:rsidP="00F41920">
      <w:pPr>
        <w:pStyle w:val="ListParagraph"/>
        <w:numPr>
          <w:ilvl w:val="0"/>
          <w:numId w:val="18"/>
        </w:numPr>
        <w:contextualSpacing w:val="0"/>
      </w:pPr>
      <w:r>
        <w:t>The timing for submission of each of these documents is outlined below. The evaluation team will seek DFAT input on all documents before their final submission. DFAT will coordinate SIWA input on the documents. Revisions may be required and will be negotiated as appropriate.</w:t>
      </w:r>
    </w:p>
    <w:p w14:paraId="12D085DF" w14:textId="77777777" w:rsidR="00B55A71" w:rsidRDefault="00B55A71" w:rsidP="00F41920">
      <w:pPr>
        <w:pStyle w:val="NoSpacing"/>
        <w:numPr>
          <w:ilvl w:val="0"/>
          <w:numId w:val="18"/>
        </w:numPr>
        <w:spacing w:after="200" w:line="276" w:lineRule="auto"/>
      </w:pPr>
      <w:r>
        <w:t>All elements of the evaluation must meet DFAT’s monitoring and evaluation standards.</w:t>
      </w:r>
    </w:p>
    <w:p w14:paraId="64AC660B" w14:textId="77777777" w:rsidR="00B55A71" w:rsidRPr="006E1D12" w:rsidRDefault="00B55A71" w:rsidP="00B55A71">
      <w:pPr>
        <w:pStyle w:val="NoSpacing"/>
        <w:keepNext/>
        <w:spacing w:after="200" w:line="276" w:lineRule="auto"/>
        <w:rPr>
          <w:b/>
        </w:rPr>
      </w:pPr>
      <w:r w:rsidRPr="006E1D12">
        <w:rPr>
          <w:b/>
        </w:rPr>
        <w:lastRenderedPageBreak/>
        <w:t xml:space="preserve">Key </w:t>
      </w:r>
      <w:r>
        <w:rPr>
          <w:b/>
        </w:rPr>
        <w:t>s</w:t>
      </w:r>
      <w:r w:rsidRPr="006E1D12">
        <w:rPr>
          <w:b/>
        </w:rPr>
        <w:t>takeholders</w:t>
      </w:r>
    </w:p>
    <w:p w14:paraId="44D3B061" w14:textId="77777777" w:rsidR="00B55A71" w:rsidRDefault="00B55A71" w:rsidP="00F41920">
      <w:pPr>
        <w:pStyle w:val="ListParagraph"/>
        <w:keepNext/>
        <w:numPr>
          <w:ilvl w:val="0"/>
          <w:numId w:val="18"/>
        </w:numPr>
        <w:contextualSpacing w:val="0"/>
      </w:pPr>
      <w:r>
        <w:t>The following list of possible key stakeholders to meet is provided as a guide. The evaluation team will confirm persons and organisations with which it wishes to meet in the Evaluation Plan. DFAT Honiara Post and SIWA will help to facilitate meetings with key stakeholders and propose a draft schedule for the in-country evaluation mission.</w:t>
      </w:r>
    </w:p>
    <w:p w14:paraId="082240CC" w14:textId="77777777" w:rsidR="00B55A71" w:rsidRPr="00921B1B" w:rsidRDefault="00B55A71" w:rsidP="00B55A71">
      <w:pPr>
        <w:pStyle w:val="ListParagraph"/>
        <w:numPr>
          <w:ilvl w:val="0"/>
          <w:numId w:val="14"/>
        </w:numPr>
        <w:ind w:left="1077" w:hanging="357"/>
      </w:pPr>
      <w:r w:rsidRPr="00921B1B">
        <w:t>DFAT Honia</w:t>
      </w:r>
      <w:r>
        <w:t xml:space="preserve">ra Post: </w:t>
      </w:r>
      <w:r w:rsidRPr="00921B1B">
        <w:t>Minister Counsellor Development</w:t>
      </w:r>
      <w:r>
        <w:t>;</w:t>
      </w:r>
      <w:r w:rsidRPr="00921B1B">
        <w:t xml:space="preserve"> Counsellor – Economics</w:t>
      </w:r>
      <w:r>
        <w:t xml:space="preserve"> and Growth;</w:t>
      </w:r>
      <w:r w:rsidRPr="00921B1B">
        <w:t xml:space="preserve"> First Secretary – Economic Infrastruct</w:t>
      </w:r>
      <w:r>
        <w:t>ure; and Program Manager – Economic </w:t>
      </w:r>
      <w:r w:rsidRPr="00921B1B">
        <w:t>Infrastructure</w:t>
      </w:r>
    </w:p>
    <w:p w14:paraId="251C977F" w14:textId="77777777" w:rsidR="00B55A71" w:rsidRPr="00921B1B" w:rsidRDefault="00B55A71" w:rsidP="00B55A71">
      <w:pPr>
        <w:pStyle w:val="ListParagraph"/>
        <w:numPr>
          <w:ilvl w:val="0"/>
          <w:numId w:val="14"/>
        </w:numPr>
        <w:ind w:left="1077" w:hanging="357"/>
      </w:pPr>
      <w:r w:rsidRPr="00921B1B">
        <w:t>DFAT Canberra (</w:t>
      </w:r>
      <w:r>
        <w:t>teleconference will suffice):</w:t>
      </w:r>
      <w:r w:rsidRPr="00921B1B">
        <w:t xml:space="preserve"> Pa</w:t>
      </w:r>
      <w:r>
        <w:t>cific Infrastructure Specialist; and</w:t>
      </w:r>
      <w:r w:rsidRPr="00921B1B">
        <w:t xml:space="preserve"> Directo</w:t>
      </w:r>
      <w:r>
        <w:t xml:space="preserve">r – </w:t>
      </w:r>
      <w:r w:rsidRPr="00921B1B">
        <w:t>Water, Sanitation and Hygiene Section</w:t>
      </w:r>
    </w:p>
    <w:p w14:paraId="54EC9E41" w14:textId="77777777" w:rsidR="00B55A71" w:rsidRDefault="00B55A71" w:rsidP="00B55A71">
      <w:pPr>
        <w:pStyle w:val="ListParagraph"/>
        <w:numPr>
          <w:ilvl w:val="0"/>
          <w:numId w:val="14"/>
        </w:numPr>
        <w:ind w:left="1077" w:hanging="357"/>
      </w:pPr>
      <w:r w:rsidRPr="00921B1B">
        <w:t>SIWA management (including international advisers</w:t>
      </w:r>
      <w:r>
        <w:t xml:space="preserve"> and consultants</w:t>
      </w:r>
      <w:r w:rsidRPr="00921B1B">
        <w:t>)</w:t>
      </w:r>
    </w:p>
    <w:p w14:paraId="14800985" w14:textId="77777777" w:rsidR="00B55A71" w:rsidRPr="00921B1B" w:rsidRDefault="00B55A71" w:rsidP="00B55A71">
      <w:pPr>
        <w:pStyle w:val="ListParagraph"/>
        <w:numPr>
          <w:ilvl w:val="0"/>
          <w:numId w:val="14"/>
        </w:numPr>
        <w:ind w:left="1077" w:hanging="357"/>
      </w:pPr>
      <w:r>
        <w:t>SIWA staff (male and female)</w:t>
      </w:r>
    </w:p>
    <w:p w14:paraId="0EF9E7FF" w14:textId="77777777" w:rsidR="00B55A71" w:rsidRPr="00921B1B" w:rsidRDefault="00B55A71" w:rsidP="00B55A71">
      <w:pPr>
        <w:pStyle w:val="ListParagraph"/>
        <w:numPr>
          <w:ilvl w:val="0"/>
          <w:numId w:val="14"/>
        </w:numPr>
        <w:ind w:left="1077" w:hanging="357"/>
      </w:pPr>
      <w:r w:rsidRPr="00921B1B">
        <w:t>SIWA Board Chairman</w:t>
      </w:r>
      <w:r>
        <w:t xml:space="preserve"> and Directors</w:t>
      </w:r>
    </w:p>
    <w:p w14:paraId="2445C95A" w14:textId="77777777" w:rsidR="00B55A71" w:rsidRPr="00921B1B" w:rsidRDefault="00B55A71" w:rsidP="00B55A71">
      <w:pPr>
        <w:pStyle w:val="ListParagraph"/>
        <w:numPr>
          <w:ilvl w:val="0"/>
          <w:numId w:val="14"/>
        </w:numPr>
        <w:ind w:left="1077" w:hanging="357"/>
      </w:pPr>
      <w:r w:rsidRPr="00921B1B">
        <w:t xml:space="preserve">SIG </w:t>
      </w:r>
      <w:r>
        <w:t xml:space="preserve">ministries: </w:t>
      </w:r>
      <w:r w:rsidRPr="00921B1B">
        <w:t>Ministry of Mines, Energy and Rural Electrification</w:t>
      </w:r>
      <w:r>
        <w:t xml:space="preserve">; </w:t>
      </w:r>
      <w:r w:rsidRPr="00921B1B">
        <w:t>Ministry of Development, Planning and Aid Coordination</w:t>
      </w:r>
      <w:r>
        <w:t>; and Ministry of Finance and Treasury</w:t>
      </w:r>
    </w:p>
    <w:p w14:paraId="244A3F83" w14:textId="77777777" w:rsidR="00B55A71" w:rsidRDefault="00B55A71" w:rsidP="00B55A71">
      <w:pPr>
        <w:pStyle w:val="ListParagraph"/>
        <w:numPr>
          <w:ilvl w:val="0"/>
          <w:numId w:val="14"/>
        </w:numPr>
        <w:ind w:left="1077" w:hanging="357"/>
      </w:pPr>
      <w:r>
        <w:t xml:space="preserve">Other donors engaged in the sector: </w:t>
      </w:r>
      <w:r w:rsidRPr="00921B1B">
        <w:t>JICA</w:t>
      </w:r>
      <w:r>
        <w:t xml:space="preserve">; and the </w:t>
      </w:r>
      <w:r w:rsidRPr="00921B1B">
        <w:t>European Union</w:t>
      </w:r>
    </w:p>
    <w:p w14:paraId="4F7358CF" w14:textId="77777777" w:rsidR="00B55A71" w:rsidRDefault="00B55A71" w:rsidP="00B55A71">
      <w:pPr>
        <w:pStyle w:val="ListParagraph"/>
        <w:numPr>
          <w:ilvl w:val="0"/>
          <w:numId w:val="14"/>
        </w:numPr>
        <w:ind w:left="1077" w:hanging="357"/>
      </w:pPr>
      <w:r>
        <w:t>Community representatives (male and female)</w:t>
      </w:r>
    </w:p>
    <w:p w14:paraId="1722DD56" w14:textId="77777777" w:rsidR="00B55A71" w:rsidRPr="00921B1B" w:rsidRDefault="00B55A71" w:rsidP="00B55A71">
      <w:pPr>
        <w:pStyle w:val="ListParagraph"/>
        <w:numPr>
          <w:ilvl w:val="0"/>
          <w:numId w:val="14"/>
        </w:numPr>
        <w:ind w:left="1077" w:hanging="357"/>
      </w:pPr>
      <w:r>
        <w:t>SIWA customers (male and female)</w:t>
      </w:r>
    </w:p>
    <w:p w14:paraId="2F91E171" w14:textId="77777777" w:rsidR="00B55A71" w:rsidRPr="006E1D12" w:rsidRDefault="00B55A71" w:rsidP="00B55A71">
      <w:pPr>
        <w:pStyle w:val="NoSpacing"/>
        <w:spacing w:after="200" w:line="276" w:lineRule="auto"/>
        <w:rPr>
          <w:b/>
        </w:rPr>
      </w:pPr>
      <w:r w:rsidRPr="006E1D12">
        <w:rPr>
          <w:b/>
        </w:rPr>
        <w:t xml:space="preserve">Key </w:t>
      </w:r>
      <w:r>
        <w:rPr>
          <w:b/>
        </w:rPr>
        <w:t>d</w:t>
      </w:r>
      <w:r w:rsidRPr="006E1D12">
        <w:rPr>
          <w:b/>
        </w:rPr>
        <w:t>ocuments</w:t>
      </w:r>
    </w:p>
    <w:p w14:paraId="0A82848B" w14:textId="77777777" w:rsidR="00B55A71" w:rsidRPr="00921B1B" w:rsidRDefault="00B55A71" w:rsidP="00F41920">
      <w:pPr>
        <w:pStyle w:val="ListParagraph"/>
        <w:numPr>
          <w:ilvl w:val="0"/>
          <w:numId w:val="18"/>
        </w:numPr>
        <w:spacing w:after="0"/>
        <w:ind w:left="357" w:hanging="357"/>
        <w:contextualSpacing w:val="0"/>
      </w:pPr>
      <w:r w:rsidRPr="00921B1B">
        <w:t>DFAT will provide the evaluation team with the following key documents at the commencement of the assignment:</w:t>
      </w:r>
    </w:p>
    <w:p w14:paraId="4C238FD4" w14:textId="77777777" w:rsidR="00B55A71" w:rsidRDefault="00B55A71" w:rsidP="00B55A71">
      <w:pPr>
        <w:pStyle w:val="ListParagraph"/>
        <w:numPr>
          <w:ilvl w:val="0"/>
          <w:numId w:val="14"/>
        </w:numPr>
        <w:ind w:left="1077" w:hanging="357"/>
      </w:pPr>
      <w:r>
        <w:t>Australia’s Aid Investment Plan for Solomon Islands</w:t>
      </w:r>
    </w:p>
    <w:p w14:paraId="0B518EDC" w14:textId="77777777" w:rsidR="00B55A71" w:rsidRPr="00921B1B" w:rsidRDefault="00B55A71" w:rsidP="00B55A71">
      <w:pPr>
        <w:pStyle w:val="ListParagraph"/>
        <w:numPr>
          <w:ilvl w:val="0"/>
          <w:numId w:val="14"/>
        </w:numPr>
        <w:ind w:left="1077" w:hanging="357"/>
      </w:pPr>
      <w:r w:rsidRPr="00921B1B">
        <w:t xml:space="preserve">Investment </w:t>
      </w:r>
      <w:r>
        <w:t>c</w:t>
      </w:r>
      <w:r w:rsidRPr="00921B1B">
        <w:t>oncept/</w:t>
      </w:r>
      <w:r>
        <w:t>d</w:t>
      </w:r>
      <w:r w:rsidRPr="00921B1B">
        <w:t>esign documents</w:t>
      </w:r>
      <w:r>
        <w:t xml:space="preserve"> for the urban water program</w:t>
      </w:r>
    </w:p>
    <w:p w14:paraId="52E25567" w14:textId="77777777" w:rsidR="00B55A71" w:rsidRDefault="00B55A71" w:rsidP="00B55A71">
      <w:pPr>
        <w:pStyle w:val="ListParagraph"/>
        <w:numPr>
          <w:ilvl w:val="0"/>
          <w:numId w:val="14"/>
        </w:numPr>
        <w:ind w:left="1077" w:hanging="357"/>
      </w:pPr>
      <w:r w:rsidRPr="00921B1B">
        <w:t>DFAT-SIWA Direct Funding Agreement</w:t>
      </w:r>
    </w:p>
    <w:p w14:paraId="4FF33532" w14:textId="77777777" w:rsidR="00B55A71" w:rsidRPr="00921B1B" w:rsidRDefault="00B55A71" w:rsidP="00B55A71">
      <w:pPr>
        <w:pStyle w:val="ListParagraph"/>
        <w:numPr>
          <w:ilvl w:val="0"/>
          <w:numId w:val="14"/>
        </w:numPr>
        <w:ind w:left="1077" w:hanging="357"/>
      </w:pPr>
      <w:r>
        <w:t>Terms of reference for DFAT-funded long term advisers to SIWA</w:t>
      </w:r>
    </w:p>
    <w:p w14:paraId="404CA4C4" w14:textId="77777777" w:rsidR="00B55A71" w:rsidRDefault="00B55A71" w:rsidP="00B55A71">
      <w:pPr>
        <w:pStyle w:val="ListParagraph"/>
        <w:numPr>
          <w:ilvl w:val="0"/>
          <w:numId w:val="14"/>
        </w:numPr>
        <w:ind w:left="1077" w:hanging="357"/>
      </w:pPr>
      <w:r>
        <w:t>DFAT Economic Infrastructure Strategy</w:t>
      </w:r>
    </w:p>
    <w:p w14:paraId="5759D8BB" w14:textId="77777777" w:rsidR="00B55A71" w:rsidRDefault="00B55A71" w:rsidP="00B55A71">
      <w:pPr>
        <w:pStyle w:val="ListParagraph"/>
        <w:numPr>
          <w:ilvl w:val="0"/>
          <w:numId w:val="14"/>
        </w:numPr>
        <w:ind w:left="1077" w:hanging="357"/>
      </w:pPr>
      <w:r>
        <w:t>DFAT Health for Development Strategy</w:t>
      </w:r>
    </w:p>
    <w:p w14:paraId="2CDC5C7F" w14:textId="77777777" w:rsidR="00B55A71" w:rsidRDefault="00B55A71" w:rsidP="00B55A71">
      <w:pPr>
        <w:pStyle w:val="ListParagraph"/>
        <w:numPr>
          <w:ilvl w:val="0"/>
          <w:numId w:val="14"/>
        </w:numPr>
        <w:ind w:left="1077" w:hanging="357"/>
      </w:pPr>
      <w:r>
        <w:t>DFAT Gender Equality Strategy</w:t>
      </w:r>
    </w:p>
    <w:p w14:paraId="1CD53075" w14:textId="77777777" w:rsidR="00B55A71" w:rsidRPr="00921B1B" w:rsidRDefault="00B55A71" w:rsidP="00B55A71">
      <w:pPr>
        <w:pStyle w:val="ListParagraph"/>
        <w:numPr>
          <w:ilvl w:val="0"/>
          <w:numId w:val="14"/>
        </w:numPr>
        <w:ind w:left="1077" w:hanging="357"/>
      </w:pPr>
      <w:r>
        <w:t>DFAT-UTS Solomon Islands Water and Sanitation Health Sector Brief 2012</w:t>
      </w:r>
    </w:p>
    <w:p w14:paraId="39B0B472" w14:textId="77777777" w:rsidR="00B55A71" w:rsidRDefault="00B55A71" w:rsidP="00B55A71">
      <w:pPr>
        <w:pStyle w:val="ListParagraph"/>
        <w:numPr>
          <w:ilvl w:val="0"/>
          <w:numId w:val="14"/>
        </w:numPr>
        <w:ind w:left="1077" w:hanging="357"/>
      </w:pPr>
      <w:r>
        <w:t>DFAT monitoring and evaluation standards</w:t>
      </w:r>
    </w:p>
    <w:p w14:paraId="4B075F3E" w14:textId="77777777" w:rsidR="00B55A71" w:rsidRDefault="00B55A71" w:rsidP="00B55A71">
      <w:pPr>
        <w:pStyle w:val="ListParagraph"/>
        <w:numPr>
          <w:ilvl w:val="0"/>
          <w:numId w:val="14"/>
        </w:numPr>
        <w:ind w:left="1077" w:hanging="357"/>
      </w:pPr>
      <w:r w:rsidRPr="00921B1B">
        <w:t xml:space="preserve">DFAT </w:t>
      </w:r>
      <w:r>
        <w:t>i</w:t>
      </w:r>
      <w:r w:rsidRPr="00921B1B">
        <w:t xml:space="preserve">nvestment </w:t>
      </w:r>
      <w:r>
        <w:t>q</w:t>
      </w:r>
      <w:r w:rsidRPr="00921B1B">
        <w:t xml:space="preserve">uality </w:t>
      </w:r>
      <w:r>
        <w:t>r</w:t>
      </w:r>
      <w:r w:rsidRPr="00921B1B">
        <w:t>eports</w:t>
      </w:r>
      <w:r>
        <w:t xml:space="preserve"> on the water program</w:t>
      </w:r>
    </w:p>
    <w:p w14:paraId="74DDA197" w14:textId="77777777" w:rsidR="00B55A71" w:rsidRDefault="00B55A71" w:rsidP="00B55A71">
      <w:pPr>
        <w:pStyle w:val="ListParagraph"/>
        <w:numPr>
          <w:ilvl w:val="0"/>
          <w:numId w:val="14"/>
        </w:numPr>
        <w:ind w:left="1077" w:hanging="357"/>
      </w:pPr>
      <w:r>
        <w:t>Solomon Islands Democratic Coalition for Change Policy Statement</w:t>
      </w:r>
    </w:p>
    <w:p w14:paraId="758D166A" w14:textId="77777777" w:rsidR="00B55A71" w:rsidRDefault="00B55A71" w:rsidP="00B55A71">
      <w:pPr>
        <w:pStyle w:val="ListParagraph"/>
        <w:numPr>
          <w:ilvl w:val="0"/>
          <w:numId w:val="14"/>
        </w:numPr>
        <w:ind w:left="1077" w:hanging="357"/>
      </w:pPr>
      <w:r>
        <w:t>Solomon Islands Water Policy</w:t>
      </w:r>
    </w:p>
    <w:p w14:paraId="40A1C463" w14:textId="77777777" w:rsidR="00B55A71" w:rsidRPr="00921B1B" w:rsidRDefault="00B55A71" w:rsidP="00B55A71">
      <w:pPr>
        <w:pStyle w:val="ListParagraph"/>
        <w:numPr>
          <w:ilvl w:val="0"/>
          <w:numId w:val="14"/>
        </w:numPr>
        <w:ind w:left="1077" w:hanging="357"/>
      </w:pPr>
      <w:r w:rsidRPr="00921B1B">
        <w:t>SIWA Development Plan 2013–2016</w:t>
      </w:r>
    </w:p>
    <w:p w14:paraId="18F7E8C0" w14:textId="77777777" w:rsidR="00B55A71" w:rsidRPr="00921B1B" w:rsidRDefault="00B55A71" w:rsidP="00B55A71">
      <w:pPr>
        <w:pStyle w:val="ListParagraph"/>
        <w:numPr>
          <w:ilvl w:val="0"/>
          <w:numId w:val="14"/>
        </w:numPr>
        <w:ind w:left="1077" w:hanging="357"/>
      </w:pPr>
      <w:r w:rsidRPr="00921B1B">
        <w:t>SIWA Short Term Recovery Strategy and Action Plan  2011</w:t>
      </w:r>
      <w:r>
        <w:t>–</w:t>
      </w:r>
      <w:r w:rsidRPr="00921B1B">
        <w:t xml:space="preserve">2013 </w:t>
      </w:r>
    </w:p>
    <w:p w14:paraId="79A8DEF8" w14:textId="77777777" w:rsidR="00B55A71" w:rsidRDefault="00B55A71" w:rsidP="00B55A71">
      <w:pPr>
        <w:pStyle w:val="ListParagraph"/>
        <w:numPr>
          <w:ilvl w:val="0"/>
          <w:numId w:val="14"/>
        </w:numPr>
        <w:ind w:left="1077" w:hanging="357"/>
      </w:pPr>
      <w:r>
        <w:t>Review of the effectiveness of the RAP by former SIWA General Manager</w:t>
      </w:r>
    </w:p>
    <w:p w14:paraId="5E7ECC66" w14:textId="77777777" w:rsidR="00B55A71" w:rsidRPr="00921B1B" w:rsidRDefault="00B55A71" w:rsidP="00B55A71">
      <w:pPr>
        <w:pStyle w:val="ListParagraph"/>
        <w:numPr>
          <w:ilvl w:val="0"/>
          <w:numId w:val="14"/>
        </w:numPr>
        <w:ind w:left="1077" w:hanging="357"/>
      </w:pPr>
      <w:r w:rsidRPr="00921B1B">
        <w:t xml:space="preserve">RAP and Development Plan </w:t>
      </w:r>
      <w:r>
        <w:t>a</w:t>
      </w:r>
      <w:r w:rsidRPr="00921B1B">
        <w:t xml:space="preserve">udit </w:t>
      </w:r>
      <w:r>
        <w:t>r</w:t>
      </w:r>
      <w:r w:rsidRPr="00921B1B">
        <w:t>eports</w:t>
      </w:r>
    </w:p>
    <w:p w14:paraId="41744C15" w14:textId="77777777" w:rsidR="00B55A71" w:rsidRDefault="00B55A71" w:rsidP="00B55A71">
      <w:pPr>
        <w:pStyle w:val="ListParagraph"/>
        <w:numPr>
          <w:ilvl w:val="0"/>
          <w:numId w:val="14"/>
        </w:numPr>
        <w:ind w:left="1077" w:hanging="357"/>
      </w:pPr>
      <w:r w:rsidRPr="00921B1B">
        <w:t>SIWA Annual Reports</w:t>
      </w:r>
    </w:p>
    <w:p w14:paraId="2597921B" w14:textId="77777777" w:rsidR="00B55A71" w:rsidRDefault="00B55A71" w:rsidP="00B55A71">
      <w:pPr>
        <w:pStyle w:val="ListParagraph"/>
        <w:numPr>
          <w:ilvl w:val="0"/>
          <w:numId w:val="14"/>
        </w:numPr>
        <w:ind w:left="1077" w:hanging="357"/>
      </w:pPr>
      <w:r>
        <w:t>SIWA monitoring reports</w:t>
      </w:r>
    </w:p>
    <w:p w14:paraId="42CCCC6E" w14:textId="77777777" w:rsidR="00B55A71" w:rsidRDefault="00B55A71" w:rsidP="00B55A71">
      <w:pPr>
        <w:pStyle w:val="ListParagraph"/>
        <w:numPr>
          <w:ilvl w:val="0"/>
          <w:numId w:val="14"/>
        </w:numPr>
        <w:ind w:left="1077" w:hanging="357"/>
      </w:pPr>
      <w:r>
        <w:t>People’s Survey 2013</w:t>
      </w:r>
    </w:p>
    <w:p w14:paraId="45CB81C2" w14:textId="77777777" w:rsidR="00AA017A" w:rsidRDefault="00B55A71" w:rsidP="007A72BD">
      <w:pPr>
        <w:pStyle w:val="ListParagraph"/>
        <w:numPr>
          <w:ilvl w:val="0"/>
          <w:numId w:val="14"/>
        </w:numPr>
        <w:ind w:left="1077" w:hanging="357"/>
      </w:pPr>
      <w:r>
        <w:t>Pacific Water and Wastewater Utilities Benchmarking Report 2013</w:t>
      </w:r>
    </w:p>
    <w:p w14:paraId="2B3DDB9A" w14:textId="77777777" w:rsidR="00EA64D9" w:rsidRDefault="007A72BD" w:rsidP="00F06802">
      <w:pPr>
        <w:pStyle w:val="SectionTitle"/>
        <w:rPr>
          <w:noProof/>
        </w:rPr>
      </w:pPr>
      <w:bookmarkStart w:id="36" w:name="_Toc453956002"/>
      <w:r>
        <w:rPr>
          <w:noProof/>
        </w:rPr>
        <w:lastRenderedPageBreak/>
        <w:t>Appendix B: Methodology</w:t>
      </w:r>
      <w:bookmarkEnd w:id="36"/>
      <w:r w:rsidR="00EA64D9">
        <w:rPr>
          <w:noProof/>
        </w:rPr>
        <w:t xml:space="preserve"> </w:t>
      </w:r>
    </w:p>
    <w:p w14:paraId="7F1E5A8A" w14:textId="77777777" w:rsidR="001C0A5D" w:rsidRDefault="00EA115D" w:rsidP="00976D97">
      <w:r>
        <w:t xml:space="preserve">The </w:t>
      </w:r>
      <w:r w:rsidR="00E12034">
        <w:t>Development Plan</w:t>
      </w:r>
      <w:r>
        <w:t xml:space="preserve"> sets out four levels for performance measurement</w:t>
      </w:r>
      <w:r w:rsidR="00976D97">
        <w:t xml:space="preserve"> (Table xx). </w:t>
      </w:r>
      <w:bookmarkStart w:id="37" w:name="_Toc448497827"/>
      <w:r w:rsidR="001C0A5D">
        <w:t xml:space="preserve">A set of performance measurement tables in the </w:t>
      </w:r>
      <w:r w:rsidR="00E12034">
        <w:t>Development Plan</w:t>
      </w:r>
      <w:r w:rsidR="001C0A5D">
        <w:t xml:space="preserve"> set out the indicators and, where possible, baselines and annual targets for each of these four levels. These performance measurement tables were used to assess achievement and sustainability of the </w:t>
      </w:r>
      <w:r w:rsidR="00E12034">
        <w:t>Development Plan</w:t>
      </w:r>
      <w:r w:rsidR="001C0A5D">
        <w:t xml:space="preserve"> objective</w:t>
      </w:r>
      <w:r w:rsidR="00976D97">
        <w:t xml:space="preserve">, outputs and activities. </w:t>
      </w:r>
      <w:r w:rsidR="001C0A5D">
        <w:t xml:space="preserve">Populated </w:t>
      </w:r>
      <w:r w:rsidR="00976D97">
        <w:t xml:space="preserve">performance measurement </w:t>
      </w:r>
      <w:r w:rsidR="001C0A5D">
        <w:t>table</w:t>
      </w:r>
      <w:r w:rsidR="00976D97">
        <w:t>s</w:t>
      </w:r>
      <w:r w:rsidR="001C0A5D">
        <w:t xml:space="preserve"> </w:t>
      </w:r>
      <w:r w:rsidR="00976D97">
        <w:t xml:space="preserve">are </w:t>
      </w:r>
      <w:r w:rsidR="001C0A5D">
        <w:t>at Appendix xx</w:t>
      </w:r>
      <w:r w:rsidR="00976D97">
        <w:t xml:space="preserve">. </w:t>
      </w:r>
    </w:p>
    <w:p w14:paraId="4A8457CB" w14:textId="4BB3CB6C" w:rsidR="00EA115D" w:rsidRDefault="00EA115D" w:rsidP="00EA115D">
      <w:pPr>
        <w:pStyle w:val="TableName"/>
      </w:pPr>
      <w:bookmarkStart w:id="38" w:name="_Toc453956014"/>
      <w:r>
        <w:t xml:space="preserve">Table </w:t>
      </w:r>
      <w:r w:rsidR="00D00A00">
        <w:t>5</w:t>
      </w:r>
      <w:r>
        <w:tab/>
      </w:r>
      <w:r w:rsidR="004E3A22">
        <w:t>L</w:t>
      </w:r>
      <w:r>
        <w:t>evels for performance measurement</w:t>
      </w:r>
      <w:bookmarkEnd w:id="37"/>
      <w:bookmarkEnd w:id="38"/>
      <w:r>
        <w:t xml:space="preserve"> </w:t>
      </w:r>
    </w:p>
    <w:tbl>
      <w:tblPr>
        <w:tblW w:w="0" w:type="auto"/>
        <w:tblInd w:w="108" w:type="dxa"/>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3776"/>
        <w:gridCol w:w="4588"/>
      </w:tblGrid>
      <w:tr w:rsidR="00EA115D" w:rsidRPr="00F57A5D" w14:paraId="1B33000F" w14:textId="77777777" w:rsidTr="00441600">
        <w:tc>
          <w:tcPr>
            <w:tcW w:w="3776" w:type="dxa"/>
            <w:shd w:val="clear" w:color="auto" w:fill="007FAD"/>
          </w:tcPr>
          <w:p w14:paraId="5228E3BB" w14:textId="77777777" w:rsidR="00EA115D" w:rsidRPr="00F57A5D" w:rsidRDefault="00EA115D" w:rsidP="00441600">
            <w:pPr>
              <w:pStyle w:val="TableHeading2"/>
              <w:rPr>
                <w:lang w:val="en-NZ"/>
              </w:rPr>
            </w:pPr>
            <w:r w:rsidRPr="00F57A5D">
              <w:rPr>
                <w:lang w:val="en-NZ"/>
              </w:rPr>
              <w:t>Performance measurement level</w:t>
            </w:r>
          </w:p>
        </w:tc>
        <w:tc>
          <w:tcPr>
            <w:tcW w:w="4588" w:type="dxa"/>
            <w:shd w:val="clear" w:color="auto" w:fill="007FAD"/>
          </w:tcPr>
          <w:p w14:paraId="05B566BC" w14:textId="77777777" w:rsidR="00EA115D" w:rsidRPr="00F57A5D" w:rsidRDefault="00EA115D" w:rsidP="00441600">
            <w:pPr>
              <w:pStyle w:val="TableHeading2"/>
              <w:rPr>
                <w:rFonts w:ascii="Calibri" w:hAnsi="Calibri" w:cs="Calibri"/>
                <w:sz w:val="23"/>
                <w:szCs w:val="23"/>
                <w:lang w:val="en-NZ"/>
              </w:rPr>
            </w:pPr>
            <w:r w:rsidRPr="00F57A5D">
              <w:rPr>
                <w:rFonts w:ascii="Calibri" w:hAnsi="Calibri" w:cs="Calibri"/>
                <w:sz w:val="23"/>
                <w:szCs w:val="23"/>
                <w:lang w:val="en-NZ"/>
              </w:rPr>
              <w:t xml:space="preserve">Performance </w:t>
            </w:r>
            <w:r w:rsidRPr="00FA08E7">
              <w:rPr>
                <w:lang w:val="en-NZ"/>
              </w:rPr>
              <w:t>measures</w:t>
            </w:r>
          </w:p>
        </w:tc>
      </w:tr>
      <w:tr w:rsidR="00EA115D" w:rsidRPr="00F57A5D" w14:paraId="562B427B" w14:textId="77777777" w:rsidTr="00441600">
        <w:tc>
          <w:tcPr>
            <w:tcW w:w="3776" w:type="dxa"/>
            <w:shd w:val="clear" w:color="auto" w:fill="FFFFFF"/>
          </w:tcPr>
          <w:p w14:paraId="0E95F70D" w14:textId="77777777" w:rsidR="00EA115D" w:rsidRPr="00720B66" w:rsidRDefault="00EA115D" w:rsidP="00441600">
            <w:pPr>
              <w:pStyle w:val="TableText"/>
              <w:rPr>
                <w:b/>
                <w:lang w:val="en-NZ"/>
              </w:rPr>
            </w:pPr>
            <w:r w:rsidRPr="00720B66">
              <w:rPr>
                <w:b/>
                <w:lang w:val="en-NZ"/>
              </w:rPr>
              <w:t>Development Outcomes</w:t>
            </w:r>
          </w:p>
        </w:tc>
        <w:tc>
          <w:tcPr>
            <w:tcW w:w="4588" w:type="dxa"/>
            <w:shd w:val="clear" w:color="auto" w:fill="FFFFFF"/>
          </w:tcPr>
          <w:p w14:paraId="2A3358A9" w14:textId="77777777" w:rsidR="00EA115D" w:rsidRPr="00F57A5D" w:rsidRDefault="00EA115D" w:rsidP="00441600">
            <w:pPr>
              <w:pStyle w:val="TableNumberedList"/>
              <w:rPr>
                <w:lang w:val="en-NZ"/>
              </w:rPr>
            </w:pPr>
            <w:r w:rsidRPr="00F57A5D">
              <w:rPr>
                <w:lang w:val="en-NZ"/>
              </w:rPr>
              <w:t>Improved human health</w:t>
            </w:r>
          </w:p>
          <w:p w14:paraId="0EDD01F2" w14:textId="77777777" w:rsidR="00EA115D" w:rsidRPr="00F57A5D" w:rsidRDefault="00EA115D" w:rsidP="00441600">
            <w:pPr>
              <w:pStyle w:val="TableNumberedList"/>
              <w:rPr>
                <w:lang w:val="en-NZ"/>
              </w:rPr>
            </w:pPr>
            <w:r w:rsidRPr="00F57A5D">
              <w:rPr>
                <w:lang w:val="en-NZ"/>
              </w:rPr>
              <w:t>Improved business environment and public services</w:t>
            </w:r>
          </w:p>
          <w:p w14:paraId="4FA05D61" w14:textId="77777777" w:rsidR="00EA115D" w:rsidRPr="00F57A5D" w:rsidRDefault="00EA115D" w:rsidP="00441600">
            <w:pPr>
              <w:pStyle w:val="TableNumberedList"/>
              <w:rPr>
                <w:lang w:val="en-NZ"/>
              </w:rPr>
            </w:pPr>
            <w:r w:rsidRPr="00F57A5D">
              <w:rPr>
                <w:lang w:val="en-NZ"/>
              </w:rPr>
              <w:t>Lower and more predictable fiscal costs to SIG</w:t>
            </w:r>
          </w:p>
        </w:tc>
      </w:tr>
      <w:tr w:rsidR="00EA115D" w:rsidRPr="00F57A5D" w14:paraId="5E12649E" w14:textId="77777777" w:rsidTr="00441600">
        <w:tc>
          <w:tcPr>
            <w:tcW w:w="3776" w:type="dxa"/>
            <w:shd w:val="clear" w:color="auto" w:fill="FFFFFF"/>
          </w:tcPr>
          <w:p w14:paraId="54A24645" w14:textId="77777777" w:rsidR="00EA115D" w:rsidRPr="00720B66" w:rsidRDefault="00EA115D" w:rsidP="00441600">
            <w:pPr>
              <w:pStyle w:val="TableText"/>
              <w:rPr>
                <w:b/>
                <w:lang w:val="en-NZ"/>
              </w:rPr>
            </w:pPr>
            <w:r w:rsidRPr="00720B66">
              <w:rPr>
                <w:b/>
                <w:lang w:val="en-NZ"/>
              </w:rPr>
              <w:t>Programme objective</w:t>
            </w:r>
          </w:p>
        </w:tc>
        <w:tc>
          <w:tcPr>
            <w:tcW w:w="4588" w:type="dxa"/>
            <w:shd w:val="clear" w:color="auto" w:fill="FFFFFF"/>
          </w:tcPr>
          <w:p w14:paraId="706E99E2" w14:textId="77777777" w:rsidR="00EA115D" w:rsidRPr="00F57A5D" w:rsidRDefault="00EA115D" w:rsidP="00441600">
            <w:pPr>
              <w:pStyle w:val="TableListNumber"/>
              <w:numPr>
                <w:ilvl w:val="0"/>
                <w:numId w:val="0"/>
              </w:numPr>
              <w:ind w:left="227"/>
              <w:rPr>
                <w:lang w:val="en-NZ"/>
              </w:rPr>
            </w:pPr>
            <w:r w:rsidRPr="00F57A5D">
              <w:rPr>
                <w:lang w:val="en-NZ"/>
              </w:rPr>
              <w:t>Solomon Water provides improved levels of service (in terms of quality, quantity and reliability) to a larger proportion of the population in the existing service areas, based on a sound financial position</w:t>
            </w:r>
          </w:p>
        </w:tc>
      </w:tr>
      <w:tr w:rsidR="00EA115D" w:rsidRPr="00F57A5D" w14:paraId="2FC16E47" w14:textId="77777777" w:rsidTr="00441600">
        <w:tc>
          <w:tcPr>
            <w:tcW w:w="3776" w:type="dxa"/>
            <w:shd w:val="clear" w:color="auto" w:fill="FFFFFF"/>
          </w:tcPr>
          <w:p w14:paraId="02AAE26F" w14:textId="77777777" w:rsidR="00EA115D" w:rsidRPr="00720B66" w:rsidRDefault="00EA115D" w:rsidP="00441600">
            <w:pPr>
              <w:pStyle w:val="TableText"/>
              <w:rPr>
                <w:b/>
                <w:lang w:val="en-NZ"/>
              </w:rPr>
            </w:pPr>
            <w:r w:rsidRPr="00720B66">
              <w:rPr>
                <w:b/>
                <w:lang w:val="en-NZ"/>
              </w:rPr>
              <w:t>Outputs</w:t>
            </w:r>
          </w:p>
        </w:tc>
        <w:tc>
          <w:tcPr>
            <w:tcW w:w="4588" w:type="dxa"/>
            <w:shd w:val="clear" w:color="auto" w:fill="FFFFFF"/>
          </w:tcPr>
          <w:p w14:paraId="70BD786A" w14:textId="77777777" w:rsidR="00EA115D" w:rsidRPr="00720B66" w:rsidRDefault="00EA115D" w:rsidP="00441600">
            <w:pPr>
              <w:pStyle w:val="TableText"/>
              <w:rPr>
                <w:b/>
                <w:lang w:val="en-NZ"/>
              </w:rPr>
            </w:pPr>
            <w:r w:rsidRPr="00720B66">
              <w:rPr>
                <w:b/>
                <w:lang w:val="en-NZ"/>
              </w:rPr>
              <w:t>Activities</w:t>
            </w:r>
          </w:p>
        </w:tc>
      </w:tr>
      <w:tr w:rsidR="00EA115D" w:rsidRPr="00F57A5D" w14:paraId="2BA64C8F" w14:textId="77777777" w:rsidTr="00441600">
        <w:tc>
          <w:tcPr>
            <w:tcW w:w="3776" w:type="dxa"/>
            <w:shd w:val="clear" w:color="auto" w:fill="FFFFFF"/>
          </w:tcPr>
          <w:p w14:paraId="2AB05643" w14:textId="77777777" w:rsidR="00EA115D" w:rsidRPr="00F57A5D" w:rsidRDefault="00EA115D" w:rsidP="00441600">
            <w:pPr>
              <w:pStyle w:val="TableListNumber"/>
              <w:rPr>
                <w:lang w:val="en-NZ"/>
              </w:rPr>
            </w:pPr>
            <w:r w:rsidRPr="00F57A5D">
              <w:rPr>
                <w:lang w:val="en-NZ"/>
              </w:rPr>
              <w:t>Improved levels of service for water supply</w:t>
            </w:r>
          </w:p>
          <w:p w14:paraId="49EA1238" w14:textId="77777777" w:rsidR="00EA115D" w:rsidRPr="00F57A5D" w:rsidRDefault="00EA115D" w:rsidP="00441600">
            <w:pPr>
              <w:pStyle w:val="TableListNumber"/>
              <w:numPr>
                <w:ilvl w:val="0"/>
                <w:numId w:val="0"/>
              </w:numPr>
              <w:ind w:left="720"/>
              <w:rPr>
                <w:lang w:val="en-NZ"/>
              </w:rPr>
            </w:pPr>
          </w:p>
        </w:tc>
        <w:tc>
          <w:tcPr>
            <w:tcW w:w="4588" w:type="dxa"/>
            <w:shd w:val="clear" w:color="auto" w:fill="FFFFFF"/>
          </w:tcPr>
          <w:p w14:paraId="33C9CBEE" w14:textId="77777777" w:rsidR="00EA115D" w:rsidRPr="00F57A5D" w:rsidRDefault="00EA115D" w:rsidP="00441600">
            <w:pPr>
              <w:pStyle w:val="TableListNumber2"/>
              <w:rPr>
                <w:lang w:val="en-NZ"/>
              </w:rPr>
            </w:pPr>
            <w:r w:rsidRPr="00F57A5D">
              <w:rPr>
                <w:lang w:val="en-NZ"/>
              </w:rPr>
              <w:t>Developing operational and technical support</w:t>
            </w:r>
          </w:p>
          <w:p w14:paraId="5FA13E47" w14:textId="77777777" w:rsidR="00EA115D" w:rsidRPr="00F57A5D" w:rsidRDefault="00EA115D" w:rsidP="00441600">
            <w:pPr>
              <w:pStyle w:val="TableListNumber2"/>
              <w:rPr>
                <w:lang w:val="en-NZ"/>
              </w:rPr>
            </w:pPr>
            <w:r w:rsidRPr="00F57A5D">
              <w:rPr>
                <w:lang w:val="en-NZ"/>
              </w:rPr>
              <w:t>Reducing non-revenue water</w:t>
            </w:r>
          </w:p>
          <w:p w14:paraId="47DF1B4F" w14:textId="77777777" w:rsidR="00EA115D" w:rsidRPr="00F57A5D" w:rsidRDefault="00EA115D" w:rsidP="00441600">
            <w:pPr>
              <w:pStyle w:val="TableListNumber2"/>
              <w:rPr>
                <w:lang w:val="en-NZ"/>
              </w:rPr>
            </w:pPr>
            <w:r w:rsidRPr="00F57A5D">
              <w:rPr>
                <w:lang w:val="en-NZ"/>
              </w:rPr>
              <w:t>Improving the capacity of the network</w:t>
            </w:r>
          </w:p>
          <w:p w14:paraId="552786A8" w14:textId="77777777" w:rsidR="00EA115D" w:rsidRPr="00F57A5D" w:rsidRDefault="00EA115D" w:rsidP="00441600">
            <w:pPr>
              <w:pStyle w:val="TableListNumber2"/>
              <w:rPr>
                <w:lang w:val="en-NZ"/>
              </w:rPr>
            </w:pPr>
            <w:r w:rsidRPr="00F57A5D">
              <w:rPr>
                <w:lang w:val="en-NZ"/>
              </w:rPr>
              <w:t>Improving the connectivity and reliability of water supply</w:t>
            </w:r>
          </w:p>
          <w:p w14:paraId="6865B684" w14:textId="77777777" w:rsidR="00EA115D" w:rsidRPr="00F57A5D" w:rsidRDefault="00EA115D" w:rsidP="00441600">
            <w:pPr>
              <w:pStyle w:val="TableListNumber2"/>
              <w:rPr>
                <w:lang w:val="en-NZ"/>
              </w:rPr>
            </w:pPr>
            <w:r w:rsidRPr="00F57A5D">
              <w:rPr>
                <w:lang w:val="en-NZ"/>
              </w:rPr>
              <w:t>Water production</w:t>
            </w:r>
          </w:p>
          <w:p w14:paraId="2117DDD7" w14:textId="77777777" w:rsidR="00EA115D" w:rsidRPr="00F57A5D" w:rsidRDefault="00EA115D" w:rsidP="00441600">
            <w:pPr>
              <w:pStyle w:val="TableListNumber2"/>
              <w:rPr>
                <w:lang w:val="en-NZ"/>
              </w:rPr>
            </w:pPr>
            <w:r w:rsidRPr="00F57A5D">
              <w:rPr>
                <w:lang w:val="en-NZ"/>
              </w:rPr>
              <w:t>Non-revenue water</w:t>
            </w:r>
          </w:p>
        </w:tc>
      </w:tr>
      <w:tr w:rsidR="00EA115D" w:rsidRPr="00F57A5D" w14:paraId="66F1B114" w14:textId="77777777" w:rsidTr="00441600">
        <w:tc>
          <w:tcPr>
            <w:tcW w:w="3776" w:type="dxa"/>
            <w:shd w:val="clear" w:color="auto" w:fill="FFFFFF"/>
          </w:tcPr>
          <w:p w14:paraId="25D3E06B" w14:textId="77777777" w:rsidR="00EA115D" w:rsidRPr="00F57A5D" w:rsidRDefault="00EA115D" w:rsidP="00441600">
            <w:pPr>
              <w:pStyle w:val="TableListNumber"/>
              <w:rPr>
                <w:lang w:val="en-NZ"/>
              </w:rPr>
            </w:pPr>
            <w:r w:rsidRPr="00F57A5D">
              <w:rPr>
                <w:lang w:val="en-NZ"/>
              </w:rPr>
              <w:t>Improved customer care and communications</w:t>
            </w:r>
          </w:p>
          <w:p w14:paraId="4C5533E0" w14:textId="77777777" w:rsidR="00EA115D" w:rsidRPr="00F57A5D" w:rsidRDefault="00EA115D" w:rsidP="00441600">
            <w:pPr>
              <w:pStyle w:val="TableListNumber"/>
              <w:numPr>
                <w:ilvl w:val="0"/>
                <w:numId w:val="0"/>
              </w:numPr>
              <w:ind w:left="720"/>
              <w:rPr>
                <w:lang w:val="en-NZ"/>
              </w:rPr>
            </w:pPr>
          </w:p>
        </w:tc>
        <w:tc>
          <w:tcPr>
            <w:tcW w:w="4588" w:type="dxa"/>
            <w:shd w:val="clear" w:color="auto" w:fill="FFFFFF"/>
          </w:tcPr>
          <w:p w14:paraId="7BB3EB64" w14:textId="77777777" w:rsidR="00EA115D" w:rsidRPr="00F57A5D" w:rsidRDefault="00EA115D" w:rsidP="00441600">
            <w:pPr>
              <w:pStyle w:val="TableListNumber2"/>
              <w:rPr>
                <w:lang w:val="en-NZ"/>
              </w:rPr>
            </w:pPr>
            <w:r w:rsidRPr="00F57A5D">
              <w:rPr>
                <w:lang w:val="en-NZ"/>
              </w:rPr>
              <w:t>Improving customer care</w:t>
            </w:r>
          </w:p>
          <w:p w14:paraId="405A656C" w14:textId="77777777" w:rsidR="00EA115D" w:rsidRPr="00F57A5D" w:rsidRDefault="00EA115D" w:rsidP="00441600">
            <w:pPr>
              <w:pStyle w:val="TableListNumber2"/>
              <w:rPr>
                <w:lang w:val="en-NZ"/>
              </w:rPr>
            </w:pPr>
            <w:r w:rsidRPr="00F57A5D">
              <w:rPr>
                <w:lang w:val="en-NZ"/>
              </w:rPr>
              <w:t>Improving the image of Solomon Water</w:t>
            </w:r>
          </w:p>
        </w:tc>
      </w:tr>
      <w:tr w:rsidR="00EA115D" w:rsidRPr="00F57A5D" w14:paraId="33201AA3" w14:textId="77777777" w:rsidTr="00441600">
        <w:tc>
          <w:tcPr>
            <w:tcW w:w="3776" w:type="dxa"/>
            <w:shd w:val="clear" w:color="auto" w:fill="FFFFFF"/>
          </w:tcPr>
          <w:p w14:paraId="61234C17" w14:textId="77777777" w:rsidR="00EA115D" w:rsidRPr="00F57A5D" w:rsidRDefault="00EA115D" w:rsidP="00441600">
            <w:pPr>
              <w:pStyle w:val="TableListNumber"/>
              <w:rPr>
                <w:lang w:val="en-NZ"/>
              </w:rPr>
            </w:pPr>
            <w:r w:rsidRPr="00F57A5D">
              <w:rPr>
                <w:lang w:val="en-NZ"/>
              </w:rPr>
              <w:t>Strengthened financial management and administration</w:t>
            </w:r>
          </w:p>
          <w:p w14:paraId="222B09EA" w14:textId="77777777" w:rsidR="00EA115D" w:rsidRPr="00F57A5D" w:rsidRDefault="00EA115D" w:rsidP="00441600">
            <w:pPr>
              <w:pStyle w:val="TableListNumber"/>
              <w:numPr>
                <w:ilvl w:val="0"/>
                <w:numId w:val="0"/>
              </w:numPr>
              <w:ind w:left="720"/>
              <w:rPr>
                <w:lang w:val="en-NZ"/>
              </w:rPr>
            </w:pPr>
          </w:p>
        </w:tc>
        <w:tc>
          <w:tcPr>
            <w:tcW w:w="4588" w:type="dxa"/>
            <w:shd w:val="clear" w:color="auto" w:fill="FFFFFF"/>
          </w:tcPr>
          <w:p w14:paraId="68281DA3" w14:textId="77777777" w:rsidR="00EA115D" w:rsidRPr="00F57A5D" w:rsidRDefault="00EA115D" w:rsidP="00441600">
            <w:pPr>
              <w:pStyle w:val="TableListNumber2"/>
              <w:rPr>
                <w:lang w:val="en-NZ"/>
              </w:rPr>
            </w:pPr>
            <w:r w:rsidRPr="00F57A5D">
              <w:rPr>
                <w:lang w:val="en-NZ"/>
              </w:rPr>
              <w:t>Billing</w:t>
            </w:r>
          </w:p>
          <w:p w14:paraId="6605E8EE" w14:textId="77777777" w:rsidR="00EA115D" w:rsidRPr="00F57A5D" w:rsidRDefault="00EA115D" w:rsidP="00441600">
            <w:pPr>
              <w:pStyle w:val="TableListNumber2"/>
              <w:rPr>
                <w:lang w:val="en-NZ"/>
              </w:rPr>
            </w:pPr>
            <w:r w:rsidRPr="00F57A5D">
              <w:rPr>
                <w:lang w:val="en-NZ"/>
              </w:rPr>
              <w:t>Debt collection</w:t>
            </w:r>
          </w:p>
          <w:p w14:paraId="0BC5CFD3" w14:textId="77777777" w:rsidR="00EA115D" w:rsidRPr="00F57A5D" w:rsidRDefault="00EA115D" w:rsidP="00441600">
            <w:pPr>
              <w:pStyle w:val="TableListNumber2"/>
              <w:rPr>
                <w:lang w:val="en-NZ"/>
              </w:rPr>
            </w:pPr>
            <w:r w:rsidRPr="00F57A5D">
              <w:rPr>
                <w:lang w:val="en-NZ"/>
              </w:rPr>
              <w:t>Cost &amp; management accounting</w:t>
            </w:r>
          </w:p>
          <w:p w14:paraId="3EC29191" w14:textId="77777777" w:rsidR="00EA115D" w:rsidRPr="00F57A5D" w:rsidRDefault="00EA115D" w:rsidP="00441600">
            <w:pPr>
              <w:pStyle w:val="TableListNumber2"/>
              <w:rPr>
                <w:lang w:val="en-NZ"/>
              </w:rPr>
            </w:pPr>
            <w:r w:rsidRPr="00F57A5D">
              <w:rPr>
                <w:lang w:val="en-NZ"/>
              </w:rPr>
              <w:t>Inventory management</w:t>
            </w:r>
          </w:p>
          <w:p w14:paraId="49573F31" w14:textId="77777777" w:rsidR="00EA115D" w:rsidRPr="00F57A5D" w:rsidRDefault="00EA115D" w:rsidP="00441600">
            <w:pPr>
              <w:pStyle w:val="TableListNumber2"/>
              <w:rPr>
                <w:lang w:val="en-NZ"/>
              </w:rPr>
            </w:pPr>
            <w:r w:rsidRPr="00F57A5D">
              <w:rPr>
                <w:lang w:val="en-NZ"/>
              </w:rPr>
              <w:t>Audit</w:t>
            </w:r>
          </w:p>
        </w:tc>
      </w:tr>
      <w:tr w:rsidR="00EA115D" w:rsidRPr="00F57A5D" w14:paraId="03775C3B" w14:textId="77777777" w:rsidTr="00441600">
        <w:tc>
          <w:tcPr>
            <w:tcW w:w="3776" w:type="dxa"/>
            <w:shd w:val="clear" w:color="auto" w:fill="FFFFFF"/>
          </w:tcPr>
          <w:p w14:paraId="71AA9EE7" w14:textId="77777777" w:rsidR="00EA115D" w:rsidRPr="00F57A5D" w:rsidRDefault="00EA115D" w:rsidP="00441600">
            <w:pPr>
              <w:pStyle w:val="TableListNumber"/>
              <w:rPr>
                <w:lang w:val="en-NZ"/>
              </w:rPr>
            </w:pPr>
            <w:r w:rsidRPr="00F57A5D">
              <w:rPr>
                <w:lang w:val="en-NZ"/>
              </w:rPr>
              <w:t>Improved organizational capacity</w:t>
            </w:r>
          </w:p>
          <w:p w14:paraId="399EECE5" w14:textId="77777777" w:rsidR="00EA115D" w:rsidRPr="00F57A5D" w:rsidRDefault="00EA115D" w:rsidP="00441600">
            <w:pPr>
              <w:pStyle w:val="TableListNumber"/>
              <w:numPr>
                <w:ilvl w:val="0"/>
                <w:numId w:val="0"/>
              </w:numPr>
              <w:ind w:left="720"/>
              <w:rPr>
                <w:lang w:val="en-NZ"/>
              </w:rPr>
            </w:pPr>
          </w:p>
        </w:tc>
        <w:tc>
          <w:tcPr>
            <w:tcW w:w="4588" w:type="dxa"/>
            <w:shd w:val="clear" w:color="auto" w:fill="FFFFFF"/>
          </w:tcPr>
          <w:p w14:paraId="20F2D31A" w14:textId="77777777" w:rsidR="00EA115D" w:rsidRPr="00F57A5D" w:rsidRDefault="00EA115D" w:rsidP="00441600">
            <w:pPr>
              <w:pStyle w:val="TableListNumber2"/>
              <w:rPr>
                <w:lang w:val="en-NZ"/>
              </w:rPr>
            </w:pPr>
            <w:r w:rsidRPr="00F57A5D">
              <w:rPr>
                <w:lang w:val="en-NZ"/>
              </w:rPr>
              <w:t>Strengthen human resource management</w:t>
            </w:r>
          </w:p>
          <w:p w14:paraId="1E9951FB" w14:textId="77777777" w:rsidR="00EA115D" w:rsidRPr="00F57A5D" w:rsidRDefault="00EA115D" w:rsidP="00441600">
            <w:pPr>
              <w:pStyle w:val="TableListNumber2"/>
              <w:rPr>
                <w:lang w:val="en-NZ"/>
              </w:rPr>
            </w:pPr>
            <w:r w:rsidRPr="00F57A5D">
              <w:rPr>
                <w:lang w:val="en-NZ"/>
              </w:rPr>
              <w:t>Strengthen corporate management</w:t>
            </w:r>
          </w:p>
          <w:p w14:paraId="7AEAD33C" w14:textId="77777777" w:rsidR="00EA115D" w:rsidRPr="00F57A5D" w:rsidRDefault="00EA115D" w:rsidP="00441600">
            <w:pPr>
              <w:pStyle w:val="TableListNumber2"/>
              <w:rPr>
                <w:lang w:val="en-NZ"/>
              </w:rPr>
            </w:pPr>
            <w:r w:rsidRPr="00F57A5D">
              <w:rPr>
                <w:lang w:val="en-NZ"/>
              </w:rPr>
              <w:t>Improving organisational effectiveness</w:t>
            </w:r>
          </w:p>
          <w:p w14:paraId="1DB6A8D3" w14:textId="77777777" w:rsidR="00EA115D" w:rsidRPr="00F57A5D" w:rsidRDefault="00EA115D" w:rsidP="00441600">
            <w:pPr>
              <w:pStyle w:val="TableListNumber2"/>
              <w:rPr>
                <w:lang w:val="en-NZ"/>
              </w:rPr>
            </w:pPr>
            <w:r w:rsidRPr="00F57A5D">
              <w:rPr>
                <w:lang w:val="en-NZ"/>
              </w:rPr>
              <w:t>Improved organisational capacity</w:t>
            </w:r>
          </w:p>
        </w:tc>
      </w:tr>
      <w:tr w:rsidR="00EA115D" w:rsidRPr="00F57A5D" w14:paraId="57778BEC" w14:textId="77777777" w:rsidTr="00441600">
        <w:tc>
          <w:tcPr>
            <w:tcW w:w="3776" w:type="dxa"/>
            <w:shd w:val="clear" w:color="auto" w:fill="FFFFFF"/>
          </w:tcPr>
          <w:p w14:paraId="1519F20B" w14:textId="77777777" w:rsidR="00EA115D" w:rsidRPr="00F57A5D" w:rsidRDefault="00EA115D" w:rsidP="00441600">
            <w:pPr>
              <w:pStyle w:val="TableListNumber"/>
              <w:rPr>
                <w:lang w:val="en-NZ"/>
              </w:rPr>
            </w:pPr>
            <w:r w:rsidRPr="00F57A5D">
              <w:rPr>
                <w:lang w:val="en-NZ"/>
              </w:rPr>
              <w:t>Improved strategic planning</w:t>
            </w:r>
          </w:p>
        </w:tc>
        <w:tc>
          <w:tcPr>
            <w:tcW w:w="4588" w:type="dxa"/>
            <w:shd w:val="clear" w:color="auto" w:fill="FFFFFF"/>
          </w:tcPr>
          <w:p w14:paraId="1F6742BA" w14:textId="77777777" w:rsidR="00EA115D" w:rsidRPr="00F57A5D" w:rsidRDefault="00EA115D" w:rsidP="00441600">
            <w:pPr>
              <w:pStyle w:val="TableListNumber2"/>
              <w:rPr>
                <w:lang w:val="en-NZ"/>
              </w:rPr>
            </w:pPr>
            <w:r w:rsidRPr="00F57A5D">
              <w:rPr>
                <w:lang w:val="en-NZ"/>
              </w:rPr>
              <w:t>Formulation of the Five Year Plan</w:t>
            </w:r>
          </w:p>
        </w:tc>
      </w:tr>
    </w:tbl>
    <w:p w14:paraId="203FB8F9" w14:textId="77777777" w:rsidR="00EA115D" w:rsidRPr="00F54B17" w:rsidRDefault="00EA115D" w:rsidP="00E17D25">
      <w:pPr>
        <w:pStyle w:val="Draftingnote"/>
      </w:pPr>
    </w:p>
    <w:p w14:paraId="47A7F2F0" w14:textId="77777777" w:rsidR="00EA115D" w:rsidRPr="00F90C95" w:rsidRDefault="00EA115D" w:rsidP="00EA115D">
      <w:pPr>
        <w:rPr>
          <w:noProof/>
          <w:lang w:eastAsia="en-NZ"/>
        </w:rPr>
      </w:pPr>
      <w:r w:rsidRPr="00F90C95">
        <w:rPr>
          <w:noProof/>
          <w:lang w:eastAsia="en-NZ"/>
        </w:rPr>
        <w:t xml:space="preserve">The </w:t>
      </w:r>
      <w:r w:rsidR="002F371B">
        <w:rPr>
          <w:noProof/>
          <w:lang w:eastAsia="en-NZ"/>
        </w:rPr>
        <w:t>evaluation was</w:t>
      </w:r>
      <w:r w:rsidRPr="00F90C95">
        <w:rPr>
          <w:noProof/>
          <w:lang w:eastAsia="en-NZ"/>
        </w:rPr>
        <w:t xml:space="preserve"> implemented in five phases:</w:t>
      </w:r>
    </w:p>
    <w:p w14:paraId="111FA9CC" w14:textId="77777777" w:rsidR="00EA115D" w:rsidRDefault="00EA115D" w:rsidP="00EA115D">
      <w:pPr>
        <w:pStyle w:val="Heading4"/>
        <w:numPr>
          <w:ilvl w:val="0"/>
          <w:numId w:val="13"/>
        </w:numPr>
        <w:rPr>
          <w:b w:val="0"/>
        </w:rPr>
      </w:pPr>
      <w:r w:rsidRPr="003F58DE">
        <w:t>Briefing and evaluation plan</w:t>
      </w:r>
    </w:p>
    <w:p w14:paraId="06C1AAF7" w14:textId="77777777" w:rsidR="00EA115D" w:rsidRDefault="00EA115D" w:rsidP="006944CD">
      <w:r>
        <w:t xml:space="preserve">The evaluation team, in consultation with DFAT Honiara, developed </w:t>
      </w:r>
      <w:r w:rsidR="006944CD">
        <w:t>an e</w:t>
      </w:r>
      <w:r>
        <w:t xml:space="preserve">valuation plan which </w:t>
      </w:r>
      <w:r w:rsidRPr="00E034BE">
        <w:t>sets out</w:t>
      </w:r>
      <w:r>
        <w:t>:</w:t>
      </w:r>
      <w:r w:rsidRPr="00E034BE">
        <w:t xml:space="preserve"> </w:t>
      </w:r>
      <w:r>
        <w:t xml:space="preserve">an evaluation methodology and matrix based on the evaluation questions above, drawing on DFAT’s </w:t>
      </w:r>
      <w:r>
        <w:lastRenderedPageBreak/>
        <w:t>broader evaluation criteria;</w:t>
      </w:r>
      <w:r w:rsidR="006944CD">
        <w:t xml:space="preserve"> </w:t>
      </w:r>
      <w:r>
        <w:t>a process for information collection and analysis;</w:t>
      </w:r>
      <w:r w:rsidR="006944CD">
        <w:t xml:space="preserve"> </w:t>
      </w:r>
      <w:r>
        <w:t>identification of challenges to achieving the evaluation purpose;</w:t>
      </w:r>
      <w:r w:rsidR="006944CD">
        <w:t xml:space="preserve"> </w:t>
      </w:r>
      <w:r>
        <w:t>allocation of tasks among the evaluation team; and</w:t>
      </w:r>
      <w:r w:rsidR="006944CD">
        <w:t xml:space="preserve"> </w:t>
      </w:r>
      <w:r>
        <w:t>key timings and milestones.</w:t>
      </w:r>
    </w:p>
    <w:p w14:paraId="4EC86D84" w14:textId="77777777" w:rsidR="00EA115D" w:rsidRPr="00601EA4" w:rsidRDefault="00EA115D" w:rsidP="00EA115D">
      <w:r>
        <w:t xml:space="preserve">The evaluation team </w:t>
      </w:r>
      <w:r w:rsidR="006944CD">
        <w:t>was briefed</w:t>
      </w:r>
      <w:r>
        <w:t xml:space="preserve"> by DFAT staff in Honiara and Canberra. The evaluation team leader consult</w:t>
      </w:r>
      <w:r w:rsidR="006944CD">
        <w:t>ed</w:t>
      </w:r>
      <w:r>
        <w:t xml:space="preserve"> with the SIWA General Manager prior to in-country consultations.</w:t>
      </w:r>
    </w:p>
    <w:p w14:paraId="7A1E4C19" w14:textId="77777777" w:rsidR="00EA115D" w:rsidRPr="00601EA4" w:rsidRDefault="00EA115D" w:rsidP="00EA115D">
      <w:pPr>
        <w:pStyle w:val="Heading4"/>
        <w:numPr>
          <w:ilvl w:val="0"/>
          <w:numId w:val="13"/>
        </w:numPr>
        <w:rPr>
          <w:rFonts w:ascii="Calibri,Bold" w:hAnsi="Calibri,Bold" w:cs="Calibri,Bold"/>
          <w:b w:val="0"/>
          <w:bCs w:val="0"/>
          <w:sz w:val="23"/>
          <w:szCs w:val="23"/>
        </w:rPr>
      </w:pPr>
      <w:r w:rsidRPr="00601EA4">
        <w:t>Document review</w:t>
      </w:r>
    </w:p>
    <w:p w14:paraId="775A518A" w14:textId="77777777" w:rsidR="00EA115D" w:rsidRDefault="00EA115D" w:rsidP="00EA115D">
      <w:r>
        <w:t>The evaluation team review</w:t>
      </w:r>
      <w:r w:rsidR="006944CD">
        <w:t>ed</w:t>
      </w:r>
      <w:r>
        <w:t xml:space="preserve"> the key documents provided by DFAT Honiara and </w:t>
      </w:r>
      <w:r w:rsidR="0064654D">
        <w:t>Solomon Water</w:t>
      </w:r>
      <w:r>
        <w:t>. The review:</w:t>
      </w:r>
    </w:p>
    <w:p w14:paraId="5EF72214" w14:textId="77777777" w:rsidR="00EA115D" w:rsidRDefault="00EA115D" w:rsidP="00EA115D">
      <w:pPr>
        <w:pStyle w:val="Bullet"/>
      </w:pPr>
      <w:r>
        <w:t>Provide</w:t>
      </w:r>
      <w:r w:rsidR="006944CD">
        <w:t>d</w:t>
      </w:r>
      <w:r>
        <w:t xml:space="preserve"> an overview of contextual factors relevant to the program. </w:t>
      </w:r>
    </w:p>
    <w:p w14:paraId="49E33859" w14:textId="77777777" w:rsidR="00EA115D" w:rsidRDefault="00EA115D" w:rsidP="00EA115D">
      <w:pPr>
        <w:pStyle w:val="Bullet"/>
      </w:pPr>
      <w:r>
        <w:t>Ma</w:t>
      </w:r>
      <w:r w:rsidR="006944CD">
        <w:t>d</w:t>
      </w:r>
      <w:r>
        <w:t xml:space="preserve">e a preliminary assessment of progress towards </w:t>
      </w:r>
      <w:r w:rsidR="00E12034">
        <w:t>Development Plan</w:t>
      </w:r>
      <w:r>
        <w:t xml:space="preserve"> outputs and objective.  </w:t>
      </w:r>
    </w:p>
    <w:p w14:paraId="2CF59B6E" w14:textId="77777777" w:rsidR="0064654D" w:rsidRDefault="0064654D" w:rsidP="00EA115D">
      <w:pPr>
        <w:pStyle w:val="Bullet"/>
      </w:pPr>
      <w:r>
        <w:t>Made a preliminary assessment of the status of implementation of activities/projects under the Development Plan.</w:t>
      </w:r>
    </w:p>
    <w:p w14:paraId="6558906B" w14:textId="77777777" w:rsidR="00EA115D" w:rsidRDefault="00EA115D" w:rsidP="00EA115D">
      <w:pPr>
        <w:pStyle w:val="Bullet"/>
      </w:pPr>
      <w:r>
        <w:t>Describe</w:t>
      </w:r>
      <w:r w:rsidR="006944CD">
        <w:t>d</w:t>
      </w:r>
      <w:r>
        <w:t xml:space="preserve"> the common challenges experiences by the program.</w:t>
      </w:r>
    </w:p>
    <w:p w14:paraId="11A94153" w14:textId="77777777" w:rsidR="00EA115D" w:rsidRDefault="00EA115D" w:rsidP="00EA115D">
      <w:pPr>
        <w:pStyle w:val="Bullet"/>
        <w:numPr>
          <w:ilvl w:val="0"/>
          <w:numId w:val="0"/>
        </w:numPr>
      </w:pPr>
      <w:r w:rsidRPr="0064654D">
        <w:t>The evaluation team also review</w:t>
      </w:r>
      <w:r w:rsidR="006944CD" w:rsidRPr="0064654D">
        <w:t>ed</w:t>
      </w:r>
      <w:r w:rsidRPr="0064654D">
        <w:t xml:space="preserve"> literature regarding budget support</w:t>
      </w:r>
      <w:r w:rsidR="0064654D">
        <w:t xml:space="preserve"> approaches</w:t>
      </w:r>
      <w:r>
        <w:t>. The review inform</w:t>
      </w:r>
      <w:r w:rsidR="0064654D">
        <w:t>ed</w:t>
      </w:r>
      <w:r>
        <w:t xml:space="preserve"> the lines of enquiry for the data collection phase of the evaluation.</w:t>
      </w:r>
    </w:p>
    <w:p w14:paraId="253BC893" w14:textId="77777777" w:rsidR="00EA115D" w:rsidRDefault="00EA115D" w:rsidP="00EA115D">
      <w:pPr>
        <w:pStyle w:val="Heading4"/>
        <w:numPr>
          <w:ilvl w:val="0"/>
          <w:numId w:val="13"/>
        </w:numPr>
        <w:rPr>
          <w:b w:val="0"/>
        </w:rPr>
      </w:pPr>
      <w:r w:rsidRPr="003F58DE">
        <w:t>Data collection and analysis</w:t>
      </w:r>
    </w:p>
    <w:p w14:paraId="018A6475" w14:textId="77777777" w:rsidR="00EA115D" w:rsidRDefault="00EA115D" w:rsidP="00EA115D">
      <w:pPr>
        <w:pStyle w:val="Heading5"/>
      </w:pPr>
      <w:r>
        <w:t>Data collection</w:t>
      </w:r>
    </w:p>
    <w:p w14:paraId="353C80B2" w14:textId="77777777" w:rsidR="00EA115D" w:rsidRPr="00AD4451" w:rsidRDefault="00EA115D" w:rsidP="00EA115D">
      <w:r>
        <w:t>The evaluation team travel</w:t>
      </w:r>
      <w:r w:rsidR="0014256B">
        <w:t>led</w:t>
      </w:r>
      <w:r>
        <w:t xml:space="preserve"> to Honiara 2-12 May to </w:t>
      </w:r>
      <w:r w:rsidRPr="00AD4451">
        <w:t xml:space="preserve">collect and validate data. </w:t>
      </w:r>
    </w:p>
    <w:p w14:paraId="6D21FC3D" w14:textId="77777777" w:rsidR="009C7D4C" w:rsidRDefault="0014256B" w:rsidP="009C7D4C">
      <w:r>
        <w:t xml:space="preserve">The evaluation team </w:t>
      </w:r>
      <w:r w:rsidR="00EA115D">
        <w:t>c</w:t>
      </w:r>
      <w:r w:rsidR="00EA115D" w:rsidRPr="000D38EC">
        <w:t>ollect</w:t>
      </w:r>
      <w:r>
        <w:t>ed</w:t>
      </w:r>
      <w:r w:rsidR="00EA115D" w:rsidRPr="000D38EC">
        <w:t>, triangulate</w:t>
      </w:r>
      <w:r>
        <w:t>d</w:t>
      </w:r>
      <w:r w:rsidR="00EA115D" w:rsidRPr="000D38EC">
        <w:t xml:space="preserve"> and review</w:t>
      </w:r>
      <w:r>
        <w:t>ed</w:t>
      </w:r>
      <w:r w:rsidR="00EA115D" w:rsidRPr="000D38EC">
        <w:t xml:space="preserve"> additional data through </w:t>
      </w:r>
      <w:r>
        <w:t xml:space="preserve">individual </w:t>
      </w:r>
      <w:r w:rsidR="00EA115D" w:rsidRPr="000D38EC">
        <w:t>interviews</w:t>
      </w:r>
      <w:r w:rsidR="00EA115D">
        <w:t>, site visits</w:t>
      </w:r>
      <w:r w:rsidR="00EA115D" w:rsidRPr="000D38EC">
        <w:t xml:space="preserve"> and </w:t>
      </w:r>
      <w:r w:rsidR="00EA115D">
        <w:t xml:space="preserve">small group </w:t>
      </w:r>
      <w:r w:rsidR="00EA115D" w:rsidRPr="000D38EC">
        <w:t>discussion</w:t>
      </w:r>
      <w:r w:rsidR="00EA115D">
        <w:t>s</w:t>
      </w:r>
      <w:r w:rsidR="00EA115D" w:rsidRPr="000D38EC">
        <w:t>.</w:t>
      </w:r>
      <w:r>
        <w:t xml:space="preserve"> The evaluation team met with </w:t>
      </w:r>
      <w:r w:rsidR="009C7D4C">
        <w:t xml:space="preserve">~50 stakeholders including: </w:t>
      </w:r>
      <w:r>
        <w:t>Solomon Water management, staff and</w:t>
      </w:r>
      <w:r w:rsidR="009C7D4C">
        <w:t xml:space="preserve"> </w:t>
      </w:r>
      <w:r>
        <w:t>SIWA Board members (n=4);</w:t>
      </w:r>
      <w:r w:rsidR="009C7D4C">
        <w:t xml:space="preserve"> </w:t>
      </w:r>
      <w:r>
        <w:t>DFAT officials</w:t>
      </w:r>
      <w:r w:rsidR="009C7D4C">
        <w:t xml:space="preserve">; Solomon Islands Government officials; Civil society representatives; SIWA customers (individuals, hotels, hospital); and, </w:t>
      </w:r>
      <w:r>
        <w:t>JICA</w:t>
      </w:r>
      <w:r w:rsidR="009C7D4C">
        <w:t>.</w:t>
      </w:r>
    </w:p>
    <w:p w14:paraId="4BD691C1" w14:textId="77777777" w:rsidR="00EA115D" w:rsidRDefault="0014256B" w:rsidP="009C7D4C">
      <w:r>
        <w:t xml:space="preserve">The evaluation team undertook </w:t>
      </w:r>
      <w:r w:rsidR="00EA115D">
        <w:t>small group and individual interviews with SIWA management, SIWA Board members and DFAT technical advisers.</w:t>
      </w:r>
      <w:r>
        <w:t xml:space="preserve">  </w:t>
      </w:r>
    </w:p>
    <w:p w14:paraId="01A27667" w14:textId="77777777" w:rsidR="005722C2" w:rsidRDefault="00EA115D" w:rsidP="00EA115D">
      <w:r w:rsidRPr="00BB6230">
        <w:t xml:space="preserve">Interview guides </w:t>
      </w:r>
      <w:r w:rsidRPr="001E7170">
        <w:t>steer</w:t>
      </w:r>
      <w:r w:rsidR="0014256B">
        <w:t>ed</w:t>
      </w:r>
      <w:r w:rsidRPr="001E7170">
        <w:t xml:space="preserve"> the semi-structured interviews, which </w:t>
      </w:r>
      <w:r w:rsidR="0014256B">
        <w:t xml:space="preserve">were </w:t>
      </w:r>
      <w:r w:rsidRPr="001E7170">
        <w:t>conversational in nature. The guides act</w:t>
      </w:r>
      <w:r w:rsidR="0014256B">
        <w:t>ed</w:t>
      </w:r>
      <w:r w:rsidRPr="001E7170">
        <w:t xml:space="preserve"> as prompts to ensure major topics </w:t>
      </w:r>
      <w:r w:rsidR="0014256B">
        <w:t>we</w:t>
      </w:r>
      <w:r w:rsidRPr="001E7170">
        <w:t xml:space="preserve">re explored </w:t>
      </w:r>
      <w:r>
        <w:t>and</w:t>
      </w:r>
      <w:r w:rsidRPr="00BB6230">
        <w:t xml:space="preserve"> </w:t>
      </w:r>
      <w:r w:rsidR="002726D9">
        <w:t xml:space="preserve">were </w:t>
      </w:r>
      <w:r w:rsidRPr="001E7170">
        <w:t>adjusted throughout the process to pick up new trails of data, where they emerge</w:t>
      </w:r>
      <w:r w:rsidR="002726D9">
        <w:t>d</w:t>
      </w:r>
      <w:r>
        <w:t xml:space="preserve"> and test</w:t>
      </w:r>
      <w:r w:rsidR="002726D9">
        <w:t>ed</w:t>
      </w:r>
      <w:r>
        <w:t xml:space="preserve"> them in subsequent interviews</w:t>
      </w:r>
      <w:r w:rsidRPr="001E7170">
        <w:t xml:space="preserve">. </w:t>
      </w:r>
    </w:p>
    <w:p w14:paraId="50A5065D" w14:textId="77777777" w:rsidR="005722C2" w:rsidRDefault="002726D9" w:rsidP="009C7D4C">
      <w:r>
        <w:t>The e</w:t>
      </w:r>
      <w:r w:rsidR="005722C2">
        <w:t xml:space="preserve">valuation team gathered personal accounts by asking all non-Solomon Water interviewees to share their experiences of changes in water supply/water quality/customer relations in their homes, communities and workplaces.  </w:t>
      </w:r>
    </w:p>
    <w:p w14:paraId="65F1F96C" w14:textId="77777777" w:rsidR="00EA115D" w:rsidRPr="00DB62CF" w:rsidRDefault="00EA115D" w:rsidP="00EA115D">
      <w:pPr>
        <w:pStyle w:val="Heading5"/>
      </w:pPr>
      <w:r>
        <w:t>Data analysis</w:t>
      </w:r>
    </w:p>
    <w:p w14:paraId="0EFA8F29" w14:textId="77777777" w:rsidR="00EA115D" w:rsidRDefault="00EA115D" w:rsidP="00EA115D">
      <w:r w:rsidRPr="00897BE9">
        <w:t>Analysis of the data occur</w:t>
      </w:r>
      <w:r w:rsidR="002726D9">
        <w:t>red</w:t>
      </w:r>
      <w:r w:rsidRPr="00897BE9">
        <w:t xml:space="preserve"> on an ongoing basis during the data collection phase. The </w:t>
      </w:r>
      <w:r>
        <w:t>evaluation team</w:t>
      </w:r>
      <w:r w:rsidRPr="00897BE9">
        <w:t xml:space="preserve"> record</w:t>
      </w:r>
      <w:r w:rsidR="002726D9">
        <w:t>ed</w:t>
      </w:r>
      <w:r w:rsidRPr="00897BE9">
        <w:t xml:space="preserve"> and track</w:t>
      </w:r>
      <w:r w:rsidR="002726D9">
        <w:t>ed</w:t>
      </w:r>
      <w:r w:rsidRPr="00897BE9">
        <w:t xml:space="preserve"> analytical insights during the data collection phase</w:t>
      </w:r>
      <w:r>
        <w:t xml:space="preserve">, and set aside time each day </w:t>
      </w:r>
      <w:r w:rsidRPr="00897BE9">
        <w:t xml:space="preserve">to briefly discuss their major observations, impressions and emergent sense-making of the data. </w:t>
      </w:r>
    </w:p>
    <w:p w14:paraId="3D52D317" w14:textId="77777777" w:rsidR="006E64B1" w:rsidRPr="009C7D4C" w:rsidRDefault="006E64B1" w:rsidP="006E64B1">
      <w:r>
        <w:t xml:space="preserve">The evaluation team took </w:t>
      </w:r>
      <w:r w:rsidRPr="0026253B">
        <w:t xml:space="preserve">extensive </w:t>
      </w:r>
      <w:r w:rsidRPr="009C7D4C">
        <w:t>notes of all interviews. They coded the interview notes and transcribed them into a matrix against the key evaluation questions, emerging themes and other comments.</w:t>
      </w:r>
    </w:p>
    <w:p w14:paraId="2D78DFDD" w14:textId="77777777" w:rsidR="00EA115D" w:rsidRPr="00F82F78" w:rsidRDefault="00EA115D" w:rsidP="006E64B1">
      <w:r w:rsidRPr="00F82F78">
        <w:lastRenderedPageBreak/>
        <w:t>In the latter part of the in-country mission, the evaluation team conduct</w:t>
      </w:r>
      <w:r w:rsidR="00E54DDB" w:rsidRPr="00F82F78">
        <w:t>ed</w:t>
      </w:r>
      <w:r w:rsidRPr="00F82F78">
        <w:t xml:space="preserve"> a half-day ‘lessons learned’ session with SIWA management. The purpose of this session </w:t>
      </w:r>
      <w:r w:rsidR="00E54DDB" w:rsidRPr="00F82F78">
        <w:t>was</w:t>
      </w:r>
      <w:r w:rsidRPr="00F82F78">
        <w:t xml:space="preserve"> to discuss the lessons that ha</w:t>
      </w:r>
      <w:r w:rsidR="002726D9" w:rsidRPr="00F82F78">
        <w:t>d</w:t>
      </w:r>
      <w:r w:rsidRPr="00F82F78">
        <w:t xml:space="preserve"> been captured throughout the data collection phase in an interactive and engaging process.  In collaboration with SIWA staff, the evaluation team prioritise</w:t>
      </w:r>
      <w:r w:rsidR="00E54DDB" w:rsidRPr="00F82F78">
        <w:t>d</w:t>
      </w:r>
      <w:r w:rsidRPr="00F82F78">
        <w:t xml:space="preserve"> the lessons and identif</w:t>
      </w:r>
      <w:r w:rsidR="00AF03B9">
        <w:t>ied</w:t>
      </w:r>
      <w:r w:rsidRPr="00F82F78">
        <w:t xml:space="preserve"> the strategies and actions that are necessary to ensure each lesson is utilised and applied. </w:t>
      </w:r>
      <w:r w:rsidR="006E64B1" w:rsidRPr="00F82F78">
        <w:t xml:space="preserve">The </w:t>
      </w:r>
      <w:r w:rsidR="00E54DDB" w:rsidRPr="00F82F78">
        <w:t xml:space="preserve">lessons </w:t>
      </w:r>
      <w:r w:rsidR="006E64B1" w:rsidRPr="00F82F78">
        <w:t xml:space="preserve">are fully </w:t>
      </w:r>
      <w:r w:rsidR="00E54DDB" w:rsidRPr="00F82F78">
        <w:t>documented in a separate report.</w:t>
      </w:r>
    </w:p>
    <w:p w14:paraId="1130F835" w14:textId="77777777" w:rsidR="00EA115D" w:rsidRPr="00F82F78" w:rsidRDefault="00EA115D" w:rsidP="00EA115D">
      <w:r w:rsidRPr="00F82F78">
        <w:t>Upon conclusion of the in-country mission the evaluation team present</w:t>
      </w:r>
      <w:r w:rsidR="002726D9" w:rsidRPr="00F82F78">
        <w:t>ed</w:t>
      </w:r>
      <w:r w:rsidRPr="00F82F78">
        <w:t xml:space="preserve"> initial findings and identif</w:t>
      </w:r>
      <w:r w:rsidR="002726D9" w:rsidRPr="00F82F78">
        <w:t>ied</w:t>
      </w:r>
      <w:r w:rsidRPr="00F82F78">
        <w:t xml:space="preserve"> gaps for further follow-up. The evaluation team then gather</w:t>
      </w:r>
      <w:r w:rsidR="002726D9" w:rsidRPr="00F82F78">
        <w:t>ed</w:t>
      </w:r>
      <w:r w:rsidRPr="00F82F78">
        <w:t xml:space="preserve"> further necessary data to address gaps and do a final analysis of the data against the key evaluation questions and develop</w:t>
      </w:r>
      <w:r w:rsidR="002726D9" w:rsidRPr="00F82F78">
        <w:t xml:space="preserve"> </w:t>
      </w:r>
      <w:r w:rsidR="006E64B1" w:rsidRPr="00F82F78">
        <w:t>r</w:t>
      </w:r>
      <w:r w:rsidRPr="00F82F78">
        <w:t>ecommendations for discussion with DFAT and Solomon Water.</w:t>
      </w:r>
    </w:p>
    <w:p w14:paraId="1EAEB158" w14:textId="77777777" w:rsidR="00EA115D" w:rsidRPr="003F58DE" w:rsidRDefault="00EA115D" w:rsidP="00EA115D">
      <w:pPr>
        <w:numPr>
          <w:ilvl w:val="0"/>
          <w:numId w:val="13"/>
        </w:numPr>
        <w:autoSpaceDE w:val="0"/>
        <w:autoSpaceDN w:val="0"/>
        <w:adjustRightInd w:val="0"/>
        <w:spacing w:after="0" w:line="240" w:lineRule="auto"/>
        <w:contextualSpacing/>
        <w:rPr>
          <w:rFonts w:ascii="Arial" w:hAnsi="Arial"/>
          <w:bCs/>
          <w:sz w:val="22"/>
          <w:szCs w:val="28"/>
        </w:rPr>
      </w:pPr>
      <w:r w:rsidRPr="003F58DE">
        <w:rPr>
          <w:rFonts w:ascii="Arial" w:hAnsi="Arial"/>
          <w:b/>
          <w:bCs/>
          <w:sz w:val="22"/>
          <w:szCs w:val="28"/>
        </w:rPr>
        <w:t>Report writing and feedback</w:t>
      </w:r>
    </w:p>
    <w:p w14:paraId="2ED63744" w14:textId="77777777" w:rsidR="00EA115D" w:rsidRPr="00921B1B" w:rsidRDefault="00EA115D" w:rsidP="00036E56">
      <w:r>
        <w:t>At the conclusion of the in-country mission, t</w:t>
      </w:r>
      <w:r w:rsidRPr="00766102">
        <w:t>he evaluation team present</w:t>
      </w:r>
      <w:r w:rsidR="002726D9">
        <w:t>ed</w:t>
      </w:r>
      <w:r w:rsidRPr="00766102">
        <w:t xml:space="preserve"> an </w:t>
      </w:r>
      <w:r w:rsidRPr="00766102">
        <w:rPr>
          <w:b/>
        </w:rPr>
        <w:t>Aide Memoire</w:t>
      </w:r>
      <w:r w:rsidRPr="00921B1B">
        <w:t xml:space="preserve"> </w:t>
      </w:r>
      <w:r>
        <w:t>to</w:t>
      </w:r>
      <w:r w:rsidRPr="00921B1B">
        <w:t xml:space="preserve"> </w:t>
      </w:r>
      <w:r>
        <w:rPr>
          <w:lang w:val="en-NZ"/>
        </w:rPr>
        <w:t>DFAT</w:t>
      </w:r>
      <w:r w:rsidR="002726D9">
        <w:rPr>
          <w:lang w:val="en-NZ"/>
        </w:rPr>
        <w:t xml:space="preserve"> and </w:t>
      </w:r>
      <w:r w:rsidR="00143753">
        <w:rPr>
          <w:lang w:val="en-NZ"/>
        </w:rPr>
        <w:t xml:space="preserve">Solomon Water </w:t>
      </w:r>
      <w:r>
        <w:rPr>
          <w:lang w:val="en-NZ"/>
        </w:rPr>
        <w:t xml:space="preserve">(including </w:t>
      </w:r>
      <w:r w:rsidR="002726D9">
        <w:rPr>
          <w:lang w:val="en-NZ"/>
        </w:rPr>
        <w:t>one Board member</w:t>
      </w:r>
      <w:r>
        <w:rPr>
          <w:lang w:val="en-NZ"/>
        </w:rPr>
        <w:t>)</w:t>
      </w:r>
      <w:r w:rsidR="002726D9">
        <w:rPr>
          <w:lang w:val="en-NZ"/>
        </w:rPr>
        <w:t xml:space="preserve">. </w:t>
      </w:r>
      <w:r>
        <w:rPr>
          <w:lang w:val="en-NZ"/>
        </w:rPr>
        <w:t xml:space="preserve">The Aide Memoire </w:t>
      </w:r>
      <w:r>
        <w:t>present</w:t>
      </w:r>
      <w:r w:rsidR="002726D9">
        <w:t>ed</w:t>
      </w:r>
      <w:r w:rsidRPr="00921B1B">
        <w:t xml:space="preserve"> the </w:t>
      </w:r>
      <w:r>
        <w:t xml:space="preserve">evaluation </w:t>
      </w:r>
      <w:r w:rsidRPr="00921B1B">
        <w:t xml:space="preserve">team’s </w:t>
      </w:r>
      <w:r>
        <w:t>initial</w:t>
      </w:r>
      <w:r w:rsidRPr="00921B1B">
        <w:t xml:space="preserve"> findings</w:t>
      </w:r>
      <w:r>
        <w:rPr>
          <w:lang w:val="en-NZ"/>
        </w:rPr>
        <w:t xml:space="preserve"> and identif</w:t>
      </w:r>
      <w:r w:rsidR="002726D9">
        <w:rPr>
          <w:lang w:val="en-NZ"/>
        </w:rPr>
        <w:t>ied</w:t>
      </w:r>
      <w:r>
        <w:rPr>
          <w:lang w:val="en-NZ"/>
        </w:rPr>
        <w:t xml:space="preserve"> gaps for further follow-up</w:t>
      </w:r>
      <w:r w:rsidR="002726D9">
        <w:rPr>
          <w:lang w:val="en-NZ"/>
        </w:rPr>
        <w:t>, including the need for discussion with the European Union representatives</w:t>
      </w:r>
      <w:r>
        <w:rPr>
          <w:lang w:val="en-NZ"/>
        </w:rPr>
        <w:t xml:space="preserve">.  </w:t>
      </w:r>
    </w:p>
    <w:p w14:paraId="6B12EB51" w14:textId="77777777" w:rsidR="00036E56" w:rsidRPr="00036E56" w:rsidRDefault="00EA115D" w:rsidP="00036E56">
      <w:pPr>
        <w:numPr>
          <w:ilvl w:val="0"/>
          <w:numId w:val="13"/>
        </w:numPr>
        <w:autoSpaceDE w:val="0"/>
        <w:autoSpaceDN w:val="0"/>
        <w:adjustRightInd w:val="0"/>
        <w:spacing w:after="0" w:line="240" w:lineRule="auto"/>
        <w:contextualSpacing/>
        <w:rPr>
          <w:lang w:val="en-NZ"/>
        </w:rPr>
      </w:pPr>
      <w:r w:rsidRPr="00036E56">
        <w:rPr>
          <w:rFonts w:ascii="Arial" w:hAnsi="Arial"/>
          <w:b/>
          <w:bCs/>
          <w:sz w:val="22"/>
          <w:szCs w:val="28"/>
        </w:rPr>
        <w:t>Limitations</w:t>
      </w:r>
    </w:p>
    <w:p w14:paraId="4FDA646E" w14:textId="7D0DFB41" w:rsidR="00EA115D" w:rsidRPr="00036E56" w:rsidRDefault="00CE5E38" w:rsidP="003D232D">
      <w:r w:rsidRPr="00220206">
        <w:t xml:space="preserve">Precise details of the proposed EU funding </w:t>
      </w:r>
      <w:r>
        <w:t xml:space="preserve">for the water sector in </w:t>
      </w:r>
      <w:r w:rsidRPr="00220206">
        <w:t xml:space="preserve">Solomon </w:t>
      </w:r>
      <w:r>
        <w:t xml:space="preserve">Islands </w:t>
      </w:r>
      <w:r w:rsidRPr="00220206">
        <w:t>are yet to be designed. This has limited the evaluation’s ability to identify specific activities that would prepare Solomon Water for transitioning to EU funding. Instead, some general recommendations and considerations have been put forward in this report</w:t>
      </w:r>
      <w:r>
        <w:t xml:space="preserve">. </w:t>
      </w:r>
    </w:p>
    <w:p w14:paraId="084BC048" w14:textId="77777777" w:rsidR="00AF19BB" w:rsidRDefault="007A72BD" w:rsidP="00AF19BB">
      <w:pPr>
        <w:pStyle w:val="SectionTitle"/>
        <w:rPr>
          <w:noProof/>
        </w:rPr>
      </w:pPr>
      <w:bookmarkStart w:id="39" w:name="_Toc453956003"/>
      <w:r>
        <w:rPr>
          <w:noProof/>
        </w:rPr>
        <w:lastRenderedPageBreak/>
        <w:t xml:space="preserve">Appendix C: </w:t>
      </w:r>
      <w:r w:rsidR="00DA04C9">
        <w:rPr>
          <w:noProof/>
        </w:rPr>
        <w:t>People consulted</w:t>
      </w:r>
      <w:bookmarkEnd w:id="39"/>
      <w:r w:rsidR="00DA04C9">
        <w:rPr>
          <w:noProof/>
        </w:rPr>
        <w:t xml:space="preserve"> </w:t>
      </w:r>
    </w:p>
    <w:tbl>
      <w:tblPr>
        <w:tblpPr w:leftFromText="181" w:rightFromText="181" w:vertAnchor="text" w:tblpY="1"/>
        <w:tblOverlap w:val="never"/>
        <w:tblW w:w="0" w:type="auto"/>
        <w:tblBorders>
          <w:top w:val="single" w:sz="4" w:space="0" w:color="007FAD"/>
          <w:bottom w:val="single" w:sz="4" w:space="0" w:color="007FAD"/>
          <w:insideH w:val="single" w:sz="4" w:space="0" w:color="007FAD"/>
        </w:tblBorders>
        <w:tblLayout w:type="fixed"/>
        <w:tblCellMar>
          <w:top w:w="85" w:type="dxa"/>
          <w:bottom w:w="85" w:type="dxa"/>
        </w:tblCellMar>
        <w:tblLook w:val="04A0" w:firstRow="1" w:lastRow="0" w:firstColumn="1" w:lastColumn="0" w:noHBand="0" w:noVBand="1"/>
      </w:tblPr>
      <w:tblGrid>
        <w:gridCol w:w="2093"/>
        <w:gridCol w:w="4394"/>
        <w:gridCol w:w="3260"/>
      </w:tblGrid>
      <w:tr w:rsidR="00AF19BB" w:rsidRPr="000408ED" w14:paraId="7407CCC2" w14:textId="77777777" w:rsidTr="000408ED">
        <w:trPr>
          <w:trHeight w:val="290"/>
          <w:tblHeader/>
        </w:trPr>
        <w:tc>
          <w:tcPr>
            <w:tcW w:w="2093" w:type="dxa"/>
            <w:shd w:val="clear" w:color="auto" w:fill="007FAD"/>
            <w:hideMark/>
          </w:tcPr>
          <w:p w14:paraId="5D1C4858" w14:textId="77777777" w:rsidR="001F0B27" w:rsidRPr="000408ED" w:rsidRDefault="001F0B27" w:rsidP="000408ED">
            <w:pPr>
              <w:pStyle w:val="TableHeading2"/>
              <w:rPr>
                <w:lang w:val="en-NZ" w:eastAsia="en-NZ"/>
              </w:rPr>
            </w:pPr>
            <w:r w:rsidRPr="000408ED">
              <w:rPr>
                <w:lang w:val="en-NZ" w:eastAsia="en-NZ"/>
              </w:rPr>
              <w:t>NAME</w:t>
            </w:r>
          </w:p>
        </w:tc>
        <w:tc>
          <w:tcPr>
            <w:tcW w:w="4394" w:type="dxa"/>
            <w:shd w:val="clear" w:color="auto" w:fill="007FAD"/>
            <w:hideMark/>
          </w:tcPr>
          <w:p w14:paraId="21104F08" w14:textId="77777777" w:rsidR="001F0B27" w:rsidRPr="000408ED" w:rsidRDefault="001F0B27" w:rsidP="000408ED">
            <w:pPr>
              <w:pStyle w:val="TableHeading2"/>
              <w:rPr>
                <w:lang w:val="en-NZ" w:eastAsia="en-NZ"/>
              </w:rPr>
            </w:pPr>
            <w:r w:rsidRPr="000408ED">
              <w:rPr>
                <w:lang w:val="en-NZ" w:eastAsia="en-NZ"/>
              </w:rPr>
              <w:t>POSITION</w:t>
            </w:r>
          </w:p>
        </w:tc>
        <w:tc>
          <w:tcPr>
            <w:tcW w:w="3260" w:type="dxa"/>
            <w:shd w:val="clear" w:color="auto" w:fill="007FAD"/>
            <w:noWrap/>
            <w:hideMark/>
          </w:tcPr>
          <w:p w14:paraId="09B4B170" w14:textId="77777777" w:rsidR="001F0B27" w:rsidRPr="000408ED" w:rsidRDefault="001F0B27" w:rsidP="000408ED">
            <w:pPr>
              <w:pStyle w:val="TableHeading2"/>
              <w:rPr>
                <w:lang w:val="en-NZ" w:eastAsia="en-NZ"/>
              </w:rPr>
            </w:pPr>
            <w:r w:rsidRPr="000408ED">
              <w:rPr>
                <w:lang w:val="en-NZ" w:eastAsia="en-NZ"/>
              </w:rPr>
              <w:t>ORGANISATION</w:t>
            </w:r>
          </w:p>
        </w:tc>
      </w:tr>
      <w:tr w:rsidR="00AF19BB" w:rsidRPr="000408ED" w14:paraId="4194A57B" w14:textId="77777777" w:rsidTr="000408ED">
        <w:trPr>
          <w:trHeight w:val="290"/>
        </w:trPr>
        <w:tc>
          <w:tcPr>
            <w:tcW w:w="2093" w:type="dxa"/>
            <w:shd w:val="clear" w:color="auto" w:fill="FFFFFF"/>
            <w:noWrap/>
            <w:hideMark/>
          </w:tcPr>
          <w:p w14:paraId="6A471BB8" w14:textId="77777777" w:rsidR="001F0B27" w:rsidRPr="00AF19BB" w:rsidRDefault="001F0B27" w:rsidP="000408ED">
            <w:pPr>
              <w:pStyle w:val="TableText"/>
            </w:pPr>
            <w:r w:rsidRPr="00AF19BB">
              <w:t>Judy Tarailopo Arumae</w:t>
            </w:r>
          </w:p>
        </w:tc>
        <w:tc>
          <w:tcPr>
            <w:tcW w:w="4394" w:type="dxa"/>
            <w:shd w:val="clear" w:color="auto" w:fill="FFFFFF"/>
            <w:noWrap/>
            <w:hideMark/>
          </w:tcPr>
          <w:p w14:paraId="44FF5BC1" w14:textId="77777777" w:rsidR="001F0B27" w:rsidRPr="00AF19BB" w:rsidRDefault="001F0B27" w:rsidP="000408ED">
            <w:pPr>
              <w:pStyle w:val="TableText"/>
            </w:pPr>
            <w:r w:rsidRPr="00AF19BB">
              <w:t>Senior Program Manager, Economic Infrastructure</w:t>
            </w:r>
          </w:p>
        </w:tc>
        <w:tc>
          <w:tcPr>
            <w:tcW w:w="3260" w:type="dxa"/>
            <w:shd w:val="clear" w:color="auto" w:fill="FFFFFF"/>
            <w:noWrap/>
            <w:hideMark/>
          </w:tcPr>
          <w:p w14:paraId="136FC2E6" w14:textId="77777777" w:rsidR="001F0B27" w:rsidRPr="00AF19BB" w:rsidRDefault="001F0B27" w:rsidP="000408ED">
            <w:pPr>
              <w:pStyle w:val="TableText"/>
            </w:pPr>
            <w:r w:rsidRPr="00AF19BB">
              <w:t>Australian High Commission, Honiara</w:t>
            </w:r>
          </w:p>
        </w:tc>
      </w:tr>
      <w:tr w:rsidR="00AF19BB" w:rsidRPr="000408ED" w14:paraId="05DD2E64" w14:textId="77777777" w:rsidTr="000408ED">
        <w:trPr>
          <w:trHeight w:val="290"/>
        </w:trPr>
        <w:tc>
          <w:tcPr>
            <w:tcW w:w="2093" w:type="dxa"/>
            <w:shd w:val="clear" w:color="auto" w:fill="FFFFFF"/>
            <w:noWrap/>
            <w:hideMark/>
          </w:tcPr>
          <w:p w14:paraId="7E9D34CC" w14:textId="77777777" w:rsidR="001F0B27" w:rsidRPr="00AF19BB" w:rsidRDefault="001F0B27" w:rsidP="000408ED">
            <w:pPr>
              <w:pStyle w:val="TableText"/>
            </w:pPr>
            <w:r w:rsidRPr="00AF19BB">
              <w:t>Jasmine Cernovs</w:t>
            </w:r>
          </w:p>
        </w:tc>
        <w:tc>
          <w:tcPr>
            <w:tcW w:w="4394" w:type="dxa"/>
            <w:shd w:val="clear" w:color="auto" w:fill="FFFFFF"/>
            <w:noWrap/>
            <w:hideMark/>
          </w:tcPr>
          <w:p w14:paraId="6FFF837F" w14:textId="77777777" w:rsidR="001F0B27" w:rsidRPr="00AF19BB" w:rsidRDefault="001F0B27" w:rsidP="000408ED">
            <w:pPr>
              <w:pStyle w:val="TableText"/>
            </w:pPr>
            <w:r w:rsidRPr="00AF19BB">
              <w:t xml:space="preserve">Counsellor, Economics </w:t>
            </w:r>
          </w:p>
        </w:tc>
        <w:tc>
          <w:tcPr>
            <w:tcW w:w="3260" w:type="dxa"/>
            <w:shd w:val="clear" w:color="auto" w:fill="FFFFFF"/>
            <w:noWrap/>
            <w:hideMark/>
          </w:tcPr>
          <w:p w14:paraId="3864960C" w14:textId="77777777" w:rsidR="001F0B27" w:rsidRPr="00AF19BB" w:rsidRDefault="001F0B27" w:rsidP="000408ED">
            <w:pPr>
              <w:pStyle w:val="TableText"/>
            </w:pPr>
            <w:r w:rsidRPr="00AF19BB">
              <w:t>Australian High Commission, Honiara</w:t>
            </w:r>
          </w:p>
        </w:tc>
      </w:tr>
      <w:tr w:rsidR="00AF19BB" w:rsidRPr="000408ED" w14:paraId="50C1CB84" w14:textId="77777777" w:rsidTr="000408ED">
        <w:trPr>
          <w:trHeight w:val="290"/>
        </w:trPr>
        <w:tc>
          <w:tcPr>
            <w:tcW w:w="2093" w:type="dxa"/>
            <w:shd w:val="clear" w:color="auto" w:fill="FFFFFF"/>
            <w:noWrap/>
            <w:hideMark/>
          </w:tcPr>
          <w:p w14:paraId="1149789D" w14:textId="77777777" w:rsidR="001F0B27" w:rsidRPr="00AF19BB" w:rsidRDefault="001F0B27" w:rsidP="00AF03B9">
            <w:pPr>
              <w:pStyle w:val="TableText"/>
            </w:pPr>
            <w:r w:rsidRPr="00AF19BB">
              <w:t>Alexandra Hutchison</w:t>
            </w:r>
          </w:p>
        </w:tc>
        <w:tc>
          <w:tcPr>
            <w:tcW w:w="4394" w:type="dxa"/>
            <w:shd w:val="clear" w:color="auto" w:fill="FFFFFF"/>
            <w:noWrap/>
            <w:hideMark/>
          </w:tcPr>
          <w:p w14:paraId="4AA4E10C" w14:textId="77777777" w:rsidR="001F0B27" w:rsidRPr="00AF19BB" w:rsidRDefault="001F0B27" w:rsidP="00AF03B9">
            <w:pPr>
              <w:pStyle w:val="TableText"/>
            </w:pPr>
            <w:r w:rsidRPr="00AF19BB">
              <w:t>First Secretary, Economic Infrastructure</w:t>
            </w:r>
          </w:p>
        </w:tc>
        <w:tc>
          <w:tcPr>
            <w:tcW w:w="3260" w:type="dxa"/>
            <w:shd w:val="clear" w:color="auto" w:fill="FFFFFF"/>
            <w:noWrap/>
            <w:hideMark/>
          </w:tcPr>
          <w:p w14:paraId="325A642C" w14:textId="77777777" w:rsidR="001F0B27" w:rsidRPr="00AF19BB" w:rsidRDefault="001F0B27" w:rsidP="000408ED">
            <w:pPr>
              <w:pStyle w:val="TableText"/>
            </w:pPr>
            <w:r w:rsidRPr="00AF19BB">
              <w:t>Australian High Commission, Honiara</w:t>
            </w:r>
          </w:p>
        </w:tc>
      </w:tr>
      <w:tr w:rsidR="00AF19BB" w:rsidRPr="000408ED" w14:paraId="68BEA500" w14:textId="77777777" w:rsidTr="000408ED">
        <w:trPr>
          <w:trHeight w:val="290"/>
        </w:trPr>
        <w:tc>
          <w:tcPr>
            <w:tcW w:w="2093" w:type="dxa"/>
            <w:shd w:val="clear" w:color="auto" w:fill="FFFFFF"/>
            <w:noWrap/>
            <w:hideMark/>
          </w:tcPr>
          <w:p w14:paraId="35A9777F" w14:textId="77777777" w:rsidR="001F0B27" w:rsidRPr="00AF19BB" w:rsidRDefault="001F0B27" w:rsidP="000408ED">
            <w:pPr>
              <w:pStyle w:val="TableText"/>
            </w:pPr>
            <w:r w:rsidRPr="00AF19BB">
              <w:t>Scott McNamara</w:t>
            </w:r>
          </w:p>
        </w:tc>
        <w:tc>
          <w:tcPr>
            <w:tcW w:w="4394" w:type="dxa"/>
            <w:shd w:val="clear" w:color="auto" w:fill="FFFFFF"/>
            <w:noWrap/>
            <w:hideMark/>
          </w:tcPr>
          <w:p w14:paraId="415A163C" w14:textId="77777777" w:rsidR="001F0B27" w:rsidRPr="00AF19BB" w:rsidRDefault="0078606A" w:rsidP="00AF03B9">
            <w:pPr>
              <w:pStyle w:val="TableText"/>
            </w:pPr>
            <w:r w:rsidRPr="0078606A">
              <w:t xml:space="preserve">Former First Secretary, </w:t>
            </w:r>
            <w:r w:rsidRPr="00AF19BB">
              <w:t xml:space="preserve"> Economic Infrastructure</w:t>
            </w:r>
          </w:p>
        </w:tc>
        <w:tc>
          <w:tcPr>
            <w:tcW w:w="3260" w:type="dxa"/>
            <w:shd w:val="clear" w:color="auto" w:fill="FFFFFF"/>
            <w:noWrap/>
            <w:hideMark/>
          </w:tcPr>
          <w:p w14:paraId="3813C022" w14:textId="77777777" w:rsidR="001F0B27" w:rsidRPr="00AF19BB" w:rsidRDefault="001F0B27" w:rsidP="000408ED">
            <w:pPr>
              <w:pStyle w:val="TableText"/>
            </w:pPr>
            <w:r w:rsidRPr="00AF19BB">
              <w:t>Australian High Commission, Honiara</w:t>
            </w:r>
          </w:p>
        </w:tc>
      </w:tr>
      <w:tr w:rsidR="00AF19BB" w:rsidRPr="000408ED" w14:paraId="45C44EB4" w14:textId="77777777" w:rsidTr="000408ED">
        <w:trPr>
          <w:trHeight w:val="290"/>
        </w:trPr>
        <w:tc>
          <w:tcPr>
            <w:tcW w:w="2093" w:type="dxa"/>
            <w:shd w:val="clear" w:color="auto" w:fill="FFFFFF"/>
            <w:noWrap/>
            <w:hideMark/>
          </w:tcPr>
          <w:p w14:paraId="74CCEA3B" w14:textId="77777777" w:rsidR="001F0B27" w:rsidRPr="00AF19BB" w:rsidRDefault="001F0B27" w:rsidP="000408ED">
            <w:pPr>
              <w:pStyle w:val="TableText"/>
            </w:pPr>
            <w:r w:rsidRPr="00AF19BB">
              <w:t>Tanya Morjanoff</w:t>
            </w:r>
          </w:p>
        </w:tc>
        <w:tc>
          <w:tcPr>
            <w:tcW w:w="4394" w:type="dxa"/>
            <w:shd w:val="clear" w:color="auto" w:fill="FFFFFF"/>
            <w:noWrap/>
            <w:hideMark/>
          </w:tcPr>
          <w:p w14:paraId="7442D596" w14:textId="77777777" w:rsidR="001F0B27" w:rsidRPr="00AF19BB" w:rsidRDefault="001F0B27" w:rsidP="00AF03B9">
            <w:pPr>
              <w:pStyle w:val="TableText"/>
            </w:pPr>
            <w:r w:rsidRPr="00AF19BB">
              <w:t xml:space="preserve">Second Secretary, Economics and </w:t>
            </w:r>
            <w:r w:rsidR="00AF03B9">
              <w:t>Growth</w:t>
            </w:r>
          </w:p>
        </w:tc>
        <w:tc>
          <w:tcPr>
            <w:tcW w:w="3260" w:type="dxa"/>
            <w:shd w:val="clear" w:color="auto" w:fill="FFFFFF"/>
            <w:noWrap/>
            <w:hideMark/>
          </w:tcPr>
          <w:p w14:paraId="4308DAF2" w14:textId="77777777" w:rsidR="001F0B27" w:rsidRPr="00AF19BB" w:rsidRDefault="001F0B27" w:rsidP="000408ED">
            <w:pPr>
              <w:pStyle w:val="TableText"/>
            </w:pPr>
            <w:r w:rsidRPr="00AF19BB">
              <w:t>Australian High Commission, Honiara</w:t>
            </w:r>
          </w:p>
        </w:tc>
      </w:tr>
      <w:tr w:rsidR="00AF19BB" w:rsidRPr="000408ED" w14:paraId="25844B1A" w14:textId="77777777" w:rsidTr="000408ED">
        <w:trPr>
          <w:trHeight w:val="290"/>
        </w:trPr>
        <w:tc>
          <w:tcPr>
            <w:tcW w:w="2093" w:type="dxa"/>
            <w:shd w:val="clear" w:color="auto" w:fill="FFFFFF"/>
            <w:noWrap/>
            <w:hideMark/>
          </w:tcPr>
          <w:p w14:paraId="170C3299" w14:textId="77777777" w:rsidR="001F0B27" w:rsidRPr="00AF19BB" w:rsidRDefault="001F0B27" w:rsidP="000408ED">
            <w:pPr>
              <w:pStyle w:val="TableText"/>
            </w:pPr>
            <w:r w:rsidRPr="00AF19BB">
              <w:t>Marcus Howard</w:t>
            </w:r>
          </w:p>
        </w:tc>
        <w:tc>
          <w:tcPr>
            <w:tcW w:w="4394" w:type="dxa"/>
            <w:shd w:val="clear" w:color="auto" w:fill="FFFFFF"/>
            <w:noWrap/>
            <w:hideMark/>
          </w:tcPr>
          <w:p w14:paraId="49FDDDF0" w14:textId="77777777" w:rsidR="001F0B27" w:rsidRPr="00AF19BB" w:rsidRDefault="001F0B27" w:rsidP="000408ED">
            <w:pPr>
              <w:pStyle w:val="TableText"/>
            </w:pPr>
            <w:r w:rsidRPr="000408ED">
              <w:rPr>
                <w:rFonts w:ascii="Arial" w:hAnsi="Arial" w:cs="Arial"/>
              </w:rPr>
              <w:t>‎</w:t>
            </w:r>
            <w:r w:rsidRPr="00AF19BB">
              <w:t xml:space="preserve">Director Water Sanitation Hygiene Section </w:t>
            </w:r>
          </w:p>
        </w:tc>
        <w:tc>
          <w:tcPr>
            <w:tcW w:w="3260" w:type="dxa"/>
            <w:shd w:val="clear" w:color="auto" w:fill="FFFFFF"/>
            <w:noWrap/>
            <w:hideMark/>
          </w:tcPr>
          <w:p w14:paraId="2B382F88" w14:textId="77777777" w:rsidR="001F0B27" w:rsidRPr="00AF19BB" w:rsidRDefault="001F0B27" w:rsidP="000408ED">
            <w:pPr>
              <w:pStyle w:val="TableText"/>
            </w:pPr>
            <w:r w:rsidRPr="00AF19BB">
              <w:t>Department of Foreign Affairs and Trade</w:t>
            </w:r>
          </w:p>
        </w:tc>
      </w:tr>
      <w:tr w:rsidR="00AF19BB" w:rsidRPr="000408ED" w14:paraId="35D033C9" w14:textId="77777777" w:rsidTr="000408ED">
        <w:trPr>
          <w:trHeight w:val="290"/>
        </w:trPr>
        <w:tc>
          <w:tcPr>
            <w:tcW w:w="2093" w:type="dxa"/>
            <w:shd w:val="clear" w:color="auto" w:fill="FFFFFF"/>
            <w:noWrap/>
            <w:hideMark/>
          </w:tcPr>
          <w:p w14:paraId="5F41DDFD" w14:textId="77777777" w:rsidR="001F0B27" w:rsidRPr="00AF19BB" w:rsidRDefault="001F0B27" w:rsidP="000408ED">
            <w:pPr>
              <w:pStyle w:val="TableText"/>
            </w:pPr>
            <w:r w:rsidRPr="00AF19BB">
              <w:t>Peter Kelly</w:t>
            </w:r>
          </w:p>
        </w:tc>
        <w:tc>
          <w:tcPr>
            <w:tcW w:w="4394" w:type="dxa"/>
            <w:shd w:val="clear" w:color="auto" w:fill="FFFFFF"/>
            <w:noWrap/>
            <w:hideMark/>
          </w:tcPr>
          <w:p w14:paraId="7CEE1FED" w14:textId="77777777" w:rsidR="001F0B27" w:rsidRPr="00AF19BB" w:rsidRDefault="001F0B27" w:rsidP="000408ED">
            <w:pPr>
              <w:pStyle w:val="TableText"/>
            </w:pPr>
            <w:r w:rsidRPr="00AF19BB">
              <w:t>Director Pacific Infrastructure Advice, Pacific Division</w:t>
            </w:r>
          </w:p>
        </w:tc>
        <w:tc>
          <w:tcPr>
            <w:tcW w:w="3260" w:type="dxa"/>
            <w:shd w:val="clear" w:color="auto" w:fill="FFFFFF"/>
            <w:noWrap/>
            <w:hideMark/>
          </w:tcPr>
          <w:p w14:paraId="564BD250" w14:textId="77777777" w:rsidR="001F0B27" w:rsidRPr="00AF19BB" w:rsidRDefault="001F0B27" w:rsidP="000408ED">
            <w:pPr>
              <w:pStyle w:val="TableText"/>
            </w:pPr>
            <w:r w:rsidRPr="00AF19BB">
              <w:t>Department of Foreign Affairs and Trade</w:t>
            </w:r>
          </w:p>
        </w:tc>
      </w:tr>
      <w:tr w:rsidR="00AF19BB" w:rsidRPr="000408ED" w14:paraId="0B301D47" w14:textId="77777777" w:rsidTr="000408ED">
        <w:trPr>
          <w:trHeight w:val="290"/>
        </w:trPr>
        <w:tc>
          <w:tcPr>
            <w:tcW w:w="2093" w:type="dxa"/>
            <w:shd w:val="clear" w:color="auto" w:fill="FFFFFF"/>
            <w:noWrap/>
            <w:hideMark/>
          </w:tcPr>
          <w:p w14:paraId="0F5F6F01" w14:textId="77777777" w:rsidR="001F0B27" w:rsidRPr="00AF19BB" w:rsidRDefault="001F0B27" w:rsidP="000408ED">
            <w:pPr>
              <w:pStyle w:val="TableText"/>
            </w:pPr>
            <w:r w:rsidRPr="00AF19BB">
              <w:t>Ray Andresen</w:t>
            </w:r>
          </w:p>
        </w:tc>
        <w:tc>
          <w:tcPr>
            <w:tcW w:w="4394" w:type="dxa"/>
            <w:shd w:val="clear" w:color="auto" w:fill="FFFFFF"/>
            <w:noWrap/>
            <w:hideMark/>
          </w:tcPr>
          <w:p w14:paraId="5B3229B1" w14:textId="77777777" w:rsidR="001F0B27" w:rsidRPr="00AF19BB" w:rsidRDefault="001F0B27" w:rsidP="000408ED">
            <w:pPr>
              <w:pStyle w:val="TableText"/>
            </w:pPr>
            <w:r w:rsidRPr="00AF19BB">
              <w:t>Strategy and Planning Manager</w:t>
            </w:r>
          </w:p>
        </w:tc>
        <w:tc>
          <w:tcPr>
            <w:tcW w:w="3260" w:type="dxa"/>
            <w:shd w:val="clear" w:color="auto" w:fill="FFFFFF"/>
            <w:noWrap/>
            <w:hideMark/>
          </w:tcPr>
          <w:p w14:paraId="2E764B36" w14:textId="77777777" w:rsidR="001F0B27" w:rsidRPr="00AF19BB" w:rsidRDefault="001F0B27" w:rsidP="000408ED">
            <w:pPr>
              <w:pStyle w:val="TableText"/>
            </w:pPr>
            <w:r w:rsidRPr="00AF19BB">
              <w:t>Solomon Water</w:t>
            </w:r>
          </w:p>
        </w:tc>
      </w:tr>
      <w:tr w:rsidR="00AF19BB" w:rsidRPr="000408ED" w14:paraId="467392C1" w14:textId="77777777" w:rsidTr="000408ED">
        <w:trPr>
          <w:trHeight w:val="290"/>
        </w:trPr>
        <w:tc>
          <w:tcPr>
            <w:tcW w:w="2093" w:type="dxa"/>
            <w:shd w:val="clear" w:color="auto" w:fill="FFFFFF"/>
            <w:noWrap/>
            <w:hideMark/>
          </w:tcPr>
          <w:p w14:paraId="4FDFEB48" w14:textId="77777777" w:rsidR="001F0B27" w:rsidRPr="00AF19BB" w:rsidRDefault="001F0B27" w:rsidP="000408ED">
            <w:pPr>
              <w:pStyle w:val="TableText"/>
            </w:pPr>
            <w:r w:rsidRPr="00AF19BB">
              <w:t>Benjamin Billy</w:t>
            </w:r>
          </w:p>
        </w:tc>
        <w:tc>
          <w:tcPr>
            <w:tcW w:w="4394" w:type="dxa"/>
            <w:shd w:val="clear" w:color="auto" w:fill="FFFFFF"/>
            <w:noWrap/>
            <w:hideMark/>
          </w:tcPr>
          <w:p w14:paraId="5C5215BA" w14:textId="77777777" w:rsidR="001F0B27" w:rsidRPr="00AF19BB" w:rsidRDefault="001F0B27" w:rsidP="000408ED">
            <w:pPr>
              <w:pStyle w:val="TableText"/>
            </w:pPr>
            <w:r w:rsidRPr="00AF19BB">
              <w:t>Team Leader/NRW Coordinator, Technical &amp; Operations Division</w:t>
            </w:r>
          </w:p>
        </w:tc>
        <w:tc>
          <w:tcPr>
            <w:tcW w:w="3260" w:type="dxa"/>
            <w:shd w:val="clear" w:color="auto" w:fill="FFFFFF"/>
            <w:noWrap/>
            <w:hideMark/>
          </w:tcPr>
          <w:p w14:paraId="541861FA" w14:textId="77777777" w:rsidR="001F0B27" w:rsidRPr="00AF19BB" w:rsidRDefault="001F0B27" w:rsidP="000408ED">
            <w:pPr>
              <w:pStyle w:val="TableText"/>
            </w:pPr>
            <w:r w:rsidRPr="00AF19BB">
              <w:t>Solomon Water</w:t>
            </w:r>
          </w:p>
        </w:tc>
      </w:tr>
      <w:tr w:rsidR="00AF19BB" w:rsidRPr="000408ED" w14:paraId="470329C3" w14:textId="77777777" w:rsidTr="000408ED">
        <w:trPr>
          <w:trHeight w:val="290"/>
        </w:trPr>
        <w:tc>
          <w:tcPr>
            <w:tcW w:w="2093" w:type="dxa"/>
            <w:shd w:val="clear" w:color="auto" w:fill="FFFFFF"/>
            <w:noWrap/>
            <w:hideMark/>
          </w:tcPr>
          <w:p w14:paraId="5AD1D545" w14:textId="77777777" w:rsidR="001F0B27" w:rsidRPr="00AF19BB" w:rsidRDefault="001F0B27" w:rsidP="000408ED">
            <w:pPr>
              <w:pStyle w:val="TableText"/>
            </w:pPr>
            <w:r w:rsidRPr="00AF19BB">
              <w:t>Liam Eaton</w:t>
            </w:r>
          </w:p>
        </w:tc>
        <w:tc>
          <w:tcPr>
            <w:tcW w:w="4394" w:type="dxa"/>
            <w:shd w:val="clear" w:color="auto" w:fill="FFFFFF"/>
            <w:noWrap/>
            <w:hideMark/>
          </w:tcPr>
          <w:p w14:paraId="3EEFAC21" w14:textId="77777777" w:rsidR="001F0B27" w:rsidRPr="00AF19BB" w:rsidRDefault="001F0B27" w:rsidP="000408ED">
            <w:pPr>
              <w:pStyle w:val="TableText"/>
            </w:pPr>
            <w:r w:rsidRPr="00AF19BB">
              <w:t>Water Supply and Maintenance Adviser</w:t>
            </w:r>
          </w:p>
        </w:tc>
        <w:tc>
          <w:tcPr>
            <w:tcW w:w="3260" w:type="dxa"/>
            <w:shd w:val="clear" w:color="auto" w:fill="FFFFFF"/>
            <w:noWrap/>
            <w:hideMark/>
          </w:tcPr>
          <w:p w14:paraId="0BAB55B1" w14:textId="77777777" w:rsidR="001F0B27" w:rsidRPr="00AF19BB" w:rsidRDefault="001F0B27" w:rsidP="000408ED">
            <w:pPr>
              <w:pStyle w:val="TableText"/>
            </w:pPr>
            <w:r w:rsidRPr="00AF19BB">
              <w:t>Solomon Water</w:t>
            </w:r>
          </w:p>
        </w:tc>
      </w:tr>
      <w:tr w:rsidR="00AF19BB" w:rsidRPr="000408ED" w14:paraId="6BAB7DF6" w14:textId="77777777" w:rsidTr="000408ED">
        <w:trPr>
          <w:trHeight w:val="290"/>
        </w:trPr>
        <w:tc>
          <w:tcPr>
            <w:tcW w:w="2093" w:type="dxa"/>
            <w:shd w:val="clear" w:color="auto" w:fill="FFFFFF"/>
            <w:noWrap/>
            <w:hideMark/>
          </w:tcPr>
          <w:p w14:paraId="5F65FC19" w14:textId="77777777" w:rsidR="001F0B27" w:rsidRPr="00AF19BB" w:rsidRDefault="001F0B27" w:rsidP="000408ED">
            <w:pPr>
              <w:pStyle w:val="TableText"/>
            </w:pPr>
            <w:r w:rsidRPr="00AF19BB">
              <w:t>Ian Gooden</w:t>
            </w:r>
          </w:p>
        </w:tc>
        <w:tc>
          <w:tcPr>
            <w:tcW w:w="4394" w:type="dxa"/>
            <w:shd w:val="clear" w:color="auto" w:fill="FFFFFF"/>
            <w:noWrap/>
            <w:hideMark/>
          </w:tcPr>
          <w:p w14:paraId="66853840" w14:textId="77777777" w:rsidR="001F0B27" w:rsidRPr="00AF19BB" w:rsidRDefault="001F0B27" w:rsidP="000408ED">
            <w:pPr>
              <w:pStyle w:val="TableText"/>
            </w:pPr>
            <w:r w:rsidRPr="00AF19BB">
              <w:t>General Manager</w:t>
            </w:r>
          </w:p>
        </w:tc>
        <w:tc>
          <w:tcPr>
            <w:tcW w:w="3260" w:type="dxa"/>
            <w:shd w:val="clear" w:color="auto" w:fill="FFFFFF"/>
            <w:noWrap/>
            <w:hideMark/>
          </w:tcPr>
          <w:p w14:paraId="1FCBE20B" w14:textId="77777777" w:rsidR="001F0B27" w:rsidRPr="00AF19BB" w:rsidRDefault="001F0B27" w:rsidP="000408ED">
            <w:pPr>
              <w:pStyle w:val="TableText"/>
            </w:pPr>
            <w:r w:rsidRPr="00AF19BB">
              <w:t>Solomon Water</w:t>
            </w:r>
          </w:p>
        </w:tc>
      </w:tr>
      <w:tr w:rsidR="00AF19BB" w:rsidRPr="000408ED" w14:paraId="02E5DEEE" w14:textId="77777777" w:rsidTr="000408ED">
        <w:trPr>
          <w:trHeight w:val="290"/>
        </w:trPr>
        <w:tc>
          <w:tcPr>
            <w:tcW w:w="2093" w:type="dxa"/>
            <w:shd w:val="clear" w:color="auto" w:fill="FFFFFF"/>
            <w:noWrap/>
            <w:hideMark/>
          </w:tcPr>
          <w:p w14:paraId="2D0C2886" w14:textId="77777777" w:rsidR="001F0B27" w:rsidRPr="00AF19BB" w:rsidRDefault="001F0B27" w:rsidP="000408ED">
            <w:pPr>
              <w:pStyle w:val="TableText"/>
            </w:pPr>
            <w:r w:rsidRPr="00AF19BB">
              <w:t>Debbie Johnsen</w:t>
            </w:r>
          </w:p>
        </w:tc>
        <w:tc>
          <w:tcPr>
            <w:tcW w:w="4394" w:type="dxa"/>
            <w:shd w:val="clear" w:color="auto" w:fill="FFFFFF"/>
            <w:noWrap/>
            <w:hideMark/>
          </w:tcPr>
          <w:p w14:paraId="467B74B8" w14:textId="77777777" w:rsidR="001F0B27" w:rsidRPr="00AF19BB" w:rsidRDefault="001F0B27" w:rsidP="000408ED">
            <w:pPr>
              <w:pStyle w:val="TableText"/>
            </w:pPr>
            <w:r w:rsidRPr="00AF19BB">
              <w:t>Finance and Administration Manager</w:t>
            </w:r>
          </w:p>
        </w:tc>
        <w:tc>
          <w:tcPr>
            <w:tcW w:w="3260" w:type="dxa"/>
            <w:shd w:val="clear" w:color="auto" w:fill="FFFFFF"/>
            <w:noWrap/>
            <w:hideMark/>
          </w:tcPr>
          <w:p w14:paraId="0939A119" w14:textId="77777777" w:rsidR="001F0B27" w:rsidRPr="00AF19BB" w:rsidRDefault="001F0B27" w:rsidP="000408ED">
            <w:pPr>
              <w:pStyle w:val="TableText"/>
            </w:pPr>
            <w:r w:rsidRPr="00AF19BB">
              <w:t>Solomon Water</w:t>
            </w:r>
          </w:p>
        </w:tc>
      </w:tr>
      <w:tr w:rsidR="00AF19BB" w:rsidRPr="000408ED" w14:paraId="66C71FD2" w14:textId="77777777" w:rsidTr="000408ED">
        <w:trPr>
          <w:trHeight w:val="290"/>
        </w:trPr>
        <w:tc>
          <w:tcPr>
            <w:tcW w:w="2093" w:type="dxa"/>
            <w:shd w:val="clear" w:color="auto" w:fill="FFFFFF"/>
            <w:noWrap/>
            <w:hideMark/>
          </w:tcPr>
          <w:p w14:paraId="47A5EF55" w14:textId="77777777" w:rsidR="001F0B27" w:rsidRPr="00AF19BB" w:rsidRDefault="001F0B27" w:rsidP="000408ED">
            <w:pPr>
              <w:pStyle w:val="TableText"/>
            </w:pPr>
            <w:r w:rsidRPr="00AF19BB">
              <w:t>Marista Kapini</w:t>
            </w:r>
          </w:p>
        </w:tc>
        <w:tc>
          <w:tcPr>
            <w:tcW w:w="4394" w:type="dxa"/>
            <w:shd w:val="clear" w:color="auto" w:fill="FFFFFF"/>
            <w:noWrap/>
            <w:hideMark/>
          </w:tcPr>
          <w:p w14:paraId="43DB636D" w14:textId="77777777" w:rsidR="001F0B27" w:rsidRPr="00AF19BB" w:rsidRDefault="001F0B27" w:rsidP="000408ED">
            <w:pPr>
              <w:pStyle w:val="TableText"/>
            </w:pPr>
            <w:r w:rsidRPr="00AF19BB">
              <w:t>Technical &amp; Operations Division</w:t>
            </w:r>
          </w:p>
        </w:tc>
        <w:tc>
          <w:tcPr>
            <w:tcW w:w="3260" w:type="dxa"/>
            <w:shd w:val="clear" w:color="auto" w:fill="FFFFFF"/>
            <w:noWrap/>
            <w:hideMark/>
          </w:tcPr>
          <w:p w14:paraId="52822B62" w14:textId="77777777" w:rsidR="001F0B27" w:rsidRPr="00AF19BB" w:rsidRDefault="001F0B27" w:rsidP="000408ED">
            <w:pPr>
              <w:pStyle w:val="TableText"/>
            </w:pPr>
            <w:r w:rsidRPr="00AF19BB">
              <w:t>Solomon Water</w:t>
            </w:r>
          </w:p>
        </w:tc>
      </w:tr>
      <w:tr w:rsidR="00AF19BB" w:rsidRPr="000408ED" w14:paraId="0E9118E8" w14:textId="77777777" w:rsidTr="000408ED">
        <w:trPr>
          <w:trHeight w:val="290"/>
        </w:trPr>
        <w:tc>
          <w:tcPr>
            <w:tcW w:w="2093" w:type="dxa"/>
            <w:shd w:val="clear" w:color="auto" w:fill="FFFFFF"/>
            <w:noWrap/>
            <w:hideMark/>
          </w:tcPr>
          <w:p w14:paraId="001CB799" w14:textId="77777777" w:rsidR="001F0B27" w:rsidRPr="00AF19BB" w:rsidRDefault="001F0B27" w:rsidP="000408ED">
            <w:pPr>
              <w:pStyle w:val="TableText"/>
            </w:pPr>
            <w:r w:rsidRPr="00AF19BB">
              <w:t>Susan Auto Makabo</w:t>
            </w:r>
          </w:p>
        </w:tc>
        <w:tc>
          <w:tcPr>
            <w:tcW w:w="4394" w:type="dxa"/>
            <w:shd w:val="clear" w:color="auto" w:fill="FFFFFF"/>
            <w:noWrap/>
            <w:hideMark/>
          </w:tcPr>
          <w:p w14:paraId="68BC292B" w14:textId="77777777" w:rsidR="001F0B27" w:rsidRPr="00AF19BB" w:rsidRDefault="001F0B27" w:rsidP="000408ED">
            <w:pPr>
              <w:pStyle w:val="TableText"/>
            </w:pPr>
            <w:r w:rsidRPr="00AF19BB">
              <w:t>Water Analyst, Technical &amp; Operations Division</w:t>
            </w:r>
          </w:p>
        </w:tc>
        <w:tc>
          <w:tcPr>
            <w:tcW w:w="3260" w:type="dxa"/>
            <w:shd w:val="clear" w:color="auto" w:fill="FFFFFF"/>
            <w:noWrap/>
            <w:hideMark/>
          </w:tcPr>
          <w:p w14:paraId="1584467E" w14:textId="77777777" w:rsidR="001F0B27" w:rsidRPr="00AF19BB" w:rsidRDefault="001F0B27" w:rsidP="000408ED">
            <w:pPr>
              <w:pStyle w:val="TableText"/>
            </w:pPr>
            <w:r w:rsidRPr="00AF19BB">
              <w:t>Solomon Water</w:t>
            </w:r>
          </w:p>
        </w:tc>
      </w:tr>
      <w:tr w:rsidR="00AF19BB" w:rsidRPr="000408ED" w14:paraId="609F9767" w14:textId="77777777" w:rsidTr="000408ED">
        <w:trPr>
          <w:trHeight w:val="290"/>
        </w:trPr>
        <w:tc>
          <w:tcPr>
            <w:tcW w:w="2093" w:type="dxa"/>
            <w:shd w:val="clear" w:color="auto" w:fill="FFFFFF"/>
            <w:noWrap/>
            <w:hideMark/>
          </w:tcPr>
          <w:p w14:paraId="6F753A8B" w14:textId="77777777" w:rsidR="001F0B27" w:rsidRPr="00AF19BB" w:rsidRDefault="001F0B27" w:rsidP="000408ED">
            <w:pPr>
              <w:pStyle w:val="TableText"/>
            </w:pPr>
            <w:r w:rsidRPr="00AF19BB">
              <w:t>Chris Meriko</w:t>
            </w:r>
          </w:p>
        </w:tc>
        <w:tc>
          <w:tcPr>
            <w:tcW w:w="4394" w:type="dxa"/>
            <w:shd w:val="clear" w:color="auto" w:fill="FFFFFF"/>
            <w:noWrap/>
            <w:hideMark/>
          </w:tcPr>
          <w:p w14:paraId="7F53E486" w14:textId="77777777" w:rsidR="001F0B27" w:rsidRPr="00AF19BB" w:rsidRDefault="001F0B27" w:rsidP="000408ED">
            <w:pPr>
              <w:pStyle w:val="TableText"/>
            </w:pPr>
            <w:r w:rsidRPr="00AF19BB">
              <w:t>Coordinator STPM, Technical &amp; Operations Division</w:t>
            </w:r>
          </w:p>
        </w:tc>
        <w:tc>
          <w:tcPr>
            <w:tcW w:w="3260" w:type="dxa"/>
            <w:shd w:val="clear" w:color="auto" w:fill="FFFFFF"/>
            <w:noWrap/>
            <w:hideMark/>
          </w:tcPr>
          <w:p w14:paraId="5072D699" w14:textId="77777777" w:rsidR="001F0B27" w:rsidRPr="00AF19BB" w:rsidRDefault="001F0B27" w:rsidP="000408ED">
            <w:pPr>
              <w:pStyle w:val="TableText"/>
            </w:pPr>
            <w:r w:rsidRPr="00AF19BB">
              <w:t>Solomon Water</w:t>
            </w:r>
          </w:p>
        </w:tc>
      </w:tr>
      <w:tr w:rsidR="00AF19BB" w:rsidRPr="000408ED" w14:paraId="6B88986E" w14:textId="77777777" w:rsidTr="000408ED">
        <w:trPr>
          <w:trHeight w:val="290"/>
        </w:trPr>
        <w:tc>
          <w:tcPr>
            <w:tcW w:w="2093" w:type="dxa"/>
            <w:shd w:val="clear" w:color="auto" w:fill="FFFFFF"/>
            <w:noWrap/>
            <w:hideMark/>
          </w:tcPr>
          <w:p w14:paraId="658032DE" w14:textId="77777777" w:rsidR="001F0B27" w:rsidRPr="00AF19BB" w:rsidRDefault="001F0B27" w:rsidP="000408ED">
            <w:pPr>
              <w:pStyle w:val="TableText"/>
            </w:pPr>
            <w:r w:rsidRPr="00AF19BB">
              <w:t>Joe Sa</w:t>
            </w:r>
            <w:r w:rsidR="00616A39">
              <w:t>n</w:t>
            </w:r>
            <w:r w:rsidRPr="00AF19BB">
              <w:t>ga</w:t>
            </w:r>
          </w:p>
        </w:tc>
        <w:tc>
          <w:tcPr>
            <w:tcW w:w="4394" w:type="dxa"/>
            <w:shd w:val="clear" w:color="auto" w:fill="FFFFFF"/>
            <w:noWrap/>
            <w:hideMark/>
          </w:tcPr>
          <w:p w14:paraId="022C506F" w14:textId="77777777" w:rsidR="001F0B27" w:rsidRPr="00AF19BB" w:rsidRDefault="001F0B27" w:rsidP="000408ED">
            <w:pPr>
              <w:pStyle w:val="TableText"/>
            </w:pPr>
            <w:r w:rsidRPr="00AF19BB">
              <w:t>Human Resources Manager</w:t>
            </w:r>
          </w:p>
        </w:tc>
        <w:tc>
          <w:tcPr>
            <w:tcW w:w="3260" w:type="dxa"/>
            <w:shd w:val="clear" w:color="auto" w:fill="FFFFFF"/>
            <w:noWrap/>
            <w:hideMark/>
          </w:tcPr>
          <w:p w14:paraId="7916675F" w14:textId="77777777" w:rsidR="001F0B27" w:rsidRPr="00AF19BB" w:rsidRDefault="001F0B27" w:rsidP="000408ED">
            <w:pPr>
              <w:pStyle w:val="TableText"/>
            </w:pPr>
            <w:r w:rsidRPr="00AF19BB">
              <w:t>Solomon Water</w:t>
            </w:r>
          </w:p>
        </w:tc>
      </w:tr>
      <w:tr w:rsidR="00AF19BB" w:rsidRPr="000408ED" w14:paraId="7B61B4E8" w14:textId="77777777" w:rsidTr="000408ED">
        <w:trPr>
          <w:trHeight w:val="290"/>
        </w:trPr>
        <w:tc>
          <w:tcPr>
            <w:tcW w:w="2093" w:type="dxa"/>
            <w:shd w:val="clear" w:color="auto" w:fill="FFFFFF"/>
            <w:noWrap/>
            <w:hideMark/>
          </w:tcPr>
          <w:p w14:paraId="724C9A89" w14:textId="77777777" w:rsidR="001F0B27" w:rsidRPr="00AF19BB" w:rsidRDefault="001F0B27" w:rsidP="000408ED">
            <w:pPr>
              <w:pStyle w:val="TableText"/>
            </w:pPr>
            <w:r w:rsidRPr="00AF19BB">
              <w:t>Yaxley Solomon</w:t>
            </w:r>
          </w:p>
        </w:tc>
        <w:tc>
          <w:tcPr>
            <w:tcW w:w="4394" w:type="dxa"/>
            <w:shd w:val="clear" w:color="auto" w:fill="FFFFFF"/>
            <w:noWrap/>
            <w:hideMark/>
          </w:tcPr>
          <w:p w14:paraId="7FD16D3B" w14:textId="77777777" w:rsidR="001F0B27" w:rsidRPr="00AF19BB" w:rsidRDefault="001F0B27" w:rsidP="000408ED">
            <w:pPr>
              <w:pStyle w:val="TableText"/>
            </w:pPr>
            <w:r w:rsidRPr="00AF19BB">
              <w:t>Technical &amp; Operations Division</w:t>
            </w:r>
          </w:p>
        </w:tc>
        <w:tc>
          <w:tcPr>
            <w:tcW w:w="3260" w:type="dxa"/>
            <w:shd w:val="clear" w:color="auto" w:fill="FFFFFF"/>
            <w:noWrap/>
            <w:hideMark/>
          </w:tcPr>
          <w:p w14:paraId="20586D31" w14:textId="77777777" w:rsidR="001F0B27" w:rsidRPr="00AF19BB" w:rsidRDefault="001F0B27" w:rsidP="000408ED">
            <w:pPr>
              <w:pStyle w:val="TableText"/>
            </w:pPr>
            <w:r w:rsidRPr="00AF19BB">
              <w:t>Solomon Water</w:t>
            </w:r>
          </w:p>
        </w:tc>
      </w:tr>
      <w:tr w:rsidR="00AF19BB" w:rsidRPr="000408ED" w14:paraId="3801A174" w14:textId="77777777" w:rsidTr="000408ED">
        <w:trPr>
          <w:trHeight w:val="290"/>
        </w:trPr>
        <w:tc>
          <w:tcPr>
            <w:tcW w:w="2093" w:type="dxa"/>
            <w:shd w:val="clear" w:color="auto" w:fill="FFFFFF"/>
            <w:noWrap/>
            <w:hideMark/>
          </w:tcPr>
          <w:p w14:paraId="6E662CC1" w14:textId="77777777" w:rsidR="001F0B27" w:rsidRPr="00AF19BB" w:rsidRDefault="001F0B27" w:rsidP="000408ED">
            <w:pPr>
              <w:pStyle w:val="TableText"/>
            </w:pPr>
            <w:r w:rsidRPr="00AF19BB">
              <w:t>Sophie Tango</w:t>
            </w:r>
          </w:p>
        </w:tc>
        <w:tc>
          <w:tcPr>
            <w:tcW w:w="4394" w:type="dxa"/>
            <w:shd w:val="clear" w:color="auto" w:fill="FFFFFF"/>
            <w:noWrap/>
            <w:hideMark/>
          </w:tcPr>
          <w:p w14:paraId="60CFC758" w14:textId="77777777" w:rsidR="001F0B27" w:rsidRPr="00AF19BB" w:rsidRDefault="001F0B27" w:rsidP="000408ED">
            <w:pPr>
              <w:pStyle w:val="TableText"/>
            </w:pPr>
            <w:r w:rsidRPr="00AF19BB">
              <w:t>Communications Assistant</w:t>
            </w:r>
          </w:p>
        </w:tc>
        <w:tc>
          <w:tcPr>
            <w:tcW w:w="3260" w:type="dxa"/>
            <w:shd w:val="clear" w:color="auto" w:fill="FFFFFF"/>
            <w:noWrap/>
            <w:hideMark/>
          </w:tcPr>
          <w:p w14:paraId="1E1F7614" w14:textId="77777777" w:rsidR="001F0B27" w:rsidRPr="00AF19BB" w:rsidRDefault="001F0B27" w:rsidP="000408ED">
            <w:pPr>
              <w:pStyle w:val="TableText"/>
            </w:pPr>
            <w:r w:rsidRPr="00AF19BB">
              <w:t>Solomon Water</w:t>
            </w:r>
          </w:p>
        </w:tc>
      </w:tr>
      <w:tr w:rsidR="00AF19BB" w:rsidRPr="000408ED" w14:paraId="07B3871B" w14:textId="77777777" w:rsidTr="000408ED">
        <w:trPr>
          <w:trHeight w:val="290"/>
        </w:trPr>
        <w:tc>
          <w:tcPr>
            <w:tcW w:w="2093" w:type="dxa"/>
            <w:shd w:val="clear" w:color="auto" w:fill="FFFFFF"/>
            <w:noWrap/>
            <w:hideMark/>
          </w:tcPr>
          <w:p w14:paraId="319B9DDB" w14:textId="77777777" w:rsidR="001F0B27" w:rsidRPr="00AF19BB" w:rsidRDefault="001F0B27" w:rsidP="000408ED">
            <w:pPr>
              <w:pStyle w:val="TableText"/>
            </w:pPr>
            <w:r w:rsidRPr="00AF19BB">
              <w:t>Scravin Tongi</w:t>
            </w:r>
          </w:p>
        </w:tc>
        <w:tc>
          <w:tcPr>
            <w:tcW w:w="4394" w:type="dxa"/>
            <w:shd w:val="clear" w:color="auto" w:fill="FFFFFF"/>
            <w:noWrap/>
            <w:hideMark/>
          </w:tcPr>
          <w:p w14:paraId="3A03B5AC" w14:textId="77777777" w:rsidR="001F0B27" w:rsidRPr="00AF19BB" w:rsidRDefault="001F0B27" w:rsidP="000408ED">
            <w:pPr>
              <w:pStyle w:val="TableText"/>
            </w:pPr>
            <w:r w:rsidRPr="00AF19BB">
              <w:t>Operations Manager</w:t>
            </w:r>
          </w:p>
        </w:tc>
        <w:tc>
          <w:tcPr>
            <w:tcW w:w="3260" w:type="dxa"/>
            <w:shd w:val="clear" w:color="auto" w:fill="FFFFFF"/>
            <w:noWrap/>
            <w:hideMark/>
          </w:tcPr>
          <w:p w14:paraId="3B5D5C87" w14:textId="77777777" w:rsidR="001F0B27" w:rsidRPr="00AF19BB" w:rsidRDefault="001F0B27" w:rsidP="000408ED">
            <w:pPr>
              <w:pStyle w:val="TableText"/>
            </w:pPr>
            <w:r w:rsidRPr="00AF19BB">
              <w:t>Solomon Water</w:t>
            </w:r>
          </w:p>
        </w:tc>
      </w:tr>
      <w:tr w:rsidR="00AF19BB" w:rsidRPr="000408ED" w14:paraId="062148D6" w14:textId="77777777" w:rsidTr="000408ED">
        <w:trPr>
          <w:trHeight w:val="290"/>
        </w:trPr>
        <w:tc>
          <w:tcPr>
            <w:tcW w:w="2093" w:type="dxa"/>
            <w:shd w:val="clear" w:color="auto" w:fill="FFFFFF"/>
            <w:noWrap/>
            <w:hideMark/>
          </w:tcPr>
          <w:p w14:paraId="0D52C50B" w14:textId="77777777" w:rsidR="001F0B27" w:rsidRPr="00AF19BB" w:rsidRDefault="001F0B27" w:rsidP="000408ED">
            <w:pPr>
              <w:pStyle w:val="TableText"/>
            </w:pPr>
            <w:r w:rsidRPr="00AF19BB">
              <w:t>Nemani Waqanivalu</w:t>
            </w:r>
          </w:p>
        </w:tc>
        <w:tc>
          <w:tcPr>
            <w:tcW w:w="4394" w:type="dxa"/>
            <w:shd w:val="clear" w:color="auto" w:fill="FFFFFF"/>
            <w:noWrap/>
            <w:hideMark/>
          </w:tcPr>
          <w:p w14:paraId="3B5DED3F" w14:textId="77777777" w:rsidR="001F0B27" w:rsidRPr="00AF19BB" w:rsidRDefault="001F0B27" w:rsidP="000408ED">
            <w:pPr>
              <w:pStyle w:val="TableText"/>
            </w:pPr>
            <w:r w:rsidRPr="00AF19BB">
              <w:t>Program Manager</w:t>
            </w:r>
          </w:p>
        </w:tc>
        <w:tc>
          <w:tcPr>
            <w:tcW w:w="3260" w:type="dxa"/>
            <w:shd w:val="clear" w:color="auto" w:fill="FFFFFF"/>
            <w:noWrap/>
            <w:hideMark/>
          </w:tcPr>
          <w:p w14:paraId="1D6350D9" w14:textId="77777777" w:rsidR="001F0B27" w:rsidRPr="00AF19BB" w:rsidRDefault="001F0B27" w:rsidP="000408ED">
            <w:pPr>
              <w:pStyle w:val="TableText"/>
            </w:pPr>
            <w:r w:rsidRPr="00AF19BB">
              <w:t>Solomon Water</w:t>
            </w:r>
          </w:p>
        </w:tc>
      </w:tr>
      <w:tr w:rsidR="00AF19BB" w:rsidRPr="000408ED" w14:paraId="4D5E03C7" w14:textId="77777777" w:rsidTr="000408ED">
        <w:trPr>
          <w:trHeight w:val="290"/>
        </w:trPr>
        <w:tc>
          <w:tcPr>
            <w:tcW w:w="2093" w:type="dxa"/>
            <w:shd w:val="clear" w:color="auto" w:fill="FFFFFF"/>
            <w:noWrap/>
            <w:hideMark/>
          </w:tcPr>
          <w:p w14:paraId="45F3EF77" w14:textId="77777777" w:rsidR="001F0B27" w:rsidRPr="00AF19BB" w:rsidRDefault="001F0B27" w:rsidP="000408ED">
            <w:pPr>
              <w:pStyle w:val="TableText"/>
            </w:pPr>
            <w:r w:rsidRPr="00AF19BB">
              <w:t>Phil Bradford</w:t>
            </w:r>
          </w:p>
        </w:tc>
        <w:tc>
          <w:tcPr>
            <w:tcW w:w="4394" w:type="dxa"/>
            <w:shd w:val="clear" w:color="auto" w:fill="FFFFFF"/>
            <w:noWrap/>
            <w:hideMark/>
          </w:tcPr>
          <w:p w14:paraId="3A368B23" w14:textId="77777777" w:rsidR="001F0B27" w:rsidRPr="00AF19BB" w:rsidRDefault="001F0B27" w:rsidP="000408ED">
            <w:pPr>
              <w:pStyle w:val="TableText"/>
            </w:pPr>
            <w:r w:rsidRPr="00AF19BB">
              <w:t>Chairman, Solomon Water Board</w:t>
            </w:r>
          </w:p>
        </w:tc>
        <w:tc>
          <w:tcPr>
            <w:tcW w:w="3260" w:type="dxa"/>
            <w:shd w:val="clear" w:color="auto" w:fill="FFFFFF"/>
            <w:noWrap/>
            <w:hideMark/>
          </w:tcPr>
          <w:p w14:paraId="59848E90" w14:textId="77777777" w:rsidR="001F0B27" w:rsidRPr="00AF19BB" w:rsidRDefault="001F0B27" w:rsidP="000408ED">
            <w:pPr>
              <w:pStyle w:val="TableText"/>
            </w:pPr>
            <w:r w:rsidRPr="00AF19BB">
              <w:t>Solomon Water Board</w:t>
            </w:r>
          </w:p>
        </w:tc>
      </w:tr>
      <w:tr w:rsidR="00AF19BB" w:rsidRPr="000408ED" w14:paraId="3CFD2EB1" w14:textId="77777777" w:rsidTr="000408ED">
        <w:trPr>
          <w:trHeight w:val="290"/>
        </w:trPr>
        <w:tc>
          <w:tcPr>
            <w:tcW w:w="2093" w:type="dxa"/>
            <w:shd w:val="clear" w:color="auto" w:fill="FFFFFF"/>
            <w:noWrap/>
            <w:hideMark/>
          </w:tcPr>
          <w:p w14:paraId="2AC3BE7D" w14:textId="77777777" w:rsidR="001F0B27" w:rsidRPr="00AF19BB" w:rsidRDefault="001F0B27" w:rsidP="000408ED">
            <w:pPr>
              <w:pStyle w:val="TableText"/>
            </w:pPr>
            <w:r w:rsidRPr="00AF19BB">
              <w:t>Antoinette Wickham</w:t>
            </w:r>
          </w:p>
        </w:tc>
        <w:tc>
          <w:tcPr>
            <w:tcW w:w="4394" w:type="dxa"/>
            <w:shd w:val="clear" w:color="auto" w:fill="FFFFFF"/>
            <w:noWrap/>
            <w:hideMark/>
          </w:tcPr>
          <w:p w14:paraId="326F890B" w14:textId="77777777" w:rsidR="001F0B27" w:rsidRPr="00AF19BB" w:rsidRDefault="001F0B27" w:rsidP="000408ED">
            <w:pPr>
              <w:pStyle w:val="TableText"/>
            </w:pPr>
            <w:r w:rsidRPr="00AF19BB">
              <w:t>Former Board Member</w:t>
            </w:r>
          </w:p>
        </w:tc>
        <w:tc>
          <w:tcPr>
            <w:tcW w:w="3260" w:type="dxa"/>
            <w:shd w:val="clear" w:color="auto" w:fill="FFFFFF"/>
            <w:noWrap/>
            <w:hideMark/>
          </w:tcPr>
          <w:p w14:paraId="7BE93758" w14:textId="77777777" w:rsidR="001F0B27" w:rsidRPr="00AF19BB" w:rsidRDefault="001F0B27" w:rsidP="000408ED">
            <w:pPr>
              <w:pStyle w:val="TableText"/>
            </w:pPr>
            <w:r w:rsidRPr="00AF19BB">
              <w:t>Solomon Water Board</w:t>
            </w:r>
          </w:p>
        </w:tc>
      </w:tr>
      <w:tr w:rsidR="00AF19BB" w:rsidRPr="000408ED" w14:paraId="21036C72" w14:textId="77777777" w:rsidTr="000408ED">
        <w:trPr>
          <w:trHeight w:val="290"/>
        </w:trPr>
        <w:tc>
          <w:tcPr>
            <w:tcW w:w="2093" w:type="dxa"/>
            <w:shd w:val="clear" w:color="auto" w:fill="FFFFFF"/>
            <w:noWrap/>
            <w:hideMark/>
          </w:tcPr>
          <w:p w14:paraId="57F522BA" w14:textId="77777777" w:rsidR="001F0B27" w:rsidRPr="00AF19BB" w:rsidRDefault="001F0B27" w:rsidP="000408ED">
            <w:pPr>
              <w:pStyle w:val="TableText"/>
            </w:pPr>
            <w:r w:rsidRPr="00AF19BB">
              <w:t>Ethel Francis</w:t>
            </w:r>
          </w:p>
        </w:tc>
        <w:tc>
          <w:tcPr>
            <w:tcW w:w="4394" w:type="dxa"/>
            <w:shd w:val="clear" w:color="auto" w:fill="FFFFFF"/>
            <w:noWrap/>
            <w:hideMark/>
          </w:tcPr>
          <w:p w14:paraId="72421F05" w14:textId="77777777" w:rsidR="001F0B27" w:rsidRPr="00AF19BB" w:rsidRDefault="001F0B27" w:rsidP="000408ED">
            <w:pPr>
              <w:pStyle w:val="TableText"/>
            </w:pPr>
            <w:r w:rsidRPr="00AF19BB">
              <w:t>Board Member</w:t>
            </w:r>
          </w:p>
        </w:tc>
        <w:tc>
          <w:tcPr>
            <w:tcW w:w="3260" w:type="dxa"/>
            <w:shd w:val="clear" w:color="auto" w:fill="FFFFFF"/>
            <w:noWrap/>
            <w:hideMark/>
          </w:tcPr>
          <w:p w14:paraId="6DAD00C5" w14:textId="77777777" w:rsidR="001F0B27" w:rsidRPr="00AF19BB" w:rsidRDefault="001F0B27" w:rsidP="000408ED">
            <w:pPr>
              <w:pStyle w:val="TableText"/>
            </w:pPr>
            <w:r w:rsidRPr="00AF19BB">
              <w:t>Solomon Water Board</w:t>
            </w:r>
          </w:p>
        </w:tc>
      </w:tr>
      <w:tr w:rsidR="00AF19BB" w:rsidRPr="000408ED" w14:paraId="5516BD03" w14:textId="77777777" w:rsidTr="000408ED">
        <w:trPr>
          <w:trHeight w:val="290"/>
        </w:trPr>
        <w:tc>
          <w:tcPr>
            <w:tcW w:w="2093" w:type="dxa"/>
            <w:shd w:val="clear" w:color="auto" w:fill="FFFFFF"/>
            <w:noWrap/>
            <w:hideMark/>
          </w:tcPr>
          <w:p w14:paraId="1B641407" w14:textId="77777777" w:rsidR="001F0B27" w:rsidRPr="00AF19BB" w:rsidRDefault="001F0B27" w:rsidP="000408ED">
            <w:pPr>
              <w:pStyle w:val="TableText"/>
            </w:pPr>
            <w:r w:rsidRPr="00AF19BB">
              <w:t>David Laurie</w:t>
            </w:r>
          </w:p>
        </w:tc>
        <w:tc>
          <w:tcPr>
            <w:tcW w:w="4394" w:type="dxa"/>
            <w:shd w:val="clear" w:color="auto" w:fill="FFFFFF"/>
            <w:noWrap/>
            <w:hideMark/>
          </w:tcPr>
          <w:p w14:paraId="69611660" w14:textId="77777777" w:rsidR="001F0B27" w:rsidRPr="00AF19BB" w:rsidRDefault="001F0B27" w:rsidP="000408ED">
            <w:pPr>
              <w:pStyle w:val="TableText"/>
            </w:pPr>
            <w:r w:rsidRPr="00AF19BB">
              <w:t>Board Member</w:t>
            </w:r>
          </w:p>
        </w:tc>
        <w:tc>
          <w:tcPr>
            <w:tcW w:w="3260" w:type="dxa"/>
            <w:shd w:val="clear" w:color="auto" w:fill="FFFFFF"/>
            <w:noWrap/>
            <w:hideMark/>
          </w:tcPr>
          <w:p w14:paraId="4CA445CE" w14:textId="77777777" w:rsidR="001F0B27" w:rsidRPr="00AF19BB" w:rsidRDefault="001F0B27" w:rsidP="000408ED">
            <w:pPr>
              <w:pStyle w:val="TableText"/>
            </w:pPr>
            <w:r w:rsidRPr="00AF19BB">
              <w:t>Solomon Water Board</w:t>
            </w:r>
          </w:p>
        </w:tc>
      </w:tr>
      <w:tr w:rsidR="00AF19BB" w:rsidRPr="000408ED" w14:paraId="27056294" w14:textId="77777777" w:rsidTr="000408ED">
        <w:trPr>
          <w:trHeight w:val="290"/>
        </w:trPr>
        <w:tc>
          <w:tcPr>
            <w:tcW w:w="2093" w:type="dxa"/>
            <w:shd w:val="clear" w:color="auto" w:fill="FFFFFF"/>
            <w:noWrap/>
            <w:hideMark/>
          </w:tcPr>
          <w:p w14:paraId="645DF960" w14:textId="77777777" w:rsidR="001F0B27" w:rsidRPr="00AF19BB" w:rsidRDefault="001F0B27" w:rsidP="000408ED">
            <w:pPr>
              <w:pStyle w:val="TableText"/>
            </w:pPr>
            <w:r w:rsidRPr="00AF19BB">
              <w:t>Salome Faásu</w:t>
            </w:r>
          </w:p>
        </w:tc>
        <w:tc>
          <w:tcPr>
            <w:tcW w:w="4394" w:type="dxa"/>
            <w:shd w:val="clear" w:color="auto" w:fill="FFFFFF"/>
            <w:noWrap/>
            <w:hideMark/>
          </w:tcPr>
          <w:p w14:paraId="0434B730" w14:textId="77777777" w:rsidR="001F0B27" w:rsidRPr="00AF19BB" w:rsidRDefault="001F0B27" w:rsidP="000408ED">
            <w:pPr>
              <w:pStyle w:val="TableText"/>
            </w:pPr>
            <w:r w:rsidRPr="00AF19BB">
              <w:t xml:space="preserve">Representing White River </w:t>
            </w:r>
          </w:p>
        </w:tc>
        <w:tc>
          <w:tcPr>
            <w:tcW w:w="3260" w:type="dxa"/>
            <w:shd w:val="clear" w:color="auto" w:fill="FFFFFF"/>
            <w:noWrap/>
            <w:hideMark/>
          </w:tcPr>
          <w:p w14:paraId="756461B5" w14:textId="77777777" w:rsidR="001F0B27" w:rsidRPr="00AF19BB" w:rsidRDefault="001F0B27" w:rsidP="000408ED">
            <w:pPr>
              <w:pStyle w:val="TableText"/>
            </w:pPr>
            <w:r w:rsidRPr="00AF19BB">
              <w:t xml:space="preserve">Solomon Water Customer </w:t>
            </w:r>
          </w:p>
        </w:tc>
      </w:tr>
      <w:tr w:rsidR="00AF19BB" w:rsidRPr="000408ED" w14:paraId="2CF37ECD" w14:textId="77777777" w:rsidTr="000408ED">
        <w:trPr>
          <w:trHeight w:val="290"/>
        </w:trPr>
        <w:tc>
          <w:tcPr>
            <w:tcW w:w="2093" w:type="dxa"/>
            <w:shd w:val="clear" w:color="auto" w:fill="FFFFFF"/>
            <w:noWrap/>
            <w:hideMark/>
          </w:tcPr>
          <w:p w14:paraId="14A38B21" w14:textId="77777777" w:rsidR="001F0B27" w:rsidRPr="00AF19BB" w:rsidRDefault="001F0B27" w:rsidP="000408ED">
            <w:pPr>
              <w:pStyle w:val="TableText"/>
            </w:pPr>
            <w:r w:rsidRPr="00AF19BB">
              <w:t xml:space="preserve">Kortis Pade </w:t>
            </w:r>
          </w:p>
        </w:tc>
        <w:tc>
          <w:tcPr>
            <w:tcW w:w="4394" w:type="dxa"/>
            <w:shd w:val="clear" w:color="auto" w:fill="FFFFFF"/>
            <w:noWrap/>
            <w:hideMark/>
          </w:tcPr>
          <w:p w14:paraId="611D2FC7" w14:textId="77777777" w:rsidR="001F0B27" w:rsidRPr="00AF19BB" w:rsidRDefault="001F0B27" w:rsidP="000408ED">
            <w:pPr>
              <w:pStyle w:val="TableText"/>
            </w:pPr>
            <w:r w:rsidRPr="00AF19BB">
              <w:t>Representing Vura 1</w:t>
            </w:r>
          </w:p>
        </w:tc>
        <w:tc>
          <w:tcPr>
            <w:tcW w:w="3260" w:type="dxa"/>
            <w:shd w:val="clear" w:color="auto" w:fill="FFFFFF"/>
            <w:noWrap/>
            <w:hideMark/>
          </w:tcPr>
          <w:p w14:paraId="37BEC760" w14:textId="77777777" w:rsidR="001F0B27" w:rsidRPr="00AF19BB" w:rsidRDefault="001F0B27" w:rsidP="000408ED">
            <w:pPr>
              <w:pStyle w:val="TableText"/>
            </w:pPr>
            <w:r w:rsidRPr="00AF19BB">
              <w:t xml:space="preserve">Solomon Water Customer </w:t>
            </w:r>
          </w:p>
        </w:tc>
      </w:tr>
      <w:tr w:rsidR="00AF19BB" w:rsidRPr="000408ED" w14:paraId="345C9F44" w14:textId="77777777" w:rsidTr="000408ED">
        <w:trPr>
          <w:trHeight w:val="290"/>
        </w:trPr>
        <w:tc>
          <w:tcPr>
            <w:tcW w:w="2093" w:type="dxa"/>
            <w:shd w:val="clear" w:color="auto" w:fill="FFFFFF"/>
            <w:noWrap/>
            <w:hideMark/>
          </w:tcPr>
          <w:p w14:paraId="1454388C" w14:textId="77777777" w:rsidR="001F0B27" w:rsidRPr="00AF19BB" w:rsidRDefault="001F0B27" w:rsidP="000408ED">
            <w:pPr>
              <w:pStyle w:val="TableText"/>
            </w:pPr>
            <w:r w:rsidRPr="00AF19BB">
              <w:lastRenderedPageBreak/>
              <w:t>Mary Roko</w:t>
            </w:r>
          </w:p>
        </w:tc>
        <w:tc>
          <w:tcPr>
            <w:tcW w:w="4394" w:type="dxa"/>
            <w:shd w:val="clear" w:color="auto" w:fill="FFFFFF"/>
            <w:noWrap/>
            <w:hideMark/>
          </w:tcPr>
          <w:p w14:paraId="7E09FD91" w14:textId="77777777" w:rsidR="001F0B27" w:rsidRPr="00AF19BB" w:rsidRDefault="001F0B27" w:rsidP="000408ED">
            <w:pPr>
              <w:pStyle w:val="TableText"/>
            </w:pPr>
            <w:r w:rsidRPr="00AF19BB">
              <w:t>Representing Vura Heights</w:t>
            </w:r>
          </w:p>
        </w:tc>
        <w:tc>
          <w:tcPr>
            <w:tcW w:w="3260" w:type="dxa"/>
            <w:shd w:val="clear" w:color="auto" w:fill="FFFFFF"/>
            <w:noWrap/>
            <w:hideMark/>
          </w:tcPr>
          <w:p w14:paraId="6051920B" w14:textId="77777777" w:rsidR="001F0B27" w:rsidRPr="00AF19BB" w:rsidRDefault="001F0B27" w:rsidP="000408ED">
            <w:pPr>
              <w:pStyle w:val="TableText"/>
            </w:pPr>
            <w:r w:rsidRPr="00AF19BB">
              <w:t xml:space="preserve">Solomon Water Customer </w:t>
            </w:r>
          </w:p>
        </w:tc>
      </w:tr>
      <w:tr w:rsidR="00AF19BB" w:rsidRPr="000408ED" w14:paraId="38C68C18" w14:textId="77777777" w:rsidTr="000408ED">
        <w:trPr>
          <w:trHeight w:val="290"/>
        </w:trPr>
        <w:tc>
          <w:tcPr>
            <w:tcW w:w="2093" w:type="dxa"/>
            <w:shd w:val="clear" w:color="auto" w:fill="FFFFFF"/>
            <w:noWrap/>
            <w:hideMark/>
          </w:tcPr>
          <w:p w14:paraId="6056C36D" w14:textId="77777777" w:rsidR="001F0B27" w:rsidRPr="00AF19BB" w:rsidRDefault="001F0B27" w:rsidP="000408ED">
            <w:pPr>
              <w:pStyle w:val="TableText"/>
            </w:pPr>
            <w:r w:rsidRPr="00AF19BB">
              <w:t>Silas Savara</w:t>
            </w:r>
          </w:p>
        </w:tc>
        <w:tc>
          <w:tcPr>
            <w:tcW w:w="4394" w:type="dxa"/>
            <w:shd w:val="clear" w:color="auto" w:fill="FFFFFF"/>
            <w:noWrap/>
            <w:hideMark/>
          </w:tcPr>
          <w:p w14:paraId="7B9410A0" w14:textId="77777777" w:rsidR="001F0B27" w:rsidRPr="00AF19BB" w:rsidRDefault="001F0B27" w:rsidP="000408ED">
            <w:pPr>
              <w:pStyle w:val="TableText"/>
            </w:pPr>
            <w:r w:rsidRPr="00AF19BB">
              <w:t>Representing Kombivatu</w:t>
            </w:r>
          </w:p>
        </w:tc>
        <w:tc>
          <w:tcPr>
            <w:tcW w:w="3260" w:type="dxa"/>
            <w:shd w:val="clear" w:color="auto" w:fill="FFFFFF"/>
            <w:noWrap/>
            <w:hideMark/>
          </w:tcPr>
          <w:p w14:paraId="7A4EB6C5" w14:textId="77777777" w:rsidR="001F0B27" w:rsidRPr="00AF19BB" w:rsidRDefault="001F0B27" w:rsidP="000408ED">
            <w:pPr>
              <w:pStyle w:val="TableText"/>
            </w:pPr>
            <w:r w:rsidRPr="00AF19BB">
              <w:t xml:space="preserve">Solomon Water Customer </w:t>
            </w:r>
          </w:p>
        </w:tc>
      </w:tr>
      <w:tr w:rsidR="00AF19BB" w:rsidRPr="000408ED" w14:paraId="0E46BD35" w14:textId="77777777" w:rsidTr="000408ED">
        <w:trPr>
          <w:trHeight w:val="290"/>
        </w:trPr>
        <w:tc>
          <w:tcPr>
            <w:tcW w:w="2093" w:type="dxa"/>
            <w:shd w:val="clear" w:color="auto" w:fill="FFFFFF"/>
            <w:noWrap/>
            <w:hideMark/>
          </w:tcPr>
          <w:p w14:paraId="33F9372E" w14:textId="77777777" w:rsidR="001F0B27" w:rsidRPr="00AF19BB" w:rsidRDefault="001F0B27" w:rsidP="000408ED">
            <w:pPr>
              <w:pStyle w:val="TableText"/>
            </w:pPr>
            <w:r w:rsidRPr="00AF19BB">
              <w:t>Dennis Meone</w:t>
            </w:r>
          </w:p>
        </w:tc>
        <w:tc>
          <w:tcPr>
            <w:tcW w:w="4394" w:type="dxa"/>
            <w:shd w:val="clear" w:color="auto" w:fill="FFFFFF"/>
            <w:noWrap/>
            <w:hideMark/>
          </w:tcPr>
          <w:p w14:paraId="7AC6BDF8" w14:textId="77777777" w:rsidR="001F0B27" w:rsidRPr="00AF19BB" w:rsidRDefault="001F0B27" w:rsidP="000408ED">
            <w:pPr>
              <w:pStyle w:val="TableText"/>
            </w:pPr>
            <w:r w:rsidRPr="00AF19BB">
              <w:t>Chief Executive Officer</w:t>
            </w:r>
          </w:p>
        </w:tc>
        <w:tc>
          <w:tcPr>
            <w:tcW w:w="3260" w:type="dxa"/>
            <w:shd w:val="clear" w:color="auto" w:fill="FFFFFF"/>
            <w:noWrap/>
            <w:hideMark/>
          </w:tcPr>
          <w:p w14:paraId="3572C044" w14:textId="77777777" w:rsidR="001F0B27" w:rsidRPr="00AF19BB" w:rsidRDefault="001F0B27" w:rsidP="000408ED">
            <w:pPr>
              <w:pStyle w:val="TableText"/>
            </w:pPr>
            <w:r w:rsidRPr="00AF19BB">
              <w:t>Chamber of Commerce</w:t>
            </w:r>
          </w:p>
        </w:tc>
      </w:tr>
      <w:tr w:rsidR="00AF19BB" w:rsidRPr="000408ED" w14:paraId="46A7D7A6" w14:textId="77777777" w:rsidTr="000408ED">
        <w:trPr>
          <w:trHeight w:val="290"/>
        </w:trPr>
        <w:tc>
          <w:tcPr>
            <w:tcW w:w="2093" w:type="dxa"/>
            <w:shd w:val="clear" w:color="auto" w:fill="FFFFFF"/>
            <w:noWrap/>
            <w:hideMark/>
          </w:tcPr>
          <w:p w14:paraId="4AD55F30" w14:textId="77777777" w:rsidR="001F0B27" w:rsidRPr="00AF19BB" w:rsidRDefault="001F0B27" w:rsidP="000408ED">
            <w:pPr>
              <w:pStyle w:val="TableText"/>
            </w:pPr>
            <w:r w:rsidRPr="00AF19BB">
              <w:t>Jay Bartlett</w:t>
            </w:r>
          </w:p>
        </w:tc>
        <w:tc>
          <w:tcPr>
            <w:tcW w:w="4394" w:type="dxa"/>
            <w:shd w:val="clear" w:color="auto" w:fill="FFFFFF"/>
            <w:noWrap/>
            <w:hideMark/>
          </w:tcPr>
          <w:p w14:paraId="76B19278" w14:textId="77777777" w:rsidR="001F0B27" w:rsidRPr="00AF19BB" w:rsidRDefault="001F0B27" w:rsidP="000408ED">
            <w:pPr>
              <w:pStyle w:val="TableText"/>
            </w:pPr>
            <w:r w:rsidRPr="00AF19BB">
              <w:t>Business Development </w:t>
            </w:r>
          </w:p>
        </w:tc>
        <w:tc>
          <w:tcPr>
            <w:tcW w:w="3260" w:type="dxa"/>
            <w:shd w:val="clear" w:color="auto" w:fill="FFFFFF"/>
            <w:noWrap/>
            <w:hideMark/>
          </w:tcPr>
          <w:p w14:paraId="154D043A" w14:textId="77777777" w:rsidR="001F0B27" w:rsidRPr="00AF19BB" w:rsidRDefault="001F0B27" w:rsidP="000408ED">
            <w:pPr>
              <w:pStyle w:val="TableText"/>
            </w:pPr>
            <w:r w:rsidRPr="00AF19BB">
              <w:t>Hatanga Ltd</w:t>
            </w:r>
          </w:p>
        </w:tc>
      </w:tr>
      <w:tr w:rsidR="00AF19BB" w:rsidRPr="000408ED" w14:paraId="7F725490" w14:textId="77777777" w:rsidTr="000408ED">
        <w:trPr>
          <w:trHeight w:val="290"/>
        </w:trPr>
        <w:tc>
          <w:tcPr>
            <w:tcW w:w="2093" w:type="dxa"/>
            <w:shd w:val="clear" w:color="auto" w:fill="FFFFFF"/>
            <w:noWrap/>
            <w:hideMark/>
          </w:tcPr>
          <w:p w14:paraId="3008C616" w14:textId="77777777" w:rsidR="001F0B27" w:rsidRPr="00AF19BB" w:rsidRDefault="001F0B27" w:rsidP="000408ED">
            <w:pPr>
              <w:pStyle w:val="TableText"/>
            </w:pPr>
            <w:r w:rsidRPr="00AF19BB">
              <w:t>Sanjay Bhargava</w:t>
            </w:r>
          </w:p>
        </w:tc>
        <w:tc>
          <w:tcPr>
            <w:tcW w:w="4394" w:type="dxa"/>
            <w:shd w:val="clear" w:color="auto" w:fill="FFFFFF"/>
            <w:noWrap/>
            <w:hideMark/>
          </w:tcPr>
          <w:p w14:paraId="5BA3F81B" w14:textId="77777777" w:rsidR="001F0B27" w:rsidRPr="00AF19BB" w:rsidRDefault="001F0B27" w:rsidP="000408ED">
            <w:pPr>
              <w:pStyle w:val="TableText"/>
            </w:pPr>
            <w:r w:rsidRPr="00AF19BB">
              <w:t>General Manager</w:t>
            </w:r>
          </w:p>
        </w:tc>
        <w:tc>
          <w:tcPr>
            <w:tcW w:w="3260" w:type="dxa"/>
            <w:shd w:val="clear" w:color="auto" w:fill="FFFFFF"/>
            <w:noWrap/>
            <w:hideMark/>
          </w:tcPr>
          <w:p w14:paraId="3C7213E7" w14:textId="77777777" w:rsidR="001F0B27" w:rsidRPr="00AF19BB" w:rsidRDefault="001F0B27" w:rsidP="000408ED">
            <w:pPr>
              <w:pStyle w:val="TableText"/>
            </w:pPr>
            <w:r w:rsidRPr="00AF19BB">
              <w:t>Heritage Park Hotel</w:t>
            </w:r>
          </w:p>
        </w:tc>
      </w:tr>
      <w:tr w:rsidR="00AF19BB" w:rsidRPr="000408ED" w14:paraId="712E22AD" w14:textId="77777777" w:rsidTr="000408ED">
        <w:trPr>
          <w:trHeight w:val="290"/>
        </w:trPr>
        <w:tc>
          <w:tcPr>
            <w:tcW w:w="2093" w:type="dxa"/>
            <w:shd w:val="clear" w:color="auto" w:fill="FFFFFF"/>
            <w:noWrap/>
            <w:hideMark/>
          </w:tcPr>
          <w:p w14:paraId="60231BBC" w14:textId="77777777" w:rsidR="001F0B27" w:rsidRPr="00AF19BB" w:rsidRDefault="001F0B27" w:rsidP="000408ED">
            <w:pPr>
              <w:pStyle w:val="TableText"/>
            </w:pPr>
            <w:r w:rsidRPr="00AF19BB">
              <w:t>Eddie Ngava</w:t>
            </w:r>
          </w:p>
        </w:tc>
        <w:tc>
          <w:tcPr>
            <w:tcW w:w="4394" w:type="dxa"/>
            <w:shd w:val="clear" w:color="auto" w:fill="FFFFFF"/>
            <w:noWrap/>
            <w:hideMark/>
          </w:tcPr>
          <w:p w14:paraId="3DEBEC37" w14:textId="77777777" w:rsidR="001F0B27" w:rsidRPr="00AF19BB" w:rsidRDefault="001F0B27" w:rsidP="000408ED">
            <w:pPr>
              <w:pStyle w:val="TableText"/>
            </w:pPr>
            <w:r w:rsidRPr="00AF19BB">
              <w:t>Deputy Mayor</w:t>
            </w:r>
          </w:p>
        </w:tc>
        <w:tc>
          <w:tcPr>
            <w:tcW w:w="3260" w:type="dxa"/>
            <w:shd w:val="clear" w:color="auto" w:fill="FFFFFF"/>
            <w:noWrap/>
            <w:hideMark/>
          </w:tcPr>
          <w:p w14:paraId="1ED1C98F" w14:textId="77777777" w:rsidR="001F0B27" w:rsidRPr="00AF19BB" w:rsidRDefault="001F0B27" w:rsidP="000408ED">
            <w:pPr>
              <w:pStyle w:val="TableText"/>
            </w:pPr>
            <w:r w:rsidRPr="00AF19BB">
              <w:t>Honiara City Council</w:t>
            </w:r>
          </w:p>
        </w:tc>
      </w:tr>
      <w:tr w:rsidR="00AF19BB" w:rsidRPr="000408ED" w14:paraId="092D783D" w14:textId="77777777" w:rsidTr="000408ED">
        <w:trPr>
          <w:trHeight w:val="290"/>
        </w:trPr>
        <w:tc>
          <w:tcPr>
            <w:tcW w:w="2093" w:type="dxa"/>
            <w:shd w:val="clear" w:color="auto" w:fill="FFFFFF"/>
            <w:noWrap/>
            <w:hideMark/>
          </w:tcPr>
          <w:p w14:paraId="11F53BBD" w14:textId="77777777" w:rsidR="001F0B27" w:rsidRPr="00AF19BB" w:rsidRDefault="001F0B27" w:rsidP="000408ED">
            <w:pPr>
              <w:pStyle w:val="TableText"/>
            </w:pPr>
            <w:r w:rsidRPr="00AF19BB">
              <w:t>Fred Jones Warereau</w:t>
            </w:r>
          </w:p>
        </w:tc>
        <w:tc>
          <w:tcPr>
            <w:tcW w:w="4394" w:type="dxa"/>
            <w:shd w:val="clear" w:color="auto" w:fill="FFFFFF"/>
            <w:noWrap/>
            <w:hideMark/>
          </w:tcPr>
          <w:p w14:paraId="080182ED" w14:textId="77777777" w:rsidR="001F0B27" w:rsidRPr="00AF19BB" w:rsidRDefault="001F0B27" w:rsidP="000408ED">
            <w:pPr>
              <w:pStyle w:val="TableText"/>
            </w:pPr>
            <w:r w:rsidRPr="00AF19BB">
              <w:t>Deputy City Clerk</w:t>
            </w:r>
          </w:p>
        </w:tc>
        <w:tc>
          <w:tcPr>
            <w:tcW w:w="3260" w:type="dxa"/>
            <w:shd w:val="clear" w:color="auto" w:fill="FFFFFF"/>
            <w:noWrap/>
            <w:hideMark/>
          </w:tcPr>
          <w:p w14:paraId="3D087997" w14:textId="77777777" w:rsidR="001F0B27" w:rsidRPr="00AF19BB" w:rsidRDefault="001F0B27" w:rsidP="000408ED">
            <w:pPr>
              <w:pStyle w:val="TableText"/>
            </w:pPr>
            <w:r w:rsidRPr="00AF19BB">
              <w:t>Honiara City Council</w:t>
            </w:r>
          </w:p>
        </w:tc>
      </w:tr>
      <w:tr w:rsidR="00AF19BB" w:rsidRPr="000408ED" w14:paraId="593D0515" w14:textId="77777777" w:rsidTr="000408ED">
        <w:trPr>
          <w:trHeight w:val="290"/>
        </w:trPr>
        <w:tc>
          <w:tcPr>
            <w:tcW w:w="2093" w:type="dxa"/>
            <w:shd w:val="clear" w:color="auto" w:fill="FFFFFF"/>
            <w:noWrap/>
            <w:hideMark/>
          </w:tcPr>
          <w:p w14:paraId="306A8298" w14:textId="77777777" w:rsidR="001F0B27" w:rsidRPr="00AF19BB" w:rsidRDefault="001F0B27" w:rsidP="000408ED">
            <w:pPr>
              <w:pStyle w:val="TableText"/>
            </w:pPr>
            <w:r w:rsidRPr="00AF19BB">
              <w:t>Yoshihiko Nishimura</w:t>
            </w:r>
          </w:p>
        </w:tc>
        <w:tc>
          <w:tcPr>
            <w:tcW w:w="4394" w:type="dxa"/>
            <w:shd w:val="clear" w:color="auto" w:fill="FFFFFF"/>
            <w:noWrap/>
            <w:hideMark/>
          </w:tcPr>
          <w:p w14:paraId="0120D12C" w14:textId="77777777" w:rsidR="001F0B27" w:rsidRPr="00AF19BB" w:rsidRDefault="001F0B27" w:rsidP="000408ED">
            <w:pPr>
              <w:pStyle w:val="TableText"/>
            </w:pPr>
            <w:r w:rsidRPr="00AF19BB">
              <w:t xml:space="preserve">Project Formulation Advisor </w:t>
            </w:r>
          </w:p>
        </w:tc>
        <w:tc>
          <w:tcPr>
            <w:tcW w:w="3260" w:type="dxa"/>
            <w:shd w:val="clear" w:color="auto" w:fill="FFFFFF"/>
            <w:noWrap/>
            <w:hideMark/>
          </w:tcPr>
          <w:p w14:paraId="63053131" w14:textId="77777777" w:rsidR="001F0B27" w:rsidRPr="00AF19BB" w:rsidRDefault="001F0B27" w:rsidP="000408ED">
            <w:pPr>
              <w:pStyle w:val="TableText"/>
            </w:pPr>
            <w:r w:rsidRPr="00AF19BB">
              <w:t>Japan International Cooperation Agency</w:t>
            </w:r>
          </w:p>
        </w:tc>
      </w:tr>
      <w:tr w:rsidR="00AF19BB" w:rsidRPr="000408ED" w14:paraId="3EB87759" w14:textId="77777777" w:rsidTr="000408ED">
        <w:trPr>
          <w:trHeight w:val="290"/>
        </w:trPr>
        <w:tc>
          <w:tcPr>
            <w:tcW w:w="2093" w:type="dxa"/>
            <w:shd w:val="clear" w:color="auto" w:fill="FFFFFF"/>
            <w:noWrap/>
            <w:hideMark/>
          </w:tcPr>
          <w:p w14:paraId="14F8EB98" w14:textId="77777777" w:rsidR="001F0B27" w:rsidRPr="00AF19BB" w:rsidRDefault="001F0B27" w:rsidP="000408ED">
            <w:pPr>
              <w:pStyle w:val="TableText"/>
            </w:pPr>
            <w:r w:rsidRPr="00AF19BB">
              <w:t>William Chipu</w:t>
            </w:r>
          </w:p>
        </w:tc>
        <w:tc>
          <w:tcPr>
            <w:tcW w:w="4394" w:type="dxa"/>
            <w:shd w:val="clear" w:color="auto" w:fill="FFFFFF"/>
            <w:noWrap/>
            <w:hideMark/>
          </w:tcPr>
          <w:p w14:paraId="2C72EE73" w14:textId="77777777" w:rsidR="001F0B27" w:rsidRPr="00AF19BB" w:rsidRDefault="001F0B27" w:rsidP="000408ED">
            <w:pPr>
              <w:pStyle w:val="TableText"/>
            </w:pPr>
            <w:r w:rsidRPr="00AF19BB">
              <w:t>WASH Officer</w:t>
            </w:r>
          </w:p>
        </w:tc>
        <w:tc>
          <w:tcPr>
            <w:tcW w:w="3260" w:type="dxa"/>
            <w:shd w:val="clear" w:color="auto" w:fill="FFFFFF"/>
            <w:noWrap/>
            <w:hideMark/>
          </w:tcPr>
          <w:p w14:paraId="50328F83" w14:textId="77777777" w:rsidR="001F0B27" w:rsidRPr="00AF19BB" w:rsidRDefault="001F0B27" w:rsidP="000408ED">
            <w:pPr>
              <w:pStyle w:val="TableText"/>
            </w:pPr>
            <w:r w:rsidRPr="00AF19BB">
              <w:t>Live and Learn, Solomon Islands</w:t>
            </w:r>
          </w:p>
        </w:tc>
      </w:tr>
      <w:tr w:rsidR="00AF19BB" w:rsidRPr="000408ED" w14:paraId="72D8D569" w14:textId="77777777" w:rsidTr="000408ED">
        <w:trPr>
          <w:trHeight w:val="290"/>
        </w:trPr>
        <w:tc>
          <w:tcPr>
            <w:tcW w:w="2093" w:type="dxa"/>
            <w:shd w:val="clear" w:color="auto" w:fill="FFFFFF"/>
            <w:noWrap/>
            <w:hideMark/>
          </w:tcPr>
          <w:p w14:paraId="45C7543E" w14:textId="77777777" w:rsidR="001F0B27" w:rsidRPr="00AF19BB" w:rsidRDefault="001F0B27" w:rsidP="000408ED">
            <w:pPr>
              <w:pStyle w:val="TableText"/>
            </w:pPr>
            <w:r w:rsidRPr="00AF19BB">
              <w:t>Elma Sese</w:t>
            </w:r>
          </w:p>
        </w:tc>
        <w:tc>
          <w:tcPr>
            <w:tcW w:w="4394" w:type="dxa"/>
            <w:shd w:val="clear" w:color="auto" w:fill="FFFFFF"/>
            <w:noWrap/>
            <w:hideMark/>
          </w:tcPr>
          <w:p w14:paraId="0AF7B03C" w14:textId="77777777" w:rsidR="001F0B27" w:rsidRPr="00AF19BB" w:rsidRDefault="001F0B27" w:rsidP="000408ED">
            <w:pPr>
              <w:pStyle w:val="TableText"/>
            </w:pPr>
            <w:r w:rsidRPr="00AF19BB">
              <w:t xml:space="preserve">Country Director </w:t>
            </w:r>
          </w:p>
        </w:tc>
        <w:tc>
          <w:tcPr>
            <w:tcW w:w="3260" w:type="dxa"/>
            <w:shd w:val="clear" w:color="auto" w:fill="FFFFFF"/>
            <w:noWrap/>
            <w:hideMark/>
          </w:tcPr>
          <w:p w14:paraId="5B309BE0" w14:textId="77777777" w:rsidR="001F0B27" w:rsidRPr="00AF19BB" w:rsidRDefault="001F0B27" w:rsidP="000408ED">
            <w:pPr>
              <w:pStyle w:val="TableText"/>
            </w:pPr>
            <w:r w:rsidRPr="00AF19BB">
              <w:t>Live and Learn, Solomon Islands</w:t>
            </w:r>
          </w:p>
        </w:tc>
      </w:tr>
      <w:tr w:rsidR="00AF19BB" w:rsidRPr="000408ED" w14:paraId="74E8436F" w14:textId="77777777" w:rsidTr="000408ED">
        <w:trPr>
          <w:trHeight w:val="290"/>
        </w:trPr>
        <w:tc>
          <w:tcPr>
            <w:tcW w:w="2093" w:type="dxa"/>
            <w:shd w:val="clear" w:color="auto" w:fill="FFFFFF"/>
            <w:noWrap/>
            <w:hideMark/>
          </w:tcPr>
          <w:p w14:paraId="038012B6" w14:textId="77777777" w:rsidR="001F0B27" w:rsidRPr="00AF19BB" w:rsidRDefault="001F0B27" w:rsidP="000408ED">
            <w:pPr>
              <w:pStyle w:val="TableText"/>
            </w:pPr>
            <w:r w:rsidRPr="00AF19BB">
              <w:t>Mr Hidano</w:t>
            </w:r>
          </w:p>
        </w:tc>
        <w:tc>
          <w:tcPr>
            <w:tcW w:w="4394" w:type="dxa"/>
            <w:shd w:val="clear" w:color="auto" w:fill="FFFFFF"/>
            <w:noWrap/>
            <w:hideMark/>
          </w:tcPr>
          <w:p w14:paraId="635A8371" w14:textId="77777777" w:rsidR="001F0B27" w:rsidRPr="00AF19BB" w:rsidRDefault="001F0B27" w:rsidP="000408ED">
            <w:pPr>
              <w:pStyle w:val="TableText"/>
            </w:pPr>
            <w:r w:rsidRPr="00AF19BB">
              <w:t xml:space="preserve">Assistant General Manager </w:t>
            </w:r>
          </w:p>
        </w:tc>
        <w:tc>
          <w:tcPr>
            <w:tcW w:w="3260" w:type="dxa"/>
            <w:shd w:val="clear" w:color="auto" w:fill="FFFFFF"/>
            <w:noWrap/>
            <w:hideMark/>
          </w:tcPr>
          <w:p w14:paraId="22717027" w14:textId="77777777" w:rsidR="001F0B27" w:rsidRPr="00AF19BB" w:rsidRDefault="001F0B27" w:rsidP="000408ED">
            <w:pPr>
              <w:pStyle w:val="TableText"/>
            </w:pPr>
            <w:r w:rsidRPr="00AF19BB">
              <w:t>Mendana Hotel</w:t>
            </w:r>
          </w:p>
        </w:tc>
      </w:tr>
      <w:tr w:rsidR="00AF19BB" w:rsidRPr="000408ED" w14:paraId="4EF0B590" w14:textId="77777777" w:rsidTr="000408ED">
        <w:trPr>
          <w:trHeight w:val="290"/>
        </w:trPr>
        <w:tc>
          <w:tcPr>
            <w:tcW w:w="2093" w:type="dxa"/>
            <w:shd w:val="clear" w:color="auto" w:fill="FFFFFF"/>
            <w:noWrap/>
            <w:hideMark/>
          </w:tcPr>
          <w:p w14:paraId="0D6FED2B" w14:textId="77777777" w:rsidR="001F0B27" w:rsidRPr="00AF19BB" w:rsidRDefault="001F0B27" w:rsidP="000408ED">
            <w:pPr>
              <w:pStyle w:val="TableText"/>
            </w:pPr>
            <w:r w:rsidRPr="00AF19BB">
              <w:t>Rose Tungale Kitua</w:t>
            </w:r>
          </w:p>
        </w:tc>
        <w:tc>
          <w:tcPr>
            <w:tcW w:w="4394" w:type="dxa"/>
            <w:shd w:val="clear" w:color="auto" w:fill="FFFFFF"/>
            <w:noWrap/>
            <w:hideMark/>
          </w:tcPr>
          <w:p w14:paraId="19EA3735" w14:textId="77777777" w:rsidR="001F0B27" w:rsidRPr="00AF19BB" w:rsidRDefault="001F0B27" w:rsidP="000408ED">
            <w:pPr>
              <w:pStyle w:val="TableText"/>
            </w:pPr>
            <w:r w:rsidRPr="00AF19BB">
              <w:t xml:space="preserve">Undersecretary (NAO Projects) </w:t>
            </w:r>
          </w:p>
        </w:tc>
        <w:tc>
          <w:tcPr>
            <w:tcW w:w="3260" w:type="dxa"/>
            <w:shd w:val="clear" w:color="auto" w:fill="FFFFFF"/>
            <w:noWrap/>
            <w:hideMark/>
          </w:tcPr>
          <w:p w14:paraId="4954A2A7" w14:textId="77777777" w:rsidR="001F0B27" w:rsidRPr="00AF19BB" w:rsidRDefault="001F0B27" w:rsidP="000408ED">
            <w:pPr>
              <w:pStyle w:val="TableText"/>
            </w:pPr>
            <w:r w:rsidRPr="00AF19BB">
              <w:t>Ministry of Development Planning and Aid Coordination</w:t>
            </w:r>
          </w:p>
        </w:tc>
      </w:tr>
      <w:tr w:rsidR="00AF19BB" w:rsidRPr="000408ED" w14:paraId="79AF5A79" w14:textId="77777777" w:rsidTr="000408ED">
        <w:trPr>
          <w:trHeight w:val="290"/>
        </w:trPr>
        <w:tc>
          <w:tcPr>
            <w:tcW w:w="2093" w:type="dxa"/>
            <w:shd w:val="clear" w:color="auto" w:fill="FFFFFF"/>
            <w:noWrap/>
            <w:hideMark/>
          </w:tcPr>
          <w:p w14:paraId="03722770" w14:textId="77777777" w:rsidR="001F0B27" w:rsidRPr="00AF19BB" w:rsidRDefault="001F0B27" w:rsidP="000408ED">
            <w:pPr>
              <w:pStyle w:val="TableText"/>
            </w:pPr>
            <w:r w:rsidRPr="00AF19BB">
              <w:t>Mathew Walekoro</w:t>
            </w:r>
          </w:p>
        </w:tc>
        <w:tc>
          <w:tcPr>
            <w:tcW w:w="4394" w:type="dxa"/>
            <w:shd w:val="clear" w:color="auto" w:fill="FFFFFF"/>
            <w:noWrap/>
            <w:hideMark/>
          </w:tcPr>
          <w:p w14:paraId="4D5FAA29" w14:textId="77777777" w:rsidR="001F0B27" w:rsidRPr="00AF19BB" w:rsidRDefault="001F0B27" w:rsidP="000408ED">
            <w:pPr>
              <w:pStyle w:val="TableText"/>
            </w:pPr>
            <w:r w:rsidRPr="00AF19BB">
              <w:t>Principal Planning Officer</w:t>
            </w:r>
          </w:p>
        </w:tc>
        <w:tc>
          <w:tcPr>
            <w:tcW w:w="3260" w:type="dxa"/>
            <w:shd w:val="clear" w:color="auto" w:fill="FFFFFF"/>
            <w:noWrap/>
            <w:hideMark/>
          </w:tcPr>
          <w:p w14:paraId="6A0FC2C1" w14:textId="77777777" w:rsidR="001F0B27" w:rsidRPr="00AF19BB" w:rsidRDefault="001F0B27" w:rsidP="000408ED">
            <w:pPr>
              <w:pStyle w:val="TableText"/>
            </w:pPr>
            <w:r w:rsidRPr="00AF19BB">
              <w:t>Ministry of Development Planning and Aid Coordination</w:t>
            </w:r>
          </w:p>
        </w:tc>
      </w:tr>
      <w:tr w:rsidR="00AF19BB" w:rsidRPr="000408ED" w14:paraId="7E0C8186" w14:textId="77777777" w:rsidTr="000408ED">
        <w:trPr>
          <w:trHeight w:val="290"/>
        </w:trPr>
        <w:tc>
          <w:tcPr>
            <w:tcW w:w="2093" w:type="dxa"/>
            <w:shd w:val="clear" w:color="auto" w:fill="FFFFFF"/>
            <w:noWrap/>
            <w:hideMark/>
          </w:tcPr>
          <w:p w14:paraId="572ED788" w14:textId="77777777" w:rsidR="001F0B27" w:rsidRPr="00AF19BB" w:rsidRDefault="001F0B27" w:rsidP="000408ED">
            <w:pPr>
              <w:pStyle w:val="TableText"/>
            </w:pPr>
            <w:r w:rsidRPr="00AF19BB">
              <w:t>Rexson Ramofafia</w:t>
            </w:r>
          </w:p>
        </w:tc>
        <w:tc>
          <w:tcPr>
            <w:tcW w:w="4394" w:type="dxa"/>
            <w:shd w:val="clear" w:color="auto" w:fill="FFFFFF"/>
            <w:noWrap/>
            <w:hideMark/>
          </w:tcPr>
          <w:p w14:paraId="3B0F54BF" w14:textId="77777777" w:rsidR="001F0B27" w:rsidRPr="00AF19BB" w:rsidRDefault="001F0B27" w:rsidP="000408ED">
            <w:pPr>
              <w:pStyle w:val="TableText"/>
            </w:pPr>
            <w:r w:rsidRPr="00AF19BB">
              <w:t>Economic Reform Unit</w:t>
            </w:r>
          </w:p>
        </w:tc>
        <w:tc>
          <w:tcPr>
            <w:tcW w:w="3260" w:type="dxa"/>
            <w:shd w:val="clear" w:color="auto" w:fill="FFFFFF"/>
            <w:noWrap/>
            <w:hideMark/>
          </w:tcPr>
          <w:p w14:paraId="56330325" w14:textId="77777777" w:rsidR="001F0B27" w:rsidRPr="00AF19BB" w:rsidRDefault="001F0B27" w:rsidP="000408ED">
            <w:pPr>
              <w:pStyle w:val="TableText"/>
            </w:pPr>
            <w:r w:rsidRPr="00AF19BB">
              <w:t>Ministry of Finance</w:t>
            </w:r>
            <w:r w:rsidR="00AF03B9">
              <w:t xml:space="preserve"> and Treasury</w:t>
            </w:r>
          </w:p>
        </w:tc>
      </w:tr>
      <w:tr w:rsidR="00AF19BB" w:rsidRPr="000408ED" w14:paraId="4B81A14F" w14:textId="77777777" w:rsidTr="000408ED">
        <w:trPr>
          <w:trHeight w:val="290"/>
        </w:trPr>
        <w:tc>
          <w:tcPr>
            <w:tcW w:w="2093" w:type="dxa"/>
            <w:shd w:val="clear" w:color="auto" w:fill="FFFFFF"/>
            <w:noWrap/>
            <w:hideMark/>
          </w:tcPr>
          <w:p w14:paraId="40D1DEC7" w14:textId="77777777" w:rsidR="001F0B27" w:rsidRPr="00AF19BB" w:rsidRDefault="001F0B27" w:rsidP="000408ED">
            <w:pPr>
              <w:pStyle w:val="TableText"/>
            </w:pPr>
            <w:r w:rsidRPr="00AF19BB">
              <w:t>Tina Rinaldo</w:t>
            </w:r>
          </w:p>
        </w:tc>
        <w:tc>
          <w:tcPr>
            <w:tcW w:w="4394" w:type="dxa"/>
            <w:shd w:val="clear" w:color="auto" w:fill="FFFFFF"/>
            <w:noWrap/>
            <w:hideMark/>
          </w:tcPr>
          <w:p w14:paraId="4E5C3DC0" w14:textId="77777777" w:rsidR="001F0B27" w:rsidRPr="00AF19BB" w:rsidRDefault="001F0B27" w:rsidP="000408ED">
            <w:pPr>
              <w:pStyle w:val="TableText"/>
            </w:pPr>
            <w:r w:rsidRPr="00AF19BB">
              <w:t>Economic Reform Unit</w:t>
            </w:r>
          </w:p>
        </w:tc>
        <w:tc>
          <w:tcPr>
            <w:tcW w:w="3260" w:type="dxa"/>
            <w:shd w:val="clear" w:color="auto" w:fill="FFFFFF"/>
            <w:noWrap/>
            <w:hideMark/>
          </w:tcPr>
          <w:p w14:paraId="43B9D733" w14:textId="77777777" w:rsidR="001F0B27" w:rsidRPr="00AF19BB" w:rsidRDefault="001F0B27" w:rsidP="000408ED">
            <w:pPr>
              <w:pStyle w:val="TableText"/>
            </w:pPr>
            <w:r w:rsidRPr="00AF19BB">
              <w:t>Ministry of Finance</w:t>
            </w:r>
            <w:r w:rsidR="00AF03B9">
              <w:t xml:space="preserve"> and Treasury</w:t>
            </w:r>
          </w:p>
        </w:tc>
      </w:tr>
      <w:tr w:rsidR="00AF19BB" w:rsidRPr="000408ED" w14:paraId="5330838D" w14:textId="77777777" w:rsidTr="000408ED">
        <w:trPr>
          <w:trHeight w:val="290"/>
        </w:trPr>
        <w:tc>
          <w:tcPr>
            <w:tcW w:w="2093" w:type="dxa"/>
            <w:shd w:val="clear" w:color="auto" w:fill="FFFFFF"/>
            <w:noWrap/>
            <w:hideMark/>
          </w:tcPr>
          <w:p w14:paraId="47162F1D" w14:textId="77777777" w:rsidR="001F0B27" w:rsidRPr="00AF19BB" w:rsidRDefault="001F0B27" w:rsidP="000408ED">
            <w:pPr>
              <w:pStyle w:val="TableText"/>
            </w:pPr>
            <w:r w:rsidRPr="00AF19BB">
              <w:t>Tom Nanau</w:t>
            </w:r>
          </w:p>
        </w:tc>
        <w:tc>
          <w:tcPr>
            <w:tcW w:w="4394" w:type="dxa"/>
            <w:shd w:val="clear" w:color="auto" w:fill="FFFFFF"/>
            <w:noWrap/>
            <w:hideMark/>
          </w:tcPr>
          <w:p w14:paraId="391A3617" w14:textId="77777777" w:rsidR="001F0B27" w:rsidRPr="00AF19BB" w:rsidRDefault="001F0B27" w:rsidP="000408ED">
            <w:pPr>
              <w:pStyle w:val="TableText"/>
            </w:pPr>
            <w:r w:rsidRPr="00AF19BB">
              <w:t>Director Environmental Health</w:t>
            </w:r>
          </w:p>
        </w:tc>
        <w:tc>
          <w:tcPr>
            <w:tcW w:w="3260" w:type="dxa"/>
            <w:shd w:val="clear" w:color="auto" w:fill="FFFFFF"/>
            <w:noWrap/>
            <w:hideMark/>
          </w:tcPr>
          <w:p w14:paraId="3D99DFEE" w14:textId="77777777" w:rsidR="001F0B27" w:rsidRPr="00AF19BB" w:rsidRDefault="001F0B27" w:rsidP="000408ED">
            <w:pPr>
              <w:pStyle w:val="TableText"/>
            </w:pPr>
            <w:r w:rsidRPr="00AF19BB">
              <w:t>Ministry of Health and Medical Services</w:t>
            </w:r>
          </w:p>
        </w:tc>
      </w:tr>
      <w:tr w:rsidR="00AF19BB" w:rsidRPr="000408ED" w14:paraId="0E18AF1D" w14:textId="77777777" w:rsidTr="000408ED">
        <w:trPr>
          <w:trHeight w:val="290"/>
        </w:trPr>
        <w:tc>
          <w:tcPr>
            <w:tcW w:w="2093" w:type="dxa"/>
            <w:shd w:val="clear" w:color="auto" w:fill="FFFFFF"/>
            <w:noWrap/>
            <w:hideMark/>
          </w:tcPr>
          <w:p w14:paraId="0733AD1D" w14:textId="77777777" w:rsidR="001F0B27" w:rsidRPr="00AF19BB" w:rsidRDefault="001F0B27" w:rsidP="000408ED">
            <w:pPr>
              <w:pStyle w:val="TableText"/>
            </w:pPr>
            <w:r w:rsidRPr="00AF19BB">
              <w:t>Alan Mcneil</w:t>
            </w:r>
          </w:p>
        </w:tc>
        <w:tc>
          <w:tcPr>
            <w:tcW w:w="4394" w:type="dxa"/>
            <w:shd w:val="clear" w:color="auto" w:fill="FFFFFF"/>
            <w:noWrap/>
            <w:hideMark/>
          </w:tcPr>
          <w:p w14:paraId="6484F2CC" w14:textId="77777777" w:rsidR="001F0B27" w:rsidRPr="00AF19BB" w:rsidRDefault="001F0B27" w:rsidP="000408ED">
            <w:pPr>
              <w:pStyle w:val="TableText"/>
            </w:pPr>
            <w:r w:rsidRPr="00AF19BB">
              <w:t>Chief Technical Adviser</w:t>
            </w:r>
          </w:p>
        </w:tc>
        <w:tc>
          <w:tcPr>
            <w:tcW w:w="3260" w:type="dxa"/>
            <w:shd w:val="clear" w:color="auto" w:fill="FFFFFF"/>
            <w:noWrap/>
            <w:hideMark/>
          </w:tcPr>
          <w:p w14:paraId="5B635DF7" w14:textId="77777777" w:rsidR="001F0B27" w:rsidRPr="00AF19BB" w:rsidRDefault="001F0B27" w:rsidP="000408ED">
            <w:pPr>
              <w:pStyle w:val="TableText"/>
            </w:pPr>
            <w:r w:rsidRPr="00AF19BB">
              <w:t>Ministry of Lands, Housing and Survey</w:t>
            </w:r>
          </w:p>
        </w:tc>
      </w:tr>
      <w:tr w:rsidR="00AF19BB" w:rsidRPr="000408ED" w14:paraId="4C58F1F5" w14:textId="77777777" w:rsidTr="000408ED">
        <w:trPr>
          <w:trHeight w:val="290"/>
        </w:trPr>
        <w:tc>
          <w:tcPr>
            <w:tcW w:w="2093" w:type="dxa"/>
            <w:shd w:val="clear" w:color="auto" w:fill="FFFFFF"/>
            <w:noWrap/>
            <w:hideMark/>
          </w:tcPr>
          <w:p w14:paraId="6402B1F7" w14:textId="77777777" w:rsidR="001F0B27" w:rsidRPr="00AF19BB" w:rsidRDefault="001F0B27" w:rsidP="000408ED">
            <w:pPr>
              <w:pStyle w:val="TableText"/>
            </w:pPr>
            <w:r w:rsidRPr="00AF19BB">
              <w:t>Isaac Lekelalu</w:t>
            </w:r>
          </w:p>
        </w:tc>
        <w:tc>
          <w:tcPr>
            <w:tcW w:w="4394" w:type="dxa"/>
            <w:shd w:val="clear" w:color="auto" w:fill="FFFFFF"/>
            <w:noWrap/>
            <w:hideMark/>
          </w:tcPr>
          <w:p w14:paraId="5672470B" w14:textId="77777777" w:rsidR="001F0B27" w:rsidRPr="00AF19BB" w:rsidRDefault="001F0B27" w:rsidP="000408ED">
            <w:pPr>
              <w:pStyle w:val="TableText"/>
            </w:pPr>
            <w:r w:rsidRPr="00AF19BB">
              <w:t>Deputy Director Water Resources</w:t>
            </w:r>
          </w:p>
        </w:tc>
        <w:tc>
          <w:tcPr>
            <w:tcW w:w="3260" w:type="dxa"/>
            <w:shd w:val="clear" w:color="auto" w:fill="FFFFFF"/>
            <w:noWrap/>
            <w:hideMark/>
          </w:tcPr>
          <w:p w14:paraId="791C4390" w14:textId="77777777" w:rsidR="001F0B27" w:rsidRPr="00AF19BB" w:rsidRDefault="001F0B27" w:rsidP="000408ED">
            <w:pPr>
              <w:pStyle w:val="TableText"/>
            </w:pPr>
            <w:r w:rsidRPr="00AF19BB">
              <w:t>Ministry of Mines, Energy and Rural Electrification</w:t>
            </w:r>
          </w:p>
        </w:tc>
      </w:tr>
      <w:tr w:rsidR="00AF19BB" w:rsidRPr="000408ED" w14:paraId="0B835B67" w14:textId="77777777" w:rsidTr="000408ED">
        <w:trPr>
          <w:trHeight w:val="290"/>
        </w:trPr>
        <w:tc>
          <w:tcPr>
            <w:tcW w:w="2093" w:type="dxa"/>
            <w:shd w:val="clear" w:color="auto" w:fill="FFFFFF"/>
            <w:noWrap/>
            <w:hideMark/>
          </w:tcPr>
          <w:p w14:paraId="0B472D95" w14:textId="77777777" w:rsidR="001F0B27" w:rsidRPr="00AF19BB" w:rsidRDefault="001F0B27" w:rsidP="000408ED">
            <w:pPr>
              <w:pStyle w:val="TableText"/>
            </w:pPr>
            <w:r w:rsidRPr="00AF19BB">
              <w:t>Dr Steve Aumanu</w:t>
            </w:r>
          </w:p>
        </w:tc>
        <w:tc>
          <w:tcPr>
            <w:tcW w:w="4394" w:type="dxa"/>
            <w:shd w:val="clear" w:color="auto" w:fill="FFFFFF"/>
            <w:noWrap/>
            <w:hideMark/>
          </w:tcPr>
          <w:p w14:paraId="44AC5DFB" w14:textId="77777777" w:rsidR="001F0B27" w:rsidRPr="00AF19BB" w:rsidRDefault="001F0B27" w:rsidP="000408ED">
            <w:pPr>
              <w:pStyle w:val="TableText"/>
            </w:pPr>
            <w:r w:rsidRPr="00AF19BB">
              <w:t>Chief Executive Officer</w:t>
            </w:r>
          </w:p>
        </w:tc>
        <w:tc>
          <w:tcPr>
            <w:tcW w:w="3260" w:type="dxa"/>
            <w:shd w:val="clear" w:color="auto" w:fill="FFFFFF"/>
            <w:noWrap/>
            <w:hideMark/>
          </w:tcPr>
          <w:p w14:paraId="239E5082" w14:textId="77777777" w:rsidR="001F0B27" w:rsidRPr="00AF19BB" w:rsidRDefault="001F0B27" w:rsidP="000408ED">
            <w:pPr>
              <w:pStyle w:val="TableText"/>
            </w:pPr>
            <w:r w:rsidRPr="00AF19BB">
              <w:t xml:space="preserve">National Referral Hospital </w:t>
            </w:r>
          </w:p>
        </w:tc>
      </w:tr>
      <w:tr w:rsidR="00AF19BB" w:rsidRPr="000408ED" w14:paraId="4FD721FA" w14:textId="77777777" w:rsidTr="000408ED">
        <w:trPr>
          <w:trHeight w:val="290"/>
        </w:trPr>
        <w:tc>
          <w:tcPr>
            <w:tcW w:w="2093" w:type="dxa"/>
            <w:shd w:val="clear" w:color="auto" w:fill="FFFFFF"/>
            <w:noWrap/>
            <w:hideMark/>
          </w:tcPr>
          <w:p w14:paraId="49563F88" w14:textId="77777777" w:rsidR="001F0B27" w:rsidRPr="00AF19BB" w:rsidRDefault="001F0B27" w:rsidP="000408ED">
            <w:pPr>
              <w:pStyle w:val="TableText"/>
            </w:pPr>
            <w:r w:rsidRPr="00AF19BB">
              <w:t>Erin Anderson</w:t>
            </w:r>
          </w:p>
        </w:tc>
        <w:tc>
          <w:tcPr>
            <w:tcW w:w="4394" w:type="dxa"/>
            <w:shd w:val="clear" w:color="auto" w:fill="FFFFFF"/>
            <w:noWrap/>
            <w:hideMark/>
          </w:tcPr>
          <w:p w14:paraId="0CD01854" w14:textId="77777777" w:rsidR="001F0B27" w:rsidRPr="00AF19BB" w:rsidRDefault="001F0B27" w:rsidP="000408ED">
            <w:pPr>
              <w:pStyle w:val="TableText"/>
            </w:pPr>
            <w:r w:rsidRPr="00AF19BB">
              <w:t>Facility Manager</w:t>
            </w:r>
          </w:p>
        </w:tc>
        <w:tc>
          <w:tcPr>
            <w:tcW w:w="3260" w:type="dxa"/>
            <w:shd w:val="clear" w:color="auto" w:fill="FFFFFF"/>
            <w:noWrap/>
            <w:hideMark/>
          </w:tcPr>
          <w:p w14:paraId="264212C7" w14:textId="77777777" w:rsidR="001F0B27" w:rsidRPr="00AF19BB" w:rsidRDefault="001F0B27" w:rsidP="000408ED">
            <w:pPr>
              <w:pStyle w:val="TableText"/>
            </w:pPr>
            <w:r w:rsidRPr="00AF19BB">
              <w:t>Solomon Islands Resource Facility</w:t>
            </w:r>
          </w:p>
        </w:tc>
      </w:tr>
      <w:tr w:rsidR="00AF19BB" w:rsidRPr="000408ED" w14:paraId="740CE031" w14:textId="77777777" w:rsidTr="000408ED">
        <w:trPr>
          <w:trHeight w:val="290"/>
        </w:trPr>
        <w:tc>
          <w:tcPr>
            <w:tcW w:w="2093" w:type="dxa"/>
            <w:shd w:val="clear" w:color="auto" w:fill="FFFFFF"/>
            <w:noWrap/>
            <w:hideMark/>
          </w:tcPr>
          <w:p w14:paraId="0B3F4AD1" w14:textId="77777777" w:rsidR="001F0B27" w:rsidRPr="00AF19BB" w:rsidRDefault="001F0B27" w:rsidP="000408ED">
            <w:pPr>
              <w:pStyle w:val="TableText"/>
            </w:pPr>
            <w:r w:rsidRPr="00AF19BB">
              <w:t>Pradip Verma</w:t>
            </w:r>
          </w:p>
        </w:tc>
        <w:tc>
          <w:tcPr>
            <w:tcW w:w="4394" w:type="dxa"/>
            <w:shd w:val="clear" w:color="auto" w:fill="FFFFFF"/>
            <w:noWrap/>
            <w:hideMark/>
          </w:tcPr>
          <w:p w14:paraId="1625E2FC" w14:textId="77777777" w:rsidR="001F0B27" w:rsidRPr="00AF19BB" w:rsidRDefault="001F0B27" w:rsidP="000408ED">
            <w:pPr>
              <w:pStyle w:val="TableText"/>
            </w:pPr>
            <w:r w:rsidRPr="00AF19BB">
              <w:t>Chief Executive Officer</w:t>
            </w:r>
          </w:p>
        </w:tc>
        <w:tc>
          <w:tcPr>
            <w:tcW w:w="3260" w:type="dxa"/>
            <w:shd w:val="clear" w:color="auto" w:fill="FFFFFF"/>
            <w:noWrap/>
            <w:hideMark/>
          </w:tcPr>
          <w:p w14:paraId="468193B8" w14:textId="77777777" w:rsidR="001F0B27" w:rsidRPr="00AF19BB" w:rsidRDefault="001F0B27" w:rsidP="000408ED">
            <w:pPr>
              <w:pStyle w:val="TableText"/>
            </w:pPr>
            <w:r w:rsidRPr="00AF19BB">
              <w:t>Solomon Power</w:t>
            </w:r>
          </w:p>
        </w:tc>
      </w:tr>
      <w:tr w:rsidR="00AF19BB" w:rsidRPr="000408ED" w14:paraId="7E8B7214" w14:textId="77777777" w:rsidTr="000408ED">
        <w:trPr>
          <w:trHeight w:val="290"/>
        </w:trPr>
        <w:tc>
          <w:tcPr>
            <w:tcW w:w="2093" w:type="dxa"/>
            <w:shd w:val="clear" w:color="auto" w:fill="FFFFFF"/>
            <w:noWrap/>
            <w:hideMark/>
          </w:tcPr>
          <w:p w14:paraId="2D01BCA6" w14:textId="77777777" w:rsidR="001F0B27" w:rsidRPr="00AF19BB" w:rsidRDefault="001F0B27" w:rsidP="000408ED">
            <w:pPr>
              <w:pStyle w:val="TableText"/>
            </w:pPr>
            <w:r w:rsidRPr="00AF19BB">
              <w:t>Amy Dysart</w:t>
            </w:r>
          </w:p>
        </w:tc>
        <w:tc>
          <w:tcPr>
            <w:tcW w:w="4394" w:type="dxa"/>
            <w:shd w:val="clear" w:color="auto" w:fill="FFFFFF"/>
            <w:noWrap/>
            <w:hideMark/>
          </w:tcPr>
          <w:p w14:paraId="36AF0818" w14:textId="77777777" w:rsidR="001F0B27" w:rsidRPr="00AF19BB" w:rsidRDefault="001F0B27" w:rsidP="000408ED">
            <w:pPr>
              <w:pStyle w:val="TableText"/>
            </w:pPr>
            <w:r w:rsidRPr="00AF19BB">
              <w:t xml:space="preserve">Country Director </w:t>
            </w:r>
          </w:p>
        </w:tc>
        <w:tc>
          <w:tcPr>
            <w:tcW w:w="3260" w:type="dxa"/>
            <w:shd w:val="clear" w:color="auto" w:fill="FFFFFF"/>
            <w:noWrap/>
            <w:hideMark/>
          </w:tcPr>
          <w:p w14:paraId="73D647BF" w14:textId="77777777" w:rsidR="001F0B27" w:rsidRPr="00AF19BB" w:rsidRDefault="001F0B27" w:rsidP="000408ED">
            <w:pPr>
              <w:pStyle w:val="TableText"/>
            </w:pPr>
            <w:r w:rsidRPr="00AF19BB">
              <w:t>Water Aid Solomon Islands</w:t>
            </w:r>
          </w:p>
        </w:tc>
      </w:tr>
      <w:tr w:rsidR="00AF19BB" w:rsidRPr="000408ED" w14:paraId="60B9E696" w14:textId="77777777" w:rsidTr="000408ED">
        <w:trPr>
          <w:trHeight w:val="290"/>
        </w:trPr>
        <w:tc>
          <w:tcPr>
            <w:tcW w:w="6487" w:type="dxa"/>
            <w:gridSpan w:val="2"/>
            <w:shd w:val="clear" w:color="auto" w:fill="FFFFFF"/>
            <w:noWrap/>
            <w:hideMark/>
          </w:tcPr>
          <w:p w14:paraId="46A467AB" w14:textId="77777777" w:rsidR="001F0B27" w:rsidRPr="00AF19BB" w:rsidRDefault="001F0B27" w:rsidP="000408ED">
            <w:pPr>
              <w:pStyle w:val="TableText"/>
            </w:pPr>
            <w:r w:rsidRPr="00AF19BB">
              <w:t xml:space="preserve">Angeline Hirita Bataanisia </w:t>
            </w:r>
          </w:p>
        </w:tc>
        <w:tc>
          <w:tcPr>
            <w:tcW w:w="3260" w:type="dxa"/>
            <w:shd w:val="clear" w:color="auto" w:fill="FFFFFF"/>
            <w:noWrap/>
            <w:hideMark/>
          </w:tcPr>
          <w:p w14:paraId="2C29F572" w14:textId="77777777" w:rsidR="001F0B27" w:rsidRPr="00AF19BB" w:rsidRDefault="001F0B27" w:rsidP="000408ED">
            <w:pPr>
              <w:pStyle w:val="TableText"/>
            </w:pPr>
            <w:r w:rsidRPr="00AF19BB">
              <w:t>World Bank</w:t>
            </w:r>
          </w:p>
        </w:tc>
      </w:tr>
      <w:tr w:rsidR="00AF19BB" w:rsidRPr="000408ED" w14:paraId="515F142A" w14:textId="77777777" w:rsidTr="000408ED">
        <w:trPr>
          <w:trHeight w:val="290"/>
        </w:trPr>
        <w:tc>
          <w:tcPr>
            <w:tcW w:w="2093" w:type="dxa"/>
            <w:shd w:val="clear" w:color="auto" w:fill="FFFFFF"/>
            <w:noWrap/>
            <w:hideMark/>
          </w:tcPr>
          <w:p w14:paraId="56CFEFF8" w14:textId="77777777" w:rsidR="001F0B27" w:rsidRPr="00AF19BB" w:rsidRDefault="001F0B27" w:rsidP="000408ED">
            <w:pPr>
              <w:pStyle w:val="TableText"/>
            </w:pPr>
            <w:r w:rsidRPr="00AF19BB">
              <w:t>Adrian Koochew</w:t>
            </w:r>
          </w:p>
        </w:tc>
        <w:tc>
          <w:tcPr>
            <w:tcW w:w="4394" w:type="dxa"/>
            <w:shd w:val="clear" w:color="auto" w:fill="FFFFFF"/>
            <w:noWrap/>
            <w:hideMark/>
          </w:tcPr>
          <w:p w14:paraId="0235D104" w14:textId="77777777" w:rsidR="001F0B27" w:rsidRPr="00AF19BB" w:rsidRDefault="001F0B27" w:rsidP="000408ED">
            <w:pPr>
              <w:pStyle w:val="TableText"/>
            </w:pPr>
            <w:r w:rsidRPr="00AF19BB">
              <w:t>Public Financial Management Specialist, Health, Nutrition &amp; Population</w:t>
            </w:r>
          </w:p>
        </w:tc>
        <w:tc>
          <w:tcPr>
            <w:tcW w:w="3260" w:type="dxa"/>
            <w:shd w:val="clear" w:color="auto" w:fill="FFFFFF"/>
            <w:noWrap/>
            <w:hideMark/>
          </w:tcPr>
          <w:p w14:paraId="65A04AB6" w14:textId="77777777" w:rsidR="001F0B27" w:rsidRPr="00AF19BB" w:rsidRDefault="001F0B27" w:rsidP="000408ED">
            <w:pPr>
              <w:pStyle w:val="TableText"/>
            </w:pPr>
            <w:r w:rsidRPr="00AF19BB">
              <w:t>World Bank</w:t>
            </w:r>
          </w:p>
        </w:tc>
      </w:tr>
      <w:tr w:rsidR="00AF19BB" w:rsidRPr="000408ED" w14:paraId="38FF17A2" w14:textId="77777777" w:rsidTr="000408ED">
        <w:trPr>
          <w:trHeight w:val="290"/>
        </w:trPr>
        <w:tc>
          <w:tcPr>
            <w:tcW w:w="2093" w:type="dxa"/>
            <w:shd w:val="clear" w:color="auto" w:fill="FFFFFF"/>
            <w:noWrap/>
            <w:hideMark/>
          </w:tcPr>
          <w:p w14:paraId="47957D41" w14:textId="77777777" w:rsidR="001F0B27" w:rsidRPr="00AF19BB" w:rsidRDefault="001F0B27" w:rsidP="000408ED">
            <w:pPr>
              <w:pStyle w:val="TableText"/>
            </w:pPr>
            <w:r w:rsidRPr="00AF19BB">
              <w:t>Julianne Oge</w:t>
            </w:r>
          </w:p>
        </w:tc>
        <w:tc>
          <w:tcPr>
            <w:tcW w:w="4394" w:type="dxa"/>
            <w:shd w:val="clear" w:color="auto" w:fill="FFFFFF"/>
            <w:noWrap/>
            <w:hideMark/>
          </w:tcPr>
          <w:p w14:paraId="4CF2F2F7" w14:textId="77777777" w:rsidR="001F0B27" w:rsidRPr="00AF19BB" w:rsidRDefault="001F0B27" w:rsidP="000408ED">
            <w:pPr>
              <w:pStyle w:val="TableText"/>
            </w:pPr>
            <w:r w:rsidRPr="00AF19BB">
              <w:t xml:space="preserve">Honiara Area Manager </w:t>
            </w:r>
          </w:p>
        </w:tc>
        <w:tc>
          <w:tcPr>
            <w:tcW w:w="3260" w:type="dxa"/>
            <w:shd w:val="clear" w:color="auto" w:fill="FFFFFF"/>
            <w:noWrap/>
            <w:hideMark/>
          </w:tcPr>
          <w:p w14:paraId="1F5FCB18" w14:textId="77777777" w:rsidR="001F0B27" w:rsidRPr="00AF19BB" w:rsidRDefault="001F0B27" w:rsidP="000408ED">
            <w:pPr>
              <w:pStyle w:val="TableText"/>
            </w:pPr>
            <w:r w:rsidRPr="00AF19BB">
              <w:t>World Vision International</w:t>
            </w:r>
          </w:p>
        </w:tc>
      </w:tr>
      <w:tr w:rsidR="00AF19BB" w:rsidRPr="000408ED" w14:paraId="419937C6" w14:textId="77777777" w:rsidTr="000408ED">
        <w:trPr>
          <w:trHeight w:val="290"/>
        </w:trPr>
        <w:tc>
          <w:tcPr>
            <w:tcW w:w="2093" w:type="dxa"/>
            <w:shd w:val="clear" w:color="auto" w:fill="FFFFFF"/>
            <w:noWrap/>
            <w:hideMark/>
          </w:tcPr>
          <w:p w14:paraId="2D3A795F" w14:textId="77777777" w:rsidR="001F0B27" w:rsidRPr="00AF19BB" w:rsidRDefault="001F0B27" w:rsidP="000408ED">
            <w:pPr>
              <w:pStyle w:val="TableText"/>
            </w:pPr>
            <w:r w:rsidRPr="00AF19BB">
              <w:t> </w:t>
            </w:r>
            <w:r w:rsidR="002D1321">
              <w:t>Emma Aquila</w:t>
            </w:r>
          </w:p>
        </w:tc>
        <w:tc>
          <w:tcPr>
            <w:tcW w:w="4394" w:type="dxa"/>
            <w:shd w:val="clear" w:color="auto" w:fill="FFFFFF"/>
            <w:noWrap/>
            <w:hideMark/>
          </w:tcPr>
          <w:p w14:paraId="374EEAFC" w14:textId="77777777" w:rsidR="001F0B27" w:rsidRPr="00AF19BB" w:rsidRDefault="001F0B27" w:rsidP="000408ED">
            <w:pPr>
              <w:pStyle w:val="TableText"/>
            </w:pPr>
            <w:r w:rsidRPr="00AF19BB">
              <w:t>Urban wash project coordinator</w:t>
            </w:r>
          </w:p>
        </w:tc>
        <w:tc>
          <w:tcPr>
            <w:tcW w:w="3260" w:type="dxa"/>
            <w:shd w:val="clear" w:color="auto" w:fill="FFFFFF"/>
            <w:noWrap/>
            <w:hideMark/>
          </w:tcPr>
          <w:p w14:paraId="6999853C" w14:textId="77777777" w:rsidR="001F0B27" w:rsidRPr="00AF19BB" w:rsidRDefault="001F0B27" w:rsidP="000408ED">
            <w:pPr>
              <w:pStyle w:val="TableText"/>
            </w:pPr>
            <w:r w:rsidRPr="00AF19BB">
              <w:t>World Vision International</w:t>
            </w:r>
          </w:p>
        </w:tc>
      </w:tr>
    </w:tbl>
    <w:p w14:paraId="2DFD6CC4" w14:textId="77777777" w:rsidR="00C97A8C" w:rsidRDefault="008E15C3" w:rsidP="00BE3345">
      <w:pPr>
        <w:pStyle w:val="SectionTitle"/>
      </w:pPr>
      <w:bookmarkStart w:id="40" w:name="_Toc453956004"/>
      <w:bookmarkStart w:id="41" w:name="_Toc361402805"/>
      <w:r>
        <w:lastRenderedPageBreak/>
        <w:t>Appendix D:</w:t>
      </w:r>
      <w:r w:rsidR="00C97A8C">
        <w:t xml:space="preserve"> Summary of relevant Solomon Islands legislation</w:t>
      </w:r>
      <w:bookmarkEnd w:id="40"/>
      <w:r>
        <w:t xml:space="preserve"> </w:t>
      </w:r>
    </w:p>
    <w:tbl>
      <w:tblPr>
        <w:tblW w:w="5000" w:type="pct"/>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2939"/>
        <w:gridCol w:w="6087"/>
      </w:tblGrid>
      <w:tr w:rsidR="00C97A8C" w14:paraId="36820176" w14:textId="77777777" w:rsidTr="003B09BE">
        <w:tc>
          <w:tcPr>
            <w:tcW w:w="1628" w:type="pct"/>
            <w:shd w:val="clear" w:color="auto" w:fill="007FAD"/>
          </w:tcPr>
          <w:p w14:paraId="6E4259C4" w14:textId="77777777" w:rsidR="00C97A8C" w:rsidRDefault="00C97A8C" w:rsidP="003B09BE">
            <w:pPr>
              <w:pStyle w:val="TableHeading2"/>
            </w:pPr>
            <w:r>
              <w:t>Legislation</w:t>
            </w:r>
          </w:p>
        </w:tc>
        <w:tc>
          <w:tcPr>
            <w:tcW w:w="3372" w:type="pct"/>
            <w:shd w:val="clear" w:color="auto" w:fill="007FAD"/>
          </w:tcPr>
          <w:p w14:paraId="027AA7BF" w14:textId="77777777" w:rsidR="00C97A8C" w:rsidRDefault="00C97A8C" w:rsidP="003B09BE">
            <w:pPr>
              <w:pStyle w:val="TableHeading2"/>
            </w:pPr>
            <w:r>
              <w:t>Summary</w:t>
            </w:r>
          </w:p>
        </w:tc>
      </w:tr>
      <w:tr w:rsidR="00C97A8C" w14:paraId="4C51D945" w14:textId="77777777" w:rsidTr="003B09BE">
        <w:tc>
          <w:tcPr>
            <w:tcW w:w="1628" w:type="pct"/>
            <w:shd w:val="clear" w:color="auto" w:fill="FFFFFF"/>
          </w:tcPr>
          <w:p w14:paraId="347ED2C1" w14:textId="77777777" w:rsidR="00C97A8C" w:rsidRDefault="00C97A8C" w:rsidP="003B09BE">
            <w:pPr>
              <w:pStyle w:val="TableText"/>
            </w:pPr>
            <w:r>
              <w:t>Solomon Island</w:t>
            </w:r>
            <w:r w:rsidR="00AF03B9">
              <w:t>s</w:t>
            </w:r>
            <w:r>
              <w:t xml:space="preserve"> Water Authority Act 1992</w:t>
            </w:r>
          </w:p>
          <w:p w14:paraId="0067FA27" w14:textId="77777777" w:rsidR="00C97A8C" w:rsidRPr="00191501" w:rsidRDefault="00C97A8C" w:rsidP="003B09BE">
            <w:pPr>
              <w:pStyle w:val="TableText"/>
              <w:rPr>
                <w:rFonts w:ascii="Calibri-Bold" w:hAnsi="Calibri-Bold" w:cs="Calibri-Bold"/>
                <w:b/>
                <w:bCs/>
              </w:rPr>
            </w:pPr>
          </w:p>
        </w:tc>
        <w:tc>
          <w:tcPr>
            <w:tcW w:w="3372" w:type="pct"/>
            <w:shd w:val="clear" w:color="auto" w:fill="FFFFFF"/>
          </w:tcPr>
          <w:p w14:paraId="2FF45AF3" w14:textId="77777777" w:rsidR="00C97A8C" w:rsidRPr="00191501" w:rsidRDefault="00C97A8C" w:rsidP="003B09BE">
            <w:pPr>
              <w:pStyle w:val="TableText"/>
              <w:rPr>
                <w:rFonts w:ascii="Calibri-Bold" w:hAnsi="Calibri-Bold" w:cs="Calibri-Bold"/>
                <w:b/>
                <w:bCs/>
              </w:rPr>
            </w:pPr>
            <w:r>
              <w:t>The Solomon Islands Water Authority is Mandated to operate as the provider of municipal water and wastewater services in Solomon Islands  by the Solomon Islands Water  Authority Act1992</w:t>
            </w:r>
          </w:p>
        </w:tc>
      </w:tr>
      <w:tr w:rsidR="00C97A8C" w14:paraId="0D5C9110" w14:textId="77777777" w:rsidTr="003B09BE">
        <w:tc>
          <w:tcPr>
            <w:tcW w:w="1628" w:type="pct"/>
            <w:shd w:val="clear" w:color="auto" w:fill="FFFFFF"/>
          </w:tcPr>
          <w:p w14:paraId="7B090EBE" w14:textId="77777777" w:rsidR="00C97A8C" w:rsidRDefault="00C97A8C" w:rsidP="003B09BE">
            <w:pPr>
              <w:pStyle w:val="TableText"/>
            </w:pPr>
            <w:r>
              <w:t xml:space="preserve">State Owned Enterprises Act </w:t>
            </w:r>
            <w:r>
              <w:br/>
              <w:t xml:space="preserve">2007 </w:t>
            </w:r>
          </w:p>
          <w:p w14:paraId="258797B2" w14:textId="77777777" w:rsidR="00C97A8C" w:rsidRPr="00191501" w:rsidRDefault="00C97A8C" w:rsidP="003B09BE">
            <w:pPr>
              <w:pStyle w:val="TableText"/>
              <w:rPr>
                <w:rFonts w:ascii="Calibri-Bold" w:hAnsi="Calibri-Bold" w:cs="Calibri-Bold"/>
                <w:b/>
                <w:bCs/>
              </w:rPr>
            </w:pPr>
          </w:p>
        </w:tc>
        <w:tc>
          <w:tcPr>
            <w:tcW w:w="3372" w:type="pct"/>
            <w:shd w:val="clear" w:color="auto" w:fill="FFFFFF"/>
          </w:tcPr>
          <w:p w14:paraId="5DD34720" w14:textId="77777777" w:rsidR="00C97A8C" w:rsidRPr="00191501" w:rsidRDefault="00C97A8C" w:rsidP="003B09BE">
            <w:pPr>
              <w:pStyle w:val="TableText"/>
              <w:rPr>
                <w:rFonts w:ascii="Calibri-Bold" w:hAnsi="Calibri-Bold" w:cs="Calibri-Bold"/>
                <w:b/>
                <w:bCs/>
              </w:rPr>
            </w:pPr>
            <w:r>
              <w:t xml:space="preserve">Solomon Islands Water Authority is a scheduled State Owned Enterprise (SOE).  The SOE Act specifies the principles governing the operation of state owned enterprises, accountability requirements and the responsibility of ministers </w:t>
            </w:r>
          </w:p>
        </w:tc>
      </w:tr>
      <w:tr w:rsidR="00C97A8C" w14:paraId="6FB9F65C" w14:textId="77777777" w:rsidTr="003B09BE">
        <w:tc>
          <w:tcPr>
            <w:tcW w:w="1628" w:type="pct"/>
            <w:shd w:val="clear" w:color="auto" w:fill="FFFFFF"/>
          </w:tcPr>
          <w:p w14:paraId="3335BEA6" w14:textId="77777777" w:rsidR="00C97A8C" w:rsidRDefault="00C97A8C" w:rsidP="003B09BE">
            <w:pPr>
              <w:pStyle w:val="TableText"/>
            </w:pPr>
            <w:r>
              <w:t xml:space="preserve">The Environmental Health Act </w:t>
            </w:r>
            <w:r>
              <w:br/>
              <w:t xml:space="preserve">1998 </w:t>
            </w:r>
          </w:p>
          <w:p w14:paraId="2FDFA3BF" w14:textId="77777777" w:rsidR="00C97A8C" w:rsidRPr="00191501" w:rsidRDefault="00C97A8C" w:rsidP="003B09BE">
            <w:pPr>
              <w:pStyle w:val="TableText"/>
              <w:rPr>
                <w:rFonts w:ascii="Calibri-Bold" w:hAnsi="Calibri-Bold" w:cs="Calibri-Bold"/>
                <w:b/>
                <w:bCs/>
              </w:rPr>
            </w:pPr>
          </w:p>
        </w:tc>
        <w:tc>
          <w:tcPr>
            <w:tcW w:w="3372" w:type="pct"/>
            <w:shd w:val="clear" w:color="auto" w:fill="FFFFFF"/>
          </w:tcPr>
          <w:p w14:paraId="3199AE21" w14:textId="77777777" w:rsidR="00C97A8C" w:rsidRPr="00191501" w:rsidRDefault="00C97A8C" w:rsidP="003B09BE">
            <w:pPr>
              <w:pStyle w:val="TableText"/>
              <w:rPr>
                <w:rFonts w:ascii="Calibri-Bold" w:hAnsi="Calibri-Bold" w:cs="Calibri-Bold"/>
                <w:b/>
                <w:bCs/>
              </w:rPr>
            </w:pPr>
            <w:r>
              <w:t xml:space="preserve">The Environmental Health Act mandates that in every urban  sanitary district, the local authority shall be responsible for the construction, repair and maintenance of all public sewers and public drains, and a local authority may within its district construct  sewage disposal works on any land </w:t>
            </w:r>
          </w:p>
        </w:tc>
      </w:tr>
      <w:tr w:rsidR="00C97A8C" w14:paraId="2A91CB36" w14:textId="77777777" w:rsidTr="003B09BE">
        <w:tc>
          <w:tcPr>
            <w:tcW w:w="1628" w:type="pct"/>
            <w:shd w:val="clear" w:color="auto" w:fill="FFFFFF"/>
          </w:tcPr>
          <w:p w14:paraId="4C2D2779" w14:textId="77777777" w:rsidR="00C97A8C" w:rsidRDefault="00C97A8C" w:rsidP="003B09BE">
            <w:pPr>
              <w:pStyle w:val="TableText"/>
            </w:pPr>
            <w:r>
              <w:t xml:space="preserve">The Environment Act </w:t>
            </w:r>
            <w:r>
              <w:br/>
              <w:t xml:space="preserve">1998 </w:t>
            </w:r>
          </w:p>
          <w:p w14:paraId="7B503721" w14:textId="77777777" w:rsidR="00C97A8C" w:rsidRPr="00191501" w:rsidRDefault="00C97A8C" w:rsidP="003B09BE">
            <w:pPr>
              <w:pStyle w:val="TableText"/>
              <w:rPr>
                <w:rFonts w:ascii="Calibri-Bold" w:hAnsi="Calibri-Bold" w:cs="Calibri-Bold"/>
                <w:b/>
                <w:bCs/>
              </w:rPr>
            </w:pPr>
          </w:p>
        </w:tc>
        <w:tc>
          <w:tcPr>
            <w:tcW w:w="3372" w:type="pct"/>
            <w:shd w:val="clear" w:color="auto" w:fill="FFFFFF"/>
          </w:tcPr>
          <w:p w14:paraId="4F5FD596" w14:textId="45069CDE" w:rsidR="00C97A8C" w:rsidRPr="00191501" w:rsidRDefault="00C97A8C" w:rsidP="003B09BE">
            <w:pPr>
              <w:pStyle w:val="TableText"/>
              <w:rPr>
                <w:rFonts w:ascii="Calibri-Bold" w:hAnsi="Calibri-Bold" w:cs="Calibri-Bold"/>
                <w:b/>
                <w:bCs/>
              </w:rPr>
            </w:pPr>
            <w:r>
              <w:t xml:space="preserve">The transport, collection, storage and disposal of liquid, solid and </w:t>
            </w:r>
            <w:r w:rsidR="00932B41">
              <w:t>gaseous wastes</w:t>
            </w:r>
            <w:r>
              <w:t xml:space="preserve"> are regulated   under the Environment Act 1998. The Act aims to minimise the discharge of pollutants to the air, water or land and to reduce  the risks to human health and  prevent the degradation of the environment </w:t>
            </w:r>
          </w:p>
        </w:tc>
      </w:tr>
      <w:tr w:rsidR="00C97A8C" w14:paraId="34CAA978" w14:textId="77777777" w:rsidTr="003B09BE">
        <w:tc>
          <w:tcPr>
            <w:tcW w:w="1628" w:type="pct"/>
            <w:shd w:val="clear" w:color="auto" w:fill="FFFFFF"/>
          </w:tcPr>
          <w:p w14:paraId="362DA9CA" w14:textId="77777777" w:rsidR="00C97A8C" w:rsidRPr="00191501" w:rsidRDefault="00C97A8C" w:rsidP="003B09BE">
            <w:pPr>
              <w:pStyle w:val="TableText"/>
              <w:rPr>
                <w:rFonts w:ascii="Calibri-Bold" w:hAnsi="Calibri-Bold" w:cs="Calibri-Bold"/>
                <w:b/>
                <w:bCs/>
              </w:rPr>
            </w:pPr>
            <w:r>
              <w:t>The Environment Regulations  2008</w:t>
            </w:r>
          </w:p>
        </w:tc>
        <w:tc>
          <w:tcPr>
            <w:tcW w:w="3372" w:type="pct"/>
            <w:shd w:val="clear" w:color="auto" w:fill="FFFFFF"/>
          </w:tcPr>
          <w:p w14:paraId="10D775B0" w14:textId="77777777" w:rsidR="00C97A8C" w:rsidRPr="00191501" w:rsidRDefault="00C97A8C" w:rsidP="003B09BE">
            <w:pPr>
              <w:pStyle w:val="TableText"/>
              <w:rPr>
                <w:rFonts w:ascii="Calibri-Bold" w:hAnsi="Calibri-Bold" w:cs="Calibri-Bold"/>
                <w:b/>
                <w:bCs/>
              </w:rPr>
            </w:pPr>
            <w:r>
              <w:t xml:space="preserve">The Environment Regulations lists prescribed premises, including waste management and disposal systems that require an environmental impact statement for development approval and a licence to discharge waste to the environment </w:t>
            </w:r>
          </w:p>
        </w:tc>
      </w:tr>
      <w:tr w:rsidR="00C97A8C" w14:paraId="0C36FAA7" w14:textId="77777777" w:rsidTr="003B09BE">
        <w:tc>
          <w:tcPr>
            <w:tcW w:w="1628" w:type="pct"/>
            <w:shd w:val="clear" w:color="auto" w:fill="FFFFFF"/>
          </w:tcPr>
          <w:p w14:paraId="5DD433D6" w14:textId="77777777" w:rsidR="00C97A8C" w:rsidRPr="00191501" w:rsidRDefault="00C97A8C" w:rsidP="003B09BE">
            <w:pPr>
              <w:pStyle w:val="TableText"/>
              <w:rPr>
                <w:color w:val="auto"/>
              </w:rPr>
            </w:pPr>
            <w:r w:rsidRPr="00191501">
              <w:rPr>
                <w:color w:val="auto"/>
              </w:rPr>
              <w:t xml:space="preserve">State Owned Enterprises Regulations </w:t>
            </w:r>
            <w:r w:rsidRPr="00191501">
              <w:rPr>
                <w:color w:val="auto"/>
              </w:rPr>
              <w:br/>
              <w:t xml:space="preserve">2010 </w:t>
            </w:r>
          </w:p>
        </w:tc>
        <w:tc>
          <w:tcPr>
            <w:tcW w:w="3372" w:type="pct"/>
            <w:shd w:val="clear" w:color="auto" w:fill="FFFFFF"/>
          </w:tcPr>
          <w:p w14:paraId="30D59161" w14:textId="77777777" w:rsidR="00C97A8C" w:rsidRDefault="00C97A8C" w:rsidP="003B09BE">
            <w:pPr>
              <w:pStyle w:val="TableText"/>
            </w:pPr>
            <w:r w:rsidRPr="00612606">
              <w:t>These Regulations implement provisions of the State Owned Enterprises Act 2007 with respect to, among other things: appointment of directors and other matters regarding directors of state-owned enterprises such as appointment, duties and accountability of directors; economic regulatory functions of state-owned enterprises; community service obligations of state-owned enterprises prescribed by the Minister.</w:t>
            </w:r>
          </w:p>
        </w:tc>
      </w:tr>
    </w:tbl>
    <w:p w14:paraId="343A85ED" w14:textId="77777777" w:rsidR="00C97A8C" w:rsidRPr="00C97A8C" w:rsidRDefault="00C97A8C" w:rsidP="00C97A8C"/>
    <w:p w14:paraId="4430A3D9" w14:textId="77777777" w:rsidR="008E15C3" w:rsidRDefault="008E15C3" w:rsidP="00C97A8C">
      <w:pPr>
        <w:pStyle w:val="Subtitle"/>
      </w:pPr>
      <w:r>
        <w:t>Solomon Water Development Plan Implementation Status</w:t>
      </w:r>
    </w:p>
    <w:p w14:paraId="190A9201" w14:textId="77777777" w:rsidR="008E15C3" w:rsidRPr="008E15C3" w:rsidRDefault="008E15C3" w:rsidP="008E15C3"/>
    <w:p w14:paraId="458FDF7E" w14:textId="77777777" w:rsidR="00181AD3" w:rsidRDefault="00181AD3" w:rsidP="00BE3345">
      <w:pPr>
        <w:pStyle w:val="SectionTitle"/>
        <w:sectPr w:rsidR="00181AD3" w:rsidSect="00351D91">
          <w:pgSz w:w="11906" w:h="16838" w:code="9"/>
          <w:pgMar w:top="1440" w:right="1440" w:bottom="1440" w:left="1440" w:header="578" w:footer="578" w:gutter="0"/>
          <w:cols w:space="720"/>
          <w:titlePg/>
          <w:docGrid w:linePitch="286"/>
        </w:sectPr>
      </w:pPr>
    </w:p>
    <w:p w14:paraId="3B7DC847" w14:textId="77777777" w:rsidR="00181AD3" w:rsidRDefault="00C03D8C" w:rsidP="00BE3345">
      <w:pPr>
        <w:pStyle w:val="SectionTitle"/>
      </w:pPr>
      <w:bookmarkStart w:id="42" w:name="_Toc453956005"/>
      <w:r>
        <w:lastRenderedPageBreak/>
        <w:t xml:space="preserve">Appendix E: </w:t>
      </w:r>
      <w:r w:rsidR="000F6E85">
        <w:t>Solomon Water Development Plan Implementation Status</w:t>
      </w:r>
      <w:bookmarkEnd w:id="42"/>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200"/>
        <w:gridCol w:w="1141"/>
        <w:gridCol w:w="1045"/>
        <w:gridCol w:w="1134"/>
        <w:gridCol w:w="1134"/>
        <w:gridCol w:w="1124"/>
        <w:gridCol w:w="3129"/>
        <w:gridCol w:w="2268"/>
      </w:tblGrid>
      <w:tr w:rsidR="00181AD3" w:rsidRPr="006B0B0A" w14:paraId="4EDE3164" w14:textId="77777777" w:rsidTr="00BE57C8">
        <w:trPr>
          <w:trHeight w:val="20"/>
          <w:tblHeader/>
        </w:trPr>
        <w:tc>
          <w:tcPr>
            <w:tcW w:w="1008" w:type="dxa"/>
            <w:shd w:val="clear" w:color="auto" w:fill="auto"/>
            <w:noWrap/>
            <w:vAlign w:val="center"/>
            <w:hideMark/>
          </w:tcPr>
          <w:p w14:paraId="63792E0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Ref</w:t>
            </w:r>
          </w:p>
        </w:tc>
        <w:tc>
          <w:tcPr>
            <w:tcW w:w="3200" w:type="dxa"/>
            <w:shd w:val="clear" w:color="auto" w:fill="auto"/>
            <w:noWrap/>
            <w:vAlign w:val="center"/>
            <w:hideMark/>
          </w:tcPr>
          <w:p w14:paraId="3AE77B0A"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Item</w:t>
            </w:r>
          </w:p>
        </w:tc>
        <w:tc>
          <w:tcPr>
            <w:tcW w:w="1141" w:type="dxa"/>
            <w:shd w:val="clear" w:color="auto" w:fill="auto"/>
            <w:noWrap/>
            <w:vAlign w:val="center"/>
            <w:hideMark/>
          </w:tcPr>
          <w:p w14:paraId="5D6806D2"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Details</w:t>
            </w:r>
          </w:p>
        </w:tc>
        <w:tc>
          <w:tcPr>
            <w:tcW w:w="1045" w:type="dxa"/>
            <w:shd w:val="clear" w:color="auto" w:fill="auto"/>
            <w:vAlign w:val="center"/>
            <w:hideMark/>
          </w:tcPr>
          <w:p w14:paraId="7ADA9E79"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Original Budget (AUD) - Excluding SIWA</w:t>
            </w:r>
          </w:p>
        </w:tc>
        <w:tc>
          <w:tcPr>
            <w:tcW w:w="1134" w:type="dxa"/>
            <w:shd w:val="clear" w:color="auto" w:fill="auto"/>
            <w:vAlign w:val="center"/>
            <w:hideMark/>
          </w:tcPr>
          <w:p w14:paraId="2FFE6F49"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Revised Budget (AUD) - Excluding SIWA</w:t>
            </w:r>
          </w:p>
        </w:tc>
        <w:tc>
          <w:tcPr>
            <w:tcW w:w="1134" w:type="dxa"/>
            <w:shd w:val="clear" w:color="auto" w:fill="auto"/>
            <w:vAlign w:val="center"/>
            <w:hideMark/>
          </w:tcPr>
          <w:p w14:paraId="4F000994"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Revised Budget (AUD) - Including SIWA</w:t>
            </w:r>
          </w:p>
        </w:tc>
        <w:tc>
          <w:tcPr>
            <w:tcW w:w="1124" w:type="dxa"/>
            <w:shd w:val="clear" w:color="auto" w:fill="auto"/>
            <w:vAlign w:val="center"/>
            <w:hideMark/>
          </w:tcPr>
          <w:p w14:paraId="4F7C463C"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Current Expenditure (AUD) Including SIWA</w:t>
            </w:r>
          </w:p>
        </w:tc>
        <w:tc>
          <w:tcPr>
            <w:tcW w:w="3129" w:type="dxa"/>
            <w:shd w:val="clear" w:color="auto" w:fill="auto"/>
            <w:vAlign w:val="center"/>
            <w:hideMark/>
          </w:tcPr>
          <w:p w14:paraId="6D9F52F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Status</w:t>
            </w:r>
          </w:p>
        </w:tc>
        <w:tc>
          <w:tcPr>
            <w:tcW w:w="2268" w:type="dxa"/>
            <w:shd w:val="clear" w:color="auto" w:fill="auto"/>
            <w:vAlign w:val="center"/>
            <w:hideMark/>
          </w:tcPr>
          <w:p w14:paraId="143EF8D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Reasons for Delay/Comments</w:t>
            </w:r>
          </w:p>
        </w:tc>
      </w:tr>
      <w:tr w:rsidR="00181AD3" w:rsidRPr="006B0B0A" w14:paraId="2B4E77CA" w14:textId="77777777" w:rsidTr="00BE57C8">
        <w:trPr>
          <w:trHeight w:val="20"/>
        </w:trPr>
        <w:tc>
          <w:tcPr>
            <w:tcW w:w="4208" w:type="dxa"/>
            <w:gridSpan w:val="2"/>
            <w:shd w:val="clear" w:color="auto" w:fill="auto"/>
            <w:noWrap/>
            <w:hideMark/>
          </w:tcPr>
          <w:p w14:paraId="3D19B3E0"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 Operations and Technical Support</w:t>
            </w:r>
          </w:p>
        </w:tc>
        <w:tc>
          <w:tcPr>
            <w:tcW w:w="1141" w:type="dxa"/>
            <w:shd w:val="clear" w:color="auto" w:fill="auto"/>
            <w:noWrap/>
            <w:vAlign w:val="bottom"/>
            <w:hideMark/>
          </w:tcPr>
          <w:p w14:paraId="1E167D75"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045" w:type="dxa"/>
            <w:shd w:val="clear" w:color="auto" w:fill="auto"/>
            <w:noWrap/>
            <w:vAlign w:val="bottom"/>
            <w:hideMark/>
          </w:tcPr>
          <w:p w14:paraId="5FD7A640"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bottom"/>
            <w:hideMark/>
          </w:tcPr>
          <w:p w14:paraId="6F11E0A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bottom"/>
            <w:hideMark/>
          </w:tcPr>
          <w:p w14:paraId="1BE46D1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24" w:type="dxa"/>
            <w:shd w:val="clear" w:color="auto" w:fill="auto"/>
            <w:noWrap/>
            <w:vAlign w:val="bottom"/>
            <w:hideMark/>
          </w:tcPr>
          <w:p w14:paraId="2539E01A"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3129" w:type="dxa"/>
            <w:shd w:val="clear" w:color="auto" w:fill="auto"/>
            <w:hideMark/>
          </w:tcPr>
          <w:p w14:paraId="385709A1"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 </w:t>
            </w:r>
          </w:p>
        </w:tc>
        <w:tc>
          <w:tcPr>
            <w:tcW w:w="2268" w:type="dxa"/>
            <w:shd w:val="clear" w:color="auto" w:fill="auto"/>
            <w:noWrap/>
            <w:vAlign w:val="bottom"/>
            <w:hideMark/>
          </w:tcPr>
          <w:p w14:paraId="7E194A90"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r>
      <w:tr w:rsidR="00181AD3" w:rsidRPr="006B0B0A" w14:paraId="0BDA4D4D" w14:textId="77777777" w:rsidTr="00BE57C8">
        <w:trPr>
          <w:trHeight w:val="20"/>
        </w:trPr>
        <w:tc>
          <w:tcPr>
            <w:tcW w:w="1008" w:type="dxa"/>
            <w:shd w:val="clear" w:color="auto" w:fill="auto"/>
            <w:noWrap/>
            <w:hideMark/>
          </w:tcPr>
          <w:p w14:paraId="7C56556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1.1</w:t>
            </w:r>
          </w:p>
        </w:tc>
        <w:tc>
          <w:tcPr>
            <w:tcW w:w="3200" w:type="dxa"/>
            <w:shd w:val="clear" w:color="auto" w:fill="auto"/>
            <w:hideMark/>
          </w:tcPr>
          <w:p w14:paraId="171816A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Assessment of SCADA and Telemetry Needs</w:t>
            </w:r>
          </w:p>
        </w:tc>
        <w:tc>
          <w:tcPr>
            <w:tcW w:w="1141" w:type="dxa"/>
            <w:shd w:val="clear" w:color="auto" w:fill="auto"/>
            <w:noWrap/>
            <w:vAlign w:val="center"/>
            <w:hideMark/>
          </w:tcPr>
          <w:p w14:paraId="1229FFC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7046397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vMerge w:val="restart"/>
            <w:shd w:val="clear" w:color="auto" w:fill="auto"/>
            <w:noWrap/>
            <w:vAlign w:val="center"/>
            <w:hideMark/>
          </w:tcPr>
          <w:p w14:paraId="5117E26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vMerge w:val="restart"/>
            <w:shd w:val="clear" w:color="auto" w:fill="auto"/>
            <w:noWrap/>
            <w:vAlign w:val="center"/>
            <w:hideMark/>
          </w:tcPr>
          <w:p w14:paraId="1C553E3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425,000</w:t>
            </w:r>
          </w:p>
        </w:tc>
        <w:tc>
          <w:tcPr>
            <w:tcW w:w="1124" w:type="dxa"/>
            <w:shd w:val="clear" w:color="auto" w:fill="auto"/>
            <w:noWrap/>
            <w:vAlign w:val="center"/>
            <w:hideMark/>
          </w:tcPr>
          <w:p w14:paraId="0D41AC8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2B84DFB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Assessments done and specifications prepared.</w:t>
            </w:r>
          </w:p>
        </w:tc>
        <w:tc>
          <w:tcPr>
            <w:tcW w:w="2268" w:type="dxa"/>
            <w:shd w:val="clear" w:color="auto" w:fill="auto"/>
            <w:noWrap/>
            <w:vAlign w:val="bottom"/>
            <w:hideMark/>
          </w:tcPr>
          <w:p w14:paraId="2386F7B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 </w:t>
            </w:r>
          </w:p>
        </w:tc>
      </w:tr>
      <w:tr w:rsidR="00181AD3" w:rsidRPr="006B0B0A" w14:paraId="4DD70835" w14:textId="77777777" w:rsidTr="00BE57C8">
        <w:trPr>
          <w:trHeight w:val="20"/>
        </w:trPr>
        <w:tc>
          <w:tcPr>
            <w:tcW w:w="1008" w:type="dxa"/>
            <w:shd w:val="clear" w:color="auto" w:fill="auto"/>
            <w:noWrap/>
            <w:hideMark/>
          </w:tcPr>
          <w:p w14:paraId="50D4355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1.2</w:t>
            </w:r>
          </w:p>
        </w:tc>
        <w:tc>
          <w:tcPr>
            <w:tcW w:w="3200" w:type="dxa"/>
            <w:shd w:val="clear" w:color="auto" w:fill="auto"/>
            <w:hideMark/>
          </w:tcPr>
          <w:p w14:paraId="780E8D6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Monitoring Equipment at source, reservoirs etc</w:t>
            </w:r>
          </w:p>
        </w:tc>
        <w:tc>
          <w:tcPr>
            <w:tcW w:w="1141" w:type="dxa"/>
            <w:shd w:val="clear" w:color="auto" w:fill="auto"/>
            <w:noWrap/>
            <w:vAlign w:val="center"/>
            <w:hideMark/>
          </w:tcPr>
          <w:p w14:paraId="6152FFC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82C70F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100,000</w:t>
            </w:r>
          </w:p>
        </w:tc>
        <w:tc>
          <w:tcPr>
            <w:tcW w:w="1134" w:type="dxa"/>
            <w:vMerge/>
            <w:vAlign w:val="center"/>
            <w:hideMark/>
          </w:tcPr>
          <w:p w14:paraId="6BF628CA"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5D87B9A7" w14:textId="77777777" w:rsidR="00181AD3" w:rsidRPr="006B0B0A" w:rsidRDefault="00181AD3" w:rsidP="00BE57C8">
            <w:pPr>
              <w:spacing w:after="0" w:line="240" w:lineRule="auto"/>
              <w:rPr>
                <w:color w:val="000000"/>
                <w:sz w:val="18"/>
                <w:szCs w:val="18"/>
                <w:lang w:eastAsia="en-NZ"/>
              </w:rPr>
            </w:pPr>
          </w:p>
        </w:tc>
        <w:tc>
          <w:tcPr>
            <w:tcW w:w="1124" w:type="dxa"/>
            <w:shd w:val="clear" w:color="auto" w:fill="auto"/>
            <w:noWrap/>
            <w:vAlign w:val="center"/>
            <w:hideMark/>
          </w:tcPr>
          <w:p w14:paraId="3AEA27A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43FF8E9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Flow and pressure meters installed at reservoirs and pump stations. Contr</w:t>
            </w:r>
            <w:r>
              <w:rPr>
                <w:color w:val="000000"/>
                <w:sz w:val="18"/>
                <w:szCs w:val="18"/>
                <w:lang w:eastAsia="en-NZ"/>
              </w:rPr>
              <w:t>ol equipment will be included a</w:t>
            </w:r>
            <w:r w:rsidRPr="006B0B0A">
              <w:rPr>
                <w:color w:val="000000"/>
                <w:sz w:val="18"/>
                <w:szCs w:val="18"/>
                <w:lang w:eastAsia="en-NZ"/>
              </w:rPr>
              <w:t>s</w:t>
            </w:r>
            <w:r>
              <w:rPr>
                <w:color w:val="000000"/>
                <w:sz w:val="18"/>
                <w:szCs w:val="18"/>
                <w:lang w:eastAsia="en-NZ"/>
              </w:rPr>
              <w:t xml:space="preserve"> </w:t>
            </w:r>
            <w:r w:rsidRPr="006B0B0A">
              <w:rPr>
                <w:color w:val="000000"/>
                <w:sz w:val="18"/>
                <w:szCs w:val="18"/>
                <w:lang w:eastAsia="en-NZ"/>
              </w:rPr>
              <w:t>part of SCADA installation.</w:t>
            </w:r>
          </w:p>
        </w:tc>
        <w:tc>
          <w:tcPr>
            <w:tcW w:w="2268" w:type="dxa"/>
            <w:shd w:val="clear" w:color="auto" w:fill="auto"/>
            <w:noWrap/>
            <w:vAlign w:val="bottom"/>
            <w:hideMark/>
          </w:tcPr>
          <w:p w14:paraId="3E0E837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E0EAC5F" w14:textId="77777777" w:rsidTr="00BE57C8">
        <w:trPr>
          <w:trHeight w:val="20"/>
        </w:trPr>
        <w:tc>
          <w:tcPr>
            <w:tcW w:w="1008" w:type="dxa"/>
            <w:shd w:val="clear" w:color="auto" w:fill="auto"/>
            <w:noWrap/>
            <w:hideMark/>
          </w:tcPr>
          <w:p w14:paraId="4D62C3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1.3</w:t>
            </w:r>
          </w:p>
        </w:tc>
        <w:tc>
          <w:tcPr>
            <w:tcW w:w="3200" w:type="dxa"/>
            <w:shd w:val="clear" w:color="auto" w:fill="auto"/>
            <w:noWrap/>
            <w:hideMark/>
          </w:tcPr>
          <w:p w14:paraId="60E495B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SCADA System</w:t>
            </w:r>
          </w:p>
        </w:tc>
        <w:tc>
          <w:tcPr>
            <w:tcW w:w="1141" w:type="dxa"/>
            <w:shd w:val="clear" w:color="auto" w:fill="auto"/>
            <w:vAlign w:val="center"/>
            <w:hideMark/>
          </w:tcPr>
          <w:p w14:paraId="3C5067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RTUs, SCADA,PC (CCT)</w:t>
            </w:r>
          </w:p>
        </w:tc>
        <w:tc>
          <w:tcPr>
            <w:tcW w:w="1045" w:type="dxa"/>
            <w:shd w:val="clear" w:color="auto" w:fill="auto"/>
            <w:noWrap/>
            <w:vAlign w:val="center"/>
            <w:hideMark/>
          </w:tcPr>
          <w:p w14:paraId="7398867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200,000</w:t>
            </w:r>
          </w:p>
        </w:tc>
        <w:tc>
          <w:tcPr>
            <w:tcW w:w="1134" w:type="dxa"/>
            <w:vMerge/>
            <w:vAlign w:val="center"/>
            <w:hideMark/>
          </w:tcPr>
          <w:p w14:paraId="3D6B3642"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550D5047" w14:textId="77777777" w:rsidR="00181AD3" w:rsidRPr="006B0B0A" w:rsidRDefault="00181AD3" w:rsidP="00BE57C8">
            <w:pPr>
              <w:spacing w:after="0" w:line="240" w:lineRule="auto"/>
              <w:rPr>
                <w:color w:val="000000"/>
                <w:sz w:val="18"/>
                <w:szCs w:val="18"/>
                <w:lang w:eastAsia="en-NZ"/>
              </w:rPr>
            </w:pPr>
          </w:p>
        </w:tc>
        <w:tc>
          <w:tcPr>
            <w:tcW w:w="1124" w:type="dxa"/>
            <w:shd w:val="clear" w:color="auto" w:fill="auto"/>
            <w:noWrap/>
            <w:vAlign w:val="center"/>
            <w:hideMark/>
          </w:tcPr>
          <w:p w14:paraId="7ACD868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39AE3DCF" w14:textId="70312F30"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Installation to commence in June 2016. Currently will only include reservoirs and pump stations, but </w:t>
            </w:r>
            <w:r w:rsidR="00932B41">
              <w:rPr>
                <w:color w:val="000000"/>
                <w:sz w:val="18"/>
                <w:szCs w:val="18"/>
                <w:lang w:eastAsia="en-NZ"/>
              </w:rPr>
              <w:t xml:space="preserve">a </w:t>
            </w:r>
            <w:r w:rsidRPr="006B0B0A">
              <w:rPr>
                <w:color w:val="000000"/>
                <w:sz w:val="18"/>
                <w:szCs w:val="18"/>
                <w:lang w:eastAsia="en-NZ"/>
              </w:rPr>
              <w:t>proposal has been received to include PRVs and flow meters under NRW project.</w:t>
            </w:r>
          </w:p>
        </w:tc>
        <w:tc>
          <w:tcPr>
            <w:tcW w:w="2268" w:type="dxa"/>
            <w:shd w:val="clear" w:color="auto" w:fill="auto"/>
            <w:hideMark/>
          </w:tcPr>
          <w:p w14:paraId="6C860F8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Delays to complete assessment and undertake procurement process</w:t>
            </w:r>
          </w:p>
        </w:tc>
      </w:tr>
      <w:tr w:rsidR="00181AD3" w:rsidRPr="006B0B0A" w14:paraId="79BBECC6" w14:textId="77777777" w:rsidTr="00BE57C8">
        <w:trPr>
          <w:trHeight w:val="20"/>
        </w:trPr>
        <w:tc>
          <w:tcPr>
            <w:tcW w:w="1008" w:type="dxa"/>
            <w:shd w:val="clear" w:color="auto" w:fill="auto"/>
            <w:noWrap/>
            <w:hideMark/>
          </w:tcPr>
          <w:p w14:paraId="43F79BF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1.4</w:t>
            </w:r>
          </w:p>
        </w:tc>
        <w:tc>
          <w:tcPr>
            <w:tcW w:w="3200" w:type="dxa"/>
            <w:shd w:val="clear" w:color="auto" w:fill="auto"/>
            <w:hideMark/>
          </w:tcPr>
          <w:p w14:paraId="0D2647E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Electronics </w:t>
            </w:r>
            <w:r w:rsidR="00CE100C" w:rsidRPr="006B0B0A">
              <w:rPr>
                <w:color w:val="000000"/>
                <w:sz w:val="18"/>
                <w:szCs w:val="18"/>
                <w:lang w:eastAsia="en-NZ"/>
              </w:rPr>
              <w:t>Technician</w:t>
            </w:r>
            <w:r w:rsidRPr="006B0B0A">
              <w:rPr>
                <w:color w:val="000000"/>
                <w:sz w:val="18"/>
                <w:szCs w:val="18"/>
                <w:lang w:eastAsia="en-NZ"/>
              </w:rPr>
              <w:t xml:space="preserve"> to maintain SCADA (recruitment and training)</w:t>
            </w:r>
          </w:p>
        </w:tc>
        <w:tc>
          <w:tcPr>
            <w:tcW w:w="1141" w:type="dxa"/>
            <w:shd w:val="clear" w:color="auto" w:fill="auto"/>
            <w:noWrap/>
            <w:vAlign w:val="center"/>
            <w:hideMark/>
          </w:tcPr>
          <w:p w14:paraId="10A0B96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0F5EB3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15,000</w:t>
            </w:r>
          </w:p>
        </w:tc>
        <w:tc>
          <w:tcPr>
            <w:tcW w:w="1134" w:type="dxa"/>
            <w:shd w:val="clear" w:color="auto" w:fill="auto"/>
            <w:noWrap/>
            <w:vAlign w:val="center"/>
            <w:hideMark/>
          </w:tcPr>
          <w:p w14:paraId="754CFF9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Part of HR budget</w:t>
            </w:r>
          </w:p>
        </w:tc>
        <w:tc>
          <w:tcPr>
            <w:tcW w:w="1134" w:type="dxa"/>
            <w:shd w:val="clear" w:color="auto" w:fill="auto"/>
            <w:noWrap/>
            <w:vAlign w:val="center"/>
            <w:hideMark/>
          </w:tcPr>
          <w:p w14:paraId="25F6D5B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Part of HR budget</w:t>
            </w:r>
          </w:p>
        </w:tc>
        <w:tc>
          <w:tcPr>
            <w:tcW w:w="1124" w:type="dxa"/>
            <w:shd w:val="clear" w:color="auto" w:fill="auto"/>
            <w:noWrap/>
            <w:vAlign w:val="center"/>
            <w:hideMark/>
          </w:tcPr>
          <w:p w14:paraId="0971D55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6F11B70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Two staff trained at two sets of training. Additional </w:t>
            </w:r>
            <w:r w:rsidR="00CE100C" w:rsidRPr="006B0B0A">
              <w:rPr>
                <w:color w:val="000000"/>
                <w:sz w:val="18"/>
                <w:szCs w:val="18"/>
                <w:lang w:eastAsia="en-NZ"/>
              </w:rPr>
              <w:t>training</w:t>
            </w:r>
            <w:r w:rsidRPr="006B0B0A">
              <w:rPr>
                <w:color w:val="000000"/>
                <w:sz w:val="18"/>
                <w:szCs w:val="18"/>
                <w:lang w:eastAsia="en-NZ"/>
              </w:rPr>
              <w:t xml:space="preserve"> to be provided during implementation. Staff witnessed factory testing. Still planning to recruit engineer with high level IT skills to manage system.</w:t>
            </w:r>
          </w:p>
        </w:tc>
        <w:tc>
          <w:tcPr>
            <w:tcW w:w="2268" w:type="dxa"/>
            <w:shd w:val="clear" w:color="auto" w:fill="auto"/>
            <w:hideMark/>
          </w:tcPr>
          <w:p w14:paraId="15A86F2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Organisation has one very capable Electrical Engineer but needs additional support and back-up</w:t>
            </w:r>
          </w:p>
        </w:tc>
      </w:tr>
      <w:tr w:rsidR="00181AD3" w:rsidRPr="006B0B0A" w14:paraId="6512FA31" w14:textId="77777777" w:rsidTr="00BE57C8">
        <w:trPr>
          <w:trHeight w:val="20"/>
        </w:trPr>
        <w:tc>
          <w:tcPr>
            <w:tcW w:w="1008" w:type="dxa"/>
            <w:shd w:val="clear" w:color="auto" w:fill="auto"/>
            <w:noWrap/>
            <w:hideMark/>
          </w:tcPr>
          <w:p w14:paraId="3977531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1.5</w:t>
            </w:r>
          </w:p>
        </w:tc>
        <w:tc>
          <w:tcPr>
            <w:tcW w:w="3200" w:type="dxa"/>
            <w:shd w:val="clear" w:color="auto" w:fill="auto"/>
            <w:hideMark/>
          </w:tcPr>
          <w:p w14:paraId="31BAF68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Development of an O&amp;M Plan detailing SOPs for day to day system operation and maintenance.</w:t>
            </w:r>
          </w:p>
        </w:tc>
        <w:tc>
          <w:tcPr>
            <w:tcW w:w="1141" w:type="dxa"/>
            <w:shd w:val="clear" w:color="auto" w:fill="auto"/>
            <w:noWrap/>
            <w:vAlign w:val="center"/>
            <w:hideMark/>
          </w:tcPr>
          <w:p w14:paraId="6C8FEE0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8AB9F1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50,000</w:t>
            </w:r>
          </w:p>
        </w:tc>
        <w:tc>
          <w:tcPr>
            <w:tcW w:w="1134" w:type="dxa"/>
            <w:shd w:val="clear" w:color="auto" w:fill="auto"/>
            <w:noWrap/>
            <w:vAlign w:val="center"/>
            <w:hideMark/>
          </w:tcPr>
          <w:p w14:paraId="1B023A4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F81726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40DD7D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021F37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Adviser assistance in providing budgeted O&amp;M Plan and updating of some SOPs.</w:t>
            </w:r>
          </w:p>
        </w:tc>
        <w:tc>
          <w:tcPr>
            <w:tcW w:w="2268" w:type="dxa"/>
            <w:shd w:val="clear" w:color="auto" w:fill="auto"/>
            <w:vAlign w:val="bottom"/>
            <w:hideMark/>
          </w:tcPr>
          <w:p w14:paraId="0299E5D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Costed O&amp;M Plan needs to be prepared for effective budgeting</w:t>
            </w:r>
          </w:p>
        </w:tc>
      </w:tr>
      <w:tr w:rsidR="00181AD3" w:rsidRPr="006B0B0A" w14:paraId="3D163B6B" w14:textId="77777777" w:rsidTr="00BE57C8">
        <w:trPr>
          <w:trHeight w:val="20"/>
        </w:trPr>
        <w:tc>
          <w:tcPr>
            <w:tcW w:w="1008" w:type="dxa"/>
            <w:shd w:val="clear" w:color="auto" w:fill="auto"/>
            <w:noWrap/>
            <w:hideMark/>
          </w:tcPr>
          <w:p w14:paraId="2415042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1.6</w:t>
            </w:r>
          </w:p>
        </w:tc>
        <w:tc>
          <w:tcPr>
            <w:tcW w:w="3200" w:type="dxa"/>
            <w:shd w:val="clear" w:color="auto" w:fill="auto"/>
            <w:hideMark/>
          </w:tcPr>
          <w:p w14:paraId="554D6D5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Training of Operations staff to monitor system performance in accordance with SOPs system and guide day to day operation</w:t>
            </w:r>
          </w:p>
        </w:tc>
        <w:tc>
          <w:tcPr>
            <w:tcW w:w="1141" w:type="dxa"/>
            <w:shd w:val="clear" w:color="auto" w:fill="auto"/>
            <w:noWrap/>
            <w:vAlign w:val="center"/>
            <w:hideMark/>
          </w:tcPr>
          <w:p w14:paraId="1668714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 Staff x 3 months</w:t>
            </w:r>
          </w:p>
        </w:tc>
        <w:tc>
          <w:tcPr>
            <w:tcW w:w="1045" w:type="dxa"/>
            <w:shd w:val="clear" w:color="auto" w:fill="auto"/>
            <w:noWrap/>
            <w:vAlign w:val="center"/>
            <w:hideMark/>
          </w:tcPr>
          <w:p w14:paraId="3FCEA65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40,000</w:t>
            </w:r>
          </w:p>
        </w:tc>
        <w:tc>
          <w:tcPr>
            <w:tcW w:w="1134" w:type="dxa"/>
            <w:shd w:val="clear" w:color="auto" w:fill="auto"/>
            <w:noWrap/>
            <w:vAlign w:val="center"/>
            <w:hideMark/>
          </w:tcPr>
          <w:p w14:paraId="75D0CAA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Part of HR budget</w:t>
            </w:r>
          </w:p>
        </w:tc>
        <w:tc>
          <w:tcPr>
            <w:tcW w:w="1134" w:type="dxa"/>
            <w:shd w:val="clear" w:color="auto" w:fill="auto"/>
            <w:noWrap/>
            <w:vAlign w:val="center"/>
            <w:hideMark/>
          </w:tcPr>
          <w:p w14:paraId="65FC0B9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Part of HR budget</w:t>
            </w:r>
          </w:p>
        </w:tc>
        <w:tc>
          <w:tcPr>
            <w:tcW w:w="1124" w:type="dxa"/>
            <w:shd w:val="clear" w:color="auto" w:fill="auto"/>
            <w:noWrap/>
            <w:vAlign w:val="center"/>
            <w:hideMark/>
          </w:tcPr>
          <w:p w14:paraId="11566BD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B74D15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OJT provided by Maintenance Adviser.</w:t>
            </w:r>
          </w:p>
        </w:tc>
        <w:tc>
          <w:tcPr>
            <w:tcW w:w="2268" w:type="dxa"/>
            <w:shd w:val="clear" w:color="auto" w:fill="auto"/>
            <w:noWrap/>
            <w:vAlign w:val="bottom"/>
            <w:hideMark/>
          </w:tcPr>
          <w:p w14:paraId="0B90624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23C043D" w14:textId="77777777" w:rsidTr="00BE57C8">
        <w:trPr>
          <w:trHeight w:val="20"/>
        </w:trPr>
        <w:tc>
          <w:tcPr>
            <w:tcW w:w="1008" w:type="dxa"/>
            <w:shd w:val="clear" w:color="auto" w:fill="auto"/>
            <w:noWrap/>
            <w:hideMark/>
          </w:tcPr>
          <w:p w14:paraId="18F24F9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1.7</w:t>
            </w:r>
          </w:p>
        </w:tc>
        <w:tc>
          <w:tcPr>
            <w:tcW w:w="3200" w:type="dxa"/>
            <w:shd w:val="clear" w:color="auto" w:fill="auto"/>
            <w:hideMark/>
          </w:tcPr>
          <w:p w14:paraId="22E5086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Recruitment of maintenance technicians to establish fully skilled maintenance team</w:t>
            </w:r>
          </w:p>
        </w:tc>
        <w:tc>
          <w:tcPr>
            <w:tcW w:w="1141" w:type="dxa"/>
            <w:shd w:val="clear" w:color="auto" w:fill="auto"/>
            <w:noWrap/>
            <w:vAlign w:val="center"/>
            <w:hideMark/>
          </w:tcPr>
          <w:p w14:paraId="47807DD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 technicians</w:t>
            </w:r>
          </w:p>
        </w:tc>
        <w:tc>
          <w:tcPr>
            <w:tcW w:w="1045" w:type="dxa"/>
            <w:shd w:val="clear" w:color="auto" w:fill="auto"/>
            <w:noWrap/>
            <w:vAlign w:val="center"/>
            <w:hideMark/>
          </w:tcPr>
          <w:p w14:paraId="27683E7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6531AFF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E37F11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329DEB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851217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Not recruited</w:t>
            </w:r>
          </w:p>
        </w:tc>
        <w:tc>
          <w:tcPr>
            <w:tcW w:w="2268" w:type="dxa"/>
            <w:shd w:val="clear" w:color="auto" w:fill="auto"/>
            <w:noWrap/>
            <w:vAlign w:val="bottom"/>
            <w:hideMark/>
          </w:tcPr>
          <w:p w14:paraId="5B7E958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8B51A5F" w14:textId="77777777" w:rsidTr="00BE57C8">
        <w:trPr>
          <w:trHeight w:val="20"/>
        </w:trPr>
        <w:tc>
          <w:tcPr>
            <w:tcW w:w="1008" w:type="dxa"/>
            <w:shd w:val="clear" w:color="auto" w:fill="auto"/>
            <w:noWrap/>
            <w:hideMark/>
          </w:tcPr>
          <w:p w14:paraId="737B4C9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1.8</w:t>
            </w:r>
          </w:p>
        </w:tc>
        <w:tc>
          <w:tcPr>
            <w:tcW w:w="3200" w:type="dxa"/>
            <w:shd w:val="clear" w:color="auto" w:fill="auto"/>
            <w:hideMark/>
          </w:tcPr>
          <w:p w14:paraId="5C36DC3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Maintenance Vans</w:t>
            </w:r>
          </w:p>
        </w:tc>
        <w:tc>
          <w:tcPr>
            <w:tcW w:w="1141" w:type="dxa"/>
            <w:shd w:val="clear" w:color="auto" w:fill="auto"/>
            <w:noWrap/>
            <w:vAlign w:val="center"/>
            <w:hideMark/>
          </w:tcPr>
          <w:p w14:paraId="3FAAA78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 vans</w:t>
            </w:r>
          </w:p>
        </w:tc>
        <w:tc>
          <w:tcPr>
            <w:tcW w:w="1045" w:type="dxa"/>
            <w:shd w:val="clear" w:color="auto" w:fill="auto"/>
            <w:noWrap/>
            <w:vAlign w:val="center"/>
            <w:hideMark/>
          </w:tcPr>
          <w:p w14:paraId="10E9004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Vehicle budget</w:t>
            </w:r>
          </w:p>
        </w:tc>
        <w:tc>
          <w:tcPr>
            <w:tcW w:w="1134" w:type="dxa"/>
            <w:shd w:val="clear" w:color="auto" w:fill="auto"/>
            <w:noWrap/>
            <w:vAlign w:val="center"/>
            <w:hideMark/>
          </w:tcPr>
          <w:p w14:paraId="55BCFD7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E5464E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16AF748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6416B9A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56DE497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2467B1D" w14:textId="77777777" w:rsidTr="00BE57C8">
        <w:trPr>
          <w:trHeight w:val="20"/>
        </w:trPr>
        <w:tc>
          <w:tcPr>
            <w:tcW w:w="1008" w:type="dxa"/>
            <w:shd w:val="clear" w:color="auto" w:fill="auto"/>
            <w:noWrap/>
            <w:hideMark/>
          </w:tcPr>
          <w:p w14:paraId="46C1749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1.9</w:t>
            </w:r>
          </w:p>
        </w:tc>
        <w:tc>
          <w:tcPr>
            <w:tcW w:w="3200" w:type="dxa"/>
            <w:shd w:val="clear" w:color="auto" w:fill="auto"/>
            <w:hideMark/>
          </w:tcPr>
          <w:p w14:paraId="06A1D88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International Maintenance Specialist</w:t>
            </w:r>
          </w:p>
        </w:tc>
        <w:tc>
          <w:tcPr>
            <w:tcW w:w="1141" w:type="dxa"/>
            <w:shd w:val="clear" w:color="auto" w:fill="auto"/>
            <w:noWrap/>
            <w:vAlign w:val="center"/>
            <w:hideMark/>
          </w:tcPr>
          <w:p w14:paraId="09FBDA6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 months</w:t>
            </w:r>
          </w:p>
        </w:tc>
        <w:tc>
          <w:tcPr>
            <w:tcW w:w="1045" w:type="dxa"/>
            <w:shd w:val="clear" w:color="auto" w:fill="auto"/>
            <w:noWrap/>
            <w:vAlign w:val="center"/>
            <w:hideMark/>
          </w:tcPr>
          <w:p w14:paraId="1DF67FD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180,000</w:t>
            </w:r>
          </w:p>
        </w:tc>
        <w:tc>
          <w:tcPr>
            <w:tcW w:w="1134" w:type="dxa"/>
            <w:shd w:val="clear" w:color="auto" w:fill="auto"/>
            <w:noWrap/>
            <w:vAlign w:val="center"/>
            <w:hideMark/>
          </w:tcPr>
          <w:p w14:paraId="1492BCC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w:t>
            </w:r>
          </w:p>
        </w:tc>
        <w:tc>
          <w:tcPr>
            <w:tcW w:w="1134" w:type="dxa"/>
            <w:shd w:val="clear" w:color="auto" w:fill="auto"/>
            <w:vAlign w:val="center"/>
            <w:hideMark/>
          </w:tcPr>
          <w:p w14:paraId="5C60490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Now under separate Adviser budget</w:t>
            </w:r>
          </w:p>
        </w:tc>
        <w:tc>
          <w:tcPr>
            <w:tcW w:w="1124" w:type="dxa"/>
            <w:shd w:val="clear" w:color="auto" w:fill="auto"/>
            <w:noWrap/>
            <w:vAlign w:val="center"/>
            <w:hideMark/>
          </w:tcPr>
          <w:p w14:paraId="74DE504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0FB9CF1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Appointed for 9 months until August 2015 and extended to June 2016 with probable further extension.</w:t>
            </w:r>
          </w:p>
        </w:tc>
        <w:tc>
          <w:tcPr>
            <w:tcW w:w="2268" w:type="dxa"/>
            <w:shd w:val="clear" w:color="auto" w:fill="auto"/>
            <w:vAlign w:val="bottom"/>
            <w:hideMark/>
          </w:tcPr>
          <w:p w14:paraId="664A7A6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Outputs delayed by need to re-locate store, machinery delivered with inadequate documentation, problems with existing equipment.</w:t>
            </w:r>
          </w:p>
        </w:tc>
      </w:tr>
      <w:tr w:rsidR="00181AD3" w:rsidRPr="006B0B0A" w14:paraId="4D1C7746" w14:textId="77777777" w:rsidTr="00BE57C8">
        <w:trPr>
          <w:trHeight w:val="20"/>
        </w:trPr>
        <w:tc>
          <w:tcPr>
            <w:tcW w:w="1008" w:type="dxa"/>
            <w:shd w:val="clear" w:color="auto" w:fill="auto"/>
            <w:noWrap/>
            <w:hideMark/>
          </w:tcPr>
          <w:p w14:paraId="74EDDC2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1.1</w:t>
            </w:r>
          </w:p>
        </w:tc>
        <w:tc>
          <w:tcPr>
            <w:tcW w:w="3200" w:type="dxa"/>
            <w:shd w:val="clear" w:color="auto" w:fill="auto"/>
            <w:hideMark/>
          </w:tcPr>
          <w:p w14:paraId="6422BA9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International Operations Specialist</w:t>
            </w:r>
          </w:p>
        </w:tc>
        <w:tc>
          <w:tcPr>
            <w:tcW w:w="1141" w:type="dxa"/>
            <w:shd w:val="clear" w:color="auto" w:fill="auto"/>
            <w:noWrap/>
            <w:vAlign w:val="center"/>
            <w:hideMark/>
          </w:tcPr>
          <w:p w14:paraId="235D6CE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 months</w:t>
            </w:r>
          </w:p>
        </w:tc>
        <w:tc>
          <w:tcPr>
            <w:tcW w:w="1045" w:type="dxa"/>
            <w:shd w:val="clear" w:color="auto" w:fill="auto"/>
            <w:noWrap/>
            <w:vAlign w:val="center"/>
            <w:hideMark/>
          </w:tcPr>
          <w:p w14:paraId="5227B44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180,000</w:t>
            </w:r>
          </w:p>
        </w:tc>
        <w:tc>
          <w:tcPr>
            <w:tcW w:w="1134" w:type="dxa"/>
            <w:shd w:val="clear" w:color="auto" w:fill="auto"/>
            <w:noWrap/>
            <w:vAlign w:val="center"/>
            <w:hideMark/>
          </w:tcPr>
          <w:p w14:paraId="583C0A3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w:t>
            </w:r>
          </w:p>
        </w:tc>
        <w:tc>
          <w:tcPr>
            <w:tcW w:w="1134" w:type="dxa"/>
            <w:shd w:val="clear" w:color="auto" w:fill="auto"/>
            <w:vAlign w:val="center"/>
            <w:hideMark/>
          </w:tcPr>
          <w:p w14:paraId="1261CF6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Under separate Adviser budget</w:t>
            </w:r>
          </w:p>
        </w:tc>
        <w:tc>
          <w:tcPr>
            <w:tcW w:w="1124" w:type="dxa"/>
            <w:shd w:val="clear" w:color="auto" w:fill="auto"/>
            <w:noWrap/>
            <w:vAlign w:val="center"/>
            <w:hideMark/>
          </w:tcPr>
          <w:p w14:paraId="4D5F7FC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63B701A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Appointed for 7 months - extended to 9 months until August 2015</w:t>
            </w:r>
          </w:p>
        </w:tc>
        <w:tc>
          <w:tcPr>
            <w:tcW w:w="2268" w:type="dxa"/>
            <w:shd w:val="clear" w:color="auto" w:fill="auto"/>
            <w:vAlign w:val="bottom"/>
            <w:hideMark/>
          </w:tcPr>
          <w:p w14:paraId="7EC7ABF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Outputs delayed by need to assume responsibility of GM/Program manager</w:t>
            </w:r>
          </w:p>
        </w:tc>
      </w:tr>
      <w:tr w:rsidR="00181AD3" w:rsidRPr="006B0B0A" w14:paraId="5A685CAF" w14:textId="77777777" w:rsidTr="00BE57C8">
        <w:trPr>
          <w:trHeight w:val="20"/>
        </w:trPr>
        <w:tc>
          <w:tcPr>
            <w:tcW w:w="1008" w:type="dxa"/>
            <w:shd w:val="clear" w:color="auto" w:fill="auto"/>
            <w:noWrap/>
            <w:hideMark/>
          </w:tcPr>
          <w:p w14:paraId="581884C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hideMark/>
          </w:tcPr>
          <w:p w14:paraId="3FAACA04"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1</w:t>
            </w:r>
          </w:p>
        </w:tc>
        <w:tc>
          <w:tcPr>
            <w:tcW w:w="1141" w:type="dxa"/>
            <w:shd w:val="clear" w:color="auto" w:fill="auto"/>
            <w:noWrap/>
            <w:vAlign w:val="center"/>
            <w:hideMark/>
          </w:tcPr>
          <w:p w14:paraId="1614E1B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A249A73"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795,000</w:t>
            </w:r>
          </w:p>
        </w:tc>
        <w:tc>
          <w:tcPr>
            <w:tcW w:w="1134" w:type="dxa"/>
            <w:shd w:val="clear" w:color="auto" w:fill="auto"/>
            <w:noWrap/>
            <w:vAlign w:val="center"/>
            <w:hideMark/>
          </w:tcPr>
          <w:p w14:paraId="29460D9D"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7F84FFB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425,000</w:t>
            </w:r>
          </w:p>
        </w:tc>
        <w:tc>
          <w:tcPr>
            <w:tcW w:w="1124" w:type="dxa"/>
            <w:shd w:val="clear" w:color="auto" w:fill="auto"/>
            <w:noWrap/>
            <w:vAlign w:val="center"/>
            <w:hideMark/>
          </w:tcPr>
          <w:p w14:paraId="2C53452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130,148</w:t>
            </w:r>
          </w:p>
        </w:tc>
        <w:tc>
          <w:tcPr>
            <w:tcW w:w="3129" w:type="dxa"/>
            <w:shd w:val="clear" w:color="auto" w:fill="auto"/>
            <w:noWrap/>
            <w:hideMark/>
          </w:tcPr>
          <w:p w14:paraId="1191E1F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2497461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1D7A4C2" w14:textId="77777777" w:rsidTr="00BE57C8">
        <w:trPr>
          <w:trHeight w:val="20"/>
        </w:trPr>
        <w:tc>
          <w:tcPr>
            <w:tcW w:w="1008" w:type="dxa"/>
            <w:shd w:val="clear" w:color="auto" w:fill="auto"/>
            <w:noWrap/>
            <w:hideMark/>
          </w:tcPr>
          <w:p w14:paraId="70B8833B"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2. Hydraulic Modelling of the Network</w:t>
            </w:r>
          </w:p>
        </w:tc>
        <w:tc>
          <w:tcPr>
            <w:tcW w:w="3200" w:type="dxa"/>
            <w:shd w:val="clear" w:color="auto" w:fill="auto"/>
            <w:noWrap/>
            <w:hideMark/>
          </w:tcPr>
          <w:p w14:paraId="718F709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141" w:type="dxa"/>
            <w:shd w:val="clear" w:color="auto" w:fill="auto"/>
            <w:noWrap/>
            <w:vAlign w:val="center"/>
            <w:hideMark/>
          </w:tcPr>
          <w:p w14:paraId="26DEF19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1E762F5"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34CC2BD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7B9D07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E7F090C" w14:textId="77777777" w:rsidR="00181AD3" w:rsidRPr="006B0B0A" w:rsidRDefault="00181AD3" w:rsidP="00BE57C8">
            <w:pPr>
              <w:spacing w:after="0" w:line="240" w:lineRule="auto"/>
              <w:jc w:val="center"/>
              <w:rPr>
                <w:color w:val="000000"/>
                <w:sz w:val="18"/>
                <w:szCs w:val="18"/>
                <w:lang w:eastAsia="en-NZ"/>
              </w:rPr>
            </w:pPr>
          </w:p>
        </w:tc>
        <w:tc>
          <w:tcPr>
            <w:tcW w:w="3129" w:type="dxa"/>
            <w:shd w:val="clear" w:color="auto" w:fill="auto"/>
            <w:noWrap/>
            <w:hideMark/>
          </w:tcPr>
          <w:p w14:paraId="7A8AE47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3D6B20D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E66CC03" w14:textId="77777777" w:rsidTr="00BE57C8">
        <w:trPr>
          <w:trHeight w:val="20"/>
        </w:trPr>
        <w:tc>
          <w:tcPr>
            <w:tcW w:w="1008" w:type="dxa"/>
            <w:shd w:val="clear" w:color="auto" w:fill="auto"/>
            <w:noWrap/>
            <w:hideMark/>
          </w:tcPr>
          <w:p w14:paraId="58D8795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2.1</w:t>
            </w:r>
          </w:p>
        </w:tc>
        <w:tc>
          <w:tcPr>
            <w:tcW w:w="3200" w:type="dxa"/>
            <w:shd w:val="clear" w:color="auto" w:fill="auto"/>
            <w:noWrap/>
            <w:hideMark/>
          </w:tcPr>
          <w:p w14:paraId="03B421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Modelling software with 2 year license</w:t>
            </w:r>
          </w:p>
        </w:tc>
        <w:tc>
          <w:tcPr>
            <w:tcW w:w="1141" w:type="dxa"/>
            <w:shd w:val="clear" w:color="auto" w:fill="auto"/>
            <w:noWrap/>
            <w:vAlign w:val="center"/>
            <w:hideMark/>
          </w:tcPr>
          <w:p w14:paraId="3067A1A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2B0E25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w:t>
            </w:r>
          </w:p>
        </w:tc>
        <w:tc>
          <w:tcPr>
            <w:tcW w:w="1134" w:type="dxa"/>
            <w:vMerge w:val="restart"/>
            <w:shd w:val="clear" w:color="auto" w:fill="auto"/>
            <w:noWrap/>
            <w:vAlign w:val="center"/>
            <w:hideMark/>
          </w:tcPr>
          <w:p w14:paraId="26E76A8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vMerge w:val="restart"/>
            <w:shd w:val="clear" w:color="auto" w:fill="auto"/>
            <w:noWrap/>
            <w:vAlign w:val="center"/>
            <w:hideMark/>
          </w:tcPr>
          <w:p w14:paraId="16EDED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69,924</w:t>
            </w:r>
          </w:p>
        </w:tc>
        <w:tc>
          <w:tcPr>
            <w:tcW w:w="1124" w:type="dxa"/>
            <w:shd w:val="clear" w:color="auto" w:fill="auto"/>
            <w:noWrap/>
            <w:vAlign w:val="center"/>
            <w:hideMark/>
          </w:tcPr>
          <w:p w14:paraId="40C491C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5019E13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Water</w:t>
            </w:r>
            <w:r>
              <w:rPr>
                <w:color w:val="000000"/>
                <w:sz w:val="18"/>
                <w:szCs w:val="18"/>
                <w:lang w:eastAsia="en-NZ"/>
              </w:rPr>
              <w:t xml:space="preserve"> </w:t>
            </w:r>
            <w:r w:rsidRPr="006B0B0A">
              <w:rPr>
                <w:color w:val="000000"/>
                <w:sz w:val="18"/>
                <w:szCs w:val="18"/>
                <w:lang w:eastAsia="en-NZ"/>
              </w:rPr>
              <w:t>GEMS purchased in March 2014</w:t>
            </w:r>
          </w:p>
        </w:tc>
        <w:tc>
          <w:tcPr>
            <w:tcW w:w="2268" w:type="dxa"/>
            <w:shd w:val="clear" w:color="auto" w:fill="auto"/>
            <w:noWrap/>
            <w:vAlign w:val="bottom"/>
            <w:hideMark/>
          </w:tcPr>
          <w:p w14:paraId="0BE1542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0F7A8DB" w14:textId="77777777" w:rsidTr="00BE57C8">
        <w:trPr>
          <w:trHeight w:val="20"/>
        </w:trPr>
        <w:tc>
          <w:tcPr>
            <w:tcW w:w="1008" w:type="dxa"/>
            <w:shd w:val="clear" w:color="auto" w:fill="auto"/>
            <w:noWrap/>
            <w:hideMark/>
          </w:tcPr>
          <w:p w14:paraId="28AD797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2.2</w:t>
            </w:r>
          </w:p>
        </w:tc>
        <w:tc>
          <w:tcPr>
            <w:tcW w:w="3200" w:type="dxa"/>
            <w:shd w:val="clear" w:color="auto" w:fill="auto"/>
            <w:noWrap/>
            <w:hideMark/>
          </w:tcPr>
          <w:p w14:paraId="221A878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Training in modelling and software</w:t>
            </w:r>
          </w:p>
        </w:tc>
        <w:tc>
          <w:tcPr>
            <w:tcW w:w="1141" w:type="dxa"/>
            <w:shd w:val="clear" w:color="auto" w:fill="auto"/>
            <w:noWrap/>
            <w:vAlign w:val="center"/>
            <w:hideMark/>
          </w:tcPr>
          <w:p w14:paraId="6ECF0F9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895751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10,000</w:t>
            </w:r>
          </w:p>
        </w:tc>
        <w:tc>
          <w:tcPr>
            <w:tcW w:w="1134" w:type="dxa"/>
            <w:vMerge/>
            <w:vAlign w:val="center"/>
            <w:hideMark/>
          </w:tcPr>
          <w:p w14:paraId="38B8A7A0"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1F038389" w14:textId="77777777" w:rsidR="00181AD3" w:rsidRPr="006B0B0A" w:rsidRDefault="00181AD3" w:rsidP="00BE57C8">
            <w:pPr>
              <w:spacing w:after="0" w:line="240" w:lineRule="auto"/>
              <w:rPr>
                <w:color w:val="000000"/>
                <w:sz w:val="18"/>
                <w:szCs w:val="18"/>
                <w:lang w:eastAsia="en-NZ"/>
              </w:rPr>
            </w:pPr>
          </w:p>
        </w:tc>
        <w:tc>
          <w:tcPr>
            <w:tcW w:w="1124" w:type="dxa"/>
            <w:shd w:val="clear" w:color="auto" w:fill="auto"/>
            <w:noWrap/>
            <w:vAlign w:val="center"/>
            <w:hideMark/>
          </w:tcPr>
          <w:p w14:paraId="64D9F38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185FD32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Training provided to 2 persons who will need to complete Auki and Noro networks as Technical Coordinator resigned.</w:t>
            </w:r>
          </w:p>
        </w:tc>
        <w:tc>
          <w:tcPr>
            <w:tcW w:w="2268" w:type="dxa"/>
            <w:shd w:val="clear" w:color="auto" w:fill="auto"/>
            <w:vAlign w:val="bottom"/>
            <w:hideMark/>
          </w:tcPr>
          <w:p w14:paraId="2F33CAC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Training not considered effective as model not able to be used to establish network needs. </w:t>
            </w:r>
          </w:p>
        </w:tc>
      </w:tr>
      <w:tr w:rsidR="00181AD3" w:rsidRPr="006B0B0A" w14:paraId="34203843" w14:textId="77777777" w:rsidTr="00BE57C8">
        <w:trPr>
          <w:trHeight w:val="20"/>
        </w:trPr>
        <w:tc>
          <w:tcPr>
            <w:tcW w:w="1008" w:type="dxa"/>
            <w:shd w:val="clear" w:color="auto" w:fill="auto"/>
            <w:noWrap/>
            <w:hideMark/>
          </w:tcPr>
          <w:p w14:paraId="6815D4F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2.3</w:t>
            </w:r>
          </w:p>
        </w:tc>
        <w:tc>
          <w:tcPr>
            <w:tcW w:w="3200" w:type="dxa"/>
            <w:shd w:val="clear" w:color="auto" w:fill="auto"/>
            <w:noWrap/>
            <w:hideMark/>
          </w:tcPr>
          <w:p w14:paraId="2897E7D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 network model</w:t>
            </w:r>
          </w:p>
        </w:tc>
        <w:tc>
          <w:tcPr>
            <w:tcW w:w="1141" w:type="dxa"/>
            <w:shd w:val="clear" w:color="auto" w:fill="auto"/>
            <w:vAlign w:val="center"/>
            <w:hideMark/>
          </w:tcPr>
          <w:p w14:paraId="66A6E4D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 month consultant input</w:t>
            </w:r>
          </w:p>
        </w:tc>
        <w:tc>
          <w:tcPr>
            <w:tcW w:w="1045" w:type="dxa"/>
            <w:shd w:val="clear" w:color="auto" w:fill="auto"/>
            <w:noWrap/>
            <w:vAlign w:val="center"/>
            <w:hideMark/>
          </w:tcPr>
          <w:p w14:paraId="2BA6315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80,000</w:t>
            </w:r>
          </w:p>
        </w:tc>
        <w:tc>
          <w:tcPr>
            <w:tcW w:w="1134" w:type="dxa"/>
            <w:vMerge/>
            <w:vAlign w:val="center"/>
            <w:hideMark/>
          </w:tcPr>
          <w:p w14:paraId="21BF047C"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381BDFE4" w14:textId="77777777" w:rsidR="00181AD3" w:rsidRPr="006B0B0A" w:rsidRDefault="00181AD3" w:rsidP="00BE57C8">
            <w:pPr>
              <w:spacing w:after="0" w:line="240" w:lineRule="auto"/>
              <w:rPr>
                <w:color w:val="000000"/>
                <w:sz w:val="18"/>
                <w:szCs w:val="18"/>
                <w:lang w:eastAsia="en-NZ"/>
              </w:rPr>
            </w:pPr>
          </w:p>
        </w:tc>
        <w:tc>
          <w:tcPr>
            <w:tcW w:w="1124" w:type="dxa"/>
            <w:shd w:val="clear" w:color="auto" w:fill="auto"/>
            <w:noWrap/>
            <w:vAlign w:val="center"/>
            <w:hideMark/>
          </w:tcPr>
          <w:p w14:paraId="2068F55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7597BC7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Network modeller recruited in April 2015 and working model developed.</w:t>
            </w:r>
          </w:p>
        </w:tc>
        <w:tc>
          <w:tcPr>
            <w:tcW w:w="2268" w:type="dxa"/>
            <w:shd w:val="clear" w:color="auto" w:fill="auto"/>
            <w:vAlign w:val="bottom"/>
            <w:hideMark/>
          </w:tcPr>
          <w:p w14:paraId="592679E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Not sure of model was ever calibrated. Model not being used. Likely that any future modelling activities will be outsourced.</w:t>
            </w:r>
          </w:p>
        </w:tc>
      </w:tr>
      <w:tr w:rsidR="00181AD3" w:rsidRPr="006B0B0A" w14:paraId="3B03A94B" w14:textId="77777777" w:rsidTr="00BE57C8">
        <w:trPr>
          <w:trHeight w:val="20"/>
        </w:trPr>
        <w:tc>
          <w:tcPr>
            <w:tcW w:w="1008" w:type="dxa"/>
            <w:shd w:val="clear" w:color="auto" w:fill="auto"/>
            <w:noWrap/>
            <w:hideMark/>
          </w:tcPr>
          <w:p w14:paraId="531B40E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7959A3C"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2</w:t>
            </w:r>
          </w:p>
        </w:tc>
        <w:tc>
          <w:tcPr>
            <w:tcW w:w="1141" w:type="dxa"/>
            <w:shd w:val="clear" w:color="auto" w:fill="auto"/>
            <w:noWrap/>
            <w:vAlign w:val="center"/>
            <w:hideMark/>
          </w:tcPr>
          <w:p w14:paraId="214AD21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E6B154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110,000</w:t>
            </w:r>
          </w:p>
        </w:tc>
        <w:tc>
          <w:tcPr>
            <w:tcW w:w="1134" w:type="dxa"/>
            <w:shd w:val="clear" w:color="auto" w:fill="auto"/>
            <w:noWrap/>
            <w:vAlign w:val="center"/>
            <w:hideMark/>
          </w:tcPr>
          <w:p w14:paraId="7D1BF27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3432EAB3"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69,924</w:t>
            </w:r>
          </w:p>
        </w:tc>
        <w:tc>
          <w:tcPr>
            <w:tcW w:w="1124" w:type="dxa"/>
            <w:shd w:val="clear" w:color="auto" w:fill="auto"/>
            <w:noWrap/>
            <w:vAlign w:val="center"/>
            <w:hideMark/>
          </w:tcPr>
          <w:p w14:paraId="2062928C"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63,425</w:t>
            </w:r>
          </w:p>
        </w:tc>
        <w:tc>
          <w:tcPr>
            <w:tcW w:w="3129" w:type="dxa"/>
            <w:shd w:val="clear" w:color="auto" w:fill="auto"/>
            <w:noWrap/>
            <w:hideMark/>
          </w:tcPr>
          <w:p w14:paraId="009CBD3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1813648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5CA5EB3" w14:textId="77777777" w:rsidTr="00BE57C8">
        <w:trPr>
          <w:trHeight w:val="20"/>
        </w:trPr>
        <w:tc>
          <w:tcPr>
            <w:tcW w:w="1008" w:type="dxa"/>
            <w:shd w:val="clear" w:color="auto" w:fill="auto"/>
            <w:noWrap/>
            <w:hideMark/>
          </w:tcPr>
          <w:p w14:paraId="16826DF7"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3. Reducing Non-Revenue Water</w:t>
            </w:r>
          </w:p>
        </w:tc>
        <w:tc>
          <w:tcPr>
            <w:tcW w:w="3200" w:type="dxa"/>
            <w:shd w:val="clear" w:color="auto" w:fill="auto"/>
            <w:noWrap/>
            <w:hideMark/>
          </w:tcPr>
          <w:p w14:paraId="24C1521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141" w:type="dxa"/>
            <w:shd w:val="clear" w:color="auto" w:fill="auto"/>
            <w:noWrap/>
            <w:vAlign w:val="center"/>
            <w:hideMark/>
          </w:tcPr>
          <w:p w14:paraId="2776AFB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F3EFEC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EC009B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841253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63CAAB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406EB14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Through JICA project, SW capability to reduce NRW has reportedly been achieved. </w:t>
            </w:r>
          </w:p>
        </w:tc>
        <w:tc>
          <w:tcPr>
            <w:tcW w:w="2268" w:type="dxa"/>
            <w:shd w:val="clear" w:color="auto" w:fill="auto"/>
            <w:noWrap/>
            <w:vAlign w:val="bottom"/>
            <w:hideMark/>
          </w:tcPr>
          <w:p w14:paraId="7193FFD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45C0A07" w14:textId="77777777" w:rsidTr="00BE57C8">
        <w:trPr>
          <w:trHeight w:val="20"/>
        </w:trPr>
        <w:tc>
          <w:tcPr>
            <w:tcW w:w="1008" w:type="dxa"/>
            <w:shd w:val="clear" w:color="auto" w:fill="auto"/>
            <w:noWrap/>
            <w:hideMark/>
          </w:tcPr>
          <w:p w14:paraId="4F9FEE70"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lastRenderedPageBreak/>
              <w:t>3A</w:t>
            </w:r>
          </w:p>
        </w:tc>
        <w:tc>
          <w:tcPr>
            <w:tcW w:w="3200" w:type="dxa"/>
            <w:shd w:val="clear" w:color="auto" w:fill="auto"/>
            <w:noWrap/>
            <w:hideMark/>
          </w:tcPr>
          <w:p w14:paraId="458B30BA"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Pressure Management</w:t>
            </w:r>
          </w:p>
        </w:tc>
        <w:tc>
          <w:tcPr>
            <w:tcW w:w="1141" w:type="dxa"/>
            <w:shd w:val="clear" w:color="auto" w:fill="auto"/>
            <w:noWrap/>
            <w:vAlign w:val="center"/>
            <w:hideMark/>
          </w:tcPr>
          <w:p w14:paraId="07D93AF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3B7148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19C5FB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711621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0ED38C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17A78F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Six DMAs need to be created with pressure management.  Two DMAs commissioned. Remaining four DMAs to be commissioned by end July.</w:t>
            </w:r>
          </w:p>
        </w:tc>
        <w:tc>
          <w:tcPr>
            <w:tcW w:w="2268" w:type="dxa"/>
            <w:shd w:val="clear" w:color="auto" w:fill="auto"/>
            <w:noWrap/>
            <w:vAlign w:val="bottom"/>
            <w:hideMark/>
          </w:tcPr>
          <w:p w14:paraId="123207A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6EC1432" w14:textId="77777777" w:rsidTr="00BE57C8">
        <w:trPr>
          <w:trHeight w:val="20"/>
        </w:trPr>
        <w:tc>
          <w:tcPr>
            <w:tcW w:w="1008" w:type="dxa"/>
            <w:shd w:val="clear" w:color="auto" w:fill="auto"/>
            <w:noWrap/>
            <w:hideMark/>
          </w:tcPr>
          <w:p w14:paraId="79F9742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3A.1</w:t>
            </w:r>
          </w:p>
        </w:tc>
        <w:tc>
          <w:tcPr>
            <w:tcW w:w="3200" w:type="dxa"/>
            <w:shd w:val="clear" w:color="auto" w:fill="auto"/>
            <w:noWrap/>
            <w:hideMark/>
          </w:tcPr>
          <w:p w14:paraId="71E9CC3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Procure PRVs</w:t>
            </w:r>
          </w:p>
        </w:tc>
        <w:tc>
          <w:tcPr>
            <w:tcW w:w="1141" w:type="dxa"/>
            <w:shd w:val="clear" w:color="auto" w:fill="auto"/>
            <w:noWrap/>
            <w:vAlign w:val="center"/>
            <w:hideMark/>
          </w:tcPr>
          <w:p w14:paraId="314B4D5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0E2DED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vMerge w:val="restart"/>
            <w:shd w:val="clear" w:color="auto" w:fill="auto"/>
            <w:noWrap/>
            <w:vAlign w:val="center"/>
            <w:hideMark/>
          </w:tcPr>
          <w:p w14:paraId="0A8BCEF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vMerge w:val="restart"/>
            <w:shd w:val="clear" w:color="auto" w:fill="auto"/>
            <w:noWrap/>
            <w:vAlign w:val="center"/>
            <w:hideMark/>
          </w:tcPr>
          <w:p w14:paraId="308F08E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594,360</w:t>
            </w:r>
          </w:p>
        </w:tc>
        <w:tc>
          <w:tcPr>
            <w:tcW w:w="1124" w:type="dxa"/>
            <w:vMerge w:val="restart"/>
            <w:shd w:val="clear" w:color="auto" w:fill="auto"/>
            <w:noWrap/>
            <w:vAlign w:val="center"/>
            <w:hideMark/>
          </w:tcPr>
          <w:p w14:paraId="7A54A05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369,251</w:t>
            </w:r>
          </w:p>
        </w:tc>
        <w:tc>
          <w:tcPr>
            <w:tcW w:w="3129" w:type="dxa"/>
            <w:shd w:val="clear" w:color="auto" w:fill="auto"/>
            <w:hideMark/>
          </w:tcPr>
          <w:p w14:paraId="1B97119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Pressure Reducing Valves procurement was delayed which has impacted on NRW program. Tendering for PRVs is in progress and installation should be completed by end July. Some PRVs have been procured for first batch of DMAs.</w:t>
            </w:r>
          </w:p>
        </w:tc>
        <w:tc>
          <w:tcPr>
            <w:tcW w:w="2268" w:type="dxa"/>
            <w:shd w:val="clear" w:color="auto" w:fill="auto"/>
            <w:hideMark/>
          </w:tcPr>
          <w:p w14:paraId="0D8A1FA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Caused by changes in the specifications for the valves. Sizes were reduced from 80mm and 100mm to 40mm. </w:t>
            </w:r>
          </w:p>
        </w:tc>
      </w:tr>
      <w:tr w:rsidR="00181AD3" w:rsidRPr="006B0B0A" w14:paraId="25BED02B" w14:textId="77777777" w:rsidTr="00BE57C8">
        <w:trPr>
          <w:trHeight w:val="20"/>
        </w:trPr>
        <w:tc>
          <w:tcPr>
            <w:tcW w:w="1008" w:type="dxa"/>
            <w:shd w:val="clear" w:color="auto" w:fill="auto"/>
            <w:noWrap/>
            <w:hideMark/>
          </w:tcPr>
          <w:p w14:paraId="29CF783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3A.2</w:t>
            </w:r>
          </w:p>
        </w:tc>
        <w:tc>
          <w:tcPr>
            <w:tcW w:w="3200" w:type="dxa"/>
            <w:shd w:val="clear" w:color="auto" w:fill="auto"/>
            <w:noWrap/>
            <w:hideMark/>
          </w:tcPr>
          <w:p w14:paraId="1742A1D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Procure electromagnetic flow meters</w:t>
            </w:r>
          </w:p>
        </w:tc>
        <w:tc>
          <w:tcPr>
            <w:tcW w:w="1141" w:type="dxa"/>
            <w:shd w:val="clear" w:color="auto" w:fill="auto"/>
            <w:noWrap/>
            <w:vAlign w:val="center"/>
            <w:hideMark/>
          </w:tcPr>
          <w:p w14:paraId="72480EE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11 locations</w:t>
            </w:r>
          </w:p>
        </w:tc>
        <w:tc>
          <w:tcPr>
            <w:tcW w:w="1045" w:type="dxa"/>
            <w:shd w:val="clear" w:color="auto" w:fill="auto"/>
            <w:noWrap/>
            <w:vAlign w:val="center"/>
            <w:hideMark/>
          </w:tcPr>
          <w:p w14:paraId="51714E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vMerge/>
            <w:vAlign w:val="center"/>
            <w:hideMark/>
          </w:tcPr>
          <w:p w14:paraId="02E4F04A"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3E2F065"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542D1E4C"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61F01EA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Procurement and installation complete</w:t>
            </w:r>
          </w:p>
        </w:tc>
        <w:tc>
          <w:tcPr>
            <w:tcW w:w="2268" w:type="dxa"/>
            <w:shd w:val="clear" w:color="auto" w:fill="auto"/>
            <w:noWrap/>
            <w:vAlign w:val="bottom"/>
            <w:hideMark/>
          </w:tcPr>
          <w:p w14:paraId="53D4CCB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FF2A7EE" w14:textId="77777777" w:rsidTr="00BE57C8">
        <w:trPr>
          <w:trHeight w:val="20"/>
        </w:trPr>
        <w:tc>
          <w:tcPr>
            <w:tcW w:w="1008" w:type="dxa"/>
            <w:shd w:val="clear" w:color="auto" w:fill="auto"/>
            <w:noWrap/>
            <w:hideMark/>
          </w:tcPr>
          <w:p w14:paraId="2444B7D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3A.3</w:t>
            </w:r>
          </w:p>
        </w:tc>
        <w:tc>
          <w:tcPr>
            <w:tcW w:w="3200" w:type="dxa"/>
            <w:shd w:val="clear" w:color="auto" w:fill="auto"/>
            <w:noWrap/>
            <w:hideMark/>
          </w:tcPr>
          <w:p w14:paraId="7B4EACF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Construct by-pass and chamber </w:t>
            </w:r>
          </w:p>
        </w:tc>
        <w:tc>
          <w:tcPr>
            <w:tcW w:w="1141" w:type="dxa"/>
            <w:shd w:val="clear" w:color="auto" w:fill="auto"/>
            <w:noWrap/>
            <w:vAlign w:val="center"/>
            <w:hideMark/>
          </w:tcPr>
          <w:p w14:paraId="144E807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2A2E4B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300,000</w:t>
            </w:r>
          </w:p>
        </w:tc>
        <w:tc>
          <w:tcPr>
            <w:tcW w:w="1134" w:type="dxa"/>
            <w:vMerge/>
            <w:vAlign w:val="center"/>
            <w:hideMark/>
          </w:tcPr>
          <w:p w14:paraId="5E2E1780"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9487878"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5C426DCE"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7B7B6C5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Chamber construction in progress. 4 DMAs operational. 6 DMAs in progress. Chamber construction expected to be completed by end October.</w:t>
            </w:r>
          </w:p>
        </w:tc>
        <w:tc>
          <w:tcPr>
            <w:tcW w:w="2268" w:type="dxa"/>
            <w:shd w:val="clear" w:color="auto" w:fill="auto"/>
            <w:noWrap/>
            <w:vAlign w:val="bottom"/>
            <w:hideMark/>
          </w:tcPr>
          <w:p w14:paraId="48F87D7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E507779" w14:textId="77777777" w:rsidTr="00BE57C8">
        <w:trPr>
          <w:trHeight w:val="20"/>
        </w:trPr>
        <w:tc>
          <w:tcPr>
            <w:tcW w:w="1008" w:type="dxa"/>
            <w:shd w:val="clear" w:color="auto" w:fill="auto"/>
            <w:noWrap/>
            <w:hideMark/>
          </w:tcPr>
          <w:p w14:paraId="1B2143E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3A.4</w:t>
            </w:r>
          </w:p>
        </w:tc>
        <w:tc>
          <w:tcPr>
            <w:tcW w:w="3200" w:type="dxa"/>
            <w:shd w:val="clear" w:color="auto" w:fill="auto"/>
            <w:hideMark/>
          </w:tcPr>
          <w:p w14:paraId="6636EB3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Conduct customer awareness campaigns</w:t>
            </w:r>
          </w:p>
        </w:tc>
        <w:tc>
          <w:tcPr>
            <w:tcW w:w="1141" w:type="dxa"/>
            <w:shd w:val="clear" w:color="auto" w:fill="auto"/>
            <w:noWrap/>
            <w:vAlign w:val="center"/>
            <w:hideMark/>
          </w:tcPr>
          <w:p w14:paraId="63EB090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13 zones</w:t>
            </w:r>
          </w:p>
        </w:tc>
        <w:tc>
          <w:tcPr>
            <w:tcW w:w="1045" w:type="dxa"/>
            <w:shd w:val="clear" w:color="auto" w:fill="auto"/>
            <w:noWrap/>
            <w:vAlign w:val="center"/>
            <w:hideMark/>
          </w:tcPr>
          <w:p w14:paraId="4AC54BA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vMerge/>
            <w:vAlign w:val="center"/>
            <w:hideMark/>
          </w:tcPr>
          <w:p w14:paraId="0DF3E272"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6042D94C"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7F97270D"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noWrap/>
            <w:hideMark/>
          </w:tcPr>
          <w:p w14:paraId="64C213E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Not reported</w:t>
            </w:r>
          </w:p>
        </w:tc>
        <w:tc>
          <w:tcPr>
            <w:tcW w:w="2268" w:type="dxa"/>
            <w:shd w:val="clear" w:color="auto" w:fill="auto"/>
            <w:noWrap/>
            <w:vAlign w:val="bottom"/>
            <w:hideMark/>
          </w:tcPr>
          <w:p w14:paraId="0481B02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F792FC5" w14:textId="77777777" w:rsidTr="00BE57C8">
        <w:trPr>
          <w:trHeight w:val="20"/>
        </w:trPr>
        <w:tc>
          <w:tcPr>
            <w:tcW w:w="1008" w:type="dxa"/>
            <w:shd w:val="clear" w:color="auto" w:fill="auto"/>
            <w:noWrap/>
            <w:hideMark/>
          </w:tcPr>
          <w:p w14:paraId="700467F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3A.5</w:t>
            </w:r>
          </w:p>
        </w:tc>
        <w:tc>
          <w:tcPr>
            <w:tcW w:w="3200" w:type="dxa"/>
            <w:shd w:val="clear" w:color="auto" w:fill="auto"/>
            <w:hideMark/>
          </w:tcPr>
          <w:p w14:paraId="7414AD0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Set up selected supply zones as DMAs. Procurement and installation of district meters</w:t>
            </w:r>
          </w:p>
        </w:tc>
        <w:tc>
          <w:tcPr>
            <w:tcW w:w="1141" w:type="dxa"/>
            <w:shd w:val="clear" w:color="auto" w:fill="auto"/>
            <w:noWrap/>
            <w:vAlign w:val="center"/>
            <w:hideMark/>
          </w:tcPr>
          <w:p w14:paraId="583E674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13 Zones</w:t>
            </w:r>
          </w:p>
        </w:tc>
        <w:tc>
          <w:tcPr>
            <w:tcW w:w="1045" w:type="dxa"/>
            <w:shd w:val="clear" w:color="auto" w:fill="auto"/>
            <w:noWrap/>
            <w:vAlign w:val="center"/>
            <w:hideMark/>
          </w:tcPr>
          <w:p w14:paraId="6D0C7C6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100,000</w:t>
            </w:r>
          </w:p>
        </w:tc>
        <w:tc>
          <w:tcPr>
            <w:tcW w:w="1134" w:type="dxa"/>
            <w:vMerge/>
            <w:vAlign w:val="center"/>
            <w:hideMark/>
          </w:tcPr>
          <w:p w14:paraId="130E9B46"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3267841A"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4843B1B6"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68056BE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22 Non-pressure managed DMAs expected to be commissioned by October 2016.</w:t>
            </w:r>
          </w:p>
        </w:tc>
        <w:tc>
          <w:tcPr>
            <w:tcW w:w="2268" w:type="dxa"/>
            <w:shd w:val="clear" w:color="auto" w:fill="auto"/>
            <w:noWrap/>
            <w:vAlign w:val="bottom"/>
            <w:hideMark/>
          </w:tcPr>
          <w:p w14:paraId="3309867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6757D65" w14:textId="77777777" w:rsidTr="00BE57C8">
        <w:trPr>
          <w:trHeight w:val="20"/>
        </w:trPr>
        <w:tc>
          <w:tcPr>
            <w:tcW w:w="1008" w:type="dxa"/>
            <w:shd w:val="clear" w:color="auto" w:fill="auto"/>
            <w:noWrap/>
            <w:hideMark/>
          </w:tcPr>
          <w:p w14:paraId="372A618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3A.6</w:t>
            </w:r>
          </w:p>
        </w:tc>
        <w:tc>
          <w:tcPr>
            <w:tcW w:w="3200" w:type="dxa"/>
            <w:shd w:val="clear" w:color="auto" w:fill="auto"/>
            <w:noWrap/>
            <w:hideMark/>
          </w:tcPr>
          <w:p w14:paraId="6FED0E8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Procure and install GSM data loggers</w:t>
            </w:r>
          </w:p>
        </w:tc>
        <w:tc>
          <w:tcPr>
            <w:tcW w:w="1141" w:type="dxa"/>
            <w:shd w:val="clear" w:color="auto" w:fill="auto"/>
            <w:noWrap/>
            <w:vAlign w:val="center"/>
            <w:hideMark/>
          </w:tcPr>
          <w:p w14:paraId="745417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9083A0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25,000</w:t>
            </w:r>
          </w:p>
        </w:tc>
        <w:tc>
          <w:tcPr>
            <w:tcW w:w="1134" w:type="dxa"/>
            <w:vMerge/>
            <w:vAlign w:val="center"/>
            <w:hideMark/>
          </w:tcPr>
          <w:p w14:paraId="2BA643A8"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47E5136"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CFE3B8B"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noWrap/>
            <w:hideMark/>
          </w:tcPr>
          <w:p w14:paraId="603EFC7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6B6756B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D3BDF2C" w14:textId="77777777" w:rsidTr="00BE57C8">
        <w:trPr>
          <w:trHeight w:val="20"/>
        </w:trPr>
        <w:tc>
          <w:tcPr>
            <w:tcW w:w="1008" w:type="dxa"/>
            <w:shd w:val="clear" w:color="auto" w:fill="auto"/>
            <w:noWrap/>
            <w:hideMark/>
          </w:tcPr>
          <w:p w14:paraId="1458756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3A.7</w:t>
            </w:r>
          </w:p>
        </w:tc>
        <w:tc>
          <w:tcPr>
            <w:tcW w:w="3200" w:type="dxa"/>
            <w:shd w:val="clear" w:color="auto" w:fill="auto"/>
            <w:noWrap/>
            <w:hideMark/>
          </w:tcPr>
          <w:p w14:paraId="209D48B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Training of NRW Task Force</w:t>
            </w:r>
          </w:p>
        </w:tc>
        <w:tc>
          <w:tcPr>
            <w:tcW w:w="1141" w:type="dxa"/>
            <w:shd w:val="clear" w:color="auto" w:fill="auto"/>
            <w:noWrap/>
            <w:vAlign w:val="center"/>
            <w:hideMark/>
          </w:tcPr>
          <w:p w14:paraId="4CFC3D5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3CA4C2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w:t>
            </w:r>
          </w:p>
        </w:tc>
        <w:tc>
          <w:tcPr>
            <w:tcW w:w="1134" w:type="dxa"/>
            <w:vMerge/>
            <w:vAlign w:val="center"/>
            <w:hideMark/>
          </w:tcPr>
          <w:p w14:paraId="02D7952A"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3821373"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5030D62E"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7C95846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Technical and managerial capability to reduce NRW has been achieved. Significant training provided under JICA project. O&amp;M manual provided for PRV operation. </w:t>
            </w:r>
          </w:p>
        </w:tc>
        <w:tc>
          <w:tcPr>
            <w:tcW w:w="2268" w:type="dxa"/>
            <w:shd w:val="clear" w:color="auto" w:fill="auto"/>
            <w:noWrap/>
            <w:vAlign w:val="bottom"/>
            <w:hideMark/>
          </w:tcPr>
          <w:p w14:paraId="0F05D1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5022349" w14:textId="77777777" w:rsidTr="00BE57C8">
        <w:trPr>
          <w:trHeight w:val="20"/>
        </w:trPr>
        <w:tc>
          <w:tcPr>
            <w:tcW w:w="1008" w:type="dxa"/>
            <w:shd w:val="clear" w:color="auto" w:fill="auto"/>
            <w:noWrap/>
            <w:hideMark/>
          </w:tcPr>
          <w:p w14:paraId="2CED978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3A.8</w:t>
            </w:r>
          </w:p>
        </w:tc>
        <w:tc>
          <w:tcPr>
            <w:tcW w:w="3200" w:type="dxa"/>
            <w:shd w:val="clear" w:color="auto" w:fill="auto"/>
            <w:noWrap/>
            <w:hideMark/>
          </w:tcPr>
          <w:p w14:paraId="31DA789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Geo-spatial referencing of connections</w:t>
            </w:r>
          </w:p>
        </w:tc>
        <w:tc>
          <w:tcPr>
            <w:tcW w:w="1141" w:type="dxa"/>
            <w:shd w:val="clear" w:color="auto" w:fill="auto"/>
            <w:noWrap/>
            <w:vAlign w:val="center"/>
            <w:hideMark/>
          </w:tcPr>
          <w:p w14:paraId="255150A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B903D6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vMerge/>
            <w:vAlign w:val="center"/>
            <w:hideMark/>
          </w:tcPr>
          <w:p w14:paraId="278FB836"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4F9AC0C4"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7EE1EE2D"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noWrap/>
            <w:hideMark/>
          </w:tcPr>
          <w:p w14:paraId="3C7B1F6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Completed</w:t>
            </w:r>
          </w:p>
        </w:tc>
        <w:tc>
          <w:tcPr>
            <w:tcW w:w="2268" w:type="dxa"/>
            <w:shd w:val="clear" w:color="auto" w:fill="auto"/>
            <w:noWrap/>
            <w:vAlign w:val="bottom"/>
            <w:hideMark/>
          </w:tcPr>
          <w:p w14:paraId="5A713B7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AF06082" w14:textId="77777777" w:rsidTr="00BE57C8">
        <w:trPr>
          <w:trHeight w:val="20"/>
        </w:trPr>
        <w:tc>
          <w:tcPr>
            <w:tcW w:w="1008" w:type="dxa"/>
            <w:shd w:val="clear" w:color="auto" w:fill="auto"/>
            <w:noWrap/>
            <w:hideMark/>
          </w:tcPr>
          <w:p w14:paraId="7E107B1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3A.9</w:t>
            </w:r>
          </w:p>
        </w:tc>
        <w:tc>
          <w:tcPr>
            <w:tcW w:w="3200" w:type="dxa"/>
            <w:shd w:val="clear" w:color="auto" w:fill="auto"/>
            <w:hideMark/>
          </w:tcPr>
          <w:p w14:paraId="594E02F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Establish Map info database link to billing database</w:t>
            </w:r>
          </w:p>
        </w:tc>
        <w:tc>
          <w:tcPr>
            <w:tcW w:w="1141" w:type="dxa"/>
            <w:shd w:val="clear" w:color="auto" w:fill="auto"/>
            <w:noWrap/>
            <w:vAlign w:val="center"/>
            <w:hideMark/>
          </w:tcPr>
          <w:p w14:paraId="20D44B7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B5F111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5,000</w:t>
            </w:r>
          </w:p>
        </w:tc>
        <w:tc>
          <w:tcPr>
            <w:tcW w:w="1134" w:type="dxa"/>
            <w:vMerge/>
            <w:vAlign w:val="center"/>
            <w:hideMark/>
          </w:tcPr>
          <w:p w14:paraId="59201797"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3F35F371"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3C90BFF"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noWrap/>
            <w:hideMark/>
          </w:tcPr>
          <w:p w14:paraId="22DDF63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383BD89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F8F5EA9" w14:textId="77777777" w:rsidTr="00BE57C8">
        <w:trPr>
          <w:trHeight w:val="20"/>
        </w:trPr>
        <w:tc>
          <w:tcPr>
            <w:tcW w:w="1008" w:type="dxa"/>
            <w:shd w:val="clear" w:color="auto" w:fill="auto"/>
            <w:noWrap/>
            <w:hideMark/>
          </w:tcPr>
          <w:p w14:paraId="22B344A7"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3B</w:t>
            </w:r>
          </w:p>
        </w:tc>
        <w:tc>
          <w:tcPr>
            <w:tcW w:w="3200" w:type="dxa"/>
            <w:shd w:val="clear" w:color="auto" w:fill="auto"/>
            <w:noWrap/>
            <w:hideMark/>
          </w:tcPr>
          <w:p w14:paraId="525D8406"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NRW Reduction</w:t>
            </w:r>
          </w:p>
        </w:tc>
        <w:tc>
          <w:tcPr>
            <w:tcW w:w="1141" w:type="dxa"/>
            <w:shd w:val="clear" w:color="auto" w:fill="auto"/>
            <w:noWrap/>
            <w:vAlign w:val="center"/>
            <w:hideMark/>
          </w:tcPr>
          <w:p w14:paraId="689EAD5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A6D210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797C58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481C5A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118869F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95506F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DF8DEF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02A558C" w14:textId="77777777" w:rsidTr="00BE57C8">
        <w:trPr>
          <w:trHeight w:val="20"/>
        </w:trPr>
        <w:tc>
          <w:tcPr>
            <w:tcW w:w="1008" w:type="dxa"/>
            <w:shd w:val="clear" w:color="auto" w:fill="auto"/>
            <w:noWrap/>
            <w:hideMark/>
          </w:tcPr>
          <w:p w14:paraId="5A2F4F9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3B.1</w:t>
            </w:r>
          </w:p>
        </w:tc>
        <w:tc>
          <w:tcPr>
            <w:tcW w:w="3200" w:type="dxa"/>
            <w:shd w:val="clear" w:color="auto" w:fill="auto"/>
            <w:hideMark/>
          </w:tcPr>
          <w:p w14:paraId="640C1CC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Prepare standard specs for materials and modify procurement procedures</w:t>
            </w:r>
          </w:p>
        </w:tc>
        <w:tc>
          <w:tcPr>
            <w:tcW w:w="1141" w:type="dxa"/>
            <w:shd w:val="clear" w:color="auto" w:fill="auto"/>
            <w:noWrap/>
            <w:vAlign w:val="center"/>
            <w:hideMark/>
          </w:tcPr>
          <w:p w14:paraId="3FB9EE5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AF961D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vMerge w:val="restart"/>
            <w:shd w:val="clear" w:color="auto" w:fill="auto"/>
            <w:noWrap/>
            <w:vAlign w:val="center"/>
            <w:hideMark/>
          </w:tcPr>
          <w:p w14:paraId="2C2B2D9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vMerge w:val="restart"/>
            <w:shd w:val="clear" w:color="auto" w:fill="auto"/>
            <w:noWrap/>
            <w:vAlign w:val="center"/>
            <w:hideMark/>
          </w:tcPr>
          <w:p w14:paraId="0F81452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1,611,767</w:t>
            </w:r>
          </w:p>
        </w:tc>
        <w:tc>
          <w:tcPr>
            <w:tcW w:w="1124" w:type="dxa"/>
            <w:vMerge w:val="restart"/>
            <w:shd w:val="clear" w:color="auto" w:fill="auto"/>
            <w:noWrap/>
            <w:vAlign w:val="center"/>
            <w:hideMark/>
          </w:tcPr>
          <w:p w14:paraId="6D46218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786,649</w:t>
            </w:r>
          </w:p>
        </w:tc>
        <w:tc>
          <w:tcPr>
            <w:tcW w:w="3129" w:type="dxa"/>
            <w:shd w:val="clear" w:color="auto" w:fill="auto"/>
            <w:hideMark/>
          </w:tcPr>
          <w:p w14:paraId="36816C1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Currently in progress together with preparation of Procurement Manual</w:t>
            </w:r>
          </w:p>
        </w:tc>
        <w:tc>
          <w:tcPr>
            <w:tcW w:w="2268" w:type="dxa"/>
            <w:shd w:val="clear" w:color="auto" w:fill="auto"/>
            <w:noWrap/>
            <w:vAlign w:val="bottom"/>
            <w:hideMark/>
          </w:tcPr>
          <w:p w14:paraId="1E1CC12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9A0F11F" w14:textId="77777777" w:rsidTr="00BE57C8">
        <w:trPr>
          <w:trHeight w:val="20"/>
        </w:trPr>
        <w:tc>
          <w:tcPr>
            <w:tcW w:w="1008" w:type="dxa"/>
            <w:shd w:val="clear" w:color="auto" w:fill="auto"/>
            <w:noWrap/>
            <w:hideMark/>
          </w:tcPr>
          <w:p w14:paraId="0320C30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3B.2</w:t>
            </w:r>
          </w:p>
        </w:tc>
        <w:tc>
          <w:tcPr>
            <w:tcW w:w="3200" w:type="dxa"/>
            <w:shd w:val="clear" w:color="auto" w:fill="auto"/>
            <w:hideMark/>
          </w:tcPr>
          <w:p w14:paraId="1AE70EA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Training of supervisors in pipeline construction and repair</w:t>
            </w:r>
          </w:p>
        </w:tc>
        <w:tc>
          <w:tcPr>
            <w:tcW w:w="1141" w:type="dxa"/>
            <w:shd w:val="clear" w:color="auto" w:fill="auto"/>
            <w:noWrap/>
            <w:vAlign w:val="center"/>
            <w:hideMark/>
          </w:tcPr>
          <w:p w14:paraId="2D2AFDF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55D7B3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w:t>
            </w:r>
          </w:p>
        </w:tc>
        <w:tc>
          <w:tcPr>
            <w:tcW w:w="1134" w:type="dxa"/>
            <w:vMerge/>
            <w:vAlign w:val="center"/>
            <w:hideMark/>
          </w:tcPr>
          <w:p w14:paraId="4E4BE2D0"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50492180"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20970079"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5BF9D4A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 training has been conducted recently with regard to pipeline construction and repair.</w:t>
            </w:r>
          </w:p>
        </w:tc>
        <w:tc>
          <w:tcPr>
            <w:tcW w:w="2268" w:type="dxa"/>
            <w:shd w:val="clear" w:color="auto" w:fill="auto"/>
            <w:noWrap/>
            <w:vAlign w:val="bottom"/>
            <w:hideMark/>
          </w:tcPr>
          <w:p w14:paraId="1A61164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584CFC9" w14:textId="77777777" w:rsidTr="00BE57C8">
        <w:trPr>
          <w:trHeight w:val="20"/>
        </w:trPr>
        <w:tc>
          <w:tcPr>
            <w:tcW w:w="1008" w:type="dxa"/>
            <w:shd w:val="clear" w:color="auto" w:fill="auto"/>
            <w:noWrap/>
            <w:hideMark/>
          </w:tcPr>
          <w:p w14:paraId="4E4EFCB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3B.3</w:t>
            </w:r>
          </w:p>
        </w:tc>
        <w:tc>
          <w:tcPr>
            <w:tcW w:w="3200" w:type="dxa"/>
            <w:shd w:val="clear" w:color="auto" w:fill="auto"/>
            <w:hideMark/>
          </w:tcPr>
          <w:p w14:paraId="4742CDA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 procedures related to illegal connections</w:t>
            </w:r>
          </w:p>
        </w:tc>
        <w:tc>
          <w:tcPr>
            <w:tcW w:w="1141" w:type="dxa"/>
            <w:shd w:val="clear" w:color="auto" w:fill="auto"/>
            <w:noWrap/>
            <w:vAlign w:val="center"/>
            <w:hideMark/>
          </w:tcPr>
          <w:p w14:paraId="68D773B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C7E8E8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vMerge/>
            <w:vAlign w:val="center"/>
            <w:hideMark/>
          </w:tcPr>
          <w:p w14:paraId="0E2F2F49"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4335AD41"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7D44771E"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noWrap/>
            <w:hideMark/>
          </w:tcPr>
          <w:p w14:paraId="469AB84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This has been achieved.</w:t>
            </w:r>
          </w:p>
        </w:tc>
        <w:tc>
          <w:tcPr>
            <w:tcW w:w="2268" w:type="dxa"/>
            <w:shd w:val="clear" w:color="auto" w:fill="auto"/>
            <w:noWrap/>
            <w:vAlign w:val="bottom"/>
            <w:hideMark/>
          </w:tcPr>
          <w:p w14:paraId="389D4C4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191A195" w14:textId="77777777" w:rsidTr="00BE57C8">
        <w:trPr>
          <w:trHeight w:val="20"/>
        </w:trPr>
        <w:tc>
          <w:tcPr>
            <w:tcW w:w="1008" w:type="dxa"/>
            <w:shd w:val="clear" w:color="auto" w:fill="auto"/>
            <w:noWrap/>
            <w:hideMark/>
          </w:tcPr>
          <w:p w14:paraId="5324132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3B.4</w:t>
            </w:r>
          </w:p>
        </w:tc>
        <w:tc>
          <w:tcPr>
            <w:tcW w:w="3200" w:type="dxa"/>
            <w:shd w:val="clear" w:color="auto" w:fill="auto"/>
            <w:noWrap/>
            <w:hideMark/>
          </w:tcPr>
          <w:p w14:paraId="29FED34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Meters fitted to all connections</w:t>
            </w:r>
          </w:p>
        </w:tc>
        <w:tc>
          <w:tcPr>
            <w:tcW w:w="1141" w:type="dxa"/>
            <w:shd w:val="clear" w:color="auto" w:fill="auto"/>
            <w:noWrap/>
            <w:vAlign w:val="center"/>
            <w:hideMark/>
          </w:tcPr>
          <w:p w14:paraId="2FFBE8B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E1A93F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260,000</w:t>
            </w:r>
          </w:p>
        </w:tc>
        <w:tc>
          <w:tcPr>
            <w:tcW w:w="1134" w:type="dxa"/>
            <w:vMerge/>
            <w:vAlign w:val="center"/>
            <w:hideMark/>
          </w:tcPr>
          <w:p w14:paraId="0CAC018B"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3DC3E0A0"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E8D3DA2"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2B822BB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It is proposed that 3,600 meters will be replaced. 500 domestic meters replaced from September 2014 to March 2016. Another 670 meters replaced as part of the 4 DMA NRW program. Cash meters are also being trialled.</w:t>
            </w:r>
          </w:p>
        </w:tc>
        <w:tc>
          <w:tcPr>
            <w:tcW w:w="2268" w:type="dxa"/>
            <w:shd w:val="clear" w:color="auto" w:fill="auto"/>
            <w:hideMark/>
          </w:tcPr>
          <w:p w14:paraId="3BD410B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Meter replacement will proceed with the NRW reduction program.</w:t>
            </w:r>
          </w:p>
        </w:tc>
      </w:tr>
      <w:tr w:rsidR="00181AD3" w:rsidRPr="006B0B0A" w14:paraId="48EE98E7" w14:textId="77777777" w:rsidTr="00BE57C8">
        <w:trPr>
          <w:trHeight w:val="20"/>
        </w:trPr>
        <w:tc>
          <w:tcPr>
            <w:tcW w:w="1008" w:type="dxa"/>
            <w:shd w:val="clear" w:color="auto" w:fill="auto"/>
            <w:noWrap/>
            <w:hideMark/>
          </w:tcPr>
          <w:p w14:paraId="5AF0A2F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3B.5</w:t>
            </w:r>
          </w:p>
        </w:tc>
        <w:tc>
          <w:tcPr>
            <w:tcW w:w="3200" w:type="dxa"/>
            <w:shd w:val="clear" w:color="auto" w:fill="auto"/>
            <w:hideMark/>
          </w:tcPr>
          <w:p w14:paraId="5CA82B9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Pipes, fittings for leakage repair, replacement of mains</w:t>
            </w:r>
          </w:p>
        </w:tc>
        <w:tc>
          <w:tcPr>
            <w:tcW w:w="1141" w:type="dxa"/>
            <w:shd w:val="clear" w:color="auto" w:fill="auto"/>
            <w:noWrap/>
            <w:vAlign w:val="center"/>
            <w:hideMark/>
          </w:tcPr>
          <w:p w14:paraId="3A9D9F4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BF4CCB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650,000</w:t>
            </w:r>
          </w:p>
        </w:tc>
        <w:tc>
          <w:tcPr>
            <w:tcW w:w="1134" w:type="dxa"/>
            <w:vMerge/>
            <w:vAlign w:val="center"/>
            <w:hideMark/>
          </w:tcPr>
          <w:p w14:paraId="095FA6B0"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358A659C"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968E9F1"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68E374F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In progress with 40% expenditure. Expected completion October 2016 </w:t>
            </w:r>
          </w:p>
        </w:tc>
        <w:tc>
          <w:tcPr>
            <w:tcW w:w="2268" w:type="dxa"/>
            <w:shd w:val="clear" w:color="auto" w:fill="auto"/>
            <w:vAlign w:val="bottom"/>
            <w:hideMark/>
          </w:tcPr>
          <w:p w14:paraId="790B7E0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This will proceed in accordance with the NRW reduction program.</w:t>
            </w:r>
          </w:p>
        </w:tc>
      </w:tr>
      <w:tr w:rsidR="00181AD3" w:rsidRPr="006B0B0A" w14:paraId="100E6BEA" w14:textId="77777777" w:rsidTr="00BE57C8">
        <w:trPr>
          <w:trHeight w:val="20"/>
        </w:trPr>
        <w:tc>
          <w:tcPr>
            <w:tcW w:w="1008" w:type="dxa"/>
            <w:shd w:val="clear" w:color="auto" w:fill="auto"/>
            <w:noWrap/>
            <w:hideMark/>
          </w:tcPr>
          <w:p w14:paraId="046C9EF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3B.6</w:t>
            </w:r>
          </w:p>
        </w:tc>
        <w:tc>
          <w:tcPr>
            <w:tcW w:w="3200" w:type="dxa"/>
            <w:shd w:val="clear" w:color="auto" w:fill="auto"/>
            <w:noWrap/>
            <w:hideMark/>
          </w:tcPr>
          <w:p w14:paraId="561B941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Additional staff for NRW program</w:t>
            </w:r>
          </w:p>
        </w:tc>
        <w:tc>
          <w:tcPr>
            <w:tcW w:w="1141" w:type="dxa"/>
            <w:shd w:val="clear" w:color="auto" w:fill="auto"/>
            <w:vAlign w:val="center"/>
            <w:hideMark/>
          </w:tcPr>
          <w:p w14:paraId="7B0E1EA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Leak repair, disconnection, data input, meter repair</w:t>
            </w:r>
          </w:p>
        </w:tc>
        <w:tc>
          <w:tcPr>
            <w:tcW w:w="1045" w:type="dxa"/>
            <w:shd w:val="clear" w:color="auto" w:fill="auto"/>
            <w:noWrap/>
            <w:vAlign w:val="center"/>
            <w:hideMark/>
          </w:tcPr>
          <w:p w14:paraId="67BC0CF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vMerge/>
            <w:vAlign w:val="center"/>
            <w:hideMark/>
          </w:tcPr>
          <w:p w14:paraId="344A676D"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56E9891"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EDFAF98"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0660278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NRW Task Force has been established in accordance with the recommendations of the JICA NRW program.</w:t>
            </w:r>
          </w:p>
        </w:tc>
        <w:tc>
          <w:tcPr>
            <w:tcW w:w="2268" w:type="dxa"/>
            <w:shd w:val="clear" w:color="auto" w:fill="auto"/>
            <w:noWrap/>
            <w:vAlign w:val="bottom"/>
            <w:hideMark/>
          </w:tcPr>
          <w:p w14:paraId="31D9EAB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C1AF063" w14:textId="77777777" w:rsidTr="00BE57C8">
        <w:trPr>
          <w:trHeight w:val="20"/>
        </w:trPr>
        <w:tc>
          <w:tcPr>
            <w:tcW w:w="1008" w:type="dxa"/>
            <w:shd w:val="clear" w:color="auto" w:fill="auto"/>
            <w:noWrap/>
            <w:hideMark/>
          </w:tcPr>
          <w:p w14:paraId="144EA60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8445953"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3</w:t>
            </w:r>
          </w:p>
        </w:tc>
        <w:tc>
          <w:tcPr>
            <w:tcW w:w="1141" w:type="dxa"/>
            <w:shd w:val="clear" w:color="auto" w:fill="auto"/>
            <w:noWrap/>
            <w:vAlign w:val="center"/>
            <w:hideMark/>
          </w:tcPr>
          <w:p w14:paraId="6123858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AC5F3EB"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1,440,000</w:t>
            </w:r>
          </w:p>
        </w:tc>
        <w:tc>
          <w:tcPr>
            <w:tcW w:w="1134" w:type="dxa"/>
            <w:shd w:val="clear" w:color="auto" w:fill="auto"/>
            <w:noWrap/>
            <w:vAlign w:val="center"/>
            <w:hideMark/>
          </w:tcPr>
          <w:p w14:paraId="072B457B"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2215419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2,206,127</w:t>
            </w:r>
          </w:p>
        </w:tc>
        <w:tc>
          <w:tcPr>
            <w:tcW w:w="1124" w:type="dxa"/>
            <w:shd w:val="clear" w:color="auto" w:fill="auto"/>
            <w:noWrap/>
            <w:vAlign w:val="center"/>
            <w:hideMark/>
          </w:tcPr>
          <w:p w14:paraId="2483449C"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1,155,900</w:t>
            </w:r>
          </w:p>
        </w:tc>
        <w:tc>
          <w:tcPr>
            <w:tcW w:w="3129" w:type="dxa"/>
            <w:shd w:val="clear" w:color="auto" w:fill="auto"/>
            <w:noWrap/>
            <w:hideMark/>
          </w:tcPr>
          <w:p w14:paraId="5AEBD1F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23E2BA8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BEE568F" w14:textId="77777777" w:rsidTr="00BE57C8">
        <w:trPr>
          <w:trHeight w:val="20"/>
        </w:trPr>
        <w:tc>
          <w:tcPr>
            <w:tcW w:w="1008" w:type="dxa"/>
            <w:shd w:val="clear" w:color="auto" w:fill="auto"/>
            <w:noWrap/>
            <w:hideMark/>
          </w:tcPr>
          <w:p w14:paraId="4084DEE8"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4</w:t>
            </w:r>
          </w:p>
        </w:tc>
        <w:tc>
          <w:tcPr>
            <w:tcW w:w="3200" w:type="dxa"/>
            <w:shd w:val="clear" w:color="auto" w:fill="auto"/>
            <w:noWrap/>
            <w:hideMark/>
          </w:tcPr>
          <w:p w14:paraId="4468350F"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Network Capacity Development</w:t>
            </w:r>
          </w:p>
        </w:tc>
        <w:tc>
          <w:tcPr>
            <w:tcW w:w="1141" w:type="dxa"/>
            <w:shd w:val="clear" w:color="auto" w:fill="auto"/>
            <w:noWrap/>
            <w:vAlign w:val="center"/>
            <w:hideMark/>
          </w:tcPr>
          <w:p w14:paraId="6CC864E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ED4C83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410CF7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3F34BD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17B1418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val="restart"/>
            <w:shd w:val="clear" w:color="auto" w:fill="auto"/>
            <w:hideMark/>
          </w:tcPr>
          <w:p w14:paraId="062B003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Funds for this component have been re-aligned to the East Kola Pipeline and Reservoir Project</w:t>
            </w:r>
          </w:p>
        </w:tc>
        <w:tc>
          <w:tcPr>
            <w:tcW w:w="2268" w:type="dxa"/>
            <w:vMerge w:val="restart"/>
            <w:shd w:val="clear" w:color="auto" w:fill="auto"/>
            <w:hideMark/>
          </w:tcPr>
          <w:p w14:paraId="3AB48F6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Insufficient budget for all works to proceed and transmission pipeline was prioritised. Some of the distribution works rehabilitation will be done as part of the NRW reduction activities.</w:t>
            </w:r>
          </w:p>
        </w:tc>
      </w:tr>
      <w:tr w:rsidR="00181AD3" w:rsidRPr="006B0B0A" w14:paraId="4923B123" w14:textId="77777777" w:rsidTr="00BE57C8">
        <w:trPr>
          <w:trHeight w:val="20"/>
        </w:trPr>
        <w:tc>
          <w:tcPr>
            <w:tcW w:w="1008" w:type="dxa"/>
            <w:shd w:val="clear" w:color="auto" w:fill="auto"/>
            <w:noWrap/>
            <w:hideMark/>
          </w:tcPr>
          <w:p w14:paraId="417B744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4.1</w:t>
            </w:r>
          </w:p>
        </w:tc>
        <w:tc>
          <w:tcPr>
            <w:tcW w:w="3200" w:type="dxa"/>
            <w:shd w:val="clear" w:color="auto" w:fill="auto"/>
            <w:noWrap/>
            <w:hideMark/>
          </w:tcPr>
          <w:p w14:paraId="3827C65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Select appropriate design standards</w:t>
            </w:r>
          </w:p>
        </w:tc>
        <w:tc>
          <w:tcPr>
            <w:tcW w:w="1141" w:type="dxa"/>
            <w:shd w:val="clear" w:color="auto" w:fill="auto"/>
            <w:noWrap/>
            <w:vAlign w:val="center"/>
            <w:hideMark/>
          </w:tcPr>
          <w:p w14:paraId="68EFF00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7D9591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483BF24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ECA00E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69194D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7A076CF7"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09EC4BC6" w14:textId="77777777" w:rsidR="00181AD3" w:rsidRPr="006B0B0A" w:rsidRDefault="00181AD3" w:rsidP="00BE57C8">
            <w:pPr>
              <w:spacing w:after="0" w:line="240" w:lineRule="auto"/>
              <w:rPr>
                <w:color w:val="000000"/>
                <w:sz w:val="18"/>
                <w:szCs w:val="18"/>
                <w:lang w:eastAsia="en-NZ"/>
              </w:rPr>
            </w:pPr>
          </w:p>
        </w:tc>
      </w:tr>
      <w:tr w:rsidR="00181AD3" w:rsidRPr="006B0B0A" w14:paraId="22F1A450" w14:textId="77777777" w:rsidTr="00BE57C8">
        <w:trPr>
          <w:trHeight w:val="20"/>
        </w:trPr>
        <w:tc>
          <w:tcPr>
            <w:tcW w:w="1008" w:type="dxa"/>
            <w:shd w:val="clear" w:color="auto" w:fill="auto"/>
            <w:noWrap/>
            <w:hideMark/>
          </w:tcPr>
          <w:p w14:paraId="794F6D1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4.2</w:t>
            </w:r>
          </w:p>
        </w:tc>
        <w:tc>
          <w:tcPr>
            <w:tcW w:w="3200" w:type="dxa"/>
            <w:shd w:val="clear" w:color="auto" w:fill="auto"/>
            <w:noWrap/>
            <w:hideMark/>
          </w:tcPr>
          <w:p w14:paraId="771A1D3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Relocate up to 200 worst case meters</w:t>
            </w:r>
          </w:p>
        </w:tc>
        <w:tc>
          <w:tcPr>
            <w:tcW w:w="1141" w:type="dxa"/>
            <w:shd w:val="clear" w:color="auto" w:fill="auto"/>
            <w:noWrap/>
            <w:vAlign w:val="center"/>
            <w:hideMark/>
          </w:tcPr>
          <w:p w14:paraId="3FDEE66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539ABC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70809BA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0E0611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AFA4A5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3F03876F"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056F8944" w14:textId="77777777" w:rsidR="00181AD3" w:rsidRPr="006B0B0A" w:rsidRDefault="00181AD3" w:rsidP="00BE57C8">
            <w:pPr>
              <w:spacing w:after="0" w:line="240" w:lineRule="auto"/>
              <w:rPr>
                <w:color w:val="000000"/>
                <w:sz w:val="18"/>
                <w:szCs w:val="18"/>
                <w:lang w:eastAsia="en-NZ"/>
              </w:rPr>
            </w:pPr>
          </w:p>
        </w:tc>
      </w:tr>
      <w:tr w:rsidR="00181AD3" w:rsidRPr="006B0B0A" w14:paraId="769EBF4E" w14:textId="77777777" w:rsidTr="00BE57C8">
        <w:trPr>
          <w:trHeight w:val="20"/>
        </w:trPr>
        <w:tc>
          <w:tcPr>
            <w:tcW w:w="1008" w:type="dxa"/>
            <w:shd w:val="clear" w:color="auto" w:fill="auto"/>
            <w:noWrap/>
            <w:hideMark/>
          </w:tcPr>
          <w:p w14:paraId="2B3943C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4.3</w:t>
            </w:r>
          </w:p>
        </w:tc>
        <w:tc>
          <w:tcPr>
            <w:tcW w:w="3200" w:type="dxa"/>
            <w:shd w:val="clear" w:color="auto" w:fill="auto"/>
            <w:hideMark/>
          </w:tcPr>
          <w:p w14:paraId="4EEA751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 distribution upgrading/rehab program,</w:t>
            </w:r>
          </w:p>
        </w:tc>
        <w:tc>
          <w:tcPr>
            <w:tcW w:w="1141" w:type="dxa"/>
            <w:shd w:val="clear" w:color="auto" w:fill="auto"/>
            <w:noWrap/>
            <w:vAlign w:val="center"/>
            <w:hideMark/>
          </w:tcPr>
          <w:p w14:paraId="139B1C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09A404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78A05FA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B8323B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0FD582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022CA180"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053C553D" w14:textId="77777777" w:rsidR="00181AD3" w:rsidRPr="006B0B0A" w:rsidRDefault="00181AD3" w:rsidP="00BE57C8">
            <w:pPr>
              <w:spacing w:after="0" w:line="240" w:lineRule="auto"/>
              <w:rPr>
                <w:color w:val="000000"/>
                <w:sz w:val="18"/>
                <w:szCs w:val="18"/>
                <w:lang w:eastAsia="en-NZ"/>
              </w:rPr>
            </w:pPr>
          </w:p>
        </w:tc>
      </w:tr>
      <w:tr w:rsidR="00181AD3" w:rsidRPr="006B0B0A" w14:paraId="40C932A3" w14:textId="77777777" w:rsidTr="00BE57C8">
        <w:trPr>
          <w:trHeight w:val="20"/>
        </w:trPr>
        <w:tc>
          <w:tcPr>
            <w:tcW w:w="1008" w:type="dxa"/>
            <w:shd w:val="clear" w:color="auto" w:fill="auto"/>
            <w:noWrap/>
            <w:hideMark/>
          </w:tcPr>
          <w:p w14:paraId="431E025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4.4</w:t>
            </w:r>
          </w:p>
        </w:tc>
        <w:tc>
          <w:tcPr>
            <w:tcW w:w="3200" w:type="dxa"/>
            <w:shd w:val="clear" w:color="auto" w:fill="auto"/>
            <w:hideMark/>
          </w:tcPr>
          <w:p w14:paraId="714DC88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Commence replacement of distribution mains</w:t>
            </w:r>
          </w:p>
        </w:tc>
        <w:tc>
          <w:tcPr>
            <w:tcW w:w="1141" w:type="dxa"/>
            <w:shd w:val="clear" w:color="auto" w:fill="auto"/>
            <w:vAlign w:val="center"/>
            <w:hideMark/>
          </w:tcPr>
          <w:p w14:paraId="5013EBD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 years at 6km/year</w:t>
            </w:r>
          </w:p>
        </w:tc>
        <w:tc>
          <w:tcPr>
            <w:tcW w:w="1045" w:type="dxa"/>
            <w:shd w:val="clear" w:color="auto" w:fill="auto"/>
            <w:noWrap/>
            <w:vAlign w:val="center"/>
            <w:hideMark/>
          </w:tcPr>
          <w:p w14:paraId="274A911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1,500,000</w:t>
            </w:r>
          </w:p>
        </w:tc>
        <w:tc>
          <w:tcPr>
            <w:tcW w:w="1134" w:type="dxa"/>
            <w:shd w:val="clear" w:color="auto" w:fill="auto"/>
            <w:noWrap/>
            <w:vAlign w:val="center"/>
            <w:hideMark/>
          </w:tcPr>
          <w:p w14:paraId="72ABC80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324F39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BA1628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794DFF94"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4052BA7D" w14:textId="77777777" w:rsidR="00181AD3" w:rsidRPr="006B0B0A" w:rsidRDefault="00181AD3" w:rsidP="00BE57C8">
            <w:pPr>
              <w:spacing w:after="0" w:line="240" w:lineRule="auto"/>
              <w:rPr>
                <w:color w:val="000000"/>
                <w:sz w:val="18"/>
                <w:szCs w:val="18"/>
                <w:lang w:eastAsia="en-NZ"/>
              </w:rPr>
            </w:pPr>
          </w:p>
        </w:tc>
      </w:tr>
      <w:tr w:rsidR="00181AD3" w:rsidRPr="006B0B0A" w14:paraId="4D36FC39" w14:textId="77777777" w:rsidTr="00BE57C8">
        <w:trPr>
          <w:trHeight w:val="20"/>
        </w:trPr>
        <w:tc>
          <w:tcPr>
            <w:tcW w:w="1008" w:type="dxa"/>
            <w:shd w:val="clear" w:color="auto" w:fill="auto"/>
            <w:noWrap/>
            <w:hideMark/>
          </w:tcPr>
          <w:p w14:paraId="01A880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84D7D81"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4</w:t>
            </w:r>
          </w:p>
        </w:tc>
        <w:tc>
          <w:tcPr>
            <w:tcW w:w="1141" w:type="dxa"/>
            <w:shd w:val="clear" w:color="auto" w:fill="auto"/>
            <w:noWrap/>
            <w:vAlign w:val="center"/>
            <w:hideMark/>
          </w:tcPr>
          <w:p w14:paraId="0FD49EA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AD8057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1,560,000</w:t>
            </w:r>
          </w:p>
        </w:tc>
        <w:tc>
          <w:tcPr>
            <w:tcW w:w="1134" w:type="dxa"/>
            <w:shd w:val="clear" w:color="auto" w:fill="auto"/>
            <w:noWrap/>
            <w:vAlign w:val="center"/>
            <w:hideMark/>
          </w:tcPr>
          <w:p w14:paraId="7C57D13E"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50033E52"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1124" w:type="dxa"/>
            <w:shd w:val="clear" w:color="auto" w:fill="auto"/>
            <w:noWrap/>
            <w:vAlign w:val="center"/>
            <w:hideMark/>
          </w:tcPr>
          <w:p w14:paraId="277AA0F0"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3129" w:type="dxa"/>
            <w:shd w:val="clear" w:color="auto" w:fill="auto"/>
            <w:noWrap/>
            <w:hideMark/>
          </w:tcPr>
          <w:p w14:paraId="267CE62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20969DF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AABED7F" w14:textId="77777777" w:rsidTr="00BE57C8">
        <w:trPr>
          <w:trHeight w:val="20"/>
        </w:trPr>
        <w:tc>
          <w:tcPr>
            <w:tcW w:w="1008" w:type="dxa"/>
            <w:shd w:val="clear" w:color="auto" w:fill="auto"/>
            <w:noWrap/>
            <w:hideMark/>
          </w:tcPr>
          <w:p w14:paraId="5176FB56"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lastRenderedPageBreak/>
              <w:t>5</w:t>
            </w:r>
          </w:p>
        </w:tc>
        <w:tc>
          <w:tcPr>
            <w:tcW w:w="3200" w:type="dxa"/>
            <w:shd w:val="clear" w:color="auto" w:fill="auto"/>
            <w:noWrap/>
            <w:hideMark/>
          </w:tcPr>
          <w:p w14:paraId="5C94E9E8"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Improving the Connectivity and Reliability of Water Supply</w:t>
            </w:r>
          </w:p>
        </w:tc>
        <w:tc>
          <w:tcPr>
            <w:tcW w:w="1141" w:type="dxa"/>
            <w:shd w:val="clear" w:color="auto" w:fill="auto"/>
            <w:noWrap/>
            <w:vAlign w:val="center"/>
            <w:hideMark/>
          </w:tcPr>
          <w:p w14:paraId="57DE570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7BE6B8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F302A2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bottom"/>
            <w:hideMark/>
          </w:tcPr>
          <w:p w14:paraId="65CD1924" w14:textId="77777777" w:rsidR="00181AD3" w:rsidRPr="006B0B0A" w:rsidRDefault="00181AD3" w:rsidP="00BE57C8">
            <w:pPr>
              <w:spacing w:after="0" w:line="240" w:lineRule="auto"/>
              <w:rPr>
                <w:color w:val="000000"/>
                <w:sz w:val="18"/>
                <w:szCs w:val="18"/>
                <w:lang w:eastAsia="en-NZ"/>
              </w:rPr>
            </w:pPr>
          </w:p>
        </w:tc>
        <w:tc>
          <w:tcPr>
            <w:tcW w:w="1124" w:type="dxa"/>
            <w:shd w:val="clear" w:color="auto" w:fill="auto"/>
            <w:noWrap/>
            <w:vAlign w:val="bottom"/>
            <w:hideMark/>
          </w:tcPr>
          <w:p w14:paraId="084A5C2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27BE61D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Projected production from JICA bores not achieved</w:t>
            </w:r>
          </w:p>
        </w:tc>
        <w:tc>
          <w:tcPr>
            <w:tcW w:w="2268" w:type="dxa"/>
            <w:shd w:val="clear" w:color="auto" w:fill="auto"/>
            <w:noWrap/>
            <w:vAlign w:val="bottom"/>
            <w:hideMark/>
          </w:tcPr>
          <w:p w14:paraId="4DBB6F5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89E4808" w14:textId="77777777" w:rsidTr="00BE57C8">
        <w:trPr>
          <w:trHeight w:val="20"/>
        </w:trPr>
        <w:tc>
          <w:tcPr>
            <w:tcW w:w="1008" w:type="dxa"/>
            <w:shd w:val="clear" w:color="auto" w:fill="auto"/>
            <w:noWrap/>
            <w:hideMark/>
          </w:tcPr>
          <w:p w14:paraId="20C2E92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5.1</w:t>
            </w:r>
          </w:p>
        </w:tc>
        <w:tc>
          <w:tcPr>
            <w:tcW w:w="3200" w:type="dxa"/>
            <w:shd w:val="clear" w:color="auto" w:fill="auto"/>
            <w:hideMark/>
          </w:tcPr>
          <w:p w14:paraId="7076F9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Replacement of transmission main from Titinge to Vavaya Ridge</w:t>
            </w:r>
          </w:p>
        </w:tc>
        <w:tc>
          <w:tcPr>
            <w:tcW w:w="1141" w:type="dxa"/>
            <w:shd w:val="clear" w:color="auto" w:fill="auto"/>
            <w:vAlign w:val="center"/>
            <w:hideMark/>
          </w:tcPr>
          <w:p w14:paraId="1F45BB3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1200 m of 250 mm dia main</w:t>
            </w:r>
          </w:p>
        </w:tc>
        <w:tc>
          <w:tcPr>
            <w:tcW w:w="1045" w:type="dxa"/>
            <w:shd w:val="clear" w:color="auto" w:fill="auto"/>
            <w:noWrap/>
            <w:vAlign w:val="center"/>
            <w:hideMark/>
          </w:tcPr>
          <w:p w14:paraId="512AE24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450,000</w:t>
            </w:r>
          </w:p>
        </w:tc>
        <w:tc>
          <w:tcPr>
            <w:tcW w:w="1134" w:type="dxa"/>
            <w:vMerge w:val="restart"/>
            <w:shd w:val="clear" w:color="auto" w:fill="auto"/>
            <w:noWrap/>
            <w:vAlign w:val="center"/>
            <w:hideMark/>
          </w:tcPr>
          <w:p w14:paraId="753870D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vMerge w:val="restart"/>
            <w:shd w:val="clear" w:color="auto" w:fill="auto"/>
            <w:noWrap/>
            <w:vAlign w:val="center"/>
            <w:hideMark/>
          </w:tcPr>
          <w:p w14:paraId="114E1C9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3,498,525</w:t>
            </w:r>
          </w:p>
        </w:tc>
        <w:tc>
          <w:tcPr>
            <w:tcW w:w="1124" w:type="dxa"/>
            <w:vMerge w:val="restart"/>
            <w:shd w:val="clear" w:color="auto" w:fill="auto"/>
            <w:noWrap/>
            <w:vAlign w:val="center"/>
            <w:hideMark/>
          </w:tcPr>
          <w:p w14:paraId="7CAC562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272,864</w:t>
            </w:r>
          </w:p>
        </w:tc>
        <w:tc>
          <w:tcPr>
            <w:tcW w:w="3129" w:type="dxa"/>
            <w:vMerge w:val="restart"/>
            <w:shd w:val="clear" w:color="auto" w:fill="auto"/>
            <w:hideMark/>
          </w:tcPr>
          <w:p w14:paraId="7A72DD74" w14:textId="4D1CBEAB" w:rsidR="00181AD3" w:rsidRPr="006B0B0A" w:rsidRDefault="00181AD3" w:rsidP="00F71DBF">
            <w:pPr>
              <w:spacing w:after="0" w:line="240" w:lineRule="auto"/>
              <w:rPr>
                <w:color w:val="000000"/>
                <w:sz w:val="18"/>
                <w:szCs w:val="18"/>
                <w:lang w:eastAsia="en-NZ"/>
              </w:rPr>
            </w:pPr>
            <w:r w:rsidRPr="006B0B0A">
              <w:rPr>
                <w:color w:val="000000"/>
                <w:sz w:val="18"/>
                <w:szCs w:val="18"/>
                <w:lang w:eastAsia="en-NZ"/>
              </w:rPr>
              <w:t>Final Engineering Design presented at end of March and review in progress. Contract packaging and tender documents</w:t>
            </w:r>
            <w:r w:rsidR="00F71DBF">
              <w:rPr>
                <w:color w:val="000000"/>
                <w:sz w:val="18"/>
                <w:szCs w:val="18"/>
                <w:lang w:eastAsia="en-NZ"/>
              </w:rPr>
              <w:t xml:space="preserve"> for transmission main </w:t>
            </w:r>
            <w:r w:rsidRPr="006B0B0A">
              <w:rPr>
                <w:color w:val="000000"/>
                <w:sz w:val="18"/>
                <w:szCs w:val="18"/>
                <w:lang w:eastAsia="en-NZ"/>
              </w:rPr>
              <w:t xml:space="preserve">in progress. </w:t>
            </w:r>
            <w:r w:rsidR="00F71DBF">
              <w:rPr>
                <w:color w:val="000000"/>
                <w:sz w:val="18"/>
                <w:szCs w:val="18"/>
                <w:lang w:eastAsia="en-NZ"/>
              </w:rPr>
              <w:t xml:space="preserve">Design for East Kola Reservoir complemented – not tendered yet (additional financing needed for the Reservoir). </w:t>
            </w:r>
            <w:r w:rsidRPr="006B0B0A">
              <w:rPr>
                <w:color w:val="000000"/>
                <w:sz w:val="18"/>
                <w:szCs w:val="18"/>
                <w:lang w:eastAsia="en-NZ"/>
              </w:rPr>
              <w:t>EIS submitted. Negotiations regarding land in progress. Reservoir capacity increased to 4 ML as a result of modelling.</w:t>
            </w:r>
          </w:p>
        </w:tc>
        <w:tc>
          <w:tcPr>
            <w:tcW w:w="2268" w:type="dxa"/>
            <w:vMerge w:val="restart"/>
            <w:shd w:val="clear" w:color="auto" w:fill="auto"/>
            <w:hideMark/>
          </w:tcPr>
          <w:p w14:paraId="23A69491" w14:textId="134C9FA8"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xml:space="preserve">Delays in consultant procurement for design and need to re-align funds from other components. Land issues and encroachments on pipeline route are potential for further delays. New reservoir is located on </w:t>
            </w:r>
            <w:r w:rsidR="00764D84" w:rsidRPr="006B0B0A">
              <w:rPr>
                <w:color w:val="000000"/>
                <w:sz w:val="18"/>
                <w:szCs w:val="18"/>
                <w:lang w:eastAsia="en-NZ"/>
              </w:rPr>
              <w:t>Gov</w:t>
            </w:r>
            <w:r w:rsidR="00764D84">
              <w:rPr>
                <w:color w:val="000000"/>
                <w:sz w:val="18"/>
                <w:szCs w:val="18"/>
                <w:lang w:eastAsia="en-NZ"/>
              </w:rPr>
              <w:t>ernmen</w:t>
            </w:r>
            <w:r w:rsidR="00764D84" w:rsidRPr="006B0B0A">
              <w:rPr>
                <w:color w:val="000000"/>
                <w:sz w:val="18"/>
                <w:szCs w:val="18"/>
                <w:lang w:eastAsia="en-NZ"/>
              </w:rPr>
              <w:t>t</w:t>
            </w:r>
            <w:r w:rsidRPr="006B0B0A">
              <w:rPr>
                <w:color w:val="000000"/>
                <w:sz w:val="18"/>
                <w:szCs w:val="18"/>
                <w:lang w:eastAsia="en-NZ"/>
              </w:rPr>
              <w:t xml:space="preserve"> land.</w:t>
            </w:r>
          </w:p>
        </w:tc>
      </w:tr>
      <w:tr w:rsidR="00181AD3" w:rsidRPr="006B0B0A" w14:paraId="78EA148C" w14:textId="77777777" w:rsidTr="00BE57C8">
        <w:trPr>
          <w:trHeight w:val="20"/>
        </w:trPr>
        <w:tc>
          <w:tcPr>
            <w:tcW w:w="1008" w:type="dxa"/>
            <w:shd w:val="clear" w:color="auto" w:fill="auto"/>
            <w:noWrap/>
            <w:hideMark/>
          </w:tcPr>
          <w:p w14:paraId="7B3E2E1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5.2</w:t>
            </w:r>
          </w:p>
        </w:tc>
        <w:tc>
          <w:tcPr>
            <w:tcW w:w="3200" w:type="dxa"/>
            <w:shd w:val="clear" w:color="auto" w:fill="auto"/>
            <w:noWrap/>
            <w:hideMark/>
          </w:tcPr>
          <w:p w14:paraId="1B7A809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Main configuration/valving operations</w:t>
            </w:r>
          </w:p>
        </w:tc>
        <w:tc>
          <w:tcPr>
            <w:tcW w:w="1141" w:type="dxa"/>
            <w:shd w:val="clear" w:color="auto" w:fill="auto"/>
            <w:noWrap/>
            <w:vAlign w:val="center"/>
            <w:hideMark/>
          </w:tcPr>
          <w:p w14:paraId="45A329A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F81792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vMerge/>
            <w:vAlign w:val="center"/>
            <w:hideMark/>
          </w:tcPr>
          <w:p w14:paraId="4511C1AE"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55401B5B"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7666886" w14:textId="77777777" w:rsidR="00181AD3" w:rsidRPr="006B0B0A" w:rsidRDefault="00181AD3" w:rsidP="00BE57C8">
            <w:pPr>
              <w:spacing w:after="0" w:line="240" w:lineRule="auto"/>
              <w:rPr>
                <w:color w:val="000000"/>
                <w:sz w:val="18"/>
                <w:szCs w:val="18"/>
                <w:lang w:eastAsia="en-NZ"/>
              </w:rPr>
            </w:pPr>
          </w:p>
        </w:tc>
        <w:tc>
          <w:tcPr>
            <w:tcW w:w="3129" w:type="dxa"/>
            <w:vMerge/>
            <w:hideMark/>
          </w:tcPr>
          <w:p w14:paraId="4EC496D3"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66DAF4B1" w14:textId="77777777" w:rsidR="00181AD3" w:rsidRPr="006B0B0A" w:rsidRDefault="00181AD3" w:rsidP="00BE57C8">
            <w:pPr>
              <w:spacing w:after="0" w:line="240" w:lineRule="auto"/>
              <w:rPr>
                <w:color w:val="000000"/>
                <w:sz w:val="18"/>
                <w:szCs w:val="18"/>
                <w:lang w:eastAsia="en-NZ"/>
              </w:rPr>
            </w:pPr>
          </w:p>
        </w:tc>
      </w:tr>
      <w:tr w:rsidR="00181AD3" w:rsidRPr="006B0B0A" w14:paraId="319D76A7" w14:textId="77777777" w:rsidTr="00BE57C8">
        <w:trPr>
          <w:trHeight w:val="20"/>
        </w:trPr>
        <w:tc>
          <w:tcPr>
            <w:tcW w:w="1008" w:type="dxa"/>
            <w:shd w:val="clear" w:color="auto" w:fill="auto"/>
            <w:noWrap/>
            <w:hideMark/>
          </w:tcPr>
          <w:p w14:paraId="47232E6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5.3</w:t>
            </w:r>
          </w:p>
        </w:tc>
        <w:tc>
          <w:tcPr>
            <w:tcW w:w="3200" w:type="dxa"/>
            <w:shd w:val="clear" w:color="auto" w:fill="auto"/>
            <w:noWrap/>
            <w:hideMark/>
          </w:tcPr>
          <w:p w14:paraId="2BB8F7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New service reservoir at East Kola</w:t>
            </w:r>
          </w:p>
        </w:tc>
        <w:tc>
          <w:tcPr>
            <w:tcW w:w="1141" w:type="dxa"/>
            <w:shd w:val="clear" w:color="auto" w:fill="auto"/>
            <w:vAlign w:val="center"/>
            <w:hideMark/>
          </w:tcPr>
          <w:p w14:paraId="71F2EC9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1.5 ML Storage Reservoir</w:t>
            </w:r>
          </w:p>
        </w:tc>
        <w:tc>
          <w:tcPr>
            <w:tcW w:w="1045" w:type="dxa"/>
            <w:shd w:val="clear" w:color="auto" w:fill="auto"/>
            <w:noWrap/>
            <w:vAlign w:val="center"/>
            <w:hideMark/>
          </w:tcPr>
          <w:p w14:paraId="0F6AD3C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700,000</w:t>
            </w:r>
          </w:p>
        </w:tc>
        <w:tc>
          <w:tcPr>
            <w:tcW w:w="1134" w:type="dxa"/>
            <w:vMerge/>
            <w:vAlign w:val="center"/>
            <w:hideMark/>
          </w:tcPr>
          <w:p w14:paraId="104BC720"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4622C8D4"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3F7F3B51" w14:textId="77777777" w:rsidR="00181AD3" w:rsidRPr="006B0B0A" w:rsidRDefault="00181AD3" w:rsidP="00BE57C8">
            <w:pPr>
              <w:spacing w:after="0" w:line="240" w:lineRule="auto"/>
              <w:rPr>
                <w:color w:val="000000"/>
                <w:sz w:val="18"/>
                <w:szCs w:val="18"/>
                <w:lang w:eastAsia="en-NZ"/>
              </w:rPr>
            </w:pPr>
          </w:p>
        </w:tc>
        <w:tc>
          <w:tcPr>
            <w:tcW w:w="3129" w:type="dxa"/>
            <w:vMerge/>
            <w:hideMark/>
          </w:tcPr>
          <w:p w14:paraId="0F136526"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761C2AA8" w14:textId="77777777" w:rsidR="00181AD3" w:rsidRPr="006B0B0A" w:rsidRDefault="00181AD3" w:rsidP="00BE57C8">
            <w:pPr>
              <w:spacing w:after="0" w:line="240" w:lineRule="auto"/>
              <w:rPr>
                <w:color w:val="000000"/>
                <w:sz w:val="18"/>
                <w:szCs w:val="18"/>
                <w:lang w:eastAsia="en-NZ"/>
              </w:rPr>
            </w:pPr>
          </w:p>
        </w:tc>
      </w:tr>
      <w:tr w:rsidR="00181AD3" w:rsidRPr="006B0B0A" w14:paraId="5ECBFD8B" w14:textId="77777777" w:rsidTr="00BE57C8">
        <w:trPr>
          <w:trHeight w:val="20"/>
        </w:trPr>
        <w:tc>
          <w:tcPr>
            <w:tcW w:w="1008" w:type="dxa"/>
            <w:shd w:val="clear" w:color="auto" w:fill="auto"/>
            <w:noWrap/>
            <w:hideMark/>
          </w:tcPr>
          <w:p w14:paraId="00DDB5D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5.4</w:t>
            </w:r>
          </w:p>
        </w:tc>
        <w:tc>
          <w:tcPr>
            <w:tcW w:w="3200" w:type="dxa"/>
            <w:shd w:val="clear" w:color="auto" w:fill="auto"/>
            <w:noWrap/>
            <w:hideMark/>
          </w:tcPr>
          <w:p w14:paraId="5494E1E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Feed from Skyline Reservoir to East Kola Reservoir</w:t>
            </w:r>
          </w:p>
        </w:tc>
        <w:tc>
          <w:tcPr>
            <w:tcW w:w="1141" w:type="dxa"/>
            <w:shd w:val="clear" w:color="auto" w:fill="auto"/>
            <w:vAlign w:val="center"/>
            <w:hideMark/>
          </w:tcPr>
          <w:p w14:paraId="6EAB1FA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2000m  of 250mm dia</w:t>
            </w:r>
          </w:p>
        </w:tc>
        <w:tc>
          <w:tcPr>
            <w:tcW w:w="1045" w:type="dxa"/>
            <w:shd w:val="clear" w:color="auto" w:fill="auto"/>
            <w:noWrap/>
            <w:vAlign w:val="center"/>
            <w:hideMark/>
          </w:tcPr>
          <w:p w14:paraId="35E9381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650,000</w:t>
            </w:r>
          </w:p>
        </w:tc>
        <w:tc>
          <w:tcPr>
            <w:tcW w:w="1134" w:type="dxa"/>
            <w:vMerge/>
            <w:vAlign w:val="center"/>
            <w:hideMark/>
          </w:tcPr>
          <w:p w14:paraId="4F195A51"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1AAAA35B"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1F4989F1" w14:textId="77777777" w:rsidR="00181AD3" w:rsidRPr="006B0B0A" w:rsidRDefault="00181AD3" w:rsidP="00BE57C8">
            <w:pPr>
              <w:spacing w:after="0" w:line="240" w:lineRule="auto"/>
              <w:rPr>
                <w:color w:val="000000"/>
                <w:sz w:val="18"/>
                <w:szCs w:val="18"/>
                <w:lang w:eastAsia="en-NZ"/>
              </w:rPr>
            </w:pPr>
          </w:p>
        </w:tc>
        <w:tc>
          <w:tcPr>
            <w:tcW w:w="3129" w:type="dxa"/>
            <w:vMerge/>
            <w:hideMark/>
          </w:tcPr>
          <w:p w14:paraId="633D98A6"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4D15F7B0" w14:textId="77777777" w:rsidR="00181AD3" w:rsidRPr="006B0B0A" w:rsidRDefault="00181AD3" w:rsidP="00BE57C8">
            <w:pPr>
              <w:spacing w:after="0" w:line="240" w:lineRule="auto"/>
              <w:rPr>
                <w:color w:val="000000"/>
                <w:sz w:val="18"/>
                <w:szCs w:val="18"/>
                <w:lang w:eastAsia="en-NZ"/>
              </w:rPr>
            </w:pPr>
          </w:p>
        </w:tc>
      </w:tr>
      <w:tr w:rsidR="00181AD3" w:rsidRPr="006B0B0A" w14:paraId="59434340" w14:textId="77777777" w:rsidTr="00BE57C8">
        <w:trPr>
          <w:trHeight w:val="20"/>
        </w:trPr>
        <w:tc>
          <w:tcPr>
            <w:tcW w:w="1008" w:type="dxa"/>
            <w:shd w:val="clear" w:color="auto" w:fill="auto"/>
            <w:noWrap/>
            <w:hideMark/>
          </w:tcPr>
          <w:p w14:paraId="52CA98D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5.5</w:t>
            </w:r>
          </w:p>
        </w:tc>
        <w:tc>
          <w:tcPr>
            <w:tcW w:w="3200" w:type="dxa"/>
            <w:shd w:val="clear" w:color="auto" w:fill="auto"/>
            <w:noWrap/>
            <w:hideMark/>
          </w:tcPr>
          <w:p w14:paraId="41560D5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Main configuration works</w:t>
            </w:r>
          </w:p>
        </w:tc>
        <w:tc>
          <w:tcPr>
            <w:tcW w:w="1141" w:type="dxa"/>
            <w:shd w:val="clear" w:color="auto" w:fill="auto"/>
            <w:noWrap/>
            <w:vAlign w:val="center"/>
            <w:hideMark/>
          </w:tcPr>
          <w:p w14:paraId="1D4A233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035A45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w:t>
            </w:r>
          </w:p>
        </w:tc>
        <w:tc>
          <w:tcPr>
            <w:tcW w:w="1134" w:type="dxa"/>
            <w:vMerge/>
            <w:vAlign w:val="center"/>
            <w:hideMark/>
          </w:tcPr>
          <w:p w14:paraId="64EE4949"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247E71C1"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21DEB2BC" w14:textId="77777777" w:rsidR="00181AD3" w:rsidRPr="006B0B0A" w:rsidRDefault="00181AD3" w:rsidP="00BE57C8">
            <w:pPr>
              <w:spacing w:after="0" w:line="240" w:lineRule="auto"/>
              <w:rPr>
                <w:color w:val="000000"/>
                <w:sz w:val="18"/>
                <w:szCs w:val="18"/>
                <w:lang w:eastAsia="en-NZ"/>
              </w:rPr>
            </w:pPr>
          </w:p>
        </w:tc>
        <w:tc>
          <w:tcPr>
            <w:tcW w:w="3129" w:type="dxa"/>
            <w:vMerge/>
            <w:hideMark/>
          </w:tcPr>
          <w:p w14:paraId="777BA3EB"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5D4C7577" w14:textId="77777777" w:rsidR="00181AD3" w:rsidRPr="006B0B0A" w:rsidRDefault="00181AD3" w:rsidP="00BE57C8">
            <w:pPr>
              <w:spacing w:after="0" w:line="240" w:lineRule="auto"/>
              <w:rPr>
                <w:color w:val="000000"/>
                <w:sz w:val="18"/>
                <w:szCs w:val="18"/>
                <w:lang w:eastAsia="en-NZ"/>
              </w:rPr>
            </w:pPr>
          </w:p>
        </w:tc>
      </w:tr>
      <w:tr w:rsidR="00181AD3" w:rsidRPr="006B0B0A" w14:paraId="5F2869FF" w14:textId="77777777" w:rsidTr="00BE57C8">
        <w:trPr>
          <w:trHeight w:val="20"/>
        </w:trPr>
        <w:tc>
          <w:tcPr>
            <w:tcW w:w="1008" w:type="dxa"/>
            <w:shd w:val="clear" w:color="auto" w:fill="auto"/>
            <w:noWrap/>
            <w:hideMark/>
          </w:tcPr>
          <w:p w14:paraId="0477D31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5.6</w:t>
            </w:r>
          </w:p>
        </w:tc>
        <w:tc>
          <w:tcPr>
            <w:tcW w:w="3200" w:type="dxa"/>
            <w:shd w:val="clear" w:color="auto" w:fill="auto"/>
            <w:noWrap/>
            <w:hideMark/>
          </w:tcPr>
          <w:p w14:paraId="03EA7905" w14:textId="44D30D31"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Panatina </w:t>
            </w:r>
            <w:r w:rsidR="00764D84" w:rsidRPr="006B0B0A">
              <w:rPr>
                <w:color w:val="000000"/>
                <w:sz w:val="18"/>
                <w:szCs w:val="18"/>
                <w:lang w:eastAsia="en-NZ"/>
              </w:rPr>
              <w:t>Bore field</w:t>
            </w:r>
            <w:r w:rsidRPr="006B0B0A">
              <w:rPr>
                <w:color w:val="000000"/>
                <w:sz w:val="18"/>
                <w:szCs w:val="18"/>
                <w:lang w:eastAsia="en-NZ"/>
              </w:rPr>
              <w:t xml:space="preserve"> Rehabilitation</w:t>
            </w:r>
          </w:p>
        </w:tc>
        <w:tc>
          <w:tcPr>
            <w:tcW w:w="1141" w:type="dxa"/>
            <w:shd w:val="clear" w:color="auto" w:fill="auto"/>
            <w:vAlign w:val="center"/>
            <w:hideMark/>
          </w:tcPr>
          <w:p w14:paraId="55316FD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 new bores 200mm dia, 60 m deep, drainage and access road improvement</w:t>
            </w:r>
          </w:p>
        </w:tc>
        <w:tc>
          <w:tcPr>
            <w:tcW w:w="1045" w:type="dxa"/>
            <w:shd w:val="clear" w:color="auto" w:fill="auto"/>
            <w:noWrap/>
            <w:vAlign w:val="center"/>
            <w:hideMark/>
          </w:tcPr>
          <w:p w14:paraId="649D29D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400,000</w:t>
            </w:r>
          </w:p>
        </w:tc>
        <w:tc>
          <w:tcPr>
            <w:tcW w:w="1134" w:type="dxa"/>
            <w:shd w:val="clear" w:color="auto" w:fill="auto"/>
            <w:noWrap/>
            <w:vAlign w:val="center"/>
            <w:hideMark/>
          </w:tcPr>
          <w:p w14:paraId="7C5B95B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08B818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1124" w:type="dxa"/>
            <w:shd w:val="clear" w:color="auto" w:fill="auto"/>
            <w:noWrap/>
            <w:vAlign w:val="center"/>
            <w:hideMark/>
          </w:tcPr>
          <w:p w14:paraId="62F5994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3129" w:type="dxa"/>
            <w:shd w:val="clear" w:color="auto" w:fill="auto"/>
            <w:hideMark/>
          </w:tcPr>
          <w:p w14:paraId="0305DBD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This component deleted and re-aligned to transmission main. Land issues and encroachments on Panatina wellfield present </w:t>
            </w:r>
            <w:r w:rsidR="00CE100C" w:rsidRPr="006B0B0A">
              <w:rPr>
                <w:color w:val="000000"/>
                <w:sz w:val="18"/>
                <w:szCs w:val="18"/>
                <w:lang w:eastAsia="en-NZ"/>
              </w:rPr>
              <w:t>a</w:t>
            </w:r>
            <w:r w:rsidR="00CE100C">
              <w:rPr>
                <w:color w:val="000000"/>
                <w:sz w:val="18"/>
                <w:szCs w:val="18"/>
                <w:lang w:eastAsia="en-NZ"/>
              </w:rPr>
              <w:t xml:space="preserve"> </w:t>
            </w:r>
            <w:r w:rsidR="00CE100C" w:rsidRPr="006B0B0A">
              <w:rPr>
                <w:color w:val="000000"/>
                <w:sz w:val="18"/>
                <w:szCs w:val="18"/>
                <w:lang w:eastAsia="en-NZ"/>
              </w:rPr>
              <w:t>risk</w:t>
            </w:r>
            <w:r w:rsidRPr="006B0B0A">
              <w:rPr>
                <w:color w:val="000000"/>
                <w:sz w:val="18"/>
                <w:szCs w:val="18"/>
                <w:lang w:eastAsia="en-NZ"/>
              </w:rPr>
              <w:t xml:space="preserve"> to the sustainability of additional investment.</w:t>
            </w:r>
          </w:p>
        </w:tc>
        <w:tc>
          <w:tcPr>
            <w:tcW w:w="2268" w:type="dxa"/>
            <w:shd w:val="clear" w:color="auto" w:fill="auto"/>
            <w:vAlign w:val="bottom"/>
            <w:hideMark/>
          </w:tcPr>
          <w:p w14:paraId="12D0611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Access to Panatina bores restricted by illegal settlements. Water quality deteriorating.</w:t>
            </w:r>
          </w:p>
        </w:tc>
      </w:tr>
      <w:tr w:rsidR="00181AD3" w:rsidRPr="006B0B0A" w14:paraId="54ED56F8" w14:textId="77777777" w:rsidTr="00BE57C8">
        <w:trPr>
          <w:trHeight w:val="20"/>
        </w:trPr>
        <w:tc>
          <w:tcPr>
            <w:tcW w:w="1008" w:type="dxa"/>
            <w:shd w:val="clear" w:color="auto" w:fill="auto"/>
            <w:noWrap/>
            <w:hideMark/>
          </w:tcPr>
          <w:p w14:paraId="2C773B8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5.7</w:t>
            </w:r>
          </w:p>
        </w:tc>
        <w:tc>
          <w:tcPr>
            <w:tcW w:w="3200" w:type="dxa"/>
            <w:shd w:val="clear" w:color="auto" w:fill="auto"/>
            <w:hideMark/>
          </w:tcPr>
          <w:p w14:paraId="7534308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Mobile Compressor</w:t>
            </w:r>
          </w:p>
        </w:tc>
        <w:tc>
          <w:tcPr>
            <w:tcW w:w="1141" w:type="dxa"/>
            <w:shd w:val="clear" w:color="auto" w:fill="auto"/>
            <w:noWrap/>
            <w:vAlign w:val="center"/>
            <w:hideMark/>
          </w:tcPr>
          <w:p w14:paraId="6E361CC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CFBF78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9,000</w:t>
            </w:r>
          </w:p>
        </w:tc>
        <w:tc>
          <w:tcPr>
            <w:tcW w:w="1134" w:type="dxa"/>
            <w:shd w:val="clear" w:color="auto" w:fill="auto"/>
            <w:noWrap/>
            <w:vAlign w:val="center"/>
            <w:hideMark/>
          </w:tcPr>
          <w:p w14:paraId="5954F20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AD4EE0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93,283</w:t>
            </w:r>
          </w:p>
        </w:tc>
        <w:tc>
          <w:tcPr>
            <w:tcW w:w="1124" w:type="dxa"/>
            <w:shd w:val="clear" w:color="auto" w:fill="auto"/>
            <w:noWrap/>
            <w:vAlign w:val="center"/>
            <w:hideMark/>
          </w:tcPr>
          <w:p w14:paraId="45BC37F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93,227</w:t>
            </w:r>
          </w:p>
        </w:tc>
        <w:tc>
          <w:tcPr>
            <w:tcW w:w="3129" w:type="dxa"/>
            <w:shd w:val="clear" w:color="auto" w:fill="auto"/>
            <w:hideMark/>
          </w:tcPr>
          <w:p w14:paraId="60BBEC2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A compressor for </w:t>
            </w:r>
            <w:r w:rsidR="00696F88" w:rsidRPr="00696F88">
              <w:rPr>
                <w:color w:val="000000"/>
                <w:sz w:val="18"/>
                <w:szCs w:val="18"/>
                <w:lang w:eastAsia="en-NZ"/>
              </w:rPr>
              <w:t xml:space="preserve">bore maintenance has </w:t>
            </w:r>
            <w:r w:rsidRPr="006B0B0A">
              <w:rPr>
                <w:color w:val="000000"/>
                <w:sz w:val="18"/>
                <w:szCs w:val="18"/>
                <w:lang w:eastAsia="en-NZ"/>
              </w:rPr>
              <w:t>was supplied in April 2016</w:t>
            </w:r>
          </w:p>
        </w:tc>
        <w:tc>
          <w:tcPr>
            <w:tcW w:w="2268" w:type="dxa"/>
            <w:shd w:val="clear" w:color="auto" w:fill="auto"/>
            <w:noWrap/>
            <w:vAlign w:val="bottom"/>
            <w:hideMark/>
          </w:tcPr>
          <w:p w14:paraId="245E68F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D5AF1EE" w14:textId="77777777" w:rsidTr="00BE57C8">
        <w:trPr>
          <w:trHeight w:val="20"/>
        </w:trPr>
        <w:tc>
          <w:tcPr>
            <w:tcW w:w="1008" w:type="dxa"/>
            <w:shd w:val="clear" w:color="auto" w:fill="auto"/>
            <w:noWrap/>
            <w:hideMark/>
          </w:tcPr>
          <w:p w14:paraId="302E4B6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5.8</w:t>
            </w:r>
          </w:p>
        </w:tc>
        <w:tc>
          <w:tcPr>
            <w:tcW w:w="3200" w:type="dxa"/>
            <w:shd w:val="clear" w:color="auto" w:fill="auto"/>
            <w:hideMark/>
          </w:tcPr>
          <w:p w14:paraId="7B0E6F3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Standby generators for pumping stations and buildings</w:t>
            </w:r>
          </w:p>
        </w:tc>
        <w:tc>
          <w:tcPr>
            <w:tcW w:w="1141" w:type="dxa"/>
            <w:shd w:val="clear" w:color="auto" w:fill="auto"/>
            <w:vAlign w:val="center"/>
            <w:hideMark/>
          </w:tcPr>
          <w:p w14:paraId="73CCE2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623B6E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645,783</w:t>
            </w:r>
          </w:p>
        </w:tc>
        <w:tc>
          <w:tcPr>
            <w:tcW w:w="1134" w:type="dxa"/>
            <w:shd w:val="clear" w:color="auto" w:fill="auto"/>
            <w:noWrap/>
            <w:vAlign w:val="center"/>
            <w:hideMark/>
          </w:tcPr>
          <w:p w14:paraId="732C2C4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0AABB3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752,604</w:t>
            </w:r>
          </w:p>
        </w:tc>
        <w:tc>
          <w:tcPr>
            <w:tcW w:w="1124" w:type="dxa"/>
            <w:shd w:val="clear" w:color="auto" w:fill="auto"/>
            <w:noWrap/>
            <w:vAlign w:val="center"/>
            <w:hideMark/>
          </w:tcPr>
          <w:p w14:paraId="30DDF64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743,681</w:t>
            </w:r>
          </w:p>
        </w:tc>
        <w:tc>
          <w:tcPr>
            <w:tcW w:w="3129" w:type="dxa"/>
            <w:shd w:val="clear" w:color="auto" w:fill="auto"/>
            <w:hideMark/>
          </w:tcPr>
          <w:p w14:paraId="4E3E5AA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All generators have been procured. Standby generators have been installed at seven operational sites.</w:t>
            </w:r>
          </w:p>
        </w:tc>
        <w:tc>
          <w:tcPr>
            <w:tcW w:w="2268" w:type="dxa"/>
            <w:shd w:val="clear" w:color="auto" w:fill="auto"/>
            <w:vAlign w:val="bottom"/>
            <w:hideMark/>
          </w:tcPr>
          <w:p w14:paraId="4927F7D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Generator capacity at </w:t>
            </w:r>
            <w:r>
              <w:rPr>
                <w:color w:val="000000"/>
                <w:sz w:val="18"/>
                <w:szCs w:val="18"/>
                <w:lang w:eastAsia="en-NZ"/>
              </w:rPr>
              <w:t>M</w:t>
            </w:r>
            <w:r w:rsidRPr="006B0B0A">
              <w:rPr>
                <w:color w:val="000000"/>
                <w:sz w:val="18"/>
                <w:szCs w:val="18"/>
                <w:lang w:eastAsia="en-NZ"/>
              </w:rPr>
              <w:t>ataniko Depot is still insufficient and will be considered in June once review of budget is undertaken.</w:t>
            </w:r>
          </w:p>
        </w:tc>
      </w:tr>
      <w:tr w:rsidR="00181AD3" w:rsidRPr="006B0B0A" w14:paraId="213ACB25" w14:textId="77777777" w:rsidTr="00BE57C8">
        <w:trPr>
          <w:trHeight w:val="20"/>
        </w:trPr>
        <w:tc>
          <w:tcPr>
            <w:tcW w:w="1008" w:type="dxa"/>
            <w:shd w:val="clear" w:color="auto" w:fill="auto"/>
            <w:noWrap/>
            <w:hideMark/>
          </w:tcPr>
          <w:p w14:paraId="45000B9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5.9</w:t>
            </w:r>
          </w:p>
        </w:tc>
        <w:tc>
          <w:tcPr>
            <w:tcW w:w="3200" w:type="dxa"/>
            <w:shd w:val="clear" w:color="auto" w:fill="auto"/>
            <w:hideMark/>
          </w:tcPr>
          <w:p w14:paraId="2DCA127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Electrical engineering advice for pump installation at Kongulai source</w:t>
            </w:r>
          </w:p>
        </w:tc>
        <w:tc>
          <w:tcPr>
            <w:tcW w:w="1141" w:type="dxa"/>
            <w:shd w:val="clear" w:color="auto" w:fill="auto"/>
            <w:vAlign w:val="center"/>
            <w:hideMark/>
          </w:tcPr>
          <w:p w14:paraId="3C338BA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2 months Electrical Engineer</w:t>
            </w:r>
          </w:p>
        </w:tc>
        <w:tc>
          <w:tcPr>
            <w:tcW w:w="1045" w:type="dxa"/>
            <w:shd w:val="clear" w:color="auto" w:fill="auto"/>
            <w:noWrap/>
            <w:vAlign w:val="center"/>
            <w:hideMark/>
          </w:tcPr>
          <w:p w14:paraId="2080EA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0CB8798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C1AA86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1124" w:type="dxa"/>
            <w:shd w:val="clear" w:color="auto" w:fill="auto"/>
            <w:noWrap/>
            <w:vAlign w:val="center"/>
            <w:hideMark/>
          </w:tcPr>
          <w:p w14:paraId="45BB3D0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3129" w:type="dxa"/>
            <w:shd w:val="clear" w:color="auto" w:fill="auto"/>
            <w:hideMark/>
          </w:tcPr>
          <w:p w14:paraId="3B21059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 volunteer Electrical Engineer provided assistance for some time.</w:t>
            </w:r>
          </w:p>
        </w:tc>
        <w:tc>
          <w:tcPr>
            <w:tcW w:w="2268" w:type="dxa"/>
            <w:shd w:val="clear" w:color="auto" w:fill="auto"/>
            <w:noWrap/>
            <w:vAlign w:val="bottom"/>
            <w:hideMark/>
          </w:tcPr>
          <w:p w14:paraId="7CDF653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5EB86AF" w14:textId="77777777" w:rsidTr="00BE57C8">
        <w:trPr>
          <w:trHeight w:val="20"/>
        </w:trPr>
        <w:tc>
          <w:tcPr>
            <w:tcW w:w="1008" w:type="dxa"/>
            <w:shd w:val="clear" w:color="auto" w:fill="auto"/>
            <w:noWrap/>
            <w:hideMark/>
          </w:tcPr>
          <w:p w14:paraId="67900E1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5.10</w:t>
            </w:r>
          </w:p>
        </w:tc>
        <w:tc>
          <w:tcPr>
            <w:tcW w:w="3200" w:type="dxa"/>
            <w:shd w:val="clear" w:color="auto" w:fill="auto"/>
            <w:noWrap/>
            <w:hideMark/>
          </w:tcPr>
          <w:p w14:paraId="1C79D61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Vehicle with hydraulic crane</w:t>
            </w:r>
          </w:p>
        </w:tc>
        <w:tc>
          <w:tcPr>
            <w:tcW w:w="1141" w:type="dxa"/>
            <w:shd w:val="clear" w:color="auto" w:fill="auto"/>
            <w:noWrap/>
            <w:vAlign w:val="center"/>
            <w:hideMark/>
          </w:tcPr>
          <w:p w14:paraId="0917C1C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F7174F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40,000</w:t>
            </w:r>
          </w:p>
        </w:tc>
        <w:tc>
          <w:tcPr>
            <w:tcW w:w="1134" w:type="dxa"/>
            <w:shd w:val="clear" w:color="auto" w:fill="auto"/>
            <w:noWrap/>
            <w:vAlign w:val="center"/>
            <w:hideMark/>
          </w:tcPr>
          <w:p w14:paraId="6EA1E04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3250F6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121,203</w:t>
            </w:r>
          </w:p>
        </w:tc>
        <w:tc>
          <w:tcPr>
            <w:tcW w:w="1124" w:type="dxa"/>
            <w:shd w:val="clear" w:color="auto" w:fill="auto"/>
            <w:noWrap/>
            <w:vAlign w:val="center"/>
            <w:hideMark/>
          </w:tcPr>
          <w:p w14:paraId="4FCDC58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114,791</w:t>
            </w:r>
          </w:p>
        </w:tc>
        <w:tc>
          <w:tcPr>
            <w:tcW w:w="3129" w:type="dxa"/>
            <w:shd w:val="clear" w:color="auto" w:fill="auto"/>
            <w:hideMark/>
          </w:tcPr>
          <w:p w14:paraId="241EB7D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Vehicles, backhoe and 8 tonne truck procured in 2014</w:t>
            </w:r>
          </w:p>
        </w:tc>
        <w:tc>
          <w:tcPr>
            <w:tcW w:w="2268" w:type="dxa"/>
            <w:shd w:val="clear" w:color="auto" w:fill="auto"/>
            <w:vAlign w:val="bottom"/>
            <w:hideMark/>
          </w:tcPr>
          <w:p w14:paraId="497F5BA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Issues related to O&amp;M, lack of operating manuals.</w:t>
            </w:r>
          </w:p>
        </w:tc>
      </w:tr>
      <w:tr w:rsidR="00181AD3" w:rsidRPr="006B0B0A" w14:paraId="2FF9F95F" w14:textId="77777777" w:rsidTr="00BE57C8">
        <w:trPr>
          <w:trHeight w:val="20"/>
        </w:trPr>
        <w:tc>
          <w:tcPr>
            <w:tcW w:w="1008" w:type="dxa"/>
            <w:shd w:val="clear" w:color="auto" w:fill="auto"/>
            <w:noWrap/>
            <w:hideMark/>
          </w:tcPr>
          <w:p w14:paraId="279AB4D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5.11</w:t>
            </w:r>
          </w:p>
        </w:tc>
        <w:tc>
          <w:tcPr>
            <w:tcW w:w="3200" w:type="dxa"/>
            <w:shd w:val="clear" w:color="auto" w:fill="auto"/>
            <w:noWrap/>
            <w:hideMark/>
          </w:tcPr>
          <w:p w14:paraId="7517E6E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Security fencing at operational sites</w:t>
            </w:r>
          </w:p>
        </w:tc>
        <w:tc>
          <w:tcPr>
            <w:tcW w:w="1141" w:type="dxa"/>
            <w:shd w:val="clear" w:color="auto" w:fill="auto"/>
            <w:noWrap/>
            <w:vAlign w:val="center"/>
            <w:hideMark/>
          </w:tcPr>
          <w:p w14:paraId="31022D7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B9730A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50,000</w:t>
            </w:r>
          </w:p>
        </w:tc>
        <w:tc>
          <w:tcPr>
            <w:tcW w:w="1134" w:type="dxa"/>
            <w:shd w:val="clear" w:color="auto" w:fill="auto"/>
            <w:noWrap/>
            <w:vAlign w:val="center"/>
            <w:hideMark/>
          </w:tcPr>
          <w:p w14:paraId="3233661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8E15DB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58,270</w:t>
            </w:r>
          </w:p>
        </w:tc>
        <w:tc>
          <w:tcPr>
            <w:tcW w:w="1124" w:type="dxa"/>
            <w:shd w:val="clear" w:color="auto" w:fill="auto"/>
            <w:noWrap/>
            <w:vAlign w:val="center"/>
            <w:hideMark/>
          </w:tcPr>
          <w:p w14:paraId="78D641D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3129" w:type="dxa"/>
            <w:shd w:val="clear" w:color="auto" w:fill="auto"/>
            <w:hideMark/>
          </w:tcPr>
          <w:p w14:paraId="4EA91D8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Bids received for construction of fences are currently being evaluated. Construction work is scheduled to commence in May.</w:t>
            </w:r>
          </w:p>
        </w:tc>
        <w:tc>
          <w:tcPr>
            <w:tcW w:w="2268" w:type="dxa"/>
            <w:shd w:val="clear" w:color="auto" w:fill="auto"/>
            <w:noWrap/>
            <w:hideMark/>
          </w:tcPr>
          <w:p w14:paraId="48DF0CC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Additional budget from SIG.</w:t>
            </w:r>
          </w:p>
        </w:tc>
      </w:tr>
      <w:tr w:rsidR="00181AD3" w:rsidRPr="006B0B0A" w14:paraId="52AA28BA" w14:textId="77777777" w:rsidTr="00BE57C8">
        <w:trPr>
          <w:trHeight w:val="20"/>
        </w:trPr>
        <w:tc>
          <w:tcPr>
            <w:tcW w:w="1008" w:type="dxa"/>
            <w:shd w:val="clear" w:color="auto" w:fill="auto"/>
            <w:noWrap/>
            <w:hideMark/>
          </w:tcPr>
          <w:p w14:paraId="23E08B8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78548D1B"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5</w:t>
            </w:r>
          </w:p>
        </w:tc>
        <w:tc>
          <w:tcPr>
            <w:tcW w:w="1141" w:type="dxa"/>
            <w:shd w:val="clear" w:color="auto" w:fill="auto"/>
            <w:noWrap/>
            <w:vAlign w:val="center"/>
            <w:hideMark/>
          </w:tcPr>
          <w:p w14:paraId="5EB63C5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034E4D7"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3,054,783</w:t>
            </w:r>
          </w:p>
        </w:tc>
        <w:tc>
          <w:tcPr>
            <w:tcW w:w="1134" w:type="dxa"/>
            <w:shd w:val="clear" w:color="auto" w:fill="auto"/>
            <w:noWrap/>
            <w:vAlign w:val="center"/>
            <w:hideMark/>
          </w:tcPr>
          <w:p w14:paraId="583BD7C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0AD1FF0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4,523,885</w:t>
            </w:r>
          </w:p>
        </w:tc>
        <w:tc>
          <w:tcPr>
            <w:tcW w:w="1124" w:type="dxa"/>
            <w:shd w:val="clear" w:color="auto" w:fill="auto"/>
            <w:noWrap/>
            <w:vAlign w:val="center"/>
            <w:hideMark/>
          </w:tcPr>
          <w:p w14:paraId="3531948C"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1,224,563</w:t>
            </w:r>
          </w:p>
        </w:tc>
        <w:tc>
          <w:tcPr>
            <w:tcW w:w="3129" w:type="dxa"/>
            <w:shd w:val="clear" w:color="auto" w:fill="auto"/>
            <w:noWrap/>
            <w:hideMark/>
          </w:tcPr>
          <w:p w14:paraId="4A1C930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4540668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CA98E36" w14:textId="77777777" w:rsidTr="00BE57C8">
        <w:trPr>
          <w:trHeight w:val="20"/>
        </w:trPr>
        <w:tc>
          <w:tcPr>
            <w:tcW w:w="1008" w:type="dxa"/>
            <w:shd w:val="clear" w:color="auto" w:fill="auto"/>
            <w:noWrap/>
            <w:hideMark/>
          </w:tcPr>
          <w:p w14:paraId="64E93FAF"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6</w:t>
            </w:r>
          </w:p>
        </w:tc>
        <w:tc>
          <w:tcPr>
            <w:tcW w:w="3200" w:type="dxa"/>
            <w:shd w:val="clear" w:color="auto" w:fill="auto"/>
            <w:noWrap/>
            <w:hideMark/>
          </w:tcPr>
          <w:p w14:paraId="633D0DCA"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Improving Water Quality</w:t>
            </w:r>
          </w:p>
        </w:tc>
        <w:tc>
          <w:tcPr>
            <w:tcW w:w="1141" w:type="dxa"/>
            <w:shd w:val="clear" w:color="auto" w:fill="auto"/>
            <w:noWrap/>
            <w:vAlign w:val="center"/>
            <w:hideMark/>
          </w:tcPr>
          <w:p w14:paraId="3846E9D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 </w:t>
            </w:r>
          </w:p>
        </w:tc>
        <w:tc>
          <w:tcPr>
            <w:tcW w:w="1045" w:type="dxa"/>
            <w:shd w:val="clear" w:color="auto" w:fill="auto"/>
            <w:noWrap/>
            <w:vAlign w:val="center"/>
            <w:hideMark/>
          </w:tcPr>
          <w:p w14:paraId="138555FE"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7D409AEE"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32849C5D"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24" w:type="dxa"/>
            <w:shd w:val="clear" w:color="auto" w:fill="auto"/>
            <w:noWrap/>
            <w:vAlign w:val="center"/>
            <w:hideMark/>
          </w:tcPr>
          <w:p w14:paraId="246F780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3129" w:type="dxa"/>
            <w:shd w:val="clear" w:color="auto" w:fill="auto"/>
            <w:noWrap/>
            <w:hideMark/>
          </w:tcPr>
          <w:p w14:paraId="635C48A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665C43F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4D73B5A" w14:textId="77777777" w:rsidTr="00BE57C8">
        <w:trPr>
          <w:trHeight w:val="20"/>
        </w:trPr>
        <w:tc>
          <w:tcPr>
            <w:tcW w:w="1008" w:type="dxa"/>
            <w:shd w:val="clear" w:color="auto" w:fill="auto"/>
            <w:noWrap/>
            <w:hideMark/>
          </w:tcPr>
          <w:p w14:paraId="0FC1A22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6.1</w:t>
            </w:r>
          </w:p>
        </w:tc>
        <w:tc>
          <w:tcPr>
            <w:tcW w:w="3200" w:type="dxa"/>
            <w:shd w:val="clear" w:color="auto" w:fill="auto"/>
            <w:hideMark/>
          </w:tcPr>
          <w:p w14:paraId="1275B73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Improvements in water quality management</w:t>
            </w:r>
          </w:p>
        </w:tc>
        <w:tc>
          <w:tcPr>
            <w:tcW w:w="1141" w:type="dxa"/>
            <w:shd w:val="clear" w:color="auto" w:fill="auto"/>
            <w:vAlign w:val="center"/>
            <w:hideMark/>
          </w:tcPr>
          <w:p w14:paraId="490269A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Control of dosing rates and breakdown management</w:t>
            </w:r>
          </w:p>
        </w:tc>
        <w:tc>
          <w:tcPr>
            <w:tcW w:w="1045" w:type="dxa"/>
            <w:shd w:val="clear" w:color="auto" w:fill="auto"/>
            <w:noWrap/>
            <w:vAlign w:val="center"/>
            <w:hideMark/>
          </w:tcPr>
          <w:p w14:paraId="7C9D3AF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36EBC7C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E5C2A6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0D2CC9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1FE9DC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Deleted</w:t>
            </w:r>
          </w:p>
        </w:tc>
        <w:tc>
          <w:tcPr>
            <w:tcW w:w="2268" w:type="dxa"/>
            <w:shd w:val="clear" w:color="auto" w:fill="auto"/>
            <w:vAlign w:val="bottom"/>
            <w:hideMark/>
          </w:tcPr>
          <w:p w14:paraId="0FF7E9F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Cannot be done until SCADA in place. Will be funded under subsequent budget</w:t>
            </w:r>
          </w:p>
        </w:tc>
      </w:tr>
      <w:tr w:rsidR="00181AD3" w:rsidRPr="006B0B0A" w14:paraId="580D2CB6" w14:textId="77777777" w:rsidTr="00BE57C8">
        <w:trPr>
          <w:trHeight w:val="20"/>
        </w:trPr>
        <w:tc>
          <w:tcPr>
            <w:tcW w:w="1008" w:type="dxa"/>
            <w:shd w:val="clear" w:color="auto" w:fill="auto"/>
            <w:noWrap/>
            <w:hideMark/>
          </w:tcPr>
          <w:p w14:paraId="400CB7A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6.2</w:t>
            </w:r>
          </w:p>
        </w:tc>
        <w:tc>
          <w:tcPr>
            <w:tcW w:w="3200" w:type="dxa"/>
            <w:shd w:val="clear" w:color="auto" w:fill="auto"/>
            <w:noWrap/>
            <w:hideMark/>
          </w:tcPr>
          <w:p w14:paraId="42EDB26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Water quality monitoring</w:t>
            </w:r>
          </w:p>
        </w:tc>
        <w:tc>
          <w:tcPr>
            <w:tcW w:w="1141" w:type="dxa"/>
            <w:shd w:val="clear" w:color="auto" w:fill="auto"/>
            <w:vAlign w:val="center"/>
            <w:hideMark/>
          </w:tcPr>
          <w:p w14:paraId="33E30FC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Extension of sampling program</w:t>
            </w:r>
          </w:p>
        </w:tc>
        <w:tc>
          <w:tcPr>
            <w:tcW w:w="1045" w:type="dxa"/>
            <w:shd w:val="clear" w:color="auto" w:fill="auto"/>
            <w:noWrap/>
            <w:vAlign w:val="center"/>
            <w:hideMark/>
          </w:tcPr>
          <w:p w14:paraId="28E0719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4572D88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1EA1DC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D85D1A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41C8FCD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TBD</w:t>
            </w:r>
          </w:p>
        </w:tc>
        <w:tc>
          <w:tcPr>
            <w:tcW w:w="2268" w:type="dxa"/>
            <w:shd w:val="clear" w:color="auto" w:fill="auto"/>
            <w:noWrap/>
            <w:vAlign w:val="bottom"/>
            <w:hideMark/>
          </w:tcPr>
          <w:p w14:paraId="5699743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6FAF4B8" w14:textId="77777777" w:rsidTr="00BE57C8">
        <w:trPr>
          <w:trHeight w:val="20"/>
        </w:trPr>
        <w:tc>
          <w:tcPr>
            <w:tcW w:w="1008" w:type="dxa"/>
            <w:shd w:val="clear" w:color="auto" w:fill="auto"/>
            <w:noWrap/>
            <w:hideMark/>
          </w:tcPr>
          <w:p w14:paraId="0C79392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6.3</w:t>
            </w:r>
          </w:p>
        </w:tc>
        <w:tc>
          <w:tcPr>
            <w:tcW w:w="3200" w:type="dxa"/>
            <w:shd w:val="clear" w:color="auto" w:fill="auto"/>
            <w:noWrap/>
            <w:hideMark/>
          </w:tcPr>
          <w:p w14:paraId="2193653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Storage facility for sodium hypochlorite</w:t>
            </w:r>
          </w:p>
        </w:tc>
        <w:tc>
          <w:tcPr>
            <w:tcW w:w="1141" w:type="dxa"/>
            <w:shd w:val="clear" w:color="auto" w:fill="auto"/>
            <w:noWrap/>
            <w:vAlign w:val="center"/>
            <w:hideMark/>
          </w:tcPr>
          <w:p w14:paraId="2E9FB29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F935E7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139BCEA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B52B05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E438F6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50E1838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New storage facility provided (ventilated shed)</w:t>
            </w:r>
          </w:p>
        </w:tc>
        <w:tc>
          <w:tcPr>
            <w:tcW w:w="2268" w:type="dxa"/>
            <w:shd w:val="clear" w:color="auto" w:fill="auto"/>
            <w:noWrap/>
            <w:vAlign w:val="bottom"/>
            <w:hideMark/>
          </w:tcPr>
          <w:p w14:paraId="767F26A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33B0AEA" w14:textId="77777777" w:rsidTr="00BE57C8">
        <w:trPr>
          <w:trHeight w:val="20"/>
        </w:trPr>
        <w:tc>
          <w:tcPr>
            <w:tcW w:w="1008" w:type="dxa"/>
            <w:shd w:val="clear" w:color="auto" w:fill="auto"/>
            <w:noWrap/>
            <w:hideMark/>
          </w:tcPr>
          <w:p w14:paraId="648AE9B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6.4</w:t>
            </w:r>
          </w:p>
        </w:tc>
        <w:tc>
          <w:tcPr>
            <w:tcW w:w="3200" w:type="dxa"/>
            <w:shd w:val="clear" w:color="auto" w:fill="auto"/>
            <w:noWrap/>
            <w:hideMark/>
          </w:tcPr>
          <w:p w14:paraId="40351E7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Catchment Area Management</w:t>
            </w:r>
          </w:p>
        </w:tc>
        <w:tc>
          <w:tcPr>
            <w:tcW w:w="1141" w:type="dxa"/>
            <w:shd w:val="clear" w:color="auto" w:fill="auto"/>
            <w:vAlign w:val="center"/>
            <w:hideMark/>
          </w:tcPr>
          <w:p w14:paraId="50DFC2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Impact of development on borehole water quality</w:t>
            </w:r>
          </w:p>
        </w:tc>
        <w:tc>
          <w:tcPr>
            <w:tcW w:w="1045" w:type="dxa"/>
            <w:shd w:val="clear" w:color="auto" w:fill="auto"/>
            <w:vAlign w:val="center"/>
            <w:hideMark/>
          </w:tcPr>
          <w:p w14:paraId="33275D9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Volunteer water quality scientists</w:t>
            </w:r>
          </w:p>
        </w:tc>
        <w:tc>
          <w:tcPr>
            <w:tcW w:w="1134" w:type="dxa"/>
            <w:shd w:val="clear" w:color="auto" w:fill="auto"/>
            <w:vAlign w:val="center"/>
            <w:hideMark/>
          </w:tcPr>
          <w:p w14:paraId="083DDE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vAlign w:val="center"/>
            <w:hideMark/>
          </w:tcPr>
          <w:p w14:paraId="489503A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vAlign w:val="center"/>
            <w:hideMark/>
          </w:tcPr>
          <w:p w14:paraId="17BA890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6A274C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Not implemented</w:t>
            </w:r>
          </w:p>
        </w:tc>
        <w:tc>
          <w:tcPr>
            <w:tcW w:w="2268" w:type="dxa"/>
            <w:shd w:val="clear" w:color="auto" w:fill="auto"/>
            <w:noWrap/>
            <w:vAlign w:val="bottom"/>
            <w:hideMark/>
          </w:tcPr>
          <w:p w14:paraId="00B8239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8DEB5F7" w14:textId="77777777" w:rsidTr="00BE57C8">
        <w:trPr>
          <w:trHeight w:val="20"/>
        </w:trPr>
        <w:tc>
          <w:tcPr>
            <w:tcW w:w="1008" w:type="dxa"/>
            <w:shd w:val="clear" w:color="auto" w:fill="auto"/>
            <w:noWrap/>
            <w:hideMark/>
          </w:tcPr>
          <w:p w14:paraId="7B1E746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6.5</w:t>
            </w:r>
          </w:p>
        </w:tc>
        <w:tc>
          <w:tcPr>
            <w:tcW w:w="3200" w:type="dxa"/>
            <w:shd w:val="clear" w:color="auto" w:fill="auto"/>
            <w:noWrap/>
            <w:hideMark/>
          </w:tcPr>
          <w:p w14:paraId="5A65282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Drinking Water Safety Plan</w:t>
            </w:r>
          </w:p>
        </w:tc>
        <w:tc>
          <w:tcPr>
            <w:tcW w:w="1141" w:type="dxa"/>
            <w:shd w:val="clear" w:color="auto" w:fill="auto"/>
            <w:noWrap/>
            <w:vAlign w:val="center"/>
            <w:hideMark/>
          </w:tcPr>
          <w:p w14:paraId="75C2BC1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vAlign w:val="center"/>
            <w:hideMark/>
          </w:tcPr>
          <w:p w14:paraId="4AB64FE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Prepared by Water Quality Team of SW</w:t>
            </w:r>
          </w:p>
        </w:tc>
        <w:tc>
          <w:tcPr>
            <w:tcW w:w="1134" w:type="dxa"/>
            <w:shd w:val="clear" w:color="auto" w:fill="auto"/>
            <w:vAlign w:val="center"/>
            <w:hideMark/>
          </w:tcPr>
          <w:p w14:paraId="4F23A4C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vAlign w:val="center"/>
            <w:hideMark/>
          </w:tcPr>
          <w:p w14:paraId="25758D6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vAlign w:val="center"/>
            <w:hideMark/>
          </w:tcPr>
          <w:p w14:paraId="29BDC4B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02F76D7" w14:textId="37A37376" w:rsidR="00181AD3" w:rsidRPr="006B0B0A" w:rsidRDefault="009F74CA" w:rsidP="00BE57C8">
            <w:pPr>
              <w:spacing w:after="0" w:line="240" w:lineRule="auto"/>
              <w:rPr>
                <w:color w:val="000000"/>
                <w:sz w:val="18"/>
                <w:szCs w:val="18"/>
                <w:lang w:eastAsia="en-NZ"/>
              </w:rPr>
            </w:pPr>
            <w:r>
              <w:rPr>
                <w:color w:val="000000"/>
                <w:sz w:val="18"/>
                <w:szCs w:val="18"/>
                <w:lang w:eastAsia="en-NZ"/>
              </w:rPr>
              <w:t>A draft Water Safety Plan was prepared under the IWRM Project in 2013, but was not approved. No further activities conducted under the Development Plan</w:t>
            </w:r>
          </w:p>
        </w:tc>
        <w:tc>
          <w:tcPr>
            <w:tcW w:w="2268" w:type="dxa"/>
            <w:shd w:val="clear" w:color="auto" w:fill="auto"/>
            <w:noWrap/>
            <w:vAlign w:val="bottom"/>
            <w:hideMark/>
          </w:tcPr>
          <w:p w14:paraId="67EF0D5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041B8FF" w14:textId="77777777" w:rsidTr="00BE57C8">
        <w:trPr>
          <w:trHeight w:val="20"/>
        </w:trPr>
        <w:tc>
          <w:tcPr>
            <w:tcW w:w="1008" w:type="dxa"/>
            <w:shd w:val="clear" w:color="auto" w:fill="auto"/>
            <w:noWrap/>
            <w:hideMark/>
          </w:tcPr>
          <w:p w14:paraId="72F7A0E4"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7</w:t>
            </w:r>
          </w:p>
        </w:tc>
        <w:tc>
          <w:tcPr>
            <w:tcW w:w="3200" w:type="dxa"/>
            <w:shd w:val="clear" w:color="auto" w:fill="auto"/>
            <w:noWrap/>
            <w:hideMark/>
          </w:tcPr>
          <w:p w14:paraId="20E434B4"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Protecting the Environment</w:t>
            </w:r>
          </w:p>
        </w:tc>
        <w:tc>
          <w:tcPr>
            <w:tcW w:w="1141" w:type="dxa"/>
            <w:shd w:val="clear" w:color="auto" w:fill="auto"/>
            <w:noWrap/>
            <w:vAlign w:val="center"/>
            <w:hideMark/>
          </w:tcPr>
          <w:p w14:paraId="6DC6AA3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797BFA9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44A003A"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45F7648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ED92088" w14:textId="77777777" w:rsidR="00181AD3" w:rsidRPr="006B0B0A" w:rsidRDefault="00181AD3" w:rsidP="00BE57C8">
            <w:pPr>
              <w:spacing w:after="0" w:line="240" w:lineRule="auto"/>
              <w:jc w:val="center"/>
              <w:rPr>
                <w:color w:val="000000"/>
                <w:sz w:val="18"/>
                <w:szCs w:val="18"/>
                <w:lang w:eastAsia="en-NZ"/>
              </w:rPr>
            </w:pPr>
          </w:p>
        </w:tc>
        <w:tc>
          <w:tcPr>
            <w:tcW w:w="3129" w:type="dxa"/>
            <w:shd w:val="clear" w:color="auto" w:fill="auto"/>
            <w:noWrap/>
            <w:hideMark/>
          </w:tcPr>
          <w:p w14:paraId="2AC1DAC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69F3925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559844C" w14:textId="77777777" w:rsidTr="00BE57C8">
        <w:trPr>
          <w:trHeight w:val="20"/>
        </w:trPr>
        <w:tc>
          <w:tcPr>
            <w:tcW w:w="1008" w:type="dxa"/>
            <w:shd w:val="clear" w:color="auto" w:fill="auto"/>
            <w:noWrap/>
            <w:hideMark/>
          </w:tcPr>
          <w:p w14:paraId="3462DA9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7.1</w:t>
            </w:r>
          </w:p>
        </w:tc>
        <w:tc>
          <w:tcPr>
            <w:tcW w:w="3200" w:type="dxa"/>
            <w:shd w:val="clear" w:color="auto" w:fill="auto"/>
            <w:hideMark/>
          </w:tcPr>
          <w:p w14:paraId="4F6999E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Rehab of Point Cruz and King George VI Sewage PS</w:t>
            </w:r>
          </w:p>
        </w:tc>
        <w:tc>
          <w:tcPr>
            <w:tcW w:w="1141" w:type="dxa"/>
            <w:shd w:val="clear" w:color="auto" w:fill="auto"/>
            <w:noWrap/>
            <w:vAlign w:val="center"/>
            <w:hideMark/>
          </w:tcPr>
          <w:p w14:paraId="2142A0E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423207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200,000</w:t>
            </w:r>
          </w:p>
        </w:tc>
        <w:tc>
          <w:tcPr>
            <w:tcW w:w="1134" w:type="dxa"/>
            <w:shd w:val="clear" w:color="auto" w:fill="auto"/>
            <w:noWrap/>
            <w:vAlign w:val="center"/>
            <w:hideMark/>
          </w:tcPr>
          <w:p w14:paraId="22A18D0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AAC6C4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3C1FF9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18,990</w:t>
            </w:r>
          </w:p>
        </w:tc>
        <w:tc>
          <w:tcPr>
            <w:tcW w:w="3129" w:type="dxa"/>
            <w:shd w:val="clear" w:color="auto" w:fill="auto"/>
            <w:hideMark/>
          </w:tcPr>
          <w:p w14:paraId="3476EEA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Specifications prepared for temporary improvements. Awaiting delivery of new pumps and control panels. A-Framed tripod to be procured to enable maintenance. Construction of </w:t>
            </w:r>
            <w:r w:rsidRPr="006B0B0A">
              <w:rPr>
                <w:color w:val="000000"/>
                <w:sz w:val="18"/>
                <w:szCs w:val="18"/>
                <w:lang w:eastAsia="en-NZ"/>
              </w:rPr>
              <w:lastRenderedPageBreak/>
              <w:t>new wet well and screens being considered.</w:t>
            </w:r>
          </w:p>
        </w:tc>
        <w:tc>
          <w:tcPr>
            <w:tcW w:w="2268" w:type="dxa"/>
            <w:shd w:val="clear" w:color="auto" w:fill="auto"/>
            <w:hideMark/>
          </w:tcPr>
          <w:p w14:paraId="51ADD88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Awaiting proposals in Wastewater Master Plan.</w:t>
            </w:r>
          </w:p>
        </w:tc>
      </w:tr>
      <w:tr w:rsidR="00181AD3" w:rsidRPr="006B0B0A" w14:paraId="002DA3D1" w14:textId="77777777" w:rsidTr="00BE57C8">
        <w:trPr>
          <w:trHeight w:val="20"/>
        </w:trPr>
        <w:tc>
          <w:tcPr>
            <w:tcW w:w="1008" w:type="dxa"/>
            <w:shd w:val="clear" w:color="auto" w:fill="auto"/>
            <w:noWrap/>
            <w:hideMark/>
          </w:tcPr>
          <w:p w14:paraId="263520B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F35D74A"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7</w:t>
            </w:r>
          </w:p>
        </w:tc>
        <w:tc>
          <w:tcPr>
            <w:tcW w:w="1141" w:type="dxa"/>
            <w:shd w:val="clear" w:color="auto" w:fill="auto"/>
            <w:noWrap/>
            <w:vAlign w:val="center"/>
            <w:hideMark/>
          </w:tcPr>
          <w:p w14:paraId="2F91098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A282DA1"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200,000</w:t>
            </w:r>
          </w:p>
        </w:tc>
        <w:tc>
          <w:tcPr>
            <w:tcW w:w="1134" w:type="dxa"/>
            <w:shd w:val="clear" w:color="auto" w:fill="auto"/>
            <w:noWrap/>
            <w:vAlign w:val="center"/>
            <w:hideMark/>
          </w:tcPr>
          <w:p w14:paraId="226B574D"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0B00E85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145,676</w:t>
            </w:r>
          </w:p>
        </w:tc>
        <w:tc>
          <w:tcPr>
            <w:tcW w:w="1124" w:type="dxa"/>
            <w:shd w:val="clear" w:color="auto" w:fill="auto"/>
            <w:noWrap/>
            <w:vAlign w:val="center"/>
            <w:hideMark/>
          </w:tcPr>
          <w:p w14:paraId="3CDDEA08"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18,990</w:t>
            </w:r>
          </w:p>
        </w:tc>
        <w:tc>
          <w:tcPr>
            <w:tcW w:w="3129" w:type="dxa"/>
            <w:shd w:val="clear" w:color="auto" w:fill="auto"/>
            <w:noWrap/>
            <w:hideMark/>
          </w:tcPr>
          <w:p w14:paraId="286816F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3C46B8D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861A5A9" w14:textId="77777777" w:rsidTr="00BE57C8">
        <w:trPr>
          <w:trHeight w:val="20"/>
        </w:trPr>
        <w:tc>
          <w:tcPr>
            <w:tcW w:w="1008" w:type="dxa"/>
            <w:shd w:val="clear" w:color="auto" w:fill="auto"/>
            <w:noWrap/>
            <w:hideMark/>
          </w:tcPr>
          <w:p w14:paraId="71F233A2"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8</w:t>
            </w:r>
          </w:p>
        </w:tc>
        <w:tc>
          <w:tcPr>
            <w:tcW w:w="3200" w:type="dxa"/>
            <w:shd w:val="clear" w:color="auto" w:fill="auto"/>
            <w:noWrap/>
            <w:hideMark/>
          </w:tcPr>
          <w:p w14:paraId="73B3BC38"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Improving Customer Care</w:t>
            </w:r>
          </w:p>
        </w:tc>
        <w:tc>
          <w:tcPr>
            <w:tcW w:w="1141" w:type="dxa"/>
            <w:shd w:val="clear" w:color="auto" w:fill="auto"/>
            <w:noWrap/>
            <w:vAlign w:val="center"/>
            <w:hideMark/>
          </w:tcPr>
          <w:p w14:paraId="5148ADF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C48010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15B5663"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480DD15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5247AA7" w14:textId="77777777" w:rsidR="00181AD3" w:rsidRPr="006B0B0A" w:rsidRDefault="00181AD3" w:rsidP="00BE57C8">
            <w:pPr>
              <w:spacing w:after="0" w:line="240" w:lineRule="auto"/>
              <w:jc w:val="center"/>
              <w:rPr>
                <w:color w:val="000000"/>
                <w:sz w:val="18"/>
                <w:szCs w:val="18"/>
                <w:lang w:eastAsia="en-NZ"/>
              </w:rPr>
            </w:pPr>
          </w:p>
        </w:tc>
        <w:tc>
          <w:tcPr>
            <w:tcW w:w="3129" w:type="dxa"/>
            <w:shd w:val="clear" w:color="auto" w:fill="auto"/>
            <w:noWrap/>
            <w:hideMark/>
          </w:tcPr>
          <w:p w14:paraId="73822B2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63BEC39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8EE2B7A" w14:textId="77777777" w:rsidTr="00BE57C8">
        <w:trPr>
          <w:trHeight w:val="20"/>
        </w:trPr>
        <w:tc>
          <w:tcPr>
            <w:tcW w:w="1008" w:type="dxa"/>
            <w:shd w:val="clear" w:color="auto" w:fill="auto"/>
            <w:noWrap/>
            <w:hideMark/>
          </w:tcPr>
          <w:p w14:paraId="451D14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8.1</w:t>
            </w:r>
          </w:p>
        </w:tc>
        <w:tc>
          <w:tcPr>
            <w:tcW w:w="3200" w:type="dxa"/>
            <w:shd w:val="clear" w:color="auto" w:fill="auto"/>
            <w:hideMark/>
          </w:tcPr>
          <w:p w14:paraId="079F66A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Introduce a Customer Relations Management System</w:t>
            </w:r>
          </w:p>
        </w:tc>
        <w:tc>
          <w:tcPr>
            <w:tcW w:w="1141" w:type="dxa"/>
            <w:shd w:val="clear" w:color="auto" w:fill="auto"/>
            <w:noWrap/>
            <w:vAlign w:val="center"/>
            <w:hideMark/>
          </w:tcPr>
          <w:p w14:paraId="0932928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742C07C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58343D9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72C402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27A5A74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1910295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Some improvements resulting from training by Business Process Adviser. Internal CRM system upgraded.</w:t>
            </w:r>
          </w:p>
        </w:tc>
        <w:tc>
          <w:tcPr>
            <w:tcW w:w="2268" w:type="dxa"/>
            <w:shd w:val="clear" w:color="auto" w:fill="auto"/>
            <w:noWrap/>
            <w:vAlign w:val="bottom"/>
            <w:hideMark/>
          </w:tcPr>
          <w:p w14:paraId="1C0EA57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3EE5691" w14:textId="77777777" w:rsidTr="00BE57C8">
        <w:trPr>
          <w:trHeight w:val="20"/>
        </w:trPr>
        <w:tc>
          <w:tcPr>
            <w:tcW w:w="1008" w:type="dxa"/>
            <w:shd w:val="clear" w:color="auto" w:fill="auto"/>
            <w:noWrap/>
            <w:hideMark/>
          </w:tcPr>
          <w:p w14:paraId="6406ED7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8.2</w:t>
            </w:r>
          </w:p>
        </w:tc>
        <w:tc>
          <w:tcPr>
            <w:tcW w:w="3200" w:type="dxa"/>
            <w:shd w:val="clear" w:color="auto" w:fill="auto"/>
            <w:noWrap/>
            <w:hideMark/>
          </w:tcPr>
          <w:p w14:paraId="78CFE74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Enhance the ease of water bill payments</w:t>
            </w:r>
          </w:p>
        </w:tc>
        <w:tc>
          <w:tcPr>
            <w:tcW w:w="1141" w:type="dxa"/>
            <w:shd w:val="clear" w:color="auto" w:fill="auto"/>
            <w:noWrap/>
            <w:vAlign w:val="center"/>
            <w:hideMark/>
          </w:tcPr>
          <w:p w14:paraId="5AE8B03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BBC052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671F136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E37DC3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006F6C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1635115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Email billing now being implemented on request</w:t>
            </w:r>
          </w:p>
        </w:tc>
        <w:tc>
          <w:tcPr>
            <w:tcW w:w="2268" w:type="dxa"/>
            <w:shd w:val="clear" w:color="auto" w:fill="auto"/>
            <w:vAlign w:val="bottom"/>
            <w:hideMark/>
          </w:tcPr>
          <w:p w14:paraId="0CE8396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Consumers report paying of bills much easier than in past. Some anecdotal evidence of disconnection without notice due to late or non-receipt of bills. </w:t>
            </w:r>
          </w:p>
        </w:tc>
      </w:tr>
      <w:tr w:rsidR="00181AD3" w:rsidRPr="006B0B0A" w14:paraId="074E1E2A" w14:textId="77777777" w:rsidTr="00BE57C8">
        <w:trPr>
          <w:trHeight w:val="20"/>
        </w:trPr>
        <w:tc>
          <w:tcPr>
            <w:tcW w:w="1008" w:type="dxa"/>
            <w:shd w:val="clear" w:color="auto" w:fill="auto"/>
            <w:noWrap/>
            <w:hideMark/>
          </w:tcPr>
          <w:p w14:paraId="297BDD1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9</w:t>
            </w:r>
          </w:p>
        </w:tc>
        <w:tc>
          <w:tcPr>
            <w:tcW w:w="3200" w:type="dxa"/>
            <w:shd w:val="clear" w:color="auto" w:fill="auto"/>
            <w:noWrap/>
            <w:hideMark/>
          </w:tcPr>
          <w:p w14:paraId="0FDD316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Improving the Image of Solomon Water</w:t>
            </w:r>
          </w:p>
        </w:tc>
        <w:tc>
          <w:tcPr>
            <w:tcW w:w="1141" w:type="dxa"/>
            <w:shd w:val="clear" w:color="auto" w:fill="auto"/>
            <w:noWrap/>
            <w:vAlign w:val="center"/>
            <w:hideMark/>
          </w:tcPr>
          <w:p w14:paraId="33BC9D1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5E3A4C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934E77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DA1A30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2CF7ACE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4B16C6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15981AF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BD83E8F" w14:textId="77777777" w:rsidTr="00BE57C8">
        <w:trPr>
          <w:trHeight w:val="20"/>
        </w:trPr>
        <w:tc>
          <w:tcPr>
            <w:tcW w:w="1008" w:type="dxa"/>
            <w:shd w:val="clear" w:color="auto" w:fill="auto"/>
            <w:noWrap/>
            <w:hideMark/>
          </w:tcPr>
          <w:p w14:paraId="5AE7F4D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9.1</w:t>
            </w:r>
          </w:p>
        </w:tc>
        <w:tc>
          <w:tcPr>
            <w:tcW w:w="3200" w:type="dxa"/>
            <w:shd w:val="clear" w:color="auto" w:fill="auto"/>
            <w:noWrap/>
            <w:hideMark/>
          </w:tcPr>
          <w:p w14:paraId="0FA8D62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Communications Campaign Planning</w:t>
            </w:r>
          </w:p>
        </w:tc>
        <w:tc>
          <w:tcPr>
            <w:tcW w:w="1141" w:type="dxa"/>
            <w:shd w:val="clear" w:color="auto" w:fill="auto"/>
            <w:noWrap/>
            <w:vAlign w:val="center"/>
            <w:hideMark/>
          </w:tcPr>
          <w:p w14:paraId="5B2CDEF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372EED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SW Budget</w:t>
            </w:r>
          </w:p>
        </w:tc>
        <w:tc>
          <w:tcPr>
            <w:tcW w:w="1134" w:type="dxa"/>
            <w:shd w:val="clear" w:color="auto" w:fill="auto"/>
            <w:noWrap/>
            <w:vAlign w:val="center"/>
            <w:hideMark/>
          </w:tcPr>
          <w:p w14:paraId="4B42908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3AEF7E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A6A7FC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62B62F4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Weekly radio show developed. Communications programs developed regarding non-payment of bills. Partnership with World Vision communication program. Communication Plan prepared and being reviewed by GM.</w:t>
            </w:r>
          </w:p>
        </w:tc>
        <w:tc>
          <w:tcPr>
            <w:tcW w:w="2268" w:type="dxa"/>
            <w:shd w:val="clear" w:color="auto" w:fill="auto"/>
            <w:noWrap/>
            <w:vAlign w:val="bottom"/>
            <w:hideMark/>
          </w:tcPr>
          <w:p w14:paraId="02413D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2A90FB0" w14:textId="77777777" w:rsidTr="00BE57C8">
        <w:trPr>
          <w:trHeight w:val="20"/>
        </w:trPr>
        <w:tc>
          <w:tcPr>
            <w:tcW w:w="1008" w:type="dxa"/>
            <w:shd w:val="clear" w:color="auto" w:fill="auto"/>
            <w:noWrap/>
            <w:hideMark/>
          </w:tcPr>
          <w:p w14:paraId="51E4BA2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9.2</w:t>
            </w:r>
          </w:p>
        </w:tc>
        <w:tc>
          <w:tcPr>
            <w:tcW w:w="3200" w:type="dxa"/>
            <w:shd w:val="clear" w:color="auto" w:fill="auto"/>
            <w:hideMark/>
          </w:tcPr>
          <w:p w14:paraId="4EC688F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Development of website for Solomon Water</w:t>
            </w:r>
          </w:p>
        </w:tc>
        <w:tc>
          <w:tcPr>
            <w:tcW w:w="1141" w:type="dxa"/>
            <w:shd w:val="clear" w:color="auto" w:fill="auto"/>
            <w:noWrap/>
            <w:vAlign w:val="center"/>
            <w:hideMark/>
          </w:tcPr>
          <w:p w14:paraId="31805B6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43FF7D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w:t>
            </w:r>
          </w:p>
        </w:tc>
        <w:tc>
          <w:tcPr>
            <w:tcW w:w="1134" w:type="dxa"/>
            <w:shd w:val="clear" w:color="auto" w:fill="auto"/>
            <w:noWrap/>
            <w:vAlign w:val="center"/>
            <w:hideMark/>
          </w:tcPr>
          <w:p w14:paraId="45145A2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8D49DC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FB6D4C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40DDA8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Website developed and operational</w:t>
            </w:r>
          </w:p>
        </w:tc>
        <w:tc>
          <w:tcPr>
            <w:tcW w:w="2268" w:type="dxa"/>
            <w:shd w:val="clear" w:color="auto" w:fill="auto"/>
            <w:noWrap/>
            <w:vAlign w:val="bottom"/>
            <w:hideMark/>
          </w:tcPr>
          <w:p w14:paraId="1285D0D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718C11B" w14:textId="77777777" w:rsidTr="00BE57C8">
        <w:trPr>
          <w:trHeight w:val="20"/>
        </w:trPr>
        <w:tc>
          <w:tcPr>
            <w:tcW w:w="1008" w:type="dxa"/>
            <w:shd w:val="clear" w:color="auto" w:fill="auto"/>
            <w:noWrap/>
            <w:hideMark/>
          </w:tcPr>
          <w:p w14:paraId="1ACB8F0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9.3</w:t>
            </w:r>
          </w:p>
        </w:tc>
        <w:tc>
          <w:tcPr>
            <w:tcW w:w="3200" w:type="dxa"/>
            <w:shd w:val="clear" w:color="auto" w:fill="auto"/>
            <w:noWrap/>
            <w:hideMark/>
          </w:tcPr>
          <w:p w14:paraId="0E3AF34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Customer Surveys and Market Research</w:t>
            </w:r>
          </w:p>
        </w:tc>
        <w:tc>
          <w:tcPr>
            <w:tcW w:w="1141" w:type="dxa"/>
            <w:shd w:val="clear" w:color="auto" w:fill="auto"/>
            <w:noWrap/>
            <w:vAlign w:val="center"/>
            <w:hideMark/>
          </w:tcPr>
          <w:p w14:paraId="0694E98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9CFB2F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Volunteer</w:t>
            </w:r>
          </w:p>
        </w:tc>
        <w:tc>
          <w:tcPr>
            <w:tcW w:w="1134" w:type="dxa"/>
            <w:shd w:val="clear" w:color="auto" w:fill="auto"/>
            <w:noWrap/>
            <w:vAlign w:val="center"/>
            <w:hideMark/>
          </w:tcPr>
          <w:p w14:paraId="501270A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E794B6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E4D9A5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4227984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Customer surveys undertaken</w:t>
            </w:r>
          </w:p>
        </w:tc>
        <w:tc>
          <w:tcPr>
            <w:tcW w:w="2268" w:type="dxa"/>
            <w:shd w:val="clear" w:color="auto" w:fill="auto"/>
            <w:noWrap/>
            <w:vAlign w:val="bottom"/>
            <w:hideMark/>
          </w:tcPr>
          <w:p w14:paraId="0408F7D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B5F3B65" w14:textId="77777777" w:rsidTr="00BE57C8">
        <w:trPr>
          <w:trHeight w:val="20"/>
        </w:trPr>
        <w:tc>
          <w:tcPr>
            <w:tcW w:w="1008" w:type="dxa"/>
            <w:shd w:val="clear" w:color="auto" w:fill="auto"/>
            <w:noWrap/>
            <w:hideMark/>
          </w:tcPr>
          <w:p w14:paraId="3BB5060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AB4C629"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9</w:t>
            </w:r>
          </w:p>
        </w:tc>
        <w:tc>
          <w:tcPr>
            <w:tcW w:w="1141" w:type="dxa"/>
            <w:shd w:val="clear" w:color="auto" w:fill="auto"/>
            <w:noWrap/>
            <w:vAlign w:val="center"/>
            <w:hideMark/>
          </w:tcPr>
          <w:p w14:paraId="7422CC4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760411F7"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20,000</w:t>
            </w:r>
          </w:p>
        </w:tc>
        <w:tc>
          <w:tcPr>
            <w:tcW w:w="1134" w:type="dxa"/>
            <w:shd w:val="clear" w:color="auto" w:fill="auto"/>
            <w:noWrap/>
            <w:vAlign w:val="center"/>
            <w:hideMark/>
          </w:tcPr>
          <w:p w14:paraId="15321DE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EB1F36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1124" w:type="dxa"/>
            <w:shd w:val="clear" w:color="auto" w:fill="auto"/>
            <w:noWrap/>
            <w:vAlign w:val="center"/>
            <w:hideMark/>
          </w:tcPr>
          <w:p w14:paraId="4BD43B2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3129" w:type="dxa"/>
            <w:shd w:val="clear" w:color="auto" w:fill="auto"/>
            <w:noWrap/>
            <w:hideMark/>
          </w:tcPr>
          <w:p w14:paraId="27EEBEA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D150B4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18D60EB" w14:textId="77777777" w:rsidTr="00BE57C8">
        <w:trPr>
          <w:trHeight w:val="20"/>
        </w:trPr>
        <w:tc>
          <w:tcPr>
            <w:tcW w:w="1008" w:type="dxa"/>
            <w:shd w:val="clear" w:color="auto" w:fill="auto"/>
            <w:noWrap/>
            <w:hideMark/>
          </w:tcPr>
          <w:p w14:paraId="0F769B43"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10</w:t>
            </w:r>
          </w:p>
        </w:tc>
        <w:tc>
          <w:tcPr>
            <w:tcW w:w="3200" w:type="dxa"/>
            <w:shd w:val="clear" w:color="auto" w:fill="auto"/>
            <w:noWrap/>
            <w:hideMark/>
          </w:tcPr>
          <w:p w14:paraId="542F1FB2"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 xml:space="preserve">Improving Financial Management </w:t>
            </w:r>
          </w:p>
        </w:tc>
        <w:tc>
          <w:tcPr>
            <w:tcW w:w="1141" w:type="dxa"/>
            <w:shd w:val="clear" w:color="auto" w:fill="auto"/>
            <w:noWrap/>
            <w:vAlign w:val="center"/>
            <w:hideMark/>
          </w:tcPr>
          <w:p w14:paraId="2EDFDF0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D7B266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87DB6C7"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69D9DD5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60C2AE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BD73F9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BAEF22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637101F" w14:textId="77777777" w:rsidTr="00BE57C8">
        <w:trPr>
          <w:trHeight w:val="20"/>
        </w:trPr>
        <w:tc>
          <w:tcPr>
            <w:tcW w:w="1008" w:type="dxa"/>
            <w:shd w:val="clear" w:color="auto" w:fill="auto"/>
            <w:noWrap/>
            <w:hideMark/>
          </w:tcPr>
          <w:p w14:paraId="37CBF68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10.1</w:t>
            </w:r>
          </w:p>
        </w:tc>
        <w:tc>
          <w:tcPr>
            <w:tcW w:w="3200" w:type="dxa"/>
            <w:shd w:val="clear" w:color="auto" w:fill="auto"/>
            <w:noWrap/>
            <w:hideMark/>
          </w:tcPr>
          <w:p w14:paraId="26BD8D1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Purchase new customer billing system</w:t>
            </w:r>
          </w:p>
        </w:tc>
        <w:tc>
          <w:tcPr>
            <w:tcW w:w="1141" w:type="dxa"/>
            <w:shd w:val="clear" w:color="auto" w:fill="auto"/>
            <w:vAlign w:val="center"/>
            <w:hideMark/>
          </w:tcPr>
          <w:p w14:paraId="50DB2C8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Server and billing system</w:t>
            </w:r>
          </w:p>
        </w:tc>
        <w:tc>
          <w:tcPr>
            <w:tcW w:w="1045" w:type="dxa"/>
            <w:shd w:val="clear" w:color="auto" w:fill="auto"/>
            <w:noWrap/>
            <w:vAlign w:val="center"/>
            <w:hideMark/>
          </w:tcPr>
          <w:p w14:paraId="0347600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165,000</w:t>
            </w:r>
          </w:p>
        </w:tc>
        <w:tc>
          <w:tcPr>
            <w:tcW w:w="1134" w:type="dxa"/>
            <w:shd w:val="clear" w:color="auto" w:fill="auto"/>
            <w:noWrap/>
            <w:vAlign w:val="center"/>
            <w:hideMark/>
          </w:tcPr>
          <w:p w14:paraId="643CB0F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75E7A5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E88D87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72E60EA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Decision taken by management to upgrade existing billing system, not procure new system.</w:t>
            </w:r>
          </w:p>
        </w:tc>
        <w:tc>
          <w:tcPr>
            <w:tcW w:w="2268" w:type="dxa"/>
            <w:shd w:val="clear" w:color="auto" w:fill="auto"/>
            <w:vAlign w:val="bottom"/>
            <w:hideMark/>
          </w:tcPr>
          <w:p w14:paraId="7ECDBF7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Approach supported by Evaluation Team. Upgraded system more effective at this point in time.</w:t>
            </w:r>
          </w:p>
        </w:tc>
      </w:tr>
      <w:tr w:rsidR="00181AD3" w:rsidRPr="006B0B0A" w14:paraId="20B58C8A" w14:textId="77777777" w:rsidTr="00BE57C8">
        <w:trPr>
          <w:trHeight w:val="20"/>
        </w:trPr>
        <w:tc>
          <w:tcPr>
            <w:tcW w:w="1008" w:type="dxa"/>
            <w:shd w:val="clear" w:color="auto" w:fill="auto"/>
            <w:noWrap/>
            <w:hideMark/>
          </w:tcPr>
          <w:p w14:paraId="797251A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10.2</w:t>
            </w:r>
          </w:p>
        </w:tc>
        <w:tc>
          <w:tcPr>
            <w:tcW w:w="3200" w:type="dxa"/>
            <w:shd w:val="clear" w:color="auto" w:fill="auto"/>
            <w:noWrap/>
            <w:hideMark/>
          </w:tcPr>
          <w:p w14:paraId="31B325B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Improved debt collection activity</w:t>
            </w:r>
          </w:p>
        </w:tc>
        <w:tc>
          <w:tcPr>
            <w:tcW w:w="1141" w:type="dxa"/>
            <w:shd w:val="clear" w:color="auto" w:fill="auto"/>
            <w:noWrap/>
            <w:vAlign w:val="center"/>
            <w:hideMark/>
          </w:tcPr>
          <w:p w14:paraId="40BAEA9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Includes vehicles</w:t>
            </w:r>
          </w:p>
        </w:tc>
        <w:tc>
          <w:tcPr>
            <w:tcW w:w="1045" w:type="dxa"/>
            <w:shd w:val="clear" w:color="auto" w:fill="auto"/>
            <w:vAlign w:val="center"/>
            <w:hideMark/>
          </w:tcPr>
          <w:p w14:paraId="5DC5BE0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xml:space="preserve">SW Budget and </w:t>
            </w:r>
            <w:r w:rsidRPr="006B0B0A">
              <w:rPr>
                <w:color w:val="000000"/>
                <w:sz w:val="18"/>
                <w:szCs w:val="18"/>
                <w:lang w:eastAsia="en-NZ"/>
              </w:rPr>
              <w:lastRenderedPageBreak/>
              <w:t>Vehicle budget</w:t>
            </w:r>
          </w:p>
        </w:tc>
        <w:tc>
          <w:tcPr>
            <w:tcW w:w="1134" w:type="dxa"/>
            <w:shd w:val="clear" w:color="auto" w:fill="auto"/>
            <w:vAlign w:val="center"/>
            <w:hideMark/>
          </w:tcPr>
          <w:p w14:paraId="0616F37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lastRenderedPageBreak/>
              <w:t> </w:t>
            </w:r>
          </w:p>
        </w:tc>
        <w:tc>
          <w:tcPr>
            <w:tcW w:w="1134" w:type="dxa"/>
            <w:shd w:val="clear" w:color="auto" w:fill="auto"/>
            <w:vAlign w:val="center"/>
            <w:hideMark/>
          </w:tcPr>
          <w:p w14:paraId="39872AE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vAlign w:val="center"/>
            <w:hideMark/>
          </w:tcPr>
          <w:p w14:paraId="1185670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45CEA7ED" w14:textId="77777777" w:rsidR="00181AD3" w:rsidRPr="006B0B0A" w:rsidRDefault="00181AD3" w:rsidP="00616A39">
            <w:pPr>
              <w:spacing w:after="0" w:line="240" w:lineRule="auto"/>
              <w:rPr>
                <w:color w:val="000000"/>
                <w:sz w:val="18"/>
                <w:szCs w:val="18"/>
                <w:lang w:eastAsia="en-NZ"/>
              </w:rPr>
            </w:pPr>
            <w:r w:rsidRPr="006B0B0A">
              <w:rPr>
                <w:color w:val="000000"/>
                <w:sz w:val="18"/>
                <w:szCs w:val="18"/>
                <w:lang w:eastAsia="en-NZ"/>
              </w:rPr>
              <w:t xml:space="preserve">Much more </w:t>
            </w:r>
            <w:r w:rsidR="00616A39">
              <w:rPr>
                <w:color w:val="000000"/>
                <w:sz w:val="18"/>
                <w:szCs w:val="18"/>
                <w:lang w:eastAsia="en-NZ"/>
              </w:rPr>
              <w:t xml:space="preserve">rigorous </w:t>
            </w:r>
            <w:r w:rsidRPr="006B0B0A">
              <w:rPr>
                <w:color w:val="000000"/>
                <w:sz w:val="18"/>
                <w:szCs w:val="18"/>
                <w:lang w:eastAsia="en-NZ"/>
              </w:rPr>
              <w:t>debt collection system pursued.</w:t>
            </w:r>
          </w:p>
        </w:tc>
        <w:tc>
          <w:tcPr>
            <w:tcW w:w="2268" w:type="dxa"/>
            <w:shd w:val="clear" w:color="auto" w:fill="auto"/>
            <w:hideMark/>
          </w:tcPr>
          <w:p w14:paraId="240CF8E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S$25 million in back accounts received up </w:t>
            </w:r>
            <w:r w:rsidR="00CE100C" w:rsidRPr="006B0B0A">
              <w:rPr>
                <w:color w:val="000000"/>
                <w:sz w:val="18"/>
                <w:szCs w:val="18"/>
                <w:lang w:eastAsia="en-NZ"/>
              </w:rPr>
              <w:t>from</w:t>
            </w:r>
            <w:r w:rsidRPr="006B0B0A">
              <w:rPr>
                <w:color w:val="000000"/>
                <w:sz w:val="18"/>
                <w:szCs w:val="18"/>
                <w:lang w:eastAsia="en-NZ"/>
              </w:rPr>
              <w:t xml:space="preserve"> $ 1 million</w:t>
            </w:r>
          </w:p>
        </w:tc>
      </w:tr>
      <w:tr w:rsidR="00181AD3" w:rsidRPr="006B0B0A" w14:paraId="28458DBB" w14:textId="77777777" w:rsidTr="00BE57C8">
        <w:trPr>
          <w:trHeight w:val="20"/>
        </w:trPr>
        <w:tc>
          <w:tcPr>
            <w:tcW w:w="1008" w:type="dxa"/>
            <w:shd w:val="clear" w:color="auto" w:fill="auto"/>
            <w:noWrap/>
            <w:hideMark/>
          </w:tcPr>
          <w:p w14:paraId="6FDD3CB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10.3</w:t>
            </w:r>
          </w:p>
        </w:tc>
        <w:tc>
          <w:tcPr>
            <w:tcW w:w="3200" w:type="dxa"/>
            <w:shd w:val="clear" w:color="auto" w:fill="auto"/>
            <w:noWrap/>
            <w:hideMark/>
          </w:tcPr>
          <w:p w14:paraId="156EDCE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Accounting training</w:t>
            </w:r>
          </w:p>
        </w:tc>
        <w:tc>
          <w:tcPr>
            <w:tcW w:w="1141" w:type="dxa"/>
            <w:shd w:val="clear" w:color="auto" w:fill="auto"/>
            <w:noWrap/>
            <w:vAlign w:val="center"/>
            <w:hideMark/>
          </w:tcPr>
          <w:p w14:paraId="591D21D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DA74CF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26401A6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4420BF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4D1795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2329C9F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1534DE6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A6D6AE5" w14:textId="77777777" w:rsidTr="00BE57C8">
        <w:trPr>
          <w:trHeight w:val="20"/>
        </w:trPr>
        <w:tc>
          <w:tcPr>
            <w:tcW w:w="1008" w:type="dxa"/>
            <w:shd w:val="clear" w:color="auto" w:fill="auto"/>
            <w:noWrap/>
            <w:hideMark/>
          </w:tcPr>
          <w:p w14:paraId="0F5B17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10.4</w:t>
            </w:r>
          </w:p>
        </w:tc>
        <w:tc>
          <w:tcPr>
            <w:tcW w:w="3200" w:type="dxa"/>
            <w:shd w:val="clear" w:color="auto" w:fill="auto"/>
            <w:noWrap/>
            <w:hideMark/>
          </w:tcPr>
          <w:p w14:paraId="3492F87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Cost and Inventory System</w:t>
            </w:r>
          </w:p>
        </w:tc>
        <w:tc>
          <w:tcPr>
            <w:tcW w:w="1141" w:type="dxa"/>
            <w:shd w:val="clear" w:color="auto" w:fill="auto"/>
            <w:vAlign w:val="center"/>
            <w:hideMark/>
          </w:tcPr>
          <w:p w14:paraId="055214B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Part of IT Integration Plan</w:t>
            </w:r>
          </w:p>
        </w:tc>
        <w:tc>
          <w:tcPr>
            <w:tcW w:w="1045" w:type="dxa"/>
            <w:shd w:val="clear" w:color="auto" w:fill="auto"/>
            <w:noWrap/>
            <w:vAlign w:val="center"/>
            <w:hideMark/>
          </w:tcPr>
          <w:p w14:paraId="38F2830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A98B03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EAD8C5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2EED02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5EB5735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Inventory module within accounting system to be implemented by end of 2016. </w:t>
            </w:r>
          </w:p>
        </w:tc>
        <w:tc>
          <w:tcPr>
            <w:tcW w:w="2268" w:type="dxa"/>
            <w:shd w:val="clear" w:color="auto" w:fill="auto"/>
            <w:noWrap/>
            <w:vAlign w:val="bottom"/>
            <w:hideMark/>
          </w:tcPr>
          <w:p w14:paraId="7216A96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30DD76A" w14:textId="77777777" w:rsidTr="00BE57C8">
        <w:trPr>
          <w:trHeight w:val="20"/>
        </w:trPr>
        <w:tc>
          <w:tcPr>
            <w:tcW w:w="1008" w:type="dxa"/>
            <w:shd w:val="clear" w:color="auto" w:fill="auto"/>
            <w:noWrap/>
            <w:hideMark/>
          </w:tcPr>
          <w:p w14:paraId="02AABFE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10.5</w:t>
            </w:r>
          </w:p>
        </w:tc>
        <w:tc>
          <w:tcPr>
            <w:tcW w:w="3200" w:type="dxa"/>
            <w:shd w:val="clear" w:color="auto" w:fill="auto"/>
            <w:noWrap/>
            <w:hideMark/>
          </w:tcPr>
          <w:p w14:paraId="6B913CF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Procurement Advisor</w:t>
            </w:r>
          </w:p>
        </w:tc>
        <w:tc>
          <w:tcPr>
            <w:tcW w:w="1141" w:type="dxa"/>
            <w:shd w:val="clear" w:color="auto" w:fill="auto"/>
            <w:vAlign w:val="center"/>
            <w:hideMark/>
          </w:tcPr>
          <w:p w14:paraId="3DDD8C9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3 months Advisor for Procurement Plan and Procurement Manual</w:t>
            </w:r>
          </w:p>
        </w:tc>
        <w:tc>
          <w:tcPr>
            <w:tcW w:w="1045" w:type="dxa"/>
            <w:shd w:val="clear" w:color="auto" w:fill="auto"/>
            <w:noWrap/>
            <w:vAlign w:val="center"/>
            <w:hideMark/>
          </w:tcPr>
          <w:p w14:paraId="7767E6D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810438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2FADE6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D3382F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3C3329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Short term Procurement Adviser was provided, but outputs are unclear. Procurement Manual is being prepared by current Maintenance Adviser.</w:t>
            </w:r>
          </w:p>
        </w:tc>
        <w:tc>
          <w:tcPr>
            <w:tcW w:w="2268" w:type="dxa"/>
            <w:shd w:val="clear" w:color="auto" w:fill="auto"/>
            <w:noWrap/>
            <w:vAlign w:val="bottom"/>
            <w:hideMark/>
          </w:tcPr>
          <w:p w14:paraId="11D5684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ACEF067" w14:textId="77777777" w:rsidTr="00BE57C8">
        <w:trPr>
          <w:trHeight w:val="20"/>
        </w:trPr>
        <w:tc>
          <w:tcPr>
            <w:tcW w:w="1008" w:type="dxa"/>
            <w:shd w:val="clear" w:color="auto" w:fill="auto"/>
            <w:noWrap/>
            <w:hideMark/>
          </w:tcPr>
          <w:p w14:paraId="050DC7C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10.6</w:t>
            </w:r>
          </w:p>
        </w:tc>
        <w:tc>
          <w:tcPr>
            <w:tcW w:w="3200" w:type="dxa"/>
            <w:shd w:val="clear" w:color="auto" w:fill="auto"/>
            <w:noWrap/>
            <w:hideMark/>
          </w:tcPr>
          <w:p w14:paraId="7CB55DE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Internal and External Audits</w:t>
            </w:r>
          </w:p>
        </w:tc>
        <w:tc>
          <w:tcPr>
            <w:tcW w:w="1141" w:type="dxa"/>
            <w:shd w:val="clear" w:color="auto" w:fill="auto"/>
            <w:noWrap/>
            <w:vAlign w:val="center"/>
            <w:hideMark/>
          </w:tcPr>
          <w:p w14:paraId="54E04D7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C09CE3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F39D07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7FFBBC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8D2900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00EBA61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2014 </w:t>
            </w:r>
            <w:r w:rsidR="00616A39">
              <w:rPr>
                <w:color w:val="000000"/>
                <w:sz w:val="18"/>
                <w:szCs w:val="18"/>
                <w:lang w:eastAsia="en-NZ"/>
              </w:rPr>
              <w:t xml:space="preserve">and 2015 </w:t>
            </w:r>
            <w:r w:rsidRPr="006B0B0A">
              <w:rPr>
                <w:color w:val="000000"/>
                <w:sz w:val="18"/>
                <w:szCs w:val="18"/>
                <w:lang w:eastAsia="en-NZ"/>
              </w:rPr>
              <w:t>Financial Statements issued as Unqualified by Auditor-General</w:t>
            </w:r>
          </w:p>
        </w:tc>
        <w:tc>
          <w:tcPr>
            <w:tcW w:w="2268" w:type="dxa"/>
            <w:shd w:val="clear" w:color="auto" w:fill="auto"/>
            <w:noWrap/>
            <w:vAlign w:val="bottom"/>
            <w:hideMark/>
          </w:tcPr>
          <w:p w14:paraId="6B4ED85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5D07EBE" w14:textId="77777777" w:rsidTr="00BE57C8">
        <w:trPr>
          <w:trHeight w:val="20"/>
        </w:trPr>
        <w:tc>
          <w:tcPr>
            <w:tcW w:w="1008" w:type="dxa"/>
            <w:shd w:val="clear" w:color="auto" w:fill="auto"/>
            <w:noWrap/>
            <w:hideMark/>
          </w:tcPr>
          <w:p w14:paraId="7FE9809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BF75DFA"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10</w:t>
            </w:r>
          </w:p>
        </w:tc>
        <w:tc>
          <w:tcPr>
            <w:tcW w:w="1141" w:type="dxa"/>
            <w:shd w:val="clear" w:color="auto" w:fill="auto"/>
            <w:noWrap/>
            <w:vAlign w:val="center"/>
            <w:hideMark/>
          </w:tcPr>
          <w:p w14:paraId="1BDD04F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914DDC4"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165,000</w:t>
            </w:r>
          </w:p>
        </w:tc>
        <w:tc>
          <w:tcPr>
            <w:tcW w:w="1134" w:type="dxa"/>
            <w:shd w:val="clear" w:color="auto" w:fill="auto"/>
            <w:noWrap/>
            <w:vAlign w:val="center"/>
            <w:hideMark/>
          </w:tcPr>
          <w:p w14:paraId="008C4DB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218F4BF1"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1124" w:type="dxa"/>
            <w:shd w:val="clear" w:color="auto" w:fill="auto"/>
            <w:noWrap/>
            <w:vAlign w:val="center"/>
            <w:hideMark/>
          </w:tcPr>
          <w:p w14:paraId="11610ED5"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3129" w:type="dxa"/>
            <w:shd w:val="clear" w:color="auto" w:fill="auto"/>
            <w:noWrap/>
            <w:hideMark/>
          </w:tcPr>
          <w:p w14:paraId="5382BBC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596AEB4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6377F20" w14:textId="77777777" w:rsidTr="00BE57C8">
        <w:trPr>
          <w:trHeight w:val="20"/>
        </w:trPr>
        <w:tc>
          <w:tcPr>
            <w:tcW w:w="1008" w:type="dxa"/>
            <w:shd w:val="clear" w:color="auto" w:fill="auto"/>
            <w:noWrap/>
            <w:hideMark/>
          </w:tcPr>
          <w:p w14:paraId="5A9B4691"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11</w:t>
            </w:r>
          </w:p>
        </w:tc>
        <w:tc>
          <w:tcPr>
            <w:tcW w:w="3200" w:type="dxa"/>
            <w:shd w:val="clear" w:color="auto" w:fill="auto"/>
            <w:noWrap/>
            <w:hideMark/>
          </w:tcPr>
          <w:p w14:paraId="11EF192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Improved Organisational Capacity</w:t>
            </w:r>
          </w:p>
        </w:tc>
        <w:tc>
          <w:tcPr>
            <w:tcW w:w="1141" w:type="dxa"/>
            <w:shd w:val="clear" w:color="auto" w:fill="auto"/>
            <w:noWrap/>
            <w:vAlign w:val="center"/>
            <w:hideMark/>
          </w:tcPr>
          <w:p w14:paraId="1CA46C9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AE5E57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0A2056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2B68A0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1FDAE6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2BD1099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D68BD6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766F173" w14:textId="77777777" w:rsidTr="00BE57C8">
        <w:trPr>
          <w:trHeight w:val="20"/>
        </w:trPr>
        <w:tc>
          <w:tcPr>
            <w:tcW w:w="1008" w:type="dxa"/>
            <w:shd w:val="clear" w:color="auto" w:fill="auto"/>
            <w:noWrap/>
            <w:hideMark/>
          </w:tcPr>
          <w:p w14:paraId="1A14AC8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11.1</w:t>
            </w:r>
          </w:p>
        </w:tc>
        <w:tc>
          <w:tcPr>
            <w:tcW w:w="3200" w:type="dxa"/>
            <w:shd w:val="clear" w:color="auto" w:fill="auto"/>
            <w:hideMark/>
          </w:tcPr>
          <w:p w14:paraId="262B1F2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Strengthening of Human Resource Management</w:t>
            </w:r>
          </w:p>
        </w:tc>
        <w:tc>
          <w:tcPr>
            <w:tcW w:w="1141" w:type="dxa"/>
            <w:shd w:val="clear" w:color="auto" w:fill="auto"/>
            <w:vAlign w:val="center"/>
            <w:hideMark/>
          </w:tcPr>
          <w:p w14:paraId="5F56841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HR Plan, Strengthening of People Management Group (PMG), Learning and Development</w:t>
            </w:r>
          </w:p>
        </w:tc>
        <w:tc>
          <w:tcPr>
            <w:tcW w:w="1045" w:type="dxa"/>
            <w:shd w:val="clear" w:color="auto" w:fill="auto"/>
            <w:noWrap/>
            <w:vAlign w:val="center"/>
            <w:hideMark/>
          </w:tcPr>
          <w:p w14:paraId="1516424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1FA0C3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0B3731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F52524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542A63D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HR Plan development still in progress</w:t>
            </w:r>
          </w:p>
        </w:tc>
        <w:tc>
          <w:tcPr>
            <w:tcW w:w="2268" w:type="dxa"/>
            <w:shd w:val="clear" w:color="auto" w:fill="auto"/>
            <w:noWrap/>
            <w:vAlign w:val="bottom"/>
            <w:hideMark/>
          </w:tcPr>
          <w:p w14:paraId="79456CA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007E256" w14:textId="77777777" w:rsidTr="00BE57C8">
        <w:trPr>
          <w:trHeight w:val="20"/>
        </w:trPr>
        <w:tc>
          <w:tcPr>
            <w:tcW w:w="1008" w:type="dxa"/>
            <w:shd w:val="clear" w:color="auto" w:fill="auto"/>
            <w:noWrap/>
            <w:hideMark/>
          </w:tcPr>
          <w:p w14:paraId="4349C96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00C1562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International Advisor</w:t>
            </w:r>
          </w:p>
        </w:tc>
        <w:tc>
          <w:tcPr>
            <w:tcW w:w="1141" w:type="dxa"/>
            <w:shd w:val="clear" w:color="auto" w:fill="auto"/>
            <w:noWrap/>
            <w:vAlign w:val="center"/>
            <w:hideMark/>
          </w:tcPr>
          <w:p w14:paraId="1413042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38938B9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0F5FC88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89CFE4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9D46AD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val="restart"/>
            <w:shd w:val="clear" w:color="auto" w:fill="auto"/>
            <w:hideMark/>
          </w:tcPr>
          <w:p w14:paraId="1514CED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 records of inputs from Advisers or Train the Trainers Programs. There is a HR database in place but does not appear to be being used effectively.</w:t>
            </w:r>
          </w:p>
        </w:tc>
        <w:tc>
          <w:tcPr>
            <w:tcW w:w="2268" w:type="dxa"/>
            <w:vMerge w:val="restart"/>
            <w:shd w:val="clear" w:color="auto" w:fill="auto"/>
            <w:noWrap/>
            <w:vAlign w:val="bottom"/>
            <w:hideMark/>
          </w:tcPr>
          <w:p w14:paraId="5A50FD0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r>
      <w:tr w:rsidR="00181AD3" w:rsidRPr="006B0B0A" w14:paraId="79535332" w14:textId="77777777" w:rsidTr="00BE57C8">
        <w:trPr>
          <w:trHeight w:val="20"/>
        </w:trPr>
        <w:tc>
          <w:tcPr>
            <w:tcW w:w="1008" w:type="dxa"/>
            <w:shd w:val="clear" w:color="auto" w:fill="auto"/>
            <w:noWrap/>
            <w:hideMark/>
          </w:tcPr>
          <w:p w14:paraId="7982F38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FC6613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Train the Trainers for PMG Membership</w:t>
            </w:r>
          </w:p>
        </w:tc>
        <w:tc>
          <w:tcPr>
            <w:tcW w:w="1141" w:type="dxa"/>
            <w:shd w:val="clear" w:color="auto" w:fill="auto"/>
            <w:noWrap/>
            <w:vAlign w:val="center"/>
            <w:hideMark/>
          </w:tcPr>
          <w:p w14:paraId="688CFBC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3A32DD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shd w:val="clear" w:color="auto" w:fill="auto"/>
            <w:noWrap/>
            <w:vAlign w:val="center"/>
            <w:hideMark/>
          </w:tcPr>
          <w:p w14:paraId="2621C42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86EF77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4186E4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484AFF0B"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002728C2" w14:textId="77777777" w:rsidR="00181AD3" w:rsidRPr="006B0B0A" w:rsidRDefault="00181AD3" w:rsidP="00BE57C8">
            <w:pPr>
              <w:spacing w:after="0" w:line="240" w:lineRule="auto"/>
              <w:rPr>
                <w:color w:val="000000"/>
                <w:sz w:val="18"/>
                <w:szCs w:val="18"/>
                <w:lang w:eastAsia="en-NZ"/>
              </w:rPr>
            </w:pPr>
          </w:p>
        </w:tc>
      </w:tr>
      <w:tr w:rsidR="00181AD3" w:rsidRPr="006B0B0A" w14:paraId="65638F87" w14:textId="77777777" w:rsidTr="00BE57C8">
        <w:trPr>
          <w:trHeight w:val="20"/>
        </w:trPr>
        <w:tc>
          <w:tcPr>
            <w:tcW w:w="1008" w:type="dxa"/>
            <w:shd w:val="clear" w:color="auto" w:fill="auto"/>
            <w:noWrap/>
            <w:hideMark/>
          </w:tcPr>
          <w:p w14:paraId="0CAB924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D16E83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HR Database Software</w:t>
            </w:r>
          </w:p>
        </w:tc>
        <w:tc>
          <w:tcPr>
            <w:tcW w:w="1141" w:type="dxa"/>
            <w:shd w:val="clear" w:color="auto" w:fill="auto"/>
            <w:noWrap/>
            <w:vAlign w:val="center"/>
            <w:hideMark/>
          </w:tcPr>
          <w:p w14:paraId="62D636B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EFE6DB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78,000</w:t>
            </w:r>
          </w:p>
        </w:tc>
        <w:tc>
          <w:tcPr>
            <w:tcW w:w="1134" w:type="dxa"/>
            <w:shd w:val="clear" w:color="auto" w:fill="auto"/>
            <w:noWrap/>
            <w:vAlign w:val="center"/>
            <w:hideMark/>
          </w:tcPr>
          <w:p w14:paraId="11C4C24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45DF6B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3CF551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23FF9E62"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206BDF55" w14:textId="77777777" w:rsidR="00181AD3" w:rsidRPr="006B0B0A" w:rsidRDefault="00181AD3" w:rsidP="00BE57C8">
            <w:pPr>
              <w:spacing w:after="0" w:line="240" w:lineRule="auto"/>
              <w:rPr>
                <w:color w:val="000000"/>
                <w:sz w:val="18"/>
                <w:szCs w:val="18"/>
                <w:lang w:eastAsia="en-NZ"/>
              </w:rPr>
            </w:pPr>
          </w:p>
        </w:tc>
      </w:tr>
      <w:tr w:rsidR="00181AD3" w:rsidRPr="006B0B0A" w14:paraId="775FB678" w14:textId="77777777" w:rsidTr="00BE57C8">
        <w:trPr>
          <w:trHeight w:val="20"/>
        </w:trPr>
        <w:tc>
          <w:tcPr>
            <w:tcW w:w="1008" w:type="dxa"/>
            <w:shd w:val="clear" w:color="auto" w:fill="auto"/>
            <w:noWrap/>
            <w:hideMark/>
          </w:tcPr>
          <w:p w14:paraId="37860B1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C64D53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Performance Management Adviser</w:t>
            </w:r>
          </w:p>
        </w:tc>
        <w:tc>
          <w:tcPr>
            <w:tcW w:w="1141" w:type="dxa"/>
            <w:shd w:val="clear" w:color="auto" w:fill="auto"/>
            <w:noWrap/>
            <w:vAlign w:val="center"/>
            <w:hideMark/>
          </w:tcPr>
          <w:p w14:paraId="3354609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70B6BB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1C30D91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904763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B37B3F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vMerge/>
            <w:hideMark/>
          </w:tcPr>
          <w:p w14:paraId="02FF9CA4" w14:textId="77777777" w:rsidR="00181AD3" w:rsidRPr="006B0B0A" w:rsidRDefault="00181AD3" w:rsidP="00BE57C8">
            <w:pPr>
              <w:spacing w:after="0" w:line="240" w:lineRule="auto"/>
              <w:rPr>
                <w:color w:val="000000"/>
                <w:sz w:val="18"/>
                <w:szCs w:val="18"/>
                <w:lang w:eastAsia="en-NZ"/>
              </w:rPr>
            </w:pPr>
          </w:p>
        </w:tc>
        <w:tc>
          <w:tcPr>
            <w:tcW w:w="2268" w:type="dxa"/>
            <w:vMerge/>
            <w:vAlign w:val="center"/>
            <w:hideMark/>
          </w:tcPr>
          <w:p w14:paraId="232902DE" w14:textId="77777777" w:rsidR="00181AD3" w:rsidRPr="006B0B0A" w:rsidRDefault="00181AD3" w:rsidP="00BE57C8">
            <w:pPr>
              <w:spacing w:after="0" w:line="240" w:lineRule="auto"/>
              <w:rPr>
                <w:color w:val="000000"/>
                <w:sz w:val="18"/>
                <w:szCs w:val="18"/>
                <w:lang w:eastAsia="en-NZ"/>
              </w:rPr>
            </w:pPr>
          </w:p>
        </w:tc>
      </w:tr>
      <w:tr w:rsidR="00181AD3" w:rsidRPr="006B0B0A" w14:paraId="468D0011" w14:textId="77777777" w:rsidTr="00BE57C8">
        <w:trPr>
          <w:trHeight w:val="20"/>
        </w:trPr>
        <w:tc>
          <w:tcPr>
            <w:tcW w:w="1008" w:type="dxa"/>
            <w:shd w:val="clear" w:color="auto" w:fill="auto"/>
            <w:noWrap/>
            <w:hideMark/>
          </w:tcPr>
          <w:p w14:paraId="2DE816C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 </w:t>
            </w:r>
          </w:p>
        </w:tc>
        <w:tc>
          <w:tcPr>
            <w:tcW w:w="3200" w:type="dxa"/>
            <w:shd w:val="clear" w:color="auto" w:fill="auto"/>
            <w:noWrap/>
            <w:hideMark/>
          </w:tcPr>
          <w:p w14:paraId="3BBF7E0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Learning and Development Activities</w:t>
            </w:r>
          </w:p>
        </w:tc>
        <w:tc>
          <w:tcPr>
            <w:tcW w:w="1141" w:type="dxa"/>
            <w:shd w:val="clear" w:color="auto" w:fill="auto"/>
            <w:noWrap/>
            <w:vAlign w:val="center"/>
            <w:hideMark/>
          </w:tcPr>
          <w:p w14:paraId="3C52BE4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D5AFE5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200,000</w:t>
            </w:r>
          </w:p>
        </w:tc>
        <w:tc>
          <w:tcPr>
            <w:tcW w:w="1134" w:type="dxa"/>
            <w:shd w:val="clear" w:color="auto" w:fill="auto"/>
            <w:noWrap/>
            <w:vAlign w:val="center"/>
            <w:hideMark/>
          </w:tcPr>
          <w:p w14:paraId="36DD1BB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B7C09F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179,534</w:t>
            </w:r>
          </w:p>
        </w:tc>
        <w:tc>
          <w:tcPr>
            <w:tcW w:w="1124" w:type="dxa"/>
            <w:shd w:val="clear" w:color="auto" w:fill="auto"/>
            <w:noWrap/>
            <w:vAlign w:val="center"/>
            <w:hideMark/>
          </w:tcPr>
          <w:p w14:paraId="409789E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132,014</w:t>
            </w:r>
          </w:p>
        </w:tc>
        <w:tc>
          <w:tcPr>
            <w:tcW w:w="3129" w:type="dxa"/>
            <w:shd w:val="clear" w:color="auto" w:fill="auto"/>
            <w:hideMark/>
          </w:tcPr>
          <w:p w14:paraId="1091FA6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There does not appear to be a formal Training Plan although there is a database of training undertaken. </w:t>
            </w:r>
          </w:p>
        </w:tc>
        <w:tc>
          <w:tcPr>
            <w:tcW w:w="2268" w:type="dxa"/>
            <w:shd w:val="clear" w:color="auto" w:fill="auto"/>
            <w:noWrap/>
            <w:vAlign w:val="bottom"/>
            <w:hideMark/>
          </w:tcPr>
          <w:p w14:paraId="4B3EE2B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12FD1B6" w14:textId="77777777" w:rsidTr="00BE57C8">
        <w:trPr>
          <w:trHeight w:val="20"/>
        </w:trPr>
        <w:tc>
          <w:tcPr>
            <w:tcW w:w="1008" w:type="dxa"/>
            <w:shd w:val="clear" w:color="auto" w:fill="auto"/>
            <w:noWrap/>
            <w:hideMark/>
          </w:tcPr>
          <w:p w14:paraId="2A4867B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6C0962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International Adviser - Health and Safety</w:t>
            </w:r>
          </w:p>
        </w:tc>
        <w:tc>
          <w:tcPr>
            <w:tcW w:w="1141" w:type="dxa"/>
            <w:shd w:val="clear" w:color="auto" w:fill="auto"/>
            <w:noWrap/>
            <w:vAlign w:val="center"/>
            <w:hideMark/>
          </w:tcPr>
          <w:p w14:paraId="154D1D8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A718E5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016E8D7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935598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0</w:t>
            </w:r>
          </w:p>
        </w:tc>
        <w:tc>
          <w:tcPr>
            <w:tcW w:w="1124" w:type="dxa"/>
            <w:shd w:val="clear" w:color="auto" w:fill="auto"/>
            <w:noWrap/>
            <w:vAlign w:val="center"/>
            <w:hideMark/>
          </w:tcPr>
          <w:p w14:paraId="5EB9823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0DC45C7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Adviser does not appear to have been fielded</w:t>
            </w:r>
          </w:p>
        </w:tc>
        <w:tc>
          <w:tcPr>
            <w:tcW w:w="2268" w:type="dxa"/>
            <w:shd w:val="clear" w:color="auto" w:fill="auto"/>
            <w:noWrap/>
            <w:vAlign w:val="bottom"/>
            <w:hideMark/>
          </w:tcPr>
          <w:p w14:paraId="411C2E7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F89F820" w14:textId="77777777" w:rsidTr="00BE57C8">
        <w:trPr>
          <w:trHeight w:val="20"/>
        </w:trPr>
        <w:tc>
          <w:tcPr>
            <w:tcW w:w="1008" w:type="dxa"/>
            <w:shd w:val="clear" w:color="auto" w:fill="auto"/>
            <w:noWrap/>
            <w:hideMark/>
          </w:tcPr>
          <w:p w14:paraId="528D39B0"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11.2</w:t>
            </w:r>
          </w:p>
        </w:tc>
        <w:tc>
          <w:tcPr>
            <w:tcW w:w="3200" w:type="dxa"/>
            <w:shd w:val="clear" w:color="auto" w:fill="auto"/>
            <w:noWrap/>
            <w:hideMark/>
          </w:tcPr>
          <w:p w14:paraId="0EEAF779"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Strengthening Corporate Management</w:t>
            </w:r>
          </w:p>
        </w:tc>
        <w:tc>
          <w:tcPr>
            <w:tcW w:w="1141" w:type="dxa"/>
            <w:shd w:val="clear" w:color="auto" w:fill="auto"/>
            <w:noWrap/>
            <w:vAlign w:val="center"/>
            <w:hideMark/>
          </w:tcPr>
          <w:p w14:paraId="67248AF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7FF3ED6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xml:space="preserve"> </w:t>
            </w:r>
          </w:p>
        </w:tc>
        <w:tc>
          <w:tcPr>
            <w:tcW w:w="1134" w:type="dxa"/>
            <w:shd w:val="clear" w:color="auto" w:fill="auto"/>
            <w:noWrap/>
            <w:vAlign w:val="center"/>
            <w:hideMark/>
          </w:tcPr>
          <w:p w14:paraId="4BE8B50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974E6F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4CD786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69901B9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587F87C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A35B386" w14:textId="77777777" w:rsidTr="00BE57C8">
        <w:trPr>
          <w:trHeight w:val="20"/>
        </w:trPr>
        <w:tc>
          <w:tcPr>
            <w:tcW w:w="1008" w:type="dxa"/>
            <w:shd w:val="clear" w:color="auto" w:fill="auto"/>
            <w:noWrap/>
            <w:hideMark/>
          </w:tcPr>
          <w:p w14:paraId="5B00BAF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4612742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General Manager</w:t>
            </w:r>
          </w:p>
        </w:tc>
        <w:tc>
          <w:tcPr>
            <w:tcW w:w="1141" w:type="dxa"/>
            <w:shd w:val="clear" w:color="auto" w:fill="auto"/>
            <w:noWrap/>
            <w:vAlign w:val="center"/>
            <w:hideMark/>
          </w:tcPr>
          <w:p w14:paraId="4CFF83E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174903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FCE1AA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0E2204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DFC7F6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2AAFB2A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Has continued to be provided under the Program and currently contracted until June 2016</w:t>
            </w:r>
          </w:p>
        </w:tc>
        <w:tc>
          <w:tcPr>
            <w:tcW w:w="2268" w:type="dxa"/>
            <w:shd w:val="clear" w:color="auto" w:fill="auto"/>
            <w:noWrap/>
            <w:vAlign w:val="bottom"/>
            <w:hideMark/>
          </w:tcPr>
          <w:p w14:paraId="3165D1F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FDAE6E3" w14:textId="77777777" w:rsidTr="00BE57C8">
        <w:trPr>
          <w:trHeight w:val="20"/>
        </w:trPr>
        <w:tc>
          <w:tcPr>
            <w:tcW w:w="1008" w:type="dxa"/>
            <w:shd w:val="clear" w:color="auto" w:fill="auto"/>
            <w:noWrap/>
            <w:hideMark/>
          </w:tcPr>
          <w:p w14:paraId="6934E2A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CE7619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Finance/Administration Manager</w:t>
            </w:r>
          </w:p>
        </w:tc>
        <w:tc>
          <w:tcPr>
            <w:tcW w:w="1141" w:type="dxa"/>
            <w:shd w:val="clear" w:color="auto" w:fill="auto"/>
            <w:noWrap/>
            <w:vAlign w:val="center"/>
            <w:hideMark/>
          </w:tcPr>
          <w:p w14:paraId="439746D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D85FC1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825424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86D10B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B26EB4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7F1E23B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Has continued to be provided under the Program and currently contracted until June 2016</w:t>
            </w:r>
          </w:p>
        </w:tc>
        <w:tc>
          <w:tcPr>
            <w:tcW w:w="2268" w:type="dxa"/>
            <w:shd w:val="clear" w:color="auto" w:fill="auto"/>
            <w:noWrap/>
            <w:vAlign w:val="bottom"/>
            <w:hideMark/>
          </w:tcPr>
          <w:p w14:paraId="424C300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B9A0546" w14:textId="77777777" w:rsidTr="00BE57C8">
        <w:trPr>
          <w:trHeight w:val="20"/>
        </w:trPr>
        <w:tc>
          <w:tcPr>
            <w:tcW w:w="1008" w:type="dxa"/>
            <w:shd w:val="clear" w:color="auto" w:fill="auto"/>
            <w:noWrap/>
            <w:hideMark/>
          </w:tcPr>
          <w:p w14:paraId="0BD87FB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0BA83CA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Operations and Technical Manager</w:t>
            </w:r>
          </w:p>
        </w:tc>
        <w:tc>
          <w:tcPr>
            <w:tcW w:w="1141" w:type="dxa"/>
            <w:shd w:val="clear" w:color="auto" w:fill="auto"/>
            <w:noWrap/>
            <w:vAlign w:val="center"/>
            <w:hideMark/>
          </w:tcPr>
          <w:p w14:paraId="502C0D8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510416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BAAA15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BFCE0B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2F45E9A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2822955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Appointed for 7 months - extended to 9 months until August 2015</w:t>
            </w:r>
          </w:p>
        </w:tc>
        <w:tc>
          <w:tcPr>
            <w:tcW w:w="2268" w:type="dxa"/>
            <w:shd w:val="clear" w:color="auto" w:fill="auto"/>
            <w:noWrap/>
            <w:vAlign w:val="bottom"/>
            <w:hideMark/>
          </w:tcPr>
          <w:p w14:paraId="51C848B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63BCB126" w14:textId="77777777" w:rsidTr="00BE57C8">
        <w:trPr>
          <w:trHeight w:val="20"/>
        </w:trPr>
        <w:tc>
          <w:tcPr>
            <w:tcW w:w="1008" w:type="dxa"/>
            <w:shd w:val="clear" w:color="auto" w:fill="auto"/>
            <w:noWrap/>
            <w:hideMark/>
          </w:tcPr>
          <w:p w14:paraId="2EC906C7"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11.3</w:t>
            </w:r>
          </w:p>
        </w:tc>
        <w:tc>
          <w:tcPr>
            <w:tcW w:w="3200" w:type="dxa"/>
            <w:shd w:val="clear" w:color="auto" w:fill="auto"/>
            <w:noWrap/>
            <w:hideMark/>
          </w:tcPr>
          <w:p w14:paraId="7115CA8B"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Improving Organisational Effectiveness</w:t>
            </w:r>
          </w:p>
        </w:tc>
        <w:tc>
          <w:tcPr>
            <w:tcW w:w="1141" w:type="dxa"/>
            <w:shd w:val="clear" w:color="auto" w:fill="auto"/>
            <w:noWrap/>
            <w:vAlign w:val="center"/>
            <w:hideMark/>
          </w:tcPr>
          <w:p w14:paraId="6C0836E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22FE27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20FA3E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D0FC95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21AC8C3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38CD46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7CBC6D5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395C960" w14:textId="77777777" w:rsidTr="00BE57C8">
        <w:trPr>
          <w:trHeight w:val="20"/>
        </w:trPr>
        <w:tc>
          <w:tcPr>
            <w:tcW w:w="1008" w:type="dxa"/>
            <w:shd w:val="clear" w:color="auto" w:fill="auto"/>
            <w:noWrap/>
            <w:hideMark/>
          </w:tcPr>
          <w:p w14:paraId="58E4DE5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F3279C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IT Hardware</w:t>
            </w:r>
          </w:p>
        </w:tc>
        <w:tc>
          <w:tcPr>
            <w:tcW w:w="1141" w:type="dxa"/>
            <w:shd w:val="clear" w:color="auto" w:fill="auto"/>
            <w:vAlign w:val="center"/>
            <w:hideMark/>
          </w:tcPr>
          <w:p w14:paraId="2E76E71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15 new terminals, 10 network printers</w:t>
            </w:r>
          </w:p>
        </w:tc>
        <w:tc>
          <w:tcPr>
            <w:tcW w:w="1045" w:type="dxa"/>
            <w:shd w:val="clear" w:color="auto" w:fill="auto"/>
            <w:noWrap/>
            <w:vAlign w:val="center"/>
            <w:hideMark/>
          </w:tcPr>
          <w:p w14:paraId="228D2E3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57,000</w:t>
            </w:r>
          </w:p>
        </w:tc>
        <w:tc>
          <w:tcPr>
            <w:tcW w:w="1134" w:type="dxa"/>
            <w:vMerge w:val="restart"/>
            <w:shd w:val="clear" w:color="auto" w:fill="auto"/>
            <w:noWrap/>
            <w:vAlign w:val="center"/>
            <w:hideMark/>
          </w:tcPr>
          <w:p w14:paraId="1D338073" w14:textId="77777777" w:rsidR="00181AD3" w:rsidRPr="006B0B0A" w:rsidRDefault="00181AD3" w:rsidP="00BE57C8">
            <w:pPr>
              <w:spacing w:after="0" w:line="240" w:lineRule="auto"/>
              <w:jc w:val="center"/>
              <w:rPr>
                <w:color w:val="000000"/>
                <w:sz w:val="18"/>
                <w:szCs w:val="18"/>
                <w:lang w:eastAsia="en-NZ"/>
              </w:rPr>
            </w:pPr>
          </w:p>
        </w:tc>
        <w:tc>
          <w:tcPr>
            <w:tcW w:w="1134" w:type="dxa"/>
            <w:vMerge w:val="restart"/>
            <w:shd w:val="clear" w:color="auto" w:fill="auto"/>
            <w:noWrap/>
            <w:vAlign w:val="center"/>
            <w:hideMark/>
          </w:tcPr>
          <w:p w14:paraId="5BD38EA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367,105</w:t>
            </w:r>
          </w:p>
        </w:tc>
        <w:tc>
          <w:tcPr>
            <w:tcW w:w="1124" w:type="dxa"/>
            <w:vMerge w:val="restart"/>
            <w:shd w:val="clear" w:color="auto" w:fill="auto"/>
            <w:noWrap/>
            <w:vAlign w:val="center"/>
            <w:hideMark/>
          </w:tcPr>
          <w:p w14:paraId="5E144C1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149,613</w:t>
            </w:r>
          </w:p>
        </w:tc>
        <w:tc>
          <w:tcPr>
            <w:tcW w:w="3129" w:type="dxa"/>
            <w:shd w:val="clear" w:color="auto" w:fill="auto"/>
            <w:hideMark/>
          </w:tcPr>
          <w:p w14:paraId="4BB8341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9 printers, five computers and server procured.</w:t>
            </w:r>
          </w:p>
        </w:tc>
        <w:tc>
          <w:tcPr>
            <w:tcW w:w="2268" w:type="dxa"/>
            <w:shd w:val="clear" w:color="auto" w:fill="auto"/>
            <w:noWrap/>
            <w:vAlign w:val="bottom"/>
            <w:hideMark/>
          </w:tcPr>
          <w:p w14:paraId="74B374D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49FC03E" w14:textId="77777777" w:rsidTr="00BE57C8">
        <w:trPr>
          <w:trHeight w:val="20"/>
        </w:trPr>
        <w:tc>
          <w:tcPr>
            <w:tcW w:w="1008" w:type="dxa"/>
            <w:shd w:val="clear" w:color="auto" w:fill="auto"/>
            <w:noWrap/>
            <w:hideMark/>
          </w:tcPr>
          <w:p w14:paraId="445B322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799EF60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Software</w:t>
            </w:r>
          </w:p>
        </w:tc>
        <w:tc>
          <w:tcPr>
            <w:tcW w:w="1141" w:type="dxa"/>
            <w:shd w:val="clear" w:color="auto" w:fill="auto"/>
            <w:vAlign w:val="center"/>
            <w:hideMark/>
          </w:tcPr>
          <w:p w14:paraId="6252374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Billing software, network modelling, SCADA, GIS, HR/payroll, asset management,</w:t>
            </w:r>
            <w:r>
              <w:rPr>
                <w:color w:val="000000"/>
                <w:sz w:val="18"/>
                <w:szCs w:val="18"/>
                <w:lang w:eastAsia="en-NZ"/>
              </w:rPr>
              <w:t xml:space="preserve"> </w:t>
            </w:r>
            <w:r w:rsidRPr="006B0B0A">
              <w:rPr>
                <w:color w:val="000000"/>
                <w:sz w:val="18"/>
                <w:szCs w:val="18"/>
                <w:lang w:eastAsia="en-NZ"/>
              </w:rPr>
              <w:t>supply chain mgmt.</w:t>
            </w:r>
          </w:p>
        </w:tc>
        <w:tc>
          <w:tcPr>
            <w:tcW w:w="1045" w:type="dxa"/>
            <w:shd w:val="clear" w:color="auto" w:fill="auto"/>
            <w:noWrap/>
            <w:vAlign w:val="center"/>
            <w:hideMark/>
          </w:tcPr>
          <w:p w14:paraId="0720521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629,000</w:t>
            </w:r>
          </w:p>
        </w:tc>
        <w:tc>
          <w:tcPr>
            <w:tcW w:w="1134" w:type="dxa"/>
            <w:vMerge/>
            <w:vAlign w:val="center"/>
            <w:hideMark/>
          </w:tcPr>
          <w:p w14:paraId="7DF97937" w14:textId="77777777" w:rsidR="00181AD3" w:rsidRPr="006B0B0A" w:rsidRDefault="00181AD3" w:rsidP="00BE57C8">
            <w:pPr>
              <w:spacing w:after="0" w:line="240" w:lineRule="auto"/>
              <w:rPr>
                <w:color w:val="000000"/>
                <w:sz w:val="18"/>
                <w:szCs w:val="18"/>
                <w:lang w:eastAsia="en-NZ"/>
              </w:rPr>
            </w:pPr>
          </w:p>
        </w:tc>
        <w:tc>
          <w:tcPr>
            <w:tcW w:w="1134" w:type="dxa"/>
            <w:vMerge/>
            <w:vAlign w:val="center"/>
            <w:hideMark/>
          </w:tcPr>
          <w:p w14:paraId="66AC3CC6" w14:textId="77777777" w:rsidR="00181AD3" w:rsidRPr="006B0B0A" w:rsidRDefault="00181AD3" w:rsidP="00BE57C8">
            <w:pPr>
              <w:spacing w:after="0" w:line="240" w:lineRule="auto"/>
              <w:rPr>
                <w:color w:val="000000"/>
                <w:sz w:val="18"/>
                <w:szCs w:val="18"/>
                <w:lang w:eastAsia="en-NZ"/>
              </w:rPr>
            </w:pPr>
          </w:p>
        </w:tc>
        <w:tc>
          <w:tcPr>
            <w:tcW w:w="1124" w:type="dxa"/>
            <w:vMerge/>
            <w:vAlign w:val="center"/>
            <w:hideMark/>
          </w:tcPr>
          <w:p w14:paraId="78A45344" w14:textId="77777777" w:rsidR="00181AD3" w:rsidRPr="006B0B0A" w:rsidRDefault="00181AD3" w:rsidP="00BE57C8">
            <w:pPr>
              <w:spacing w:after="0" w:line="240" w:lineRule="auto"/>
              <w:rPr>
                <w:color w:val="000000"/>
                <w:sz w:val="18"/>
                <w:szCs w:val="18"/>
                <w:lang w:eastAsia="en-NZ"/>
              </w:rPr>
            </w:pPr>
          </w:p>
        </w:tc>
        <w:tc>
          <w:tcPr>
            <w:tcW w:w="3129" w:type="dxa"/>
            <w:shd w:val="clear" w:color="auto" w:fill="auto"/>
            <w:hideMark/>
          </w:tcPr>
          <w:p w14:paraId="531B41A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Limited asset management capability available. Approach taken to not use integrated system but to upgrade existing systems which works best for the current status of SW.</w:t>
            </w:r>
          </w:p>
        </w:tc>
        <w:tc>
          <w:tcPr>
            <w:tcW w:w="2268" w:type="dxa"/>
            <w:shd w:val="clear" w:color="auto" w:fill="auto"/>
            <w:hideMark/>
          </w:tcPr>
          <w:p w14:paraId="57B2778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Awaiting preparation by maintenance adviser for upgraded asset management software. Proprietary software will be procured.</w:t>
            </w:r>
          </w:p>
        </w:tc>
      </w:tr>
      <w:tr w:rsidR="00181AD3" w:rsidRPr="006B0B0A" w14:paraId="4D43AC03" w14:textId="77777777" w:rsidTr="00BE57C8">
        <w:trPr>
          <w:trHeight w:val="20"/>
        </w:trPr>
        <w:tc>
          <w:tcPr>
            <w:tcW w:w="1008" w:type="dxa"/>
            <w:shd w:val="clear" w:color="auto" w:fill="auto"/>
            <w:noWrap/>
            <w:hideMark/>
          </w:tcPr>
          <w:p w14:paraId="2F9EFAB1"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11.4</w:t>
            </w:r>
          </w:p>
        </w:tc>
        <w:tc>
          <w:tcPr>
            <w:tcW w:w="3200" w:type="dxa"/>
            <w:shd w:val="clear" w:color="auto" w:fill="auto"/>
            <w:noWrap/>
            <w:hideMark/>
          </w:tcPr>
          <w:p w14:paraId="01042EFF"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Assets and Facilities</w:t>
            </w:r>
          </w:p>
        </w:tc>
        <w:tc>
          <w:tcPr>
            <w:tcW w:w="1141" w:type="dxa"/>
            <w:shd w:val="clear" w:color="auto" w:fill="auto"/>
            <w:noWrap/>
            <w:vAlign w:val="center"/>
            <w:hideMark/>
          </w:tcPr>
          <w:p w14:paraId="188BA62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0731FB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B95394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6C3A0B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59F8E48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C64897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77FA02A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5E76CF7F" w14:textId="77777777" w:rsidTr="00BE57C8">
        <w:trPr>
          <w:trHeight w:val="20"/>
        </w:trPr>
        <w:tc>
          <w:tcPr>
            <w:tcW w:w="1008" w:type="dxa"/>
            <w:shd w:val="clear" w:color="auto" w:fill="auto"/>
            <w:noWrap/>
            <w:hideMark/>
          </w:tcPr>
          <w:p w14:paraId="382ABA8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A433CF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Vehicles</w:t>
            </w:r>
          </w:p>
        </w:tc>
        <w:tc>
          <w:tcPr>
            <w:tcW w:w="1141" w:type="dxa"/>
            <w:shd w:val="clear" w:color="auto" w:fill="auto"/>
            <w:noWrap/>
            <w:vAlign w:val="center"/>
            <w:hideMark/>
          </w:tcPr>
          <w:p w14:paraId="60869AB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6EAF15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670,000</w:t>
            </w:r>
          </w:p>
        </w:tc>
        <w:tc>
          <w:tcPr>
            <w:tcW w:w="1134" w:type="dxa"/>
            <w:shd w:val="clear" w:color="auto" w:fill="auto"/>
            <w:noWrap/>
            <w:vAlign w:val="center"/>
            <w:hideMark/>
          </w:tcPr>
          <w:p w14:paraId="1E38942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B98934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948,576</w:t>
            </w:r>
          </w:p>
        </w:tc>
        <w:tc>
          <w:tcPr>
            <w:tcW w:w="1124" w:type="dxa"/>
            <w:shd w:val="clear" w:color="auto" w:fill="auto"/>
            <w:noWrap/>
            <w:vAlign w:val="center"/>
            <w:hideMark/>
          </w:tcPr>
          <w:p w14:paraId="2757E9D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1,025,046</w:t>
            </w:r>
          </w:p>
        </w:tc>
        <w:tc>
          <w:tcPr>
            <w:tcW w:w="3129" w:type="dxa"/>
            <w:shd w:val="clear" w:color="auto" w:fill="auto"/>
            <w:hideMark/>
          </w:tcPr>
          <w:p w14:paraId="72B269C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19 vehicles have arrived. All vehicles have been delivered.</w:t>
            </w:r>
          </w:p>
        </w:tc>
        <w:tc>
          <w:tcPr>
            <w:tcW w:w="2268" w:type="dxa"/>
            <w:shd w:val="clear" w:color="auto" w:fill="auto"/>
            <w:noWrap/>
            <w:vAlign w:val="bottom"/>
            <w:hideMark/>
          </w:tcPr>
          <w:p w14:paraId="419078C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1171226" w14:textId="77777777" w:rsidTr="00BE57C8">
        <w:trPr>
          <w:trHeight w:val="20"/>
        </w:trPr>
        <w:tc>
          <w:tcPr>
            <w:tcW w:w="1008" w:type="dxa"/>
            <w:shd w:val="clear" w:color="auto" w:fill="auto"/>
            <w:noWrap/>
            <w:hideMark/>
          </w:tcPr>
          <w:p w14:paraId="0F032D7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07F4823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Office Accommodation</w:t>
            </w:r>
          </w:p>
        </w:tc>
        <w:tc>
          <w:tcPr>
            <w:tcW w:w="1141" w:type="dxa"/>
            <w:shd w:val="clear" w:color="auto" w:fill="auto"/>
            <w:noWrap/>
            <w:vAlign w:val="center"/>
            <w:hideMark/>
          </w:tcPr>
          <w:p w14:paraId="4A33D96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22866C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75,000</w:t>
            </w:r>
          </w:p>
        </w:tc>
        <w:tc>
          <w:tcPr>
            <w:tcW w:w="1134" w:type="dxa"/>
            <w:shd w:val="clear" w:color="auto" w:fill="auto"/>
            <w:noWrap/>
            <w:vAlign w:val="center"/>
            <w:hideMark/>
          </w:tcPr>
          <w:p w14:paraId="22FC1E7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D296ED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77,216</w:t>
            </w:r>
          </w:p>
        </w:tc>
        <w:tc>
          <w:tcPr>
            <w:tcW w:w="1124" w:type="dxa"/>
            <w:shd w:val="clear" w:color="auto" w:fill="auto"/>
            <w:noWrap/>
            <w:vAlign w:val="center"/>
            <w:hideMark/>
          </w:tcPr>
          <w:p w14:paraId="798EA72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88,644</w:t>
            </w:r>
          </w:p>
        </w:tc>
        <w:tc>
          <w:tcPr>
            <w:tcW w:w="3129" w:type="dxa"/>
            <w:shd w:val="clear" w:color="auto" w:fill="auto"/>
            <w:hideMark/>
          </w:tcPr>
          <w:p w14:paraId="70AFEDC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Project is virtually completed. </w:t>
            </w:r>
          </w:p>
        </w:tc>
        <w:tc>
          <w:tcPr>
            <w:tcW w:w="2268" w:type="dxa"/>
            <w:shd w:val="clear" w:color="auto" w:fill="auto"/>
            <w:vAlign w:val="bottom"/>
            <w:hideMark/>
          </w:tcPr>
          <w:p w14:paraId="28416D9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Operations depot still in poor condition.  Major </w:t>
            </w:r>
            <w:r w:rsidRPr="006B0B0A">
              <w:rPr>
                <w:color w:val="000000"/>
                <w:sz w:val="18"/>
                <w:szCs w:val="18"/>
                <w:lang w:eastAsia="en-NZ"/>
              </w:rPr>
              <w:lastRenderedPageBreak/>
              <w:t xml:space="preserve">effort now focussed on finding alternative location for stores after unplanned loss of stores </w:t>
            </w:r>
          </w:p>
        </w:tc>
      </w:tr>
      <w:tr w:rsidR="00181AD3" w:rsidRPr="006B0B0A" w14:paraId="4F1F599B" w14:textId="77777777" w:rsidTr="00BE57C8">
        <w:trPr>
          <w:trHeight w:val="20"/>
        </w:trPr>
        <w:tc>
          <w:tcPr>
            <w:tcW w:w="1008" w:type="dxa"/>
            <w:shd w:val="clear" w:color="auto" w:fill="auto"/>
            <w:noWrap/>
            <w:hideMark/>
          </w:tcPr>
          <w:p w14:paraId="1D202E2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 </w:t>
            </w:r>
          </w:p>
        </w:tc>
        <w:tc>
          <w:tcPr>
            <w:tcW w:w="3200" w:type="dxa"/>
            <w:shd w:val="clear" w:color="auto" w:fill="auto"/>
            <w:noWrap/>
            <w:hideMark/>
          </w:tcPr>
          <w:p w14:paraId="76972278"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11</w:t>
            </w:r>
          </w:p>
        </w:tc>
        <w:tc>
          <w:tcPr>
            <w:tcW w:w="1141" w:type="dxa"/>
            <w:shd w:val="clear" w:color="auto" w:fill="auto"/>
            <w:noWrap/>
            <w:vAlign w:val="center"/>
            <w:hideMark/>
          </w:tcPr>
          <w:p w14:paraId="1F125E6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EBCD610"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1,919,000</w:t>
            </w:r>
          </w:p>
        </w:tc>
        <w:tc>
          <w:tcPr>
            <w:tcW w:w="1134" w:type="dxa"/>
            <w:shd w:val="clear" w:color="auto" w:fill="auto"/>
            <w:noWrap/>
            <w:vAlign w:val="center"/>
            <w:hideMark/>
          </w:tcPr>
          <w:p w14:paraId="4D6CD73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638923AF"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1,572,431</w:t>
            </w:r>
          </w:p>
        </w:tc>
        <w:tc>
          <w:tcPr>
            <w:tcW w:w="1124" w:type="dxa"/>
            <w:shd w:val="clear" w:color="auto" w:fill="auto"/>
            <w:noWrap/>
            <w:vAlign w:val="center"/>
            <w:hideMark/>
          </w:tcPr>
          <w:p w14:paraId="1F2ACE16"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1,395,317</w:t>
            </w:r>
          </w:p>
        </w:tc>
        <w:tc>
          <w:tcPr>
            <w:tcW w:w="3129" w:type="dxa"/>
            <w:shd w:val="clear" w:color="auto" w:fill="auto"/>
            <w:noWrap/>
            <w:hideMark/>
          </w:tcPr>
          <w:p w14:paraId="4830EFD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186E00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B55ED41" w14:textId="77777777" w:rsidTr="00BE57C8">
        <w:trPr>
          <w:trHeight w:val="20"/>
        </w:trPr>
        <w:tc>
          <w:tcPr>
            <w:tcW w:w="1008" w:type="dxa"/>
            <w:shd w:val="clear" w:color="auto" w:fill="auto"/>
            <w:noWrap/>
            <w:hideMark/>
          </w:tcPr>
          <w:p w14:paraId="00BD6E52"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12</w:t>
            </w:r>
          </w:p>
        </w:tc>
        <w:tc>
          <w:tcPr>
            <w:tcW w:w="3200" w:type="dxa"/>
            <w:shd w:val="clear" w:color="auto" w:fill="auto"/>
            <w:noWrap/>
            <w:hideMark/>
          </w:tcPr>
          <w:p w14:paraId="7E3DFF8D"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Improved Strategic Planning</w:t>
            </w:r>
          </w:p>
        </w:tc>
        <w:tc>
          <w:tcPr>
            <w:tcW w:w="1141" w:type="dxa"/>
            <w:shd w:val="clear" w:color="auto" w:fill="auto"/>
            <w:noWrap/>
            <w:vAlign w:val="center"/>
            <w:hideMark/>
          </w:tcPr>
          <w:p w14:paraId="2B81B42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9E9A2E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31A294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DADF0E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4FF36D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DE7C90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0189D4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0192F4FE" w14:textId="77777777" w:rsidTr="00BE57C8">
        <w:trPr>
          <w:trHeight w:val="20"/>
        </w:trPr>
        <w:tc>
          <w:tcPr>
            <w:tcW w:w="1008" w:type="dxa"/>
            <w:shd w:val="clear" w:color="auto" w:fill="auto"/>
            <w:noWrap/>
            <w:hideMark/>
          </w:tcPr>
          <w:p w14:paraId="3A7BAF4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5FF338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Preparation of 5 Year Strategic Plan</w:t>
            </w:r>
          </w:p>
        </w:tc>
        <w:tc>
          <w:tcPr>
            <w:tcW w:w="1141" w:type="dxa"/>
            <w:shd w:val="clear" w:color="auto" w:fill="auto"/>
            <w:vAlign w:val="center"/>
            <w:hideMark/>
          </w:tcPr>
          <w:p w14:paraId="1A68462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Water Supply Consultant - 2 months</w:t>
            </w:r>
          </w:p>
        </w:tc>
        <w:tc>
          <w:tcPr>
            <w:tcW w:w="1045" w:type="dxa"/>
            <w:shd w:val="clear" w:color="auto" w:fill="auto"/>
            <w:noWrap/>
            <w:vAlign w:val="center"/>
            <w:hideMark/>
          </w:tcPr>
          <w:p w14:paraId="2D5892B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3A01986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6A406F0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4F1121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6F4F404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Tendering in progress. </w:t>
            </w:r>
          </w:p>
        </w:tc>
        <w:tc>
          <w:tcPr>
            <w:tcW w:w="2268" w:type="dxa"/>
            <w:shd w:val="clear" w:color="auto" w:fill="auto"/>
            <w:vAlign w:val="bottom"/>
            <w:hideMark/>
          </w:tcPr>
          <w:p w14:paraId="4E61309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Significantly higher budget provided</w:t>
            </w:r>
          </w:p>
        </w:tc>
      </w:tr>
      <w:tr w:rsidR="00181AD3" w:rsidRPr="006B0B0A" w14:paraId="444ADEC1" w14:textId="77777777" w:rsidTr="00BE57C8">
        <w:trPr>
          <w:trHeight w:val="20"/>
        </w:trPr>
        <w:tc>
          <w:tcPr>
            <w:tcW w:w="1008" w:type="dxa"/>
            <w:shd w:val="clear" w:color="auto" w:fill="auto"/>
            <w:noWrap/>
            <w:hideMark/>
          </w:tcPr>
          <w:p w14:paraId="7DCD74B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hideMark/>
          </w:tcPr>
          <w:p w14:paraId="4E034C0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Master Plan for Wastewater Collection and Treatment</w:t>
            </w:r>
          </w:p>
        </w:tc>
        <w:tc>
          <w:tcPr>
            <w:tcW w:w="1141" w:type="dxa"/>
            <w:shd w:val="clear" w:color="auto" w:fill="auto"/>
            <w:vAlign w:val="center"/>
            <w:hideMark/>
          </w:tcPr>
          <w:p w14:paraId="6F895D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Wastewater Consultant - 2 months</w:t>
            </w:r>
          </w:p>
        </w:tc>
        <w:tc>
          <w:tcPr>
            <w:tcW w:w="1045" w:type="dxa"/>
            <w:shd w:val="clear" w:color="auto" w:fill="auto"/>
            <w:noWrap/>
            <w:vAlign w:val="center"/>
            <w:hideMark/>
          </w:tcPr>
          <w:p w14:paraId="03CE016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60,000</w:t>
            </w:r>
          </w:p>
        </w:tc>
        <w:tc>
          <w:tcPr>
            <w:tcW w:w="1134" w:type="dxa"/>
            <w:shd w:val="clear" w:color="auto" w:fill="auto"/>
            <w:noWrap/>
            <w:vAlign w:val="center"/>
            <w:hideMark/>
          </w:tcPr>
          <w:p w14:paraId="1117EA5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D85C7FF"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0566AE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E504E5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Tendering in progress. </w:t>
            </w:r>
          </w:p>
        </w:tc>
        <w:tc>
          <w:tcPr>
            <w:tcW w:w="2268" w:type="dxa"/>
            <w:shd w:val="clear" w:color="auto" w:fill="auto"/>
            <w:vAlign w:val="bottom"/>
            <w:hideMark/>
          </w:tcPr>
          <w:p w14:paraId="29DAA72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Significantly higher budget provided</w:t>
            </w:r>
          </w:p>
        </w:tc>
      </w:tr>
      <w:tr w:rsidR="00181AD3" w:rsidRPr="006B0B0A" w14:paraId="0B123F0E" w14:textId="77777777" w:rsidTr="00BE57C8">
        <w:trPr>
          <w:trHeight w:val="20"/>
        </w:trPr>
        <w:tc>
          <w:tcPr>
            <w:tcW w:w="1008" w:type="dxa"/>
            <w:shd w:val="clear" w:color="auto" w:fill="auto"/>
            <w:noWrap/>
            <w:hideMark/>
          </w:tcPr>
          <w:p w14:paraId="07506151"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hideMark/>
          </w:tcPr>
          <w:p w14:paraId="31B213A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Institutional Arrangements and PPP Potential</w:t>
            </w:r>
          </w:p>
        </w:tc>
        <w:tc>
          <w:tcPr>
            <w:tcW w:w="1141" w:type="dxa"/>
            <w:shd w:val="clear" w:color="auto" w:fill="auto"/>
            <w:vAlign w:val="center"/>
            <w:hideMark/>
          </w:tcPr>
          <w:p w14:paraId="17A9B6F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Consultant - 1 month</w:t>
            </w:r>
          </w:p>
        </w:tc>
        <w:tc>
          <w:tcPr>
            <w:tcW w:w="1045" w:type="dxa"/>
            <w:shd w:val="clear" w:color="auto" w:fill="auto"/>
            <w:noWrap/>
            <w:vAlign w:val="center"/>
            <w:hideMark/>
          </w:tcPr>
          <w:p w14:paraId="64DD7A9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shd w:val="clear" w:color="auto" w:fill="auto"/>
            <w:noWrap/>
            <w:vAlign w:val="center"/>
            <w:hideMark/>
          </w:tcPr>
          <w:p w14:paraId="1FB42681"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D35F92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AA53D2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3027695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No record of this consultant input</w:t>
            </w:r>
          </w:p>
        </w:tc>
        <w:tc>
          <w:tcPr>
            <w:tcW w:w="2268" w:type="dxa"/>
            <w:shd w:val="clear" w:color="auto" w:fill="auto"/>
            <w:vAlign w:val="bottom"/>
            <w:hideMark/>
          </w:tcPr>
          <w:p w14:paraId="730111B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37AD691" w14:textId="77777777" w:rsidTr="00BE57C8">
        <w:trPr>
          <w:trHeight w:val="20"/>
        </w:trPr>
        <w:tc>
          <w:tcPr>
            <w:tcW w:w="1008" w:type="dxa"/>
            <w:shd w:val="clear" w:color="auto" w:fill="auto"/>
            <w:noWrap/>
            <w:hideMark/>
          </w:tcPr>
          <w:p w14:paraId="5609A2F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hideMark/>
          </w:tcPr>
          <w:p w14:paraId="4ABE0EB6"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Water Sector Regulation and Tariff Reform</w:t>
            </w:r>
          </w:p>
        </w:tc>
        <w:tc>
          <w:tcPr>
            <w:tcW w:w="1141" w:type="dxa"/>
            <w:shd w:val="clear" w:color="auto" w:fill="auto"/>
            <w:vAlign w:val="center"/>
            <w:hideMark/>
          </w:tcPr>
          <w:p w14:paraId="7847374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Consultant - 1 month</w:t>
            </w:r>
          </w:p>
        </w:tc>
        <w:tc>
          <w:tcPr>
            <w:tcW w:w="1045" w:type="dxa"/>
            <w:shd w:val="clear" w:color="auto" w:fill="auto"/>
            <w:noWrap/>
            <w:vAlign w:val="center"/>
            <w:hideMark/>
          </w:tcPr>
          <w:p w14:paraId="5F21875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30,000</w:t>
            </w:r>
          </w:p>
        </w:tc>
        <w:tc>
          <w:tcPr>
            <w:tcW w:w="1134" w:type="dxa"/>
            <w:shd w:val="clear" w:color="auto" w:fill="auto"/>
            <w:noWrap/>
            <w:vAlign w:val="center"/>
            <w:hideMark/>
          </w:tcPr>
          <w:p w14:paraId="24523D4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205550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219C135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B9F892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Tendering in progress. </w:t>
            </w:r>
          </w:p>
        </w:tc>
        <w:tc>
          <w:tcPr>
            <w:tcW w:w="2268" w:type="dxa"/>
            <w:shd w:val="clear" w:color="auto" w:fill="auto"/>
            <w:vAlign w:val="bottom"/>
            <w:hideMark/>
          </w:tcPr>
          <w:p w14:paraId="325CF6F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Significantly higher budget provided</w:t>
            </w:r>
          </w:p>
        </w:tc>
      </w:tr>
      <w:tr w:rsidR="00181AD3" w:rsidRPr="006B0B0A" w14:paraId="4609A371" w14:textId="77777777" w:rsidTr="00BE57C8">
        <w:trPr>
          <w:trHeight w:val="20"/>
        </w:trPr>
        <w:tc>
          <w:tcPr>
            <w:tcW w:w="1008" w:type="dxa"/>
            <w:shd w:val="clear" w:color="auto" w:fill="auto"/>
            <w:noWrap/>
            <w:hideMark/>
          </w:tcPr>
          <w:p w14:paraId="0A86500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DB987E4"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Sub-Total for Item 12</w:t>
            </w:r>
          </w:p>
        </w:tc>
        <w:tc>
          <w:tcPr>
            <w:tcW w:w="1141" w:type="dxa"/>
            <w:shd w:val="clear" w:color="auto" w:fill="auto"/>
            <w:noWrap/>
            <w:vAlign w:val="center"/>
            <w:hideMark/>
          </w:tcPr>
          <w:p w14:paraId="319F242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139A17D"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180,000</w:t>
            </w:r>
          </w:p>
        </w:tc>
        <w:tc>
          <w:tcPr>
            <w:tcW w:w="1134" w:type="dxa"/>
            <w:shd w:val="clear" w:color="auto" w:fill="auto"/>
            <w:noWrap/>
            <w:vAlign w:val="center"/>
            <w:hideMark/>
          </w:tcPr>
          <w:p w14:paraId="5AF50549"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 </w:t>
            </w:r>
          </w:p>
        </w:tc>
        <w:tc>
          <w:tcPr>
            <w:tcW w:w="1134" w:type="dxa"/>
            <w:shd w:val="clear" w:color="auto" w:fill="auto"/>
            <w:noWrap/>
            <w:vAlign w:val="center"/>
            <w:hideMark/>
          </w:tcPr>
          <w:p w14:paraId="04D8A94D"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1124" w:type="dxa"/>
            <w:shd w:val="clear" w:color="auto" w:fill="auto"/>
            <w:noWrap/>
            <w:vAlign w:val="center"/>
            <w:hideMark/>
          </w:tcPr>
          <w:p w14:paraId="06E3920B" w14:textId="77777777" w:rsidR="00181AD3" w:rsidRPr="006B0B0A" w:rsidRDefault="00181AD3" w:rsidP="00BE57C8">
            <w:pPr>
              <w:spacing w:after="0" w:line="240" w:lineRule="auto"/>
              <w:jc w:val="center"/>
              <w:rPr>
                <w:b/>
                <w:bCs/>
                <w:color w:val="000000"/>
                <w:sz w:val="18"/>
                <w:szCs w:val="18"/>
                <w:lang w:eastAsia="en-NZ"/>
              </w:rPr>
            </w:pPr>
            <w:r w:rsidRPr="006B0B0A">
              <w:rPr>
                <w:b/>
                <w:bCs/>
                <w:color w:val="000000"/>
                <w:sz w:val="18"/>
                <w:szCs w:val="18"/>
                <w:lang w:eastAsia="en-NZ"/>
              </w:rPr>
              <w:t>0</w:t>
            </w:r>
          </w:p>
        </w:tc>
        <w:tc>
          <w:tcPr>
            <w:tcW w:w="3129" w:type="dxa"/>
            <w:shd w:val="clear" w:color="auto" w:fill="auto"/>
            <w:noWrap/>
            <w:hideMark/>
          </w:tcPr>
          <w:p w14:paraId="636663C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6A0E6A1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23D6E9A4" w14:textId="77777777" w:rsidTr="00BE57C8">
        <w:trPr>
          <w:trHeight w:val="20"/>
        </w:trPr>
        <w:tc>
          <w:tcPr>
            <w:tcW w:w="1008" w:type="dxa"/>
            <w:shd w:val="clear" w:color="auto" w:fill="auto"/>
            <w:noWrap/>
            <w:hideMark/>
          </w:tcPr>
          <w:p w14:paraId="7ACFF5C5"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13</w:t>
            </w:r>
          </w:p>
        </w:tc>
        <w:tc>
          <w:tcPr>
            <w:tcW w:w="3200" w:type="dxa"/>
            <w:shd w:val="clear" w:color="auto" w:fill="auto"/>
            <w:noWrap/>
            <w:hideMark/>
          </w:tcPr>
          <w:p w14:paraId="171490F6"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Cross-Cutting and Safeguard Issues</w:t>
            </w:r>
          </w:p>
        </w:tc>
        <w:tc>
          <w:tcPr>
            <w:tcW w:w="1141" w:type="dxa"/>
            <w:shd w:val="clear" w:color="auto" w:fill="auto"/>
            <w:noWrap/>
            <w:vAlign w:val="center"/>
            <w:hideMark/>
          </w:tcPr>
          <w:p w14:paraId="0B09F3B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17D7EF8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20DCAE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62E52E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6A2FC80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4619997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5F21842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436253D" w14:textId="77777777" w:rsidTr="00BE57C8">
        <w:trPr>
          <w:trHeight w:val="20"/>
        </w:trPr>
        <w:tc>
          <w:tcPr>
            <w:tcW w:w="1008" w:type="dxa"/>
            <w:shd w:val="clear" w:color="auto" w:fill="auto"/>
            <w:noWrap/>
            <w:hideMark/>
          </w:tcPr>
          <w:p w14:paraId="06CDF18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5B77D5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Gender</w:t>
            </w:r>
          </w:p>
        </w:tc>
        <w:tc>
          <w:tcPr>
            <w:tcW w:w="1141" w:type="dxa"/>
            <w:shd w:val="clear" w:color="auto" w:fill="auto"/>
            <w:noWrap/>
            <w:vAlign w:val="center"/>
            <w:hideMark/>
          </w:tcPr>
          <w:p w14:paraId="0B4F6BE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00EAA6A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509121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0806DA24"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09EB4C5B"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22DCF82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Water awareness programs delivered to two women’s groups</w:t>
            </w:r>
          </w:p>
        </w:tc>
        <w:tc>
          <w:tcPr>
            <w:tcW w:w="2268" w:type="dxa"/>
            <w:shd w:val="clear" w:color="auto" w:fill="auto"/>
            <w:noWrap/>
            <w:vAlign w:val="bottom"/>
            <w:hideMark/>
          </w:tcPr>
          <w:p w14:paraId="1228D9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F029A1D" w14:textId="77777777" w:rsidTr="00BE57C8">
        <w:trPr>
          <w:trHeight w:val="20"/>
        </w:trPr>
        <w:tc>
          <w:tcPr>
            <w:tcW w:w="1008" w:type="dxa"/>
            <w:shd w:val="clear" w:color="auto" w:fill="auto"/>
            <w:noWrap/>
            <w:hideMark/>
          </w:tcPr>
          <w:p w14:paraId="6C3F7F7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5B0A883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Environment</w:t>
            </w:r>
          </w:p>
        </w:tc>
        <w:tc>
          <w:tcPr>
            <w:tcW w:w="1141" w:type="dxa"/>
            <w:shd w:val="clear" w:color="auto" w:fill="auto"/>
            <w:noWrap/>
            <w:vAlign w:val="center"/>
            <w:hideMark/>
          </w:tcPr>
          <w:p w14:paraId="3E18B3F8"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54BD12F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748CD6A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A13D7D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64BAFF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60AA694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04968F4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1FE5DAB3" w14:textId="77777777" w:rsidTr="00BE57C8">
        <w:trPr>
          <w:trHeight w:val="20"/>
        </w:trPr>
        <w:tc>
          <w:tcPr>
            <w:tcW w:w="1008" w:type="dxa"/>
            <w:shd w:val="clear" w:color="auto" w:fill="auto"/>
            <w:noWrap/>
            <w:hideMark/>
          </w:tcPr>
          <w:p w14:paraId="41DF1AC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2713591A"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Access to Water for the Disadvantaged</w:t>
            </w:r>
          </w:p>
        </w:tc>
        <w:tc>
          <w:tcPr>
            <w:tcW w:w="1141" w:type="dxa"/>
            <w:shd w:val="clear" w:color="auto" w:fill="auto"/>
            <w:noWrap/>
            <w:vAlign w:val="center"/>
            <w:hideMark/>
          </w:tcPr>
          <w:p w14:paraId="2C4E0A3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48EBD785"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1AB7F1D8"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1DC5ADD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3AB81D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25A15320"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2268" w:type="dxa"/>
            <w:shd w:val="clear" w:color="auto" w:fill="auto"/>
            <w:noWrap/>
            <w:vAlign w:val="bottom"/>
            <w:hideMark/>
          </w:tcPr>
          <w:p w14:paraId="38FEBEA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C77BD0F" w14:textId="77777777" w:rsidTr="00BE57C8">
        <w:trPr>
          <w:trHeight w:val="20"/>
        </w:trPr>
        <w:tc>
          <w:tcPr>
            <w:tcW w:w="1008" w:type="dxa"/>
            <w:shd w:val="clear" w:color="auto" w:fill="auto"/>
            <w:noWrap/>
            <w:hideMark/>
          </w:tcPr>
          <w:p w14:paraId="5003D56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E1F8C9E"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Land Use Issues</w:t>
            </w:r>
          </w:p>
        </w:tc>
        <w:tc>
          <w:tcPr>
            <w:tcW w:w="1141" w:type="dxa"/>
            <w:shd w:val="clear" w:color="auto" w:fill="auto"/>
            <w:noWrap/>
            <w:vAlign w:val="center"/>
            <w:hideMark/>
          </w:tcPr>
          <w:p w14:paraId="5B6250F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5C88C63"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59BE9372"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7F2B6250"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3E679877"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2750DB62" w14:textId="77777777" w:rsidR="00181AD3" w:rsidRPr="006B0B0A" w:rsidRDefault="00181AD3" w:rsidP="00BE57C8">
            <w:pPr>
              <w:spacing w:after="0" w:line="240" w:lineRule="auto"/>
              <w:rPr>
                <w:color w:val="000000"/>
                <w:sz w:val="18"/>
                <w:szCs w:val="18"/>
                <w:lang w:eastAsia="en-NZ"/>
              </w:rPr>
            </w:pPr>
          </w:p>
        </w:tc>
        <w:tc>
          <w:tcPr>
            <w:tcW w:w="2268" w:type="dxa"/>
            <w:shd w:val="clear" w:color="auto" w:fill="auto"/>
            <w:noWrap/>
            <w:vAlign w:val="bottom"/>
            <w:hideMark/>
          </w:tcPr>
          <w:p w14:paraId="63FD036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 </w:t>
            </w:r>
          </w:p>
        </w:tc>
      </w:tr>
      <w:tr w:rsidR="00181AD3" w:rsidRPr="006B0B0A" w14:paraId="7FB62C87" w14:textId="77777777" w:rsidTr="00BE57C8">
        <w:trPr>
          <w:trHeight w:val="20"/>
        </w:trPr>
        <w:tc>
          <w:tcPr>
            <w:tcW w:w="1008" w:type="dxa"/>
            <w:shd w:val="clear" w:color="auto" w:fill="auto"/>
            <w:noWrap/>
            <w:hideMark/>
          </w:tcPr>
          <w:p w14:paraId="189CEF53"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14</w:t>
            </w:r>
          </w:p>
        </w:tc>
        <w:tc>
          <w:tcPr>
            <w:tcW w:w="3200" w:type="dxa"/>
            <w:shd w:val="clear" w:color="auto" w:fill="auto"/>
            <w:noWrap/>
            <w:hideMark/>
          </w:tcPr>
          <w:p w14:paraId="5795F4D4"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Risk Management</w:t>
            </w:r>
          </w:p>
        </w:tc>
        <w:tc>
          <w:tcPr>
            <w:tcW w:w="1141" w:type="dxa"/>
            <w:shd w:val="clear" w:color="auto" w:fill="auto"/>
            <w:noWrap/>
            <w:vAlign w:val="center"/>
            <w:hideMark/>
          </w:tcPr>
          <w:p w14:paraId="2EDE534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222D20E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38544FE1"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15893E49"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4D273E4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758DEA42"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Ongoing</w:t>
            </w:r>
          </w:p>
        </w:tc>
        <w:tc>
          <w:tcPr>
            <w:tcW w:w="2268" w:type="dxa"/>
            <w:shd w:val="clear" w:color="auto" w:fill="auto"/>
            <w:noWrap/>
            <w:vAlign w:val="bottom"/>
            <w:hideMark/>
          </w:tcPr>
          <w:p w14:paraId="6060E175"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49CBB986" w14:textId="77777777" w:rsidTr="00BE57C8">
        <w:trPr>
          <w:trHeight w:val="20"/>
        </w:trPr>
        <w:tc>
          <w:tcPr>
            <w:tcW w:w="1008" w:type="dxa"/>
            <w:shd w:val="clear" w:color="auto" w:fill="auto"/>
            <w:noWrap/>
            <w:hideMark/>
          </w:tcPr>
          <w:p w14:paraId="0AD72DE2"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15</w:t>
            </w:r>
          </w:p>
        </w:tc>
        <w:tc>
          <w:tcPr>
            <w:tcW w:w="3200" w:type="dxa"/>
            <w:shd w:val="clear" w:color="auto" w:fill="auto"/>
            <w:noWrap/>
            <w:hideMark/>
          </w:tcPr>
          <w:p w14:paraId="7C07EDDF"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Monitoring and Evaluation</w:t>
            </w:r>
          </w:p>
        </w:tc>
        <w:tc>
          <w:tcPr>
            <w:tcW w:w="1141" w:type="dxa"/>
            <w:shd w:val="clear" w:color="auto" w:fill="auto"/>
            <w:noWrap/>
            <w:vAlign w:val="center"/>
            <w:hideMark/>
          </w:tcPr>
          <w:p w14:paraId="573D7BB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1045" w:type="dxa"/>
            <w:shd w:val="clear" w:color="auto" w:fill="auto"/>
            <w:noWrap/>
            <w:vAlign w:val="center"/>
            <w:hideMark/>
          </w:tcPr>
          <w:p w14:paraId="6CC1326A"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center"/>
            <w:hideMark/>
          </w:tcPr>
          <w:p w14:paraId="4AB7F927" w14:textId="77777777" w:rsidR="00181AD3" w:rsidRPr="006B0B0A" w:rsidRDefault="00181AD3" w:rsidP="00BE57C8">
            <w:pPr>
              <w:spacing w:after="0" w:line="240" w:lineRule="auto"/>
              <w:jc w:val="center"/>
              <w:rPr>
                <w:color w:val="000000"/>
                <w:sz w:val="18"/>
                <w:szCs w:val="18"/>
                <w:lang w:eastAsia="en-NZ"/>
              </w:rPr>
            </w:pPr>
          </w:p>
        </w:tc>
        <w:tc>
          <w:tcPr>
            <w:tcW w:w="1134" w:type="dxa"/>
            <w:shd w:val="clear" w:color="auto" w:fill="auto"/>
            <w:noWrap/>
            <w:vAlign w:val="center"/>
            <w:hideMark/>
          </w:tcPr>
          <w:p w14:paraId="0EDE35B2"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vAlign w:val="center"/>
            <w:hideMark/>
          </w:tcPr>
          <w:p w14:paraId="7DBEB00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1774BA04" w14:textId="77777777" w:rsidR="00181AD3" w:rsidRPr="006B0B0A" w:rsidRDefault="00181AD3" w:rsidP="00BE57C8">
            <w:pPr>
              <w:spacing w:after="0" w:line="240" w:lineRule="auto"/>
              <w:rPr>
                <w:color w:val="000000"/>
                <w:sz w:val="18"/>
                <w:szCs w:val="18"/>
                <w:lang w:eastAsia="en-NZ"/>
              </w:rPr>
            </w:pPr>
          </w:p>
        </w:tc>
        <w:tc>
          <w:tcPr>
            <w:tcW w:w="2268" w:type="dxa"/>
            <w:shd w:val="clear" w:color="auto" w:fill="auto"/>
            <w:noWrap/>
            <w:vAlign w:val="bottom"/>
            <w:hideMark/>
          </w:tcPr>
          <w:p w14:paraId="7410F674"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3C68EABE" w14:textId="77777777" w:rsidTr="00BE57C8">
        <w:trPr>
          <w:trHeight w:val="20"/>
        </w:trPr>
        <w:tc>
          <w:tcPr>
            <w:tcW w:w="1008" w:type="dxa"/>
            <w:shd w:val="clear" w:color="auto" w:fill="auto"/>
            <w:noWrap/>
            <w:hideMark/>
          </w:tcPr>
          <w:p w14:paraId="27992D69"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3A6FE5E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Programme Management</w:t>
            </w:r>
          </w:p>
        </w:tc>
        <w:tc>
          <w:tcPr>
            <w:tcW w:w="1141" w:type="dxa"/>
            <w:shd w:val="clear" w:color="auto" w:fill="auto"/>
            <w:vAlign w:val="center"/>
            <w:hideMark/>
          </w:tcPr>
          <w:p w14:paraId="71D43ADD"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Programme Steering Committee, Evaluation Mission, Procurement Advisor, Audit</w:t>
            </w:r>
          </w:p>
        </w:tc>
        <w:tc>
          <w:tcPr>
            <w:tcW w:w="1045" w:type="dxa"/>
            <w:shd w:val="clear" w:color="auto" w:fill="auto"/>
            <w:noWrap/>
            <w:hideMark/>
          </w:tcPr>
          <w:p w14:paraId="75E32FF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hideMark/>
          </w:tcPr>
          <w:p w14:paraId="27B3DDF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hideMark/>
          </w:tcPr>
          <w:p w14:paraId="3A5802DC"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hideMark/>
          </w:tcPr>
          <w:p w14:paraId="5D72847E"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hideMark/>
          </w:tcPr>
          <w:p w14:paraId="0D51B60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Ongoing. </w:t>
            </w:r>
          </w:p>
        </w:tc>
        <w:tc>
          <w:tcPr>
            <w:tcW w:w="2268" w:type="dxa"/>
            <w:shd w:val="clear" w:color="auto" w:fill="auto"/>
            <w:noWrap/>
            <w:vAlign w:val="bottom"/>
            <w:hideMark/>
          </w:tcPr>
          <w:p w14:paraId="12C2209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r>
      <w:tr w:rsidR="00181AD3" w:rsidRPr="006B0B0A" w14:paraId="7F6A8FC8" w14:textId="77777777" w:rsidTr="00BE57C8">
        <w:trPr>
          <w:trHeight w:val="20"/>
        </w:trPr>
        <w:tc>
          <w:tcPr>
            <w:tcW w:w="1008" w:type="dxa"/>
            <w:shd w:val="clear" w:color="auto" w:fill="auto"/>
            <w:noWrap/>
            <w:hideMark/>
          </w:tcPr>
          <w:p w14:paraId="2002431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lastRenderedPageBreak/>
              <w:t> </w:t>
            </w:r>
          </w:p>
        </w:tc>
        <w:tc>
          <w:tcPr>
            <w:tcW w:w="3200" w:type="dxa"/>
            <w:shd w:val="clear" w:color="auto" w:fill="auto"/>
            <w:noWrap/>
            <w:hideMark/>
          </w:tcPr>
          <w:p w14:paraId="11D5329C"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Programme M&amp;E Framework</w:t>
            </w:r>
          </w:p>
        </w:tc>
        <w:tc>
          <w:tcPr>
            <w:tcW w:w="1141" w:type="dxa"/>
            <w:shd w:val="clear" w:color="auto" w:fill="auto"/>
            <w:vAlign w:val="center"/>
            <w:hideMark/>
          </w:tcPr>
          <w:p w14:paraId="3B034F4F"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Development Outcomes, Objectives, Outcomes, Activities</w:t>
            </w:r>
          </w:p>
        </w:tc>
        <w:tc>
          <w:tcPr>
            <w:tcW w:w="1045" w:type="dxa"/>
            <w:shd w:val="clear" w:color="auto" w:fill="auto"/>
            <w:noWrap/>
            <w:hideMark/>
          </w:tcPr>
          <w:p w14:paraId="09064BDD"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34" w:type="dxa"/>
            <w:shd w:val="clear" w:color="auto" w:fill="auto"/>
            <w:noWrap/>
            <w:vAlign w:val="bottom"/>
            <w:hideMark/>
          </w:tcPr>
          <w:p w14:paraId="51991FAC" w14:textId="77777777" w:rsidR="00181AD3" w:rsidRPr="006B0B0A" w:rsidRDefault="00181AD3" w:rsidP="00BE57C8">
            <w:pPr>
              <w:spacing w:after="0" w:line="240" w:lineRule="auto"/>
              <w:rPr>
                <w:b/>
                <w:bCs/>
                <w:color w:val="000000"/>
                <w:sz w:val="18"/>
                <w:szCs w:val="18"/>
                <w:lang w:eastAsia="en-NZ"/>
              </w:rPr>
            </w:pPr>
          </w:p>
        </w:tc>
        <w:tc>
          <w:tcPr>
            <w:tcW w:w="1134" w:type="dxa"/>
            <w:shd w:val="clear" w:color="auto" w:fill="auto"/>
            <w:noWrap/>
            <w:hideMark/>
          </w:tcPr>
          <w:p w14:paraId="7A60E0C6"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1124" w:type="dxa"/>
            <w:shd w:val="clear" w:color="auto" w:fill="auto"/>
            <w:noWrap/>
            <w:hideMark/>
          </w:tcPr>
          <w:p w14:paraId="719BFD38" w14:textId="77777777" w:rsidR="00181AD3" w:rsidRPr="006B0B0A" w:rsidRDefault="00181AD3" w:rsidP="00BE57C8">
            <w:pPr>
              <w:spacing w:after="0" w:line="240" w:lineRule="auto"/>
              <w:jc w:val="center"/>
              <w:rPr>
                <w:color w:val="000000"/>
                <w:sz w:val="18"/>
                <w:szCs w:val="18"/>
                <w:lang w:eastAsia="en-NZ"/>
              </w:rPr>
            </w:pPr>
            <w:r w:rsidRPr="006B0B0A">
              <w:rPr>
                <w:color w:val="000000"/>
                <w:sz w:val="18"/>
                <w:szCs w:val="18"/>
                <w:lang w:eastAsia="en-NZ"/>
              </w:rPr>
              <w:t> </w:t>
            </w:r>
          </w:p>
        </w:tc>
        <w:tc>
          <w:tcPr>
            <w:tcW w:w="3129" w:type="dxa"/>
            <w:shd w:val="clear" w:color="auto" w:fill="auto"/>
            <w:noWrap/>
            <w:hideMark/>
          </w:tcPr>
          <w:p w14:paraId="084E3FC3"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xml:space="preserve">Ongoing. </w:t>
            </w:r>
          </w:p>
        </w:tc>
        <w:tc>
          <w:tcPr>
            <w:tcW w:w="2268" w:type="dxa"/>
            <w:shd w:val="clear" w:color="auto" w:fill="auto"/>
            <w:hideMark/>
          </w:tcPr>
          <w:p w14:paraId="3CF0DD67"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Some changes needed to M&amp;E framework.</w:t>
            </w:r>
          </w:p>
        </w:tc>
      </w:tr>
      <w:tr w:rsidR="00181AD3" w:rsidRPr="006B0B0A" w14:paraId="49B1F477" w14:textId="77777777" w:rsidTr="00BE57C8">
        <w:trPr>
          <w:trHeight w:val="20"/>
        </w:trPr>
        <w:tc>
          <w:tcPr>
            <w:tcW w:w="1008" w:type="dxa"/>
            <w:shd w:val="clear" w:color="auto" w:fill="auto"/>
            <w:noWrap/>
            <w:hideMark/>
          </w:tcPr>
          <w:p w14:paraId="361AE3EB" w14:textId="77777777" w:rsidR="00181AD3" w:rsidRPr="006B0B0A" w:rsidRDefault="00181AD3" w:rsidP="00BE57C8">
            <w:pPr>
              <w:spacing w:after="0" w:line="240" w:lineRule="auto"/>
              <w:rPr>
                <w:color w:val="000000"/>
                <w:sz w:val="18"/>
                <w:szCs w:val="18"/>
                <w:lang w:eastAsia="en-NZ"/>
              </w:rPr>
            </w:pPr>
            <w:r w:rsidRPr="006B0B0A">
              <w:rPr>
                <w:color w:val="000000"/>
                <w:sz w:val="18"/>
                <w:szCs w:val="18"/>
                <w:lang w:eastAsia="en-NZ"/>
              </w:rPr>
              <w:t> </w:t>
            </w:r>
          </w:p>
        </w:tc>
        <w:tc>
          <w:tcPr>
            <w:tcW w:w="3200" w:type="dxa"/>
            <w:shd w:val="clear" w:color="auto" w:fill="auto"/>
            <w:noWrap/>
            <w:hideMark/>
          </w:tcPr>
          <w:p w14:paraId="40A67661" w14:textId="77777777" w:rsidR="00181AD3" w:rsidRPr="006B0B0A" w:rsidRDefault="00181AD3" w:rsidP="00BE57C8">
            <w:pPr>
              <w:spacing w:after="0" w:line="240" w:lineRule="auto"/>
              <w:rPr>
                <w:b/>
                <w:bCs/>
                <w:color w:val="000000"/>
                <w:sz w:val="18"/>
                <w:szCs w:val="18"/>
                <w:lang w:eastAsia="en-NZ"/>
              </w:rPr>
            </w:pPr>
            <w:r w:rsidRPr="006B0B0A">
              <w:rPr>
                <w:b/>
                <w:bCs/>
                <w:color w:val="000000"/>
                <w:sz w:val="18"/>
                <w:szCs w:val="18"/>
                <w:lang w:eastAsia="en-NZ"/>
              </w:rPr>
              <w:t>TOTAL</w:t>
            </w:r>
          </w:p>
        </w:tc>
        <w:tc>
          <w:tcPr>
            <w:tcW w:w="1141" w:type="dxa"/>
            <w:shd w:val="clear" w:color="auto" w:fill="auto"/>
            <w:noWrap/>
            <w:vAlign w:val="bottom"/>
            <w:hideMark/>
          </w:tcPr>
          <w:p w14:paraId="4D183011" w14:textId="77777777" w:rsidR="00181AD3" w:rsidRPr="006B0B0A" w:rsidRDefault="00181AD3" w:rsidP="00BE57C8">
            <w:pPr>
              <w:spacing w:after="0" w:line="240" w:lineRule="auto"/>
              <w:rPr>
                <w:color w:val="000000"/>
                <w:sz w:val="18"/>
                <w:szCs w:val="18"/>
                <w:lang w:eastAsia="en-NZ"/>
              </w:rPr>
            </w:pPr>
          </w:p>
        </w:tc>
        <w:tc>
          <w:tcPr>
            <w:tcW w:w="1045" w:type="dxa"/>
            <w:shd w:val="clear" w:color="auto" w:fill="auto"/>
            <w:noWrap/>
            <w:vAlign w:val="bottom"/>
            <w:hideMark/>
          </w:tcPr>
          <w:p w14:paraId="33F8EB4C" w14:textId="77777777" w:rsidR="00181AD3" w:rsidRPr="006B0B0A" w:rsidRDefault="00181AD3" w:rsidP="00BE57C8">
            <w:pPr>
              <w:spacing w:after="0" w:line="240" w:lineRule="auto"/>
              <w:jc w:val="right"/>
              <w:rPr>
                <w:b/>
                <w:bCs/>
                <w:color w:val="000000"/>
                <w:sz w:val="18"/>
                <w:szCs w:val="18"/>
                <w:lang w:eastAsia="en-NZ"/>
              </w:rPr>
            </w:pPr>
            <w:r w:rsidRPr="006B0B0A">
              <w:rPr>
                <w:b/>
                <w:bCs/>
                <w:color w:val="000000"/>
                <w:sz w:val="18"/>
                <w:szCs w:val="18"/>
                <w:lang w:eastAsia="en-NZ"/>
              </w:rPr>
              <w:t>9,443,783</w:t>
            </w:r>
          </w:p>
        </w:tc>
        <w:tc>
          <w:tcPr>
            <w:tcW w:w="1134" w:type="dxa"/>
            <w:shd w:val="clear" w:color="auto" w:fill="auto"/>
            <w:noWrap/>
            <w:vAlign w:val="bottom"/>
            <w:hideMark/>
          </w:tcPr>
          <w:p w14:paraId="6F678465" w14:textId="77777777" w:rsidR="00181AD3" w:rsidRPr="006B0B0A" w:rsidRDefault="00181AD3" w:rsidP="00BE57C8">
            <w:pPr>
              <w:spacing w:after="0" w:line="240" w:lineRule="auto"/>
              <w:rPr>
                <w:b/>
                <w:bCs/>
                <w:color w:val="000000"/>
                <w:sz w:val="18"/>
                <w:szCs w:val="18"/>
                <w:lang w:eastAsia="en-NZ"/>
              </w:rPr>
            </w:pPr>
          </w:p>
        </w:tc>
        <w:tc>
          <w:tcPr>
            <w:tcW w:w="1134" w:type="dxa"/>
            <w:shd w:val="clear" w:color="auto" w:fill="auto"/>
            <w:noWrap/>
            <w:vAlign w:val="bottom"/>
            <w:hideMark/>
          </w:tcPr>
          <w:p w14:paraId="714F02F6" w14:textId="77777777" w:rsidR="00181AD3" w:rsidRPr="006B0B0A" w:rsidRDefault="00181AD3" w:rsidP="00BE57C8">
            <w:pPr>
              <w:spacing w:after="0" w:line="240" w:lineRule="auto"/>
              <w:jc w:val="right"/>
              <w:rPr>
                <w:b/>
                <w:bCs/>
                <w:color w:val="000000"/>
                <w:sz w:val="18"/>
                <w:szCs w:val="18"/>
                <w:lang w:eastAsia="en-NZ"/>
              </w:rPr>
            </w:pPr>
            <w:r w:rsidRPr="006B0B0A">
              <w:rPr>
                <w:b/>
                <w:bCs/>
                <w:color w:val="000000"/>
                <w:sz w:val="18"/>
                <w:szCs w:val="18"/>
                <w:lang w:eastAsia="en-NZ"/>
              </w:rPr>
              <w:t>8,943,043</w:t>
            </w:r>
          </w:p>
        </w:tc>
        <w:tc>
          <w:tcPr>
            <w:tcW w:w="1124" w:type="dxa"/>
            <w:shd w:val="clear" w:color="auto" w:fill="auto"/>
            <w:noWrap/>
            <w:vAlign w:val="bottom"/>
            <w:hideMark/>
          </w:tcPr>
          <w:p w14:paraId="7F318356" w14:textId="77777777" w:rsidR="00181AD3" w:rsidRPr="006B0B0A" w:rsidRDefault="00181AD3" w:rsidP="00BE57C8">
            <w:pPr>
              <w:spacing w:after="0" w:line="240" w:lineRule="auto"/>
              <w:jc w:val="right"/>
              <w:rPr>
                <w:b/>
                <w:bCs/>
                <w:color w:val="000000"/>
                <w:sz w:val="18"/>
                <w:szCs w:val="18"/>
                <w:lang w:eastAsia="en-NZ"/>
              </w:rPr>
            </w:pPr>
            <w:r w:rsidRPr="006B0B0A">
              <w:rPr>
                <w:b/>
                <w:bCs/>
                <w:color w:val="000000"/>
                <w:sz w:val="18"/>
                <w:szCs w:val="18"/>
                <w:lang w:eastAsia="en-NZ"/>
              </w:rPr>
              <w:t>3,988,343</w:t>
            </w:r>
          </w:p>
        </w:tc>
        <w:tc>
          <w:tcPr>
            <w:tcW w:w="3129" w:type="dxa"/>
            <w:shd w:val="clear" w:color="auto" w:fill="auto"/>
            <w:noWrap/>
            <w:hideMark/>
          </w:tcPr>
          <w:p w14:paraId="298870B5" w14:textId="77777777" w:rsidR="00181AD3" w:rsidRPr="006B0B0A" w:rsidRDefault="00181AD3" w:rsidP="00BE57C8">
            <w:pPr>
              <w:spacing w:after="0" w:line="240" w:lineRule="auto"/>
              <w:rPr>
                <w:color w:val="000000"/>
                <w:sz w:val="18"/>
                <w:szCs w:val="18"/>
                <w:lang w:eastAsia="en-NZ"/>
              </w:rPr>
            </w:pPr>
          </w:p>
        </w:tc>
        <w:tc>
          <w:tcPr>
            <w:tcW w:w="2268" w:type="dxa"/>
            <w:shd w:val="clear" w:color="auto" w:fill="auto"/>
            <w:noWrap/>
            <w:vAlign w:val="bottom"/>
            <w:hideMark/>
          </w:tcPr>
          <w:p w14:paraId="725889F8" w14:textId="77777777" w:rsidR="00181AD3" w:rsidRPr="006B0B0A" w:rsidRDefault="00181AD3" w:rsidP="00BE57C8">
            <w:pPr>
              <w:spacing w:after="0" w:line="240" w:lineRule="auto"/>
              <w:rPr>
                <w:color w:val="000000"/>
                <w:sz w:val="18"/>
                <w:szCs w:val="18"/>
                <w:lang w:eastAsia="en-NZ"/>
              </w:rPr>
            </w:pPr>
          </w:p>
        </w:tc>
      </w:tr>
    </w:tbl>
    <w:p w14:paraId="4AFC5F5B" w14:textId="77777777" w:rsidR="00181AD3" w:rsidRPr="00181AD3" w:rsidRDefault="00181AD3" w:rsidP="00181AD3"/>
    <w:p w14:paraId="4EE31600" w14:textId="77777777" w:rsidR="00181AD3" w:rsidRDefault="00181AD3" w:rsidP="00BE3345">
      <w:pPr>
        <w:pStyle w:val="SectionTitle"/>
        <w:sectPr w:rsidR="00181AD3" w:rsidSect="00181AD3">
          <w:pgSz w:w="16838" w:h="11906" w:orient="landscape" w:code="9"/>
          <w:pgMar w:top="1440" w:right="1440" w:bottom="1440" w:left="1440" w:header="578" w:footer="578" w:gutter="0"/>
          <w:cols w:space="720"/>
          <w:titlePg/>
          <w:docGrid w:linePitch="286"/>
        </w:sectPr>
      </w:pPr>
    </w:p>
    <w:p w14:paraId="78CFE612" w14:textId="77777777" w:rsidR="00C03D8C" w:rsidRDefault="00181AD3" w:rsidP="00BE3345">
      <w:pPr>
        <w:pStyle w:val="SectionTitle"/>
      </w:pPr>
      <w:bookmarkStart w:id="43" w:name="_Toc453956006"/>
      <w:r>
        <w:lastRenderedPageBreak/>
        <w:t xml:space="preserve">Appendix F: </w:t>
      </w:r>
      <w:r w:rsidR="00C03D8C">
        <w:t>Summary of training, 2013-2015</w:t>
      </w:r>
      <w:bookmarkEnd w:id="43"/>
    </w:p>
    <w:tbl>
      <w:tblPr>
        <w:tblW w:w="13900" w:type="dxa"/>
        <w:tblInd w:w="93" w:type="dxa"/>
        <w:tblLook w:val="04A0" w:firstRow="1" w:lastRow="0" w:firstColumn="1" w:lastColumn="0" w:noHBand="0" w:noVBand="1"/>
      </w:tblPr>
      <w:tblGrid>
        <w:gridCol w:w="1940"/>
        <w:gridCol w:w="1940"/>
        <w:gridCol w:w="1940"/>
        <w:gridCol w:w="1940"/>
        <w:gridCol w:w="1940"/>
        <w:gridCol w:w="1940"/>
        <w:gridCol w:w="2260"/>
      </w:tblGrid>
      <w:tr w:rsidR="00BE57C8" w:rsidRPr="00BE57C8" w14:paraId="71DCC86D" w14:textId="77777777" w:rsidTr="00BE57C8">
        <w:trPr>
          <w:trHeight w:val="20"/>
          <w:tblHead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4C34"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TITLE OF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80A56E9"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DATE OF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FB4F152"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COST OF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B9ADE55"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COURSE DURATION</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F505358"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SHORT TERM OR LONG TERM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79A4976"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TRAINING PROVIDER</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500FC52"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NUMBER OF ATTENDEES</w:t>
            </w:r>
          </w:p>
        </w:tc>
      </w:tr>
      <w:tr w:rsidR="00BE57C8" w:rsidRPr="00BE57C8" w14:paraId="472FEFEA"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E01FA5B"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2013</w:t>
            </w:r>
          </w:p>
        </w:tc>
        <w:tc>
          <w:tcPr>
            <w:tcW w:w="1940" w:type="dxa"/>
            <w:tcBorders>
              <w:top w:val="nil"/>
              <w:left w:val="nil"/>
              <w:bottom w:val="single" w:sz="4" w:space="0" w:color="auto"/>
              <w:right w:val="single" w:sz="4" w:space="0" w:color="auto"/>
            </w:tcBorders>
            <w:shd w:val="clear" w:color="auto" w:fill="auto"/>
            <w:vAlign w:val="center"/>
            <w:hideMark/>
          </w:tcPr>
          <w:p w14:paraId="6CEE392A"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0A1404BC"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3D06592B"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37979B4A"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4E2D4976"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c>
          <w:tcPr>
            <w:tcW w:w="2260" w:type="dxa"/>
            <w:tcBorders>
              <w:top w:val="nil"/>
              <w:left w:val="nil"/>
              <w:bottom w:val="single" w:sz="4" w:space="0" w:color="auto"/>
              <w:right w:val="single" w:sz="4" w:space="0" w:color="auto"/>
            </w:tcBorders>
            <w:shd w:val="clear" w:color="auto" w:fill="auto"/>
            <w:vAlign w:val="center"/>
            <w:hideMark/>
          </w:tcPr>
          <w:p w14:paraId="3A681D11" w14:textId="77777777" w:rsidR="00BE57C8" w:rsidRPr="00BE57C8" w:rsidRDefault="00BE57C8" w:rsidP="00BE57C8">
            <w:pPr>
              <w:spacing w:before="0" w:after="0" w:line="240" w:lineRule="auto"/>
              <w:jc w:val="center"/>
              <w:rPr>
                <w:b/>
                <w:bCs/>
                <w:sz w:val="18"/>
                <w:szCs w:val="18"/>
                <w:lang w:val="en-NZ" w:eastAsia="en-NZ"/>
              </w:rPr>
            </w:pPr>
            <w:r w:rsidRPr="00BE57C8">
              <w:rPr>
                <w:b/>
                <w:bCs/>
                <w:sz w:val="18"/>
                <w:szCs w:val="18"/>
                <w:lang w:val="en-NZ" w:eastAsia="en-NZ"/>
              </w:rPr>
              <w:t> </w:t>
            </w:r>
          </w:p>
        </w:tc>
      </w:tr>
      <w:tr w:rsidR="00BE57C8" w:rsidRPr="00BE57C8" w14:paraId="5D9A3B83"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513BC9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Leading &amp; Empowerment</w:t>
            </w:r>
          </w:p>
        </w:tc>
        <w:tc>
          <w:tcPr>
            <w:tcW w:w="1940" w:type="dxa"/>
            <w:tcBorders>
              <w:top w:val="nil"/>
              <w:left w:val="nil"/>
              <w:bottom w:val="single" w:sz="4" w:space="0" w:color="auto"/>
              <w:right w:val="single" w:sz="4" w:space="0" w:color="auto"/>
            </w:tcBorders>
            <w:shd w:val="clear" w:color="auto" w:fill="auto"/>
            <w:vAlign w:val="center"/>
            <w:hideMark/>
          </w:tcPr>
          <w:p w14:paraId="313621B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w:t>
            </w:r>
            <w:r w:rsidRPr="00BE57C8">
              <w:rPr>
                <w:sz w:val="18"/>
                <w:szCs w:val="18"/>
                <w:vertAlign w:val="superscript"/>
                <w:lang w:val="en-NZ" w:eastAsia="en-NZ"/>
              </w:rPr>
              <w:t>th</w:t>
            </w:r>
            <w:r w:rsidRPr="00BE57C8">
              <w:rPr>
                <w:sz w:val="18"/>
                <w:szCs w:val="18"/>
                <w:lang w:val="en-NZ" w:eastAsia="en-NZ"/>
              </w:rPr>
              <w:t xml:space="preserve"> February, 2013</w:t>
            </w:r>
          </w:p>
        </w:tc>
        <w:tc>
          <w:tcPr>
            <w:tcW w:w="1940" w:type="dxa"/>
            <w:tcBorders>
              <w:top w:val="nil"/>
              <w:left w:val="nil"/>
              <w:bottom w:val="single" w:sz="4" w:space="0" w:color="auto"/>
              <w:right w:val="single" w:sz="4" w:space="0" w:color="auto"/>
            </w:tcBorders>
            <w:shd w:val="clear" w:color="auto" w:fill="auto"/>
            <w:vAlign w:val="center"/>
            <w:hideMark/>
          </w:tcPr>
          <w:p w14:paraId="04B7C91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nil"/>
              <w:left w:val="nil"/>
              <w:bottom w:val="single" w:sz="4" w:space="0" w:color="auto"/>
              <w:right w:val="single" w:sz="4" w:space="0" w:color="auto"/>
            </w:tcBorders>
            <w:shd w:val="clear" w:color="auto" w:fill="auto"/>
            <w:vAlign w:val="center"/>
            <w:hideMark/>
          </w:tcPr>
          <w:p w14:paraId="19AB256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55C64E9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33C1A17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USP Solomon Islands Campus</w:t>
            </w:r>
          </w:p>
        </w:tc>
        <w:tc>
          <w:tcPr>
            <w:tcW w:w="2260" w:type="dxa"/>
            <w:tcBorders>
              <w:top w:val="nil"/>
              <w:left w:val="nil"/>
              <w:bottom w:val="single" w:sz="4" w:space="0" w:color="auto"/>
              <w:right w:val="single" w:sz="4" w:space="0" w:color="auto"/>
            </w:tcBorders>
            <w:shd w:val="clear" w:color="auto" w:fill="auto"/>
            <w:noWrap/>
            <w:vAlign w:val="center"/>
            <w:hideMark/>
          </w:tcPr>
          <w:p w14:paraId="265D1FD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w:t>
            </w:r>
          </w:p>
        </w:tc>
      </w:tr>
      <w:tr w:rsidR="00BE57C8" w:rsidRPr="00BE57C8" w14:paraId="7DF16B6B"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0E9FF5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Change Management</w:t>
            </w:r>
          </w:p>
        </w:tc>
        <w:tc>
          <w:tcPr>
            <w:tcW w:w="1940" w:type="dxa"/>
            <w:tcBorders>
              <w:top w:val="nil"/>
              <w:left w:val="nil"/>
              <w:bottom w:val="single" w:sz="4" w:space="0" w:color="auto"/>
              <w:right w:val="single" w:sz="4" w:space="0" w:color="auto"/>
            </w:tcBorders>
            <w:shd w:val="clear" w:color="auto" w:fill="auto"/>
            <w:vAlign w:val="center"/>
            <w:hideMark/>
          </w:tcPr>
          <w:p w14:paraId="2BF54B8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w:t>
            </w:r>
            <w:r w:rsidRPr="00BE57C8">
              <w:rPr>
                <w:sz w:val="18"/>
                <w:szCs w:val="18"/>
                <w:vertAlign w:val="superscript"/>
                <w:lang w:val="en-NZ" w:eastAsia="en-NZ"/>
              </w:rPr>
              <w:t>th</w:t>
            </w:r>
            <w:r w:rsidRPr="00BE57C8">
              <w:rPr>
                <w:sz w:val="18"/>
                <w:szCs w:val="18"/>
                <w:lang w:val="en-NZ" w:eastAsia="en-NZ"/>
              </w:rPr>
              <w:t xml:space="preserve"> February, 2013</w:t>
            </w:r>
          </w:p>
        </w:tc>
        <w:tc>
          <w:tcPr>
            <w:tcW w:w="1940" w:type="dxa"/>
            <w:tcBorders>
              <w:top w:val="nil"/>
              <w:left w:val="nil"/>
              <w:bottom w:val="single" w:sz="4" w:space="0" w:color="auto"/>
              <w:right w:val="single" w:sz="4" w:space="0" w:color="auto"/>
            </w:tcBorders>
            <w:shd w:val="clear" w:color="auto" w:fill="auto"/>
            <w:vAlign w:val="center"/>
            <w:hideMark/>
          </w:tcPr>
          <w:p w14:paraId="7C603AB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nil"/>
              <w:left w:val="nil"/>
              <w:bottom w:val="single" w:sz="4" w:space="0" w:color="auto"/>
              <w:right w:val="single" w:sz="4" w:space="0" w:color="auto"/>
            </w:tcBorders>
            <w:shd w:val="clear" w:color="auto" w:fill="auto"/>
            <w:vAlign w:val="center"/>
            <w:hideMark/>
          </w:tcPr>
          <w:p w14:paraId="12BA33D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0C62E8B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49867DC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USP Solomon Islands Campus</w:t>
            </w:r>
          </w:p>
        </w:tc>
        <w:tc>
          <w:tcPr>
            <w:tcW w:w="2260" w:type="dxa"/>
            <w:tcBorders>
              <w:top w:val="nil"/>
              <w:left w:val="nil"/>
              <w:bottom w:val="single" w:sz="4" w:space="0" w:color="auto"/>
              <w:right w:val="single" w:sz="4" w:space="0" w:color="auto"/>
            </w:tcBorders>
            <w:shd w:val="clear" w:color="auto" w:fill="auto"/>
            <w:noWrap/>
            <w:vAlign w:val="center"/>
            <w:hideMark/>
          </w:tcPr>
          <w:p w14:paraId="47936E0B"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005C6A4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1B2D66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Motivation &amp; Rewards Management</w:t>
            </w:r>
          </w:p>
        </w:tc>
        <w:tc>
          <w:tcPr>
            <w:tcW w:w="1940" w:type="dxa"/>
            <w:tcBorders>
              <w:top w:val="nil"/>
              <w:left w:val="nil"/>
              <w:bottom w:val="single" w:sz="4" w:space="0" w:color="auto"/>
              <w:right w:val="single" w:sz="4" w:space="0" w:color="auto"/>
            </w:tcBorders>
            <w:shd w:val="clear" w:color="auto" w:fill="auto"/>
            <w:vAlign w:val="center"/>
            <w:hideMark/>
          </w:tcPr>
          <w:p w14:paraId="34D7912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w:t>
            </w:r>
            <w:r w:rsidRPr="00BE57C8">
              <w:rPr>
                <w:sz w:val="18"/>
                <w:szCs w:val="18"/>
                <w:vertAlign w:val="superscript"/>
                <w:lang w:val="en-NZ" w:eastAsia="en-NZ"/>
              </w:rPr>
              <w:t>th</w:t>
            </w:r>
            <w:r w:rsidRPr="00BE57C8">
              <w:rPr>
                <w:sz w:val="18"/>
                <w:szCs w:val="18"/>
                <w:lang w:val="en-NZ" w:eastAsia="en-NZ"/>
              </w:rPr>
              <w:t xml:space="preserve"> February, 2013</w:t>
            </w:r>
          </w:p>
        </w:tc>
        <w:tc>
          <w:tcPr>
            <w:tcW w:w="1940" w:type="dxa"/>
            <w:tcBorders>
              <w:top w:val="nil"/>
              <w:left w:val="nil"/>
              <w:bottom w:val="single" w:sz="4" w:space="0" w:color="auto"/>
              <w:right w:val="single" w:sz="4" w:space="0" w:color="auto"/>
            </w:tcBorders>
            <w:shd w:val="clear" w:color="auto" w:fill="auto"/>
            <w:vAlign w:val="center"/>
            <w:hideMark/>
          </w:tcPr>
          <w:p w14:paraId="4CE90C7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nil"/>
              <w:left w:val="nil"/>
              <w:bottom w:val="single" w:sz="4" w:space="0" w:color="auto"/>
              <w:right w:val="single" w:sz="4" w:space="0" w:color="auto"/>
            </w:tcBorders>
            <w:shd w:val="clear" w:color="auto" w:fill="auto"/>
            <w:vAlign w:val="center"/>
            <w:hideMark/>
          </w:tcPr>
          <w:p w14:paraId="2390160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69A9305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1AAFEC0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USP Solomon Islands Campus</w:t>
            </w:r>
          </w:p>
        </w:tc>
        <w:tc>
          <w:tcPr>
            <w:tcW w:w="2260" w:type="dxa"/>
            <w:tcBorders>
              <w:top w:val="nil"/>
              <w:left w:val="nil"/>
              <w:bottom w:val="single" w:sz="4" w:space="0" w:color="auto"/>
              <w:right w:val="single" w:sz="4" w:space="0" w:color="auto"/>
            </w:tcBorders>
            <w:shd w:val="clear" w:color="auto" w:fill="auto"/>
            <w:noWrap/>
            <w:vAlign w:val="center"/>
            <w:hideMark/>
          </w:tcPr>
          <w:p w14:paraId="69FF408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061A4661"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465950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Diploma in Finance</w:t>
            </w:r>
          </w:p>
        </w:tc>
        <w:tc>
          <w:tcPr>
            <w:tcW w:w="1940" w:type="dxa"/>
            <w:tcBorders>
              <w:top w:val="nil"/>
              <w:left w:val="nil"/>
              <w:bottom w:val="single" w:sz="4" w:space="0" w:color="auto"/>
              <w:right w:val="single" w:sz="4" w:space="0" w:color="auto"/>
            </w:tcBorders>
            <w:shd w:val="clear" w:color="auto" w:fill="auto"/>
            <w:vAlign w:val="center"/>
            <w:hideMark/>
          </w:tcPr>
          <w:p w14:paraId="7812538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February to June – Semester 1, 2013. </w:t>
            </w:r>
          </w:p>
        </w:tc>
        <w:tc>
          <w:tcPr>
            <w:tcW w:w="1940" w:type="dxa"/>
            <w:tcBorders>
              <w:top w:val="nil"/>
              <w:left w:val="nil"/>
              <w:bottom w:val="single" w:sz="4" w:space="0" w:color="auto"/>
              <w:right w:val="single" w:sz="4" w:space="0" w:color="auto"/>
            </w:tcBorders>
            <w:shd w:val="clear" w:color="auto" w:fill="auto"/>
            <w:vAlign w:val="center"/>
            <w:hideMark/>
          </w:tcPr>
          <w:p w14:paraId="721C511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$2,400.00</w:t>
            </w:r>
          </w:p>
        </w:tc>
        <w:tc>
          <w:tcPr>
            <w:tcW w:w="1940" w:type="dxa"/>
            <w:tcBorders>
              <w:top w:val="nil"/>
              <w:left w:val="nil"/>
              <w:bottom w:val="single" w:sz="4" w:space="0" w:color="auto"/>
              <w:right w:val="single" w:sz="4" w:space="0" w:color="auto"/>
            </w:tcBorders>
            <w:shd w:val="clear" w:color="auto" w:fill="auto"/>
            <w:vAlign w:val="center"/>
            <w:hideMark/>
          </w:tcPr>
          <w:p w14:paraId="4360C05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Twelve hours per week for classes and tutorials.</w:t>
            </w:r>
          </w:p>
        </w:tc>
        <w:tc>
          <w:tcPr>
            <w:tcW w:w="1940" w:type="dxa"/>
            <w:tcBorders>
              <w:top w:val="nil"/>
              <w:left w:val="nil"/>
              <w:bottom w:val="single" w:sz="4" w:space="0" w:color="auto"/>
              <w:right w:val="single" w:sz="4" w:space="0" w:color="auto"/>
            </w:tcBorders>
            <w:shd w:val="clear" w:color="auto" w:fill="auto"/>
            <w:vAlign w:val="center"/>
            <w:hideMark/>
          </w:tcPr>
          <w:p w14:paraId="71BFBEB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Long term training. </w:t>
            </w:r>
          </w:p>
        </w:tc>
        <w:tc>
          <w:tcPr>
            <w:tcW w:w="1940" w:type="dxa"/>
            <w:tcBorders>
              <w:top w:val="nil"/>
              <w:left w:val="nil"/>
              <w:bottom w:val="single" w:sz="4" w:space="0" w:color="auto"/>
              <w:right w:val="single" w:sz="4" w:space="0" w:color="auto"/>
            </w:tcBorders>
            <w:shd w:val="clear" w:color="auto" w:fill="auto"/>
            <w:vAlign w:val="center"/>
            <w:hideMark/>
          </w:tcPr>
          <w:p w14:paraId="64046F0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Solomon Islands College of Higher Education (SICHE)</w:t>
            </w:r>
          </w:p>
        </w:tc>
        <w:tc>
          <w:tcPr>
            <w:tcW w:w="2260" w:type="dxa"/>
            <w:tcBorders>
              <w:top w:val="nil"/>
              <w:left w:val="nil"/>
              <w:bottom w:val="single" w:sz="4" w:space="0" w:color="auto"/>
              <w:right w:val="single" w:sz="4" w:space="0" w:color="auto"/>
            </w:tcBorders>
            <w:shd w:val="clear" w:color="auto" w:fill="auto"/>
            <w:noWrap/>
            <w:vAlign w:val="center"/>
            <w:hideMark/>
          </w:tcPr>
          <w:p w14:paraId="19239BB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131E0144"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90AAAD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IT Helpdesk System Training</w:t>
            </w:r>
          </w:p>
        </w:tc>
        <w:tc>
          <w:tcPr>
            <w:tcW w:w="1940" w:type="dxa"/>
            <w:tcBorders>
              <w:top w:val="nil"/>
              <w:left w:val="nil"/>
              <w:bottom w:val="single" w:sz="4" w:space="0" w:color="auto"/>
              <w:right w:val="single" w:sz="4" w:space="0" w:color="auto"/>
            </w:tcBorders>
            <w:shd w:val="clear" w:color="auto" w:fill="auto"/>
            <w:vAlign w:val="center"/>
            <w:hideMark/>
          </w:tcPr>
          <w:p w14:paraId="6949BFE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w:t>
            </w:r>
            <w:r w:rsidRPr="00BE57C8">
              <w:rPr>
                <w:sz w:val="18"/>
                <w:szCs w:val="18"/>
                <w:vertAlign w:val="superscript"/>
                <w:lang w:val="en-NZ" w:eastAsia="en-NZ"/>
              </w:rPr>
              <w:t>th</w:t>
            </w:r>
            <w:r w:rsidRPr="00BE57C8">
              <w:rPr>
                <w:sz w:val="18"/>
                <w:szCs w:val="18"/>
                <w:lang w:val="en-NZ" w:eastAsia="en-NZ"/>
              </w:rPr>
              <w:t xml:space="preserve"> February, 2013</w:t>
            </w:r>
          </w:p>
        </w:tc>
        <w:tc>
          <w:tcPr>
            <w:tcW w:w="1940" w:type="dxa"/>
            <w:tcBorders>
              <w:top w:val="nil"/>
              <w:left w:val="nil"/>
              <w:bottom w:val="single" w:sz="4" w:space="0" w:color="auto"/>
              <w:right w:val="single" w:sz="4" w:space="0" w:color="auto"/>
            </w:tcBorders>
            <w:shd w:val="clear" w:color="auto" w:fill="auto"/>
            <w:vAlign w:val="center"/>
            <w:hideMark/>
          </w:tcPr>
          <w:p w14:paraId="4D53855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182F299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Hour</w:t>
            </w:r>
          </w:p>
        </w:tc>
        <w:tc>
          <w:tcPr>
            <w:tcW w:w="1940" w:type="dxa"/>
            <w:tcBorders>
              <w:top w:val="nil"/>
              <w:left w:val="nil"/>
              <w:bottom w:val="single" w:sz="4" w:space="0" w:color="auto"/>
              <w:right w:val="single" w:sz="4" w:space="0" w:color="auto"/>
            </w:tcBorders>
            <w:shd w:val="clear" w:color="auto" w:fill="auto"/>
            <w:vAlign w:val="center"/>
            <w:hideMark/>
          </w:tcPr>
          <w:p w14:paraId="645AFDD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11C8EA3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SIWA IT Team</w:t>
            </w:r>
          </w:p>
        </w:tc>
        <w:tc>
          <w:tcPr>
            <w:tcW w:w="2260" w:type="dxa"/>
            <w:tcBorders>
              <w:top w:val="nil"/>
              <w:left w:val="nil"/>
              <w:bottom w:val="single" w:sz="4" w:space="0" w:color="auto"/>
              <w:right w:val="single" w:sz="4" w:space="0" w:color="auto"/>
            </w:tcBorders>
            <w:shd w:val="clear" w:color="auto" w:fill="auto"/>
            <w:noWrap/>
            <w:vAlign w:val="center"/>
            <w:hideMark/>
          </w:tcPr>
          <w:p w14:paraId="63CEE46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13</w:t>
            </w:r>
          </w:p>
        </w:tc>
      </w:tr>
      <w:tr w:rsidR="00BE57C8" w:rsidRPr="00BE57C8" w14:paraId="3C5C1D2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123551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Microsoft Excel Training – Basic Level</w:t>
            </w:r>
          </w:p>
        </w:tc>
        <w:tc>
          <w:tcPr>
            <w:tcW w:w="1940" w:type="dxa"/>
            <w:tcBorders>
              <w:top w:val="nil"/>
              <w:left w:val="nil"/>
              <w:bottom w:val="single" w:sz="4" w:space="0" w:color="auto"/>
              <w:right w:val="single" w:sz="4" w:space="0" w:color="auto"/>
            </w:tcBorders>
            <w:shd w:val="clear" w:color="auto" w:fill="auto"/>
            <w:vAlign w:val="center"/>
            <w:hideMark/>
          </w:tcPr>
          <w:p w14:paraId="4384F0F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21</w:t>
            </w:r>
            <w:r w:rsidRPr="00BE57C8">
              <w:rPr>
                <w:sz w:val="18"/>
                <w:szCs w:val="18"/>
                <w:vertAlign w:val="superscript"/>
                <w:lang w:val="en-NZ" w:eastAsia="en-NZ"/>
              </w:rPr>
              <w:t>st</w:t>
            </w:r>
            <w:r w:rsidRPr="00BE57C8">
              <w:rPr>
                <w:sz w:val="18"/>
                <w:szCs w:val="18"/>
                <w:lang w:val="en-NZ" w:eastAsia="en-NZ"/>
              </w:rPr>
              <w:t xml:space="preserve"> March, 2013</w:t>
            </w:r>
          </w:p>
        </w:tc>
        <w:tc>
          <w:tcPr>
            <w:tcW w:w="1940" w:type="dxa"/>
            <w:tcBorders>
              <w:top w:val="nil"/>
              <w:left w:val="nil"/>
              <w:bottom w:val="single" w:sz="4" w:space="0" w:color="auto"/>
              <w:right w:val="single" w:sz="4" w:space="0" w:color="auto"/>
            </w:tcBorders>
            <w:shd w:val="clear" w:color="auto" w:fill="auto"/>
            <w:vAlign w:val="center"/>
            <w:hideMark/>
          </w:tcPr>
          <w:p w14:paraId="5E1DB6E8"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34FED2E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hours</w:t>
            </w:r>
          </w:p>
        </w:tc>
        <w:tc>
          <w:tcPr>
            <w:tcW w:w="1940" w:type="dxa"/>
            <w:tcBorders>
              <w:top w:val="nil"/>
              <w:left w:val="nil"/>
              <w:bottom w:val="single" w:sz="4" w:space="0" w:color="auto"/>
              <w:right w:val="single" w:sz="4" w:space="0" w:color="auto"/>
            </w:tcBorders>
            <w:shd w:val="clear" w:color="auto" w:fill="auto"/>
            <w:vAlign w:val="center"/>
            <w:hideMark/>
          </w:tcPr>
          <w:p w14:paraId="2EED9B9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6C77E2F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SIWA IT Team &amp; Louis Downing</w:t>
            </w:r>
          </w:p>
        </w:tc>
        <w:tc>
          <w:tcPr>
            <w:tcW w:w="2260" w:type="dxa"/>
            <w:tcBorders>
              <w:top w:val="nil"/>
              <w:left w:val="nil"/>
              <w:bottom w:val="single" w:sz="4" w:space="0" w:color="auto"/>
              <w:right w:val="single" w:sz="4" w:space="0" w:color="auto"/>
            </w:tcBorders>
            <w:shd w:val="clear" w:color="auto" w:fill="auto"/>
            <w:noWrap/>
            <w:vAlign w:val="center"/>
            <w:hideMark/>
          </w:tcPr>
          <w:p w14:paraId="4E4B5DD9"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19</w:t>
            </w:r>
          </w:p>
        </w:tc>
      </w:tr>
      <w:tr w:rsidR="00BE57C8" w:rsidRPr="00BE57C8" w14:paraId="74C93BD7"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4D8554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JICA C/Ps Training Program, Japan</w:t>
            </w:r>
          </w:p>
        </w:tc>
        <w:tc>
          <w:tcPr>
            <w:tcW w:w="1940" w:type="dxa"/>
            <w:tcBorders>
              <w:top w:val="nil"/>
              <w:left w:val="nil"/>
              <w:bottom w:val="single" w:sz="4" w:space="0" w:color="auto"/>
              <w:right w:val="single" w:sz="4" w:space="0" w:color="auto"/>
            </w:tcBorders>
            <w:shd w:val="clear" w:color="auto" w:fill="auto"/>
            <w:vAlign w:val="center"/>
            <w:hideMark/>
          </w:tcPr>
          <w:p w14:paraId="6A4BC63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w:t>
            </w:r>
            <w:r w:rsidRPr="00BE57C8">
              <w:rPr>
                <w:sz w:val="18"/>
                <w:szCs w:val="18"/>
                <w:vertAlign w:val="superscript"/>
                <w:lang w:val="en-NZ" w:eastAsia="en-NZ"/>
              </w:rPr>
              <w:t>th</w:t>
            </w:r>
            <w:r w:rsidRPr="00BE57C8">
              <w:rPr>
                <w:sz w:val="18"/>
                <w:szCs w:val="18"/>
                <w:lang w:val="en-NZ" w:eastAsia="en-NZ"/>
              </w:rPr>
              <w:t xml:space="preserve">  to 23</w:t>
            </w:r>
            <w:r w:rsidRPr="00BE57C8">
              <w:rPr>
                <w:sz w:val="18"/>
                <w:szCs w:val="18"/>
                <w:vertAlign w:val="superscript"/>
                <w:lang w:val="en-NZ" w:eastAsia="en-NZ"/>
              </w:rPr>
              <w:t>rd</w:t>
            </w:r>
            <w:r w:rsidRPr="00BE57C8">
              <w:rPr>
                <w:sz w:val="18"/>
                <w:szCs w:val="18"/>
                <w:lang w:val="en-NZ" w:eastAsia="en-NZ"/>
              </w:rPr>
              <w:t xml:space="preserve"> April, 2013</w:t>
            </w:r>
          </w:p>
        </w:tc>
        <w:tc>
          <w:tcPr>
            <w:tcW w:w="1940" w:type="dxa"/>
            <w:tcBorders>
              <w:top w:val="nil"/>
              <w:left w:val="nil"/>
              <w:bottom w:val="single" w:sz="4" w:space="0" w:color="auto"/>
              <w:right w:val="single" w:sz="4" w:space="0" w:color="auto"/>
            </w:tcBorders>
            <w:shd w:val="clear" w:color="auto" w:fill="auto"/>
            <w:vAlign w:val="center"/>
            <w:hideMark/>
          </w:tcPr>
          <w:p w14:paraId="7800859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Sponsored by JICA but SIWA pay outfit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47111E7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12 days </w:t>
            </w:r>
          </w:p>
        </w:tc>
        <w:tc>
          <w:tcPr>
            <w:tcW w:w="1940" w:type="dxa"/>
            <w:tcBorders>
              <w:top w:val="nil"/>
              <w:left w:val="nil"/>
              <w:bottom w:val="single" w:sz="4" w:space="0" w:color="auto"/>
              <w:right w:val="single" w:sz="4" w:space="0" w:color="auto"/>
            </w:tcBorders>
            <w:shd w:val="clear" w:color="auto" w:fill="auto"/>
            <w:vAlign w:val="center"/>
            <w:hideMark/>
          </w:tcPr>
          <w:p w14:paraId="76CA686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4E14724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Training organised and run by JICA in Japan</w:t>
            </w:r>
          </w:p>
        </w:tc>
        <w:tc>
          <w:tcPr>
            <w:tcW w:w="2260" w:type="dxa"/>
            <w:tcBorders>
              <w:top w:val="nil"/>
              <w:left w:val="nil"/>
              <w:bottom w:val="single" w:sz="4" w:space="0" w:color="auto"/>
              <w:right w:val="single" w:sz="4" w:space="0" w:color="auto"/>
            </w:tcBorders>
            <w:shd w:val="clear" w:color="auto" w:fill="auto"/>
            <w:noWrap/>
            <w:vAlign w:val="center"/>
            <w:hideMark/>
          </w:tcPr>
          <w:p w14:paraId="01715B5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4</w:t>
            </w:r>
          </w:p>
        </w:tc>
      </w:tr>
      <w:tr w:rsidR="00BE57C8" w:rsidRPr="00BE57C8" w14:paraId="03B8E37E"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709AC4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Microsoft Excel Training – Intermediate Level</w:t>
            </w:r>
          </w:p>
        </w:tc>
        <w:tc>
          <w:tcPr>
            <w:tcW w:w="1940" w:type="dxa"/>
            <w:tcBorders>
              <w:top w:val="nil"/>
              <w:left w:val="nil"/>
              <w:bottom w:val="single" w:sz="4" w:space="0" w:color="auto"/>
              <w:right w:val="single" w:sz="4" w:space="0" w:color="auto"/>
            </w:tcBorders>
            <w:shd w:val="clear" w:color="auto" w:fill="auto"/>
            <w:vAlign w:val="center"/>
            <w:hideMark/>
          </w:tcPr>
          <w:p w14:paraId="7922167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15</w:t>
            </w:r>
            <w:r w:rsidRPr="00BE57C8">
              <w:rPr>
                <w:sz w:val="18"/>
                <w:szCs w:val="18"/>
                <w:vertAlign w:val="superscript"/>
                <w:lang w:val="en-NZ" w:eastAsia="en-NZ"/>
              </w:rPr>
              <w:t>th</w:t>
            </w:r>
            <w:r w:rsidRPr="00BE57C8">
              <w:rPr>
                <w:sz w:val="18"/>
                <w:szCs w:val="18"/>
                <w:lang w:val="en-NZ" w:eastAsia="en-NZ"/>
              </w:rPr>
              <w:t xml:space="preserve"> - 22nd April, 2013</w:t>
            </w:r>
          </w:p>
        </w:tc>
        <w:tc>
          <w:tcPr>
            <w:tcW w:w="1940" w:type="dxa"/>
            <w:tcBorders>
              <w:top w:val="nil"/>
              <w:left w:val="nil"/>
              <w:bottom w:val="single" w:sz="4" w:space="0" w:color="auto"/>
              <w:right w:val="single" w:sz="4" w:space="0" w:color="auto"/>
            </w:tcBorders>
            <w:shd w:val="clear" w:color="auto" w:fill="auto"/>
            <w:vAlign w:val="center"/>
            <w:hideMark/>
          </w:tcPr>
          <w:p w14:paraId="2BC415A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1C7F02B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7 hours</w:t>
            </w:r>
          </w:p>
        </w:tc>
        <w:tc>
          <w:tcPr>
            <w:tcW w:w="1940" w:type="dxa"/>
            <w:tcBorders>
              <w:top w:val="nil"/>
              <w:left w:val="nil"/>
              <w:bottom w:val="single" w:sz="4" w:space="0" w:color="auto"/>
              <w:right w:val="single" w:sz="4" w:space="0" w:color="auto"/>
            </w:tcBorders>
            <w:shd w:val="clear" w:color="auto" w:fill="auto"/>
            <w:vAlign w:val="center"/>
            <w:hideMark/>
          </w:tcPr>
          <w:p w14:paraId="4F9884B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292856F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SIWA IT Team &amp; Louis Downing</w:t>
            </w:r>
          </w:p>
        </w:tc>
        <w:tc>
          <w:tcPr>
            <w:tcW w:w="2260" w:type="dxa"/>
            <w:tcBorders>
              <w:top w:val="nil"/>
              <w:left w:val="nil"/>
              <w:bottom w:val="single" w:sz="4" w:space="0" w:color="auto"/>
              <w:right w:val="single" w:sz="4" w:space="0" w:color="auto"/>
            </w:tcBorders>
            <w:shd w:val="clear" w:color="auto" w:fill="auto"/>
            <w:noWrap/>
            <w:vAlign w:val="center"/>
            <w:hideMark/>
          </w:tcPr>
          <w:p w14:paraId="0B9C3C1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17</w:t>
            </w:r>
          </w:p>
        </w:tc>
      </w:tr>
      <w:tr w:rsidR="00BE57C8" w:rsidRPr="00BE57C8" w14:paraId="4A0AAAD7"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6FC1CA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On-the-Job Training Program on Borehole Pumps</w:t>
            </w:r>
          </w:p>
        </w:tc>
        <w:tc>
          <w:tcPr>
            <w:tcW w:w="1940" w:type="dxa"/>
            <w:tcBorders>
              <w:top w:val="nil"/>
              <w:left w:val="nil"/>
              <w:bottom w:val="single" w:sz="4" w:space="0" w:color="auto"/>
              <w:right w:val="single" w:sz="4" w:space="0" w:color="auto"/>
            </w:tcBorders>
            <w:shd w:val="clear" w:color="auto" w:fill="auto"/>
            <w:vAlign w:val="center"/>
            <w:hideMark/>
          </w:tcPr>
          <w:p w14:paraId="70E4489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23</w:t>
            </w:r>
            <w:r w:rsidRPr="00BE57C8">
              <w:rPr>
                <w:sz w:val="18"/>
                <w:szCs w:val="18"/>
                <w:vertAlign w:val="superscript"/>
                <w:lang w:val="en-NZ" w:eastAsia="en-NZ"/>
              </w:rPr>
              <w:t>rd</w:t>
            </w:r>
            <w:r w:rsidRPr="00BE57C8">
              <w:rPr>
                <w:sz w:val="18"/>
                <w:szCs w:val="18"/>
                <w:lang w:val="en-NZ" w:eastAsia="en-NZ"/>
              </w:rPr>
              <w:t xml:space="preserve"> to 25</w:t>
            </w:r>
            <w:r w:rsidRPr="00BE57C8">
              <w:rPr>
                <w:sz w:val="18"/>
                <w:szCs w:val="18"/>
                <w:vertAlign w:val="superscript"/>
                <w:lang w:val="en-NZ" w:eastAsia="en-NZ"/>
              </w:rPr>
              <w:t>th</w:t>
            </w:r>
            <w:r w:rsidRPr="00BE57C8">
              <w:rPr>
                <w:sz w:val="18"/>
                <w:szCs w:val="18"/>
                <w:lang w:val="en-NZ" w:eastAsia="en-NZ"/>
              </w:rPr>
              <w:t xml:space="preserve"> April, 2013</w:t>
            </w:r>
          </w:p>
        </w:tc>
        <w:tc>
          <w:tcPr>
            <w:tcW w:w="1940" w:type="dxa"/>
            <w:tcBorders>
              <w:top w:val="nil"/>
              <w:left w:val="nil"/>
              <w:bottom w:val="single" w:sz="4" w:space="0" w:color="auto"/>
              <w:right w:val="single" w:sz="4" w:space="0" w:color="auto"/>
            </w:tcBorders>
            <w:shd w:val="clear" w:color="auto" w:fill="auto"/>
            <w:vAlign w:val="center"/>
            <w:hideMark/>
          </w:tcPr>
          <w:p w14:paraId="00C2012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2DB4154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 hours</w:t>
            </w:r>
          </w:p>
        </w:tc>
        <w:tc>
          <w:tcPr>
            <w:tcW w:w="1940" w:type="dxa"/>
            <w:tcBorders>
              <w:top w:val="nil"/>
              <w:left w:val="nil"/>
              <w:bottom w:val="single" w:sz="4" w:space="0" w:color="auto"/>
              <w:right w:val="single" w:sz="4" w:space="0" w:color="auto"/>
            </w:tcBorders>
            <w:shd w:val="clear" w:color="auto" w:fill="auto"/>
            <w:vAlign w:val="center"/>
            <w:hideMark/>
          </w:tcPr>
          <w:p w14:paraId="70A04CC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50AD944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and run by Suda of JICA</w:t>
            </w:r>
          </w:p>
        </w:tc>
        <w:tc>
          <w:tcPr>
            <w:tcW w:w="2260" w:type="dxa"/>
            <w:tcBorders>
              <w:top w:val="nil"/>
              <w:left w:val="nil"/>
              <w:bottom w:val="single" w:sz="4" w:space="0" w:color="auto"/>
              <w:right w:val="single" w:sz="4" w:space="0" w:color="auto"/>
            </w:tcBorders>
            <w:shd w:val="clear" w:color="auto" w:fill="auto"/>
            <w:noWrap/>
            <w:vAlign w:val="center"/>
            <w:hideMark/>
          </w:tcPr>
          <w:p w14:paraId="2E1DD89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15</w:t>
            </w:r>
          </w:p>
        </w:tc>
      </w:tr>
      <w:tr w:rsidR="00BE57C8" w:rsidRPr="00BE57C8" w14:paraId="5E30AD46"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648C45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Microsoft Excel Training – Intermediate Level (</w:t>
            </w:r>
            <w:r w:rsidRPr="00BE57C8">
              <w:rPr>
                <w:b/>
                <w:bCs/>
                <w:sz w:val="18"/>
                <w:szCs w:val="18"/>
                <w:lang w:val="en-NZ" w:eastAsia="en-NZ"/>
              </w:rPr>
              <w:t>Noro</w:t>
            </w:r>
            <w:r w:rsidRPr="00BE57C8">
              <w:rPr>
                <w:sz w:val="18"/>
                <w:szCs w:val="18"/>
                <w:lang w:val="en-NZ" w:eastAsia="en-NZ"/>
              </w:rPr>
              <w:t>)</w:t>
            </w:r>
          </w:p>
        </w:tc>
        <w:tc>
          <w:tcPr>
            <w:tcW w:w="1940" w:type="dxa"/>
            <w:tcBorders>
              <w:top w:val="nil"/>
              <w:left w:val="nil"/>
              <w:bottom w:val="single" w:sz="4" w:space="0" w:color="auto"/>
              <w:right w:val="single" w:sz="4" w:space="0" w:color="auto"/>
            </w:tcBorders>
            <w:shd w:val="clear" w:color="auto" w:fill="auto"/>
            <w:vAlign w:val="center"/>
            <w:hideMark/>
          </w:tcPr>
          <w:p w14:paraId="00A1D77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23</w:t>
            </w:r>
            <w:r w:rsidRPr="00BE57C8">
              <w:rPr>
                <w:sz w:val="18"/>
                <w:szCs w:val="18"/>
                <w:vertAlign w:val="superscript"/>
                <w:lang w:val="en-NZ" w:eastAsia="en-NZ"/>
              </w:rPr>
              <w:t>rd</w:t>
            </w:r>
            <w:r w:rsidRPr="00BE57C8">
              <w:rPr>
                <w:sz w:val="18"/>
                <w:szCs w:val="18"/>
                <w:lang w:val="en-NZ" w:eastAsia="en-NZ"/>
              </w:rPr>
              <w:t xml:space="preserve"> to 25</w:t>
            </w:r>
            <w:r w:rsidRPr="00BE57C8">
              <w:rPr>
                <w:sz w:val="18"/>
                <w:szCs w:val="18"/>
                <w:vertAlign w:val="superscript"/>
                <w:lang w:val="en-NZ" w:eastAsia="en-NZ"/>
              </w:rPr>
              <w:t>th</w:t>
            </w:r>
            <w:r w:rsidRPr="00BE57C8">
              <w:rPr>
                <w:sz w:val="18"/>
                <w:szCs w:val="18"/>
                <w:lang w:val="en-NZ" w:eastAsia="en-NZ"/>
              </w:rPr>
              <w:t xml:space="preserve"> April, 2013</w:t>
            </w:r>
          </w:p>
        </w:tc>
        <w:tc>
          <w:tcPr>
            <w:tcW w:w="1940" w:type="dxa"/>
            <w:tcBorders>
              <w:top w:val="nil"/>
              <w:left w:val="nil"/>
              <w:bottom w:val="single" w:sz="4" w:space="0" w:color="auto"/>
              <w:right w:val="single" w:sz="4" w:space="0" w:color="auto"/>
            </w:tcBorders>
            <w:shd w:val="clear" w:color="auto" w:fill="auto"/>
            <w:vAlign w:val="center"/>
            <w:hideMark/>
          </w:tcPr>
          <w:p w14:paraId="5BD4969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05A3452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63A0C3F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298B53B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John Smith</w:t>
            </w:r>
          </w:p>
        </w:tc>
        <w:tc>
          <w:tcPr>
            <w:tcW w:w="2260" w:type="dxa"/>
            <w:tcBorders>
              <w:top w:val="nil"/>
              <w:left w:val="nil"/>
              <w:bottom w:val="single" w:sz="4" w:space="0" w:color="auto"/>
              <w:right w:val="single" w:sz="4" w:space="0" w:color="auto"/>
            </w:tcBorders>
            <w:shd w:val="clear" w:color="auto" w:fill="auto"/>
            <w:noWrap/>
            <w:vAlign w:val="center"/>
            <w:hideMark/>
          </w:tcPr>
          <w:p w14:paraId="6117840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62A47544"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C74412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Microsoft Excel Training – Intermediate Level (</w:t>
            </w:r>
            <w:r w:rsidRPr="00BE57C8">
              <w:rPr>
                <w:b/>
                <w:bCs/>
                <w:sz w:val="18"/>
                <w:szCs w:val="18"/>
                <w:lang w:val="en-NZ" w:eastAsia="en-NZ"/>
              </w:rPr>
              <w:t>Auki</w:t>
            </w:r>
            <w:r w:rsidRPr="00BE57C8">
              <w:rPr>
                <w:sz w:val="18"/>
                <w:szCs w:val="18"/>
                <w:lang w:val="en-NZ" w:eastAsia="en-NZ"/>
              </w:rPr>
              <w:t>)</w:t>
            </w:r>
          </w:p>
        </w:tc>
        <w:tc>
          <w:tcPr>
            <w:tcW w:w="1940" w:type="dxa"/>
            <w:tcBorders>
              <w:top w:val="nil"/>
              <w:left w:val="nil"/>
              <w:bottom w:val="single" w:sz="4" w:space="0" w:color="auto"/>
              <w:right w:val="single" w:sz="4" w:space="0" w:color="auto"/>
            </w:tcBorders>
            <w:shd w:val="clear" w:color="auto" w:fill="auto"/>
            <w:vAlign w:val="center"/>
            <w:hideMark/>
          </w:tcPr>
          <w:p w14:paraId="62F35BA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23</w:t>
            </w:r>
            <w:r w:rsidRPr="00BE57C8">
              <w:rPr>
                <w:sz w:val="18"/>
                <w:szCs w:val="18"/>
                <w:vertAlign w:val="superscript"/>
                <w:lang w:val="en-NZ" w:eastAsia="en-NZ"/>
              </w:rPr>
              <w:t>rd</w:t>
            </w:r>
            <w:r w:rsidRPr="00BE57C8">
              <w:rPr>
                <w:sz w:val="18"/>
                <w:szCs w:val="18"/>
                <w:lang w:val="en-NZ" w:eastAsia="en-NZ"/>
              </w:rPr>
              <w:t xml:space="preserve"> to 25</w:t>
            </w:r>
            <w:r w:rsidRPr="00BE57C8">
              <w:rPr>
                <w:sz w:val="18"/>
                <w:szCs w:val="18"/>
                <w:vertAlign w:val="superscript"/>
                <w:lang w:val="en-NZ" w:eastAsia="en-NZ"/>
              </w:rPr>
              <w:t>th</w:t>
            </w:r>
            <w:r w:rsidRPr="00BE57C8">
              <w:rPr>
                <w:sz w:val="18"/>
                <w:szCs w:val="18"/>
                <w:lang w:val="en-NZ" w:eastAsia="en-NZ"/>
              </w:rPr>
              <w:t xml:space="preserve"> April, 2013</w:t>
            </w:r>
          </w:p>
        </w:tc>
        <w:tc>
          <w:tcPr>
            <w:tcW w:w="1940" w:type="dxa"/>
            <w:tcBorders>
              <w:top w:val="nil"/>
              <w:left w:val="nil"/>
              <w:bottom w:val="single" w:sz="4" w:space="0" w:color="auto"/>
              <w:right w:val="single" w:sz="4" w:space="0" w:color="auto"/>
            </w:tcBorders>
            <w:shd w:val="clear" w:color="auto" w:fill="auto"/>
            <w:vAlign w:val="center"/>
            <w:hideMark/>
          </w:tcPr>
          <w:p w14:paraId="2D0F757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4519929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0118C40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2E261ED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John Smith</w:t>
            </w:r>
          </w:p>
        </w:tc>
        <w:tc>
          <w:tcPr>
            <w:tcW w:w="2260" w:type="dxa"/>
            <w:tcBorders>
              <w:top w:val="nil"/>
              <w:left w:val="nil"/>
              <w:bottom w:val="single" w:sz="4" w:space="0" w:color="auto"/>
              <w:right w:val="single" w:sz="4" w:space="0" w:color="auto"/>
            </w:tcBorders>
            <w:shd w:val="clear" w:color="auto" w:fill="auto"/>
            <w:noWrap/>
            <w:vAlign w:val="center"/>
            <w:hideMark/>
          </w:tcPr>
          <w:p w14:paraId="0779B1B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640CB6AC"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5A338C7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Microsoft Excel Training – Intermediate Level (</w:t>
            </w:r>
            <w:r w:rsidRPr="00BE57C8">
              <w:rPr>
                <w:b/>
                <w:bCs/>
                <w:sz w:val="18"/>
                <w:szCs w:val="18"/>
                <w:lang w:val="en-NZ" w:eastAsia="en-NZ"/>
              </w:rPr>
              <w:t>Tulagi</w:t>
            </w:r>
            <w:r w:rsidRPr="00BE57C8">
              <w:rPr>
                <w:sz w:val="18"/>
                <w:szCs w:val="18"/>
                <w:lang w:val="en-NZ" w:eastAsia="en-NZ"/>
              </w:rPr>
              <w:t>)</w:t>
            </w:r>
          </w:p>
        </w:tc>
        <w:tc>
          <w:tcPr>
            <w:tcW w:w="1940" w:type="dxa"/>
            <w:tcBorders>
              <w:top w:val="nil"/>
              <w:left w:val="nil"/>
              <w:bottom w:val="single" w:sz="4" w:space="0" w:color="auto"/>
              <w:right w:val="single" w:sz="4" w:space="0" w:color="auto"/>
            </w:tcBorders>
            <w:shd w:val="clear" w:color="auto" w:fill="auto"/>
            <w:vAlign w:val="center"/>
            <w:hideMark/>
          </w:tcPr>
          <w:p w14:paraId="06A1138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23</w:t>
            </w:r>
            <w:r w:rsidRPr="00BE57C8">
              <w:rPr>
                <w:sz w:val="18"/>
                <w:szCs w:val="18"/>
                <w:vertAlign w:val="superscript"/>
                <w:lang w:val="en-NZ" w:eastAsia="en-NZ"/>
              </w:rPr>
              <w:t>rd</w:t>
            </w:r>
            <w:r w:rsidRPr="00BE57C8">
              <w:rPr>
                <w:sz w:val="18"/>
                <w:szCs w:val="18"/>
                <w:lang w:val="en-NZ" w:eastAsia="en-NZ"/>
              </w:rPr>
              <w:t xml:space="preserve"> to 25</w:t>
            </w:r>
            <w:r w:rsidRPr="00BE57C8">
              <w:rPr>
                <w:sz w:val="18"/>
                <w:szCs w:val="18"/>
                <w:vertAlign w:val="superscript"/>
                <w:lang w:val="en-NZ" w:eastAsia="en-NZ"/>
              </w:rPr>
              <w:t>th</w:t>
            </w:r>
            <w:r w:rsidRPr="00BE57C8">
              <w:rPr>
                <w:sz w:val="18"/>
                <w:szCs w:val="18"/>
                <w:lang w:val="en-NZ" w:eastAsia="en-NZ"/>
              </w:rPr>
              <w:t xml:space="preserve"> April, 2013</w:t>
            </w:r>
          </w:p>
        </w:tc>
        <w:tc>
          <w:tcPr>
            <w:tcW w:w="1940" w:type="dxa"/>
            <w:tcBorders>
              <w:top w:val="nil"/>
              <w:left w:val="nil"/>
              <w:bottom w:val="single" w:sz="4" w:space="0" w:color="auto"/>
              <w:right w:val="single" w:sz="4" w:space="0" w:color="auto"/>
            </w:tcBorders>
            <w:shd w:val="clear" w:color="auto" w:fill="auto"/>
            <w:vAlign w:val="center"/>
            <w:hideMark/>
          </w:tcPr>
          <w:p w14:paraId="6C7677B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17DB42E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51A2845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In-house Training</w:t>
            </w:r>
          </w:p>
        </w:tc>
        <w:tc>
          <w:tcPr>
            <w:tcW w:w="1940" w:type="dxa"/>
            <w:tcBorders>
              <w:top w:val="nil"/>
              <w:left w:val="nil"/>
              <w:bottom w:val="single" w:sz="4" w:space="0" w:color="auto"/>
              <w:right w:val="single" w:sz="4" w:space="0" w:color="auto"/>
            </w:tcBorders>
            <w:shd w:val="clear" w:color="auto" w:fill="auto"/>
            <w:vAlign w:val="center"/>
            <w:hideMark/>
          </w:tcPr>
          <w:p w14:paraId="62BBD11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John Smith</w:t>
            </w:r>
          </w:p>
        </w:tc>
        <w:tc>
          <w:tcPr>
            <w:tcW w:w="2260" w:type="dxa"/>
            <w:tcBorders>
              <w:top w:val="nil"/>
              <w:left w:val="nil"/>
              <w:bottom w:val="single" w:sz="4" w:space="0" w:color="auto"/>
              <w:right w:val="single" w:sz="4" w:space="0" w:color="auto"/>
            </w:tcBorders>
            <w:shd w:val="clear" w:color="auto" w:fill="auto"/>
            <w:noWrap/>
            <w:vAlign w:val="center"/>
            <w:hideMark/>
          </w:tcPr>
          <w:p w14:paraId="5A50AD1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5770851"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56C8DF9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lastRenderedPageBreak/>
              <w:t xml:space="preserve">Tank Lining Techniques &amp; Procedures </w:t>
            </w:r>
          </w:p>
        </w:tc>
        <w:tc>
          <w:tcPr>
            <w:tcW w:w="1940" w:type="dxa"/>
            <w:tcBorders>
              <w:top w:val="nil"/>
              <w:left w:val="nil"/>
              <w:bottom w:val="single" w:sz="4" w:space="0" w:color="auto"/>
              <w:right w:val="single" w:sz="4" w:space="0" w:color="auto"/>
            </w:tcBorders>
            <w:shd w:val="clear" w:color="auto" w:fill="auto"/>
            <w:vAlign w:val="center"/>
            <w:hideMark/>
          </w:tcPr>
          <w:p w14:paraId="73368E6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21</w:t>
            </w:r>
            <w:r w:rsidRPr="00BE57C8">
              <w:rPr>
                <w:sz w:val="18"/>
                <w:szCs w:val="18"/>
                <w:vertAlign w:val="superscript"/>
                <w:lang w:val="en-NZ" w:eastAsia="en-NZ"/>
              </w:rPr>
              <w:t>st</w:t>
            </w:r>
            <w:r w:rsidRPr="00BE57C8">
              <w:rPr>
                <w:sz w:val="18"/>
                <w:szCs w:val="18"/>
                <w:lang w:val="en-NZ" w:eastAsia="en-NZ"/>
              </w:rPr>
              <w:t xml:space="preserve"> &amp; 22</w:t>
            </w:r>
            <w:r w:rsidRPr="00BE57C8">
              <w:rPr>
                <w:sz w:val="18"/>
                <w:szCs w:val="18"/>
                <w:vertAlign w:val="superscript"/>
                <w:lang w:val="en-NZ" w:eastAsia="en-NZ"/>
              </w:rPr>
              <w:t>nd</w:t>
            </w:r>
            <w:r w:rsidRPr="00BE57C8">
              <w:rPr>
                <w:sz w:val="18"/>
                <w:szCs w:val="18"/>
                <w:lang w:val="en-NZ" w:eastAsia="en-NZ"/>
              </w:rPr>
              <w:t xml:space="preserve"> May, 2013</w:t>
            </w:r>
          </w:p>
        </w:tc>
        <w:tc>
          <w:tcPr>
            <w:tcW w:w="1940" w:type="dxa"/>
            <w:tcBorders>
              <w:top w:val="nil"/>
              <w:left w:val="nil"/>
              <w:bottom w:val="single" w:sz="4" w:space="0" w:color="auto"/>
              <w:right w:val="single" w:sz="4" w:space="0" w:color="auto"/>
            </w:tcBorders>
            <w:shd w:val="clear" w:color="auto" w:fill="auto"/>
            <w:vAlign w:val="center"/>
            <w:hideMark/>
          </w:tcPr>
          <w:p w14:paraId="0F01EA8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578DE55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14 hours</w:t>
            </w:r>
          </w:p>
        </w:tc>
        <w:tc>
          <w:tcPr>
            <w:tcW w:w="1940" w:type="dxa"/>
            <w:tcBorders>
              <w:top w:val="nil"/>
              <w:left w:val="nil"/>
              <w:bottom w:val="single" w:sz="4" w:space="0" w:color="auto"/>
              <w:right w:val="single" w:sz="4" w:space="0" w:color="auto"/>
            </w:tcBorders>
            <w:shd w:val="clear" w:color="auto" w:fill="auto"/>
            <w:vAlign w:val="center"/>
            <w:hideMark/>
          </w:tcPr>
          <w:p w14:paraId="79A37D2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On-the-Job Training</w:t>
            </w:r>
          </w:p>
        </w:tc>
        <w:tc>
          <w:tcPr>
            <w:tcW w:w="1940" w:type="dxa"/>
            <w:tcBorders>
              <w:top w:val="nil"/>
              <w:left w:val="nil"/>
              <w:bottom w:val="single" w:sz="4" w:space="0" w:color="auto"/>
              <w:right w:val="single" w:sz="4" w:space="0" w:color="auto"/>
            </w:tcBorders>
            <w:shd w:val="clear" w:color="auto" w:fill="auto"/>
            <w:vAlign w:val="center"/>
            <w:hideMark/>
          </w:tcPr>
          <w:p w14:paraId="1005903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an Australian Expert at Lower West Kola Tank Construction</w:t>
            </w:r>
          </w:p>
        </w:tc>
        <w:tc>
          <w:tcPr>
            <w:tcW w:w="2260" w:type="dxa"/>
            <w:tcBorders>
              <w:top w:val="nil"/>
              <w:left w:val="nil"/>
              <w:bottom w:val="single" w:sz="4" w:space="0" w:color="auto"/>
              <w:right w:val="single" w:sz="4" w:space="0" w:color="auto"/>
            </w:tcBorders>
            <w:shd w:val="clear" w:color="auto" w:fill="auto"/>
            <w:noWrap/>
            <w:vAlign w:val="center"/>
            <w:hideMark/>
          </w:tcPr>
          <w:p w14:paraId="4079A33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7</w:t>
            </w:r>
          </w:p>
        </w:tc>
      </w:tr>
      <w:tr w:rsidR="00BE57C8" w:rsidRPr="00BE57C8" w14:paraId="601DD6BC"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286B9A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HR Database Training</w:t>
            </w:r>
          </w:p>
        </w:tc>
        <w:tc>
          <w:tcPr>
            <w:tcW w:w="1940" w:type="dxa"/>
            <w:tcBorders>
              <w:top w:val="nil"/>
              <w:left w:val="nil"/>
              <w:bottom w:val="single" w:sz="4" w:space="0" w:color="auto"/>
              <w:right w:val="single" w:sz="4" w:space="0" w:color="auto"/>
            </w:tcBorders>
            <w:shd w:val="clear" w:color="auto" w:fill="auto"/>
            <w:vAlign w:val="center"/>
            <w:hideMark/>
          </w:tcPr>
          <w:p w14:paraId="558D3EA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22</w:t>
            </w:r>
            <w:r w:rsidRPr="00BE57C8">
              <w:rPr>
                <w:sz w:val="18"/>
                <w:szCs w:val="18"/>
                <w:vertAlign w:val="superscript"/>
                <w:lang w:val="en-NZ" w:eastAsia="en-NZ"/>
              </w:rPr>
              <w:t>nd</w:t>
            </w:r>
            <w:r w:rsidRPr="00BE57C8">
              <w:rPr>
                <w:sz w:val="18"/>
                <w:szCs w:val="18"/>
                <w:lang w:val="en-NZ" w:eastAsia="en-NZ"/>
              </w:rPr>
              <w:t xml:space="preserve"> June, 2013</w:t>
            </w:r>
          </w:p>
        </w:tc>
        <w:tc>
          <w:tcPr>
            <w:tcW w:w="1940" w:type="dxa"/>
            <w:tcBorders>
              <w:top w:val="nil"/>
              <w:left w:val="nil"/>
              <w:bottom w:val="single" w:sz="4" w:space="0" w:color="auto"/>
              <w:right w:val="single" w:sz="4" w:space="0" w:color="auto"/>
            </w:tcBorders>
            <w:shd w:val="clear" w:color="auto" w:fill="auto"/>
            <w:vAlign w:val="center"/>
            <w:hideMark/>
          </w:tcPr>
          <w:p w14:paraId="26A906E6"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$3,232.96 for the group who attended the training</w:t>
            </w:r>
          </w:p>
        </w:tc>
        <w:tc>
          <w:tcPr>
            <w:tcW w:w="1940" w:type="dxa"/>
            <w:tcBorders>
              <w:top w:val="nil"/>
              <w:left w:val="nil"/>
              <w:bottom w:val="single" w:sz="4" w:space="0" w:color="auto"/>
              <w:right w:val="single" w:sz="4" w:space="0" w:color="auto"/>
            </w:tcBorders>
            <w:shd w:val="clear" w:color="auto" w:fill="auto"/>
            <w:vAlign w:val="center"/>
            <w:hideMark/>
          </w:tcPr>
          <w:p w14:paraId="3D7A7FE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1F8A367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1458096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Rodney, Solbrew’s Human Resource Coordinator at the SIWA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106DD1F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8</w:t>
            </w:r>
          </w:p>
        </w:tc>
      </w:tr>
      <w:tr w:rsidR="00BE57C8" w:rsidRPr="00BE57C8" w14:paraId="609408AC"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3C3E5DA" w14:textId="77777777" w:rsidR="00BE57C8" w:rsidRPr="00BE57C8" w:rsidRDefault="00CE100C" w:rsidP="00BE57C8">
            <w:pPr>
              <w:spacing w:before="0" w:after="0" w:line="240" w:lineRule="auto"/>
              <w:rPr>
                <w:sz w:val="18"/>
                <w:szCs w:val="18"/>
                <w:lang w:val="en-NZ" w:eastAsia="en-NZ"/>
              </w:rPr>
            </w:pPr>
            <w:r w:rsidRPr="00BE57C8">
              <w:rPr>
                <w:sz w:val="18"/>
                <w:szCs w:val="18"/>
                <w:lang w:val="en-NZ" w:eastAsia="en-NZ"/>
              </w:rPr>
              <w:t>Attaché</w:t>
            </w:r>
            <w:r w:rsidR="00BE57C8" w:rsidRPr="00BE57C8">
              <w:rPr>
                <w:sz w:val="18"/>
                <w:szCs w:val="18"/>
                <w:lang w:val="en-NZ" w:eastAsia="en-NZ"/>
              </w:rPr>
              <w:t>’ Payroll Training</w:t>
            </w:r>
          </w:p>
        </w:tc>
        <w:tc>
          <w:tcPr>
            <w:tcW w:w="1940" w:type="dxa"/>
            <w:tcBorders>
              <w:top w:val="nil"/>
              <w:left w:val="nil"/>
              <w:bottom w:val="single" w:sz="4" w:space="0" w:color="auto"/>
              <w:right w:val="single" w:sz="4" w:space="0" w:color="auto"/>
            </w:tcBorders>
            <w:shd w:val="clear" w:color="auto" w:fill="auto"/>
            <w:vAlign w:val="center"/>
            <w:hideMark/>
          </w:tcPr>
          <w:p w14:paraId="3D55CA3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w:t>
            </w:r>
            <w:r w:rsidRPr="00BE57C8">
              <w:rPr>
                <w:sz w:val="18"/>
                <w:szCs w:val="18"/>
                <w:vertAlign w:val="superscript"/>
                <w:lang w:val="en-NZ" w:eastAsia="en-NZ"/>
              </w:rPr>
              <w:t>th</w:t>
            </w:r>
            <w:r w:rsidRPr="00BE57C8">
              <w:rPr>
                <w:sz w:val="18"/>
                <w:szCs w:val="18"/>
                <w:lang w:val="en-NZ" w:eastAsia="en-NZ"/>
              </w:rPr>
              <w:t xml:space="preserve"> July, 2013</w:t>
            </w:r>
          </w:p>
        </w:tc>
        <w:tc>
          <w:tcPr>
            <w:tcW w:w="1940" w:type="dxa"/>
            <w:tcBorders>
              <w:top w:val="nil"/>
              <w:left w:val="nil"/>
              <w:bottom w:val="single" w:sz="4" w:space="0" w:color="auto"/>
              <w:right w:val="single" w:sz="4" w:space="0" w:color="auto"/>
            </w:tcBorders>
            <w:shd w:val="clear" w:color="auto" w:fill="auto"/>
            <w:vAlign w:val="center"/>
            <w:hideMark/>
          </w:tcPr>
          <w:p w14:paraId="1F3A8628"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$2,020.60 for the group who attended the training</w:t>
            </w:r>
          </w:p>
        </w:tc>
        <w:tc>
          <w:tcPr>
            <w:tcW w:w="1940" w:type="dxa"/>
            <w:tcBorders>
              <w:top w:val="nil"/>
              <w:left w:val="nil"/>
              <w:bottom w:val="single" w:sz="4" w:space="0" w:color="auto"/>
              <w:right w:val="single" w:sz="4" w:space="0" w:color="auto"/>
            </w:tcBorders>
            <w:shd w:val="clear" w:color="auto" w:fill="auto"/>
            <w:vAlign w:val="center"/>
            <w:hideMark/>
          </w:tcPr>
          <w:p w14:paraId="2339638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 hours</w:t>
            </w:r>
          </w:p>
        </w:tc>
        <w:tc>
          <w:tcPr>
            <w:tcW w:w="1940" w:type="dxa"/>
            <w:tcBorders>
              <w:top w:val="nil"/>
              <w:left w:val="nil"/>
              <w:bottom w:val="single" w:sz="4" w:space="0" w:color="auto"/>
              <w:right w:val="single" w:sz="4" w:space="0" w:color="auto"/>
            </w:tcBorders>
            <w:shd w:val="clear" w:color="auto" w:fill="auto"/>
            <w:vAlign w:val="center"/>
            <w:hideMark/>
          </w:tcPr>
          <w:p w14:paraId="6BAC185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442DD94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Rodney, Solbrew’s Human Resource Coordinator at the SIWA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2DF6652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7</w:t>
            </w:r>
          </w:p>
        </w:tc>
      </w:tr>
      <w:tr w:rsidR="00BE57C8" w:rsidRPr="00BE57C8" w14:paraId="1A4C6BA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A1D977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Certificate IV in Training &amp; Assessment (Block 1)</w:t>
            </w:r>
          </w:p>
        </w:tc>
        <w:tc>
          <w:tcPr>
            <w:tcW w:w="1940" w:type="dxa"/>
            <w:tcBorders>
              <w:top w:val="nil"/>
              <w:left w:val="nil"/>
              <w:bottom w:val="single" w:sz="4" w:space="0" w:color="auto"/>
              <w:right w:val="single" w:sz="4" w:space="0" w:color="auto"/>
            </w:tcBorders>
            <w:shd w:val="clear" w:color="auto" w:fill="auto"/>
            <w:vAlign w:val="center"/>
            <w:hideMark/>
          </w:tcPr>
          <w:p w14:paraId="4C484FB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22</w:t>
            </w:r>
            <w:r w:rsidRPr="00BE57C8">
              <w:rPr>
                <w:sz w:val="18"/>
                <w:szCs w:val="18"/>
                <w:vertAlign w:val="superscript"/>
                <w:lang w:val="en-NZ" w:eastAsia="en-NZ"/>
              </w:rPr>
              <w:t>nd</w:t>
            </w:r>
            <w:r w:rsidRPr="00BE57C8">
              <w:rPr>
                <w:sz w:val="18"/>
                <w:szCs w:val="18"/>
                <w:lang w:val="en-NZ" w:eastAsia="en-NZ"/>
              </w:rPr>
              <w:t xml:space="preserve"> July – 2</w:t>
            </w:r>
            <w:r w:rsidRPr="00BE57C8">
              <w:rPr>
                <w:sz w:val="18"/>
                <w:szCs w:val="18"/>
                <w:vertAlign w:val="superscript"/>
                <w:lang w:val="en-NZ" w:eastAsia="en-NZ"/>
              </w:rPr>
              <w:t>nd</w:t>
            </w:r>
            <w:r w:rsidRPr="00BE57C8">
              <w:rPr>
                <w:sz w:val="18"/>
                <w:szCs w:val="18"/>
                <w:lang w:val="en-NZ" w:eastAsia="en-NZ"/>
              </w:rPr>
              <w:t xml:space="preserve"> August, 2013 ()</w:t>
            </w:r>
          </w:p>
        </w:tc>
        <w:tc>
          <w:tcPr>
            <w:tcW w:w="1940" w:type="dxa"/>
            <w:tcBorders>
              <w:top w:val="nil"/>
              <w:left w:val="nil"/>
              <w:bottom w:val="single" w:sz="4" w:space="0" w:color="auto"/>
              <w:right w:val="single" w:sz="4" w:space="0" w:color="auto"/>
            </w:tcBorders>
            <w:shd w:val="clear" w:color="auto" w:fill="auto"/>
            <w:vAlign w:val="center"/>
            <w:hideMark/>
          </w:tcPr>
          <w:p w14:paraId="0D266AF6"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AU$29,436.84 for the full training attended by the group below</w:t>
            </w:r>
          </w:p>
        </w:tc>
        <w:tc>
          <w:tcPr>
            <w:tcW w:w="1940" w:type="dxa"/>
            <w:tcBorders>
              <w:top w:val="nil"/>
              <w:left w:val="nil"/>
              <w:bottom w:val="single" w:sz="4" w:space="0" w:color="auto"/>
              <w:right w:val="single" w:sz="4" w:space="0" w:color="auto"/>
            </w:tcBorders>
            <w:shd w:val="clear" w:color="auto" w:fill="auto"/>
            <w:vAlign w:val="center"/>
            <w:hideMark/>
          </w:tcPr>
          <w:p w14:paraId="15E2062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10 days</w:t>
            </w:r>
          </w:p>
        </w:tc>
        <w:tc>
          <w:tcPr>
            <w:tcW w:w="1940" w:type="dxa"/>
            <w:tcBorders>
              <w:top w:val="nil"/>
              <w:left w:val="nil"/>
              <w:bottom w:val="single" w:sz="4" w:space="0" w:color="auto"/>
              <w:right w:val="single" w:sz="4" w:space="0" w:color="auto"/>
            </w:tcBorders>
            <w:shd w:val="clear" w:color="auto" w:fill="auto"/>
            <w:vAlign w:val="center"/>
            <w:hideMark/>
          </w:tcPr>
          <w:p w14:paraId="1B13F00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66EAE8F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Ronald Birch of Sunshine Coast TAFE in collaboration with Australia Pacific Technical College (APTC), Honiara.</w:t>
            </w:r>
          </w:p>
        </w:tc>
        <w:tc>
          <w:tcPr>
            <w:tcW w:w="2260" w:type="dxa"/>
            <w:tcBorders>
              <w:top w:val="nil"/>
              <w:left w:val="nil"/>
              <w:bottom w:val="single" w:sz="4" w:space="0" w:color="auto"/>
              <w:right w:val="single" w:sz="4" w:space="0" w:color="auto"/>
            </w:tcBorders>
            <w:shd w:val="clear" w:color="auto" w:fill="auto"/>
            <w:noWrap/>
            <w:vAlign w:val="center"/>
            <w:hideMark/>
          </w:tcPr>
          <w:p w14:paraId="5CF7678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12</w:t>
            </w:r>
          </w:p>
        </w:tc>
      </w:tr>
      <w:tr w:rsidR="00BE57C8" w:rsidRPr="00BE57C8" w14:paraId="34C9A23C" w14:textId="77777777" w:rsidTr="00BE57C8">
        <w:trPr>
          <w:trHeight w:val="20"/>
        </w:trPr>
        <w:tc>
          <w:tcPr>
            <w:tcW w:w="1940" w:type="dxa"/>
            <w:tcBorders>
              <w:top w:val="nil"/>
              <w:left w:val="single" w:sz="4" w:space="0" w:color="auto"/>
              <w:bottom w:val="nil"/>
              <w:right w:val="single" w:sz="4" w:space="0" w:color="auto"/>
            </w:tcBorders>
            <w:shd w:val="clear" w:color="auto" w:fill="auto"/>
            <w:vAlign w:val="center"/>
            <w:hideMark/>
          </w:tcPr>
          <w:p w14:paraId="00CBDBC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International Audit Standards</w:t>
            </w:r>
          </w:p>
        </w:tc>
        <w:tc>
          <w:tcPr>
            <w:tcW w:w="1940" w:type="dxa"/>
            <w:tcBorders>
              <w:top w:val="nil"/>
              <w:left w:val="nil"/>
              <w:bottom w:val="nil"/>
              <w:right w:val="single" w:sz="4" w:space="0" w:color="auto"/>
            </w:tcBorders>
            <w:shd w:val="clear" w:color="auto" w:fill="auto"/>
            <w:vAlign w:val="center"/>
            <w:hideMark/>
          </w:tcPr>
          <w:p w14:paraId="27BB853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14</w:t>
            </w:r>
            <w:r w:rsidRPr="00BE57C8">
              <w:rPr>
                <w:sz w:val="18"/>
                <w:szCs w:val="18"/>
                <w:vertAlign w:val="superscript"/>
                <w:lang w:val="en-NZ" w:eastAsia="en-NZ"/>
              </w:rPr>
              <w:t>th</w:t>
            </w:r>
            <w:r w:rsidRPr="00BE57C8">
              <w:rPr>
                <w:sz w:val="18"/>
                <w:szCs w:val="18"/>
                <w:lang w:val="en-NZ" w:eastAsia="en-NZ"/>
              </w:rPr>
              <w:t xml:space="preserve"> August, 2013</w:t>
            </w:r>
          </w:p>
        </w:tc>
        <w:tc>
          <w:tcPr>
            <w:tcW w:w="1940" w:type="dxa"/>
            <w:tcBorders>
              <w:top w:val="nil"/>
              <w:left w:val="nil"/>
              <w:bottom w:val="single" w:sz="4" w:space="0" w:color="auto"/>
              <w:right w:val="single" w:sz="4" w:space="0" w:color="auto"/>
            </w:tcBorders>
            <w:shd w:val="clear" w:color="auto" w:fill="auto"/>
            <w:vAlign w:val="center"/>
            <w:hideMark/>
          </w:tcPr>
          <w:p w14:paraId="5FF3391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nil"/>
              <w:right w:val="single" w:sz="4" w:space="0" w:color="auto"/>
            </w:tcBorders>
            <w:shd w:val="clear" w:color="auto" w:fill="auto"/>
            <w:vAlign w:val="center"/>
            <w:hideMark/>
          </w:tcPr>
          <w:p w14:paraId="10E335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nil"/>
              <w:right w:val="single" w:sz="4" w:space="0" w:color="auto"/>
            </w:tcBorders>
            <w:shd w:val="clear" w:color="auto" w:fill="auto"/>
            <w:vAlign w:val="center"/>
            <w:hideMark/>
          </w:tcPr>
          <w:p w14:paraId="779907E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nil"/>
              <w:right w:val="single" w:sz="4" w:space="0" w:color="auto"/>
            </w:tcBorders>
            <w:shd w:val="clear" w:color="auto" w:fill="auto"/>
            <w:vAlign w:val="center"/>
            <w:hideMark/>
          </w:tcPr>
          <w:p w14:paraId="44D159A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2260" w:type="dxa"/>
            <w:tcBorders>
              <w:top w:val="nil"/>
              <w:left w:val="nil"/>
              <w:bottom w:val="single" w:sz="4" w:space="0" w:color="auto"/>
              <w:right w:val="single" w:sz="4" w:space="0" w:color="auto"/>
            </w:tcBorders>
            <w:shd w:val="clear" w:color="auto" w:fill="auto"/>
            <w:noWrap/>
            <w:vAlign w:val="center"/>
            <w:hideMark/>
          </w:tcPr>
          <w:p w14:paraId="2E6A083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1B2AE02" w14:textId="77777777" w:rsidTr="00BE57C8">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AE7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First Aid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C6FD15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27</w:t>
            </w:r>
            <w:r w:rsidRPr="00BE57C8">
              <w:rPr>
                <w:sz w:val="18"/>
                <w:szCs w:val="18"/>
                <w:vertAlign w:val="superscript"/>
                <w:lang w:val="en-NZ" w:eastAsia="en-NZ"/>
              </w:rPr>
              <w:t>th</w:t>
            </w:r>
            <w:r w:rsidRPr="00BE57C8">
              <w:rPr>
                <w:sz w:val="18"/>
                <w:szCs w:val="18"/>
                <w:lang w:val="en-NZ" w:eastAsia="en-NZ"/>
              </w:rPr>
              <w:t xml:space="preserve"> – 28</w:t>
            </w:r>
            <w:r w:rsidRPr="00BE57C8">
              <w:rPr>
                <w:sz w:val="18"/>
                <w:szCs w:val="18"/>
                <w:vertAlign w:val="superscript"/>
                <w:lang w:val="en-NZ" w:eastAsia="en-NZ"/>
              </w:rPr>
              <w:t>th</w:t>
            </w:r>
            <w:r w:rsidRPr="00BE57C8">
              <w:rPr>
                <w:sz w:val="18"/>
                <w:szCs w:val="18"/>
                <w:lang w:val="en-NZ" w:eastAsia="en-NZ"/>
              </w:rPr>
              <w:t xml:space="preserve"> August, 2013 </w:t>
            </w:r>
          </w:p>
        </w:tc>
        <w:tc>
          <w:tcPr>
            <w:tcW w:w="1940" w:type="dxa"/>
            <w:tcBorders>
              <w:top w:val="nil"/>
              <w:left w:val="nil"/>
              <w:bottom w:val="single" w:sz="4" w:space="0" w:color="auto"/>
              <w:right w:val="single" w:sz="4" w:space="0" w:color="auto"/>
            </w:tcBorders>
            <w:shd w:val="clear" w:color="auto" w:fill="auto"/>
            <w:vAlign w:val="center"/>
            <w:hideMark/>
          </w:tcPr>
          <w:p w14:paraId="48BDFD7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BB0E34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C0B944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34422D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Solomon Islands Red Cross at Solomon Water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57F94AA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19</w:t>
            </w:r>
          </w:p>
        </w:tc>
      </w:tr>
      <w:tr w:rsidR="00BE57C8" w:rsidRPr="00BE57C8" w14:paraId="7C7F953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ECA506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Risk Management &amp; Internal Controls Training</w:t>
            </w:r>
          </w:p>
        </w:tc>
        <w:tc>
          <w:tcPr>
            <w:tcW w:w="1940" w:type="dxa"/>
            <w:tcBorders>
              <w:top w:val="nil"/>
              <w:left w:val="nil"/>
              <w:bottom w:val="single" w:sz="4" w:space="0" w:color="auto"/>
              <w:right w:val="single" w:sz="4" w:space="0" w:color="auto"/>
            </w:tcBorders>
            <w:shd w:val="clear" w:color="auto" w:fill="auto"/>
            <w:vAlign w:val="center"/>
            <w:hideMark/>
          </w:tcPr>
          <w:p w14:paraId="027C4D4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28</w:t>
            </w:r>
            <w:r w:rsidRPr="00BE57C8">
              <w:rPr>
                <w:sz w:val="18"/>
                <w:szCs w:val="18"/>
                <w:vertAlign w:val="superscript"/>
                <w:lang w:val="en-NZ" w:eastAsia="en-NZ"/>
              </w:rPr>
              <w:t>th</w:t>
            </w:r>
            <w:r w:rsidRPr="00BE57C8">
              <w:rPr>
                <w:sz w:val="18"/>
                <w:szCs w:val="18"/>
                <w:lang w:val="en-NZ" w:eastAsia="en-NZ"/>
              </w:rPr>
              <w:t xml:space="preserve"> August, 2013</w:t>
            </w:r>
          </w:p>
        </w:tc>
        <w:tc>
          <w:tcPr>
            <w:tcW w:w="1940" w:type="dxa"/>
            <w:tcBorders>
              <w:top w:val="nil"/>
              <w:left w:val="nil"/>
              <w:bottom w:val="single" w:sz="4" w:space="0" w:color="auto"/>
              <w:right w:val="single" w:sz="4" w:space="0" w:color="auto"/>
            </w:tcBorders>
            <w:shd w:val="clear" w:color="auto" w:fill="auto"/>
            <w:vAlign w:val="center"/>
            <w:hideMark/>
          </w:tcPr>
          <w:p w14:paraId="75AE456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39AA919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8:30 to 4:30</w:t>
            </w:r>
          </w:p>
        </w:tc>
        <w:tc>
          <w:tcPr>
            <w:tcW w:w="1940" w:type="dxa"/>
            <w:tcBorders>
              <w:top w:val="nil"/>
              <w:left w:val="nil"/>
              <w:bottom w:val="single" w:sz="4" w:space="0" w:color="auto"/>
              <w:right w:val="single" w:sz="4" w:space="0" w:color="auto"/>
            </w:tcBorders>
            <w:shd w:val="clear" w:color="auto" w:fill="auto"/>
            <w:vAlign w:val="center"/>
            <w:hideMark/>
          </w:tcPr>
          <w:p w14:paraId="5FA0056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18FB249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Sue Morrison, Ministry of Finance Internal Audit Department</w:t>
            </w:r>
          </w:p>
        </w:tc>
        <w:tc>
          <w:tcPr>
            <w:tcW w:w="2260" w:type="dxa"/>
            <w:tcBorders>
              <w:top w:val="nil"/>
              <w:left w:val="nil"/>
              <w:bottom w:val="single" w:sz="4" w:space="0" w:color="auto"/>
              <w:right w:val="single" w:sz="4" w:space="0" w:color="auto"/>
            </w:tcBorders>
            <w:shd w:val="clear" w:color="auto" w:fill="auto"/>
            <w:noWrap/>
            <w:vAlign w:val="center"/>
            <w:hideMark/>
          </w:tcPr>
          <w:p w14:paraId="75B6AFB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24A9C4C6"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458C062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Certificate IV in Training &amp; Assessment (Block 2)</w:t>
            </w:r>
          </w:p>
        </w:tc>
        <w:tc>
          <w:tcPr>
            <w:tcW w:w="1940" w:type="dxa"/>
            <w:tcBorders>
              <w:top w:val="nil"/>
              <w:left w:val="nil"/>
              <w:bottom w:val="single" w:sz="4" w:space="0" w:color="auto"/>
              <w:right w:val="single" w:sz="4" w:space="0" w:color="auto"/>
            </w:tcBorders>
            <w:shd w:val="clear" w:color="auto" w:fill="auto"/>
            <w:vAlign w:val="center"/>
            <w:hideMark/>
          </w:tcPr>
          <w:p w14:paraId="27D5797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2</w:t>
            </w:r>
            <w:r w:rsidRPr="00BE57C8">
              <w:rPr>
                <w:sz w:val="18"/>
                <w:szCs w:val="18"/>
                <w:vertAlign w:val="superscript"/>
                <w:lang w:val="en-NZ" w:eastAsia="en-NZ"/>
              </w:rPr>
              <w:t>nd</w:t>
            </w:r>
            <w:r w:rsidRPr="00BE57C8">
              <w:rPr>
                <w:sz w:val="18"/>
                <w:szCs w:val="18"/>
                <w:lang w:val="en-NZ" w:eastAsia="en-NZ"/>
              </w:rPr>
              <w:t xml:space="preserve"> – 13</w:t>
            </w:r>
            <w:r w:rsidRPr="00BE57C8">
              <w:rPr>
                <w:sz w:val="18"/>
                <w:szCs w:val="18"/>
                <w:vertAlign w:val="superscript"/>
                <w:lang w:val="en-NZ" w:eastAsia="en-NZ"/>
              </w:rPr>
              <w:t>th</w:t>
            </w:r>
            <w:r w:rsidRPr="00BE57C8">
              <w:rPr>
                <w:sz w:val="18"/>
                <w:szCs w:val="18"/>
                <w:lang w:val="en-NZ" w:eastAsia="en-NZ"/>
              </w:rPr>
              <w:t xml:space="preserve"> Sept, 2013 (10 days)</w:t>
            </w:r>
          </w:p>
        </w:tc>
        <w:tc>
          <w:tcPr>
            <w:tcW w:w="1940" w:type="dxa"/>
            <w:tcBorders>
              <w:top w:val="nil"/>
              <w:left w:val="nil"/>
              <w:bottom w:val="single" w:sz="4" w:space="0" w:color="auto"/>
              <w:right w:val="single" w:sz="4" w:space="0" w:color="auto"/>
            </w:tcBorders>
            <w:shd w:val="clear" w:color="auto" w:fill="auto"/>
            <w:vAlign w:val="center"/>
            <w:hideMark/>
          </w:tcPr>
          <w:p w14:paraId="43A1758A"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2427088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10 days</w:t>
            </w:r>
          </w:p>
        </w:tc>
        <w:tc>
          <w:tcPr>
            <w:tcW w:w="1940" w:type="dxa"/>
            <w:tcBorders>
              <w:top w:val="nil"/>
              <w:left w:val="nil"/>
              <w:bottom w:val="single" w:sz="4" w:space="0" w:color="auto"/>
              <w:right w:val="single" w:sz="4" w:space="0" w:color="auto"/>
            </w:tcBorders>
            <w:shd w:val="clear" w:color="auto" w:fill="auto"/>
            <w:vAlign w:val="center"/>
            <w:hideMark/>
          </w:tcPr>
          <w:p w14:paraId="087ECAE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033AF20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Ronald Birch of Sunshine Coast TAFE in collaboration with Australia Pacific Technical College (APTC), Honiara.</w:t>
            </w:r>
          </w:p>
        </w:tc>
        <w:tc>
          <w:tcPr>
            <w:tcW w:w="2260" w:type="dxa"/>
            <w:tcBorders>
              <w:top w:val="nil"/>
              <w:left w:val="nil"/>
              <w:bottom w:val="single" w:sz="4" w:space="0" w:color="auto"/>
              <w:right w:val="single" w:sz="4" w:space="0" w:color="auto"/>
            </w:tcBorders>
            <w:shd w:val="clear" w:color="auto" w:fill="auto"/>
            <w:noWrap/>
            <w:vAlign w:val="center"/>
            <w:hideMark/>
          </w:tcPr>
          <w:p w14:paraId="07640F4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11</w:t>
            </w:r>
          </w:p>
        </w:tc>
      </w:tr>
      <w:tr w:rsidR="00BE57C8" w:rsidRPr="00BE57C8" w14:paraId="33969E24"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FEEA515" w14:textId="77777777" w:rsidR="00BE57C8" w:rsidRPr="00BE57C8" w:rsidRDefault="00CE100C" w:rsidP="00BE57C8">
            <w:pPr>
              <w:spacing w:before="0" w:after="0" w:line="240" w:lineRule="auto"/>
              <w:rPr>
                <w:sz w:val="18"/>
                <w:szCs w:val="18"/>
                <w:lang w:val="en-NZ" w:eastAsia="en-NZ"/>
              </w:rPr>
            </w:pPr>
            <w:r w:rsidRPr="00BE57C8">
              <w:rPr>
                <w:sz w:val="18"/>
                <w:szCs w:val="18"/>
                <w:lang w:val="en-NZ" w:eastAsia="en-NZ"/>
              </w:rPr>
              <w:lastRenderedPageBreak/>
              <w:t>Attaché</w:t>
            </w:r>
            <w:r w:rsidR="00BE57C8" w:rsidRPr="00BE57C8">
              <w:rPr>
                <w:sz w:val="18"/>
                <w:szCs w:val="18"/>
                <w:lang w:val="en-NZ" w:eastAsia="en-NZ"/>
              </w:rPr>
              <w:t>’ Payroll Training</w:t>
            </w:r>
          </w:p>
        </w:tc>
        <w:tc>
          <w:tcPr>
            <w:tcW w:w="1940" w:type="dxa"/>
            <w:tcBorders>
              <w:top w:val="nil"/>
              <w:left w:val="nil"/>
              <w:bottom w:val="single" w:sz="4" w:space="0" w:color="auto"/>
              <w:right w:val="single" w:sz="4" w:space="0" w:color="auto"/>
            </w:tcBorders>
            <w:shd w:val="clear" w:color="auto" w:fill="auto"/>
            <w:vAlign w:val="center"/>
            <w:hideMark/>
          </w:tcPr>
          <w:p w14:paraId="213FD3F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w:t>
            </w:r>
            <w:r w:rsidRPr="00BE57C8">
              <w:rPr>
                <w:sz w:val="18"/>
                <w:szCs w:val="18"/>
                <w:vertAlign w:val="superscript"/>
                <w:lang w:val="en-NZ" w:eastAsia="en-NZ"/>
              </w:rPr>
              <w:t>rd</w:t>
            </w:r>
            <w:r w:rsidRPr="00BE57C8">
              <w:rPr>
                <w:sz w:val="18"/>
                <w:szCs w:val="18"/>
                <w:lang w:val="en-NZ" w:eastAsia="en-NZ"/>
              </w:rPr>
              <w:t xml:space="preserve"> September, 2013</w:t>
            </w:r>
          </w:p>
        </w:tc>
        <w:tc>
          <w:tcPr>
            <w:tcW w:w="1940" w:type="dxa"/>
            <w:tcBorders>
              <w:top w:val="nil"/>
              <w:left w:val="nil"/>
              <w:bottom w:val="single" w:sz="4" w:space="0" w:color="auto"/>
              <w:right w:val="single" w:sz="4" w:space="0" w:color="auto"/>
            </w:tcBorders>
            <w:shd w:val="clear" w:color="auto" w:fill="auto"/>
            <w:vAlign w:val="center"/>
            <w:hideMark/>
          </w:tcPr>
          <w:p w14:paraId="28B33E7A"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$2,020.60 for the whole group who attended the training</w:t>
            </w:r>
          </w:p>
        </w:tc>
        <w:tc>
          <w:tcPr>
            <w:tcW w:w="1940" w:type="dxa"/>
            <w:tcBorders>
              <w:top w:val="nil"/>
              <w:left w:val="nil"/>
              <w:bottom w:val="single" w:sz="4" w:space="0" w:color="auto"/>
              <w:right w:val="single" w:sz="4" w:space="0" w:color="auto"/>
            </w:tcBorders>
            <w:shd w:val="clear" w:color="auto" w:fill="auto"/>
            <w:vAlign w:val="center"/>
            <w:hideMark/>
          </w:tcPr>
          <w:p w14:paraId="7F708FB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hours</w:t>
            </w:r>
          </w:p>
        </w:tc>
        <w:tc>
          <w:tcPr>
            <w:tcW w:w="1940" w:type="dxa"/>
            <w:tcBorders>
              <w:top w:val="nil"/>
              <w:left w:val="nil"/>
              <w:bottom w:val="single" w:sz="4" w:space="0" w:color="auto"/>
              <w:right w:val="single" w:sz="4" w:space="0" w:color="auto"/>
            </w:tcBorders>
            <w:shd w:val="clear" w:color="auto" w:fill="auto"/>
            <w:vAlign w:val="center"/>
            <w:hideMark/>
          </w:tcPr>
          <w:p w14:paraId="1C4578C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3037CCC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Rodney of Solbrew at Solomon Water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67B8B22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w:t>
            </w:r>
          </w:p>
        </w:tc>
      </w:tr>
      <w:tr w:rsidR="00BE57C8" w:rsidRPr="00BE57C8" w14:paraId="2904ADFC" w14:textId="77777777" w:rsidTr="00BE57C8">
        <w:trPr>
          <w:trHeight w:val="20"/>
        </w:trPr>
        <w:tc>
          <w:tcPr>
            <w:tcW w:w="1940" w:type="dxa"/>
            <w:tcBorders>
              <w:top w:val="nil"/>
              <w:left w:val="single" w:sz="4" w:space="0" w:color="auto"/>
              <w:bottom w:val="nil"/>
              <w:right w:val="single" w:sz="4" w:space="0" w:color="auto"/>
            </w:tcBorders>
            <w:shd w:val="clear" w:color="auto" w:fill="auto"/>
            <w:vAlign w:val="center"/>
            <w:hideMark/>
          </w:tcPr>
          <w:p w14:paraId="343D921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Project Management Training</w:t>
            </w:r>
          </w:p>
        </w:tc>
        <w:tc>
          <w:tcPr>
            <w:tcW w:w="1940" w:type="dxa"/>
            <w:tcBorders>
              <w:top w:val="nil"/>
              <w:left w:val="nil"/>
              <w:bottom w:val="nil"/>
              <w:right w:val="single" w:sz="4" w:space="0" w:color="auto"/>
            </w:tcBorders>
            <w:shd w:val="clear" w:color="auto" w:fill="auto"/>
            <w:vAlign w:val="center"/>
            <w:hideMark/>
          </w:tcPr>
          <w:p w14:paraId="391B1D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w:t>
            </w:r>
            <w:r w:rsidRPr="00BE57C8">
              <w:rPr>
                <w:sz w:val="18"/>
                <w:szCs w:val="18"/>
                <w:vertAlign w:val="superscript"/>
                <w:lang w:val="en-NZ" w:eastAsia="en-NZ"/>
              </w:rPr>
              <w:t>th</w:t>
            </w:r>
            <w:r w:rsidRPr="00BE57C8">
              <w:rPr>
                <w:sz w:val="18"/>
                <w:szCs w:val="18"/>
                <w:lang w:val="en-NZ" w:eastAsia="en-NZ"/>
              </w:rPr>
              <w:t xml:space="preserve"> – 13</w:t>
            </w:r>
            <w:r w:rsidRPr="00BE57C8">
              <w:rPr>
                <w:sz w:val="18"/>
                <w:szCs w:val="18"/>
                <w:vertAlign w:val="superscript"/>
                <w:lang w:val="en-NZ" w:eastAsia="en-NZ"/>
              </w:rPr>
              <w:t>th</w:t>
            </w:r>
            <w:r w:rsidRPr="00BE57C8">
              <w:rPr>
                <w:sz w:val="18"/>
                <w:szCs w:val="18"/>
                <w:lang w:val="en-NZ" w:eastAsia="en-NZ"/>
              </w:rPr>
              <w:t xml:space="preserve"> September, 2013 </w:t>
            </w:r>
          </w:p>
        </w:tc>
        <w:tc>
          <w:tcPr>
            <w:tcW w:w="1940" w:type="dxa"/>
            <w:tcBorders>
              <w:top w:val="nil"/>
              <w:left w:val="nil"/>
              <w:bottom w:val="nil"/>
              <w:right w:val="single" w:sz="4" w:space="0" w:color="auto"/>
            </w:tcBorders>
            <w:shd w:val="clear" w:color="auto" w:fill="auto"/>
            <w:vAlign w:val="center"/>
            <w:hideMark/>
          </w:tcPr>
          <w:p w14:paraId="6047B5D4" w14:textId="77777777" w:rsidR="00BE57C8" w:rsidRPr="00BE57C8" w:rsidRDefault="00BE57C8" w:rsidP="00BE57C8">
            <w:pPr>
              <w:spacing w:before="0" w:after="0" w:line="240" w:lineRule="auto"/>
              <w:jc w:val="right"/>
              <w:rPr>
                <w:sz w:val="18"/>
                <w:szCs w:val="18"/>
                <w:lang w:val="en-NZ" w:eastAsia="en-NZ"/>
              </w:rPr>
            </w:pPr>
            <w:r w:rsidRPr="00BE57C8">
              <w:rPr>
                <w:sz w:val="18"/>
                <w:szCs w:val="18"/>
                <w:lang w:val="en-NZ" w:eastAsia="en-NZ"/>
              </w:rPr>
              <w:t>$2,000.00</w:t>
            </w:r>
          </w:p>
        </w:tc>
        <w:tc>
          <w:tcPr>
            <w:tcW w:w="1940" w:type="dxa"/>
            <w:tcBorders>
              <w:top w:val="nil"/>
              <w:left w:val="nil"/>
              <w:bottom w:val="nil"/>
              <w:right w:val="single" w:sz="4" w:space="0" w:color="auto"/>
            </w:tcBorders>
            <w:shd w:val="clear" w:color="auto" w:fill="auto"/>
            <w:vAlign w:val="center"/>
            <w:hideMark/>
          </w:tcPr>
          <w:p w14:paraId="3A17694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days</w:t>
            </w:r>
          </w:p>
        </w:tc>
        <w:tc>
          <w:tcPr>
            <w:tcW w:w="1940" w:type="dxa"/>
            <w:tcBorders>
              <w:top w:val="nil"/>
              <w:left w:val="nil"/>
              <w:bottom w:val="nil"/>
              <w:right w:val="single" w:sz="4" w:space="0" w:color="auto"/>
            </w:tcBorders>
            <w:shd w:val="clear" w:color="auto" w:fill="auto"/>
            <w:vAlign w:val="center"/>
            <w:hideMark/>
          </w:tcPr>
          <w:p w14:paraId="2F2F55F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nil"/>
              <w:right w:val="single" w:sz="4" w:space="0" w:color="auto"/>
            </w:tcBorders>
            <w:shd w:val="clear" w:color="auto" w:fill="auto"/>
            <w:vAlign w:val="center"/>
            <w:hideMark/>
          </w:tcPr>
          <w:p w14:paraId="46009D0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USP SI Campus</w:t>
            </w:r>
          </w:p>
        </w:tc>
        <w:tc>
          <w:tcPr>
            <w:tcW w:w="2260" w:type="dxa"/>
            <w:tcBorders>
              <w:top w:val="nil"/>
              <w:left w:val="nil"/>
              <w:bottom w:val="single" w:sz="4" w:space="0" w:color="auto"/>
              <w:right w:val="single" w:sz="4" w:space="0" w:color="auto"/>
            </w:tcBorders>
            <w:shd w:val="clear" w:color="auto" w:fill="auto"/>
            <w:noWrap/>
            <w:vAlign w:val="center"/>
            <w:hideMark/>
          </w:tcPr>
          <w:p w14:paraId="2095AC6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0E79AFE" w14:textId="77777777" w:rsidTr="00BE57C8">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74F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JICA On-the-Job Training – Soft Component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AFAE81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23</w:t>
            </w:r>
            <w:r w:rsidRPr="00BE57C8">
              <w:rPr>
                <w:sz w:val="18"/>
                <w:szCs w:val="18"/>
                <w:vertAlign w:val="superscript"/>
                <w:lang w:val="en-NZ" w:eastAsia="en-NZ"/>
              </w:rPr>
              <w:t>rd</w:t>
            </w:r>
            <w:r w:rsidRPr="00BE57C8">
              <w:rPr>
                <w:sz w:val="18"/>
                <w:szCs w:val="18"/>
                <w:lang w:val="en-NZ" w:eastAsia="en-NZ"/>
              </w:rPr>
              <w:t xml:space="preserve"> – 25</w:t>
            </w:r>
            <w:r w:rsidRPr="00BE57C8">
              <w:rPr>
                <w:sz w:val="18"/>
                <w:szCs w:val="18"/>
                <w:vertAlign w:val="superscript"/>
                <w:lang w:val="en-NZ" w:eastAsia="en-NZ"/>
              </w:rPr>
              <w:t>th</w:t>
            </w:r>
            <w:r w:rsidRPr="00BE57C8">
              <w:rPr>
                <w:sz w:val="18"/>
                <w:szCs w:val="18"/>
                <w:lang w:val="en-NZ" w:eastAsia="en-NZ"/>
              </w:rPr>
              <w:t xml:space="preserve"> September, 2013</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6A6BBA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57AEFA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 hours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849CE8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Classroom Training in preparation for On-the-Job Training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2844B7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at the Solomon Water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484EC4FB"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15</w:t>
            </w:r>
          </w:p>
        </w:tc>
      </w:tr>
      <w:tr w:rsidR="00BE57C8" w:rsidRPr="00BE57C8" w14:paraId="59784A76"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031B28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Health &amp; Safety Training</w:t>
            </w:r>
          </w:p>
        </w:tc>
        <w:tc>
          <w:tcPr>
            <w:tcW w:w="1940" w:type="dxa"/>
            <w:tcBorders>
              <w:top w:val="nil"/>
              <w:left w:val="nil"/>
              <w:bottom w:val="single" w:sz="4" w:space="0" w:color="auto"/>
              <w:right w:val="single" w:sz="4" w:space="0" w:color="auto"/>
            </w:tcBorders>
            <w:shd w:val="clear" w:color="auto" w:fill="auto"/>
            <w:vAlign w:val="center"/>
            <w:hideMark/>
          </w:tcPr>
          <w:p w14:paraId="2D9ABDF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w:t>
            </w:r>
            <w:r w:rsidRPr="00BE57C8">
              <w:rPr>
                <w:sz w:val="18"/>
                <w:szCs w:val="18"/>
                <w:vertAlign w:val="superscript"/>
                <w:lang w:val="en-NZ" w:eastAsia="en-NZ"/>
              </w:rPr>
              <w:t>th</w:t>
            </w:r>
            <w:r w:rsidRPr="00BE57C8">
              <w:rPr>
                <w:sz w:val="18"/>
                <w:szCs w:val="18"/>
                <w:lang w:val="en-NZ" w:eastAsia="en-NZ"/>
              </w:rPr>
              <w:t xml:space="preserve"> October, 2013</w:t>
            </w:r>
          </w:p>
        </w:tc>
        <w:tc>
          <w:tcPr>
            <w:tcW w:w="1940" w:type="dxa"/>
            <w:tcBorders>
              <w:top w:val="nil"/>
              <w:left w:val="nil"/>
              <w:bottom w:val="single" w:sz="4" w:space="0" w:color="auto"/>
              <w:right w:val="single" w:sz="4" w:space="0" w:color="auto"/>
            </w:tcBorders>
            <w:shd w:val="clear" w:color="auto" w:fill="auto"/>
            <w:vAlign w:val="center"/>
            <w:hideMark/>
          </w:tcPr>
          <w:p w14:paraId="2477375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0C924FA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hours</w:t>
            </w:r>
          </w:p>
        </w:tc>
        <w:tc>
          <w:tcPr>
            <w:tcW w:w="1940" w:type="dxa"/>
            <w:tcBorders>
              <w:top w:val="nil"/>
              <w:left w:val="nil"/>
              <w:bottom w:val="single" w:sz="4" w:space="0" w:color="auto"/>
              <w:right w:val="single" w:sz="4" w:space="0" w:color="auto"/>
            </w:tcBorders>
            <w:shd w:val="clear" w:color="auto" w:fill="auto"/>
            <w:vAlign w:val="center"/>
            <w:hideMark/>
          </w:tcPr>
          <w:p w14:paraId="6405C39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In-house Training</w:t>
            </w:r>
          </w:p>
        </w:tc>
        <w:tc>
          <w:tcPr>
            <w:tcW w:w="1940" w:type="dxa"/>
            <w:tcBorders>
              <w:top w:val="nil"/>
              <w:left w:val="nil"/>
              <w:bottom w:val="single" w:sz="4" w:space="0" w:color="auto"/>
              <w:right w:val="single" w:sz="4" w:space="0" w:color="auto"/>
            </w:tcBorders>
            <w:shd w:val="clear" w:color="auto" w:fill="auto"/>
            <w:vAlign w:val="center"/>
            <w:hideMark/>
          </w:tcPr>
          <w:p w14:paraId="4C2CFAC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Megg &amp; Silas at SIWA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749D815A"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10</w:t>
            </w:r>
          </w:p>
        </w:tc>
      </w:tr>
      <w:tr w:rsidR="00BE57C8" w:rsidRPr="00BE57C8" w14:paraId="09DA20B9"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6CD78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JICA NWR Training, Japan</w:t>
            </w:r>
          </w:p>
        </w:tc>
        <w:tc>
          <w:tcPr>
            <w:tcW w:w="1940" w:type="dxa"/>
            <w:tcBorders>
              <w:top w:val="nil"/>
              <w:left w:val="nil"/>
              <w:bottom w:val="single" w:sz="4" w:space="0" w:color="auto"/>
              <w:right w:val="single" w:sz="4" w:space="0" w:color="auto"/>
            </w:tcBorders>
            <w:shd w:val="clear" w:color="auto" w:fill="auto"/>
            <w:vAlign w:val="center"/>
            <w:hideMark/>
          </w:tcPr>
          <w:p w14:paraId="43A59AD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7</w:t>
            </w:r>
            <w:r w:rsidRPr="00BE57C8">
              <w:rPr>
                <w:sz w:val="18"/>
                <w:szCs w:val="18"/>
                <w:vertAlign w:val="superscript"/>
                <w:lang w:val="en-NZ" w:eastAsia="en-NZ"/>
              </w:rPr>
              <w:t>th</w:t>
            </w:r>
            <w:r w:rsidRPr="00BE57C8">
              <w:rPr>
                <w:sz w:val="18"/>
                <w:szCs w:val="18"/>
                <w:lang w:val="en-NZ" w:eastAsia="en-NZ"/>
              </w:rPr>
              <w:t xml:space="preserve"> – 25</w:t>
            </w:r>
            <w:r w:rsidRPr="00BE57C8">
              <w:rPr>
                <w:sz w:val="18"/>
                <w:szCs w:val="18"/>
                <w:vertAlign w:val="superscript"/>
                <w:lang w:val="en-NZ" w:eastAsia="en-NZ"/>
              </w:rPr>
              <w:t>th</w:t>
            </w:r>
            <w:r w:rsidRPr="00BE57C8">
              <w:rPr>
                <w:sz w:val="18"/>
                <w:szCs w:val="18"/>
                <w:lang w:val="en-NZ" w:eastAsia="en-NZ"/>
              </w:rPr>
              <w:t xml:space="preserve"> October, 2013</w:t>
            </w:r>
          </w:p>
        </w:tc>
        <w:tc>
          <w:tcPr>
            <w:tcW w:w="1940" w:type="dxa"/>
            <w:tcBorders>
              <w:top w:val="nil"/>
              <w:left w:val="nil"/>
              <w:bottom w:val="single" w:sz="4" w:space="0" w:color="auto"/>
              <w:right w:val="single" w:sz="4" w:space="0" w:color="auto"/>
            </w:tcBorders>
            <w:shd w:val="clear" w:color="auto" w:fill="auto"/>
            <w:vAlign w:val="center"/>
            <w:hideMark/>
          </w:tcPr>
          <w:p w14:paraId="43328D3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Funded by JICA but SIWA paid US$1,000.00 for outfit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05603FA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19 days</w:t>
            </w:r>
          </w:p>
        </w:tc>
        <w:tc>
          <w:tcPr>
            <w:tcW w:w="1940" w:type="dxa"/>
            <w:tcBorders>
              <w:top w:val="nil"/>
              <w:left w:val="nil"/>
              <w:bottom w:val="single" w:sz="4" w:space="0" w:color="auto"/>
              <w:right w:val="single" w:sz="4" w:space="0" w:color="auto"/>
            </w:tcBorders>
            <w:shd w:val="clear" w:color="auto" w:fill="auto"/>
            <w:vAlign w:val="center"/>
            <w:hideMark/>
          </w:tcPr>
          <w:p w14:paraId="5877179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6BD052C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in Japan</w:t>
            </w:r>
          </w:p>
        </w:tc>
        <w:tc>
          <w:tcPr>
            <w:tcW w:w="2260" w:type="dxa"/>
            <w:tcBorders>
              <w:top w:val="nil"/>
              <w:left w:val="nil"/>
              <w:bottom w:val="single" w:sz="4" w:space="0" w:color="auto"/>
              <w:right w:val="single" w:sz="4" w:space="0" w:color="auto"/>
            </w:tcBorders>
            <w:shd w:val="clear" w:color="auto" w:fill="auto"/>
            <w:noWrap/>
            <w:vAlign w:val="center"/>
            <w:hideMark/>
          </w:tcPr>
          <w:p w14:paraId="3205214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4</w:t>
            </w:r>
          </w:p>
        </w:tc>
      </w:tr>
      <w:tr w:rsidR="00BE57C8" w:rsidRPr="00BE57C8" w14:paraId="0813B71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02605B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Benchmarking Workshop &amp; Pacific Water Conference &amp; Expo, Cook Islands</w:t>
            </w:r>
          </w:p>
        </w:tc>
        <w:tc>
          <w:tcPr>
            <w:tcW w:w="1940" w:type="dxa"/>
            <w:tcBorders>
              <w:top w:val="nil"/>
              <w:left w:val="nil"/>
              <w:bottom w:val="single" w:sz="4" w:space="0" w:color="auto"/>
              <w:right w:val="single" w:sz="4" w:space="0" w:color="auto"/>
            </w:tcBorders>
            <w:shd w:val="clear" w:color="auto" w:fill="auto"/>
            <w:vAlign w:val="center"/>
            <w:hideMark/>
          </w:tcPr>
          <w:p w14:paraId="1DB6134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11</w:t>
            </w:r>
            <w:r w:rsidRPr="00BE57C8">
              <w:rPr>
                <w:sz w:val="18"/>
                <w:szCs w:val="18"/>
                <w:vertAlign w:val="superscript"/>
                <w:lang w:val="en-NZ" w:eastAsia="en-NZ"/>
              </w:rPr>
              <w:t>th</w:t>
            </w:r>
            <w:r w:rsidRPr="00BE57C8">
              <w:rPr>
                <w:sz w:val="18"/>
                <w:szCs w:val="18"/>
                <w:lang w:val="en-NZ" w:eastAsia="en-NZ"/>
              </w:rPr>
              <w:t xml:space="preserve"> – 15</w:t>
            </w:r>
            <w:r w:rsidRPr="00BE57C8">
              <w:rPr>
                <w:sz w:val="18"/>
                <w:szCs w:val="18"/>
                <w:vertAlign w:val="superscript"/>
                <w:lang w:val="en-NZ" w:eastAsia="en-NZ"/>
              </w:rPr>
              <w:t>th</w:t>
            </w:r>
            <w:r w:rsidRPr="00BE57C8">
              <w:rPr>
                <w:sz w:val="18"/>
                <w:szCs w:val="18"/>
                <w:lang w:val="en-NZ" w:eastAsia="en-NZ"/>
              </w:rPr>
              <w:t xml:space="preserve"> November, 2013</w:t>
            </w:r>
          </w:p>
        </w:tc>
        <w:tc>
          <w:tcPr>
            <w:tcW w:w="1940" w:type="dxa"/>
            <w:tcBorders>
              <w:top w:val="nil"/>
              <w:left w:val="nil"/>
              <w:bottom w:val="single" w:sz="4" w:space="0" w:color="auto"/>
              <w:right w:val="single" w:sz="4" w:space="0" w:color="auto"/>
            </w:tcBorders>
            <w:shd w:val="clear" w:color="auto" w:fill="auto"/>
            <w:vAlign w:val="center"/>
            <w:hideMark/>
          </w:tcPr>
          <w:p w14:paraId="6D0E3D71"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Fully funded by SIWA</w:t>
            </w:r>
          </w:p>
        </w:tc>
        <w:tc>
          <w:tcPr>
            <w:tcW w:w="1940" w:type="dxa"/>
            <w:tcBorders>
              <w:top w:val="nil"/>
              <w:left w:val="nil"/>
              <w:bottom w:val="single" w:sz="4" w:space="0" w:color="auto"/>
              <w:right w:val="single" w:sz="4" w:space="0" w:color="auto"/>
            </w:tcBorders>
            <w:shd w:val="clear" w:color="auto" w:fill="auto"/>
            <w:vAlign w:val="center"/>
            <w:hideMark/>
          </w:tcPr>
          <w:p w14:paraId="5658102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days</w:t>
            </w:r>
          </w:p>
        </w:tc>
        <w:tc>
          <w:tcPr>
            <w:tcW w:w="1940" w:type="dxa"/>
            <w:tcBorders>
              <w:top w:val="nil"/>
              <w:left w:val="nil"/>
              <w:bottom w:val="single" w:sz="4" w:space="0" w:color="auto"/>
              <w:right w:val="single" w:sz="4" w:space="0" w:color="auto"/>
            </w:tcBorders>
            <w:shd w:val="clear" w:color="auto" w:fill="auto"/>
            <w:vAlign w:val="center"/>
            <w:hideMark/>
          </w:tcPr>
          <w:p w14:paraId="0B70D55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Workshop &amp; Conference</w:t>
            </w:r>
          </w:p>
        </w:tc>
        <w:tc>
          <w:tcPr>
            <w:tcW w:w="1940" w:type="dxa"/>
            <w:tcBorders>
              <w:top w:val="nil"/>
              <w:left w:val="nil"/>
              <w:bottom w:val="single" w:sz="4" w:space="0" w:color="auto"/>
              <w:right w:val="single" w:sz="4" w:space="0" w:color="auto"/>
            </w:tcBorders>
            <w:shd w:val="clear" w:color="auto" w:fill="auto"/>
            <w:vAlign w:val="center"/>
            <w:hideMark/>
          </w:tcPr>
          <w:p w14:paraId="02B4C89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Pacific Water Association, Cook Islands</w:t>
            </w:r>
          </w:p>
        </w:tc>
        <w:tc>
          <w:tcPr>
            <w:tcW w:w="2260" w:type="dxa"/>
            <w:tcBorders>
              <w:top w:val="nil"/>
              <w:left w:val="nil"/>
              <w:bottom w:val="single" w:sz="4" w:space="0" w:color="auto"/>
              <w:right w:val="single" w:sz="4" w:space="0" w:color="auto"/>
            </w:tcBorders>
            <w:shd w:val="clear" w:color="auto" w:fill="auto"/>
            <w:noWrap/>
            <w:vAlign w:val="center"/>
            <w:hideMark/>
          </w:tcPr>
          <w:p w14:paraId="6C8010D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3</w:t>
            </w:r>
          </w:p>
        </w:tc>
      </w:tr>
      <w:tr w:rsidR="00BE57C8" w:rsidRPr="00BE57C8" w14:paraId="726045F0"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764D9BB" w14:textId="77777777" w:rsidR="00BE57C8" w:rsidRPr="00BE57C8" w:rsidRDefault="00BE57C8" w:rsidP="00BE57C8">
            <w:pPr>
              <w:spacing w:before="0" w:after="0" w:line="240" w:lineRule="auto"/>
              <w:jc w:val="right"/>
              <w:rPr>
                <w:b/>
                <w:bCs/>
                <w:sz w:val="18"/>
                <w:szCs w:val="18"/>
                <w:lang w:val="en-NZ" w:eastAsia="en-NZ"/>
              </w:rPr>
            </w:pPr>
            <w:r w:rsidRPr="00BE57C8">
              <w:rPr>
                <w:b/>
                <w:bCs/>
                <w:sz w:val="18"/>
                <w:szCs w:val="18"/>
                <w:lang w:val="en-NZ" w:eastAsia="en-NZ"/>
              </w:rPr>
              <w:t>2014</w:t>
            </w:r>
          </w:p>
        </w:tc>
        <w:tc>
          <w:tcPr>
            <w:tcW w:w="1940" w:type="dxa"/>
            <w:tcBorders>
              <w:top w:val="nil"/>
              <w:left w:val="nil"/>
              <w:bottom w:val="single" w:sz="4" w:space="0" w:color="auto"/>
              <w:right w:val="single" w:sz="4" w:space="0" w:color="auto"/>
            </w:tcBorders>
            <w:shd w:val="clear" w:color="auto" w:fill="auto"/>
            <w:vAlign w:val="center"/>
            <w:hideMark/>
          </w:tcPr>
          <w:p w14:paraId="7301C0F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25556CA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5936D65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27C9382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6D7CB9C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2260" w:type="dxa"/>
            <w:tcBorders>
              <w:top w:val="nil"/>
              <w:left w:val="nil"/>
              <w:bottom w:val="single" w:sz="4" w:space="0" w:color="auto"/>
              <w:right w:val="single" w:sz="4" w:space="0" w:color="auto"/>
            </w:tcBorders>
            <w:shd w:val="clear" w:color="auto" w:fill="auto"/>
            <w:noWrap/>
            <w:vAlign w:val="center"/>
            <w:hideMark/>
          </w:tcPr>
          <w:p w14:paraId="64F050F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r>
      <w:tr w:rsidR="00BE57C8" w:rsidRPr="00BE57C8" w14:paraId="5C50B75B"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267F95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Customer Service Training</w:t>
            </w:r>
          </w:p>
        </w:tc>
        <w:tc>
          <w:tcPr>
            <w:tcW w:w="1940" w:type="dxa"/>
            <w:tcBorders>
              <w:top w:val="nil"/>
              <w:left w:val="nil"/>
              <w:bottom w:val="single" w:sz="4" w:space="0" w:color="auto"/>
              <w:right w:val="single" w:sz="4" w:space="0" w:color="auto"/>
            </w:tcBorders>
            <w:shd w:val="clear" w:color="auto" w:fill="auto"/>
            <w:vAlign w:val="center"/>
            <w:hideMark/>
          </w:tcPr>
          <w:p w14:paraId="19D4F02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12</w:t>
            </w:r>
            <w:r w:rsidRPr="00BE57C8">
              <w:rPr>
                <w:sz w:val="18"/>
                <w:szCs w:val="18"/>
                <w:vertAlign w:val="superscript"/>
                <w:lang w:val="en-NZ" w:eastAsia="en-NZ"/>
              </w:rPr>
              <w:t>th</w:t>
            </w:r>
            <w:r w:rsidRPr="00BE57C8">
              <w:rPr>
                <w:sz w:val="18"/>
                <w:szCs w:val="18"/>
                <w:lang w:val="en-NZ" w:eastAsia="en-NZ"/>
              </w:rPr>
              <w:t xml:space="preserve"> February, 2014</w:t>
            </w:r>
          </w:p>
        </w:tc>
        <w:tc>
          <w:tcPr>
            <w:tcW w:w="1940" w:type="dxa"/>
            <w:tcBorders>
              <w:top w:val="nil"/>
              <w:left w:val="nil"/>
              <w:bottom w:val="single" w:sz="4" w:space="0" w:color="auto"/>
              <w:right w:val="single" w:sz="4" w:space="0" w:color="auto"/>
            </w:tcBorders>
            <w:shd w:val="clear" w:color="auto" w:fill="auto"/>
            <w:vAlign w:val="center"/>
            <w:hideMark/>
          </w:tcPr>
          <w:p w14:paraId="190D932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nil"/>
              <w:left w:val="nil"/>
              <w:bottom w:val="single" w:sz="4" w:space="0" w:color="auto"/>
              <w:right w:val="single" w:sz="4" w:space="0" w:color="auto"/>
            </w:tcBorders>
            <w:shd w:val="clear" w:color="auto" w:fill="auto"/>
            <w:vAlign w:val="center"/>
            <w:hideMark/>
          </w:tcPr>
          <w:p w14:paraId="38D4407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9:00am – 4:00pm (6 hours) </w:t>
            </w:r>
          </w:p>
        </w:tc>
        <w:tc>
          <w:tcPr>
            <w:tcW w:w="1940" w:type="dxa"/>
            <w:tcBorders>
              <w:top w:val="nil"/>
              <w:left w:val="nil"/>
              <w:bottom w:val="single" w:sz="4" w:space="0" w:color="auto"/>
              <w:right w:val="single" w:sz="4" w:space="0" w:color="auto"/>
            </w:tcBorders>
            <w:shd w:val="clear" w:color="auto" w:fill="auto"/>
            <w:vAlign w:val="center"/>
            <w:hideMark/>
          </w:tcPr>
          <w:p w14:paraId="41B9557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 Locally</w:t>
            </w:r>
          </w:p>
        </w:tc>
        <w:tc>
          <w:tcPr>
            <w:tcW w:w="1940" w:type="dxa"/>
            <w:tcBorders>
              <w:top w:val="nil"/>
              <w:left w:val="nil"/>
              <w:bottom w:val="single" w:sz="4" w:space="0" w:color="auto"/>
              <w:right w:val="single" w:sz="4" w:space="0" w:color="auto"/>
            </w:tcBorders>
            <w:shd w:val="clear" w:color="auto" w:fill="auto"/>
            <w:vAlign w:val="center"/>
            <w:hideMark/>
          </w:tcPr>
          <w:p w14:paraId="7E10A05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USP SI Campus and held at Bokolo Building.</w:t>
            </w:r>
          </w:p>
        </w:tc>
        <w:tc>
          <w:tcPr>
            <w:tcW w:w="2260" w:type="dxa"/>
            <w:tcBorders>
              <w:top w:val="nil"/>
              <w:left w:val="nil"/>
              <w:bottom w:val="single" w:sz="4" w:space="0" w:color="auto"/>
              <w:right w:val="single" w:sz="4" w:space="0" w:color="auto"/>
            </w:tcBorders>
            <w:shd w:val="clear" w:color="auto" w:fill="auto"/>
            <w:noWrap/>
            <w:vAlign w:val="center"/>
            <w:hideMark/>
          </w:tcPr>
          <w:p w14:paraId="5EE3982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28</w:t>
            </w:r>
          </w:p>
        </w:tc>
      </w:tr>
      <w:tr w:rsidR="00BE57C8" w:rsidRPr="00BE57C8" w14:paraId="624FA421"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F96F7D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Team Building Training</w:t>
            </w:r>
          </w:p>
        </w:tc>
        <w:tc>
          <w:tcPr>
            <w:tcW w:w="1940" w:type="dxa"/>
            <w:tcBorders>
              <w:top w:val="nil"/>
              <w:left w:val="nil"/>
              <w:bottom w:val="single" w:sz="4" w:space="0" w:color="auto"/>
              <w:right w:val="single" w:sz="4" w:space="0" w:color="auto"/>
            </w:tcBorders>
            <w:shd w:val="clear" w:color="auto" w:fill="auto"/>
            <w:vAlign w:val="center"/>
            <w:hideMark/>
          </w:tcPr>
          <w:p w14:paraId="7DAE245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13</w:t>
            </w:r>
            <w:r w:rsidRPr="00BE57C8">
              <w:rPr>
                <w:sz w:val="18"/>
                <w:szCs w:val="18"/>
                <w:vertAlign w:val="superscript"/>
                <w:lang w:val="en-NZ" w:eastAsia="en-NZ"/>
              </w:rPr>
              <w:t>th</w:t>
            </w:r>
            <w:r w:rsidRPr="00BE57C8">
              <w:rPr>
                <w:sz w:val="18"/>
                <w:szCs w:val="18"/>
                <w:lang w:val="en-NZ" w:eastAsia="en-NZ"/>
              </w:rPr>
              <w:t xml:space="preserve"> February, 2014</w:t>
            </w:r>
          </w:p>
        </w:tc>
        <w:tc>
          <w:tcPr>
            <w:tcW w:w="1940" w:type="dxa"/>
            <w:tcBorders>
              <w:top w:val="nil"/>
              <w:left w:val="nil"/>
              <w:bottom w:val="single" w:sz="4" w:space="0" w:color="auto"/>
              <w:right w:val="single" w:sz="4" w:space="0" w:color="auto"/>
            </w:tcBorders>
            <w:shd w:val="clear" w:color="auto" w:fill="auto"/>
            <w:vAlign w:val="center"/>
            <w:hideMark/>
          </w:tcPr>
          <w:p w14:paraId="1CB5949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w:t>
            </w:r>
          </w:p>
        </w:tc>
        <w:tc>
          <w:tcPr>
            <w:tcW w:w="1940" w:type="dxa"/>
            <w:tcBorders>
              <w:top w:val="nil"/>
              <w:left w:val="nil"/>
              <w:bottom w:val="single" w:sz="4" w:space="0" w:color="auto"/>
              <w:right w:val="single" w:sz="4" w:space="0" w:color="auto"/>
            </w:tcBorders>
            <w:shd w:val="clear" w:color="auto" w:fill="auto"/>
            <w:vAlign w:val="center"/>
            <w:hideMark/>
          </w:tcPr>
          <w:p w14:paraId="7D1172E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9:00am – 4:00pm (6 hours) </w:t>
            </w:r>
          </w:p>
        </w:tc>
        <w:tc>
          <w:tcPr>
            <w:tcW w:w="1940" w:type="dxa"/>
            <w:tcBorders>
              <w:top w:val="nil"/>
              <w:left w:val="nil"/>
              <w:bottom w:val="single" w:sz="4" w:space="0" w:color="auto"/>
              <w:right w:val="single" w:sz="4" w:space="0" w:color="auto"/>
            </w:tcBorders>
            <w:shd w:val="clear" w:color="auto" w:fill="auto"/>
            <w:vAlign w:val="center"/>
            <w:hideMark/>
          </w:tcPr>
          <w:p w14:paraId="2171641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 Locally</w:t>
            </w:r>
          </w:p>
        </w:tc>
        <w:tc>
          <w:tcPr>
            <w:tcW w:w="1940" w:type="dxa"/>
            <w:tcBorders>
              <w:top w:val="nil"/>
              <w:left w:val="nil"/>
              <w:bottom w:val="single" w:sz="4" w:space="0" w:color="auto"/>
              <w:right w:val="single" w:sz="4" w:space="0" w:color="auto"/>
            </w:tcBorders>
            <w:shd w:val="clear" w:color="auto" w:fill="auto"/>
            <w:vAlign w:val="center"/>
            <w:hideMark/>
          </w:tcPr>
          <w:p w14:paraId="161A1A2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USP SI Campus and held at Bokolo Building.</w:t>
            </w:r>
          </w:p>
        </w:tc>
        <w:tc>
          <w:tcPr>
            <w:tcW w:w="2260" w:type="dxa"/>
            <w:tcBorders>
              <w:top w:val="nil"/>
              <w:left w:val="nil"/>
              <w:bottom w:val="single" w:sz="4" w:space="0" w:color="auto"/>
              <w:right w:val="single" w:sz="4" w:space="0" w:color="auto"/>
            </w:tcBorders>
            <w:shd w:val="clear" w:color="auto" w:fill="auto"/>
            <w:noWrap/>
            <w:vAlign w:val="center"/>
            <w:hideMark/>
          </w:tcPr>
          <w:p w14:paraId="026B1D4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22</w:t>
            </w:r>
          </w:p>
        </w:tc>
      </w:tr>
      <w:tr w:rsidR="00BE57C8" w:rsidRPr="00BE57C8" w14:paraId="06F5A202"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45876A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MS Excel Training (Intermediate Level)</w:t>
            </w:r>
          </w:p>
        </w:tc>
        <w:tc>
          <w:tcPr>
            <w:tcW w:w="1940" w:type="dxa"/>
            <w:tcBorders>
              <w:top w:val="nil"/>
              <w:left w:val="nil"/>
              <w:bottom w:val="single" w:sz="4" w:space="0" w:color="auto"/>
              <w:right w:val="single" w:sz="4" w:space="0" w:color="auto"/>
            </w:tcBorders>
            <w:shd w:val="clear" w:color="auto" w:fill="auto"/>
            <w:vAlign w:val="center"/>
            <w:hideMark/>
          </w:tcPr>
          <w:p w14:paraId="70CDE93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11</w:t>
            </w:r>
            <w:r w:rsidRPr="00BE57C8">
              <w:rPr>
                <w:sz w:val="18"/>
                <w:szCs w:val="18"/>
                <w:vertAlign w:val="superscript"/>
                <w:lang w:val="en-NZ" w:eastAsia="en-NZ"/>
              </w:rPr>
              <w:t>th</w:t>
            </w:r>
            <w:r w:rsidRPr="00BE57C8">
              <w:rPr>
                <w:sz w:val="18"/>
                <w:szCs w:val="18"/>
                <w:lang w:val="en-NZ" w:eastAsia="en-NZ"/>
              </w:rPr>
              <w:t xml:space="preserve"> March, 2014</w:t>
            </w:r>
          </w:p>
        </w:tc>
        <w:tc>
          <w:tcPr>
            <w:tcW w:w="1940" w:type="dxa"/>
            <w:tcBorders>
              <w:top w:val="nil"/>
              <w:left w:val="nil"/>
              <w:bottom w:val="single" w:sz="4" w:space="0" w:color="auto"/>
              <w:right w:val="single" w:sz="4" w:space="0" w:color="auto"/>
            </w:tcBorders>
            <w:shd w:val="clear" w:color="auto" w:fill="auto"/>
            <w:vAlign w:val="center"/>
            <w:hideMark/>
          </w:tcPr>
          <w:p w14:paraId="2679EF4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2EDD451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9:30am – 3:30pm (5 hours</w:t>
            </w:r>
          </w:p>
        </w:tc>
        <w:tc>
          <w:tcPr>
            <w:tcW w:w="1940" w:type="dxa"/>
            <w:tcBorders>
              <w:top w:val="nil"/>
              <w:left w:val="nil"/>
              <w:bottom w:val="single" w:sz="4" w:space="0" w:color="auto"/>
              <w:right w:val="single" w:sz="4" w:space="0" w:color="auto"/>
            </w:tcBorders>
            <w:shd w:val="clear" w:color="auto" w:fill="auto"/>
            <w:vAlign w:val="center"/>
            <w:hideMark/>
          </w:tcPr>
          <w:p w14:paraId="79B07C7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In-house Training</w:t>
            </w:r>
          </w:p>
        </w:tc>
        <w:tc>
          <w:tcPr>
            <w:tcW w:w="1940" w:type="dxa"/>
            <w:tcBorders>
              <w:top w:val="nil"/>
              <w:left w:val="nil"/>
              <w:bottom w:val="single" w:sz="4" w:space="0" w:color="auto"/>
              <w:right w:val="single" w:sz="4" w:space="0" w:color="auto"/>
            </w:tcBorders>
            <w:shd w:val="clear" w:color="auto" w:fill="auto"/>
            <w:vAlign w:val="center"/>
            <w:hideMark/>
          </w:tcPr>
          <w:p w14:paraId="02A2C2E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Smith Daffe (IT Team Leader)</w:t>
            </w:r>
          </w:p>
        </w:tc>
        <w:tc>
          <w:tcPr>
            <w:tcW w:w="2260" w:type="dxa"/>
            <w:tcBorders>
              <w:top w:val="nil"/>
              <w:left w:val="nil"/>
              <w:bottom w:val="single" w:sz="4" w:space="0" w:color="auto"/>
              <w:right w:val="single" w:sz="4" w:space="0" w:color="auto"/>
            </w:tcBorders>
            <w:shd w:val="clear" w:color="auto" w:fill="auto"/>
            <w:noWrap/>
            <w:vAlign w:val="center"/>
            <w:hideMark/>
          </w:tcPr>
          <w:p w14:paraId="391C1F9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11</w:t>
            </w:r>
          </w:p>
        </w:tc>
      </w:tr>
      <w:tr w:rsidR="00BE57C8" w:rsidRPr="00BE57C8" w14:paraId="4C65C2B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854D44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Basic Computer Training</w:t>
            </w:r>
          </w:p>
        </w:tc>
        <w:tc>
          <w:tcPr>
            <w:tcW w:w="1940" w:type="dxa"/>
            <w:tcBorders>
              <w:top w:val="nil"/>
              <w:left w:val="nil"/>
              <w:bottom w:val="single" w:sz="4" w:space="0" w:color="auto"/>
              <w:right w:val="single" w:sz="4" w:space="0" w:color="auto"/>
            </w:tcBorders>
            <w:shd w:val="clear" w:color="auto" w:fill="auto"/>
            <w:vAlign w:val="center"/>
            <w:hideMark/>
          </w:tcPr>
          <w:p w14:paraId="0960B8C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12</w:t>
            </w:r>
            <w:r w:rsidRPr="00BE57C8">
              <w:rPr>
                <w:sz w:val="18"/>
                <w:szCs w:val="18"/>
                <w:vertAlign w:val="superscript"/>
                <w:lang w:val="en-NZ" w:eastAsia="en-NZ"/>
              </w:rPr>
              <w:t>th</w:t>
            </w:r>
            <w:r w:rsidRPr="00BE57C8">
              <w:rPr>
                <w:sz w:val="18"/>
                <w:szCs w:val="18"/>
                <w:lang w:val="en-NZ" w:eastAsia="en-NZ"/>
              </w:rPr>
              <w:t xml:space="preserve"> March, 2014</w:t>
            </w:r>
          </w:p>
        </w:tc>
        <w:tc>
          <w:tcPr>
            <w:tcW w:w="1940" w:type="dxa"/>
            <w:tcBorders>
              <w:top w:val="nil"/>
              <w:left w:val="nil"/>
              <w:bottom w:val="single" w:sz="4" w:space="0" w:color="auto"/>
              <w:right w:val="single" w:sz="4" w:space="0" w:color="auto"/>
            </w:tcBorders>
            <w:shd w:val="clear" w:color="auto" w:fill="auto"/>
            <w:vAlign w:val="center"/>
            <w:hideMark/>
          </w:tcPr>
          <w:p w14:paraId="5E9D965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5E9D5E9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9:00am – 12:00pm (3 hours</w:t>
            </w:r>
          </w:p>
        </w:tc>
        <w:tc>
          <w:tcPr>
            <w:tcW w:w="1940" w:type="dxa"/>
            <w:tcBorders>
              <w:top w:val="nil"/>
              <w:left w:val="nil"/>
              <w:bottom w:val="single" w:sz="4" w:space="0" w:color="auto"/>
              <w:right w:val="single" w:sz="4" w:space="0" w:color="auto"/>
            </w:tcBorders>
            <w:shd w:val="clear" w:color="auto" w:fill="auto"/>
            <w:vAlign w:val="center"/>
            <w:hideMark/>
          </w:tcPr>
          <w:p w14:paraId="5642E90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In-house Training</w:t>
            </w:r>
          </w:p>
        </w:tc>
        <w:tc>
          <w:tcPr>
            <w:tcW w:w="1940" w:type="dxa"/>
            <w:tcBorders>
              <w:top w:val="nil"/>
              <w:left w:val="nil"/>
              <w:bottom w:val="single" w:sz="4" w:space="0" w:color="auto"/>
              <w:right w:val="single" w:sz="4" w:space="0" w:color="auto"/>
            </w:tcBorders>
            <w:shd w:val="clear" w:color="auto" w:fill="auto"/>
            <w:vAlign w:val="center"/>
            <w:hideMark/>
          </w:tcPr>
          <w:p w14:paraId="5FF1818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Smith Daffe (IT Team Leader</w:t>
            </w:r>
          </w:p>
        </w:tc>
        <w:tc>
          <w:tcPr>
            <w:tcW w:w="2260" w:type="dxa"/>
            <w:tcBorders>
              <w:top w:val="nil"/>
              <w:left w:val="nil"/>
              <w:bottom w:val="single" w:sz="4" w:space="0" w:color="auto"/>
              <w:right w:val="single" w:sz="4" w:space="0" w:color="auto"/>
            </w:tcBorders>
            <w:shd w:val="clear" w:color="auto" w:fill="auto"/>
            <w:noWrap/>
            <w:vAlign w:val="center"/>
            <w:hideMark/>
          </w:tcPr>
          <w:p w14:paraId="4F034B1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9</w:t>
            </w:r>
          </w:p>
        </w:tc>
      </w:tr>
      <w:tr w:rsidR="00BE57C8" w:rsidRPr="00BE57C8" w14:paraId="44FE0484"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6ECF51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WASH Conference</w:t>
            </w:r>
          </w:p>
        </w:tc>
        <w:tc>
          <w:tcPr>
            <w:tcW w:w="1940" w:type="dxa"/>
            <w:tcBorders>
              <w:top w:val="nil"/>
              <w:left w:val="nil"/>
              <w:bottom w:val="single" w:sz="4" w:space="0" w:color="auto"/>
              <w:right w:val="single" w:sz="4" w:space="0" w:color="auto"/>
            </w:tcBorders>
            <w:shd w:val="clear" w:color="auto" w:fill="auto"/>
            <w:vAlign w:val="center"/>
            <w:hideMark/>
          </w:tcPr>
          <w:p w14:paraId="7B83A6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24</w:t>
            </w:r>
            <w:r w:rsidRPr="00BE57C8">
              <w:rPr>
                <w:sz w:val="18"/>
                <w:szCs w:val="18"/>
                <w:vertAlign w:val="superscript"/>
                <w:lang w:val="en-NZ" w:eastAsia="en-NZ"/>
              </w:rPr>
              <w:t>th</w:t>
            </w:r>
            <w:r w:rsidRPr="00BE57C8">
              <w:rPr>
                <w:sz w:val="18"/>
                <w:szCs w:val="18"/>
                <w:lang w:val="en-NZ" w:eastAsia="en-NZ"/>
              </w:rPr>
              <w:t xml:space="preserve"> to 28</w:t>
            </w:r>
            <w:r w:rsidRPr="00BE57C8">
              <w:rPr>
                <w:sz w:val="18"/>
                <w:szCs w:val="18"/>
                <w:vertAlign w:val="superscript"/>
                <w:lang w:val="en-NZ" w:eastAsia="en-NZ"/>
              </w:rPr>
              <w:t>th</w:t>
            </w:r>
            <w:r w:rsidRPr="00BE57C8">
              <w:rPr>
                <w:sz w:val="18"/>
                <w:szCs w:val="18"/>
                <w:lang w:val="en-NZ" w:eastAsia="en-NZ"/>
              </w:rPr>
              <w:t xml:space="preserve"> March, 2014</w:t>
            </w:r>
          </w:p>
        </w:tc>
        <w:tc>
          <w:tcPr>
            <w:tcW w:w="1940" w:type="dxa"/>
            <w:tcBorders>
              <w:top w:val="nil"/>
              <w:left w:val="nil"/>
              <w:bottom w:val="single" w:sz="4" w:space="0" w:color="auto"/>
              <w:right w:val="single" w:sz="4" w:space="0" w:color="auto"/>
            </w:tcBorders>
            <w:shd w:val="clear" w:color="auto" w:fill="auto"/>
            <w:vAlign w:val="center"/>
            <w:hideMark/>
          </w:tcPr>
          <w:p w14:paraId="0497AEC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Funded by Aust. Gov’t &amp; SW pay for outfit allowance</w:t>
            </w:r>
          </w:p>
        </w:tc>
        <w:tc>
          <w:tcPr>
            <w:tcW w:w="1940" w:type="dxa"/>
            <w:tcBorders>
              <w:top w:val="nil"/>
              <w:left w:val="nil"/>
              <w:bottom w:val="single" w:sz="4" w:space="0" w:color="auto"/>
              <w:right w:val="single" w:sz="4" w:space="0" w:color="auto"/>
            </w:tcBorders>
            <w:shd w:val="clear" w:color="auto" w:fill="auto"/>
            <w:vAlign w:val="center"/>
            <w:hideMark/>
          </w:tcPr>
          <w:p w14:paraId="4A1800B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 days</w:t>
            </w:r>
          </w:p>
        </w:tc>
        <w:tc>
          <w:tcPr>
            <w:tcW w:w="1940" w:type="dxa"/>
            <w:tcBorders>
              <w:top w:val="nil"/>
              <w:left w:val="nil"/>
              <w:bottom w:val="single" w:sz="4" w:space="0" w:color="auto"/>
              <w:right w:val="single" w:sz="4" w:space="0" w:color="auto"/>
            </w:tcBorders>
            <w:shd w:val="clear" w:color="auto" w:fill="auto"/>
            <w:vAlign w:val="center"/>
            <w:hideMark/>
          </w:tcPr>
          <w:p w14:paraId="15E1890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Conference</w:t>
            </w:r>
          </w:p>
        </w:tc>
        <w:tc>
          <w:tcPr>
            <w:tcW w:w="1940" w:type="dxa"/>
            <w:tcBorders>
              <w:top w:val="nil"/>
              <w:left w:val="nil"/>
              <w:bottom w:val="single" w:sz="4" w:space="0" w:color="auto"/>
              <w:right w:val="single" w:sz="4" w:space="0" w:color="auto"/>
            </w:tcBorders>
            <w:shd w:val="clear" w:color="auto" w:fill="auto"/>
            <w:vAlign w:val="center"/>
            <w:hideMark/>
          </w:tcPr>
          <w:p w14:paraId="0852FC7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Held in Brisbane, Australia</w:t>
            </w:r>
          </w:p>
        </w:tc>
        <w:tc>
          <w:tcPr>
            <w:tcW w:w="2260" w:type="dxa"/>
            <w:tcBorders>
              <w:top w:val="nil"/>
              <w:left w:val="nil"/>
              <w:bottom w:val="single" w:sz="4" w:space="0" w:color="auto"/>
              <w:right w:val="single" w:sz="4" w:space="0" w:color="auto"/>
            </w:tcBorders>
            <w:shd w:val="clear" w:color="auto" w:fill="auto"/>
            <w:noWrap/>
            <w:vAlign w:val="center"/>
            <w:hideMark/>
          </w:tcPr>
          <w:p w14:paraId="72ABD45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392C94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0001FFB" w14:textId="77777777" w:rsidR="00BE57C8" w:rsidRPr="00BE57C8" w:rsidRDefault="00CE100C" w:rsidP="00BE57C8">
            <w:pPr>
              <w:spacing w:before="0" w:after="0" w:line="240" w:lineRule="auto"/>
              <w:rPr>
                <w:sz w:val="18"/>
                <w:szCs w:val="18"/>
                <w:lang w:val="en-NZ" w:eastAsia="en-NZ"/>
              </w:rPr>
            </w:pPr>
            <w:r w:rsidRPr="00BE57C8">
              <w:rPr>
                <w:sz w:val="18"/>
                <w:szCs w:val="18"/>
                <w:lang w:val="en-NZ" w:eastAsia="en-NZ"/>
              </w:rPr>
              <w:t>Counselling</w:t>
            </w:r>
            <w:r w:rsidR="00BE57C8" w:rsidRPr="00BE57C8">
              <w:rPr>
                <w:sz w:val="18"/>
                <w:szCs w:val="18"/>
                <w:lang w:val="en-NZ" w:eastAsia="en-NZ"/>
              </w:rPr>
              <w:t xml:space="preserve"> Training</w:t>
            </w:r>
          </w:p>
        </w:tc>
        <w:tc>
          <w:tcPr>
            <w:tcW w:w="1940" w:type="dxa"/>
            <w:tcBorders>
              <w:top w:val="nil"/>
              <w:left w:val="nil"/>
              <w:bottom w:val="single" w:sz="4" w:space="0" w:color="auto"/>
              <w:right w:val="single" w:sz="4" w:space="0" w:color="auto"/>
            </w:tcBorders>
            <w:shd w:val="clear" w:color="auto" w:fill="auto"/>
            <w:vAlign w:val="center"/>
            <w:hideMark/>
          </w:tcPr>
          <w:p w14:paraId="7FD7CCD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28</w:t>
            </w:r>
            <w:r w:rsidRPr="00BE57C8">
              <w:rPr>
                <w:sz w:val="18"/>
                <w:szCs w:val="18"/>
                <w:vertAlign w:val="superscript"/>
                <w:lang w:val="en-NZ" w:eastAsia="en-NZ"/>
              </w:rPr>
              <w:t>th</w:t>
            </w:r>
            <w:r w:rsidRPr="00BE57C8">
              <w:rPr>
                <w:sz w:val="18"/>
                <w:szCs w:val="18"/>
                <w:lang w:val="en-NZ" w:eastAsia="en-NZ"/>
              </w:rPr>
              <w:t xml:space="preserve"> &amp; 29</w:t>
            </w:r>
            <w:r w:rsidRPr="00BE57C8">
              <w:rPr>
                <w:sz w:val="18"/>
                <w:szCs w:val="18"/>
                <w:vertAlign w:val="superscript"/>
                <w:lang w:val="en-NZ" w:eastAsia="en-NZ"/>
              </w:rPr>
              <w:t>th</w:t>
            </w:r>
            <w:r w:rsidRPr="00BE57C8">
              <w:rPr>
                <w:sz w:val="18"/>
                <w:szCs w:val="18"/>
                <w:lang w:val="en-NZ" w:eastAsia="en-NZ"/>
              </w:rPr>
              <w:t xml:space="preserve"> April, 2014</w:t>
            </w:r>
          </w:p>
        </w:tc>
        <w:tc>
          <w:tcPr>
            <w:tcW w:w="1940" w:type="dxa"/>
            <w:tcBorders>
              <w:top w:val="nil"/>
              <w:left w:val="nil"/>
              <w:bottom w:val="single" w:sz="4" w:space="0" w:color="auto"/>
              <w:right w:val="single" w:sz="4" w:space="0" w:color="auto"/>
            </w:tcBorders>
            <w:shd w:val="clear" w:color="auto" w:fill="auto"/>
            <w:vAlign w:val="center"/>
            <w:hideMark/>
          </w:tcPr>
          <w:p w14:paraId="14D9C96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$3,000.00</w:t>
            </w:r>
          </w:p>
        </w:tc>
        <w:tc>
          <w:tcPr>
            <w:tcW w:w="1940" w:type="dxa"/>
            <w:tcBorders>
              <w:top w:val="nil"/>
              <w:left w:val="nil"/>
              <w:bottom w:val="single" w:sz="4" w:space="0" w:color="auto"/>
              <w:right w:val="single" w:sz="4" w:space="0" w:color="auto"/>
            </w:tcBorders>
            <w:shd w:val="clear" w:color="auto" w:fill="auto"/>
            <w:vAlign w:val="center"/>
            <w:hideMark/>
          </w:tcPr>
          <w:p w14:paraId="020FDC3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9:00am – 4:30pm</w:t>
            </w:r>
          </w:p>
        </w:tc>
        <w:tc>
          <w:tcPr>
            <w:tcW w:w="1940" w:type="dxa"/>
            <w:tcBorders>
              <w:top w:val="nil"/>
              <w:left w:val="nil"/>
              <w:bottom w:val="single" w:sz="4" w:space="0" w:color="auto"/>
              <w:right w:val="single" w:sz="4" w:space="0" w:color="auto"/>
            </w:tcBorders>
            <w:shd w:val="clear" w:color="auto" w:fill="auto"/>
            <w:vAlign w:val="center"/>
            <w:hideMark/>
          </w:tcPr>
          <w:p w14:paraId="3580107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 - Locally</w:t>
            </w:r>
          </w:p>
        </w:tc>
        <w:tc>
          <w:tcPr>
            <w:tcW w:w="1940" w:type="dxa"/>
            <w:tcBorders>
              <w:top w:val="nil"/>
              <w:left w:val="nil"/>
              <w:bottom w:val="single" w:sz="4" w:space="0" w:color="auto"/>
              <w:right w:val="single" w:sz="4" w:space="0" w:color="auto"/>
            </w:tcBorders>
            <w:shd w:val="clear" w:color="auto" w:fill="auto"/>
            <w:vAlign w:val="center"/>
            <w:hideMark/>
          </w:tcPr>
          <w:p w14:paraId="0D052B1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Helen Ferguson, Hyundai Mall</w:t>
            </w:r>
          </w:p>
        </w:tc>
        <w:tc>
          <w:tcPr>
            <w:tcW w:w="2260" w:type="dxa"/>
            <w:tcBorders>
              <w:top w:val="nil"/>
              <w:left w:val="nil"/>
              <w:bottom w:val="single" w:sz="4" w:space="0" w:color="auto"/>
              <w:right w:val="single" w:sz="4" w:space="0" w:color="auto"/>
            </w:tcBorders>
            <w:shd w:val="clear" w:color="auto" w:fill="auto"/>
            <w:noWrap/>
            <w:vAlign w:val="center"/>
            <w:hideMark/>
          </w:tcPr>
          <w:p w14:paraId="1A539549"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18FD4684"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14014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Certificate III in Plumbing, APTC</w:t>
            </w:r>
          </w:p>
        </w:tc>
        <w:tc>
          <w:tcPr>
            <w:tcW w:w="1940" w:type="dxa"/>
            <w:tcBorders>
              <w:top w:val="nil"/>
              <w:left w:val="nil"/>
              <w:bottom w:val="single" w:sz="4" w:space="0" w:color="auto"/>
              <w:right w:val="single" w:sz="4" w:space="0" w:color="auto"/>
            </w:tcBorders>
            <w:shd w:val="clear" w:color="auto" w:fill="auto"/>
            <w:vAlign w:val="center"/>
            <w:hideMark/>
          </w:tcPr>
          <w:p w14:paraId="12700FD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w:t>
            </w:r>
            <w:r w:rsidRPr="00BE57C8">
              <w:rPr>
                <w:sz w:val="18"/>
                <w:szCs w:val="18"/>
                <w:vertAlign w:val="superscript"/>
                <w:lang w:val="en-NZ" w:eastAsia="en-NZ"/>
              </w:rPr>
              <w:t>th</w:t>
            </w:r>
            <w:r w:rsidRPr="00BE57C8">
              <w:rPr>
                <w:sz w:val="18"/>
                <w:szCs w:val="18"/>
                <w:lang w:val="en-NZ" w:eastAsia="en-NZ"/>
              </w:rPr>
              <w:t xml:space="preserve"> June – 25</w:t>
            </w:r>
            <w:r w:rsidRPr="00BE57C8">
              <w:rPr>
                <w:sz w:val="18"/>
                <w:szCs w:val="18"/>
                <w:vertAlign w:val="superscript"/>
                <w:lang w:val="en-NZ" w:eastAsia="en-NZ"/>
              </w:rPr>
              <w:t>th</w:t>
            </w:r>
            <w:r w:rsidRPr="00BE57C8">
              <w:rPr>
                <w:sz w:val="18"/>
                <w:szCs w:val="18"/>
                <w:lang w:val="en-NZ" w:eastAsia="en-NZ"/>
              </w:rPr>
              <w:t xml:space="preserve"> July, 2014  and 7th July – 22nd August, 2014</w:t>
            </w:r>
          </w:p>
        </w:tc>
        <w:tc>
          <w:tcPr>
            <w:tcW w:w="1940" w:type="dxa"/>
            <w:tcBorders>
              <w:top w:val="nil"/>
              <w:left w:val="nil"/>
              <w:bottom w:val="single" w:sz="4" w:space="0" w:color="auto"/>
              <w:right w:val="single" w:sz="4" w:space="0" w:color="auto"/>
            </w:tcBorders>
            <w:shd w:val="clear" w:color="auto" w:fill="auto"/>
            <w:vAlign w:val="center"/>
            <w:hideMark/>
          </w:tcPr>
          <w:p w14:paraId="701D282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Scholarship funded by Aust. Gov’t.</w:t>
            </w:r>
          </w:p>
        </w:tc>
        <w:tc>
          <w:tcPr>
            <w:tcW w:w="1940" w:type="dxa"/>
            <w:tcBorders>
              <w:top w:val="nil"/>
              <w:left w:val="nil"/>
              <w:bottom w:val="single" w:sz="4" w:space="0" w:color="auto"/>
              <w:right w:val="single" w:sz="4" w:space="0" w:color="auto"/>
            </w:tcBorders>
            <w:shd w:val="clear" w:color="auto" w:fill="auto"/>
            <w:vAlign w:val="center"/>
            <w:hideMark/>
          </w:tcPr>
          <w:p w14:paraId="2999BB6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10 weeks</w:t>
            </w:r>
          </w:p>
        </w:tc>
        <w:tc>
          <w:tcPr>
            <w:tcW w:w="1940" w:type="dxa"/>
            <w:tcBorders>
              <w:top w:val="nil"/>
              <w:left w:val="nil"/>
              <w:bottom w:val="single" w:sz="4" w:space="0" w:color="auto"/>
              <w:right w:val="single" w:sz="4" w:space="0" w:color="auto"/>
            </w:tcBorders>
            <w:shd w:val="clear" w:color="auto" w:fill="auto"/>
            <w:vAlign w:val="center"/>
            <w:hideMark/>
          </w:tcPr>
          <w:p w14:paraId="09B7BAF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 Long term training done in blocks</w:t>
            </w:r>
          </w:p>
        </w:tc>
        <w:tc>
          <w:tcPr>
            <w:tcW w:w="1940" w:type="dxa"/>
            <w:tcBorders>
              <w:top w:val="nil"/>
              <w:left w:val="nil"/>
              <w:bottom w:val="single" w:sz="4" w:space="0" w:color="auto"/>
              <w:right w:val="single" w:sz="4" w:space="0" w:color="auto"/>
            </w:tcBorders>
            <w:shd w:val="clear" w:color="auto" w:fill="auto"/>
            <w:vAlign w:val="center"/>
            <w:hideMark/>
          </w:tcPr>
          <w:p w14:paraId="688B2C1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APTC Campus, Samoa</w:t>
            </w:r>
          </w:p>
        </w:tc>
        <w:tc>
          <w:tcPr>
            <w:tcW w:w="2260" w:type="dxa"/>
            <w:tcBorders>
              <w:top w:val="nil"/>
              <w:left w:val="nil"/>
              <w:bottom w:val="single" w:sz="4" w:space="0" w:color="auto"/>
              <w:right w:val="single" w:sz="4" w:space="0" w:color="auto"/>
            </w:tcBorders>
            <w:shd w:val="clear" w:color="auto" w:fill="auto"/>
            <w:noWrap/>
            <w:vAlign w:val="center"/>
            <w:hideMark/>
          </w:tcPr>
          <w:p w14:paraId="3E27D40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1BF0B43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4786FE1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lastRenderedPageBreak/>
              <w:t>Occupational Health and Safety Training</w:t>
            </w:r>
          </w:p>
        </w:tc>
        <w:tc>
          <w:tcPr>
            <w:tcW w:w="1940" w:type="dxa"/>
            <w:tcBorders>
              <w:top w:val="nil"/>
              <w:left w:val="nil"/>
              <w:bottom w:val="single" w:sz="4" w:space="0" w:color="auto"/>
              <w:right w:val="single" w:sz="4" w:space="0" w:color="auto"/>
            </w:tcBorders>
            <w:shd w:val="clear" w:color="auto" w:fill="auto"/>
            <w:vAlign w:val="center"/>
            <w:hideMark/>
          </w:tcPr>
          <w:p w14:paraId="20CF4E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29</w:t>
            </w:r>
            <w:r w:rsidRPr="00BE57C8">
              <w:rPr>
                <w:sz w:val="18"/>
                <w:szCs w:val="18"/>
                <w:vertAlign w:val="superscript"/>
                <w:lang w:val="en-NZ" w:eastAsia="en-NZ"/>
              </w:rPr>
              <w:t>th</w:t>
            </w:r>
            <w:r w:rsidRPr="00BE57C8">
              <w:rPr>
                <w:sz w:val="18"/>
                <w:szCs w:val="18"/>
                <w:lang w:val="en-NZ" w:eastAsia="en-NZ"/>
              </w:rPr>
              <w:t xml:space="preserve"> May 2014</w:t>
            </w:r>
          </w:p>
        </w:tc>
        <w:tc>
          <w:tcPr>
            <w:tcW w:w="1940" w:type="dxa"/>
            <w:tcBorders>
              <w:top w:val="nil"/>
              <w:left w:val="nil"/>
              <w:bottom w:val="single" w:sz="4" w:space="0" w:color="auto"/>
              <w:right w:val="single" w:sz="4" w:space="0" w:color="auto"/>
            </w:tcBorders>
            <w:shd w:val="clear" w:color="auto" w:fill="auto"/>
            <w:vAlign w:val="center"/>
            <w:hideMark/>
          </w:tcPr>
          <w:p w14:paraId="4C14341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3E1E32B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10:am – 12:00pm (2 hours)</w:t>
            </w:r>
          </w:p>
        </w:tc>
        <w:tc>
          <w:tcPr>
            <w:tcW w:w="1940" w:type="dxa"/>
            <w:tcBorders>
              <w:top w:val="nil"/>
              <w:left w:val="nil"/>
              <w:bottom w:val="single" w:sz="4" w:space="0" w:color="auto"/>
              <w:right w:val="single" w:sz="4" w:space="0" w:color="auto"/>
            </w:tcBorders>
            <w:shd w:val="clear" w:color="auto" w:fill="auto"/>
            <w:vAlign w:val="center"/>
            <w:hideMark/>
          </w:tcPr>
          <w:p w14:paraId="278C555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In-house Training</w:t>
            </w:r>
          </w:p>
        </w:tc>
        <w:tc>
          <w:tcPr>
            <w:tcW w:w="1940" w:type="dxa"/>
            <w:tcBorders>
              <w:top w:val="nil"/>
              <w:left w:val="nil"/>
              <w:bottom w:val="single" w:sz="4" w:space="0" w:color="auto"/>
              <w:right w:val="single" w:sz="4" w:space="0" w:color="auto"/>
            </w:tcBorders>
            <w:shd w:val="clear" w:color="auto" w:fill="auto"/>
            <w:vAlign w:val="center"/>
            <w:hideMark/>
          </w:tcPr>
          <w:p w14:paraId="4DB2FA0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Joshua Torenn, Water Quality Analyst, SW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662E5E9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6</w:t>
            </w:r>
          </w:p>
        </w:tc>
      </w:tr>
      <w:tr w:rsidR="00BE57C8" w:rsidRPr="00BE57C8" w14:paraId="20F5082B"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C3E22C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Meter Reading, Billing &amp; Tariff Collection Training</w:t>
            </w:r>
          </w:p>
        </w:tc>
        <w:tc>
          <w:tcPr>
            <w:tcW w:w="1940" w:type="dxa"/>
            <w:tcBorders>
              <w:top w:val="nil"/>
              <w:left w:val="nil"/>
              <w:bottom w:val="single" w:sz="4" w:space="0" w:color="auto"/>
              <w:right w:val="single" w:sz="4" w:space="0" w:color="auto"/>
            </w:tcBorders>
            <w:shd w:val="clear" w:color="auto" w:fill="auto"/>
            <w:vAlign w:val="center"/>
            <w:hideMark/>
          </w:tcPr>
          <w:p w14:paraId="76CA129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w:t>
            </w:r>
            <w:r w:rsidRPr="00BE57C8">
              <w:rPr>
                <w:sz w:val="18"/>
                <w:szCs w:val="18"/>
                <w:vertAlign w:val="superscript"/>
                <w:lang w:val="en-NZ" w:eastAsia="en-NZ"/>
              </w:rPr>
              <w:t>rd</w:t>
            </w:r>
            <w:r w:rsidRPr="00BE57C8">
              <w:rPr>
                <w:sz w:val="18"/>
                <w:szCs w:val="18"/>
                <w:lang w:val="en-NZ" w:eastAsia="en-NZ"/>
              </w:rPr>
              <w:t xml:space="preserve"> – 18</w:t>
            </w:r>
            <w:r w:rsidRPr="00BE57C8">
              <w:rPr>
                <w:sz w:val="18"/>
                <w:szCs w:val="18"/>
                <w:vertAlign w:val="superscript"/>
                <w:lang w:val="en-NZ" w:eastAsia="en-NZ"/>
              </w:rPr>
              <w:t>th</w:t>
            </w:r>
            <w:r w:rsidRPr="00BE57C8">
              <w:rPr>
                <w:sz w:val="18"/>
                <w:szCs w:val="18"/>
                <w:lang w:val="en-NZ" w:eastAsia="en-NZ"/>
              </w:rPr>
              <w:t xml:space="preserve"> June, 2014</w:t>
            </w:r>
          </w:p>
        </w:tc>
        <w:tc>
          <w:tcPr>
            <w:tcW w:w="1940" w:type="dxa"/>
            <w:tcBorders>
              <w:top w:val="nil"/>
              <w:left w:val="nil"/>
              <w:bottom w:val="single" w:sz="4" w:space="0" w:color="auto"/>
              <w:right w:val="single" w:sz="4" w:space="0" w:color="auto"/>
            </w:tcBorders>
            <w:shd w:val="clear" w:color="auto" w:fill="auto"/>
            <w:vAlign w:val="center"/>
            <w:hideMark/>
          </w:tcPr>
          <w:p w14:paraId="413868C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Funded by JICA and SW pay for outfit allowance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2C1945A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15 days</w:t>
            </w:r>
          </w:p>
        </w:tc>
        <w:tc>
          <w:tcPr>
            <w:tcW w:w="1940" w:type="dxa"/>
            <w:tcBorders>
              <w:top w:val="nil"/>
              <w:left w:val="nil"/>
              <w:bottom w:val="single" w:sz="4" w:space="0" w:color="auto"/>
              <w:right w:val="single" w:sz="4" w:space="0" w:color="auto"/>
            </w:tcBorders>
            <w:shd w:val="clear" w:color="auto" w:fill="auto"/>
            <w:vAlign w:val="center"/>
            <w:hideMark/>
          </w:tcPr>
          <w:p w14:paraId="6091246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3B2F5BD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at JICA International Centre in Japan</w:t>
            </w:r>
          </w:p>
        </w:tc>
        <w:tc>
          <w:tcPr>
            <w:tcW w:w="2260" w:type="dxa"/>
            <w:tcBorders>
              <w:top w:val="nil"/>
              <w:left w:val="nil"/>
              <w:bottom w:val="single" w:sz="4" w:space="0" w:color="auto"/>
              <w:right w:val="single" w:sz="4" w:space="0" w:color="auto"/>
            </w:tcBorders>
            <w:shd w:val="clear" w:color="auto" w:fill="auto"/>
            <w:noWrap/>
            <w:vAlign w:val="center"/>
            <w:hideMark/>
          </w:tcPr>
          <w:p w14:paraId="22E4073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4</w:t>
            </w:r>
          </w:p>
        </w:tc>
      </w:tr>
      <w:tr w:rsidR="00BE57C8" w:rsidRPr="00BE57C8" w14:paraId="4E589E6C"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3472EE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Inspector Training – Module 1</w:t>
            </w:r>
          </w:p>
        </w:tc>
        <w:tc>
          <w:tcPr>
            <w:tcW w:w="1940" w:type="dxa"/>
            <w:tcBorders>
              <w:top w:val="nil"/>
              <w:left w:val="nil"/>
              <w:bottom w:val="single" w:sz="4" w:space="0" w:color="auto"/>
              <w:right w:val="single" w:sz="4" w:space="0" w:color="auto"/>
            </w:tcBorders>
            <w:shd w:val="clear" w:color="auto" w:fill="auto"/>
            <w:vAlign w:val="center"/>
            <w:hideMark/>
          </w:tcPr>
          <w:p w14:paraId="0CDEAF6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16</w:t>
            </w:r>
            <w:r w:rsidRPr="00BE57C8">
              <w:rPr>
                <w:sz w:val="18"/>
                <w:szCs w:val="18"/>
                <w:vertAlign w:val="superscript"/>
                <w:lang w:val="en-NZ" w:eastAsia="en-NZ"/>
              </w:rPr>
              <w:t>th</w:t>
            </w:r>
            <w:r w:rsidRPr="00BE57C8">
              <w:rPr>
                <w:sz w:val="18"/>
                <w:szCs w:val="18"/>
                <w:lang w:val="en-NZ" w:eastAsia="en-NZ"/>
              </w:rPr>
              <w:t xml:space="preserve"> – 20</w:t>
            </w:r>
            <w:r w:rsidRPr="00BE57C8">
              <w:rPr>
                <w:sz w:val="18"/>
                <w:szCs w:val="18"/>
                <w:vertAlign w:val="superscript"/>
                <w:lang w:val="en-NZ" w:eastAsia="en-NZ"/>
              </w:rPr>
              <w:t>th</w:t>
            </w:r>
            <w:r w:rsidRPr="00BE57C8">
              <w:rPr>
                <w:sz w:val="18"/>
                <w:szCs w:val="18"/>
                <w:lang w:val="en-NZ" w:eastAsia="en-NZ"/>
              </w:rPr>
              <w:t xml:space="preserve"> June 2014</w:t>
            </w:r>
          </w:p>
        </w:tc>
        <w:tc>
          <w:tcPr>
            <w:tcW w:w="1940" w:type="dxa"/>
            <w:tcBorders>
              <w:top w:val="nil"/>
              <w:left w:val="nil"/>
              <w:bottom w:val="single" w:sz="4" w:space="0" w:color="auto"/>
              <w:right w:val="single" w:sz="4" w:space="0" w:color="auto"/>
            </w:tcBorders>
            <w:shd w:val="clear" w:color="auto" w:fill="auto"/>
            <w:vAlign w:val="center"/>
            <w:hideMark/>
          </w:tcPr>
          <w:p w14:paraId="55FCD74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$1,000.00</w:t>
            </w:r>
          </w:p>
        </w:tc>
        <w:tc>
          <w:tcPr>
            <w:tcW w:w="1940" w:type="dxa"/>
            <w:tcBorders>
              <w:top w:val="nil"/>
              <w:left w:val="nil"/>
              <w:bottom w:val="single" w:sz="4" w:space="0" w:color="auto"/>
              <w:right w:val="single" w:sz="4" w:space="0" w:color="auto"/>
            </w:tcBorders>
            <w:shd w:val="clear" w:color="auto" w:fill="auto"/>
            <w:vAlign w:val="center"/>
            <w:hideMark/>
          </w:tcPr>
          <w:p w14:paraId="5FDB306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8:00am to 4:30pm</w:t>
            </w:r>
          </w:p>
        </w:tc>
        <w:tc>
          <w:tcPr>
            <w:tcW w:w="1940" w:type="dxa"/>
            <w:tcBorders>
              <w:top w:val="nil"/>
              <w:left w:val="nil"/>
              <w:bottom w:val="single" w:sz="4" w:space="0" w:color="auto"/>
              <w:right w:val="single" w:sz="4" w:space="0" w:color="auto"/>
            </w:tcBorders>
            <w:shd w:val="clear" w:color="auto" w:fill="auto"/>
            <w:vAlign w:val="center"/>
            <w:hideMark/>
          </w:tcPr>
          <w:p w14:paraId="76DCE46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External Training - Locally</w:t>
            </w:r>
          </w:p>
        </w:tc>
        <w:tc>
          <w:tcPr>
            <w:tcW w:w="1940" w:type="dxa"/>
            <w:tcBorders>
              <w:top w:val="nil"/>
              <w:left w:val="nil"/>
              <w:bottom w:val="single" w:sz="4" w:space="0" w:color="auto"/>
              <w:right w:val="single" w:sz="4" w:space="0" w:color="auto"/>
            </w:tcBorders>
            <w:shd w:val="clear" w:color="auto" w:fill="auto"/>
            <w:vAlign w:val="center"/>
            <w:hideMark/>
          </w:tcPr>
          <w:p w14:paraId="1333A02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SIEA at its Training Room at the Ranadi Complex</w:t>
            </w:r>
          </w:p>
        </w:tc>
        <w:tc>
          <w:tcPr>
            <w:tcW w:w="2260" w:type="dxa"/>
            <w:tcBorders>
              <w:top w:val="nil"/>
              <w:left w:val="nil"/>
              <w:bottom w:val="single" w:sz="4" w:space="0" w:color="auto"/>
              <w:right w:val="single" w:sz="4" w:space="0" w:color="auto"/>
            </w:tcBorders>
            <w:shd w:val="clear" w:color="auto" w:fill="auto"/>
            <w:noWrap/>
            <w:vAlign w:val="center"/>
            <w:hideMark/>
          </w:tcPr>
          <w:p w14:paraId="3E93FCD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20488FF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8C283E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Water Supply Administration for Better Management of Water Supply Service Training</w:t>
            </w:r>
          </w:p>
        </w:tc>
        <w:tc>
          <w:tcPr>
            <w:tcW w:w="1940" w:type="dxa"/>
            <w:tcBorders>
              <w:top w:val="nil"/>
              <w:left w:val="nil"/>
              <w:bottom w:val="single" w:sz="4" w:space="0" w:color="auto"/>
              <w:right w:val="single" w:sz="4" w:space="0" w:color="auto"/>
            </w:tcBorders>
            <w:shd w:val="clear" w:color="auto" w:fill="auto"/>
            <w:vAlign w:val="center"/>
            <w:hideMark/>
          </w:tcPr>
          <w:p w14:paraId="194B19A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29</w:t>
            </w:r>
            <w:r w:rsidRPr="00BE57C8">
              <w:rPr>
                <w:sz w:val="18"/>
                <w:szCs w:val="18"/>
                <w:vertAlign w:val="superscript"/>
                <w:lang w:val="en-NZ" w:eastAsia="en-NZ"/>
              </w:rPr>
              <w:t>th</w:t>
            </w:r>
            <w:r w:rsidRPr="00BE57C8">
              <w:rPr>
                <w:sz w:val="18"/>
                <w:szCs w:val="18"/>
                <w:lang w:val="en-NZ" w:eastAsia="en-NZ"/>
              </w:rPr>
              <w:t xml:space="preserve"> June – 12</w:t>
            </w:r>
            <w:r w:rsidRPr="00BE57C8">
              <w:rPr>
                <w:sz w:val="18"/>
                <w:szCs w:val="18"/>
                <w:vertAlign w:val="superscript"/>
                <w:lang w:val="en-NZ" w:eastAsia="en-NZ"/>
              </w:rPr>
              <w:t>th</w:t>
            </w:r>
            <w:r w:rsidRPr="00BE57C8">
              <w:rPr>
                <w:sz w:val="18"/>
                <w:szCs w:val="18"/>
                <w:lang w:val="en-NZ" w:eastAsia="en-NZ"/>
              </w:rPr>
              <w:t xml:space="preserve"> July 2014</w:t>
            </w:r>
          </w:p>
        </w:tc>
        <w:tc>
          <w:tcPr>
            <w:tcW w:w="1940" w:type="dxa"/>
            <w:tcBorders>
              <w:top w:val="nil"/>
              <w:left w:val="nil"/>
              <w:bottom w:val="single" w:sz="4" w:space="0" w:color="auto"/>
              <w:right w:val="single" w:sz="4" w:space="0" w:color="auto"/>
            </w:tcBorders>
            <w:shd w:val="clear" w:color="auto" w:fill="auto"/>
            <w:vAlign w:val="center"/>
            <w:hideMark/>
          </w:tcPr>
          <w:p w14:paraId="7122C76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Funded by JICA and SW pay for outfit allowance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5E48575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14 days</w:t>
            </w:r>
          </w:p>
        </w:tc>
        <w:tc>
          <w:tcPr>
            <w:tcW w:w="1940" w:type="dxa"/>
            <w:tcBorders>
              <w:top w:val="nil"/>
              <w:left w:val="nil"/>
              <w:bottom w:val="single" w:sz="4" w:space="0" w:color="auto"/>
              <w:right w:val="single" w:sz="4" w:space="0" w:color="auto"/>
            </w:tcBorders>
            <w:shd w:val="clear" w:color="auto" w:fill="auto"/>
            <w:vAlign w:val="center"/>
            <w:hideMark/>
          </w:tcPr>
          <w:p w14:paraId="184B82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23EB255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at JICA International Centre in Japan</w:t>
            </w:r>
          </w:p>
        </w:tc>
        <w:tc>
          <w:tcPr>
            <w:tcW w:w="2260" w:type="dxa"/>
            <w:tcBorders>
              <w:top w:val="nil"/>
              <w:left w:val="nil"/>
              <w:bottom w:val="single" w:sz="4" w:space="0" w:color="auto"/>
              <w:right w:val="single" w:sz="4" w:space="0" w:color="auto"/>
            </w:tcBorders>
            <w:shd w:val="clear" w:color="auto" w:fill="auto"/>
            <w:noWrap/>
            <w:vAlign w:val="center"/>
            <w:hideMark/>
          </w:tcPr>
          <w:p w14:paraId="0F03CFD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00117EF1"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AC8E1E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Induction Training</w:t>
            </w:r>
          </w:p>
        </w:tc>
        <w:tc>
          <w:tcPr>
            <w:tcW w:w="1940" w:type="dxa"/>
            <w:tcBorders>
              <w:top w:val="nil"/>
              <w:left w:val="nil"/>
              <w:bottom w:val="single" w:sz="4" w:space="0" w:color="auto"/>
              <w:right w:val="single" w:sz="4" w:space="0" w:color="auto"/>
            </w:tcBorders>
            <w:shd w:val="clear" w:color="auto" w:fill="auto"/>
            <w:vAlign w:val="center"/>
            <w:hideMark/>
          </w:tcPr>
          <w:p w14:paraId="278F6AE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w:t>
            </w:r>
            <w:r w:rsidRPr="00BE57C8">
              <w:rPr>
                <w:sz w:val="18"/>
                <w:szCs w:val="18"/>
                <w:vertAlign w:val="superscript"/>
                <w:lang w:val="en-NZ" w:eastAsia="en-NZ"/>
              </w:rPr>
              <w:t>th</w:t>
            </w:r>
            <w:r w:rsidRPr="00BE57C8">
              <w:rPr>
                <w:sz w:val="18"/>
                <w:szCs w:val="18"/>
                <w:lang w:val="en-NZ" w:eastAsia="en-NZ"/>
              </w:rPr>
              <w:t xml:space="preserve"> July, 2014 or 18th July, 2014 or 17th October, 2014</w:t>
            </w:r>
          </w:p>
        </w:tc>
        <w:tc>
          <w:tcPr>
            <w:tcW w:w="1940" w:type="dxa"/>
            <w:tcBorders>
              <w:top w:val="nil"/>
              <w:left w:val="nil"/>
              <w:bottom w:val="single" w:sz="4" w:space="0" w:color="auto"/>
              <w:right w:val="single" w:sz="4" w:space="0" w:color="auto"/>
            </w:tcBorders>
            <w:shd w:val="clear" w:color="auto" w:fill="auto"/>
            <w:vAlign w:val="center"/>
            <w:hideMark/>
          </w:tcPr>
          <w:p w14:paraId="44060AA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36D3422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day</w:t>
            </w:r>
          </w:p>
        </w:tc>
        <w:tc>
          <w:tcPr>
            <w:tcW w:w="1940" w:type="dxa"/>
            <w:tcBorders>
              <w:top w:val="nil"/>
              <w:left w:val="nil"/>
              <w:bottom w:val="single" w:sz="4" w:space="0" w:color="auto"/>
              <w:right w:val="single" w:sz="4" w:space="0" w:color="auto"/>
            </w:tcBorders>
            <w:shd w:val="clear" w:color="auto" w:fill="auto"/>
            <w:vAlign w:val="center"/>
            <w:hideMark/>
          </w:tcPr>
          <w:p w14:paraId="619D55F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In-house Training</w:t>
            </w:r>
          </w:p>
        </w:tc>
        <w:tc>
          <w:tcPr>
            <w:tcW w:w="1940" w:type="dxa"/>
            <w:tcBorders>
              <w:top w:val="nil"/>
              <w:left w:val="nil"/>
              <w:bottom w:val="single" w:sz="4" w:space="0" w:color="auto"/>
              <w:right w:val="single" w:sz="4" w:space="0" w:color="auto"/>
            </w:tcBorders>
            <w:shd w:val="clear" w:color="auto" w:fill="auto"/>
            <w:vAlign w:val="center"/>
            <w:hideMark/>
          </w:tcPr>
          <w:p w14:paraId="6BF8AED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Learning &amp; Development Coordinator at the SW Conference Room</w:t>
            </w:r>
          </w:p>
        </w:tc>
        <w:tc>
          <w:tcPr>
            <w:tcW w:w="2260" w:type="dxa"/>
            <w:tcBorders>
              <w:top w:val="nil"/>
              <w:left w:val="nil"/>
              <w:bottom w:val="single" w:sz="4" w:space="0" w:color="auto"/>
              <w:right w:val="single" w:sz="4" w:space="0" w:color="auto"/>
            </w:tcBorders>
            <w:shd w:val="clear" w:color="auto" w:fill="auto"/>
            <w:noWrap/>
            <w:vAlign w:val="center"/>
            <w:hideMark/>
          </w:tcPr>
          <w:p w14:paraId="3E5939F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67</w:t>
            </w:r>
          </w:p>
        </w:tc>
      </w:tr>
      <w:tr w:rsidR="00BE57C8" w:rsidRPr="00BE57C8" w14:paraId="7925842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A3F9E9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Management of Water Resources and Water Supply Services for Pacific Island Countries</w:t>
            </w:r>
          </w:p>
        </w:tc>
        <w:tc>
          <w:tcPr>
            <w:tcW w:w="1940" w:type="dxa"/>
            <w:tcBorders>
              <w:top w:val="nil"/>
              <w:left w:val="nil"/>
              <w:bottom w:val="single" w:sz="4" w:space="0" w:color="auto"/>
              <w:right w:val="single" w:sz="4" w:space="0" w:color="auto"/>
            </w:tcBorders>
            <w:shd w:val="clear" w:color="auto" w:fill="auto"/>
            <w:vAlign w:val="center"/>
            <w:hideMark/>
          </w:tcPr>
          <w:p w14:paraId="35B40C2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w:t>
            </w:r>
            <w:r w:rsidRPr="00BE57C8">
              <w:rPr>
                <w:sz w:val="18"/>
                <w:szCs w:val="18"/>
                <w:vertAlign w:val="superscript"/>
                <w:lang w:val="en-NZ" w:eastAsia="en-NZ"/>
              </w:rPr>
              <w:t>th</w:t>
            </w:r>
            <w:r w:rsidRPr="00BE57C8">
              <w:rPr>
                <w:sz w:val="18"/>
                <w:szCs w:val="18"/>
                <w:lang w:val="en-NZ" w:eastAsia="en-NZ"/>
              </w:rPr>
              <w:t xml:space="preserve"> July to 30</w:t>
            </w:r>
            <w:r w:rsidRPr="00BE57C8">
              <w:rPr>
                <w:sz w:val="18"/>
                <w:szCs w:val="18"/>
                <w:vertAlign w:val="superscript"/>
                <w:lang w:val="en-NZ" w:eastAsia="en-NZ"/>
              </w:rPr>
              <w:t>th</w:t>
            </w:r>
            <w:r w:rsidRPr="00BE57C8">
              <w:rPr>
                <w:sz w:val="18"/>
                <w:szCs w:val="18"/>
                <w:lang w:val="en-NZ" w:eastAsia="en-NZ"/>
              </w:rPr>
              <w:t xml:space="preserve"> August, 2014</w:t>
            </w:r>
          </w:p>
        </w:tc>
        <w:tc>
          <w:tcPr>
            <w:tcW w:w="1940" w:type="dxa"/>
            <w:tcBorders>
              <w:top w:val="nil"/>
              <w:left w:val="nil"/>
              <w:bottom w:val="single" w:sz="4" w:space="0" w:color="auto"/>
              <w:right w:val="single" w:sz="4" w:space="0" w:color="auto"/>
            </w:tcBorders>
            <w:shd w:val="clear" w:color="auto" w:fill="auto"/>
            <w:vAlign w:val="center"/>
            <w:hideMark/>
          </w:tcPr>
          <w:p w14:paraId="574320F6"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Fully funded by JICA but SIWA pay for outfit allowance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455473A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weeks</w:t>
            </w:r>
          </w:p>
        </w:tc>
        <w:tc>
          <w:tcPr>
            <w:tcW w:w="1940" w:type="dxa"/>
            <w:tcBorders>
              <w:top w:val="nil"/>
              <w:left w:val="nil"/>
              <w:bottom w:val="single" w:sz="4" w:space="0" w:color="auto"/>
              <w:right w:val="single" w:sz="4" w:space="0" w:color="auto"/>
            </w:tcBorders>
            <w:shd w:val="clear" w:color="auto" w:fill="auto"/>
            <w:vAlign w:val="center"/>
            <w:hideMark/>
          </w:tcPr>
          <w:p w14:paraId="53E6ACC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537F54F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at JICA International Centre in Japan</w:t>
            </w:r>
          </w:p>
        </w:tc>
        <w:tc>
          <w:tcPr>
            <w:tcW w:w="2260" w:type="dxa"/>
            <w:tcBorders>
              <w:top w:val="nil"/>
              <w:left w:val="nil"/>
              <w:bottom w:val="single" w:sz="4" w:space="0" w:color="auto"/>
              <w:right w:val="single" w:sz="4" w:space="0" w:color="auto"/>
            </w:tcBorders>
            <w:shd w:val="clear" w:color="auto" w:fill="auto"/>
            <w:noWrap/>
            <w:vAlign w:val="center"/>
            <w:hideMark/>
          </w:tcPr>
          <w:p w14:paraId="56EA64A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792E70C3"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F4CED8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Change Management Class Module 1</w:t>
            </w:r>
          </w:p>
        </w:tc>
        <w:tc>
          <w:tcPr>
            <w:tcW w:w="1940" w:type="dxa"/>
            <w:tcBorders>
              <w:top w:val="nil"/>
              <w:left w:val="nil"/>
              <w:bottom w:val="single" w:sz="4" w:space="0" w:color="auto"/>
              <w:right w:val="single" w:sz="4" w:space="0" w:color="auto"/>
            </w:tcBorders>
            <w:shd w:val="clear" w:color="auto" w:fill="auto"/>
            <w:vAlign w:val="center"/>
            <w:hideMark/>
          </w:tcPr>
          <w:p w14:paraId="3540D74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22</w:t>
            </w:r>
            <w:r w:rsidRPr="00BE57C8">
              <w:rPr>
                <w:sz w:val="18"/>
                <w:szCs w:val="18"/>
                <w:vertAlign w:val="superscript"/>
                <w:lang w:val="en-NZ" w:eastAsia="en-NZ"/>
              </w:rPr>
              <w:t>nd</w:t>
            </w:r>
            <w:r w:rsidRPr="00BE57C8">
              <w:rPr>
                <w:sz w:val="18"/>
                <w:szCs w:val="18"/>
                <w:lang w:val="en-NZ" w:eastAsia="en-NZ"/>
              </w:rPr>
              <w:t xml:space="preserve"> July – 24</w:t>
            </w:r>
            <w:r w:rsidRPr="00BE57C8">
              <w:rPr>
                <w:sz w:val="18"/>
                <w:szCs w:val="18"/>
                <w:vertAlign w:val="superscript"/>
                <w:lang w:val="en-NZ" w:eastAsia="en-NZ"/>
              </w:rPr>
              <w:t>th</w:t>
            </w:r>
            <w:r w:rsidRPr="00BE57C8">
              <w:rPr>
                <w:sz w:val="18"/>
                <w:szCs w:val="18"/>
                <w:lang w:val="en-NZ" w:eastAsia="en-NZ"/>
              </w:rPr>
              <w:t xml:space="preserve"> July 2014</w:t>
            </w:r>
          </w:p>
        </w:tc>
        <w:tc>
          <w:tcPr>
            <w:tcW w:w="1940" w:type="dxa"/>
            <w:tcBorders>
              <w:top w:val="nil"/>
              <w:left w:val="nil"/>
              <w:bottom w:val="single" w:sz="4" w:space="0" w:color="auto"/>
              <w:right w:val="single" w:sz="4" w:space="0" w:color="auto"/>
            </w:tcBorders>
            <w:shd w:val="clear" w:color="auto" w:fill="auto"/>
            <w:vAlign w:val="center"/>
            <w:hideMark/>
          </w:tcPr>
          <w:p w14:paraId="138F1E4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$3,500.00</w:t>
            </w:r>
          </w:p>
        </w:tc>
        <w:tc>
          <w:tcPr>
            <w:tcW w:w="1940" w:type="dxa"/>
            <w:tcBorders>
              <w:top w:val="nil"/>
              <w:left w:val="nil"/>
              <w:bottom w:val="single" w:sz="4" w:space="0" w:color="auto"/>
              <w:right w:val="single" w:sz="4" w:space="0" w:color="auto"/>
            </w:tcBorders>
            <w:shd w:val="clear" w:color="auto" w:fill="auto"/>
            <w:vAlign w:val="center"/>
            <w:hideMark/>
          </w:tcPr>
          <w:p w14:paraId="748943B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days</w:t>
            </w:r>
          </w:p>
        </w:tc>
        <w:tc>
          <w:tcPr>
            <w:tcW w:w="1940" w:type="dxa"/>
            <w:tcBorders>
              <w:top w:val="nil"/>
              <w:left w:val="nil"/>
              <w:bottom w:val="single" w:sz="4" w:space="0" w:color="auto"/>
              <w:right w:val="single" w:sz="4" w:space="0" w:color="auto"/>
            </w:tcBorders>
            <w:shd w:val="clear" w:color="auto" w:fill="auto"/>
            <w:vAlign w:val="center"/>
            <w:hideMark/>
          </w:tcPr>
          <w:p w14:paraId="50F7869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External Training - Locally</w:t>
            </w:r>
          </w:p>
        </w:tc>
        <w:tc>
          <w:tcPr>
            <w:tcW w:w="1940" w:type="dxa"/>
            <w:tcBorders>
              <w:top w:val="nil"/>
              <w:left w:val="nil"/>
              <w:bottom w:val="single" w:sz="4" w:space="0" w:color="auto"/>
              <w:right w:val="single" w:sz="4" w:space="0" w:color="auto"/>
            </w:tcBorders>
            <w:shd w:val="clear" w:color="auto" w:fill="auto"/>
            <w:vAlign w:val="center"/>
            <w:hideMark/>
          </w:tcPr>
          <w:p w14:paraId="42F42BA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Bill Synnot &amp; Taito Tabaleka of Bill Synnot &amp; Associates at Monarch, IBS, Honiara</w:t>
            </w:r>
          </w:p>
        </w:tc>
        <w:tc>
          <w:tcPr>
            <w:tcW w:w="2260" w:type="dxa"/>
            <w:tcBorders>
              <w:top w:val="nil"/>
              <w:left w:val="nil"/>
              <w:bottom w:val="single" w:sz="4" w:space="0" w:color="auto"/>
              <w:right w:val="single" w:sz="4" w:space="0" w:color="auto"/>
            </w:tcBorders>
            <w:shd w:val="clear" w:color="auto" w:fill="auto"/>
            <w:noWrap/>
            <w:vAlign w:val="center"/>
            <w:hideMark/>
          </w:tcPr>
          <w:p w14:paraId="2C3B476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40</w:t>
            </w:r>
          </w:p>
        </w:tc>
      </w:tr>
      <w:tr w:rsidR="00BE57C8" w:rsidRPr="00BE57C8" w14:paraId="3EE18712"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5A8D3D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Corporate Governance and Business Management Training</w:t>
            </w:r>
          </w:p>
        </w:tc>
        <w:tc>
          <w:tcPr>
            <w:tcW w:w="1940" w:type="dxa"/>
            <w:tcBorders>
              <w:top w:val="nil"/>
              <w:left w:val="nil"/>
              <w:bottom w:val="single" w:sz="4" w:space="0" w:color="auto"/>
              <w:right w:val="single" w:sz="4" w:space="0" w:color="auto"/>
            </w:tcBorders>
            <w:shd w:val="clear" w:color="auto" w:fill="auto"/>
            <w:vAlign w:val="center"/>
            <w:hideMark/>
          </w:tcPr>
          <w:p w14:paraId="38D3A14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w:t>
            </w:r>
            <w:r w:rsidRPr="00BE57C8">
              <w:rPr>
                <w:sz w:val="18"/>
                <w:szCs w:val="18"/>
                <w:vertAlign w:val="superscript"/>
                <w:lang w:val="en-NZ" w:eastAsia="en-NZ"/>
              </w:rPr>
              <w:t>st</w:t>
            </w:r>
            <w:r w:rsidRPr="00BE57C8">
              <w:rPr>
                <w:sz w:val="18"/>
                <w:szCs w:val="18"/>
                <w:lang w:val="en-NZ" w:eastAsia="en-NZ"/>
              </w:rPr>
              <w:t xml:space="preserve"> &amp; 2</w:t>
            </w:r>
            <w:r w:rsidRPr="00BE57C8">
              <w:rPr>
                <w:sz w:val="18"/>
                <w:szCs w:val="18"/>
                <w:vertAlign w:val="superscript"/>
                <w:lang w:val="en-NZ" w:eastAsia="en-NZ"/>
              </w:rPr>
              <w:t>nd</w:t>
            </w:r>
            <w:r w:rsidRPr="00BE57C8">
              <w:rPr>
                <w:sz w:val="18"/>
                <w:szCs w:val="18"/>
                <w:lang w:val="en-NZ" w:eastAsia="en-NZ"/>
              </w:rPr>
              <w:t xml:space="preserve"> October, 2014</w:t>
            </w:r>
          </w:p>
        </w:tc>
        <w:tc>
          <w:tcPr>
            <w:tcW w:w="1940" w:type="dxa"/>
            <w:tcBorders>
              <w:top w:val="nil"/>
              <w:left w:val="nil"/>
              <w:bottom w:val="single" w:sz="4" w:space="0" w:color="auto"/>
              <w:right w:val="single" w:sz="4" w:space="0" w:color="auto"/>
            </w:tcBorders>
            <w:shd w:val="clear" w:color="auto" w:fill="auto"/>
            <w:vAlign w:val="center"/>
            <w:hideMark/>
          </w:tcPr>
          <w:p w14:paraId="29DE967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5B3EB76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days</w:t>
            </w:r>
          </w:p>
        </w:tc>
        <w:tc>
          <w:tcPr>
            <w:tcW w:w="1940" w:type="dxa"/>
            <w:tcBorders>
              <w:top w:val="nil"/>
              <w:left w:val="nil"/>
              <w:bottom w:val="single" w:sz="4" w:space="0" w:color="auto"/>
              <w:right w:val="single" w:sz="4" w:space="0" w:color="auto"/>
            </w:tcBorders>
            <w:shd w:val="clear" w:color="auto" w:fill="auto"/>
            <w:vAlign w:val="center"/>
            <w:hideMark/>
          </w:tcPr>
          <w:p w14:paraId="100FE84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External Training - Locally</w:t>
            </w:r>
          </w:p>
        </w:tc>
        <w:tc>
          <w:tcPr>
            <w:tcW w:w="1940" w:type="dxa"/>
            <w:tcBorders>
              <w:top w:val="nil"/>
              <w:left w:val="nil"/>
              <w:bottom w:val="single" w:sz="4" w:space="0" w:color="auto"/>
              <w:right w:val="single" w:sz="4" w:space="0" w:color="auto"/>
            </w:tcBorders>
            <w:shd w:val="clear" w:color="auto" w:fill="auto"/>
            <w:vAlign w:val="center"/>
            <w:hideMark/>
          </w:tcPr>
          <w:p w14:paraId="4D4DD1A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ADB at Hyundai Mall</w:t>
            </w:r>
          </w:p>
        </w:tc>
        <w:tc>
          <w:tcPr>
            <w:tcW w:w="2260" w:type="dxa"/>
            <w:tcBorders>
              <w:top w:val="nil"/>
              <w:left w:val="nil"/>
              <w:bottom w:val="single" w:sz="4" w:space="0" w:color="auto"/>
              <w:right w:val="single" w:sz="4" w:space="0" w:color="auto"/>
            </w:tcBorders>
            <w:shd w:val="clear" w:color="auto" w:fill="auto"/>
            <w:noWrap/>
            <w:vAlign w:val="center"/>
            <w:hideMark/>
          </w:tcPr>
          <w:p w14:paraId="3D714E9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310D6E32"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D07938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Non-Revenue Water Management Training</w:t>
            </w:r>
          </w:p>
        </w:tc>
        <w:tc>
          <w:tcPr>
            <w:tcW w:w="1940" w:type="dxa"/>
            <w:tcBorders>
              <w:top w:val="nil"/>
              <w:left w:val="nil"/>
              <w:bottom w:val="single" w:sz="4" w:space="0" w:color="auto"/>
              <w:right w:val="single" w:sz="4" w:space="0" w:color="auto"/>
            </w:tcBorders>
            <w:shd w:val="clear" w:color="auto" w:fill="auto"/>
            <w:vAlign w:val="center"/>
            <w:hideMark/>
          </w:tcPr>
          <w:p w14:paraId="56B49C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w:t>
            </w:r>
            <w:r w:rsidRPr="00BE57C8">
              <w:rPr>
                <w:sz w:val="18"/>
                <w:szCs w:val="18"/>
                <w:vertAlign w:val="superscript"/>
                <w:lang w:val="en-NZ" w:eastAsia="en-NZ"/>
              </w:rPr>
              <w:t>th</w:t>
            </w:r>
            <w:r w:rsidRPr="00BE57C8">
              <w:rPr>
                <w:sz w:val="18"/>
                <w:szCs w:val="18"/>
                <w:lang w:val="en-NZ" w:eastAsia="en-NZ"/>
              </w:rPr>
              <w:t xml:space="preserve"> November to 12</w:t>
            </w:r>
            <w:r w:rsidRPr="00BE57C8">
              <w:rPr>
                <w:sz w:val="18"/>
                <w:szCs w:val="18"/>
                <w:vertAlign w:val="superscript"/>
                <w:lang w:val="en-NZ" w:eastAsia="en-NZ"/>
              </w:rPr>
              <w:t>th</w:t>
            </w:r>
            <w:r w:rsidRPr="00BE57C8">
              <w:rPr>
                <w:sz w:val="18"/>
                <w:szCs w:val="18"/>
                <w:lang w:val="en-NZ" w:eastAsia="en-NZ"/>
              </w:rPr>
              <w:t xml:space="preserve"> December 2014</w:t>
            </w:r>
          </w:p>
        </w:tc>
        <w:tc>
          <w:tcPr>
            <w:tcW w:w="1940" w:type="dxa"/>
            <w:tcBorders>
              <w:top w:val="nil"/>
              <w:left w:val="nil"/>
              <w:bottom w:val="single" w:sz="4" w:space="0" w:color="auto"/>
              <w:right w:val="single" w:sz="4" w:space="0" w:color="auto"/>
            </w:tcBorders>
            <w:shd w:val="clear" w:color="auto" w:fill="auto"/>
            <w:vAlign w:val="center"/>
            <w:hideMark/>
          </w:tcPr>
          <w:p w14:paraId="69E4ECA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Fully funded by JICA but SIWA pay for outfit and transit expenses</w:t>
            </w:r>
          </w:p>
        </w:tc>
        <w:tc>
          <w:tcPr>
            <w:tcW w:w="1940" w:type="dxa"/>
            <w:tcBorders>
              <w:top w:val="nil"/>
              <w:left w:val="nil"/>
              <w:bottom w:val="single" w:sz="4" w:space="0" w:color="auto"/>
              <w:right w:val="single" w:sz="4" w:space="0" w:color="auto"/>
            </w:tcBorders>
            <w:shd w:val="clear" w:color="auto" w:fill="auto"/>
            <w:vAlign w:val="center"/>
            <w:hideMark/>
          </w:tcPr>
          <w:p w14:paraId="0E58DE0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 weeks</w:t>
            </w:r>
          </w:p>
        </w:tc>
        <w:tc>
          <w:tcPr>
            <w:tcW w:w="1940" w:type="dxa"/>
            <w:tcBorders>
              <w:top w:val="nil"/>
              <w:left w:val="nil"/>
              <w:bottom w:val="single" w:sz="4" w:space="0" w:color="auto"/>
              <w:right w:val="single" w:sz="4" w:space="0" w:color="auto"/>
            </w:tcBorders>
            <w:shd w:val="clear" w:color="auto" w:fill="auto"/>
            <w:vAlign w:val="center"/>
            <w:hideMark/>
          </w:tcPr>
          <w:p w14:paraId="024A6DF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7C6951C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in Japan</w:t>
            </w:r>
          </w:p>
        </w:tc>
        <w:tc>
          <w:tcPr>
            <w:tcW w:w="2260" w:type="dxa"/>
            <w:tcBorders>
              <w:top w:val="nil"/>
              <w:left w:val="nil"/>
              <w:bottom w:val="single" w:sz="4" w:space="0" w:color="auto"/>
              <w:right w:val="single" w:sz="4" w:space="0" w:color="auto"/>
            </w:tcBorders>
            <w:shd w:val="clear" w:color="auto" w:fill="auto"/>
            <w:noWrap/>
            <w:vAlign w:val="center"/>
            <w:hideMark/>
          </w:tcPr>
          <w:p w14:paraId="6F733036"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DBDE4EF"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B494143" w14:textId="77777777" w:rsidR="00BE57C8" w:rsidRPr="00BE57C8" w:rsidRDefault="00CE100C" w:rsidP="00BE57C8">
            <w:pPr>
              <w:spacing w:before="0" w:after="0" w:line="240" w:lineRule="auto"/>
              <w:rPr>
                <w:sz w:val="18"/>
                <w:szCs w:val="18"/>
                <w:lang w:val="en-NZ" w:eastAsia="en-NZ"/>
              </w:rPr>
            </w:pPr>
            <w:r w:rsidRPr="00BE57C8">
              <w:rPr>
                <w:sz w:val="18"/>
                <w:szCs w:val="18"/>
                <w:lang w:val="en-NZ" w:eastAsia="en-NZ"/>
              </w:rPr>
              <w:t>Attaché</w:t>
            </w:r>
            <w:r w:rsidR="00BE57C8" w:rsidRPr="00BE57C8">
              <w:rPr>
                <w:sz w:val="18"/>
                <w:szCs w:val="18"/>
                <w:lang w:val="en-NZ" w:eastAsia="en-NZ"/>
              </w:rPr>
              <w:t>’ Training Course</w:t>
            </w:r>
          </w:p>
        </w:tc>
        <w:tc>
          <w:tcPr>
            <w:tcW w:w="1940" w:type="dxa"/>
            <w:tcBorders>
              <w:top w:val="nil"/>
              <w:left w:val="nil"/>
              <w:bottom w:val="single" w:sz="4" w:space="0" w:color="auto"/>
              <w:right w:val="single" w:sz="4" w:space="0" w:color="auto"/>
            </w:tcBorders>
            <w:shd w:val="clear" w:color="auto" w:fill="auto"/>
            <w:vAlign w:val="center"/>
            <w:hideMark/>
          </w:tcPr>
          <w:p w14:paraId="7459A40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w:t>
            </w:r>
            <w:r w:rsidRPr="00BE57C8">
              <w:rPr>
                <w:sz w:val="18"/>
                <w:szCs w:val="18"/>
                <w:vertAlign w:val="superscript"/>
                <w:lang w:val="en-NZ" w:eastAsia="en-NZ"/>
              </w:rPr>
              <w:t>st</w:t>
            </w:r>
            <w:r w:rsidRPr="00BE57C8">
              <w:rPr>
                <w:sz w:val="18"/>
                <w:szCs w:val="18"/>
                <w:lang w:val="en-NZ" w:eastAsia="en-NZ"/>
              </w:rPr>
              <w:t xml:space="preserve"> to 5</w:t>
            </w:r>
            <w:r w:rsidRPr="00BE57C8">
              <w:rPr>
                <w:sz w:val="18"/>
                <w:szCs w:val="18"/>
                <w:vertAlign w:val="superscript"/>
                <w:lang w:val="en-NZ" w:eastAsia="en-NZ"/>
              </w:rPr>
              <w:t>th</w:t>
            </w:r>
            <w:r w:rsidRPr="00BE57C8">
              <w:rPr>
                <w:sz w:val="18"/>
                <w:szCs w:val="18"/>
                <w:lang w:val="en-NZ" w:eastAsia="en-NZ"/>
              </w:rPr>
              <w:t xml:space="preserve"> December, 2014</w:t>
            </w:r>
          </w:p>
        </w:tc>
        <w:tc>
          <w:tcPr>
            <w:tcW w:w="1940" w:type="dxa"/>
            <w:tcBorders>
              <w:top w:val="nil"/>
              <w:left w:val="nil"/>
              <w:bottom w:val="single" w:sz="4" w:space="0" w:color="auto"/>
              <w:right w:val="single" w:sz="4" w:space="0" w:color="auto"/>
            </w:tcBorders>
            <w:shd w:val="clear" w:color="auto" w:fill="auto"/>
            <w:vAlign w:val="center"/>
            <w:hideMark/>
          </w:tcPr>
          <w:p w14:paraId="2DF6373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Nil</w:t>
            </w:r>
          </w:p>
        </w:tc>
        <w:tc>
          <w:tcPr>
            <w:tcW w:w="1940" w:type="dxa"/>
            <w:tcBorders>
              <w:top w:val="nil"/>
              <w:left w:val="nil"/>
              <w:bottom w:val="single" w:sz="4" w:space="0" w:color="auto"/>
              <w:right w:val="single" w:sz="4" w:space="0" w:color="auto"/>
            </w:tcBorders>
            <w:shd w:val="clear" w:color="auto" w:fill="auto"/>
            <w:vAlign w:val="center"/>
            <w:hideMark/>
          </w:tcPr>
          <w:p w14:paraId="59B2473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days</w:t>
            </w:r>
          </w:p>
        </w:tc>
        <w:tc>
          <w:tcPr>
            <w:tcW w:w="1940" w:type="dxa"/>
            <w:tcBorders>
              <w:top w:val="nil"/>
              <w:left w:val="nil"/>
              <w:bottom w:val="single" w:sz="4" w:space="0" w:color="auto"/>
              <w:right w:val="single" w:sz="4" w:space="0" w:color="auto"/>
            </w:tcBorders>
            <w:shd w:val="clear" w:color="auto" w:fill="auto"/>
            <w:vAlign w:val="center"/>
            <w:hideMark/>
          </w:tcPr>
          <w:p w14:paraId="27633FA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Overseas Training</w:t>
            </w:r>
          </w:p>
        </w:tc>
        <w:tc>
          <w:tcPr>
            <w:tcW w:w="1940" w:type="dxa"/>
            <w:tcBorders>
              <w:top w:val="nil"/>
              <w:left w:val="nil"/>
              <w:bottom w:val="single" w:sz="4" w:space="0" w:color="auto"/>
              <w:right w:val="single" w:sz="4" w:space="0" w:color="auto"/>
            </w:tcBorders>
            <w:shd w:val="clear" w:color="auto" w:fill="auto"/>
            <w:vAlign w:val="center"/>
            <w:hideMark/>
          </w:tcPr>
          <w:p w14:paraId="258DE3B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South Pacific Software Services in Brisbane, Australia</w:t>
            </w:r>
          </w:p>
        </w:tc>
        <w:tc>
          <w:tcPr>
            <w:tcW w:w="2260" w:type="dxa"/>
            <w:tcBorders>
              <w:top w:val="nil"/>
              <w:left w:val="nil"/>
              <w:bottom w:val="single" w:sz="4" w:space="0" w:color="auto"/>
              <w:right w:val="single" w:sz="4" w:space="0" w:color="auto"/>
            </w:tcBorders>
            <w:shd w:val="clear" w:color="auto" w:fill="auto"/>
            <w:noWrap/>
            <w:vAlign w:val="center"/>
            <w:hideMark/>
          </w:tcPr>
          <w:p w14:paraId="4F662C4A"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0C59359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9045455" w14:textId="77777777" w:rsidR="00BE57C8" w:rsidRPr="00BE57C8" w:rsidRDefault="00BE57C8" w:rsidP="00BE57C8">
            <w:pPr>
              <w:spacing w:before="0" w:after="0" w:line="240" w:lineRule="auto"/>
              <w:jc w:val="right"/>
              <w:rPr>
                <w:b/>
                <w:bCs/>
                <w:sz w:val="18"/>
                <w:szCs w:val="18"/>
                <w:lang w:val="en-NZ" w:eastAsia="en-NZ"/>
              </w:rPr>
            </w:pPr>
            <w:r w:rsidRPr="00BE57C8">
              <w:rPr>
                <w:b/>
                <w:bCs/>
                <w:sz w:val="18"/>
                <w:szCs w:val="18"/>
                <w:lang w:val="en-NZ" w:eastAsia="en-NZ"/>
              </w:rPr>
              <w:lastRenderedPageBreak/>
              <w:t>2015</w:t>
            </w:r>
          </w:p>
        </w:tc>
        <w:tc>
          <w:tcPr>
            <w:tcW w:w="1940" w:type="dxa"/>
            <w:tcBorders>
              <w:top w:val="nil"/>
              <w:left w:val="nil"/>
              <w:bottom w:val="single" w:sz="4" w:space="0" w:color="auto"/>
              <w:right w:val="single" w:sz="4" w:space="0" w:color="auto"/>
            </w:tcBorders>
            <w:shd w:val="clear" w:color="auto" w:fill="auto"/>
            <w:vAlign w:val="center"/>
            <w:hideMark/>
          </w:tcPr>
          <w:p w14:paraId="5623FA7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3D4DCE2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6CE9825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553ACA0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4B64666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2260" w:type="dxa"/>
            <w:tcBorders>
              <w:top w:val="nil"/>
              <w:left w:val="nil"/>
              <w:bottom w:val="single" w:sz="4" w:space="0" w:color="auto"/>
              <w:right w:val="single" w:sz="4" w:space="0" w:color="auto"/>
            </w:tcBorders>
            <w:shd w:val="clear" w:color="auto" w:fill="auto"/>
            <w:noWrap/>
            <w:vAlign w:val="center"/>
            <w:hideMark/>
          </w:tcPr>
          <w:p w14:paraId="65B92F51"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r>
      <w:tr w:rsidR="00BE57C8" w:rsidRPr="00BE57C8" w14:paraId="20226683"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556951F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Inspector Training Module 2</w:t>
            </w:r>
          </w:p>
        </w:tc>
        <w:tc>
          <w:tcPr>
            <w:tcW w:w="1940" w:type="dxa"/>
            <w:tcBorders>
              <w:top w:val="nil"/>
              <w:left w:val="nil"/>
              <w:bottom w:val="single" w:sz="4" w:space="0" w:color="auto"/>
              <w:right w:val="single" w:sz="4" w:space="0" w:color="auto"/>
            </w:tcBorders>
            <w:shd w:val="clear" w:color="auto" w:fill="auto"/>
            <w:vAlign w:val="center"/>
            <w:hideMark/>
          </w:tcPr>
          <w:p w14:paraId="447A83D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9</w:t>
            </w:r>
            <w:r w:rsidRPr="00BE57C8">
              <w:rPr>
                <w:sz w:val="18"/>
                <w:szCs w:val="18"/>
                <w:vertAlign w:val="superscript"/>
                <w:lang w:val="en-NZ" w:eastAsia="en-NZ"/>
              </w:rPr>
              <w:t>th</w:t>
            </w:r>
            <w:r w:rsidRPr="00BE57C8">
              <w:rPr>
                <w:sz w:val="18"/>
                <w:szCs w:val="18"/>
                <w:lang w:val="en-NZ" w:eastAsia="en-NZ"/>
              </w:rPr>
              <w:t xml:space="preserve"> to 13</w:t>
            </w:r>
            <w:r w:rsidRPr="00BE57C8">
              <w:rPr>
                <w:sz w:val="18"/>
                <w:szCs w:val="18"/>
                <w:vertAlign w:val="superscript"/>
                <w:lang w:val="en-NZ" w:eastAsia="en-NZ"/>
              </w:rPr>
              <w:t>th</w:t>
            </w:r>
            <w:r w:rsidRPr="00BE57C8">
              <w:rPr>
                <w:sz w:val="18"/>
                <w:szCs w:val="18"/>
                <w:lang w:val="en-NZ" w:eastAsia="en-NZ"/>
              </w:rPr>
              <w:t xml:space="preserve"> February, 2015</w:t>
            </w:r>
          </w:p>
        </w:tc>
        <w:tc>
          <w:tcPr>
            <w:tcW w:w="1940" w:type="dxa"/>
            <w:tcBorders>
              <w:top w:val="nil"/>
              <w:left w:val="nil"/>
              <w:bottom w:val="single" w:sz="4" w:space="0" w:color="auto"/>
              <w:right w:val="single" w:sz="4" w:space="0" w:color="auto"/>
            </w:tcBorders>
            <w:shd w:val="clear" w:color="auto" w:fill="auto"/>
            <w:vAlign w:val="center"/>
            <w:hideMark/>
          </w:tcPr>
          <w:p w14:paraId="2B1FB1E8"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$1,000.00</w:t>
            </w:r>
          </w:p>
        </w:tc>
        <w:tc>
          <w:tcPr>
            <w:tcW w:w="1940" w:type="dxa"/>
            <w:tcBorders>
              <w:top w:val="nil"/>
              <w:left w:val="nil"/>
              <w:bottom w:val="single" w:sz="4" w:space="0" w:color="auto"/>
              <w:right w:val="single" w:sz="4" w:space="0" w:color="auto"/>
            </w:tcBorders>
            <w:shd w:val="clear" w:color="auto" w:fill="auto"/>
            <w:vAlign w:val="center"/>
            <w:hideMark/>
          </w:tcPr>
          <w:p w14:paraId="79F8E7F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days</w:t>
            </w:r>
          </w:p>
        </w:tc>
        <w:tc>
          <w:tcPr>
            <w:tcW w:w="1940" w:type="dxa"/>
            <w:tcBorders>
              <w:top w:val="nil"/>
              <w:left w:val="nil"/>
              <w:bottom w:val="single" w:sz="4" w:space="0" w:color="auto"/>
              <w:right w:val="single" w:sz="4" w:space="0" w:color="auto"/>
            </w:tcBorders>
            <w:shd w:val="clear" w:color="auto" w:fill="auto"/>
            <w:vAlign w:val="center"/>
            <w:hideMark/>
          </w:tcPr>
          <w:p w14:paraId="5CE81B5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w:t>
            </w:r>
          </w:p>
        </w:tc>
        <w:tc>
          <w:tcPr>
            <w:tcW w:w="1940" w:type="dxa"/>
            <w:tcBorders>
              <w:top w:val="nil"/>
              <w:left w:val="nil"/>
              <w:bottom w:val="single" w:sz="4" w:space="0" w:color="auto"/>
              <w:right w:val="single" w:sz="4" w:space="0" w:color="auto"/>
            </w:tcBorders>
            <w:shd w:val="clear" w:color="auto" w:fill="auto"/>
            <w:vAlign w:val="center"/>
            <w:hideMark/>
          </w:tcPr>
          <w:p w14:paraId="4F6EABC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SIEA at its Training Room</w:t>
            </w:r>
          </w:p>
        </w:tc>
        <w:tc>
          <w:tcPr>
            <w:tcW w:w="2260" w:type="dxa"/>
            <w:tcBorders>
              <w:top w:val="nil"/>
              <w:left w:val="nil"/>
              <w:bottom w:val="single" w:sz="4" w:space="0" w:color="auto"/>
              <w:right w:val="single" w:sz="4" w:space="0" w:color="auto"/>
            </w:tcBorders>
            <w:shd w:val="clear" w:color="auto" w:fill="auto"/>
            <w:noWrap/>
            <w:vAlign w:val="center"/>
            <w:hideMark/>
          </w:tcPr>
          <w:p w14:paraId="63C1E2B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2B7D54A5"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62C36AA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Introduction to </w:t>
            </w:r>
            <w:r w:rsidR="00CE100C" w:rsidRPr="00BE57C8">
              <w:rPr>
                <w:sz w:val="18"/>
                <w:szCs w:val="18"/>
                <w:lang w:val="en-NZ" w:eastAsia="en-NZ"/>
              </w:rPr>
              <w:t>Counselling</w:t>
            </w:r>
            <w:r w:rsidRPr="00BE57C8">
              <w:rPr>
                <w:sz w:val="18"/>
                <w:szCs w:val="18"/>
                <w:lang w:val="en-NZ" w:eastAsia="en-NZ"/>
              </w:rPr>
              <w:t xml:space="preserve"> Training</w:t>
            </w:r>
          </w:p>
        </w:tc>
        <w:tc>
          <w:tcPr>
            <w:tcW w:w="1940" w:type="dxa"/>
            <w:tcBorders>
              <w:top w:val="nil"/>
              <w:left w:val="nil"/>
              <w:bottom w:val="single" w:sz="4" w:space="0" w:color="auto"/>
              <w:right w:val="single" w:sz="4" w:space="0" w:color="auto"/>
            </w:tcBorders>
            <w:shd w:val="clear" w:color="auto" w:fill="auto"/>
            <w:vAlign w:val="center"/>
            <w:hideMark/>
          </w:tcPr>
          <w:p w14:paraId="7DDEA7C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16</w:t>
            </w:r>
            <w:r w:rsidRPr="00BE57C8">
              <w:rPr>
                <w:sz w:val="18"/>
                <w:szCs w:val="18"/>
                <w:vertAlign w:val="superscript"/>
                <w:lang w:val="en-NZ" w:eastAsia="en-NZ"/>
              </w:rPr>
              <w:t>th</w:t>
            </w:r>
            <w:r w:rsidRPr="00BE57C8">
              <w:rPr>
                <w:sz w:val="18"/>
                <w:szCs w:val="18"/>
                <w:lang w:val="en-NZ" w:eastAsia="en-NZ"/>
              </w:rPr>
              <w:t xml:space="preserve"> to 18</w:t>
            </w:r>
            <w:r w:rsidRPr="00BE57C8">
              <w:rPr>
                <w:sz w:val="18"/>
                <w:szCs w:val="18"/>
                <w:vertAlign w:val="superscript"/>
                <w:lang w:val="en-NZ" w:eastAsia="en-NZ"/>
              </w:rPr>
              <w:t>th</w:t>
            </w:r>
            <w:r w:rsidRPr="00BE57C8">
              <w:rPr>
                <w:sz w:val="18"/>
                <w:szCs w:val="18"/>
                <w:lang w:val="en-NZ" w:eastAsia="en-NZ"/>
              </w:rPr>
              <w:t xml:space="preserve"> February, 2015</w:t>
            </w:r>
          </w:p>
        </w:tc>
        <w:tc>
          <w:tcPr>
            <w:tcW w:w="1940" w:type="dxa"/>
            <w:tcBorders>
              <w:top w:val="nil"/>
              <w:left w:val="nil"/>
              <w:bottom w:val="single" w:sz="4" w:space="0" w:color="auto"/>
              <w:right w:val="single" w:sz="4" w:space="0" w:color="auto"/>
            </w:tcBorders>
            <w:shd w:val="clear" w:color="auto" w:fill="auto"/>
            <w:vAlign w:val="center"/>
            <w:hideMark/>
          </w:tcPr>
          <w:p w14:paraId="61D7A92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$5,000.00</w:t>
            </w:r>
          </w:p>
        </w:tc>
        <w:tc>
          <w:tcPr>
            <w:tcW w:w="1940" w:type="dxa"/>
            <w:tcBorders>
              <w:top w:val="nil"/>
              <w:left w:val="nil"/>
              <w:bottom w:val="single" w:sz="4" w:space="0" w:color="auto"/>
              <w:right w:val="single" w:sz="4" w:space="0" w:color="auto"/>
            </w:tcBorders>
            <w:shd w:val="clear" w:color="auto" w:fill="auto"/>
            <w:vAlign w:val="center"/>
            <w:hideMark/>
          </w:tcPr>
          <w:p w14:paraId="2982179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days</w:t>
            </w:r>
          </w:p>
        </w:tc>
        <w:tc>
          <w:tcPr>
            <w:tcW w:w="1940" w:type="dxa"/>
            <w:tcBorders>
              <w:top w:val="nil"/>
              <w:left w:val="nil"/>
              <w:bottom w:val="single" w:sz="4" w:space="0" w:color="auto"/>
              <w:right w:val="single" w:sz="4" w:space="0" w:color="auto"/>
            </w:tcBorders>
            <w:shd w:val="clear" w:color="auto" w:fill="auto"/>
            <w:vAlign w:val="center"/>
            <w:hideMark/>
          </w:tcPr>
          <w:p w14:paraId="7ECEBE95"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w:t>
            </w:r>
          </w:p>
        </w:tc>
        <w:tc>
          <w:tcPr>
            <w:tcW w:w="1940" w:type="dxa"/>
            <w:tcBorders>
              <w:top w:val="nil"/>
              <w:left w:val="nil"/>
              <w:bottom w:val="single" w:sz="4" w:space="0" w:color="auto"/>
              <w:right w:val="single" w:sz="4" w:space="0" w:color="auto"/>
            </w:tcBorders>
            <w:shd w:val="clear" w:color="auto" w:fill="auto"/>
            <w:vAlign w:val="center"/>
            <w:hideMark/>
          </w:tcPr>
          <w:p w14:paraId="5C72611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Helen Ferguson</w:t>
            </w:r>
          </w:p>
        </w:tc>
        <w:tc>
          <w:tcPr>
            <w:tcW w:w="2260" w:type="dxa"/>
            <w:tcBorders>
              <w:top w:val="nil"/>
              <w:left w:val="nil"/>
              <w:bottom w:val="single" w:sz="4" w:space="0" w:color="auto"/>
              <w:right w:val="single" w:sz="4" w:space="0" w:color="auto"/>
            </w:tcBorders>
            <w:shd w:val="clear" w:color="auto" w:fill="auto"/>
            <w:noWrap/>
            <w:vAlign w:val="center"/>
            <w:hideMark/>
          </w:tcPr>
          <w:p w14:paraId="2B02F4F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13</w:t>
            </w:r>
          </w:p>
        </w:tc>
      </w:tr>
      <w:tr w:rsidR="00BE57C8" w:rsidRPr="00BE57C8" w14:paraId="178C6403"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225036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Defensive Driving (4WD) Training</w:t>
            </w:r>
          </w:p>
        </w:tc>
        <w:tc>
          <w:tcPr>
            <w:tcW w:w="1940" w:type="dxa"/>
            <w:tcBorders>
              <w:top w:val="nil"/>
              <w:left w:val="nil"/>
              <w:bottom w:val="single" w:sz="4" w:space="0" w:color="auto"/>
              <w:right w:val="single" w:sz="4" w:space="0" w:color="auto"/>
            </w:tcBorders>
            <w:shd w:val="clear" w:color="auto" w:fill="auto"/>
            <w:vAlign w:val="center"/>
            <w:hideMark/>
          </w:tcPr>
          <w:p w14:paraId="610048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w:t>
            </w:r>
            <w:r w:rsidRPr="00BE57C8">
              <w:rPr>
                <w:sz w:val="18"/>
                <w:szCs w:val="18"/>
                <w:vertAlign w:val="superscript"/>
                <w:lang w:val="en-NZ" w:eastAsia="en-NZ"/>
              </w:rPr>
              <w:t>rd</w:t>
            </w:r>
            <w:r w:rsidRPr="00BE57C8">
              <w:rPr>
                <w:sz w:val="18"/>
                <w:szCs w:val="18"/>
                <w:lang w:val="en-NZ" w:eastAsia="en-NZ"/>
              </w:rPr>
              <w:t xml:space="preserve"> March, 2015 - 13th March, 2015</w:t>
            </w:r>
          </w:p>
        </w:tc>
        <w:tc>
          <w:tcPr>
            <w:tcW w:w="1940" w:type="dxa"/>
            <w:tcBorders>
              <w:top w:val="nil"/>
              <w:left w:val="nil"/>
              <w:bottom w:val="single" w:sz="4" w:space="0" w:color="auto"/>
              <w:right w:val="single" w:sz="4" w:space="0" w:color="auto"/>
            </w:tcBorders>
            <w:shd w:val="clear" w:color="auto" w:fill="auto"/>
            <w:vAlign w:val="center"/>
            <w:hideMark/>
          </w:tcPr>
          <w:p w14:paraId="62EA5EA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543DD25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day</w:t>
            </w:r>
          </w:p>
        </w:tc>
        <w:tc>
          <w:tcPr>
            <w:tcW w:w="1940" w:type="dxa"/>
            <w:tcBorders>
              <w:top w:val="nil"/>
              <w:left w:val="nil"/>
              <w:bottom w:val="single" w:sz="4" w:space="0" w:color="auto"/>
              <w:right w:val="single" w:sz="4" w:space="0" w:color="auto"/>
            </w:tcBorders>
            <w:shd w:val="clear" w:color="auto" w:fill="auto"/>
            <w:vAlign w:val="center"/>
            <w:hideMark/>
          </w:tcPr>
          <w:p w14:paraId="62BBD4E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w:t>
            </w:r>
          </w:p>
        </w:tc>
        <w:tc>
          <w:tcPr>
            <w:tcW w:w="1940" w:type="dxa"/>
            <w:tcBorders>
              <w:top w:val="nil"/>
              <w:left w:val="nil"/>
              <w:bottom w:val="single" w:sz="4" w:space="0" w:color="auto"/>
              <w:right w:val="single" w:sz="4" w:space="0" w:color="auto"/>
            </w:tcBorders>
            <w:shd w:val="clear" w:color="auto" w:fill="auto"/>
            <w:vAlign w:val="center"/>
            <w:hideMark/>
          </w:tcPr>
          <w:p w14:paraId="5AE3BF0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Joel Neilsen of Safe Drive Training (Aust) Pty Ltd</w:t>
            </w:r>
          </w:p>
        </w:tc>
        <w:tc>
          <w:tcPr>
            <w:tcW w:w="2260" w:type="dxa"/>
            <w:tcBorders>
              <w:top w:val="nil"/>
              <w:left w:val="nil"/>
              <w:bottom w:val="single" w:sz="4" w:space="0" w:color="auto"/>
              <w:right w:val="single" w:sz="4" w:space="0" w:color="auto"/>
            </w:tcBorders>
            <w:shd w:val="clear" w:color="auto" w:fill="auto"/>
            <w:noWrap/>
            <w:vAlign w:val="center"/>
            <w:hideMark/>
          </w:tcPr>
          <w:p w14:paraId="6E24DF0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61</w:t>
            </w:r>
          </w:p>
        </w:tc>
      </w:tr>
      <w:tr w:rsidR="00BE57C8" w:rsidRPr="00BE57C8" w14:paraId="19949DA9"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FE58C8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SOPAC Conference 2015</w:t>
            </w:r>
          </w:p>
        </w:tc>
        <w:tc>
          <w:tcPr>
            <w:tcW w:w="1940" w:type="dxa"/>
            <w:tcBorders>
              <w:top w:val="nil"/>
              <w:left w:val="nil"/>
              <w:bottom w:val="single" w:sz="4" w:space="0" w:color="auto"/>
              <w:right w:val="single" w:sz="4" w:space="0" w:color="auto"/>
            </w:tcBorders>
            <w:shd w:val="clear" w:color="auto" w:fill="auto"/>
            <w:vAlign w:val="center"/>
            <w:hideMark/>
          </w:tcPr>
          <w:p w14:paraId="244DBF5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15</w:t>
            </w:r>
            <w:r w:rsidRPr="00BE57C8">
              <w:rPr>
                <w:sz w:val="18"/>
                <w:szCs w:val="18"/>
                <w:vertAlign w:val="superscript"/>
                <w:lang w:val="en-NZ" w:eastAsia="en-NZ"/>
              </w:rPr>
              <w:t>th</w:t>
            </w:r>
            <w:r w:rsidRPr="00BE57C8">
              <w:rPr>
                <w:sz w:val="18"/>
                <w:szCs w:val="18"/>
                <w:lang w:val="en-NZ" w:eastAsia="en-NZ"/>
              </w:rPr>
              <w:t xml:space="preserve"> to 18</w:t>
            </w:r>
            <w:r w:rsidRPr="00BE57C8">
              <w:rPr>
                <w:sz w:val="18"/>
                <w:szCs w:val="18"/>
                <w:vertAlign w:val="superscript"/>
                <w:lang w:val="en-NZ" w:eastAsia="en-NZ"/>
              </w:rPr>
              <w:t>th</w:t>
            </w:r>
            <w:r w:rsidRPr="00BE57C8">
              <w:rPr>
                <w:sz w:val="18"/>
                <w:szCs w:val="18"/>
                <w:lang w:val="en-NZ" w:eastAsia="en-NZ"/>
              </w:rPr>
              <w:t xml:space="preserve"> March 2015</w:t>
            </w:r>
          </w:p>
        </w:tc>
        <w:tc>
          <w:tcPr>
            <w:tcW w:w="1940" w:type="dxa"/>
            <w:tcBorders>
              <w:top w:val="nil"/>
              <w:left w:val="nil"/>
              <w:bottom w:val="single" w:sz="4" w:space="0" w:color="auto"/>
              <w:right w:val="single" w:sz="4" w:space="0" w:color="auto"/>
            </w:tcBorders>
            <w:shd w:val="clear" w:color="auto" w:fill="auto"/>
            <w:vAlign w:val="center"/>
            <w:hideMark/>
          </w:tcPr>
          <w:p w14:paraId="55B11BA1"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067DD8D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days</w:t>
            </w:r>
          </w:p>
        </w:tc>
        <w:tc>
          <w:tcPr>
            <w:tcW w:w="1940" w:type="dxa"/>
            <w:tcBorders>
              <w:top w:val="nil"/>
              <w:left w:val="nil"/>
              <w:bottom w:val="single" w:sz="4" w:space="0" w:color="auto"/>
              <w:right w:val="single" w:sz="4" w:space="0" w:color="auto"/>
            </w:tcBorders>
            <w:shd w:val="clear" w:color="auto" w:fill="auto"/>
            <w:vAlign w:val="center"/>
            <w:hideMark/>
          </w:tcPr>
          <w:p w14:paraId="24F4726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Conference</w:t>
            </w:r>
          </w:p>
        </w:tc>
        <w:tc>
          <w:tcPr>
            <w:tcW w:w="1940" w:type="dxa"/>
            <w:tcBorders>
              <w:top w:val="nil"/>
              <w:left w:val="nil"/>
              <w:bottom w:val="single" w:sz="4" w:space="0" w:color="auto"/>
              <w:right w:val="single" w:sz="4" w:space="0" w:color="auto"/>
            </w:tcBorders>
            <w:shd w:val="clear" w:color="auto" w:fill="auto"/>
            <w:vAlign w:val="center"/>
            <w:hideMark/>
          </w:tcPr>
          <w:p w14:paraId="50D6433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Sydney, Australia</w:t>
            </w:r>
          </w:p>
        </w:tc>
        <w:tc>
          <w:tcPr>
            <w:tcW w:w="2260" w:type="dxa"/>
            <w:tcBorders>
              <w:top w:val="nil"/>
              <w:left w:val="nil"/>
              <w:bottom w:val="single" w:sz="4" w:space="0" w:color="auto"/>
              <w:right w:val="single" w:sz="4" w:space="0" w:color="auto"/>
            </w:tcBorders>
            <w:shd w:val="clear" w:color="auto" w:fill="auto"/>
            <w:noWrap/>
            <w:vAlign w:val="center"/>
            <w:hideMark/>
          </w:tcPr>
          <w:p w14:paraId="46DCA43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5A7C678B"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571216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Practical Interview and Statement Taking Symposium</w:t>
            </w:r>
          </w:p>
        </w:tc>
        <w:tc>
          <w:tcPr>
            <w:tcW w:w="1940" w:type="dxa"/>
            <w:tcBorders>
              <w:top w:val="nil"/>
              <w:left w:val="nil"/>
              <w:bottom w:val="single" w:sz="4" w:space="0" w:color="auto"/>
              <w:right w:val="single" w:sz="4" w:space="0" w:color="auto"/>
            </w:tcBorders>
            <w:shd w:val="clear" w:color="auto" w:fill="auto"/>
            <w:vAlign w:val="center"/>
            <w:hideMark/>
          </w:tcPr>
          <w:p w14:paraId="101B516D"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14</w:t>
            </w:r>
            <w:r w:rsidRPr="00BE57C8">
              <w:rPr>
                <w:sz w:val="18"/>
                <w:szCs w:val="18"/>
                <w:vertAlign w:val="superscript"/>
                <w:lang w:val="en-NZ" w:eastAsia="en-NZ"/>
              </w:rPr>
              <w:t>th</w:t>
            </w:r>
            <w:r w:rsidRPr="00BE57C8">
              <w:rPr>
                <w:sz w:val="18"/>
                <w:szCs w:val="18"/>
                <w:lang w:val="en-NZ" w:eastAsia="en-NZ"/>
              </w:rPr>
              <w:t xml:space="preserve"> to 16</w:t>
            </w:r>
            <w:r w:rsidRPr="00BE57C8">
              <w:rPr>
                <w:sz w:val="18"/>
                <w:szCs w:val="18"/>
                <w:vertAlign w:val="superscript"/>
                <w:lang w:val="en-NZ" w:eastAsia="en-NZ"/>
              </w:rPr>
              <w:t>th</w:t>
            </w:r>
            <w:r w:rsidRPr="00BE57C8">
              <w:rPr>
                <w:sz w:val="18"/>
                <w:szCs w:val="18"/>
                <w:lang w:val="en-NZ" w:eastAsia="en-NZ"/>
              </w:rPr>
              <w:t xml:space="preserve"> April 2015</w:t>
            </w:r>
          </w:p>
        </w:tc>
        <w:tc>
          <w:tcPr>
            <w:tcW w:w="1940" w:type="dxa"/>
            <w:tcBorders>
              <w:top w:val="nil"/>
              <w:left w:val="nil"/>
              <w:bottom w:val="single" w:sz="4" w:space="0" w:color="auto"/>
              <w:right w:val="single" w:sz="4" w:space="0" w:color="auto"/>
            </w:tcBorders>
            <w:shd w:val="clear" w:color="auto" w:fill="auto"/>
            <w:vAlign w:val="center"/>
            <w:hideMark/>
          </w:tcPr>
          <w:p w14:paraId="030F706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0257126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 days</w:t>
            </w:r>
          </w:p>
        </w:tc>
        <w:tc>
          <w:tcPr>
            <w:tcW w:w="1940" w:type="dxa"/>
            <w:tcBorders>
              <w:top w:val="nil"/>
              <w:left w:val="nil"/>
              <w:bottom w:val="single" w:sz="4" w:space="0" w:color="auto"/>
              <w:right w:val="single" w:sz="4" w:space="0" w:color="auto"/>
            </w:tcBorders>
            <w:shd w:val="clear" w:color="auto" w:fill="auto"/>
            <w:vAlign w:val="center"/>
            <w:hideMark/>
          </w:tcPr>
          <w:p w14:paraId="6169D91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34BAA98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in Honiara by B. Hay of Fraud and Cyber Crime Group, State Crime Command, Queensland State Police, Australia</w:t>
            </w:r>
          </w:p>
        </w:tc>
        <w:tc>
          <w:tcPr>
            <w:tcW w:w="2260" w:type="dxa"/>
            <w:tcBorders>
              <w:top w:val="nil"/>
              <w:left w:val="nil"/>
              <w:bottom w:val="single" w:sz="4" w:space="0" w:color="auto"/>
              <w:right w:val="single" w:sz="4" w:space="0" w:color="auto"/>
            </w:tcBorders>
            <w:shd w:val="clear" w:color="auto" w:fill="auto"/>
            <w:noWrap/>
            <w:vAlign w:val="center"/>
            <w:hideMark/>
          </w:tcPr>
          <w:p w14:paraId="7807B374"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29E9EC5C"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19D29D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Australia Award Fellowship - WASH</w:t>
            </w:r>
          </w:p>
        </w:tc>
        <w:tc>
          <w:tcPr>
            <w:tcW w:w="1940" w:type="dxa"/>
            <w:tcBorders>
              <w:top w:val="nil"/>
              <w:left w:val="nil"/>
              <w:bottom w:val="single" w:sz="4" w:space="0" w:color="auto"/>
              <w:right w:val="single" w:sz="4" w:space="0" w:color="auto"/>
            </w:tcBorders>
            <w:shd w:val="clear" w:color="auto" w:fill="auto"/>
            <w:vAlign w:val="center"/>
            <w:hideMark/>
          </w:tcPr>
          <w:p w14:paraId="355A2D7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w:t>
            </w:r>
            <w:r w:rsidRPr="00BE57C8">
              <w:rPr>
                <w:sz w:val="18"/>
                <w:szCs w:val="18"/>
                <w:vertAlign w:val="superscript"/>
                <w:lang w:val="en-NZ" w:eastAsia="en-NZ"/>
              </w:rPr>
              <w:t>th</w:t>
            </w:r>
            <w:r w:rsidRPr="00BE57C8">
              <w:rPr>
                <w:sz w:val="18"/>
                <w:szCs w:val="18"/>
                <w:lang w:val="en-NZ" w:eastAsia="en-NZ"/>
              </w:rPr>
              <w:t xml:space="preserve"> June to 3</w:t>
            </w:r>
            <w:r w:rsidRPr="00BE57C8">
              <w:rPr>
                <w:sz w:val="18"/>
                <w:szCs w:val="18"/>
                <w:vertAlign w:val="superscript"/>
                <w:lang w:val="en-NZ" w:eastAsia="en-NZ"/>
              </w:rPr>
              <w:t>rd</w:t>
            </w:r>
            <w:r w:rsidRPr="00BE57C8">
              <w:rPr>
                <w:sz w:val="18"/>
                <w:szCs w:val="18"/>
                <w:lang w:val="en-NZ" w:eastAsia="en-NZ"/>
              </w:rPr>
              <w:t xml:space="preserve"> July, 2015</w:t>
            </w:r>
          </w:p>
        </w:tc>
        <w:tc>
          <w:tcPr>
            <w:tcW w:w="1940" w:type="dxa"/>
            <w:tcBorders>
              <w:top w:val="nil"/>
              <w:left w:val="nil"/>
              <w:bottom w:val="single" w:sz="4" w:space="0" w:color="auto"/>
              <w:right w:val="single" w:sz="4" w:space="0" w:color="auto"/>
            </w:tcBorders>
            <w:shd w:val="clear" w:color="auto" w:fill="auto"/>
            <w:vAlign w:val="center"/>
            <w:hideMark/>
          </w:tcPr>
          <w:p w14:paraId="5F8EEF7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098696A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weeks</w:t>
            </w:r>
          </w:p>
        </w:tc>
        <w:tc>
          <w:tcPr>
            <w:tcW w:w="1940" w:type="dxa"/>
            <w:tcBorders>
              <w:top w:val="nil"/>
              <w:left w:val="nil"/>
              <w:bottom w:val="single" w:sz="4" w:space="0" w:color="auto"/>
              <w:right w:val="single" w:sz="4" w:space="0" w:color="auto"/>
            </w:tcBorders>
            <w:shd w:val="clear" w:color="auto" w:fill="auto"/>
            <w:vAlign w:val="center"/>
            <w:hideMark/>
          </w:tcPr>
          <w:p w14:paraId="0B4D80D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3755B17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Queensland University of Technology in Brisbane, Australia</w:t>
            </w:r>
          </w:p>
        </w:tc>
        <w:tc>
          <w:tcPr>
            <w:tcW w:w="2260" w:type="dxa"/>
            <w:tcBorders>
              <w:top w:val="nil"/>
              <w:left w:val="nil"/>
              <w:bottom w:val="single" w:sz="4" w:space="0" w:color="auto"/>
              <w:right w:val="single" w:sz="4" w:space="0" w:color="auto"/>
            </w:tcBorders>
            <w:shd w:val="clear" w:color="auto" w:fill="auto"/>
            <w:noWrap/>
            <w:vAlign w:val="center"/>
            <w:hideMark/>
          </w:tcPr>
          <w:p w14:paraId="6D85325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1D484382"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0E1D3F7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Magnet Office Software Training</w:t>
            </w:r>
          </w:p>
        </w:tc>
        <w:tc>
          <w:tcPr>
            <w:tcW w:w="1940" w:type="dxa"/>
            <w:tcBorders>
              <w:top w:val="nil"/>
              <w:left w:val="nil"/>
              <w:bottom w:val="single" w:sz="4" w:space="0" w:color="auto"/>
              <w:right w:val="single" w:sz="4" w:space="0" w:color="auto"/>
            </w:tcBorders>
            <w:shd w:val="clear" w:color="auto" w:fill="auto"/>
            <w:vAlign w:val="center"/>
            <w:hideMark/>
          </w:tcPr>
          <w:p w14:paraId="131995D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30</w:t>
            </w:r>
            <w:r w:rsidRPr="00BE57C8">
              <w:rPr>
                <w:sz w:val="18"/>
                <w:szCs w:val="18"/>
                <w:vertAlign w:val="superscript"/>
                <w:lang w:val="en-NZ" w:eastAsia="en-NZ"/>
              </w:rPr>
              <w:t>th</w:t>
            </w:r>
            <w:r w:rsidRPr="00BE57C8">
              <w:rPr>
                <w:sz w:val="18"/>
                <w:szCs w:val="18"/>
                <w:lang w:val="en-NZ" w:eastAsia="en-NZ"/>
              </w:rPr>
              <w:t xml:space="preserve"> June to 5</w:t>
            </w:r>
            <w:r w:rsidRPr="00BE57C8">
              <w:rPr>
                <w:sz w:val="18"/>
                <w:szCs w:val="18"/>
                <w:vertAlign w:val="superscript"/>
                <w:lang w:val="en-NZ" w:eastAsia="en-NZ"/>
              </w:rPr>
              <w:t>th</w:t>
            </w:r>
            <w:r w:rsidRPr="00BE57C8">
              <w:rPr>
                <w:sz w:val="18"/>
                <w:szCs w:val="18"/>
                <w:lang w:val="en-NZ" w:eastAsia="en-NZ"/>
              </w:rPr>
              <w:t xml:space="preserve"> July, 2015</w:t>
            </w:r>
          </w:p>
        </w:tc>
        <w:tc>
          <w:tcPr>
            <w:tcW w:w="1940" w:type="dxa"/>
            <w:tcBorders>
              <w:top w:val="nil"/>
              <w:left w:val="nil"/>
              <w:bottom w:val="single" w:sz="4" w:space="0" w:color="auto"/>
              <w:right w:val="single" w:sz="4" w:space="0" w:color="auto"/>
            </w:tcBorders>
            <w:shd w:val="clear" w:color="auto" w:fill="auto"/>
            <w:vAlign w:val="center"/>
            <w:hideMark/>
          </w:tcPr>
          <w:p w14:paraId="57966DD6"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$1,000.00</w:t>
            </w:r>
          </w:p>
        </w:tc>
        <w:tc>
          <w:tcPr>
            <w:tcW w:w="1940" w:type="dxa"/>
            <w:tcBorders>
              <w:top w:val="nil"/>
              <w:left w:val="nil"/>
              <w:bottom w:val="single" w:sz="4" w:space="0" w:color="auto"/>
              <w:right w:val="single" w:sz="4" w:space="0" w:color="auto"/>
            </w:tcBorders>
            <w:shd w:val="clear" w:color="auto" w:fill="auto"/>
            <w:vAlign w:val="center"/>
            <w:hideMark/>
          </w:tcPr>
          <w:p w14:paraId="410099F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 days</w:t>
            </w:r>
          </w:p>
        </w:tc>
        <w:tc>
          <w:tcPr>
            <w:tcW w:w="1940" w:type="dxa"/>
            <w:tcBorders>
              <w:top w:val="nil"/>
              <w:left w:val="nil"/>
              <w:bottom w:val="single" w:sz="4" w:space="0" w:color="auto"/>
              <w:right w:val="single" w:sz="4" w:space="0" w:color="auto"/>
            </w:tcBorders>
            <w:shd w:val="clear" w:color="auto" w:fill="auto"/>
            <w:vAlign w:val="center"/>
            <w:hideMark/>
          </w:tcPr>
          <w:p w14:paraId="4F1E54F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59AD89B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Position Partners of Brisbane, Australia at SINU’s Institute of Technology</w:t>
            </w:r>
          </w:p>
        </w:tc>
        <w:tc>
          <w:tcPr>
            <w:tcW w:w="2260" w:type="dxa"/>
            <w:tcBorders>
              <w:top w:val="nil"/>
              <w:left w:val="nil"/>
              <w:bottom w:val="single" w:sz="4" w:space="0" w:color="auto"/>
              <w:right w:val="single" w:sz="4" w:space="0" w:color="auto"/>
            </w:tcBorders>
            <w:shd w:val="clear" w:color="auto" w:fill="auto"/>
            <w:noWrap/>
            <w:vAlign w:val="center"/>
            <w:hideMark/>
          </w:tcPr>
          <w:p w14:paraId="7188844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621E8D0D"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8529B4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Management of Water Resources and Water Supply Services for Pacific Island Countries</w:t>
            </w:r>
          </w:p>
        </w:tc>
        <w:tc>
          <w:tcPr>
            <w:tcW w:w="1940" w:type="dxa"/>
            <w:tcBorders>
              <w:top w:val="nil"/>
              <w:left w:val="nil"/>
              <w:bottom w:val="single" w:sz="4" w:space="0" w:color="auto"/>
              <w:right w:val="single" w:sz="4" w:space="0" w:color="auto"/>
            </w:tcBorders>
            <w:shd w:val="clear" w:color="auto" w:fill="auto"/>
            <w:vAlign w:val="center"/>
            <w:hideMark/>
          </w:tcPr>
          <w:p w14:paraId="141BF6D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8</w:t>
            </w:r>
            <w:r w:rsidRPr="00BE57C8">
              <w:rPr>
                <w:sz w:val="18"/>
                <w:szCs w:val="18"/>
                <w:vertAlign w:val="superscript"/>
                <w:lang w:val="en-NZ" w:eastAsia="en-NZ"/>
              </w:rPr>
              <w:t>th</w:t>
            </w:r>
            <w:r w:rsidRPr="00BE57C8">
              <w:rPr>
                <w:sz w:val="18"/>
                <w:szCs w:val="18"/>
                <w:lang w:val="en-NZ" w:eastAsia="en-NZ"/>
              </w:rPr>
              <w:t xml:space="preserve"> July to 5</w:t>
            </w:r>
            <w:r w:rsidRPr="00BE57C8">
              <w:rPr>
                <w:sz w:val="18"/>
                <w:szCs w:val="18"/>
                <w:vertAlign w:val="superscript"/>
                <w:lang w:val="en-NZ" w:eastAsia="en-NZ"/>
              </w:rPr>
              <w:t>th</w:t>
            </w:r>
            <w:r w:rsidRPr="00BE57C8">
              <w:rPr>
                <w:sz w:val="18"/>
                <w:szCs w:val="18"/>
                <w:lang w:val="en-NZ" w:eastAsia="en-NZ"/>
              </w:rPr>
              <w:t xml:space="preserve"> September, 2015</w:t>
            </w:r>
          </w:p>
        </w:tc>
        <w:tc>
          <w:tcPr>
            <w:tcW w:w="1940" w:type="dxa"/>
            <w:tcBorders>
              <w:top w:val="nil"/>
              <w:left w:val="nil"/>
              <w:bottom w:val="single" w:sz="4" w:space="0" w:color="auto"/>
              <w:right w:val="single" w:sz="4" w:space="0" w:color="auto"/>
            </w:tcBorders>
            <w:shd w:val="clear" w:color="auto" w:fill="auto"/>
            <w:vAlign w:val="center"/>
            <w:hideMark/>
          </w:tcPr>
          <w:p w14:paraId="0FD88BD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017A724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6 weeks</w:t>
            </w:r>
          </w:p>
        </w:tc>
        <w:tc>
          <w:tcPr>
            <w:tcW w:w="1940" w:type="dxa"/>
            <w:tcBorders>
              <w:top w:val="nil"/>
              <w:left w:val="nil"/>
              <w:bottom w:val="single" w:sz="4" w:space="0" w:color="auto"/>
              <w:right w:val="single" w:sz="4" w:space="0" w:color="auto"/>
            </w:tcBorders>
            <w:shd w:val="clear" w:color="auto" w:fill="auto"/>
            <w:vAlign w:val="center"/>
            <w:hideMark/>
          </w:tcPr>
          <w:p w14:paraId="517E00B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69EDD21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in Okinawa, Japan</w:t>
            </w:r>
          </w:p>
        </w:tc>
        <w:tc>
          <w:tcPr>
            <w:tcW w:w="2260" w:type="dxa"/>
            <w:tcBorders>
              <w:top w:val="nil"/>
              <w:left w:val="nil"/>
              <w:bottom w:val="single" w:sz="4" w:space="0" w:color="auto"/>
              <w:right w:val="single" w:sz="4" w:space="0" w:color="auto"/>
            </w:tcBorders>
            <w:shd w:val="clear" w:color="auto" w:fill="auto"/>
            <w:noWrap/>
            <w:vAlign w:val="center"/>
            <w:hideMark/>
          </w:tcPr>
          <w:p w14:paraId="63A23D82"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2</w:t>
            </w:r>
          </w:p>
        </w:tc>
      </w:tr>
      <w:tr w:rsidR="00BE57C8" w:rsidRPr="00BE57C8" w14:paraId="4912ECAE"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491609F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Operation and Maintenance of Urban Water Supply System (Water Quality)</w:t>
            </w:r>
          </w:p>
        </w:tc>
        <w:tc>
          <w:tcPr>
            <w:tcW w:w="1940" w:type="dxa"/>
            <w:tcBorders>
              <w:top w:val="nil"/>
              <w:left w:val="nil"/>
              <w:bottom w:val="single" w:sz="4" w:space="0" w:color="auto"/>
              <w:right w:val="single" w:sz="4" w:space="0" w:color="auto"/>
            </w:tcBorders>
            <w:shd w:val="clear" w:color="auto" w:fill="auto"/>
            <w:vAlign w:val="center"/>
            <w:hideMark/>
          </w:tcPr>
          <w:p w14:paraId="6D89CF5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13</w:t>
            </w:r>
            <w:r w:rsidRPr="00BE57C8">
              <w:rPr>
                <w:sz w:val="18"/>
                <w:szCs w:val="18"/>
                <w:vertAlign w:val="superscript"/>
                <w:lang w:val="en-NZ" w:eastAsia="en-NZ"/>
              </w:rPr>
              <w:t>th</w:t>
            </w:r>
            <w:r w:rsidRPr="00BE57C8">
              <w:rPr>
                <w:sz w:val="18"/>
                <w:szCs w:val="18"/>
                <w:lang w:val="en-NZ" w:eastAsia="en-NZ"/>
              </w:rPr>
              <w:t xml:space="preserve"> July to 14</w:t>
            </w:r>
            <w:r w:rsidRPr="00BE57C8">
              <w:rPr>
                <w:sz w:val="18"/>
                <w:szCs w:val="18"/>
                <w:vertAlign w:val="superscript"/>
                <w:lang w:val="en-NZ" w:eastAsia="en-NZ"/>
              </w:rPr>
              <w:t>th</w:t>
            </w:r>
            <w:r w:rsidRPr="00BE57C8">
              <w:rPr>
                <w:sz w:val="18"/>
                <w:szCs w:val="18"/>
                <w:lang w:val="en-NZ" w:eastAsia="en-NZ"/>
              </w:rPr>
              <w:t xml:space="preserve"> August, 2015</w:t>
            </w:r>
          </w:p>
        </w:tc>
        <w:tc>
          <w:tcPr>
            <w:tcW w:w="1940" w:type="dxa"/>
            <w:tcBorders>
              <w:top w:val="nil"/>
              <w:left w:val="nil"/>
              <w:bottom w:val="single" w:sz="4" w:space="0" w:color="auto"/>
              <w:right w:val="single" w:sz="4" w:space="0" w:color="auto"/>
            </w:tcBorders>
            <w:shd w:val="clear" w:color="auto" w:fill="auto"/>
            <w:vAlign w:val="center"/>
            <w:hideMark/>
          </w:tcPr>
          <w:p w14:paraId="5AE4A27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103A536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4 weeks</w:t>
            </w:r>
          </w:p>
        </w:tc>
        <w:tc>
          <w:tcPr>
            <w:tcW w:w="1940" w:type="dxa"/>
            <w:tcBorders>
              <w:top w:val="nil"/>
              <w:left w:val="nil"/>
              <w:bottom w:val="single" w:sz="4" w:space="0" w:color="auto"/>
              <w:right w:val="single" w:sz="4" w:space="0" w:color="auto"/>
            </w:tcBorders>
            <w:shd w:val="clear" w:color="auto" w:fill="auto"/>
            <w:vAlign w:val="center"/>
            <w:hideMark/>
          </w:tcPr>
          <w:p w14:paraId="289D6C0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3A4646C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JICA in Kobe, Japan</w:t>
            </w:r>
          </w:p>
        </w:tc>
        <w:tc>
          <w:tcPr>
            <w:tcW w:w="2260" w:type="dxa"/>
            <w:tcBorders>
              <w:top w:val="nil"/>
              <w:left w:val="nil"/>
              <w:bottom w:val="single" w:sz="4" w:space="0" w:color="auto"/>
              <w:right w:val="single" w:sz="4" w:space="0" w:color="auto"/>
            </w:tcBorders>
            <w:shd w:val="clear" w:color="auto" w:fill="auto"/>
            <w:noWrap/>
            <w:vAlign w:val="center"/>
            <w:hideMark/>
          </w:tcPr>
          <w:p w14:paraId="3516DC6C"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w:t>
            </w:r>
          </w:p>
        </w:tc>
      </w:tr>
      <w:tr w:rsidR="00BE57C8" w:rsidRPr="00BE57C8" w14:paraId="706210D0"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60EBA0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Leadership Empowerment &amp; Management Training</w:t>
            </w:r>
          </w:p>
        </w:tc>
        <w:tc>
          <w:tcPr>
            <w:tcW w:w="1940" w:type="dxa"/>
            <w:tcBorders>
              <w:top w:val="nil"/>
              <w:left w:val="nil"/>
              <w:bottom w:val="single" w:sz="4" w:space="0" w:color="auto"/>
              <w:right w:val="single" w:sz="4" w:space="0" w:color="auto"/>
            </w:tcBorders>
            <w:shd w:val="clear" w:color="auto" w:fill="auto"/>
            <w:vAlign w:val="center"/>
            <w:hideMark/>
          </w:tcPr>
          <w:p w14:paraId="2E04AC0A"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24</w:t>
            </w:r>
            <w:r w:rsidRPr="00BE57C8">
              <w:rPr>
                <w:sz w:val="18"/>
                <w:szCs w:val="18"/>
                <w:vertAlign w:val="superscript"/>
                <w:lang w:val="en-NZ" w:eastAsia="en-NZ"/>
              </w:rPr>
              <w:t>th</w:t>
            </w:r>
            <w:r w:rsidRPr="00BE57C8">
              <w:rPr>
                <w:sz w:val="18"/>
                <w:szCs w:val="18"/>
                <w:lang w:val="en-NZ" w:eastAsia="en-NZ"/>
              </w:rPr>
              <w:t xml:space="preserve"> August 2015</w:t>
            </w:r>
          </w:p>
        </w:tc>
        <w:tc>
          <w:tcPr>
            <w:tcW w:w="1940" w:type="dxa"/>
            <w:tcBorders>
              <w:top w:val="nil"/>
              <w:left w:val="nil"/>
              <w:bottom w:val="single" w:sz="4" w:space="0" w:color="auto"/>
              <w:right w:val="single" w:sz="4" w:space="0" w:color="auto"/>
            </w:tcBorders>
            <w:shd w:val="clear" w:color="auto" w:fill="auto"/>
            <w:vAlign w:val="center"/>
            <w:hideMark/>
          </w:tcPr>
          <w:p w14:paraId="0448C657"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$600.00</w:t>
            </w:r>
          </w:p>
        </w:tc>
        <w:tc>
          <w:tcPr>
            <w:tcW w:w="1940" w:type="dxa"/>
            <w:tcBorders>
              <w:top w:val="nil"/>
              <w:left w:val="nil"/>
              <w:bottom w:val="single" w:sz="4" w:space="0" w:color="auto"/>
              <w:right w:val="single" w:sz="4" w:space="0" w:color="auto"/>
            </w:tcBorders>
            <w:shd w:val="clear" w:color="auto" w:fill="auto"/>
            <w:vAlign w:val="center"/>
            <w:hideMark/>
          </w:tcPr>
          <w:p w14:paraId="76EDAEC0"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day</w:t>
            </w:r>
          </w:p>
        </w:tc>
        <w:tc>
          <w:tcPr>
            <w:tcW w:w="1940" w:type="dxa"/>
            <w:tcBorders>
              <w:top w:val="nil"/>
              <w:left w:val="nil"/>
              <w:bottom w:val="single" w:sz="4" w:space="0" w:color="auto"/>
              <w:right w:val="single" w:sz="4" w:space="0" w:color="auto"/>
            </w:tcBorders>
            <w:shd w:val="clear" w:color="auto" w:fill="auto"/>
            <w:vAlign w:val="center"/>
            <w:hideMark/>
          </w:tcPr>
          <w:p w14:paraId="1755EFF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56E3A61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William Parairato of USP Solomon Islands Campus</w:t>
            </w:r>
          </w:p>
        </w:tc>
        <w:tc>
          <w:tcPr>
            <w:tcW w:w="2260" w:type="dxa"/>
            <w:tcBorders>
              <w:top w:val="nil"/>
              <w:left w:val="nil"/>
              <w:bottom w:val="single" w:sz="4" w:space="0" w:color="auto"/>
              <w:right w:val="single" w:sz="4" w:space="0" w:color="auto"/>
            </w:tcBorders>
            <w:shd w:val="clear" w:color="auto" w:fill="auto"/>
            <w:noWrap/>
            <w:vAlign w:val="center"/>
            <w:hideMark/>
          </w:tcPr>
          <w:p w14:paraId="766734D0"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12</w:t>
            </w:r>
          </w:p>
        </w:tc>
      </w:tr>
      <w:tr w:rsidR="00BE57C8" w:rsidRPr="00BE57C8" w14:paraId="73C74FD7"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7D2BE223"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Managing Workplace Conflict</w:t>
            </w:r>
          </w:p>
        </w:tc>
        <w:tc>
          <w:tcPr>
            <w:tcW w:w="1940" w:type="dxa"/>
            <w:tcBorders>
              <w:top w:val="nil"/>
              <w:left w:val="nil"/>
              <w:bottom w:val="single" w:sz="4" w:space="0" w:color="auto"/>
              <w:right w:val="single" w:sz="4" w:space="0" w:color="auto"/>
            </w:tcBorders>
            <w:shd w:val="clear" w:color="auto" w:fill="auto"/>
            <w:vAlign w:val="center"/>
            <w:hideMark/>
          </w:tcPr>
          <w:p w14:paraId="178F4C2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25</w:t>
            </w:r>
            <w:r w:rsidRPr="00BE57C8">
              <w:rPr>
                <w:sz w:val="18"/>
                <w:szCs w:val="18"/>
                <w:vertAlign w:val="superscript"/>
                <w:lang w:val="en-NZ" w:eastAsia="en-NZ"/>
              </w:rPr>
              <w:t>th</w:t>
            </w:r>
            <w:r w:rsidRPr="00BE57C8">
              <w:rPr>
                <w:sz w:val="18"/>
                <w:szCs w:val="18"/>
                <w:lang w:val="en-NZ" w:eastAsia="en-NZ"/>
              </w:rPr>
              <w:t xml:space="preserve"> August, 2015</w:t>
            </w:r>
          </w:p>
        </w:tc>
        <w:tc>
          <w:tcPr>
            <w:tcW w:w="1940" w:type="dxa"/>
            <w:tcBorders>
              <w:top w:val="nil"/>
              <w:left w:val="nil"/>
              <w:bottom w:val="single" w:sz="4" w:space="0" w:color="auto"/>
              <w:right w:val="single" w:sz="4" w:space="0" w:color="auto"/>
            </w:tcBorders>
            <w:shd w:val="clear" w:color="auto" w:fill="auto"/>
            <w:vAlign w:val="center"/>
            <w:hideMark/>
          </w:tcPr>
          <w:p w14:paraId="6F6A571A"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$600.00</w:t>
            </w:r>
          </w:p>
        </w:tc>
        <w:tc>
          <w:tcPr>
            <w:tcW w:w="1940" w:type="dxa"/>
            <w:tcBorders>
              <w:top w:val="nil"/>
              <w:left w:val="nil"/>
              <w:bottom w:val="single" w:sz="4" w:space="0" w:color="auto"/>
              <w:right w:val="single" w:sz="4" w:space="0" w:color="auto"/>
            </w:tcBorders>
            <w:shd w:val="clear" w:color="auto" w:fill="auto"/>
            <w:vAlign w:val="center"/>
            <w:hideMark/>
          </w:tcPr>
          <w:p w14:paraId="5D9C6AD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day</w:t>
            </w:r>
          </w:p>
        </w:tc>
        <w:tc>
          <w:tcPr>
            <w:tcW w:w="1940" w:type="dxa"/>
            <w:tcBorders>
              <w:top w:val="nil"/>
              <w:left w:val="nil"/>
              <w:bottom w:val="single" w:sz="4" w:space="0" w:color="auto"/>
              <w:right w:val="single" w:sz="4" w:space="0" w:color="auto"/>
            </w:tcBorders>
            <w:shd w:val="clear" w:color="auto" w:fill="auto"/>
            <w:vAlign w:val="center"/>
            <w:hideMark/>
          </w:tcPr>
          <w:p w14:paraId="54BBB79C"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407FBF0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 xml:space="preserve">Conducted by William Parairato of USP </w:t>
            </w:r>
            <w:r w:rsidRPr="00BE57C8">
              <w:rPr>
                <w:sz w:val="18"/>
                <w:szCs w:val="18"/>
                <w:lang w:val="en-NZ" w:eastAsia="en-NZ"/>
              </w:rPr>
              <w:lastRenderedPageBreak/>
              <w:t>Solomon Islands Campus</w:t>
            </w:r>
          </w:p>
        </w:tc>
        <w:tc>
          <w:tcPr>
            <w:tcW w:w="2260" w:type="dxa"/>
            <w:tcBorders>
              <w:top w:val="nil"/>
              <w:left w:val="nil"/>
              <w:bottom w:val="single" w:sz="4" w:space="0" w:color="auto"/>
              <w:right w:val="single" w:sz="4" w:space="0" w:color="auto"/>
            </w:tcBorders>
            <w:shd w:val="clear" w:color="auto" w:fill="auto"/>
            <w:noWrap/>
            <w:vAlign w:val="center"/>
            <w:hideMark/>
          </w:tcPr>
          <w:p w14:paraId="7FD043D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lastRenderedPageBreak/>
              <w:t>11</w:t>
            </w:r>
          </w:p>
        </w:tc>
      </w:tr>
      <w:tr w:rsidR="00BE57C8" w:rsidRPr="00BE57C8" w14:paraId="62A5FE80"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404EE8E9"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QGIS Training</w:t>
            </w:r>
          </w:p>
        </w:tc>
        <w:tc>
          <w:tcPr>
            <w:tcW w:w="1940" w:type="dxa"/>
            <w:tcBorders>
              <w:top w:val="nil"/>
              <w:left w:val="nil"/>
              <w:bottom w:val="single" w:sz="4" w:space="0" w:color="auto"/>
              <w:right w:val="single" w:sz="4" w:space="0" w:color="auto"/>
            </w:tcBorders>
            <w:shd w:val="clear" w:color="auto" w:fill="auto"/>
            <w:vAlign w:val="center"/>
            <w:hideMark/>
          </w:tcPr>
          <w:p w14:paraId="2E4A0B9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w:t>
            </w:r>
            <w:r w:rsidRPr="00BE57C8">
              <w:rPr>
                <w:sz w:val="18"/>
                <w:szCs w:val="18"/>
                <w:vertAlign w:val="superscript"/>
                <w:lang w:val="en-NZ" w:eastAsia="en-NZ"/>
              </w:rPr>
              <w:t>th</w:t>
            </w:r>
            <w:r w:rsidRPr="00BE57C8">
              <w:rPr>
                <w:sz w:val="18"/>
                <w:szCs w:val="18"/>
                <w:lang w:val="en-NZ" w:eastAsia="en-NZ"/>
              </w:rPr>
              <w:t xml:space="preserve"> to 9</w:t>
            </w:r>
            <w:r w:rsidRPr="00BE57C8">
              <w:rPr>
                <w:sz w:val="18"/>
                <w:szCs w:val="18"/>
                <w:vertAlign w:val="superscript"/>
                <w:lang w:val="en-NZ" w:eastAsia="en-NZ"/>
              </w:rPr>
              <w:t>th</w:t>
            </w:r>
            <w:r w:rsidRPr="00BE57C8">
              <w:rPr>
                <w:sz w:val="18"/>
                <w:szCs w:val="18"/>
                <w:lang w:val="en-NZ" w:eastAsia="en-NZ"/>
              </w:rPr>
              <w:t xml:space="preserve"> October, 2015</w:t>
            </w:r>
          </w:p>
        </w:tc>
        <w:tc>
          <w:tcPr>
            <w:tcW w:w="1940" w:type="dxa"/>
            <w:tcBorders>
              <w:top w:val="nil"/>
              <w:left w:val="nil"/>
              <w:bottom w:val="single" w:sz="4" w:space="0" w:color="auto"/>
              <w:right w:val="single" w:sz="4" w:space="0" w:color="auto"/>
            </w:tcBorders>
            <w:shd w:val="clear" w:color="auto" w:fill="auto"/>
            <w:vAlign w:val="center"/>
            <w:hideMark/>
          </w:tcPr>
          <w:p w14:paraId="69AB444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6A66EF8B"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5 days</w:t>
            </w:r>
          </w:p>
        </w:tc>
        <w:tc>
          <w:tcPr>
            <w:tcW w:w="1940" w:type="dxa"/>
            <w:tcBorders>
              <w:top w:val="nil"/>
              <w:left w:val="nil"/>
              <w:bottom w:val="single" w:sz="4" w:space="0" w:color="auto"/>
              <w:right w:val="single" w:sz="4" w:space="0" w:color="auto"/>
            </w:tcBorders>
            <w:shd w:val="clear" w:color="auto" w:fill="auto"/>
            <w:vAlign w:val="center"/>
            <w:hideMark/>
          </w:tcPr>
          <w:p w14:paraId="0A009798"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53C44B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Expert from JICA NRW Team</w:t>
            </w:r>
          </w:p>
        </w:tc>
        <w:tc>
          <w:tcPr>
            <w:tcW w:w="2260" w:type="dxa"/>
            <w:tcBorders>
              <w:top w:val="nil"/>
              <w:left w:val="nil"/>
              <w:bottom w:val="single" w:sz="4" w:space="0" w:color="auto"/>
              <w:right w:val="single" w:sz="4" w:space="0" w:color="auto"/>
            </w:tcBorders>
            <w:shd w:val="clear" w:color="auto" w:fill="auto"/>
            <w:noWrap/>
            <w:vAlign w:val="center"/>
            <w:hideMark/>
          </w:tcPr>
          <w:p w14:paraId="2C9170ED"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9</w:t>
            </w:r>
          </w:p>
        </w:tc>
      </w:tr>
      <w:tr w:rsidR="00BE57C8" w:rsidRPr="00BE57C8" w14:paraId="61EB1E02"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5215C81"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Database Training</w:t>
            </w:r>
          </w:p>
        </w:tc>
        <w:tc>
          <w:tcPr>
            <w:tcW w:w="1940" w:type="dxa"/>
            <w:tcBorders>
              <w:top w:val="nil"/>
              <w:left w:val="nil"/>
              <w:bottom w:val="single" w:sz="4" w:space="0" w:color="auto"/>
              <w:right w:val="single" w:sz="4" w:space="0" w:color="auto"/>
            </w:tcBorders>
            <w:shd w:val="clear" w:color="auto" w:fill="auto"/>
            <w:vAlign w:val="center"/>
            <w:hideMark/>
          </w:tcPr>
          <w:p w14:paraId="3BE678D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10</w:t>
            </w:r>
            <w:r w:rsidRPr="00BE57C8">
              <w:rPr>
                <w:sz w:val="18"/>
                <w:szCs w:val="18"/>
                <w:vertAlign w:val="superscript"/>
                <w:lang w:val="en-NZ" w:eastAsia="en-NZ"/>
              </w:rPr>
              <w:t>th</w:t>
            </w:r>
            <w:r w:rsidRPr="00BE57C8">
              <w:rPr>
                <w:sz w:val="18"/>
                <w:szCs w:val="18"/>
                <w:lang w:val="en-NZ" w:eastAsia="en-NZ"/>
              </w:rPr>
              <w:t xml:space="preserve"> November, 2015</w:t>
            </w:r>
          </w:p>
        </w:tc>
        <w:tc>
          <w:tcPr>
            <w:tcW w:w="1940" w:type="dxa"/>
            <w:tcBorders>
              <w:top w:val="nil"/>
              <w:left w:val="nil"/>
              <w:bottom w:val="single" w:sz="4" w:space="0" w:color="auto"/>
              <w:right w:val="single" w:sz="4" w:space="0" w:color="auto"/>
            </w:tcBorders>
            <w:shd w:val="clear" w:color="auto" w:fill="auto"/>
            <w:vAlign w:val="center"/>
            <w:hideMark/>
          </w:tcPr>
          <w:p w14:paraId="13B67785"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5A13F19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 day</w:t>
            </w:r>
          </w:p>
        </w:tc>
        <w:tc>
          <w:tcPr>
            <w:tcW w:w="1940" w:type="dxa"/>
            <w:tcBorders>
              <w:top w:val="nil"/>
              <w:left w:val="nil"/>
              <w:bottom w:val="single" w:sz="4" w:space="0" w:color="auto"/>
              <w:right w:val="single" w:sz="4" w:space="0" w:color="auto"/>
            </w:tcBorders>
            <w:shd w:val="clear" w:color="auto" w:fill="auto"/>
            <w:vAlign w:val="center"/>
            <w:hideMark/>
          </w:tcPr>
          <w:p w14:paraId="4A294577"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2C5AC4D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IT Team Leader</w:t>
            </w:r>
          </w:p>
        </w:tc>
        <w:tc>
          <w:tcPr>
            <w:tcW w:w="2260" w:type="dxa"/>
            <w:tcBorders>
              <w:top w:val="nil"/>
              <w:left w:val="nil"/>
              <w:bottom w:val="single" w:sz="4" w:space="0" w:color="auto"/>
              <w:right w:val="single" w:sz="4" w:space="0" w:color="auto"/>
            </w:tcBorders>
            <w:shd w:val="clear" w:color="auto" w:fill="auto"/>
            <w:noWrap/>
            <w:vAlign w:val="center"/>
            <w:hideMark/>
          </w:tcPr>
          <w:p w14:paraId="313F3BEF"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14</w:t>
            </w:r>
          </w:p>
        </w:tc>
      </w:tr>
      <w:tr w:rsidR="00BE57C8" w:rsidRPr="00BE57C8" w14:paraId="67B368C3" w14:textId="77777777" w:rsidTr="00BE57C8">
        <w:trPr>
          <w:trHeight w:val="20"/>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3EB18EF"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Roles, Duties &amp; Responsibilities of Security Guards; Code of Ethics &amp; Professional Standards; General Operating Procedures; and Effective Communication Skills</w:t>
            </w:r>
          </w:p>
        </w:tc>
        <w:tc>
          <w:tcPr>
            <w:tcW w:w="1940" w:type="dxa"/>
            <w:tcBorders>
              <w:top w:val="nil"/>
              <w:left w:val="nil"/>
              <w:bottom w:val="single" w:sz="4" w:space="0" w:color="auto"/>
              <w:right w:val="single" w:sz="4" w:space="0" w:color="auto"/>
            </w:tcBorders>
            <w:shd w:val="clear" w:color="auto" w:fill="auto"/>
            <w:vAlign w:val="center"/>
            <w:hideMark/>
          </w:tcPr>
          <w:p w14:paraId="3D283302"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18</w:t>
            </w:r>
            <w:r w:rsidRPr="00BE57C8">
              <w:rPr>
                <w:sz w:val="18"/>
                <w:szCs w:val="18"/>
                <w:vertAlign w:val="superscript"/>
                <w:lang w:val="en-NZ" w:eastAsia="en-NZ"/>
              </w:rPr>
              <w:t>th</w:t>
            </w:r>
            <w:r w:rsidRPr="00BE57C8">
              <w:rPr>
                <w:sz w:val="18"/>
                <w:szCs w:val="18"/>
                <w:lang w:val="en-NZ" w:eastAsia="en-NZ"/>
              </w:rPr>
              <w:t xml:space="preserve"> &amp; 20</w:t>
            </w:r>
            <w:r w:rsidRPr="00BE57C8">
              <w:rPr>
                <w:sz w:val="18"/>
                <w:szCs w:val="18"/>
                <w:vertAlign w:val="superscript"/>
                <w:lang w:val="en-NZ" w:eastAsia="en-NZ"/>
              </w:rPr>
              <w:t>th</w:t>
            </w:r>
            <w:r w:rsidRPr="00BE57C8">
              <w:rPr>
                <w:sz w:val="18"/>
                <w:szCs w:val="18"/>
                <w:lang w:val="en-NZ" w:eastAsia="en-NZ"/>
              </w:rPr>
              <w:t xml:space="preserve"> November, 2015</w:t>
            </w:r>
          </w:p>
        </w:tc>
        <w:tc>
          <w:tcPr>
            <w:tcW w:w="1940" w:type="dxa"/>
            <w:tcBorders>
              <w:top w:val="nil"/>
              <w:left w:val="nil"/>
              <w:bottom w:val="single" w:sz="4" w:space="0" w:color="auto"/>
              <w:right w:val="single" w:sz="4" w:space="0" w:color="auto"/>
            </w:tcBorders>
            <w:shd w:val="clear" w:color="auto" w:fill="auto"/>
            <w:vAlign w:val="center"/>
            <w:hideMark/>
          </w:tcPr>
          <w:p w14:paraId="4A39B7AE"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 </w:t>
            </w:r>
          </w:p>
        </w:tc>
        <w:tc>
          <w:tcPr>
            <w:tcW w:w="1940" w:type="dxa"/>
            <w:tcBorders>
              <w:top w:val="nil"/>
              <w:left w:val="nil"/>
              <w:bottom w:val="single" w:sz="4" w:space="0" w:color="auto"/>
              <w:right w:val="single" w:sz="4" w:space="0" w:color="auto"/>
            </w:tcBorders>
            <w:shd w:val="clear" w:color="auto" w:fill="auto"/>
            <w:vAlign w:val="center"/>
            <w:hideMark/>
          </w:tcPr>
          <w:p w14:paraId="234873E4"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2 days</w:t>
            </w:r>
          </w:p>
        </w:tc>
        <w:tc>
          <w:tcPr>
            <w:tcW w:w="1940" w:type="dxa"/>
            <w:tcBorders>
              <w:top w:val="nil"/>
              <w:left w:val="nil"/>
              <w:bottom w:val="single" w:sz="4" w:space="0" w:color="auto"/>
              <w:right w:val="single" w:sz="4" w:space="0" w:color="auto"/>
            </w:tcBorders>
            <w:shd w:val="clear" w:color="auto" w:fill="auto"/>
            <w:vAlign w:val="center"/>
            <w:hideMark/>
          </w:tcPr>
          <w:p w14:paraId="2D92B7F6"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Short Term Training</w:t>
            </w:r>
          </w:p>
        </w:tc>
        <w:tc>
          <w:tcPr>
            <w:tcW w:w="1940" w:type="dxa"/>
            <w:tcBorders>
              <w:top w:val="nil"/>
              <w:left w:val="nil"/>
              <w:bottom w:val="single" w:sz="4" w:space="0" w:color="auto"/>
              <w:right w:val="single" w:sz="4" w:space="0" w:color="auto"/>
            </w:tcBorders>
            <w:shd w:val="clear" w:color="auto" w:fill="auto"/>
            <w:vAlign w:val="center"/>
            <w:hideMark/>
          </w:tcPr>
          <w:p w14:paraId="70A832CE" w14:textId="77777777" w:rsidR="00BE57C8" w:rsidRPr="00BE57C8" w:rsidRDefault="00BE57C8" w:rsidP="00BE57C8">
            <w:pPr>
              <w:spacing w:before="0" w:after="0" w:line="240" w:lineRule="auto"/>
              <w:rPr>
                <w:sz w:val="18"/>
                <w:szCs w:val="18"/>
                <w:lang w:val="en-NZ" w:eastAsia="en-NZ"/>
              </w:rPr>
            </w:pPr>
            <w:r w:rsidRPr="00BE57C8">
              <w:rPr>
                <w:sz w:val="18"/>
                <w:szCs w:val="18"/>
                <w:lang w:val="en-NZ" w:eastAsia="en-NZ"/>
              </w:rPr>
              <w:t>Conducted by Nathaniel of NDL Ltd trading as Solomon Islands Security Training Academy</w:t>
            </w:r>
          </w:p>
        </w:tc>
        <w:tc>
          <w:tcPr>
            <w:tcW w:w="2260" w:type="dxa"/>
            <w:tcBorders>
              <w:top w:val="nil"/>
              <w:left w:val="nil"/>
              <w:bottom w:val="single" w:sz="4" w:space="0" w:color="auto"/>
              <w:right w:val="single" w:sz="4" w:space="0" w:color="auto"/>
            </w:tcBorders>
            <w:shd w:val="clear" w:color="auto" w:fill="auto"/>
            <w:noWrap/>
            <w:vAlign w:val="center"/>
            <w:hideMark/>
          </w:tcPr>
          <w:p w14:paraId="7FB1EBE3" w14:textId="77777777" w:rsidR="00BE57C8" w:rsidRPr="00BE57C8" w:rsidRDefault="00BE57C8" w:rsidP="00BE57C8">
            <w:pPr>
              <w:spacing w:before="0" w:after="0" w:line="240" w:lineRule="auto"/>
              <w:jc w:val="center"/>
              <w:rPr>
                <w:sz w:val="18"/>
                <w:szCs w:val="18"/>
                <w:lang w:val="en-NZ" w:eastAsia="en-NZ"/>
              </w:rPr>
            </w:pPr>
            <w:r w:rsidRPr="00BE57C8">
              <w:rPr>
                <w:sz w:val="18"/>
                <w:szCs w:val="18"/>
                <w:lang w:val="en-NZ" w:eastAsia="en-NZ"/>
              </w:rPr>
              <w:t>5</w:t>
            </w:r>
          </w:p>
        </w:tc>
      </w:tr>
    </w:tbl>
    <w:p w14:paraId="68C6E012" w14:textId="77777777" w:rsidR="00181AD3" w:rsidRPr="00181AD3" w:rsidRDefault="00181AD3" w:rsidP="00181AD3"/>
    <w:p w14:paraId="308F0D93" w14:textId="77777777" w:rsidR="008E15C3" w:rsidRDefault="008E15C3" w:rsidP="00BE3345">
      <w:pPr>
        <w:pStyle w:val="SectionTitle"/>
      </w:pPr>
      <w:bookmarkStart w:id="44" w:name="_Toc453956007"/>
      <w:r>
        <w:lastRenderedPageBreak/>
        <w:t xml:space="preserve">Appendix </w:t>
      </w:r>
      <w:r w:rsidR="00444E17">
        <w:t>G</w:t>
      </w:r>
      <w:r>
        <w:t>: Performance Assessment Tables</w:t>
      </w:r>
      <w:bookmarkEnd w:id="44"/>
    </w:p>
    <w:p w14:paraId="7B087D9E" w14:textId="71BF0CCF" w:rsidR="00531D21" w:rsidRPr="00734344" w:rsidRDefault="00531D21" w:rsidP="00531D21">
      <w:r>
        <w:t xml:space="preserve">Indicators and/or targets marked ‘TBC’ were expected to be confirmed at the first Program Steering Group Meeting. However, this does not appear to have occurred.  The Solomon Water Development Plan also includes indicators for activities. Only indicators for development outcomes, the objective and outputs are included here.    </w:t>
      </w:r>
    </w:p>
    <w:tbl>
      <w:tblPr>
        <w:tblW w:w="139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2A0" w:firstRow="1" w:lastRow="0" w:firstColumn="1" w:lastColumn="0" w:noHBand="1" w:noVBand="0"/>
      </w:tblPr>
      <w:tblGrid>
        <w:gridCol w:w="1780"/>
        <w:gridCol w:w="2371"/>
        <w:gridCol w:w="918"/>
        <w:gridCol w:w="918"/>
        <w:gridCol w:w="848"/>
        <w:gridCol w:w="918"/>
        <w:gridCol w:w="850"/>
        <w:gridCol w:w="850"/>
        <w:gridCol w:w="4535"/>
      </w:tblGrid>
      <w:tr w:rsidR="00620A21" w:rsidRPr="001B2B98" w14:paraId="65C497EB" w14:textId="77777777" w:rsidTr="00620A21">
        <w:trPr>
          <w:trHeight w:val="20"/>
          <w:tblHeader/>
        </w:trPr>
        <w:tc>
          <w:tcPr>
            <w:tcW w:w="1780" w:type="dxa"/>
            <w:shd w:val="clear" w:color="auto" w:fill="auto"/>
          </w:tcPr>
          <w:p w14:paraId="0FC7FF9A" w14:textId="77777777" w:rsidR="00531D21" w:rsidRPr="001B2B98" w:rsidRDefault="00531D21" w:rsidP="00620A21">
            <w:pPr>
              <w:spacing w:after="80"/>
              <w:rPr>
                <w:b/>
                <w:bCs/>
                <w:sz w:val="16"/>
                <w:szCs w:val="16"/>
              </w:rPr>
            </w:pPr>
            <w:r w:rsidRPr="001B2B98">
              <w:rPr>
                <w:b/>
                <w:bCs/>
                <w:sz w:val="16"/>
                <w:szCs w:val="16"/>
              </w:rPr>
              <w:t>Development Outcomes</w:t>
            </w:r>
          </w:p>
        </w:tc>
        <w:tc>
          <w:tcPr>
            <w:tcW w:w="2371" w:type="dxa"/>
            <w:shd w:val="clear" w:color="auto" w:fill="D3DFEE"/>
          </w:tcPr>
          <w:p w14:paraId="06A56B53" w14:textId="77777777" w:rsidR="00531D21" w:rsidRPr="001B2B98" w:rsidRDefault="00531D21" w:rsidP="00620A21">
            <w:pPr>
              <w:spacing w:after="80"/>
              <w:rPr>
                <w:b/>
                <w:bCs/>
                <w:sz w:val="16"/>
                <w:szCs w:val="16"/>
              </w:rPr>
            </w:pPr>
            <w:r w:rsidRPr="001B2B98">
              <w:rPr>
                <w:b/>
                <w:bCs/>
                <w:sz w:val="16"/>
                <w:szCs w:val="16"/>
              </w:rPr>
              <w:t>Indicator(s)</w:t>
            </w:r>
          </w:p>
        </w:tc>
        <w:tc>
          <w:tcPr>
            <w:tcW w:w="918" w:type="dxa"/>
            <w:shd w:val="clear" w:color="auto" w:fill="auto"/>
          </w:tcPr>
          <w:p w14:paraId="1313015B" w14:textId="77777777" w:rsidR="00531D21" w:rsidRPr="001B2B98" w:rsidRDefault="00531D21" w:rsidP="00620A21">
            <w:pPr>
              <w:spacing w:after="80"/>
              <w:jc w:val="center"/>
              <w:rPr>
                <w:b/>
                <w:bCs/>
                <w:sz w:val="16"/>
                <w:szCs w:val="16"/>
              </w:rPr>
            </w:pPr>
            <w:r w:rsidRPr="001B2B98">
              <w:rPr>
                <w:b/>
                <w:bCs/>
                <w:sz w:val="16"/>
                <w:szCs w:val="16"/>
              </w:rPr>
              <w:t>Baseline</w:t>
            </w:r>
          </w:p>
        </w:tc>
        <w:tc>
          <w:tcPr>
            <w:tcW w:w="918" w:type="dxa"/>
            <w:shd w:val="clear" w:color="auto" w:fill="auto"/>
          </w:tcPr>
          <w:p w14:paraId="5B27CE5B" w14:textId="77777777" w:rsidR="00531D21" w:rsidRPr="001B2B98" w:rsidRDefault="00531D21" w:rsidP="00620A21">
            <w:pPr>
              <w:spacing w:after="80"/>
              <w:jc w:val="center"/>
              <w:rPr>
                <w:b/>
                <w:bCs/>
                <w:color w:val="808080"/>
                <w:sz w:val="16"/>
                <w:szCs w:val="16"/>
              </w:rPr>
            </w:pPr>
            <w:r w:rsidRPr="001B2B98">
              <w:rPr>
                <w:b/>
                <w:bCs/>
                <w:color w:val="808080"/>
                <w:sz w:val="16"/>
                <w:szCs w:val="16"/>
              </w:rPr>
              <w:t>Year 1 (2013) Target</w:t>
            </w:r>
          </w:p>
        </w:tc>
        <w:tc>
          <w:tcPr>
            <w:tcW w:w="848" w:type="dxa"/>
          </w:tcPr>
          <w:p w14:paraId="21247225" w14:textId="77777777" w:rsidR="00531D21" w:rsidRPr="001B2B98" w:rsidRDefault="00531D21" w:rsidP="00620A21">
            <w:pPr>
              <w:spacing w:after="80"/>
              <w:jc w:val="center"/>
              <w:rPr>
                <w:b/>
                <w:bCs/>
                <w:sz w:val="16"/>
                <w:szCs w:val="16"/>
              </w:rPr>
            </w:pPr>
            <w:r w:rsidRPr="001B2B98">
              <w:rPr>
                <w:b/>
                <w:bCs/>
                <w:sz w:val="16"/>
                <w:szCs w:val="16"/>
              </w:rPr>
              <w:t xml:space="preserve">2013 Actual </w:t>
            </w:r>
          </w:p>
        </w:tc>
        <w:tc>
          <w:tcPr>
            <w:tcW w:w="918" w:type="dxa"/>
            <w:shd w:val="clear" w:color="auto" w:fill="auto"/>
          </w:tcPr>
          <w:p w14:paraId="0E3BBD4D" w14:textId="77777777" w:rsidR="00531D21" w:rsidRPr="001B2B98" w:rsidRDefault="00531D21" w:rsidP="00620A21">
            <w:pPr>
              <w:spacing w:after="80"/>
              <w:jc w:val="center"/>
              <w:rPr>
                <w:b/>
                <w:bCs/>
                <w:color w:val="808080"/>
                <w:sz w:val="16"/>
                <w:szCs w:val="16"/>
              </w:rPr>
            </w:pPr>
            <w:r w:rsidRPr="001B2B98">
              <w:rPr>
                <w:b/>
                <w:bCs/>
                <w:color w:val="808080"/>
                <w:sz w:val="16"/>
                <w:szCs w:val="16"/>
              </w:rPr>
              <w:t>Year 2 (2014) Target</w:t>
            </w:r>
          </w:p>
        </w:tc>
        <w:tc>
          <w:tcPr>
            <w:tcW w:w="850" w:type="dxa"/>
          </w:tcPr>
          <w:p w14:paraId="24D9EDDE" w14:textId="77777777" w:rsidR="00531D21" w:rsidRPr="001B2B98" w:rsidRDefault="00531D21" w:rsidP="00620A21">
            <w:pPr>
              <w:spacing w:after="80"/>
              <w:jc w:val="center"/>
              <w:rPr>
                <w:b/>
                <w:bCs/>
                <w:sz w:val="16"/>
                <w:szCs w:val="16"/>
              </w:rPr>
            </w:pPr>
            <w:r w:rsidRPr="001B2B98">
              <w:rPr>
                <w:b/>
                <w:bCs/>
                <w:sz w:val="16"/>
                <w:szCs w:val="16"/>
              </w:rPr>
              <w:t xml:space="preserve">2014 Actual </w:t>
            </w:r>
          </w:p>
        </w:tc>
        <w:tc>
          <w:tcPr>
            <w:tcW w:w="850" w:type="dxa"/>
          </w:tcPr>
          <w:p w14:paraId="57872EA5" w14:textId="77777777" w:rsidR="00531D21" w:rsidRPr="001B2B98" w:rsidRDefault="00531D21" w:rsidP="00620A21">
            <w:pPr>
              <w:spacing w:after="80"/>
              <w:jc w:val="center"/>
              <w:rPr>
                <w:b/>
                <w:bCs/>
                <w:sz w:val="16"/>
                <w:szCs w:val="16"/>
              </w:rPr>
            </w:pPr>
            <w:r w:rsidRPr="001B2B98">
              <w:rPr>
                <w:b/>
                <w:bCs/>
                <w:sz w:val="16"/>
                <w:szCs w:val="16"/>
              </w:rPr>
              <w:t xml:space="preserve">2015 Actual </w:t>
            </w:r>
          </w:p>
        </w:tc>
        <w:tc>
          <w:tcPr>
            <w:tcW w:w="4535" w:type="dxa"/>
          </w:tcPr>
          <w:p w14:paraId="78155757" w14:textId="77777777" w:rsidR="00531D21" w:rsidRPr="001B2B98" w:rsidRDefault="00531D21" w:rsidP="00620A21">
            <w:pPr>
              <w:spacing w:after="80"/>
              <w:jc w:val="center"/>
              <w:rPr>
                <w:b/>
                <w:bCs/>
                <w:i/>
                <w:sz w:val="16"/>
                <w:szCs w:val="16"/>
              </w:rPr>
            </w:pPr>
            <w:r w:rsidRPr="001B2B98">
              <w:rPr>
                <w:b/>
                <w:bCs/>
                <w:i/>
                <w:sz w:val="16"/>
                <w:szCs w:val="16"/>
              </w:rPr>
              <w:t>Explanatory notes</w:t>
            </w:r>
          </w:p>
        </w:tc>
      </w:tr>
      <w:tr w:rsidR="00620A21" w:rsidRPr="001B2B98" w14:paraId="6A9DC04D" w14:textId="77777777" w:rsidTr="00620A21">
        <w:trPr>
          <w:trHeight w:val="20"/>
        </w:trPr>
        <w:tc>
          <w:tcPr>
            <w:tcW w:w="1780" w:type="dxa"/>
            <w:shd w:val="clear" w:color="auto" w:fill="auto"/>
            <w:vAlign w:val="center"/>
          </w:tcPr>
          <w:p w14:paraId="42050131" w14:textId="77777777" w:rsidR="00531D21" w:rsidRPr="001B2B98" w:rsidRDefault="00531D21" w:rsidP="00620A21">
            <w:pPr>
              <w:spacing w:after="80"/>
              <w:rPr>
                <w:b/>
                <w:bCs/>
                <w:sz w:val="16"/>
                <w:szCs w:val="16"/>
              </w:rPr>
            </w:pPr>
            <w:r w:rsidRPr="001B2B98">
              <w:rPr>
                <w:b/>
                <w:bCs/>
                <w:sz w:val="16"/>
                <w:szCs w:val="16"/>
              </w:rPr>
              <w:t>Improved human health</w:t>
            </w:r>
          </w:p>
        </w:tc>
        <w:tc>
          <w:tcPr>
            <w:tcW w:w="2371" w:type="dxa"/>
            <w:shd w:val="clear" w:color="auto" w:fill="D3DFEE"/>
            <w:vAlign w:val="center"/>
          </w:tcPr>
          <w:p w14:paraId="550B8114" w14:textId="77777777" w:rsidR="00531D21" w:rsidRPr="001B2B98" w:rsidRDefault="00531D21" w:rsidP="00620A21">
            <w:pPr>
              <w:spacing w:after="80"/>
              <w:rPr>
                <w:rFonts w:eastAsia="Calibri"/>
                <w:sz w:val="16"/>
                <w:szCs w:val="16"/>
              </w:rPr>
            </w:pPr>
            <w:r w:rsidRPr="001B2B98">
              <w:rPr>
                <w:rFonts w:eastAsia="Calibri"/>
                <w:sz w:val="16"/>
                <w:szCs w:val="16"/>
              </w:rPr>
              <w:t xml:space="preserve">Incidence of </w:t>
            </w:r>
            <w:r w:rsidRPr="001B2B98">
              <w:rPr>
                <w:rFonts w:eastAsia="Calibri"/>
                <w:sz w:val="16"/>
                <w:szCs w:val="16"/>
                <w:lang w:val="en-GB"/>
              </w:rPr>
              <w:t>diarrhoea</w:t>
            </w:r>
            <w:r w:rsidRPr="001B2B98">
              <w:rPr>
                <w:rFonts w:eastAsia="Calibri"/>
                <w:sz w:val="16"/>
                <w:szCs w:val="16"/>
              </w:rPr>
              <w:t xml:space="preserve"> disease among children aged less than five years old</w:t>
            </w:r>
            <w:r w:rsidRPr="001B2B98">
              <w:rPr>
                <w:rStyle w:val="FootnoteReference"/>
                <w:rFonts w:eastAsia="Calibri"/>
                <w:sz w:val="16"/>
                <w:szCs w:val="16"/>
              </w:rPr>
              <w:footnoteReference w:id="32"/>
            </w:r>
          </w:p>
        </w:tc>
        <w:tc>
          <w:tcPr>
            <w:tcW w:w="918" w:type="dxa"/>
            <w:shd w:val="clear" w:color="auto" w:fill="auto"/>
            <w:vAlign w:val="center"/>
          </w:tcPr>
          <w:p w14:paraId="3563B2A9" w14:textId="77777777" w:rsidR="00531D21" w:rsidRPr="001B2B98" w:rsidRDefault="00531D21" w:rsidP="00620A21">
            <w:pPr>
              <w:spacing w:after="80"/>
              <w:jc w:val="center"/>
              <w:rPr>
                <w:rFonts w:eastAsia="Calibri"/>
                <w:sz w:val="16"/>
                <w:szCs w:val="16"/>
              </w:rPr>
            </w:pPr>
            <w:r w:rsidRPr="001B2B98">
              <w:rPr>
                <w:rFonts w:eastAsia="Calibri"/>
                <w:sz w:val="16"/>
                <w:szCs w:val="16"/>
              </w:rPr>
              <w:t>9.4%</w:t>
            </w:r>
            <w:r w:rsidRPr="001B2B98">
              <w:rPr>
                <w:rStyle w:val="FootnoteReference"/>
                <w:rFonts w:eastAsia="Calibri"/>
                <w:sz w:val="16"/>
                <w:szCs w:val="16"/>
              </w:rPr>
              <w:footnoteReference w:id="33"/>
            </w:r>
          </w:p>
        </w:tc>
        <w:tc>
          <w:tcPr>
            <w:tcW w:w="918" w:type="dxa"/>
            <w:shd w:val="clear" w:color="auto" w:fill="auto"/>
            <w:vAlign w:val="center"/>
          </w:tcPr>
          <w:p w14:paraId="4CC9C16E"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TBC</w:t>
            </w:r>
          </w:p>
        </w:tc>
        <w:tc>
          <w:tcPr>
            <w:tcW w:w="848" w:type="dxa"/>
            <w:vAlign w:val="center"/>
          </w:tcPr>
          <w:p w14:paraId="730E701A" w14:textId="77777777" w:rsidR="00531D21" w:rsidRPr="001B2B98" w:rsidRDefault="00531D21" w:rsidP="00620A21">
            <w:pPr>
              <w:spacing w:after="80"/>
              <w:jc w:val="center"/>
              <w:rPr>
                <w:rFonts w:eastAsia="Calibri"/>
                <w:sz w:val="16"/>
                <w:szCs w:val="16"/>
              </w:rPr>
            </w:pPr>
            <w:r w:rsidRPr="001B2B98">
              <w:rPr>
                <w:rFonts w:eastAsia="Calibri"/>
                <w:sz w:val="16"/>
                <w:szCs w:val="16"/>
              </w:rPr>
              <w:t>N/A</w:t>
            </w:r>
          </w:p>
        </w:tc>
        <w:tc>
          <w:tcPr>
            <w:tcW w:w="918" w:type="dxa"/>
            <w:shd w:val="clear" w:color="auto" w:fill="auto"/>
            <w:vAlign w:val="center"/>
          </w:tcPr>
          <w:p w14:paraId="0BEF78CE"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TBC</w:t>
            </w:r>
          </w:p>
        </w:tc>
        <w:tc>
          <w:tcPr>
            <w:tcW w:w="850" w:type="dxa"/>
            <w:vAlign w:val="center"/>
          </w:tcPr>
          <w:p w14:paraId="7CFA24EA" w14:textId="77777777" w:rsidR="00531D21" w:rsidRPr="001B2B98" w:rsidRDefault="00531D21" w:rsidP="00620A21">
            <w:pPr>
              <w:spacing w:after="80"/>
              <w:jc w:val="center"/>
              <w:rPr>
                <w:rFonts w:eastAsia="Calibri"/>
                <w:sz w:val="16"/>
                <w:szCs w:val="16"/>
              </w:rPr>
            </w:pPr>
            <w:r w:rsidRPr="001B2B98">
              <w:rPr>
                <w:rFonts w:eastAsia="Calibri"/>
                <w:sz w:val="16"/>
                <w:szCs w:val="16"/>
              </w:rPr>
              <w:t>N/A</w:t>
            </w:r>
          </w:p>
        </w:tc>
        <w:tc>
          <w:tcPr>
            <w:tcW w:w="850" w:type="dxa"/>
            <w:vAlign w:val="center"/>
          </w:tcPr>
          <w:p w14:paraId="23671A0C" w14:textId="77777777" w:rsidR="00531D21" w:rsidRPr="001B2B98" w:rsidRDefault="00531D21" w:rsidP="00620A21">
            <w:pPr>
              <w:spacing w:after="80"/>
              <w:jc w:val="center"/>
              <w:rPr>
                <w:rFonts w:eastAsia="Calibri"/>
                <w:sz w:val="16"/>
                <w:szCs w:val="16"/>
              </w:rPr>
            </w:pPr>
            <w:r w:rsidRPr="001B2B98">
              <w:rPr>
                <w:rFonts w:eastAsia="Calibri"/>
                <w:sz w:val="16"/>
                <w:szCs w:val="16"/>
              </w:rPr>
              <w:t>N/A</w:t>
            </w:r>
          </w:p>
        </w:tc>
        <w:tc>
          <w:tcPr>
            <w:tcW w:w="4535" w:type="dxa"/>
          </w:tcPr>
          <w:p w14:paraId="455F0DB5" w14:textId="77777777" w:rsidR="00531D21" w:rsidRPr="001B2B98" w:rsidRDefault="00531D21" w:rsidP="00620A21">
            <w:pPr>
              <w:spacing w:after="80"/>
              <w:jc w:val="center"/>
              <w:rPr>
                <w:rFonts w:eastAsia="Calibri"/>
                <w:sz w:val="16"/>
                <w:szCs w:val="16"/>
              </w:rPr>
            </w:pPr>
          </w:p>
        </w:tc>
      </w:tr>
      <w:tr w:rsidR="00620A21" w:rsidRPr="001B2B98" w14:paraId="61732C53" w14:textId="77777777" w:rsidTr="00620A21">
        <w:trPr>
          <w:trHeight w:val="20"/>
        </w:trPr>
        <w:tc>
          <w:tcPr>
            <w:tcW w:w="1780" w:type="dxa"/>
            <w:vMerge w:val="restart"/>
            <w:shd w:val="clear" w:color="auto" w:fill="auto"/>
            <w:vAlign w:val="center"/>
          </w:tcPr>
          <w:p w14:paraId="40E74B39" w14:textId="77777777" w:rsidR="00531D21" w:rsidRPr="001B2B98" w:rsidRDefault="00531D21" w:rsidP="00620A21">
            <w:pPr>
              <w:spacing w:after="80"/>
              <w:rPr>
                <w:b/>
                <w:bCs/>
                <w:sz w:val="16"/>
                <w:szCs w:val="16"/>
              </w:rPr>
            </w:pPr>
            <w:r w:rsidRPr="001B2B98">
              <w:rPr>
                <w:b/>
                <w:bCs/>
                <w:sz w:val="16"/>
                <w:szCs w:val="16"/>
              </w:rPr>
              <w:t>Improved business environment and public services</w:t>
            </w:r>
          </w:p>
        </w:tc>
        <w:tc>
          <w:tcPr>
            <w:tcW w:w="2371" w:type="dxa"/>
            <w:shd w:val="clear" w:color="auto" w:fill="D3DFEE"/>
            <w:vAlign w:val="center"/>
          </w:tcPr>
          <w:p w14:paraId="043DB037" w14:textId="77777777" w:rsidR="00531D21" w:rsidRPr="001B2B98" w:rsidRDefault="00531D21" w:rsidP="00620A21">
            <w:pPr>
              <w:spacing w:after="80"/>
              <w:rPr>
                <w:rFonts w:eastAsia="Calibri"/>
                <w:sz w:val="16"/>
                <w:szCs w:val="16"/>
              </w:rPr>
            </w:pPr>
            <w:r w:rsidRPr="001B2B98">
              <w:rPr>
                <w:rFonts w:eastAsia="Calibri"/>
                <w:sz w:val="16"/>
                <w:szCs w:val="16"/>
              </w:rPr>
              <w:t xml:space="preserve">Reliability of supply  measured as: </w:t>
            </w:r>
          </w:p>
          <w:p w14:paraId="4D9DCDAD" w14:textId="77777777" w:rsidR="00531D21" w:rsidRPr="001B2B98" w:rsidRDefault="00531D21" w:rsidP="00620A21">
            <w:pPr>
              <w:spacing w:after="80"/>
              <w:rPr>
                <w:rFonts w:eastAsia="Calibri"/>
                <w:sz w:val="16"/>
                <w:szCs w:val="16"/>
              </w:rPr>
            </w:pPr>
            <w:r w:rsidRPr="001B2B98">
              <w:rPr>
                <w:rFonts w:eastAsia="Calibri"/>
                <w:sz w:val="16"/>
                <w:szCs w:val="16"/>
              </w:rPr>
              <w:t>average hours of water supply per head of population (Hrs/day/capita)</w:t>
            </w:r>
            <w:r w:rsidRPr="001B2B98">
              <w:rPr>
                <w:rStyle w:val="FootnoteReference"/>
                <w:rFonts w:eastAsia="Calibri"/>
                <w:sz w:val="16"/>
                <w:szCs w:val="16"/>
              </w:rPr>
              <w:footnoteReference w:id="34"/>
            </w:r>
          </w:p>
        </w:tc>
        <w:tc>
          <w:tcPr>
            <w:tcW w:w="918" w:type="dxa"/>
            <w:shd w:val="clear" w:color="auto" w:fill="auto"/>
            <w:vAlign w:val="center"/>
          </w:tcPr>
          <w:p w14:paraId="39E83952" w14:textId="77777777" w:rsidR="00531D21" w:rsidRPr="001B2B98" w:rsidRDefault="00531D21" w:rsidP="00620A21">
            <w:pPr>
              <w:spacing w:after="80"/>
              <w:jc w:val="center"/>
              <w:rPr>
                <w:rFonts w:eastAsia="Calibri"/>
                <w:sz w:val="16"/>
                <w:szCs w:val="16"/>
              </w:rPr>
            </w:pPr>
            <w:r w:rsidRPr="001B2B98">
              <w:rPr>
                <w:rFonts w:eastAsia="Calibri"/>
                <w:sz w:val="16"/>
                <w:szCs w:val="16"/>
              </w:rPr>
              <w:t>14.2 hrs/capita (2012)</w:t>
            </w:r>
          </w:p>
        </w:tc>
        <w:tc>
          <w:tcPr>
            <w:tcW w:w="918" w:type="dxa"/>
            <w:shd w:val="clear" w:color="auto" w:fill="auto"/>
            <w:vAlign w:val="center"/>
          </w:tcPr>
          <w:p w14:paraId="1CEBBF9B"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18.8 hrs/capita</w:t>
            </w:r>
          </w:p>
        </w:tc>
        <w:tc>
          <w:tcPr>
            <w:tcW w:w="848" w:type="dxa"/>
            <w:vAlign w:val="center"/>
          </w:tcPr>
          <w:p w14:paraId="1B22555C" w14:textId="77777777" w:rsidR="00531D21" w:rsidRPr="001B2B98" w:rsidRDefault="00531D21" w:rsidP="00620A21">
            <w:pPr>
              <w:spacing w:after="80"/>
              <w:jc w:val="center"/>
              <w:rPr>
                <w:rFonts w:eastAsia="Calibri"/>
                <w:sz w:val="16"/>
                <w:szCs w:val="16"/>
              </w:rPr>
            </w:pPr>
            <w:r w:rsidRPr="001B2B98">
              <w:rPr>
                <w:rFonts w:eastAsia="Calibri"/>
                <w:sz w:val="16"/>
                <w:szCs w:val="16"/>
              </w:rPr>
              <w:t>18 hours</w:t>
            </w:r>
            <w:r w:rsidRPr="001B2B98">
              <w:rPr>
                <w:rStyle w:val="FootnoteReference"/>
                <w:rFonts w:eastAsia="Calibri"/>
                <w:sz w:val="16"/>
                <w:szCs w:val="16"/>
              </w:rPr>
              <w:footnoteReference w:id="35"/>
            </w:r>
          </w:p>
        </w:tc>
        <w:tc>
          <w:tcPr>
            <w:tcW w:w="918" w:type="dxa"/>
            <w:shd w:val="clear" w:color="auto" w:fill="auto"/>
            <w:vAlign w:val="center"/>
          </w:tcPr>
          <w:p w14:paraId="0F3158CE"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21.5 hrs/capita</w:t>
            </w:r>
          </w:p>
        </w:tc>
        <w:tc>
          <w:tcPr>
            <w:tcW w:w="850" w:type="dxa"/>
            <w:vAlign w:val="center"/>
          </w:tcPr>
          <w:p w14:paraId="73289B05" w14:textId="77777777" w:rsidR="00531D21" w:rsidRPr="001B2B98" w:rsidRDefault="00531D21" w:rsidP="00620A21">
            <w:pPr>
              <w:spacing w:after="80"/>
              <w:jc w:val="center"/>
              <w:rPr>
                <w:rFonts w:eastAsia="Calibri"/>
                <w:sz w:val="16"/>
                <w:szCs w:val="16"/>
              </w:rPr>
            </w:pPr>
            <w:r w:rsidRPr="001B2B98">
              <w:rPr>
                <w:rFonts w:eastAsia="Calibri"/>
                <w:sz w:val="16"/>
                <w:szCs w:val="16"/>
              </w:rPr>
              <w:t>22 hours</w:t>
            </w:r>
            <w:r w:rsidRPr="001B2B98">
              <w:rPr>
                <w:rStyle w:val="FootnoteReference"/>
                <w:rFonts w:eastAsia="Calibri"/>
                <w:sz w:val="16"/>
                <w:szCs w:val="16"/>
              </w:rPr>
              <w:footnoteReference w:id="36"/>
            </w:r>
            <w:r w:rsidRPr="001B2B98">
              <w:rPr>
                <w:rFonts w:eastAsia="Calibri"/>
                <w:sz w:val="16"/>
                <w:szCs w:val="16"/>
              </w:rPr>
              <w:t xml:space="preserve"> </w:t>
            </w:r>
          </w:p>
        </w:tc>
        <w:tc>
          <w:tcPr>
            <w:tcW w:w="850" w:type="dxa"/>
            <w:vAlign w:val="center"/>
          </w:tcPr>
          <w:p w14:paraId="77CFF3E4" w14:textId="77777777" w:rsidR="00531D21" w:rsidRPr="001B2B98" w:rsidRDefault="00531D21" w:rsidP="00620A21">
            <w:pPr>
              <w:spacing w:after="80"/>
              <w:jc w:val="center"/>
              <w:rPr>
                <w:rFonts w:eastAsia="Calibri"/>
                <w:sz w:val="16"/>
                <w:szCs w:val="16"/>
              </w:rPr>
            </w:pPr>
            <w:r w:rsidRPr="001B2B98">
              <w:rPr>
                <w:rFonts w:eastAsia="Calibri"/>
                <w:sz w:val="16"/>
                <w:szCs w:val="16"/>
              </w:rPr>
              <w:t>22 hours</w:t>
            </w:r>
            <w:r w:rsidRPr="001B2B98">
              <w:rPr>
                <w:rStyle w:val="FootnoteReference"/>
                <w:rFonts w:eastAsia="Calibri"/>
                <w:sz w:val="16"/>
                <w:szCs w:val="16"/>
              </w:rPr>
              <w:footnoteReference w:id="37"/>
            </w:r>
          </w:p>
        </w:tc>
        <w:tc>
          <w:tcPr>
            <w:tcW w:w="4535" w:type="dxa"/>
            <w:vAlign w:val="center"/>
          </w:tcPr>
          <w:p w14:paraId="7FCC7360" w14:textId="77777777" w:rsidR="00531D21" w:rsidRPr="001B2B98" w:rsidRDefault="00531D21" w:rsidP="00620A21">
            <w:pPr>
              <w:spacing w:after="80"/>
              <w:rPr>
                <w:rFonts w:eastAsia="Calibri"/>
                <w:sz w:val="16"/>
                <w:szCs w:val="16"/>
              </w:rPr>
            </w:pPr>
            <w:r w:rsidRPr="001B2B98">
              <w:rPr>
                <w:rFonts w:eastAsia="Calibri"/>
                <w:sz w:val="16"/>
                <w:szCs w:val="16"/>
              </w:rPr>
              <w:t>PWWA indicator definition is: “Average hours of service per day for water supply, under normal circumstances”.</w:t>
            </w:r>
          </w:p>
        </w:tc>
      </w:tr>
      <w:tr w:rsidR="00620A21" w:rsidRPr="001B2B98" w14:paraId="30319B12" w14:textId="77777777" w:rsidTr="00620A21">
        <w:trPr>
          <w:trHeight w:val="20"/>
        </w:trPr>
        <w:tc>
          <w:tcPr>
            <w:tcW w:w="1780" w:type="dxa"/>
            <w:vMerge/>
            <w:shd w:val="clear" w:color="auto" w:fill="auto"/>
            <w:vAlign w:val="center"/>
          </w:tcPr>
          <w:p w14:paraId="1A784F23" w14:textId="77777777" w:rsidR="00531D21" w:rsidRPr="001B2B98" w:rsidRDefault="00531D21" w:rsidP="00620A21">
            <w:pPr>
              <w:spacing w:after="80"/>
              <w:rPr>
                <w:b/>
                <w:bCs/>
                <w:sz w:val="16"/>
                <w:szCs w:val="16"/>
              </w:rPr>
            </w:pPr>
          </w:p>
        </w:tc>
        <w:tc>
          <w:tcPr>
            <w:tcW w:w="2371" w:type="dxa"/>
            <w:shd w:val="clear" w:color="auto" w:fill="D3DFEE"/>
            <w:vAlign w:val="center"/>
          </w:tcPr>
          <w:p w14:paraId="1480A32C" w14:textId="77777777" w:rsidR="00531D21" w:rsidRPr="001B2B98" w:rsidRDefault="00531D21" w:rsidP="00620A21">
            <w:pPr>
              <w:spacing w:after="80"/>
              <w:rPr>
                <w:rFonts w:eastAsia="Calibri"/>
                <w:sz w:val="16"/>
                <w:szCs w:val="16"/>
              </w:rPr>
            </w:pPr>
            <w:r w:rsidRPr="001B2B98">
              <w:rPr>
                <w:rFonts w:eastAsia="Calibri"/>
                <w:sz w:val="16"/>
                <w:szCs w:val="16"/>
              </w:rPr>
              <w:t>Water quality – bacteriological compliance with WHO recommendations. (% of samples with Nil e-coli and nil coliform)</w:t>
            </w:r>
            <w:r w:rsidRPr="001B2B98">
              <w:rPr>
                <w:rStyle w:val="FootnoteReference"/>
                <w:rFonts w:eastAsia="Calibri"/>
                <w:sz w:val="16"/>
                <w:szCs w:val="16"/>
              </w:rPr>
              <w:footnoteReference w:id="38"/>
            </w:r>
          </w:p>
        </w:tc>
        <w:tc>
          <w:tcPr>
            <w:tcW w:w="918" w:type="dxa"/>
            <w:shd w:val="clear" w:color="auto" w:fill="auto"/>
            <w:vAlign w:val="center"/>
          </w:tcPr>
          <w:p w14:paraId="26007DF7" w14:textId="77777777" w:rsidR="00531D21" w:rsidRPr="001B2B98" w:rsidRDefault="00531D21" w:rsidP="00620A21">
            <w:pPr>
              <w:spacing w:after="80"/>
              <w:jc w:val="center"/>
              <w:rPr>
                <w:rFonts w:eastAsia="Calibri"/>
                <w:sz w:val="16"/>
                <w:szCs w:val="16"/>
              </w:rPr>
            </w:pPr>
            <w:r w:rsidRPr="001B2B98">
              <w:rPr>
                <w:rFonts w:eastAsia="Calibri"/>
                <w:sz w:val="16"/>
                <w:szCs w:val="16"/>
              </w:rPr>
              <w:t>73%</w:t>
            </w:r>
          </w:p>
        </w:tc>
        <w:tc>
          <w:tcPr>
            <w:tcW w:w="918" w:type="dxa"/>
            <w:shd w:val="clear" w:color="auto" w:fill="auto"/>
            <w:vAlign w:val="center"/>
          </w:tcPr>
          <w:p w14:paraId="7BED424C"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90%</w:t>
            </w:r>
          </w:p>
        </w:tc>
        <w:tc>
          <w:tcPr>
            <w:tcW w:w="848" w:type="dxa"/>
            <w:vAlign w:val="center"/>
          </w:tcPr>
          <w:p w14:paraId="58154815" w14:textId="77777777" w:rsidR="00531D21" w:rsidRPr="001B2B98" w:rsidRDefault="00531D21" w:rsidP="00620A21">
            <w:pPr>
              <w:spacing w:after="80"/>
              <w:jc w:val="center"/>
              <w:rPr>
                <w:rFonts w:eastAsia="Calibri"/>
                <w:sz w:val="16"/>
                <w:szCs w:val="16"/>
              </w:rPr>
            </w:pPr>
          </w:p>
        </w:tc>
        <w:tc>
          <w:tcPr>
            <w:tcW w:w="918" w:type="dxa"/>
            <w:shd w:val="clear" w:color="auto" w:fill="auto"/>
            <w:vAlign w:val="center"/>
          </w:tcPr>
          <w:p w14:paraId="437B2BD0"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97%</w:t>
            </w:r>
          </w:p>
        </w:tc>
        <w:tc>
          <w:tcPr>
            <w:tcW w:w="850" w:type="dxa"/>
            <w:vAlign w:val="center"/>
          </w:tcPr>
          <w:p w14:paraId="674CB0C3" w14:textId="77777777" w:rsidR="00531D21" w:rsidRPr="001B2B98" w:rsidRDefault="00531D21" w:rsidP="00620A21">
            <w:pPr>
              <w:spacing w:after="80"/>
              <w:jc w:val="center"/>
              <w:rPr>
                <w:rFonts w:eastAsia="Calibri"/>
                <w:sz w:val="16"/>
                <w:szCs w:val="16"/>
              </w:rPr>
            </w:pPr>
          </w:p>
        </w:tc>
        <w:tc>
          <w:tcPr>
            <w:tcW w:w="850" w:type="dxa"/>
            <w:vAlign w:val="center"/>
          </w:tcPr>
          <w:p w14:paraId="04261FC1" w14:textId="77777777" w:rsidR="00531D21" w:rsidRPr="001B2B98" w:rsidRDefault="00531D21" w:rsidP="00620A21">
            <w:pPr>
              <w:spacing w:after="80"/>
              <w:jc w:val="center"/>
              <w:rPr>
                <w:rFonts w:eastAsia="Calibri"/>
                <w:sz w:val="16"/>
                <w:szCs w:val="16"/>
              </w:rPr>
            </w:pPr>
          </w:p>
        </w:tc>
        <w:tc>
          <w:tcPr>
            <w:tcW w:w="4535" w:type="dxa"/>
          </w:tcPr>
          <w:p w14:paraId="459CECB4" w14:textId="77777777" w:rsidR="00531D21" w:rsidRPr="001B2B98" w:rsidRDefault="00531D21" w:rsidP="00620A21">
            <w:pPr>
              <w:spacing w:after="80"/>
              <w:jc w:val="center"/>
              <w:rPr>
                <w:rFonts w:eastAsia="Calibri"/>
                <w:sz w:val="16"/>
                <w:szCs w:val="16"/>
              </w:rPr>
            </w:pPr>
          </w:p>
        </w:tc>
      </w:tr>
      <w:tr w:rsidR="00620A21" w:rsidRPr="001B2B98" w14:paraId="60B4A6ED" w14:textId="77777777" w:rsidTr="00620A21">
        <w:trPr>
          <w:trHeight w:val="20"/>
        </w:trPr>
        <w:tc>
          <w:tcPr>
            <w:tcW w:w="1780" w:type="dxa"/>
            <w:vMerge w:val="restart"/>
            <w:shd w:val="clear" w:color="auto" w:fill="auto"/>
            <w:vAlign w:val="center"/>
          </w:tcPr>
          <w:p w14:paraId="7A16C7AB" w14:textId="77777777" w:rsidR="00531D21" w:rsidRPr="001B2B98" w:rsidRDefault="00531D21" w:rsidP="00620A21">
            <w:pPr>
              <w:spacing w:after="80"/>
              <w:rPr>
                <w:b/>
                <w:bCs/>
                <w:sz w:val="16"/>
                <w:szCs w:val="16"/>
              </w:rPr>
            </w:pPr>
            <w:r w:rsidRPr="001B2B98">
              <w:rPr>
                <w:b/>
                <w:bCs/>
                <w:sz w:val="16"/>
                <w:szCs w:val="16"/>
              </w:rPr>
              <w:lastRenderedPageBreak/>
              <w:t>Lower and more predictable fiscal costs to SIG</w:t>
            </w:r>
          </w:p>
        </w:tc>
        <w:tc>
          <w:tcPr>
            <w:tcW w:w="2371" w:type="dxa"/>
            <w:shd w:val="clear" w:color="auto" w:fill="D3DFEE"/>
            <w:vAlign w:val="center"/>
          </w:tcPr>
          <w:p w14:paraId="56F6EBEC" w14:textId="77777777" w:rsidR="00531D21" w:rsidRPr="001B2B98" w:rsidRDefault="00531D21" w:rsidP="00620A21">
            <w:pPr>
              <w:spacing w:after="80"/>
              <w:rPr>
                <w:rFonts w:eastAsia="Calibri"/>
                <w:sz w:val="16"/>
                <w:szCs w:val="16"/>
              </w:rPr>
            </w:pPr>
            <w:r w:rsidRPr="001B2B98">
              <w:rPr>
                <w:rFonts w:eastAsia="Calibri"/>
                <w:sz w:val="16"/>
                <w:szCs w:val="16"/>
              </w:rPr>
              <w:t>Return on capital</w:t>
            </w:r>
          </w:p>
        </w:tc>
        <w:tc>
          <w:tcPr>
            <w:tcW w:w="918" w:type="dxa"/>
            <w:shd w:val="clear" w:color="auto" w:fill="auto"/>
            <w:vAlign w:val="center"/>
          </w:tcPr>
          <w:p w14:paraId="59C59FDD" w14:textId="77777777" w:rsidR="00531D21" w:rsidRPr="001B2B98" w:rsidRDefault="00531D21" w:rsidP="00620A21">
            <w:pPr>
              <w:spacing w:after="80"/>
              <w:jc w:val="center"/>
              <w:rPr>
                <w:rFonts w:eastAsia="Calibri"/>
                <w:sz w:val="16"/>
                <w:szCs w:val="16"/>
              </w:rPr>
            </w:pPr>
            <w:r w:rsidRPr="001B2B98">
              <w:rPr>
                <w:rFonts w:eastAsia="Calibri"/>
                <w:sz w:val="16"/>
                <w:szCs w:val="16"/>
              </w:rPr>
              <w:t>8%</w:t>
            </w:r>
          </w:p>
        </w:tc>
        <w:tc>
          <w:tcPr>
            <w:tcW w:w="918" w:type="dxa"/>
            <w:shd w:val="clear" w:color="auto" w:fill="auto"/>
            <w:vAlign w:val="center"/>
          </w:tcPr>
          <w:p w14:paraId="0D92C70B"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10%</w:t>
            </w:r>
          </w:p>
        </w:tc>
        <w:tc>
          <w:tcPr>
            <w:tcW w:w="848" w:type="dxa"/>
            <w:vAlign w:val="center"/>
          </w:tcPr>
          <w:p w14:paraId="52EA97BC" w14:textId="77777777" w:rsidR="00531D21" w:rsidRPr="001B2B98" w:rsidRDefault="00531D21" w:rsidP="00620A21">
            <w:pPr>
              <w:spacing w:after="80"/>
              <w:jc w:val="center"/>
              <w:rPr>
                <w:rFonts w:eastAsia="Calibri"/>
                <w:sz w:val="16"/>
                <w:szCs w:val="16"/>
              </w:rPr>
            </w:pPr>
            <w:r w:rsidRPr="001B2B98">
              <w:rPr>
                <w:rFonts w:eastAsia="Calibri"/>
                <w:sz w:val="16"/>
                <w:szCs w:val="16"/>
              </w:rPr>
              <w:t>22%</w:t>
            </w:r>
            <w:r w:rsidRPr="001B2B98">
              <w:rPr>
                <w:rStyle w:val="FootnoteReference"/>
                <w:rFonts w:eastAsia="Calibri"/>
                <w:sz w:val="16"/>
                <w:szCs w:val="16"/>
              </w:rPr>
              <w:footnoteReference w:id="39"/>
            </w:r>
          </w:p>
        </w:tc>
        <w:tc>
          <w:tcPr>
            <w:tcW w:w="918" w:type="dxa"/>
            <w:shd w:val="clear" w:color="auto" w:fill="auto"/>
            <w:vAlign w:val="center"/>
          </w:tcPr>
          <w:p w14:paraId="0CCBDD9E"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12%</w:t>
            </w:r>
          </w:p>
        </w:tc>
        <w:tc>
          <w:tcPr>
            <w:tcW w:w="850" w:type="dxa"/>
            <w:vAlign w:val="center"/>
          </w:tcPr>
          <w:p w14:paraId="0401B378" w14:textId="77777777" w:rsidR="00531D21" w:rsidRPr="001B2B98" w:rsidRDefault="00531D21" w:rsidP="00620A21">
            <w:pPr>
              <w:spacing w:after="80"/>
              <w:jc w:val="center"/>
              <w:rPr>
                <w:rFonts w:eastAsia="Calibri"/>
                <w:sz w:val="16"/>
                <w:szCs w:val="16"/>
              </w:rPr>
            </w:pPr>
            <w:r w:rsidRPr="001B2B98">
              <w:rPr>
                <w:rFonts w:eastAsia="Calibri"/>
                <w:sz w:val="16"/>
                <w:szCs w:val="16"/>
              </w:rPr>
              <w:t>16%</w:t>
            </w:r>
            <w:r w:rsidRPr="001B2B98">
              <w:rPr>
                <w:rStyle w:val="FootnoteReference"/>
                <w:rFonts w:eastAsia="Calibri"/>
                <w:sz w:val="16"/>
                <w:szCs w:val="16"/>
              </w:rPr>
              <w:footnoteReference w:id="40"/>
            </w:r>
          </w:p>
        </w:tc>
        <w:tc>
          <w:tcPr>
            <w:tcW w:w="850" w:type="dxa"/>
            <w:vAlign w:val="center"/>
          </w:tcPr>
          <w:p w14:paraId="504EB77E" w14:textId="77777777" w:rsidR="00531D21" w:rsidRPr="001B2B98" w:rsidRDefault="00531D21" w:rsidP="00620A21">
            <w:pPr>
              <w:spacing w:after="80"/>
              <w:jc w:val="center"/>
              <w:rPr>
                <w:rFonts w:eastAsia="Calibri"/>
                <w:sz w:val="16"/>
                <w:szCs w:val="16"/>
              </w:rPr>
            </w:pPr>
            <w:r w:rsidRPr="001B2B98">
              <w:rPr>
                <w:rFonts w:eastAsia="Calibri"/>
                <w:sz w:val="16"/>
                <w:szCs w:val="16"/>
              </w:rPr>
              <w:t>4%</w:t>
            </w:r>
            <w:r w:rsidRPr="001B2B98">
              <w:rPr>
                <w:rStyle w:val="FootnoteReference"/>
                <w:rFonts w:eastAsia="Calibri"/>
                <w:sz w:val="16"/>
                <w:szCs w:val="16"/>
              </w:rPr>
              <w:footnoteReference w:id="41"/>
            </w:r>
          </w:p>
        </w:tc>
        <w:tc>
          <w:tcPr>
            <w:tcW w:w="4535" w:type="dxa"/>
            <w:vAlign w:val="center"/>
          </w:tcPr>
          <w:p w14:paraId="76E23FC0" w14:textId="77777777" w:rsidR="00531D21" w:rsidRPr="001B2B98" w:rsidRDefault="00531D21" w:rsidP="00620A21">
            <w:pPr>
              <w:spacing w:after="80"/>
              <w:rPr>
                <w:rFonts w:eastAsia="Calibri"/>
                <w:sz w:val="16"/>
                <w:szCs w:val="16"/>
              </w:rPr>
            </w:pPr>
            <w:r w:rsidRPr="001B2B98">
              <w:rPr>
                <w:rFonts w:eastAsia="Calibri"/>
                <w:sz w:val="16"/>
                <w:szCs w:val="16"/>
              </w:rPr>
              <w:t xml:space="preserve">The Return on Capital (RoC) had a significant change following the revaluation of assets undertaken in 2015. A valuation had not been carried out for some time, resulting in earlier RoC figures being overstated. </w:t>
            </w:r>
          </w:p>
        </w:tc>
      </w:tr>
      <w:tr w:rsidR="00620A21" w:rsidRPr="001B2B98" w14:paraId="1D91CFC0" w14:textId="77777777" w:rsidTr="00620A21">
        <w:trPr>
          <w:trHeight w:val="20"/>
        </w:trPr>
        <w:tc>
          <w:tcPr>
            <w:tcW w:w="1780" w:type="dxa"/>
            <w:vMerge/>
            <w:shd w:val="clear" w:color="auto" w:fill="auto"/>
          </w:tcPr>
          <w:p w14:paraId="0D74CDCF" w14:textId="77777777" w:rsidR="00531D21" w:rsidRPr="001B2B98" w:rsidRDefault="00531D21" w:rsidP="00620A21">
            <w:pPr>
              <w:spacing w:after="80"/>
              <w:rPr>
                <w:b/>
                <w:bCs/>
                <w:sz w:val="16"/>
                <w:szCs w:val="16"/>
              </w:rPr>
            </w:pPr>
          </w:p>
        </w:tc>
        <w:tc>
          <w:tcPr>
            <w:tcW w:w="2371" w:type="dxa"/>
            <w:shd w:val="clear" w:color="auto" w:fill="D3DFEE"/>
            <w:vAlign w:val="center"/>
          </w:tcPr>
          <w:p w14:paraId="55082D67" w14:textId="77777777" w:rsidR="00531D21" w:rsidRPr="001B2B98" w:rsidRDefault="00531D21" w:rsidP="00620A21">
            <w:pPr>
              <w:spacing w:after="80"/>
              <w:rPr>
                <w:rFonts w:eastAsia="Calibri"/>
                <w:sz w:val="16"/>
                <w:szCs w:val="16"/>
              </w:rPr>
            </w:pPr>
            <w:r w:rsidRPr="001B2B98">
              <w:rPr>
                <w:rFonts w:eastAsia="Calibri"/>
                <w:sz w:val="16"/>
                <w:szCs w:val="16"/>
              </w:rPr>
              <w:t>Operating cost recovery</w:t>
            </w:r>
            <w:r w:rsidRPr="001B2B98">
              <w:rPr>
                <w:rStyle w:val="FootnoteReference"/>
                <w:rFonts w:eastAsia="Calibri"/>
                <w:sz w:val="16"/>
                <w:szCs w:val="16"/>
              </w:rPr>
              <w:footnoteReference w:id="42"/>
            </w:r>
          </w:p>
        </w:tc>
        <w:tc>
          <w:tcPr>
            <w:tcW w:w="918" w:type="dxa"/>
            <w:shd w:val="clear" w:color="auto" w:fill="auto"/>
            <w:vAlign w:val="center"/>
          </w:tcPr>
          <w:p w14:paraId="35C2B2E4" w14:textId="77777777" w:rsidR="00531D21" w:rsidRPr="001B2B98" w:rsidRDefault="00531D21" w:rsidP="00620A21">
            <w:pPr>
              <w:spacing w:after="80"/>
              <w:jc w:val="center"/>
              <w:rPr>
                <w:rFonts w:eastAsia="Calibri"/>
                <w:sz w:val="16"/>
                <w:szCs w:val="16"/>
              </w:rPr>
            </w:pPr>
            <w:r w:rsidRPr="001B2B98">
              <w:rPr>
                <w:rFonts w:eastAsia="Calibri"/>
                <w:sz w:val="16"/>
                <w:szCs w:val="16"/>
              </w:rPr>
              <w:t>105%</w:t>
            </w:r>
          </w:p>
        </w:tc>
        <w:tc>
          <w:tcPr>
            <w:tcW w:w="918" w:type="dxa"/>
            <w:shd w:val="clear" w:color="auto" w:fill="auto"/>
            <w:vAlign w:val="center"/>
          </w:tcPr>
          <w:p w14:paraId="0955B2F1"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115%</w:t>
            </w:r>
          </w:p>
        </w:tc>
        <w:tc>
          <w:tcPr>
            <w:tcW w:w="848" w:type="dxa"/>
            <w:vAlign w:val="center"/>
          </w:tcPr>
          <w:p w14:paraId="37BE806C" w14:textId="77777777" w:rsidR="00531D21" w:rsidRPr="001B2B98" w:rsidRDefault="00531D21" w:rsidP="00620A21">
            <w:pPr>
              <w:spacing w:after="80"/>
              <w:jc w:val="center"/>
              <w:rPr>
                <w:rFonts w:eastAsia="Calibri"/>
                <w:sz w:val="16"/>
                <w:szCs w:val="16"/>
              </w:rPr>
            </w:pPr>
            <w:r w:rsidRPr="001B2B98">
              <w:rPr>
                <w:rFonts w:eastAsia="Calibri"/>
                <w:sz w:val="16"/>
                <w:szCs w:val="16"/>
              </w:rPr>
              <w:t>125%</w:t>
            </w:r>
          </w:p>
        </w:tc>
        <w:tc>
          <w:tcPr>
            <w:tcW w:w="918" w:type="dxa"/>
            <w:shd w:val="clear" w:color="auto" w:fill="auto"/>
            <w:vAlign w:val="center"/>
          </w:tcPr>
          <w:p w14:paraId="225183E8"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120%</w:t>
            </w:r>
          </w:p>
        </w:tc>
        <w:tc>
          <w:tcPr>
            <w:tcW w:w="850" w:type="dxa"/>
            <w:vAlign w:val="center"/>
          </w:tcPr>
          <w:p w14:paraId="2C3E1880" w14:textId="77777777" w:rsidR="00531D21" w:rsidRPr="001B2B98" w:rsidRDefault="00531D21" w:rsidP="00620A21">
            <w:pPr>
              <w:spacing w:after="80"/>
              <w:jc w:val="center"/>
              <w:rPr>
                <w:rFonts w:eastAsia="Calibri"/>
                <w:sz w:val="16"/>
                <w:szCs w:val="16"/>
              </w:rPr>
            </w:pPr>
            <w:r w:rsidRPr="001B2B98">
              <w:rPr>
                <w:rFonts w:eastAsia="Calibri"/>
                <w:sz w:val="16"/>
                <w:szCs w:val="16"/>
              </w:rPr>
              <w:t>97%</w:t>
            </w:r>
          </w:p>
        </w:tc>
        <w:tc>
          <w:tcPr>
            <w:tcW w:w="850" w:type="dxa"/>
            <w:vAlign w:val="center"/>
          </w:tcPr>
          <w:p w14:paraId="653EA956" w14:textId="77777777" w:rsidR="00531D21" w:rsidRPr="001B2B98" w:rsidRDefault="00531D21" w:rsidP="00620A21">
            <w:pPr>
              <w:spacing w:after="80"/>
              <w:jc w:val="center"/>
              <w:rPr>
                <w:rFonts w:eastAsia="Calibri"/>
                <w:sz w:val="16"/>
                <w:szCs w:val="16"/>
              </w:rPr>
            </w:pPr>
            <w:r w:rsidRPr="001B2B98">
              <w:rPr>
                <w:rFonts w:eastAsia="Calibri"/>
                <w:sz w:val="16"/>
                <w:szCs w:val="16"/>
              </w:rPr>
              <w:t>101%</w:t>
            </w:r>
          </w:p>
        </w:tc>
        <w:tc>
          <w:tcPr>
            <w:tcW w:w="4535" w:type="dxa"/>
          </w:tcPr>
          <w:p w14:paraId="2FF322FB" w14:textId="77777777" w:rsidR="00531D21" w:rsidRPr="001B2B98" w:rsidRDefault="00531D21" w:rsidP="00620A21">
            <w:pPr>
              <w:spacing w:after="80"/>
              <w:jc w:val="center"/>
              <w:rPr>
                <w:rFonts w:eastAsia="Calibri"/>
                <w:sz w:val="16"/>
                <w:szCs w:val="16"/>
              </w:rPr>
            </w:pPr>
          </w:p>
        </w:tc>
      </w:tr>
      <w:tr w:rsidR="00620A21" w:rsidRPr="001B2B98" w14:paraId="2D168F59" w14:textId="77777777" w:rsidTr="00620A21">
        <w:trPr>
          <w:trHeight w:val="20"/>
        </w:trPr>
        <w:tc>
          <w:tcPr>
            <w:tcW w:w="1780" w:type="dxa"/>
            <w:vMerge/>
            <w:shd w:val="clear" w:color="auto" w:fill="auto"/>
          </w:tcPr>
          <w:p w14:paraId="7DDBC70C" w14:textId="77777777" w:rsidR="00531D21" w:rsidRPr="001B2B98" w:rsidRDefault="00531D21" w:rsidP="00620A21">
            <w:pPr>
              <w:spacing w:after="80"/>
              <w:rPr>
                <w:b/>
                <w:bCs/>
                <w:sz w:val="16"/>
                <w:szCs w:val="16"/>
              </w:rPr>
            </w:pPr>
          </w:p>
        </w:tc>
        <w:tc>
          <w:tcPr>
            <w:tcW w:w="2371" w:type="dxa"/>
            <w:shd w:val="clear" w:color="auto" w:fill="D3DFEE"/>
            <w:vAlign w:val="center"/>
          </w:tcPr>
          <w:p w14:paraId="73701071" w14:textId="77777777" w:rsidR="00531D21" w:rsidRPr="001B2B98" w:rsidRDefault="00531D21" w:rsidP="00620A21">
            <w:pPr>
              <w:spacing w:after="80"/>
              <w:rPr>
                <w:rFonts w:eastAsia="Calibri"/>
                <w:sz w:val="16"/>
                <w:szCs w:val="16"/>
              </w:rPr>
            </w:pPr>
            <w:r w:rsidRPr="001B2B98">
              <w:rPr>
                <w:rFonts w:eastAsia="Calibri"/>
                <w:sz w:val="16"/>
                <w:szCs w:val="16"/>
              </w:rPr>
              <w:t>Operating cost recovery – adjusted to exclude donor contributions</w:t>
            </w:r>
          </w:p>
        </w:tc>
        <w:tc>
          <w:tcPr>
            <w:tcW w:w="918" w:type="dxa"/>
            <w:shd w:val="clear" w:color="auto" w:fill="auto"/>
            <w:vAlign w:val="center"/>
          </w:tcPr>
          <w:p w14:paraId="2D33AD46" w14:textId="77777777" w:rsidR="00531D21" w:rsidRPr="001B2B98" w:rsidRDefault="00531D21" w:rsidP="00620A21">
            <w:pPr>
              <w:spacing w:after="80"/>
              <w:jc w:val="center"/>
              <w:rPr>
                <w:rFonts w:eastAsia="Calibri"/>
                <w:sz w:val="16"/>
                <w:szCs w:val="16"/>
              </w:rPr>
            </w:pPr>
            <w:r w:rsidRPr="001B2B98">
              <w:rPr>
                <w:rFonts w:eastAsia="Calibri"/>
                <w:sz w:val="16"/>
                <w:szCs w:val="16"/>
              </w:rPr>
              <w:t>-</w:t>
            </w:r>
          </w:p>
        </w:tc>
        <w:tc>
          <w:tcPr>
            <w:tcW w:w="918" w:type="dxa"/>
            <w:shd w:val="clear" w:color="auto" w:fill="auto"/>
            <w:vAlign w:val="center"/>
          </w:tcPr>
          <w:p w14:paraId="328B1166"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w:t>
            </w:r>
          </w:p>
        </w:tc>
        <w:tc>
          <w:tcPr>
            <w:tcW w:w="848" w:type="dxa"/>
            <w:vAlign w:val="center"/>
          </w:tcPr>
          <w:p w14:paraId="1C274E06" w14:textId="77777777" w:rsidR="00531D21" w:rsidRPr="001B2B98" w:rsidRDefault="00531D21" w:rsidP="00620A21">
            <w:pPr>
              <w:spacing w:after="80"/>
              <w:jc w:val="center"/>
              <w:rPr>
                <w:rFonts w:eastAsia="Calibri"/>
                <w:sz w:val="16"/>
                <w:szCs w:val="16"/>
              </w:rPr>
            </w:pPr>
            <w:r w:rsidRPr="001B2B98">
              <w:rPr>
                <w:rFonts w:eastAsia="Calibri"/>
                <w:sz w:val="16"/>
                <w:szCs w:val="16"/>
              </w:rPr>
              <w:t>-</w:t>
            </w:r>
          </w:p>
        </w:tc>
        <w:tc>
          <w:tcPr>
            <w:tcW w:w="918" w:type="dxa"/>
            <w:shd w:val="clear" w:color="auto" w:fill="auto"/>
            <w:vAlign w:val="center"/>
          </w:tcPr>
          <w:p w14:paraId="2AE8F919" w14:textId="77777777" w:rsidR="00531D21" w:rsidRPr="001B2B98" w:rsidRDefault="00531D21" w:rsidP="00620A21">
            <w:pPr>
              <w:spacing w:after="80"/>
              <w:jc w:val="center"/>
              <w:rPr>
                <w:rFonts w:eastAsia="Calibri"/>
                <w:color w:val="808080"/>
                <w:sz w:val="16"/>
                <w:szCs w:val="16"/>
              </w:rPr>
            </w:pPr>
            <w:r w:rsidRPr="001B2B98">
              <w:rPr>
                <w:rFonts w:eastAsia="Calibri"/>
                <w:color w:val="808080"/>
                <w:sz w:val="16"/>
                <w:szCs w:val="16"/>
              </w:rPr>
              <w:t>-</w:t>
            </w:r>
          </w:p>
        </w:tc>
        <w:tc>
          <w:tcPr>
            <w:tcW w:w="850" w:type="dxa"/>
            <w:vAlign w:val="center"/>
          </w:tcPr>
          <w:p w14:paraId="46A90168" w14:textId="77777777" w:rsidR="00531D21" w:rsidRPr="001B2B98" w:rsidRDefault="00531D21" w:rsidP="00620A21">
            <w:pPr>
              <w:spacing w:after="80"/>
              <w:jc w:val="center"/>
              <w:rPr>
                <w:rFonts w:eastAsia="Calibri"/>
                <w:sz w:val="16"/>
                <w:szCs w:val="16"/>
              </w:rPr>
            </w:pPr>
            <w:r w:rsidRPr="001B2B98">
              <w:rPr>
                <w:rFonts w:eastAsia="Calibri"/>
                <w:sz w:val="16"/>
                <w:szCs w:val="16"/>
              </w:rPr>
              <w:t>89%</w:t>
            </w:r>
          </w:p>
        </w:tc>
        <w:tc>
          <w:tcPr>
            <w:tcW w:w="850" w:type="dxa"/>
            <w:vAlign w:val="center"/>
          </w:tcPr>
          <w:p w14:paraId="5CA7DE01" w14:textId="77777777" w:rsidR="00531D21" w:rsidRPr="001B2B98" w:rsidRDefault="00531D21" w:rsidP="00620A21">
            <w:pPr>
              <w:spacing w:after="80"/>
              <w:jc w:val="center"/>
              <w:rPr>
                <w:rFonts w:eastAsia="Calibri"/>
                <w:sz w:val="16"/>
                <w:szCs w:val="16"/>
              </w:rPr>
            </w:pPr>
            <w:r w:rsidRPr="001B2B98">
              <w:rPr>
                <w:rFonts w:eastAsia="Calibri"/>
                <w:sz w:val="16"/>
                <w:szCs w:val="16"/>
              </w:rPr>
              <w:t>93%</w:t>
            </w:r>
          </w:p>
        </w:tc>
        <w:tc>
          <w:tcPr>
            <w:tcW w:w="4535" w:type="dxa"/>
            <w:vAlign w:val="center"/>
          </w:tcPr>
          <w:p w14:paraId="2EFCA36E" w14:textId="77777777" w:rsidR="00531D21" w:rsidRPr="001B2B98" w:rsidRDefault="00531D21" w:rsidP="00620A21">
            <w:pPr>
              <w:spacing w:after="80"/>
              <w:rPr>
                <w:rFonts w:eastAsia="Calibri"/>
                <w:sz w:val="16"/>
                <w:szCs w:val="16"/>
              </w:rPr>
            </w:pPr>
            <w:r w:rsidRPr="001B2B98">
              <w:rPr>
                <w:rFonts w:eastAsia="Calibri"/>
                <w:sz w:val="16"/>
                <w:szCs w:val="16"/>
              </w:rPr>
              <w:t>Profit adjusted to reflect estimated employment costs of personnel funded by DFAT; and removes donor income for operational activities</w:t>
            </w:r>
          </w:p>
        </w:tc>
      </w:tr>
    </w:tbl>
    <w:p w14:paraId="558621BF" w14:textId="77777777" w:rsidR="00531D21" w:rsidRDefault="00531D21" w:rsidP="00531D21">
      <w:pPr>
        <w:spacing w:before="120" w:after="120" w:line="240" w:lineRule="auto"/>
        <w:rPr>
          <w:rFonts w:ascii="Calibri" w:hAnsi="Calibri"/>
          <w:b/>
          <w:sz w:val="24"/>
          <w:szCs w:val="24"/>
        </w:rPr>
      </w:pPr>
    </w:p>
    <w:tbl>
      <w:tblPr>
        <w:tblW w:w="1388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2A0" w:firstRow="1" w:lastRow="0" w:firstColumn="1" w:lastColumn="0" w:noHBand="1" w:noVBand="0"/>
      </w:tblPr>
      <w:tblGrid>
        <w:gridCol w:w="1721"/>
        <w:gridCol w:w="2388"/>
        <w:gridCol w:w="918"/>
        <w:gridCol w:w="918"/>
        <w:gridCol w:w="843"/>
        <w:gridCol w:w="918"/>
        <w:gridCol w:w="844"/>
        <w:gridCol w:w="844"/>
        <w:gridCol w:w="4492"/>
      </w:tblGrid>
      <w:tr w:rsidR="001B2B98" w:rsidRPr="00620A21" w14:paraId="2C6FA0EC" w14:textId="77777777" w:rsidTr="00620A21">
        <w:trPr>
          <w:trHeight w:val="20"/>
          <w:tblHeader/>
        </w:trPr>
        <w:tc>
          <w:tcPr>
            <w:tcW w:w="1744" w:type="dxa"/>
            <w:shd w:val="clear" w:color="auto" w:fill="auto"/>
          </w:tcPr>
          <w:p w14:paraId="15C9831E" w14:textId="77777777" w:rsidR="00531D21" w:rsidRPr="00620A21" w:rsidRDefault="00531D21" w:rsidP="00620A21">
            <w:pPr>
              <w:spacing w:after="80"/>
              <w:ind w:left="357"/>
              <w:jc w:val="both"/>
              <w:rPr>
                <w:b/>
                <w:bCs/>
                <w:sz w:val="16"/>
                <w:szCs w:val="16"/>
              </w:rPr>
            </w:pPr>
            <w:r w:rsidRPr="00620A21">
              <w:rPr>
                <w:b/>
                <w:bCs/>
                <w:sz w:val="16"/>
                <w:szCs w:val="16"/>
              </w:rPr>
              <w:t>Objective</w:t>
            </w:r>
          </w:p>
        </w:tc>
        <w:tc>
          <w:tcPr>
            <w:tcW w:w="2430" w:type="dxa"/>
            <w:shd w:val="clear" w:color="auto" w:fill="D2EAF1"/>
          </w:tcPr>
          <w:p w14:paraId="6EB7CA7F" w14:textId="77777777" w:rsidR="00531D21" w:rsidRPr="00620A21" w:rsidRDefault="00531D21" w:rsidP="00620A21">
            <w:pPr>
              <w:spacing w:after="80"/>
              <w:ind w:left="357"/>
              <w:jc w:val="both"/>
              <w:rPr>
                <w:b/>
                <w:bCs/>
                <w:sz w:val="16"/>
                <w:szCs w:val="16"/>
              </w:rPr>
            </w:pPr>
            <w:r w:rsidRPr="00620A21">
              <w:rPr>
                <w:b/>
                <w:bCs/>
                <w:sz w:val="16"/>
                <w:szCs w:val="16"/>
              </w:rPr>
              <w:t>Indicator(s)</w:t>
            </w:r>
          </w:p>
        </w:tc>
        <w:tc>
          <w:tcPr>
            <w:tcW w:w="876" w:type="dxa"/>
            <w:shd w:val="clear" w:color="auto" w:fill="auto"/>
          </w:tcPr>
          <w:p w14:paraId="1BE0579C" w14:textId="77777777" w:rsidR="00531D21" w:rsidRPr="00620A21" w:rsidRDefault="00531D21" w:rsidP="00620A21">
            <w:pPr>
              <w:spacing w:after="80"/>
              <w:jc w:val="center"/>
              <w:rPr>
                <w:b/>
                <w:bCs/>
                <w:sz w:val="16"/>
                <w:szCs w:val="16"/>
              </w:rPr>
            </w:pPr>
            <w:r w:rsidRPr="00620A21">
              <w:rPr>
                <w:b/>
                <w:bCs/>
                <w:sz w:val="16"/>
                <w:szCs w:val="16"/>
              </w:rPr>
              <w:t>Baseline</w:t>
            </w:r>
          </w:p>
        </w:tc>
        <w:tc>
          <w:tcPr>
            <w:tcW w:w="876" w:type="dxa"/>
            <w:shd w:val="clear" w:color="auto" w:fill="auto"/>
          </w:tcPr>
          <w:p w14:paraId="088DBDB0" w14:textId="77777777" w:rsidR="00531D21" w:rsidRPr="00620A21" w:rsidRDefault="00531D21" w:rsidP="00620A21">
            <w:pPr>
              <w:spacing w:after="80"/>
              <w:jc w:val="center"/>
              <w:rPr>
                <w:b/>
                <w:bCs/>
                <w:color w:val="808080"/>
                <w:sz w:val="16"/>
                <w:szCs w:val="16"/>
              </w:rPr>
            </w:pPr>
            <w:r w:rsidRPr="00620A21">
              <w:rPr>
                <w:b/>
                <w:bCs/>
                <w:color w:val="808080"/>
                <w:sz w:val="16"/>
                <w:szCs w:val="16"/>
              </w:rPr>
              <w:t>Year 1 (2013) Target</w:t>
            </w:r>
          </w:p>
        </w:tc>
        <w:tc>
          <w:tcPr>
            <w:tcW w:w="849" w:type="dxa"/>
          </w:tcPr>
          <w:p w14:paraId="40B2BD63" w14:textId="77777777" w:rsidR="00531D21" w:rsidRPr="00620A21" w:rsidRDefault="00531D21" w:rsidP="00620A21">
            <w:pPr>
              <w:spacing w:after="80"/>
              <w:jc w:val="center"/>
              <w:rPr>
                <w:b/>
                <w:bCs/>
                <w:sz w:val="16"/>
                <w:szCs w:val="16"/>
              </w:rPr>
            </w:pPr>
            <w:r w:rsidRPr="00620A21">
              <w:rPr>
                <w:b/>
                <w:bCs/>
                <w:sz w:val="16"/>
                <w:szCs w:val="16"/>
              </w:rPr>
              <w:t xml:space="preserve">2013 Actual </w:t>
            </w:r>
          </w:p>
        </w:tc>
        <w:tc>
          <w:tcPr>
            <w:tcW w:w="876" w:type="dxa"/>
            <w:shd w:val="clear" w:color="auto" w:fill="auto"/>
          </w:tcPr>
          <w:p w14:paraId="24185E80" w14:textId="77777777" w:rsidR="00531D21" w:rsidRPr="00620A21" w:rsidRDefault="00531D21" w:rsidP="00620A21">
            <w:pPr>
              <w:spacing w:after="80"/>
              <w:jc w:val="center"/>
              <w:rPr>
                <w:b/>
                <w:bCs/>
                <w:color w:val="808080"/>
                <w:sz w:val="16"/>
                <w:szCs w:val="16"/>
              </w:rPr>
            </w:pPr>
            <w:r w:rsidRPr="00620A21">
              <w:rPr>
                <w:b/>
                <w:bCs/>
                <w:color w:val="808080"/>
                <w:sz w:val="16"/>
                <w:szCs w:val="16"/>
              </w:rPr>
              <w:t>Year 2 (2014) Target</w:t>
            </w:r>
          </w:p>
        </w:tc>
        <w:tc>
          <w:tcPr>
            <w:tcW w:w="850" w:type="dxa"/>
          </w:tcPr>
          <w:p w14:paraId="55EE1EAE" w14:textId="77777777" w:rsidR="00531D21" w:rsidRPr="00620A21" w:rsidRDefault="00531D21" w:rsidP="00620A21">
            <w:pPr>
              <w:spacing w:after="80"/>
              <w:jc w:val="center"/>
              <w:rPr>
                <w:b/>
                <w:bCs/>
                <w:sz w:val="16"/>
                <w:szCs w:val="16"/>
              </w:rPr>
            </w:pPr>
            <w:r w:rsidRPr="00620A21">
              <w:rPr>
                <w:b/>
                <w:bCs/>
                <w:sz w:val="16"/>
                <w:szCs w:val="16"/>
              </w:rPr>
              <w:t xml:space="preserve">2014 Actual </w:t>
            </w:r>
          </w:p>
        </w:tc>
        <w:tc>
          <w:tcPr>
            <w:tcW w:w="850" w:type="dxa"/>
          </w:tcPr>
          <w:p w14:paraId="2B1BCC4F" w14:textId="77777777" w:rsidR="00531D21" w:rsidRPr="00620A21" w:rsidRDefault="00531D21" w:rsidP="00620A21">
            <w:pPr>
              <w:spacing w:after="80"/>
              <w:jc w:val="center"/>
              <w:rPr>
                <w:b/>
                <w:bCs/>
                <w:sz w:val="16"/>
                <w:szCs w:val="16"/>
              </w:rPr>
            </w:pPr>
            <w:r w:rsidRPr="00620A21">
              <w:rPr>
                <w:b/>
                <w:bCs/>
                <w:sz w:val="16"/>
                <w:szCs w:val="16"/>
              </w:rPr>
              <w:t xml:space="preserve">2015 Actual </w:t>
            </w:r>
          </w:p>
        </w:tc>
        <w:tc>
          <w:tcPr>
            <w:tcW w:w="4535" w:type="dxa"/>
          </w:tcPr>
          <w:p w14:paraId="6479B708" w14:textId="77777777" w:rsidR="00531D21" w:rsidRPr="00620A21" w:rsidRDefault="00531D21" w:rsidP="00620A21">
            <w:pPr>
              <w:spacing w:after="80"/>
              <w:jc w:val="center"/>
              <w:rPr>
                <w:b/>
                <w:bCs/>
                <w:sz w:val="16"/>
                <w:szCs w:val="16"/>
              </w:rPr>
            </w:pPr>
            <w:r w:rsidRPr="00620A21">
              <w:rPr>
                <w:b/>
                <w:bCs/>
                <w:i/>
                <w:sz w:val="16"/>
                <w:szCs w:val="16"/>
              </w:rPr>
              <w:t>Explanatory notes</w:t>
            </w:r>
          </w:p>
        </w:tc>
      </w:tr>
      <w:tr w:rsidR="001B2B98" w:rsidRPr="00620A21" w14:paraId="5EEB663E" w14:textId="77777777" w:rsidTr="00620A21">
        <w:trPr>
          <w:trHeight w:val="20"/>
        </w:trPr>
        <w:tc>
          <w:tcPr>
            <w:tcW w:w="1744" w:type="dxa"/>
            <w:vMerge w:val="restart"/>
            <w:shd w:val="clear" w:color="auto" w:fill="auto"/>
          </w:tcPr>
          <w:p w14:paraId="517D509B" w14:textId="77777777" w:rsidR="00531D21" w:rsidRPr="00620A21" w:rsidRDefault="00531D21" w:rsidP="00620A21">
            <w:pPr>
              <w:spacing w:after="80"/>
              <w:rPr>
                <w:b/>
                <w:bCs/>
                <w:sz w:val="16"/>
                <w:szCs w:val="16"/>
              </w:rPr>
            </w:pPr>
            <w:r w:rsidRPr="00620A21">
              <w:rPr>
                <w:b/>
                <w:bCs/>
                <w:sz w:val="16"/>
                <w:szCs w:val="16"/>
              </w:rPr>
              <w:t xml:space="preserve">Solomon Water provides improved levels of service (in terms of quality, quantity and reliability) to a larger proportion of the population in the existing service areas, </w:t>
            </w:r>
            <w:r w:rsidRPr="00620A21">
              <w:rPr>
                <w:b/>
                <w:bCs/>
                <w:sz w:val="16"/>
                <w:szCs w:val="16"/>
              </w:rPr>
              <w:lastRenderedPageBreak/>
              <w:t>based on a sound financial position.</w:t>
            </w:r>
          </w:p>
        </w:tc>
        <w:tc>
          <w:tcPr>
            <w:tcW w:w="2430" w:type="dxa"/>
            <w:shd w:val="clear" w:color="auto" w:fill="D2EAF1"/>
          </w:tcPr>
          <w:p w14:paraId="4F8A201A" w14:textId="77777777" w:rsidR="00531D21" w:rsidRPr="00620A21" w:rsidRDefault="00531D21" w:rsidP="00620A21">
            <w:pPr>
              <w:spacing w:after="80"/>
              <w:jc w:val="both"/>
              <w:rPr>
                <w:rFonts w:eastAsia="Calibri"/>
                <w:sz w:val="16"/>
                <w:szCs w:val="16"/>
              </w:rPr>
            </w:pPr>
            <w:r w:rsidRPr="00620A21">
              <w:rPr>
                <w:rFonts w:eastAsia="Calibri"/>
                <w:sz w:val="16"/>
                <w:szCs w:val="16"/>
                <w:lang w:val="en-US"/>
              </w:rPr>
              <w:lastRenderedPageBreak/>
              <w:t>Continuity</w:t>
            </w:r>
            <w:r w:rsidRPr="00620A21">
              <w:rPr>
                <w:rFonts w:eastAsia="Calibri"/>
                <w:sz w:val="16"/>
                <w:szCs w:val="16"/>
              </w:rPr>
              <w:t xml:space="preserve"> of water supply service:</w:t>
            </w:r>
          </w:p>
          <w:p w14:paraId="00FE5E77" w14:textId="77777777" w:rsidR="00531D21" w:rsidRPr="00620A21" w:rsidRDefault="00531D21" w:rsidP="00620A21">
            <w:pPr>
              <w:spacing w:after="80"/>
              <w:rPr>
                <w:rFonts w:eastAsia="Calibri"/>
                <w:sz w:val="16"/>
                <w:szCs w:val="16"/>
                <w:lang w:val="en-US"/>
              </w:rPr>
            </w:pPr>
            <w:r w:rsidRPr="00620A21">
              <w:rPr>
                <w:rFonts w:eastAsia="Calibri"/>
                <w:sz w:val="16"/>
                <w:szCs w:val="16"/>
                <w:lang w:val="en-US"/>
              </w:rPr>
              <w:t>average hours available per head of population (Hrs/day/head)</w:t>
            </w:r>
          </w:p>
        </w:tc>
        <w:tc>
          <w:tcPr>
            <w:tcW w:w="876" w:type="dxa"/>
            <w:shd w:val="clear" w:color="auto" w:fill="auto"/>
            <w:vAlign w:val="center"/>
          </w:tcPr>
          <w:p w14:paraId="397AA69D" w14:textId="77777777" w:rsidR="00531D21" w:rsidRPr="00620A21" w:rsidRDefault="00531D21" w:rsidP="00620A21">
            <w:pPr>
              <w:spacing w:after="80"/>
              <w:jc w:val="center"/>
              <w:rPr>
                <w:rFonts w:eastAsia="Calibri"/>
                <w:sz w:val="16"/>
                <w:szCs w:val="16"/>
              </w:rPr>
            </w:pPr>
            <w:r w:rsidRPr="00620A21">
              <w:rPr>
                <w:rFonts w:eastAsia="Calibri"/>
                <w:sz w:val="16"/>
                <w:szCs w:val="16"/>
              </w:rPr>
              <w:t>14.2 hrs/capita (2012)</w:t>
            </w:r>
          </w:p>
        </w:tc>
        <w:tc>
          <w:tcPr>
            <w:tcW w:w="876" w:type="dxa"/>
            <w:shd w:val="clear" w:color="auto" w:fill="auto"/>
            <w:vAlign w:val="center"/>
          </w:tcPr>
          <w:p w14:paraId="3156B565"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18.8 hrs/capita</w:t>
            </w:r>
          </w:p>
        </w:tc>
        <w:tc>
          <w:tcPr>
            <w:tcW w:w="849" w:type="dxa"/>
            <w:vAlign w:val="center"/>
          </w:tcPr>
          <w:p w14:paraId="6679B942" w14:textId="77777777" w:rsidR="00531D21" w:rsidRPr="00620A21" w:rsidRDefault="00531D21" w:rsidP="00620A21">
            <w:pPr>
              <w:spacing w:after="80"/>
              <w:jc w:val="center"/>
              <w:rPr>
                <w:rFonts w:eastAsia="Calibri"/>
                <w:sz w:val="16"/>
                <w:szCs w:val="16"/>
              </w:rPr>
            </w:pPr>
            <w:r w:rsidRPr="00620A21">
              <w:rPr>
                <w:rFonts w:eastAsia="Calibri"/>
                <w:sz w:val="16"/>
                <w:szCs w:val="16"/>
              </w:rPr>
              <w:t>18 hours</w:t>
            </w:r>
            <w:r w:rsidRPr="00620A21">
              <w:rPr>
                <w:rStyle w:val="FootnoteReference"/>
                <w:rFonts w:eastAsia="Calibri"/>
                <w:sz w:val="16"/>
                <w:szCs w:val="16"/>
              </w:rPr>
              <w:footnoteReference w:id="43"/>
            </w:r>
          </w:p>
        </w:tc>
        <w:tc>
          <w:tcPr>
            <w:tcW w:w="876" w:type="dxa"/>
            <w:shd w:val="clear" w:color="auto" w:fill="auto"/>
            <w:vAlign w:val="center"/>
          </w:tcPr>
          <w:p w14:paraId="66C50373"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21.5 hrs/capita</w:t>
            </w:r>
          </w:p>
        </w:tc>
        <w:tc>
          <w:tcPr>
            <w:tcW w:w="850" w:type="dxa"/>
            <w:vAlign w:val="center"/>
          </w:tcPr>
          <w:p w14:paraId="2F2230E3" w14:textId="77777777" w:rsidR="00531D21" w:rsidRPr="00620A21" w:rsidRDefault="00531D21" w:rsidP="00620A21">
            <w:pPr>
              <w:spacing w:after="80"/>
              <w:jc w:val="center"/>
              <w:rPr>
                <w:rFonts w:eastAsia="Calibri"/>
                <w:sz w:val="16"/>
                <w:szCs w:val="16"/>
              </w:rPr>
            </w:pPr>
            <w:r w:rsidRPr="00620A21">
              <w:rPr>
                <w:rFonts w:eastAsia="Calibri"/>
                <w:sz w:val="16"/>
                <w:szCs w:val="16"/>
              </w:rPr>
              <w:t>22 hours</w:t>
            </w:r>
            <w:r w:rsidRPr="00620A21">
              <w:rPr>
                <w:rStyle w:val="FootnoteReference"/>
                <w:rFonts w:eastAsia="Calibri"/>
                <w:sz w:val="16"/>
                <w:szCs w:val="16"/>
              </w:rPr>
              <w:footnoteReference w:id="44"/>
            </w:r>
            <w:r w:rsidRPr="00620A21">
              <w:rPr>
                <w:rFonts w:eastAsia="Calibri"/>
                <w:sz w:val="16"/>
                <w:szCs w:val="16"/>
              </w:rPr>
              <w:t xml:space="preserve"> </w:t>
            </w:r>
          </w:p>
        </w:tc>
        <w:tc>
          <w:tcPr>
            <w:tcW w:w="850" w:type="dxa"/>
            <w:vAlign w:val="center"/>
          </w:tcPr>
          <w:p w14:paraId="4DBA53B3" w14:textId="77777777" w:rsidR="00531D21" w:rsidRPr="00620A21" w:rsidRDefault="00531D21" w:rsidP="00620A21">
            <w:pPr>
              <w:spacing w:after="80"/>
              <w:jc w:val="center"/>
              <w:rPr>
                <w:rFonts w:eastAsia="Calibri"/>
                <w:sz w:val="16"/>
                <w:szCs w:val="16"/>
              </w:rPr>
            </w:pPr>
            <w:r w:rsidRPr="00620A21">
              <w:rPr>
                <w:rFonts w:eastAsia="Calibri"/>
                <w:sz w:val="16"/>
                <w:szCs w:val="16"/>
              </w:rPr>
              <w:t>22 hours</w:t>
            </w:r>
            <w:r w:rsidRPr="00620A21">
              <w:rPr>
                <w:rStyle w:val="FootnoteReference"/>
                <w:rFonts w:eastAsia="Calibri"/>
                <w:sz w:val="16"/>
                <w:szCs w:val="16"/>
              </w:rPr>
              <w:footnoteReference w:id="45"/>
            </w:r>
          </w:p>
        </w:tc>
        <w:tc>
          <w:tcPr>
            <w:tcW w:w="4535" w:type="dxa"/>
            <w:vAlign w:val="center"/>
          </w:tcPr>
          <w:p w14:paraId="0029CEB3" w14:textId="77777777" w:rsidR="00531D21" w:rsidRPr="00620A21" w:rsidRDefault="00531D21" w:rsidP="00620A21">
            <w:pPr>
              <w:spacing w:after="80"/>
              <w:rPr>
                <w:rFonts w:eastAsia="Calibri"/>
                <w:sz w:val="16"/>
                <w:szCs w:val="16"/>
              </w:rPr>
            </w:pPr>
            <w:r w:rsidRPr="00620A21">
              <w:rPr>
                <w:rFonts w:eastAsia="Calibri"/>
                <w:sz w:val="16"/>
                <w:szCs w:val="16"/>
              </w:rPr>
              <w:t>PWWA indicator definition is: “Average hours of service per day for water supply, under normal circumstances”.</w:t>
            </w:r>
          </w:p>
        </w:tc>
      </w:tr>
      <w:tr w:rsidR="001B2B98" w:rsidRPr="00620A21" w14:paraId="5E833B64" w14:textId="77777777" w:rsidTr="00620A21">
        <w:trPr>
          <w:trHeight w:val="20"/>
        </w:trPr>
        <w:tc>
          <w:tcPr>
            <w:tcW w:w="1744" w:type="dxa"/>
            <w:vMerge/>
            <w:shd w:val="clear" w:color="auto" w:fill="auto"/>
          </w:tcPr>
          <w:p w14:paraId="07BE41BA" w14:textId="77777777" w:rsidR="00531D21" w:rsidRPr="00620A21" w:rsidRDefault="00531D21" w:rsidP="00620A21">
            <w:pPr>
              <w:spacing w:after="80"/>
              <w:rPr>
                <w:b/>
                <w:bCs/>
                <w:sz w:val="16"/>
                <w:szCs w:val="16"/>
              </w:rPr>
            </w:pPr>
          </w:p>
        </w:tc>
        <w:tc>
          <w:tcPr>
            <w:tcW w:w="2430" w:type="dxa"/>
            <w:shd w:val="clear" w:color="auto" w:fill="D2EAF1"/>
          </w:tcPr>
          <w:p w14:paraId="28EC3F55" w14:textId="77777777" w:rsidR="00531D21" w:rsidRPr="00620A21" w:rsidRDefault="00531D21" w:rsidP="00620A21">
            <w:pPr>
              <w:spacing w:after="80"/>
              <w:jc w:val="both"/>
              <w:rPr>
                <w:rFonts w:eastAsia="Calibri"/>
                <w:sz w:val="16"/>
                <w:szCs w:val="16"/>
              </w:rPr>
            </w:pPr>
            <w:r w:rsidRPr="00620A21">
              <w:rPr>
                <w:rFonts w:eastAsia="Calibri"/>
                <w:sz w:val="16"/>
                <w:szCs w:val="16"/>
              </w:rPr>
              <w:t>Level of Service measured as:</w:t>
            </w:r>
          </w:p>
          <w:p w14:paraId="0A4673A7" w14:textId="77777777" w:rsidR="00531D21" w:rsidRPr="00620A21" w:rsidRDefault="00531D21" w:rsidP="00620A21">
            <w:pPr>
              <w:spacing w:after="80"/>
              <w:rPr>
                <w:rFonts w:eastAsia="Calibri"/>
                <w:sz w:val="16"/>
                <w:szCs w:val="16"/>
                <w:lang w:val="en-US"/>
              </w:rPr>
            </w:pPr>
            <w:r w:rsidRPr="00620A21">
              <w:rPr>
                <w:rFonts w:eastAsia="Calibri"/>
                <w:sz w:val="16"/>
                <w:szCs w:val="16"/>
              </w:rPr>
              <w:t xml:space="preserve">% of registered customers receiving water supply at pressures between 3 and 7 bar </w:t>
            </w:r>
            <w:r w:rsidRPr="00620A21">
              <w:rPr>
                <w:rFonts w:eastAsia="Calibri"/>
                <w:sz w:val="16"/>
                <w:szCs w:val="16"/>
              </w:rPr>
              <w:lastRenderedPageBreak/>
              <w:t>at the property boundary on a 24 hour basis</w:t>
            </w:r>
          </w:p>
        </w:tc>
        <w:tc>
          <w:tcPr>
            <w:tcW w:w="876" w:type="dxa"/>
            <w:shd w:val="clear" w:color="auto" w:fill="auto"/>
            <w:vAlign w:val="center"/>
          </w:tcPr>
          <w:p w14:paraId="4BCF83FE" w14:textId="77777777" w:rsidR="00531D21" w:rsidRPr="00620A21" w:rsidRDefault="00531D21" w:rsidP="00620A21">
            <w:pPr>
              <w:spacing w:after="80"/>
              <w:jc w:val="center"/>
              <w:rPr>
                <w:rFonts w:eastAsia="Calibri"/>
                <w:sz w:val="16"/>
                <w:szCs w:val="16"/>
              </w:rPr>
            </w:pPr>
            <w:r w:rsidRPr="00620A21">
              <w:rPr>
                <w:rFonts w:eastAsia="Calibri"/>
                <w:sz w:val="16"/>
                <w:szCs w:val="16"/>
              </w:rPr>
              <w:lastRenderedPageBreak/>
              <w:t>not available</w:t>
            </w:r>
          </w:p>
        </w:tc>
        <w:tc>
          <w:tcPr>
            <w:tcW w:w="876" w:type="dxa"/>
            <w:shd w:val="clear" w:color="auto" w:fill="auto"/>
            <w:vAlign w:val="center"/>
          </w:tcPr>
          <w:p w14:paraId="73077532"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TBC</w:t>
            </w:r>
          </w:p>
        </w:tc>
        <w:tc>
          <w:tcPr>
            <w:tcW w:w="849" w:type="dxa"/>
          </w:tcPr>
          <w:p w14:paraId="0027FBC6" w14:textId="77777777" w:rsidR="00531D21" w:rsidRPr="00620A21" w:rsidRDefault="00531D21" w:rsidP="00620A21">
            <w:pPr>
              <w:spacing w:after="80"/>
              <w:jc w:val="center"/>
              <w:rPr>
                <w:rFonts w:eastAsia="Calibri"/>
                <w:sz w:val="16"/>
                <w:szCs w:val="16"/>
              </w:rPr>
            </w:pPr>
          </w:p>
        </w:tc>
        <w:tc>
          <w:tcPr>
            <w:tcW w:w="876" w:type="dxa"/>
            <w:shd w:val="clear" w:color="auto" w:fill="auto"/>
            <w:vAlign w:val="center"/>
          </w:tcPr>
          <w:p w14:paraId="18F2911B"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TBC</w:t>
            </w:r>
          </w:p>
        </w:tc>
        <w:tc>
          <w:tcPr>
            <w:tcW w:w="850" w:type="dxa"/>
          </w:tcPr>
          <w:p w14:paraId="2CB578CD" w14:textId="77777777" w:rsidR="00531D21" w:rsidRPr="00620A21" w:rsidRDefault="00531D21" w:rsidP="00620A21">
            <w:pPr>
              <w:spacing w:after="80"/>
              <w:jc w:val="center"/>
              <w:rPr>
                <w:rFonts w:eastAsia="Calibri"/>
                <w:sz w:val="16"/>
                <w:szCs w:val="16"/>
              </w:rPr>
            </w:pPr>
          </w:p>
        </w:tc>
        <w:tc>
          <w:tcPr>
            <w:tcW w:w="850" w:type="dxa"/>
          </w:tcPr>
          <w:p w14:paraId="48E816F6" w14:textId="77777777" w:rsidR="00531D21" w:rsidRPr="00620A21" w:rsidRDefault="00531D21" w:rsidP="00620A21">
            <w:pPr>
              <w:spacing w:after="80"/>
              <w:jc w:val="center"/>
              <w:rPr>
                <w:rFonts w:eastAsia="Calibri"/>
                <w:sz w:val="16"/>
                <w:szCs w:val="16"/>
              </w:rPr>
            </w:pPr>
          </w:p>
        </w:tc>
        <w:tc>
          <w:tcPr>
            <w:tcW w:w="4535" w:type="dxa"/>
            <w:vAlign w:val="center"/>
          </w:tcPr>
          <w:p w14:paraId="0AC5BA28" w14:textId="77777777" w:rsidR="00531D21" w:rsidRPr="00620A21" w:rsidRDefault="00531D21" w:rsidP="00620A21">
            <w:pPr>
              <w:spacing w:after="80"/>
              <w:rPr>
                <w:rFonts w:eastAsia="Calibri"/>
                <w:sz w:val="16"/>
                <w:szCs w:val="16"/>
              </w:rPr>
            </w:pPr>
            <w:r w:rsidRPr="00620A21">
              <w:rPr>
                <w:rFonts w:eastAsia="Calibri"/>
                <w:sz w:val="16"/>
                <w:szCs w:val="16"/>
              </w:rPr>
              <w:t>Data has not been reported against this indicator</w:t>
            </w:r>
          </w:p>
        </w:tc>
      </w:tr>
      <w:tr w:rsidR="001B2B98" w:rsidRPr="00620A21" w14:paraId="40D531C0" w14:textId="77777777" w:rsidTr="00620A21">
        <w:trPr>
          <w:trHeight w:val="20"/>
        </w:trPr>
        <w:tc>
          <w:tcPr>
            <w:tcW w:w="1744" w:type="dxa"/>
            <w:vMerge/>
            <w:shd w:val="clear" w:color="auto" w:fill="auto"/>
          </w:tcPr>
          <w:p w14:paraId="6B8A4145" w14:textId="77777777" w:rsidR="00531D21" w:rsidRPr="00620A21" w:rsidRDefault="00531D21" w:rsidP="00620A21">
            <w:pPr>
              <w:spacing w:after="80"/>
              <w:ind w:left="357"/>
              <w:jc w:val="both"/>
              <w:rPr>
                <w:b/>
                <w:bCs/>
                <w:sz w:val="16"/>
                <w:szCs w:val="16"/>
              </w:rPr>
            </w:pPr>
          </w:p>
        </w:tc>
        <w:tc>
          <w:tcPr>
            <w:tcW w:w="2430" w:type="dxa"/>
            <w:shd w:val="clear" w:color="auto" w:fill="D2EAF1"/>
          </w:tcPr>
          <w:p w14:paraId="31F6DB05" w14:textId="77777777" w:rsidR="00531D21" w:rsidRPr="00620A21" w:rsidRDefault="00531D21" w:rsidP="00620A21">
            <w:pPr>
              <w:spacing w:after="80"/>
              <w:rPr>
                <w:rFonts w:eastAsia="Calibri"/>
                <w:sz w:val="16"/>
                <w:szCs w:val="16"/>
              </w:rPr>
            </w:pPr>
            <w:r w:rsidRPr="00620A21">
              <w:rPr>
                <w:rFonts w:eastAsia="Calibri"/>
                <w:sz w:val="16"/>
                <w:szCs w:val="16"/>
              </w:rPr>
              <w:t>Water supply coverage</w:t>
            </w:r>
          </w:p>
          <w:p w14:paraId="663D1878" w14:textId="77777777" w:rsidR="00531D21" w:rsidRPr="00620A21" w:rsidRDefault="00531D21" w:rsidP="00620A21">
            <w:pPr>
              <w:spacing w:after="80"/>
              <w:rPr>
                <w:rFonts w:eastAsia="Calibri"/>
                <w:sz w:val="16"/>
                <w:szCs w:val="16"/>
              </w:rPr>
            </w:pPr>
            <w:r w:rsidRPr="00620A21">
              <w:rPr>
                <w:rFonts w:eastAsia="Calibri"/>
                <w:sz w:val="16"/>
                <w:szCs w:val="16"/>
              </w:rPr>
              <w:t>% of population</w:t>
            </w:r>
          </w:p>
        </w:tc>
        <w:tc>
          <w:tcPr>
            <w:tcW w:w="876" w:type="dxa"/>
            <w:shd w:val="clear" w:color="auto" w:fill="auto"/>
            <w:vAlign w:val="center"/>
          </w:tcPr>
          <w:p w14:paraId="50E0A2A3"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68.5%</w:t>
            </w:r>
            <w:r w:rsidRPr="00620A21">
              <w:rPr>
                <w:rStyle w:val="FootnoteReference"/>
                <w:rFonts w:eastAsia="Calibri" w:cs="Calibri"/>
                <w:sz w:val="16"/>
                <w:szCs w:val="16"/>
              </w:rPr>
              <w:footnoteReference w:id="46"/>
            </w:r>
            <w:r w:rsidRPr="00620A21">
              <w:rPr>
                <w:rFonts w:eastAsia="Calibri" w:cs="Calibri"/>
                <w:sz w:val="16"/>
                <w:szCs w:val="16"/>
              </w:rPr>
              <w:t xml:space="preserve"> (2012)</w:t>
            </w:r>
          </w:p>
        </w:tc>
        <w:tc>
          <w:tcPr>
            <w:tcW w:w="876" w:type="dxa"/>
            <w:shd w:val="clear" w:color="auto" w:fill="auto"/>
            <w:vAlign w:val="center"/>
          </w:tcPr>
          <w:p w14:paraId="54CC2865"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9" w:type="dxa"/>
            <w:vAlign w:val="center"/>
          </w:tcPr>
          <w:p w14:paraId="37369B16"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65%</w:t>
            </w:r>
            <w:r w:rsidRPr="00620A21">
              <w:rPr>
                <w:rStyle w:val="FootnoteReference"/>
                <w:rFonts w:eastAsia="Calibri" w:cs="Calibri"/>
                <w:sz w:val="16"/>
                <w:szCs w:val="16"/>
              </w:rPr>
              <w:footnoteReference w:id="47"/>
            </w:r>
          </w:p>
        </w:tc>
        <w:tc>
          <w:tcPr>
            <w:tcW w:w="876" w:type="dxa"/>
            <w:shd w:val="clear" w:color="auto" w:fill="auto"/>
            <w:vAlign w:val="center"/>
          </w:tcPr>
          <w:p w14:paraId="44E86027"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vAlign w:val="center"/>
          </w:tcPr>
          <w:p w14:paraId="21BD84BF"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78%</w:t>
            </w:r>
            <w:r w:rsidRPr="00620A21">
              <w:rPr>
                <w:rStyle w:val="FootnoteReference"/>
                <w:rFonts w:eastAsia="Calibri" w:cs="Calibri"/>
                <w:sz w:val="16"/>
                <w:szCs w:val="16"/>
              </w:rPr>
              <w:footnoteReference w:id="48"/>
            </w:r>
          </w:p>
        </w:tc>
        <w:tc>
          <w:tcPr>
            <w:tcW w:w="850" w:type="dxa"/>
            <w:vAlign w:val="center"/>
          </w:tcPr>
          <w:p w14:paraId="7E9A5F49"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55%</w:t>
            </w:r>
            <w:r w:rsidRPr="00620A21">
              <w:rPr>
                <w:rStyle w:val="FootnoteReference"/>
                <w:rFonts w:eastAsia="Calibri" w:cs="Calibri"/>
                <w:sz w:val="16"/>
                <w:szCs w:val="16"/>
              </w:rPr>
              <w:footnoteReference w:id="49"/>
            </w:r>
          </w:p>
        </w:tc>
        <w:tc>
          <w:tcPr>
            <w:tcW w:w="4535" w:type="dxa"/>
          </w:tcPr>
          <w:p w14:paraId="68A266E7" w14:textId="4932E8AE" w:rsidR="00C557A5" w:rsidRPr="00620A21" w:rsidRDefault="00C557A5" w:rsidP="00620A21">
            <w:pPr>
              <w:spacing w:after="80"/>
              <w:rPr>
                <w:rFonts w:eastAsia="Calibri"/>
                <w:sz w:val="16"/>
                <w:szCs w:val="16"/>
              </w:rPr>
            </w:pPr>
            <w:r w:rsidRPr="00620A21">
              <w:rPr>
                <w:rFonts w:eastAsia="Calibri"/>
                <w:sz w:val="16"/>
                <w:szCs w:val="16"/>
              </w:rPr>
              <w:t xml:space="preserve">The number of service connections decreased significantly in 2015 as result of a structured and more rigorous approach to disconnecting overdue accounts in 2015. </w:t>
            </w:r>
            <w:r w:rsidRPr="00620A21">
              <w:rPr>
                <w:sz w:val="16"/>
                <w:szCs w:val="16"/>
              </w:rPr>
              <w:t>Solomon Water data shows 2 533 disconnections for the January – November 2015 period. Solomon Water estimates around half of these have reconnected (with a higher reconnection rate for commercial customers compared with residential customers).</w:t>
            </w:r>
          </w:p>
          <w:p w14:paraId="5AA35C35" w14:textId="661488E7" w:rsidR="00531D21" w:rsidRPr="00620A21" w:rsidRDefault="00C557A5" w:rsidP="00620A21">
            <w:pPr>
              <w:spacing w:after="80"/>
              <w:rPr>
                <w:rFonts w:eastAsia="Calibri"/>
                <w:sz w:val="16"/>
                <w:szCs w:val="16"/>
              </w:rPr>
            </w:pPr>
            <w:r w:rsidRPr="00620A21">
              <w:rPr>
                <w:rFonts w:eastAsia="Calibri"/>
                <w:sz w:val="16"/>
                <w:szCs w:val="16"/>
              </w:rPr>
              <w:t>The number of new connections has been gradually increasing during the period of the Development Plan:</w:t>
            </w:r>
          </w:p>
          <w:tbl>
            <w:tblPr>
              <w:tblW w:w="0" w:type="auto"/>
              <w:jc w:val="center"/>
              <w:tblBorders>
                <w:top w:val="single" w:sz="4" w:space="0" w:color="007FAD"/>
                <w:bottom w:val="single" w:sz="4" w:space="0" w:color="007FAD"/>
                <w:insideH w:val="single" w:sz="4" w:space="0" w:color="007FAD"/>
              </w:tblBorders>
              <w:tblCellMar>
                <w:top w:w="85" w:type="dxa"/>
                <w:bottom w:w="85" w:type="dxa"/>
              </w:tblCellMar>
              <w:tblLook w:val="04A0" w:firstRow="1" w:lastRow="0" w:firstColumn="1" w:lastColumn="0" w:noHBand="0" w:noVBand="1"/>
            </w:tblPr>
            <w:tblGrid>
              <w:gridCol w:w="592"/>
              <w:gridCol w:w="1494"/>
              <w:gridCol w:w="222"/>
              <w:gridCol w:w="1968"/>
            </w:tblGrid>
            <w:tr w:rsidR="00C557A5" w:rsidRPr="00620A21" w14:paraId="777BC12C" w14:textId="77777777" w:rsidTr="00E630F4">
              <w:trPr>
                <w:trHeight w:val="300"/>
                <w:jc w:val="center"/>
              </w:trPr>
              <w:tc>
                <w:tcPr>
                  <w:tcW w:w="0" w:type="auto"/>
                  <w:shd w:val="clear" w:color="auto" w:fill="007FAD"/>
                  <w:noWrap/>
                  <w:hideMark/>
                </w:tcPr>
                <w:p w14:paraId="48154375" w14:textId="77777777" w:rsidR="00C557A5" w:rsidRPr="00620A21" w:rsidRDefault="00C557A5" w:rsidP="00620A21">
                  <w:pPr>
                    <w:pStyle w:val="TableHeading2"/>
                    <w:rPr>
                      <w:rFonts w:ascii="Franklin Gothic Book" w:hAnsi="Franklin Gothic Book"/>
                      <w:sz w:val="16"/>
                      <w:szCs w:val="16"/>
                      <w:lang w:val="en-NZ" w:eastAsia="en-NZ"/>
                    </w:rPr>
                  </w:pPr>
                  <w:r w:rsidRPr="00620A21">
                    <w:rPr>
                      <w:rFonts w:ascii="Franklin Gothic Book" w:hAnsi="Franklin Gothic Book"/>
                      <w:sz w:val="16"/>
                      <w:szCs w:val="16"/>
                      <w:lang w:val="en-NZ" w:eastAsia="en-NZ"/>
                    </w:rPr>
                    <w:t>Year</w:t>
                  </w:r>
                </w:p>
              </w:tc>
              <w:tc>
                <w:tcPr>
                  <w:tcW w:w="0" w:type="auto"/>
                  <w:shd w:val="clear" w:color="auto" w:fill="007FAD"/>
                  <w:noWrap/>
                </w:tcPr>
                <w:p w14:paraId="72C9B00D" w14:textId="47BDCB83" w:rsidR="00C557A5" w:rsidRPr="00620A21" w:rsidRDefault="00C557A5" w:rsidP="00620A21">
                  <w:pPr>
                    <w:pStyle w:val="TableHeading2"/>
                    <w:jc w:val="center"/>
                    <w:rPr>
                      <w:rFonts w:ascii="Franklin Gothic Book" w:hAnsi="Franklin Gothic Book"/>
                      <w:sz w:val="16"/>
                      <w:szCs w:val="16"/>
                      <w:lang w:val="en-NZ" w:eastAsia="en-NZ"/>
                    </w:rPr>
                  </w:pPr>
                  <w:r w:rsidRPr="00620A21">
                    <w:rPr>
                      <w:rFonts w:ascii="Franklin Gothic Book" w:hAnsi="Franklin Gothic Book"/>
                      <w:sz w:val="16"/>
                      <w:szCs w:val="16"/>
                      <w:lang w:val="en-NZ" w:eastAsia="en-NZ"/>
                    </w:rPr>
                    <w:t># new connections</w:t>
                  </w:r>
                </w:p>
              </w:tc>
              <w:tc>
                <w:tcPr>
                  <w:tcW w:w="0" w:type="auto"/>
                  <w:shd w:val="clear" w:color="auto" w:fill="007FAD"/>
                  <w:hideMark/>
                </w:tcPr>
                <w:p w14:paraId="3E73C6AD" w14:textId="77777777" w:rsidR="00C557A5" w:rsidRPr="00620A21" w:rsidRDefault="00C557A5" w:rsidP="00620A21">
                  <w:pPr>
                    <w:spacing w:before="0" w:after="80" w:line="240" w:lineRule="auto"/>
                    <w:rPr>
                      <w:rFonts w:cs="Segoe UI"/>
                      <w:color w:val="000000"/>
                      <w:sz w:val="16"/>
                      <w:szCs w:val="16"/>
                      <w:lang w:val="en-NZ" w:eastAsia="en-NZ"/>
                    </w:rPr>
                  </w:pPr>
                </w:p>
              </w:tc>
              <w:tc>
                <w:tcPr>
                  <w:tcW w:w="0" w:type="auto"/>
                  <w:shd w:val="clear" w:color="auto" w:fill="007FAD"/>
                </w:tcPr>
                <w:p w14:paraId="7A99C086" w14:textId="77777777" w:rsidR="00C557A5" w:rsidRPr="00620A21" w:rsidRDefault="00C557A5" w:rsidP="00620A21">
                  <w:pPr>
                    <w:pStyle w:val="TableHeading2"/>
                    <w:jc w:val="center"/>
                    <w:rPr>
                      <w:rFonts w:ascii="Franklin Gothic Book" w:hAnsi="Franklin Gothic Book"/>
                      <w:sz w:val="16"/>
                      <w:szCs w:val="16"/>
                      <w:lang w:val="en-NZ" w:eastAsia="en-NZ"/>
                    </w:rPr>
                  </w:pPr>
                  <w:r w:rsidRPr="00620A21">
                    <w:rPr>
                      <w:rFonts w:ascii="Franklin Gothic Book" w:hAnsi="Franklin Gothic Book"/>
                      <w:sz w:val="16"/>
                      <w:szCs w:val="16"/>
                      <w:lang w:val="en-NZ" w:eastAsia="en-NZ"/>
                    </w:rPr>
                    <w:t>Total connections at year end</w:t>
                  </w:r>
                </w:p>
              </w:tc>
            </w:tr>
            <w:tr w:rsidR="00C557A5" w:rsidRPr="00620A21" w14:paraId="5B5D310D" w14:textId="77777777" w:rsidTr="00E630F4">
              <w:trPr>
                <w:trHeight w:val="315"/>
                <w:jc w:val="center"/>
              </w:trPr>
              <w:tc>
                <w:tcPr>
                  <w:tcW w:w="0" w:type="auto"/>
                  <w:shd w:val="clear" w:color="auto" w:fill="FFFFFF"/>
                  <w:noWrap/>
                  <w:hideMark/>
                </w:tcPr>
                <w:p w14:paraId="61AEB5C9" w14:textId="77777777" w:rsidR="00C557A5" w:rsidRPr="00620A21" w:rsidRDefault="00C557A5" w:rsidP="00620A21">
                  <w:pPr>
                    <w:pStyle w:val="TableText"/>
                    <w:spacing w:after="80"/>
                    <w:rPr>
                      <w:sz w:val="16"/>
                      <w:szCs w:val="16"/>
                    </w:rPr>
                  </w:pPr>
                  <w:r w:rsidRPr="00620A21">
                    <w:rPr>
                      <w:sz w:val="16"/>
                      <w:szCs w:val="16"/>
                    </w:rPr>
                    <w:t>2013</w:t>
                  </w:r>
                </w:p>
              </w:tc>
              <w:tc>
                <w:tcPr>
                  <w:tcW w:w="0" w:type="auto"/>
                  <w:gridSpan w:val="2"/>
                  <w:shd w:val="clear" w:color="auto" w:fill="FFFFFF"/>
                  <w:noWrap/>
                  <w:vAlign w:val="center"/>
                  <w:hideMark/>
                </w:tcPr>
                <w:p w14:paraId="0680C327" w14:textId="77777777" w:rsidR="00C557A5" w:rsidRPr="00620A21" w:rsidRDefault="00C557A5" w:rsidP="00620A21">
                  <w:pPr>
                    <w:pStyle w:val="TableText"/>
                    <w:spacing w:after="80"/>
                    <w:jc w:val="center"/>
                    <w:rPr>
                      <w:sz w:val="16"/>
                      <w:szCs w:val="16"/>
                    </w:rPr>
                  </w:pPr>
                  <w:r w:rsidRPr="00620A21">
                    <w:rPr>
                      <w:sz w:val="16"/>
                      <w:szCs w:val="16"/>
                    </w:rPr>
                    <w:t>200</w:t>
                  </w:r>
                </w:p>
              </w:tc>
              <w:tc>
                <w:tcPr>
                  <w:tcW w:w="0" w:type="auto"/>
                  <w:shd w:val="clear" w:color="auto" w:fill="FFFFFF"/>
                </w:tcPr>
                <w:p w14:paraId="14CB6E8F" w14:textId="77777777" w:rsidR="00C557A5" w:rsidRPr="00620A21" w:rsidRDefault="00C557A5" w:rsidP="00620A21">
                  <w:pPr>
                    <w:pStyle w:val="TableText"/>
                    <w:spacing w:after="80"/>
                    <w:jc w:val="center"/>
                    <w:rPr>
                      <w:sz w:val="16"/>
                      <w:szCs w:val="16"/>
                    </w:rPr>
                  </w:pPr>
                  <w:r w:rsidRPr="00620A21">
                    <w:rPr>
                      <w:sz w:val="16"/>
                      <w:szCs w:val="16"/>
                    </w:rPr>
                    <w:t>7 890</w:t>
                  </w:r>
                </w:p>
              </w:tc>
            </w:tr>
            <w:tr w:rsidR="00C557A5" w:rsidRPr="00620A21" w14:paraId="62C101E1" w14:textId="77777777" w:rsidTr="00E630F4">
              <w:trPr>
                <w:trHeight w:val="300"/>
                <w:jc w:val="center"/>
              </w:trPr>
              <w:tc>
                <w:tcPr>
                  <w:tcW w:w="0" w:type="auto"/>
                  <w:shd w:val="clear" w:color="auto" w:fill="FFFFFF"/>
                  <w:noWrap/>
                  <w:hideMark/>
                </w:tcPr>
                <w:p w14:paraId="212F960B" w14:textId="77777777" w:rsidR="00C557A5" w:rsidRPr="00620A21" w:rsidRDefault="00C557A5" w:rsidP="00620A21">
                  <w:pPr>
                    <w:pStyle w:val="TableText"/>
                    <w:spacing w:after="80"/>
                    <w:rPr>
                      <w:sz w:val="16"/>
                      <w:szCs w:val="16"/>
                    </w:rPr>
                  </w:pPr>
                  <w:r w:rsidRPr="00620A21">
                    <w:rPr>
                      <w:sz w:val="16"/>
                      <w:szCs w:val="16"/>
                    </w:rPr>
                    <w:t>2014</w:t>
                  </w:r>
                </w:p>
              </w:tc>
              <w:tc>
                <w:tcPr>
                  <w:tcW w:w="0" w:type="auto"/>
                  <w:gridSpan w:val="2"/>
                  <w:shd w:val="clear" w:color="auto" w:fill="FFFFFF"/>
                  <w:noWrap/>
                  <w:vAlign w:val="center"/>
                  <w:hideMark/>
                </w:tcPr>
                <w:p w14:paraId="399BE110" w14:textId="77777777" w:rsidR="00C557A5" w:rsidRPr="00620A21" w:rsidRDefault="00C557A5" w:rsidP="00620A21">
                  <w:pPr>
                    <w:pStyle w:val="TableText"/>
                    <w:spacing w:after="80"/>
                    <w:jc w:val="center"/>
                    <w:rPr>
                      <w:sz w:val="16"/>
                      <w:szCs w:val="16"/>
                    </w:rPr>
                  </w:pPr>
                  <w:r w:rsidRPr="00620A21">
                    <w:rPr>
                      <w:sz w:val="16"/>
                      <w:szCs w:val="16"/>
                    </w:rPr>
                    <w:t>289</w:t>
                  </w:r>
                </w:p>
              </w:tc>
              <w:tc>
                <w:tcPr>
                  <w:tcW w:w="0" w:type="auto"/>
                  <w:shd w:val="clear" w:color="auto" w:fill="FFFFFF"/>
                </w:tcPr>
                <w:p w14:paraId="2C15FE14" w14:textId="77777777" w:rsidR="00C557A5" w:rsidRPr="00620A21" w:rsidRDefault="00C557A5" w:rsidP="00620A21">
                  <w:pPr>
                    <w:pStyle w:val="TableText"/>
                    <w:spacing w:after="80"/>
                    <w:jc w:val="center"/>
                    <w:rPr>
                      <w:sz w:val="16"/>
                      <w:szCs w:val="16"/>
                    </w:rPr>
                  </w:pPr>
                  <w:r w:rsidRPr="00620A21">
                    <w:rPr>
                      <w:sz w:val="16"/>
                      <w:szCs w:val="16"/>
                    </w:rPr>
                    <w:t>9 845</w:t>
                  </w:r>
                </w:p>
              </w:tc>
            </w:tr>
            <w:tr w:rsidR="00C557A5" w:rsidRPr="00620A21" w14:paraId="535A76D5" w14:textId="77777777" w:rsidTr="00E630F4">
              <w:trPr>
                <w:trHeight w:val="300"/>
                <w:jc w:val="center"/>
              </w:trPr>
              <w:tc>
                <w:tcPr>
                  <w:tcW w:w="0" w:type="auto"/>
                  <w:shd w:val="clear" w:color="auto" w:fill="FFFFFF"/>
                  <w:noWrap/>
                  <w:hideMark/>
                </w:tcPr>
                <w:p w14:paraId="217212EB" w14:textId="77777777" w:rsidR="00C557A5" w:rsidRPr="00620A21" w:rsidRDefault="00C557A5" w:rsidP="00620A21">
                  <w:pPr>
                    <w:pStyle w:val="TableText"/>
                    <w:spacing w:after="80"/>
                    <w:rPr>
                      <w:sz w:val="16"/>
                      <w:szCs w:val="16"/>
                    </w:rPr>
                  </w:pPr>
                  <w:r w:rsidRPr="00620A21">
                    <w:rPr>
                      <w:sz w:val="16"/>
                      <w:szCs w:val="16"/>
                    </w:rPr>
                    <w:t>2015</w:t>
                  </w:r>
                </w:p>
              </w:tc>
              <w:tc>
                <w:tcPr>
                  <w:tcW w:w="0" w:type="auto"/>
                  <w:gridSpan w:val="2"/>
                  <w:shd w:val="clear" w:color="auto" w:fill="FFFFFF"/>
                  <w:noWrap/>
                  <w:vAlign w:val="center"/>
                  <w:hideMark/>
                </w:tcPr>
                <w:p w14:paraId="304C96B7" w14:textId="77777777" w:rsidR="00C557A5" w:rsidRPr="00620A21" w:rsidRDefault="00C557A5" w:rsidP="00620A21">
                  <w:pPr>
                    <w:pStyle w:val="TableText"/>
                    <w:spacing w:after="80"/>
                    <w:jc w:val="center"/>
                    <w:rPr>
                      <w:sz w:val="16"/>
                      <w:szCs w:val="16"/>
                    </w:rPr>
                  </w:pPr>
                  <w:r w:rsidRPr="00620A21">
                    <w:rPr>
                      <w:sz w:val="16"/>
                      <w:szCs w:val="16"/>
                    </w:rPr>
                    <w:t>312</w:t>
                  </w:r>
                </w:p>
              </w:tc>
              <w:tc>
                <w:tcPr>
                  <w:tcW w:w="0" w:type="auto"/>
                  <w:shd w:val="clear" w:color="auto" w:fill="FFFFFF"/>
                </w:tcPr>
                <w:p w14:paraId="053EC00D" w14:textId="77777777" w:rsidR="00C557A5" w:rsidRPr="00620A21" w:rsidRDefault="00C557A5" w:rsidP="00620A21">
                  <w:pPr>
                    <w:pStyle w:val="TableText"/>
                    <w:spacing w:after="80"/>
                    <w:jc w:val="center"/>
                    <w:rPr>
                      <w:sz w:val="16"/>
                      <w:szCs w:val="16"/>
                    </w:rPr>
                  </w:pPr>
                  <w:r w:rsidRPr="00620A21">
                    <w:rPr>
                      <w:sz w:val="16"/>
                      <w:szCs w:val="16"/>
                    </w:rPr>
                    <w:t>7 195</w:t>
                  </w:r>
                </w:p>
              </w:tc>
            </w:tr>
            <w:tr w:rsidR="00C557A5" w:rsidRPr="00620A21" w14:paraId="739B0740" w14:textId="77777777" w:rsidTr="00E630F4">
              <w:trPr>
                <w:trHeight w:val="300"/>
                <w:jc w:val="center"/>
              </w:trPr>
              <w:tc>
                <w:tcPr>
                  <w:tcW w:w="0" w:type="auto"/>
                  <w:shd w:val="clear" w:color="auto" w:fill="FFFFFF"/>
                  <w:noWrap/>
                  <w:hideMark/>
                </w:tcPr>
                <w:p w14:paraId="508DA77D" w14:textId="77777777" w:rsidR="00C557A5" w:rsidRPr="00620A21" w:rsidRDefault="00C557A5" w:rsidP="00620A21">
                  <w:pPr>
                    <w:pStyle w:val="TableText"/>
                    <w:spacing w:after="80"/>
                    <w:rPr>
                      <w:b/>
                      <w:sz w:val="16"/>
                      <w:szCs w:val="16"/>
                    </w:rPr>
                  </w:pPr>
                  <w:r w:rsidRPr="00620A21">
                    <w:rPr>
                      <w:b/>
                      <w:sz w:val="16"/>
                      <w:szCs w:val="16"/>
                    </w:rPr>
                    <w:t>Total</w:t>
                  </w:r>
                </w:p>
              </w:tc>
              <w:tc>
                <w:tcPr>
                  <w:tcW w:w="0" w:type="auto"/>
                  <w:gridSpan w:val="2"/>
                  <w:shd w:val="clear" w:color="auto" w:fill="FFFFFF"/>
                  <w:noWrap/>
                  <w:vAlign w:val="center"/>
                  <w:hideMark/>
                </w:tcPr>
                <w:p w14:paraId="655F45A4" w14:textId="77777777" w:rsidR="00C557A5" w:rsidRPr="00620A21" w:rsidRDefault="00C557A5" w:rsidP="00620A21">
                  <w:pPr>
                    <w:pStyle w:val="TableText"/>
                    <w:spacing w:after="80"/>
                    <w:jc w:val="center"/>
                    <w:rPr>
                      <w:b/>
                      <w:sz w:val="16"/>
                      <w:szCs w:val="16"/>
                    </w:rPr>
                  </w:pPr>
                  <w:r w:rsidRPr="00620A21">
                    <w:rPr>
                      <w:b/>
                      <w:sz w:val="16"/>
                      <w:szCs w:val="16"/>
                    </w:rPr>
                    <w:t>801</w:t>
                  </w:r>
                </w:p>
              </w:tc>
              <w:tc>
                <w:tcPr>
                  <w:tcW w:w="0" w:type="auto"/>
                  <w:shd w:val="clear" w:color="auto" w:fill="FFFFFF"/>
                </w:tcPr>
                <w:p w14:paraId="12FF9F9D" w14:textId="77777777" w:rsidR="00C557A5" w:rsidRPr="00620A21" w:rsidRDefault="00C557A5" w:rsidP="00620A21">
                  <w:pPr>
                    <w:pStyle w:val="TableText"/>
                    <w:spacing w:after="80"/>
                    <w:jc w:val="center"/>
                    <w:rPr>
                      <w:b/>
                      <w:sz w:val="16"/>
                      <w:szCs w:val="16"/>
                    </w:rPr>
                  </w:pPr>
                </w:p>
              </w:tc>
            </w:tr>
          </w:tbl>
          <w:p w14:paraId="034673CD" w14:textId="56EC788D" w:rsidR="00C557A5" w:rsidRPr="00620A21" w:rsidRDefault="00C557A5" w:rsidP="00620A21">
            <w:pPr>
              <w:spacing w:after="80"/>
              <w:rPr>
                <w:color w:val="FF0000"/>
                <w:sz w:val="16"/>
                <w:szCs w:val="16"/>
              </w:rPr>
            </w:pPr>
          </w:p>
        </w:tc>
      </w:tr>
      <w:tr w:rsidR="001B2B98" w:rsidRPr="00620A21" w14:paraId="790CC619" w14:textId="77777777" w:rsidTr="00620A21">
        <w:trPr>
          <w:trHeight w:val="20"/>
        </w:trPr>
        <w:tc>
          <w:tcPr>
            <w:tcW w:w="1744" w:type="dxa"/>
            <w:vMerge/>
            <w:shd w:val="clear" w:color="auto" w:fill="auto"/>
          </w:tcPr>
          <w:p w14:paraId="4DE26805" w14:textId="77777777" w:rsidR="00531D21" w:rsidRPr="00620A21" w:rsidRDefault="00531D21" w:rsidP="00620A21">
            <w:pPr>
              <w:spacing w:after="80"/>
              <w:ind w:left="357"/>
              <w:jc w:val="both"/>
              <w:rPr>
                <w:b/>
                <w:bCs/>
                <w:sz w:val="16"/>
                <w:szCs w:val="16"/>
              </w:rPr>
            </w:pPr>
          </w:p>
        </w:tc>
        <w:tc>
          <w:tcPr>
            <w:tcW w:w="2430" w:type="dxa"/>
            <w:shd w:val="clear" w:color="auto" w:fill="D2EAF1"/>
          </w:tcPr>
          <w:p w14:paraId="01BD6D6C" w14:textId="77777777" w:rsidR="00531D21" w:rsidRPr="00620A21" w:rsidRDefault="00531D21" w:rsidP="00620A21">
            <w:pPr>
              <w:spacing w:after="80"/>
              <w:rPr>
                <w:rFonts w:eastAsia="Calibri"/>
                <w:sz w:val="16"/>
                <w:szCs w:val="16"/>
              </w:rPr>
            </w:pPr>
            <w:r w:rsidRPr="00620A21">
              <w:rPr>
                <w:rFonts w:eastAsia="Calibri"/>
                <w:sz w:val="16"/>
                <w:szCs w:val="16"/>
                <w:lang w:val="en-US"/>
              </w:rPr>
              <w:t>Water quality – bacteriological compliance with WHO recommendations</w:t>
            </w:r>
            <w:r w:rsidRPr="00620A21">
              <w:rPr>
                <w:rFonts w:eastAsia="Calibri"/>
                <w:sz w:val="16"/>
                <w:szCs w:val="16"/>
              </w:rPr>
              <w:t>. (%age of samples with Nil e-coli and nil coliform)</w:t>
            </w:r>
          </w:p>
        </w:tc>
        <w:tc>
          <w:tcPr>
            <w:tcW w:w="876" w:type="dxa"/>
            <w:shd w:val="clear" w:color="auto" w:fill="auto"/>
            <w:vAlign w:val="center"/>
          </w:tcPr>
          <w:p w14:paraId="5B1B8766" w14:textId="77777777" w:rsidR="00531D21" w:rsidRPr="00620A21" w:rsidRDefault="00531D21" w:rsidP="00620A21">
            <w:pPr>
              <w:spacing w:after="80"/>
              <w:jc w:val="center"/>
              <w:rPr>
                <w:rFonts w:eastAsia="Calibri"/>
                <w:sz w:val="16"/>
                <w:szCs w:val="16"/>
              </w:rPr>
            </w:pPr>
            <w:r w:rsidRPr="00620A21">
              <w:rPr>
                <w:rFonts w:eastAsia="Calibri"/>
                <w:sz w:val="16"/>
                <w:szCs w:val="16"/>
              </w:rPr>
              <w:t>73%</w:t>
            </w:r>
          </w:p>
        </w:tc>
        <w:tc>
          <w:tcPr>
            <w:tcW w:w="876" w:type="dxa"/>
            <w:shd w:val="clear" w:color="auto" w:fill="auto"/>
            <w:vAlign w:val="center"/>
          </w:tcPr>
          <w:p w14:paraId="4A26329E"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95%</w:t>
            </w:r>
          </w:p>
        </w:tc>
        <w:tc>
          <w:tcPr>
            <w:tcW w:w="849" w:type="dxa"/>
            <w:vAlign w:val="center"/>
          </w:tcPr>
          <w:p w14:paraId="3670AAB8" w14:textId="0089CAD1" w:rsidR="00531D21" w:rsidRPr="00620A21" w:rsidRDefault="0041041A" w:rsidP="00620A21">
            <w:pPr>
              <w:spacing w:after="80"/>
              <w:jc w:val="center"/>
              <w:rPr>
                <w:rFonts w:eastAsia="Calibri"/>
                <w:sz w:val="16"/>
                <w:szCs w:val="16"/>
              </w:rPr>
            </w:pPr>
            <w:r w:rsidRPr="00620A21">
              <w:rPr>
                <w:rFonts w:eastAsia="Calibri"/>
                <w:sz w:val="16"/>
                <w:szCs w:val="16"/>
              </w:rPr>
              <w:t xml:space="preserve">See Figure 3 </w:t>
            </w:r>
            <w:r>
              <w:rPr>
                <w:rFonts w:eastAsia="Calibri"/>
                <w:sz w:val="16"/>
                <w:szCs w:val="16"/>
              </w:rPr>
              <w:t xml:space="preserve">(p. 12) </w:t>
            </w:r>
            <w:r w:rsidRPr="00620A21">
              <w:rPr>
                <w:rFonts w:eastAsia="Calibri"/>
                <w:sz w:val="16"/>
                <w:szCs w:val="16"/>
              </w:rPr>
              <w:t xml:space="preserve">and </w:t>
            </w:r>
            <w:r>
              <w:rPr>
                <w:rFonts w:eastAsia="Calibri"/>
                <w:sz w:val="16"/>
                <w:szCs w:val="16"/>
              </w:rPr>
              <w:lastRenderedPageBreak/>
              <w:t xml:space="preserve">Figure </w:t>
            </w:r>
            <w:r w:rsidRPr="00620A21">
              <w:rPr>
                <w:rFonts w:eastAsia="Calibri"/>
                <w:sz w:val="16"/>
                <w:szCs w:val="16"/>
              </w:rPr>
              <w:t xml:space="preserve">4 </w:t>
            </w:r>
            <w:r>
              <w:rPr>
                <w:rFonts w:eastAsia="Calibri"/>
                <w:sz w:val="16"/>
                <w:szCs w:val="16"/>
              </w:rPr>
              <w:t>(p. 13)</w:t>
            </w:r>
          </w:p>
        </w:tc>
        <w:tc>
          <w:tcPr>
            <w:tcW w:w="876" w:type="dxa"/>
            <w:shd w:val="clear" w:color="auto" w:fill="auto"/>
            <w:vAlign w:val="center"/>
          </w:tcPr>
          <w:p w14:paraId="1B522E16"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lastRenderedPageBreak/>
              <w:t>97%</w:t>
            </w:r>
          </w:p>
        </w:tc>
        <w:tc>
          <w:tcPr>
            <w:tcW w:w="850" w:type="dxa"/>
          </w:tcPr>
          <w:p w14:paraId="43301827" w14:textId="4136526C" w:rsidR="00531D21" w:rsidRPr="00620A21" w:rsidRDefault="0041041A" w:rsidP="00620A21">
            <w:pPr>
              <w:spacing w:after="80"/>
              <w:jc w:val="center"/>
              <w:rPr>
                <w:rFonts w:eastAsia="Calibri"/>
                <w:sz w:val="16"/>
                <w:szCs w:val="16"/>
              </w:rPr>
            </w:pPr>
            <w:r w:rsidRPr="00620A21">
              <w:rPr>
                <w:rFonts w:eastAsia="Calibri"/>
                <w:sz w:val="16"/>
                <w:szCs w:val="16"/>
              </w:rPr>
              <w:t xml:space="preserve">See Figure 3 </w:t>
            </w:r>
            <w:r>
              <w:rPr>
                <w:rFonts w:eastAsia="Calibri"/>
                <w:sz w:val="16"/>
                <w:szCs w:val="16"/>
              </w:rPr>
              <w:t xml:space="preserve">(p. 12) </w:t>
            </w:r>
            <w:r w:rsidRPr="00620A21">
              <w:rPr>
                <w:rFonts w:eastAsia="Calibri"/>
                <w:sz w:val="16"/>
                <w:szCs w:val="16"/>
              </w:rPr>
              <w:t xml:space="preserve">and </w:t>
            </w:r>
            <w:r>
              <w:rPr>
                <w:rFonts w:eastAsia="Calibri"/>
                <w:sz w:val="16"/>
                <w:szCs w:val="16"/>
              </w:rPr>
              <w:lastRenderedPageBreak/>
              <w:t xml:space="preserve">Figure </w:t>
            </w:r>
            <w:r w:rsidRPr="00620A21">
              <w:rPr>
                <w:rFonts w:eastAsia="Calibri"/>
                <w:sz w:val="16"/>
                <w:szCs w:val="16"/>
              </w:rPr>
              <w:t xml:space="preserve">4 </w:t>
            </w:r>
            <w:r>
              <w:rPr>
                <w:rFonts w:eastAsia="Calibri"/>
                <w:sz w:val="16"/>
                <w:szCs w:val="16"/>
              </w:rPr>
              <w:t>(p. 13)</w:t>
            </w:r>
          </w:p>
        </w:tc>
        <w:tc>
          <w:tcPr>
            <w:tcW w:w="850" w:type="dxa"/>
          </w:tcPr>
          <w:p w14:paraId="5F8E199E" w14:textId="5C04D04D" w:rsidR="00531D21" w:rsidRPr="00620A21" w:rsidRDefault="0041041A" w:rsidP="00620A21">
            <w:pPr>
              <w:spacing w:after="80"/>
              <w:jc w:val="center"/>
              <w:rPr>
                <w:rFonts w:eastAsia="Calibri"/>
                <w:sz w:val="16"/>
                <w:szCs w:val="16"/>
              </w:rPr>
            </w:pPr>
            <w:r w:rsidRPr="00620A21">
              <w:rPr>
                <w:rFonts w:eastAsia="Calibri"/>
                <w:sz w:val="16"/>
                <w:szCs w:val="16"/>
              </w:rPr>
              <w:lastRenderedPageBreak/>
              <w:t xml:space="preserve">See Figure 3 </w:t>
            </w:r>
            <w:r>
              <w:rPr>
                <w:rFonts w:eastAsia="Calibri"/>
                <w:sz w:val="16"/>
                <w:szCs w:val="16"/>
              </w:rPr>
              <w:t xml:space="preserve">(p. 12) </w:t>
            </w:r>
            <w:r w:rsidRPr="00620A21">
              <w:rPr>
                <w:rFonts w:eastAsia="Calibri"/>
                <w:sz w:val="16"/>
                <w:szCs w:val="16"/>
              </w:rPr>
              <w:t xml:space="preserve">and </w:t>
            </w:r>
            <w:r>
              <w:rPr>
                <w:rFonts w:eastAsia="Calibri"/>
                <w:sz w:val="16"/>
                <w:szCs w:val="16"/>
              </w:rPr>
              <w:lastRenderedPageBreak/>
              <w:t xml:space="preserve">Figure </w:t>
            </w:r>
            <w:r w:rsidRPr="00620A21">
              <w:rPr>
                <w:rFonts w:eastAsia="Calibri"/>
                <w:sz w:val="16"/>
                <w:szCs w:val="16"/>
              </w:rPr>
              <w:t xml:space="preserve">4 </w:t>
            </w:r>
            <w:r>
              <w:rPr>
                <w:rFonts w:eastAsia="Calibri"/>
                <w:sz w:val="16"/>
                <w:szCs w:val="16"/>
              </w:rPr>
              <w:t>(p. 13)</w:t>
            </w:r>
          </w:p>
        </w:tc>
        <w:tc>
          <w:tcPr>
            <w:tcW w:w="4535" w:type="dxa"/>
            <w:vAlign w:val="center"/>
          </w:tcPr>
          <w:p w14:paraId="697999C3" w14:textId="056EA3AD" w:rsidR="00531D21" w:rsidRPr="00620A21" w:rsidRDefault="00531D21" w:rsidP="0041041A">
            <w:pPr>
              <w:spacing w:after="80"/>
              <w:rPr>
                <w:rFonts w:eastAsia="Calibri"/>
                <w:sz w:val="16"/>
                <w:szCs w:val="16"/>
              </w:rPr>
            </w:pPr>
          </w:p>
        </w:tc>
      </w:tr>
      <w:tr w:rsidR="001B2B98" w:rsidRPr="00620A21" w14:paraId="6DD2D05C" w14:textId="77777777" w:rsidTr="00620A21">
        <w:trPr>
          <w:trHeight w:val="20"/>
        </w:trPr>
        <w:tc>
          <w:tcPr>
            <w:tcW w:w="1744" w:type="dxa"/>
            <w:vMerge w:val="restart"/>
            <w:shd w:val="clear" w:color="auto" w:fill="auto"/>
          </w:tcPr>
          <w:p w14:paraId="7A189B60" w14:textId="77777777" w:rsidR="00531D21" w:rsidRPr="00620A21" w:rsidRDefault="00531D21" w:rsidP="00620A21">
            <w:pPr>
              <w:spacing w:after="80"/>
              <w:rPr>
                <w:b/>
                <w:bCs/>
                <w:sz w:val="16"/>
                <w:szCs w:val="16"/>
              </w:rPr>
            </w:pPr>
            <w:r w:rsidRPr="00620A21">
              <w:rPr>
                <w:b/>
                <w:bCs/>
                <w:sz w:val="16"/>
                <w:szCs w:val="16"/>
              </w:rPr>
              <w:t>Solomon Water provides improved levels of service (in terms of quality, quantity and reliability) to a larger proportion of the population in the existing service areas, based on a sound financial position.</w:t>
            </w:r>
          </w:p>
        </w:tc>
        <w:tc>
          <w:tcPr>
            <w:tcW w:w="2430" w:type="dxa"/>
            <w:shd w:val="clear" w:color="auto" w:fill="D2EAF1"/>
          </w:tcPr>
          <w:p w14:paraId="1D0D9A1A" w14:textId="77777777" w:rsidR="00531D21" w:rsidRPr="00620A21" w:rsidRDefault="00531D21" w:rsidP="00620A21">
            <w:pPr>
              <w:spacing w:after="80"/>
              <w:rPr>
                <w:rFonts w:eastAsia="Calibri"/>
                <w:sz w:val="16"/>
                <w:szCs w:val="16"/>
              </w:rPr>
            </w:pPr>
            <w:r w:rsidRPr="00620A21">
              <w:rPr>
                <w:rFonts w:eastAsia="Calibri"/>
                <w:sz w:val="16"/>
                <w:szCs w:val="16"/>
              </w:rPr>
              <w:t>Return on capital</w:t>
            </w:r>
          </w:p>
        </w:tc>
        <w:tc>
          <w:tcPr>
            <w:tcW w:w="876" w:type="dxa"/>
            <w:shd w:val="clear" w:color="auto" w:fill="auto"/>
            <w:vAlign w:val="center"/>
          </w:tcPr>
          <w:p w14:paraId="2DDDA466" w14:textId="77777777" w:rsidR="00531D21" w:rsidRPr="00620A21" w:rsidRDefault="00531D21" w:rsidP="00620A21">
            <w:pPr>
              <w:spacing w:after="80"/>
              <w:jc w:val="center"/>
              <w:rPr>
                <w:rFonts w:eastAsia="Calibri"/>
                <w:sz w:val="16"/>
                <w:szCs w:val="16"/>
              </w:rPr>
            </w:pPr>
            <w:r w:rsidRPr="00620A21">
              <w:rPr>
                <w:rFonts w:eastAsia="Calibri"/>
                <w:sz w:val="16"/>
                <w:szCs w:val="16"/>
              </w:rPr>
              <w:t>8%</w:t>
            </w:r>
          </w:p>
        </w:tc>
        <w:tc>
          <w:tcPr>
            <w:tcW w:w="876" w:type="dxa"/>
            <w:shd w:val="clear" w:color="auto" w:fill="auto"/>
            <w:vAlign w:val="center"/>
          </w:tcPr>
          <w:p w14:paraId="2AF8A570"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10%</w:t>
            </w:r>
          </w:p>
        </w:tc>
        <w:tc>
          <w:tcPr>
            <w:tcW w:w="849" w:type="dxa"/>
            <w:vAlign w:val="center"/>
          </w:tcPr>
          <w:p w14:paraId="1FEF7F00" w14:textId="77777777" w:rsidR="00531D21" w:rsidRPr="00620A21" w:rsidRDefault="00531D21" w:rsidP="00620A21">
            <w:pPr>
              <w:spacing w:after="80"/>
              <w:jc w:val="center"/>
              <w:rPr>
                <w:rFonts w:eastAsia="Calibri"/>
                <w:sz w:val="16"/>
                <w:szCs w:val="16"/>
              </w:rPr>
            </w:pPr>
            <w:r w:rsidRPr="00620A21">
              <w:rPr>
                <w:rFonts w:eastAsia="Calibri"/>
                <w:sz w:val="16"/>
                <w:szCs w:val="16"/>
              </w:rPr>
              <w:t>22%</w:t>
            </w:r>
            <w:r w:rsidRPr="00620A21">
              <w:rPr>
                <w:rStyle w:val="FootnoteReference"/>
                <w:rFonts w:eastAsia="Calibri"/>
                <w:sz w:val="16"/>
                <w:szCs w:val="16"/>
              </w:rPr>
              <w:footnoteReference w:id="50"/>
            </w:r>
          </w:p>
        </w:tc>
        <w:tc>
          <w:tcPr>
            <w:tcW w:w="876" w:type="dxa"/>
            <w:shd w:val="clear" w:color="auto" w:fill="auto"/>
            <w:vAlign w:val="center"/>
          </w:tcPr>
          <w:p w14:paraId="41E7D726"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12%</w:t>
            </w:r>
          </w:p>
        </w:tc>
        <w:tc>
          <w:tcPr>
            <w:tcW w:w="850" w:type="dxa"/>
            <w:vAlign w:val="center"/>
          </w:tcPr>
          <w:p w14:paraId="7635B6D3" w14:textId="77777777" w:rsidR="00531D21" w:rsidRPr="00620A21" w:rsidRDefault="00531D21" w:rsidP="00620A21">
            <w:pPr>
              <w:spacing w:after="80"/>
              <w:jc w:val="center"/>
              <w:rPr>
                <w:rFonts w:eastAsia="Calibri"/>
                <w:sz w:val="16"/>
                <w:szCs w:val="16"/>
              </w:rPr>
            </w:pPr>
            <w:r w:rsidRPr="00620A21">
              <w:rPr>
                <w:rFonts w:eastAsia="Calibri"/>
                <w:sz w:val="16"/>
                <w:szCs w:val="16"/>
              </w:rPr>
              <w:t>16%</w:t>
            </w:r>
            <w:r w:rsidRPr="00620A21">
              <w:rPr>
                <w:rStyle w:val="FootnoteReference"/>
                <w:rFonts w:eastAsia="Calibri"/>
                <w:sz w:val="16"/>
                <w:szCs w:val="16"/>
              </w:rPr>
              <w:footnoteReference w:id="51"/>
            </w:r>
          </w:p>
        </w:tc>
        <w:tc>
          <w:tcPr>
            <w:tcW w:w="850" w:type="dxa"/>
            <w:vAlign w:val="center"/>
          </w:tcPr>
          <w:p w14:paraId="05B3BDAF" w14:textId="77777777" w:rsidR="00531D21" w:rsidRPr="00620A21" w:rsidRDefault="00531D21" w:rsidP="00620A21">
            <w:pPr>
              <w:spacing w:after="80"/>
              <w:jc w:val="center"/>
              <w:rPr>
                <w:rFonts w:eastAsia="Calibri"/>
                <w:sz w:val="16"/>
                <w:szCs w:val="16"/>
              </w:rPr>
            </w:pPr>
            <w:r w:rsidRPr="00620A21">
              <w:rPr>
                <w:rFonts w:eastAsia="Calibri"/>
                <w:sz w:val="16"/>
                <w:szCs w:val="16"/>
              </w:rPr>
              <w:t>4%</w:t>
            </w:r>
            <w:r w:rsidRPr="00620A21">
              <w:rPr>
                <w:rStyle w:val="FootnoteReference"/>
                <w:rFonts w:eastAsia="Calibri"/>
                <w:sz w:val="16"/>
                <w:szCs w:val="16"/>
              </w:rPr>
              <w:footnoteReference w:id="52"/>
            </w:r>
          </w:p>
        </w:tc>
        <w:tc>
          <w:tcPr>
            <w:tcW w:w="4535" w:type="dxa"/>
            <w:vAlign w:val="center"/>
          </w:tcPr>
          <w:p w14:paraId="5B808DF5" w14:textId="77777777" w:rsidR="00531D21" w:rsidRPr="00620A21" w:rsidRDefault="00531D21" w:rsidP="00620A21">
            <w:pPr>
              <w:spacing w:after="80"/>
              <w:rPr>
                <w:rFonts w:eastAsia="Calibri"/>
                <w:sz w:val="16"/>
                <w:szCs w:val="16"/>
              </w:rPr>
            </w:pPr>
            <w:r w:rsidRPr="00620A21">
              <w:rPr>
                <w:rFonts w:eastAsia="Calibri"/>
                <w:sz w:val="16"/>
                <w:szCs w:val="16"/>
              </w:rPr>
              <w:t xml:space="preserve">The Return on Capital (RoC) had a significant change following the revaluation of assets undertaken in 2015. A valuation had not been carried out for some time, resulting in earlier RoC figures being overstated. </w:t>
            </w:r>
          </w:p>
        </w:tc>
      </w:tr>
      <w:tr w:rsidR="001B2B98" w:rsidRPr="00620A21" w14:paraId="2DC45E2E" w14:textId="77777777" w:rsidTr="00620A21">
        <w:trPr>
          <w:trHeight w:val="20"/>
        </w:trPr>
        <w:tc>
          <w:tcPr>
            <w:tcW w:w="1744" w:type="dxa"/>
            <w:vMerge/>
            <w:shd w:val="clear" w:color="auto" w:fill="auto"/>
          </w:tcPr>
          <w:p w14:paraId="4B9049E4" w14:textId="77777777" w:rsidR="00531D21" w:rsidRPr="00620A21" w:rsidRDefault="00531D21" w:rsidP="00620A21">
            <w:pPr>
              <w:spacing w:after="80"/>
              <w:ind w:left="357"/>
              <w:jc w:val="both"/>
              <w:rPr>
                <w:b/>
                <w:bCs/>
                <w:sz w:val="16"/>
                <w:szCs w:val="16"/>
              </w:rPr>
            </w:pPr>
          </w:p>
        </w:tc>
        <w:tc>
          <w:tcPr>
            <w:tcW w:w="2430" w:type="dxa"/>
            <w:shd w:val="clear" w:color="auto" w:fill="D2EAF1"/>
          </w:tcPr>
          <w:p w14:paraId="796F7C07" w14:textId="77777777" w:rsidR="00531D21" w:rsidRPr="00620A21" w:rsidRDefault="00531D21" w:rsidP="00620A21">
            <w:pPr>
              <w:spacing w:after="80"/>
              <w:rPr>
                <w:rFonts w:eastAsia="Calibri"/>
                <w:sz w:val="16"/>
                <w:szCs w:val="16"/>
              </w:rPr>
            </w:pPr>
            <w:r w:rsidRPr="00620A21">
              <w:rPr>
                <w:rFonts w:eastAsia="Calibri"/>
                <w:sz w:val="16"/>
                <w:szCs w:val="16"/>
              </w:rPr>
              <w:t>Operating cost recovery</w:t>
            </w:r>
          </w:p>
        </w:tc>
        <w:tc>
          <w:tcPr>
            <w:tcW w:w="876" w:type="dxa"/>
            <w:shd w:val="clear" w:color="auto" w:fill="auto"/>
            <w:vAlign w:val="center"/>
          </w:tcPr>
          <w:p w14:paraId="44F60E55" w14:textId="77777777" w:rsidR="00531D21" w:rsidRPr="00620A21" w:rsidRDefault="00531D21" w:rsidP="00620A21">
            <w:pPr>
              <w:spacing w:after="80"/>
              <w:jc w:val="center"/>
              <w:rPr>
                <w:rFonts w:eastAsia="Calibri"/>
                <w:sz w:val="16"/>
                <w:szCs w:val="16"/>
              </w:rPr>
            </w:pPr>
            <w:r w:rsidRPr="00620A21">
              <w:rPr>
                <w:rFonts w:eastAsia="Calibri"/>
                <w:sz w:val="16"/>
                <w:szCs w:val="16"/>
              </w:rPr>
              <w:t>105%</w:t>
            </w:r>
          </w:p>
        </w:tc>
        <w:tc>
          <w:tcPr>
            <w:tcW w:w="876" w:type="dxa"/>
            <w:shd w:val="clear" w:color="auto" w:fill="auto"/>
            <w:vAlign w:val="center"/>
          </w:tcPr>
          <w:p w14:paraId="2E909B09"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115%</w:t>
            </w:r>
          </w:p>
        </w:tc>
        <w:tc>
          <w:tcPr>
            <w:tcW w:w="849" w:type="dxa"/>
            <w:vAlign w:val="center"/>
          </w:tcPr>
          <w:p w14:paraId="7C987F08" w14:textId="77777777" w:rsidR="00531D21" w:rsidRPr="00620A21" w:rsidRDefault="00531D21" w:rsidP="00620A21">
            <w:pPr>
              <w:spacing w:after="80"/>
              <w:jc w:val="center"/>
              <w:rPr>
                <w:rFonts w:eastAsia="Calibri"/>
                <w:sz w:val="16"/>
                <w:szCs w:val="16"/>
              </w:rPr>
            </w:pPr>
            <w:r w:rsidRPr="00620A21">
              <w:rPr>
                <w:rFonts w:eastAsia="Calibri"/>
                <w:sz w:val="16"/>
                <w:szCs w:val="16"/>
              </w:rPr>
              <w:t>125%</w:t>
            </w:r>
          </w:p>
        </w:tc>
        <w:tc>
          <w:tcPr>
            <w:tcW w:w="876" w:type="dxa"/>
            <w:shd w:val="clear" w:color="auto" w:fill="auto"/>
            <w:vAlign w:val="center"/>
          </w:tcPr>
          <w:p w14:paraId="014E6326"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120%</w:t>
            </w:r>
          </w:p>
        </w:tc>
        <w:tc>
          <w:tcPr>
            <w:tcW w:w="850" w:type="dxa"/>
            <w:vAlign w:val="center"/>
          </w:tcPr>
          <w:p w14:paraId="373E6B6B" w14:textId="77777777" w:rsidR="00531D21" w:rsidRPr="00620A21" w:rsidRDefault="00531D21" w:rsidP="00620A21">
            <w:pPr>
              <w:spacing w:after="80"/>
              <w:jc w:val="center"/>
              <w:rPr>
                <w:rFonts w:eastAsia="Calibri"/>
                <w:sz w:val="16"/>
                <w:szCs w:val="16"/>
              </w:rPr>
            </w:pPr>
            <w:r w:rsidRPr="00620A21">
              <w:rPr>
                <w:rFonts w:eastAsia="Calibri"/>
                <w:sz w:val="16"/>
                <w:szCs w:val="16"/>
              </w:rPr>
              <w:t>97%</w:t>
            </w:r>
          </w:p>
        </w:tc>
        <w:tc>
          <w:tcPr>
            <w:tcW w:w="850" w:type="dxa"/>
            <w:vAlign w:val="center"/>
          </w:tcPr>
          <w:p w14:paraId="70ABADB4" w14:textId="77777777" w:rsidR="00531D21" w:rsidRPr="00620A21" w:rsidRDefault="00531D21" w:rsidP="00620A21">
            <w:pPr>
              <w:spacing w:after="80"/>
              <w:jc w:val="center"/>
              <w:rPr>
                <w:rFonts w:eastAsia="Calibri"/>
                <w:sz w:val="16"/>
                <w:szCs w:val="16"/>
              </w:rPr>
            </w:pPr>
            <w:r w:rsidRPr="00620A21">
              <w:rPr>
                <w:rFonts w:eastAsia="Calibri"/>
                <w:sz w:val="16"/>
                <w:szCs w:val="16"/>
              </w:rPr>
              <w:t>101%</w:t>
            </w:r>
          </w:p>
        </w:tc>
        <w:tc>
          <w:tcPr>
            <w:tcW w:w="4535" w:type="dxa"/>
          </w:tcPr>
          <w:p w14:paraId="0533C2C9" w14:textId="77777777" w:rsidR="00531D21" w:rsidRPr="00620A21" w:rsidRDefault="00531D21" w:rsidP="00620A21">
            <w:pPr>
              <w:spacing w:after="80"/>
              <w:jc w:val="center"/>
              <w:rPr>
                <w:rFonts w:eastAsia="Calibri"/>
                <w:sz w:val="16"/>
                <w:szCs w:val="16"/>
              </w:rPr>
            </w:pPr>
          </w:p>
        </w:tc>
      </w:tr>
      <w:tr w:rsidR="001B2B98" w:rsidRPr="00620A21" w14:paraId="4E84253F" w14:textId="77777777" w:rsidTr="00620A21">
        <w:trPr>
          <w:trHeight w:val="20"/>
        </w:trPr>
        <w:tc>
          <w:tcPr>
            <w:tcW w:w="1744" w:type="dxa"/>
            <w:vMerge/>
            <w:shd w:val="clear" w:color="auto" w:fill="auto"/>
          </w:tcPr>
          <w:p w14:paraId="615DD749" w14:textId="77777777" w:rsidR="00531D21" w:rsidRPr="00620A21" w:rsidRDefault="00531D21" w:rsidP="00620A21">
            <w:pPr>
              <w:spacing w:after="80"/>
              <w:ind w:left="357"/>
              <w:jc w:val="both"/>
              <w:rPr>
                <w:b/>
                <w:bCs/>
                <w:sz w:val="16"/>
                <w:szCs w:val="16"/>
              </w:rPr>
            </w:pPr>
          </w:p>
        </w:tc>
        <w:tc>
          <w:tcPr>
            <w:tcW w:w="2430" w:type="dxa"/>
            <w:shd w:val="clear" w:color="auto" w:fill="D2EAF1"/>
            <w:vAlign w:val="center"/>
          </w:tcPr>
          <w:p w14:paraId="6818FDC8" w14:textId="77777777" w:rsidR="00531D21" w:rsidRPr="00620A21" w:rsidRDefault="00531D21" w:rsidP="00620A21">
            <w:pPr>
              <w:spacing w:after="80"/>
              <w:rPr>
                <w:rFonts w:eastAsia="Calibri"/>
                <w:sz w:val="16"/>
                <w:szCs w:val="16"/>
              </w:rPr>
            </w:pPr>
            <w:r w:rsidRPr="00620A21">
              <w:rPr>
                <w:rFonts w:eastAsia="Calibri"/>
                <w:sz w:val="16"/>
                <w:szCs w:val="16"/>
              </w:rPr>
              <w:t>Operating cost recovery – adjusted to exclude donor contributions</w:t>
            </w:r>
          </w:p>
        </w:tc>
        <w:tc>
          <w:tcPr>
            <w:tcW w:w="876" w:type="dxa"/>
            <w:shd w:val="clear" w:color="auto" w:fill="auto"/>
            <w:vAlign w:val="center"/>
          </w:tcPr>
          <w:p w14:paraId="21CCE1F0" w14:textId="77777777" w:rsidR="00531D21" w:rsidRPr="00620A21" w:rsidRDefault="00531D21" w:rsidP="00620A21">
            <w:pPr>
              <w:spacing w:after="80"/>
              <w:jc w:val="center"/>
              <w:rPr>
                <w:rFonts w:eastAsia="Calibri"/>
                <w:sz w:val="16"/>
                <w:szCs w:val="16"/>
              </w:rPr>
            </w:pPr>
            <w:r w:rsidRPr="00620A21">
              <w:rPr>
                <w:rFonts w:eastAsia="Calibri"/>
                <w:sz w:val="16"/>
                <w:szCs w:val="16"/>
              </w:rPr>
              <w:t>-</w:t>
            </w:r>
          </w:p>
        </w:tc>
        <w:tc>
          <w:tcPr>
            <w:tcW w:w="876" w:type="dxa"/>
            <w:shd w:val="clear" w:color="auto" w:fill="auto"/>
            <w:vAlign w:val="center"/>
          </w:tcPr>
          <w:p w14:paraId="4C046677"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w:t>
            </w:r>
          </w:p>
        </w:tc>
        <w:tc>
          <w:tcPr>
            <w:tcW w:w="849" w:type="dxa"/>
            <w:vAlign w:val="center"/>
          </w:tcPr>
          <w:p w14:paraId="5FDBB87F" w14:textId="77777777" w:rsidR="00531D21" w:rsidRPr="00620A21" w:rsidRDefault="00531D21" w:rsidP="00620A21">
            <w:pPr>
              <w:spacing w:after="80"/>
              <w:jc w:val="center"/>
              <w:rPr>
                <w:rFonts w:eastAsia="Calibri"/>
                <w:sz w:val="16"/>
                <w:szCs w:val="16"/>
              </w:rPr>
            </w:pPr>
            <w:r w:rsidRPr="00620A21">
              <w:rPr>
                <w:rFonts w:eastAsia="Calibri"/>
                <w:sz w:val="16"/>
                <w:szCs w:val="16"/>
              </w:rPr>
              <w:t>-</w:t>
            </w:r>
          </w:p>
        </w:tc>
        <w:tc>
          <w:tcPr>
            <w:tcW w:w="876" w:type="dxa"/>
            <w:shd w:val="clear" w:color="auto" w:fill="auto"/>
            <w:vAlign w:val="center"/>
          </w:tcPr>
          <w:p w14:paraId="0B41D51A"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w:t>
            </w:r>
          </w:p>
        </w:tc>
        <w:tc>
          <w:tcPr>
            <w:tcW w:w="850" w:type="dxa"/>
            <w:vAlign w:val="center"/>
          </w:tcPr>
          <w:p w14:paraId="77990EAC" w14:textId="77777777" w:rsidR="00531D21" w:rsidRPr="00620A21" w:rsidRDefault="00531D21" w:rsidP="00620A21">
            <w:pPr>
              <w:spacing w:after="80"/>
              <w:jc w:val="center"/>
              <w:rPr>
                <w:rFonts w:eastAsia="Calibri"/>
                <w:sz w:val="16"/>
                <w:szCs w:val="16"/>
              </w:rPr>
            </w:pPr>
            <w:r w:rsidRPr="00620A21">
              <w:rPr>
                <w:rFonts w:eastAsia="Calibri"/>
                <w:sz w:val="16"/>
                <w:szCs w:val="16"/>
              </w:rPr>
              <w:t>89%</w:t>
            </w:r>
          </w:p>
        </w:tc>
        <w:tc>
          <w:tcPr>
            <w:tcW w:w="850" w:type="dxa"/>
            <w:vAlign w:val="center"/>
          </w:tcPr>
          <w:p w14:paraId="45D4E095" w14:textId="77777777" w:rsidR="00531D21" w:rsidRPr="00620A21" w:rsidRDefault="00531D21" w:rsidP="00620A21">
            <w:pPr>
              <w:spacing w:after="80"/>
              <w:jc w:val="center"/>
              <w:rPr>
                <w:rFonts w:eastAsia="Calibri"/>
                <w:sz w:val="16"/>
                <w:szCs w:val="16"/>
              </w:rPr>
            </w:pPr>
            <w:r w:rsidRPr="00620A21">
              <w:rPr>
                <w:rFonts w:eastAsia="Calibri"/>
                <w:sz w:val="16"/>
                <w:szCs w:val="16"/>
              </w:rPr>
              <w:t>93%</w:t>
            </w:r>
          </w:p>
        </w:tc>
        <w:tc>
          <w:tcPr>
            <w:tcW w:w="4535" w:type="dxa"/>
            <w:vAlign w:val="center"/>
          </w:tcPr>
          <w:p w14:paraId="12B896F6" w14:textId="77777777" w:rsidR="00531D21" w:rsidRPr="00620A21" w:rsidRDefault="00531D21" w:rsidP="00620A21">
            <w:pPr>
              <w:spacing w:after="80"/>
              <w:rPr>
                <w:rFonts w:eastAsia="Calibri"/>
                <w:sz w:val="16"/>
                <w:szCs w:val="16"/>
              </w:rPr>
            </w:pPr>
            <w:r w:rsidRPr="00620A21">
              <w:rPr>
                <w:rFonts w:eastAsia="Calibri"/>
                <w:sz w:val="16"/>
                <w:szCs w:val="16"/>
              </w:rPr>
              <w:t>Profit adjusted to reflect estimated employment costs of personnel funded by DFAT; and removes donor income for operational activities</w:t>
            </w:r>
          </w:p>
        </w:tc>
      </w:tr>
    </w:tbl>
    <w:p w14:paraId="3E95BF79" w14:textId="77777777" w:rsidR="00531D21" w:rsidRDefault="00531D21" w:rsidP="00531D21">
      <w:pPr>
        <w:spacing w:before="120" w:after="120" w:line="240" w:lineRule="auto"/>
        <w:rPr>
          <w:rFonts w:ascii="Calibri" w:hAnsi="Calibri"/>
          <w:b/>
          <w:sz w:val="24"/>
          <w:szCs w:val="24"/>
        </w:rPr>
      </w:pPr>
    </w:p>
    <w:tbl>
      <w:tblPr>
        <w:tblW w:w="1385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2A0" w:firstRow="1" w:lastRow="0" w:firstColumn="1" w:lastColumn="0" w:noHBand="1" w:noVBand="0"/>
      </w:tblPr>
      <w:tblGrid>
        <w:gridCol w:w="1786"/>
        <w:gridCol w:w="2228"/>
        <w:gridCol w:w="918"/>
        <w:gridCol w:w="918"/>
        <w:gridCol w:w="847"/>
        <w:gridCol w:w="918"/>
        <w:gridCol w:w="850"/>
        <w:gridCol w:w="850"/>
        <w:gridCol w:w="4535"/>
      </w:tblGrid>
      <w:tr w:rsidR="00620A21" w:rsidRPr="00620A21" w14:paraId="3DB645EF" w14:textId="77777777" w:rsidTr="00620A21">
        <w:trPr>
          <w:trHeight w:val="20"/>
          <w:tblHeader/>
        </w:trPr>
        <w:tc>
          <w:tcPr>
            <w:tcW w:w="1786" w:type="dxa"/>
            <w:tcBorders>
              <w:top w:val="single" w:sz="8" w:space="0" w:color="8064A2"/>
              <w:left w:val="single" w:sz="8" w:space="0" w:color="8064A2"/>
              <w:bottom w:val="single" w:sz="18" w:space="0" w:color="8064A2"/>
              <w:right w:val="single" w:sz="8" w:space="0" w:color="8064A2"/>
            </w:tcBorders>
            <w:shd w:val="clear" w:color="auto" w:fill="auto"/>
          </w:tcPr>
          <w:p w14:paraId="11DF59C7" w14:textId="77777777" w:rsidR="00531D21" w:rsidRPr="00620A21" w:rsidRDefault="00531D21" w:rsidP="00620A21">
            <w:pPr>
              <w:spacing w:after="80"/>
              <w:ind w:left="357"/>
              <w:jc w:val="both"/>
              <w:rPr>
                <w:rFonts w:cs="Calibri"/>
                <w:b/>
                <w:bCs/>
                <w:sz w:val="16"/>
                <w:szCs w:val="16"/>
              </w:rPr>
            </w:pPr>
            <w:r w:rsidRPr="00620A21">
              <w:rPr>
                <w:rFonts w:cs="Calibri"/>
                <w:b/>
                <w:bCs/>
                <w:sz w:val="16"/>
                <w:szCs w:val="16"/>
              </w:rPr>
              <w:t>Outputs</w:t>
            </w:r>
          </w:p>
        </w:tc>
        <w:tc>
          <w:tcPr>
            <w:tcW w:w="2228" w:type="dxa"/>
            <w:tcBorders>
              <w:top w:val="single" w:sz="8" w:space="0" w:color="8064A2"/>
              <w:left w:val="single" w:sz="8" w:space="0" w:color="8064A2"/>
              <w:bottom w:val="single" w:sz="18" w:space="0" w:color="8064A2"/>
              <w:right w:val="single" w:sz="8" w:space="0" w:color="8064A2"/>
            </w:tcBorders>
            <w:shd w:val="clear" w:color="auto" w:fill="DFD8E8"/>
          </w:tcPr>
          <w:p w14:paraId="4083F272" w14:textId="77777777" w:rsidR="00531D21" w:rsidRPr="00620A21" w:rsidRDefault="00531D21" w:rsidP="00620A21">
            <w:pPr>
              <w:spacing w:after="80"/>
              <w:ind w:left="357"/>
              <w:jc w:val="both"/>
              <w:rPr>
                <w:rFonts w:cs="Calibri"/>
                <w:b/>
                <w:bCs/>
                <w:sz w:val="16"/>
                <w:szCs w:val="16"/>
              </w:rPr>
            </w:pPr>
            <w:r w:rsidRPr="00620A21">
              <w:rPr>
                <w:rFonts w:cs="Calibri"/>
                <w:b/>
                <w:bCs/>
                <w:sz w:val="16"/>
                <w:szCs w:val="16"/>
              </w:rPr>
              <w:t>Indicator(s)</w:t>
            </w:r>
          </w:p>
        </w:tc>
        <w:tc>
          <w:tcPr>
            <w:tcW w:w="918" w:type="dxa"/>
            <w:tcBorders>
              <w:top w:val="single" w:sz="8" w:space="0" w:color="8064A2"/>
              <w:left w:val="single" w:sz="8" w:space="0" w:color="8064A2"/>
              <w:bottom w:val="single" w:sz="18" w:space="0" w:color="8064A2"/>
              <w:right w:val="single" w:sz="8" w:space="0" w:color="8064A2"/>
            </w:tcBorders>
            <w:shd w:val="clear" w:color="auto" w:fill="auto"/>
          </w:tcPr>
          <w:p w14:paraId="20F8E060" w14:textId="77777777" w:rsidR="00531D21" w:rsidRPr="00620A21" w:rsidRDefault="00531D21" w:rsidP="00620A21">
            <w:pPr>
              <w:spacing w:after="80"/>
              <w:jc w:val="center"/>
              <w:rPr>
                <w:rFonts w:cs="Calibri"/>
                <w:b/>
                <w:bCs/>
                <w:sz w:val="16"/>
                <w:szCs w:val="16"/>
              </w:rPr>
            </w:pPr>
            <w:r w:rsidRPr="00620A21">
              <w:rPr>
                <w:rFonts w:cs="Calibri"/>
                <w:b/>
                <w:bCs/>
                <w:sz w:val="16"/>
                <w:szCs w:val="16"/>
              </w:rPr>
              <w:t>Baseline</w:t>
            </w:r>
          </w:p>
        </w:tc>
        <w:tc>
          <w:tcPr>
            <w:tcW w:w="918" w:type="dxa"/>
            <w:tcBorders>
              <w:top w:val="single" w:sz="8" w:space="0" w:color="8064A2"/>
              <w:left w:val="single" w:sz="8" w:space="0" w:color="8064A2"/>
              <w:bottom w:val="single" w:sz="18" w:space="0" w:color="8064A2"/>
              <w:right w:val="single" w:sz="8" w:space="0" w:color="8064A2"/>
            </w:tcBorders>
            <w:shd w:val="clear" w:color="auto" w:fill="auto"/>
          </w:tcPr>
          <w:p w14:paraId="06C47801" w14:textId="77777777" w:rsidR="00531D21" w:rsidRPr="00620A21" w:rsidRDefault="00531D21" w:rsidP="00620A21">
            <w:pPr>
              <w:spacing w:after="80"/>
              <w:jc w:val="center"/>
              <w:rPr>
                <w:b/>
                <w:bCs/>
                <w:color w:val="808080"/>
                <w:sz w:val="16"/>
                <w:szCs w:val="16"/>
              </w:rPr>
            </w:pPr>
            <w:r w:rsidRPr="00620A21">
              <w:rPr>
                <w:b/>
                <w:bCs/>
                <w:color w:val="808080"/>
                <w:sz w:val="16"/>
                <w:szCs w:val="16"/>
              </w:rPr>
              <w:t>Year 1 (2013) Target</w:t>
            </w:r>
          </w:p>
        </w:tc>
        <w:tc>
          <w:tcPr>
            <w:tcW w:w="847" w:type="dxa"/>
            <w:tcBorders>
              <w:top w:val="single" w:sz="8" w:space="0" w:color="8064A2"/>
              <w:left w:val="single" w:sz="8" w:space="0" w:color="8064A2"/>
              <w:bottom w:val="single" w:sz="18" w:space="0" w:color="8064A2"/>
              <w:right w:val="single" w:sz="8" w:space="0" w:color="8064A2"/>
            </w:tcBorders>
          </w:tcPr>
          <w:p w14:paraId="3A3C6986" w14:textId="77777777" w:rsidR="00531D21" w:rsidRPr="00620A21" w:rsidRDefault="00531D21" w:rsidP="00620A21">
            <w:pPr>
              <w:spacing w:after="80"/>
              <w:jc w:val="center"/>
              <w:rPr>
                <w:b/>
                <w:bCs/>
                <w:sz w:val="16"/>
                <w:szCs w:val="16"/>
              </w:rPr>
            </w:pPr>
            <w:r w:rsidRPr="00620A21">
              <w:rPr>
                <w:b/>
                <w:bCs/>
                <w:sz w:val="16"/>
                <w:szCs w:val="16"/>
              </w:rPr>
              <w:t xml:space="preserve">2013 Actual </w:t>
            </w:r>
          </w:p>
        </w:tc>
        <w:tc>
          <w:tcPr>
            <w:tcW w:w="918" w:type="dxa"/>
            <w:tcBorders>
              <w:top w:val="single" w:sz="8" w:space="0" w:color="8064A2"/>
              <w:left w:val="single" w:sz="8" w:space="0" w:color="8064A2"/>
              <w:bottom w:val="single" w:sz="18" w:space="0" w:color="8064A2"/>
              <w:right w:val="single" w:sz="8" w:space="0" w:color="8064A2"/>
            </w:tcBorders>
            <w:shd w:val="clear" w:color="auto" w:fill="auto"/>
          </w:tcPr>
          <w:p w14:paraId="3AA90522" w14:textId="77777777" w:rsidR="00531D21" w:rsidRPr="00620A21" w:rsidRDefault="00531D21" w:rsidP="00620A21">
            <w:pPr>
              <w:spacing w:after="80"/>
              <w:jc w:val="center"/>
              <w:rPr>
                <w:b/>
                <w:bCs/>
                <w:color w:val="808080"/>
                <w:sz w:val="16"/>
                <w:szCs w:val="16"/>
              </w:rPr>
            </w:pPr>
            <w:r w:rsidRPr="00620A21">
              <w:rPr>
                <w:b/>
                <w:bCs/>
                <w:color w:val="808080"/>
                <w:sz w:val="16"/>
                <w:szCs w:val="16"/>
              </w:rPr>
              <w:t>Year 2 (2014) Target</w:t>
            </w:r>
          </w:p>
        </w:tc>
        <w:tc>
          <w:tcPr>
            <w:tcW w:w="850" w:type="dxa"/>
            <w:tcBorders>
              <w:top w:val="single" w:sz="8" w:space="0" w:color="8064A2"/>
              <w:left w:val="single" w:sz="8" w:space="0" w:color="8064A2"/>
              <w:bottom w:val="single" w:sz="18" w:space="0" w:color="8064A2"/>
              <w:right w:val="single" w:sz="8" w:space="0" w:color="8064A2"/>
            </w:tcBorders>
          </w:tcPr>
          <w:p w14:paraId="0136BFD3" w14:textId="77777777" w:rsidR="00531D21" w:rsidRPr="00620A21" w:rsidRDefault="00531D21" w:rsidP="00620A21">
            <w:pPr>
              <w:spacing w:after="80"/>
              <w:jc w:val="center"/>
              <w:rPr>
                <w:b/>
                <w:bCs/>
                <w:sz w:val="16"/>
                <w:szCs w:val="16"/>
              </w:rPr>
            </w:pPr>
            <w:r w:rsidRPr="00620A21">
              <w:rPr>
                <w:b/>
                <w:bCs/>
                <w:sz w:val="16"/>
                <w:szCs w:val="16"/>
              </w:rPr>
              <w:t xml:space="preserve">2014 Actual </w:t>
            </w:r>
          </w:p>
        </w:tc>
        <w:tc>
          <w:tcPr>
            <w:tcW w:w="850" w:type="dxa"/>
            <w:tcBorders>
              <w:top w:val="single" w:sz="8" w:space="0" w:color="8064A2"/>
              <w:left w:val="single" w:sz="8" w:space="0" w:color="8064A2"/>
              <w:bottom w:val="single" w:sz="18" w:space="0" w:color="8064A2"/>
              <w:right w:val="single" w:sz="8" w:space="0" w:color="8064A2"/>
            </w:tcBorders>
          </w:tcPr>
          <w:p w14:paraId="2C69A64B" w14:textId="77777777" w:rsidR="00531D21" w:rsidRPr="00620A21" w:rsidRDefault="00531D21" w:rsidP="00620A21">
            <w:pPr>
              <w:spacing w:after="80"/>
              <w:jc w:val="center"/>
              <w:rPr>
                <w:b/>
                <w:bCs/>
                <w:sz w:val="16"/>
                <w:szCs w:val="16"/>
              </w:rPr>
            </w:pPr>
            <w:r w:rsidRPr="00620A21">
              <w:rPr>
                <w:b/>
                <w:bCs/>
                <w:sz w:val="16"/>
                <w:szCs w:val="16"/>
              </w:rPr>
              <w:t xml:space="preserve">2015 Actual </w:t>
            </w:r>
          </w:p>
        </w:tc>
        <w:tc>
          <w:tcPr>
            <w:tcW w:w="4535" w:type="dxa"/>
            <w:tcBorders>
              <w:top w:val="single" w:sz="8" w:space="0" w:color="8064A2"/>
              <w:left w:val="single" w:sz="8" w:space="0" w:color="8064A2"/>
              <w:bottom w:val="single" w:sz="18" w:space="0" w:color="8064A2"/>
              <w:right w:val="single" w:sz="8" w:space="0" w:color="8064A2"/>
            </w:tcBorders>
          </w:tcPr>
          <w:p w14:paraId="6C1D5E44" w14:textId="77777777" w:rsidR="00531D21" w:rsidRPr="00620A21" w:rsidRDefault="00531D21" w:rsidP="00620A21">
            <w:pPr>
              <w:spacing w:after="80"/>
              <w:rPr>
                <w:sz w:val="16"/>
                <w:szCs w:val="16"/>
              </w:rPr>
            </w:pPr>
            <w:r w:rsidRPr="00620A21">
              <w:rPr>
                <w:b/>
                <w:bCs/>
                <w:i/>
                <w:sz w:val="16"/>
                <w:szCs w:val="16"/>
              </w:rPr>
              <w:t>Explanatory notes</w:t>
            </w:r>
          </w:p>
        </w:tc>
      </w:tr>
      <w:tr w:rsidR="00620A21" w:rsidRPr="00620A21" w14:paraId="3BEE0E08" w14:textId="77777777" w:rsidTr="00620A21">
        <w:trPr>
          <w:trHeight w:val="20"/>
        </w:trPr>
        <w:tc>
          <w:tcPr>
            <w:tcW w:w="1786" w:type="dxa"/>
            <w:vMerge w:val="restart"/>
            <w:shd w:val="clear" w:color="auto" w:fill="auto"/>
            <w:vAlign w:val="center"/>
          </w:tcPr>
          <w:p w14:paraId="14A5C15C" w14:textId="77777777" w:rsidR="00531D21" w:rsidRPr="00620A21" w:rsidRDefault="00531D21" w:rsidP="00620A21">
            <w:pPr>
              <w:spacing w:after="80"/>
              <w:rPr>
                <w:rFonts w:cs="Calibri"/>
                <w:b/>
                <w:bCs/>
                <w:sz w:val="16"/>
                <w:szCs w:val="16"/>
              </w:rPr>
            </w:pPr>
            <w:r w:rsidRPr="00620A21">
              <w:rPr>
                <w:rFonts w:cs="Calibri"/>
                <w:b/>
                <w:bCs/>
                <w:sz w:val="16"/>
                <w:szCs w:val="16"/>
              </w:rPr>
              <w:t>Improved levels of service for water supply</w:t>
            </w:r>
          </w:p>
        </w:tc>
        <w:tc>
          <w:tcPr>
            <w:tcW w:w="2228" w:type="dxa"/>
            <w:shd w:val="clear" w:color="auto" w:fill="DFD8E8"/>
          </w:tcPr>
          <w:p w14:paraId="35F7B09A" w14:textId="77777777" w:rsidR="00531D21" w:rsidRPr="00620A21" w:rsidRDefault="00531D21" w:rsidP="00620A21">
            <w:pPr>
              <w:spacing w:after="80"/>
              <w:jc w:val="both"/>
              <w:rPr>
                <w:rFonts w:eastAsia="Calibri" w:cs="Calibri"/>
                <w:sz w:val="16"/>
                <w:szCs w:val="16"/>
              </w:rPr>
            </w:pPr>
            <w:r w:rsidRPr="00620A21">
              <w:rPr>
                <w:rFonts w:eastAsia="Calibri" w:cs="Calibri"/>
                <w:sz w:val="16"/>
                <w:szCs w:val="16"/>
                <w:lang w:val="en-US"/>
              </w:rPr>
              <w:t>Re</w:t>
            </w:r>
            <w:r w:rsidRPr="00620A21">
              <w:rPr>
                <w:rFonts w:eastAsia="Calibri" w:cs="Calibri"/>
                <w:sz w:val="16"/>
                <w:szCs w:val="16"/>
              </w:rPr>
              <w:t>liability of supply  measured as:</w:t>
            </w:r>
          </w:p>
          <w:p w14:paraId="7A3ED70A" w14:textId="77777777" w:rsidR="00531D21" w:rsidRPr="00620A21" w:rsidRDefault="00531D21" w:rsidP="00620A21">
            <w:pPr>
              <w:spacing w:after="80"/>
              <w:rPr>
                <w:rFonts w:eastAsia="Calibri" w:cs="Calibri"/>
                <w:sz w:val="16"/>
                <w:szCs w:val="16"/>
                <w:lang w:val="en-US"/>
              </w:rPr>
            </w:pPr>
            <w:r w:rsidRPr="00620A21">
              <w:rPr>
                <w:rFonts w:eastAsia="Calibri" w:cs="Calibri"/>
                <w:sz w:val="16"/>
                <w:szCs w:val="16"/>
                <w:lang w:val="en-US"/>
              </w:rPr>
              <w:t>average hours of water supply per head of population (Hrs/day/head)</w:t>
            </w:r>
            <w:r w:rsidRPr="00620A21">
              <w:rPr>
                <w:rStyle w:val="FootnoteReference"/>
                <w:rFonts w:eastAsia="Calibri" w:cs="Calibri"/>
                <w:sz w:val="16"/>
                <w:szCs w:val="16"/>
                <w:lang w:val="en-US"/>
              </w:rPr>
              <w:footnoteReference w:id="53"/>
            </w:r>
          </w:p>
        </w:tc>
        <w:tc>
          <w:tcPr>
            <w:tcW w:w="918" w:type="dxa"/>
            <w:shd w:val="clear" w:color="auto" w:fill="auto"/>
            <w:vAlign w:val="center"/>
          </w:tcPr>
          <w:p w14:paraId="57CC8554" w14:textId="77777777" w:rsidR="00531D21" w:rsidRPr="00620A21" w:rsidRDefault="00531D21" w:rsidP="00620A21">
            <w:pPr>
              <w:spacing w:after="80"/>
              <w:jc w:val="center"/>
              <w:rPr>
                <w:rFonts w:eastAsia="Calibri"/>
                <w:sz w:val="16"/>
                <w:szCs w:val="16"/>
              </w:rPr>
            </w:pPr>
            <w:r w:rsidRPr="00620A21">
              <w:rPr>
                <w:rFonts w:eastAsia="Calibri"/>
                <w:sz w:val="16"/>
                <w:szCs w:val="16"/>
              </w:rPr>
              <w:t>14.2 hrs/capita (2012)</w:t>
            </w:r>
          </w:p>
        </w:tc>
        <w:tc>
          <w:tcPr>
            <w:tcW w:w="918" w:type="dxa"/>
            <w:shd w:val="clear" w:color="auto" w:fill="auto"/>
            <w:vAlign w:val="center"/>
          </w:tcPr>
          <w:p w14:paraId="5C23DA87"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18.8 hrs/capita</w:t>
            </w:r>
          </w:p>
        </w:tc>
        <w:tc>
          <w:tcPr>
            <w:tcW w:w="847" w:type="dxa"/>
            <w:vAlign w:val="center"/>
          </w:tcPr>
          <w:p w14:paraId="66836646" w14:textId="77777777" w:rsidR="00531D21" w:rsidRPr="00620A21" w:rsidRDefault="00531D21" w:rsidP="00620A21">
            <w:pPr>
              <w:spacing w:after="80"/>
              <w:jc w:val="center"/>
              <w:rPr>
                <w:rFonts w:eastAsia="Calibri"/>
                <w:sz w:val="16"/>
                <w:szCs w:val="16"/>
              </w:rPr>
            </w:pPr>
            <w:r w:rsidRPr="00620A21">
              <w:rPr>
                <w:rFonts w:eastAsia="Calibri"/>
                <w:sz w:val="16"/>
                <w:szCs w:val="16"/>
              </w:rPr>
              <w:t>18 hours</w:t>
            </w:r>
            <w:r w:rsidRPr="00620A21">
              <w:rPr>
                <w:rStyle w:val="FootnoteReference"/>
                <w:rFonts w:eastAsia="Calibri"/>
                <w:sz w:val="16"/>
                <w:szCs w:val="16"/>
              </w:rPr>
              <w:footnoteReference w:id="54"/>
            </w:r>
          </w:p>
        </w:tc>
        <w:tc>
          <w:tcPr>
            <w:tcW w:w="918" w:type="dxa"/>
            <w:shd w:val="clear" w:color="auto" w:fill="auto"/>
            <w:vAlign w:val="center"/>
          </w:tcPr>
          <w:p w14:paraId="59F78796"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21.5 hrs/capita</w:t>
            </w:r>
          </w:p>
        </w:tc>
        <w:tc>
          <w:tcPr>
            <w:tcW w:w="850" w:type="dxa"/>
            <w:vAlign w:val="center"/>
          </w:tcPr>
          <w:p w14:paraId="08195E83" w14:textId="77777777" w:rsidR="00531D21" w:rsidRPr="00620A21" w:rsidRDefault="00531D21" w:rsidP="00620A21">
            <w:pPr>
              <w:spacing w:after="80"/>
              <w:jc w:val="center"/>
              <w:rPr>
                <w:rFonts w:eastAsia="Calibri"/>
                <w:sz w:val="16"/>
                <w:szCs w:val="16"/>
              </w:rPr>
            </w:pPr>
            <w:r w:rsidRPr="00620A21">
              <w:rPr>
                <w:rFonts w:eastAsia="Calibri"/>
                <w:sz w:val="16"/>
                <w:szCs w:val="16"/>
              </w:rPr>
              <w:t>22 hours</w:t>
            </w:r>
            <w:r w:rsidRPr="00620A21">
              <w:rPr>
                <w:rStyle w:val="FootnoteReference"/>
                <w:rFonts w:eastAsia="Calibri"/>
                <w:sz w:val="16"/>
                <w:szCs w:val="16"/>
              </w:rPr>
              <w:footnoteReference w:id="55"/>
            </w:r>
            <w:r w:rsidRPr="00620A21">
              <w:rPr>
                <w:rFonts w:eastAsia="Calibri"/>
                <w:sz w:val="16"/>
                <w:szCs w:val="16"/>
              </w:rPr>
              <w:t xml:space="preserve"> </w:t>
            </w:r>
          </w:p>
        </w:tc>
        <w:tc>
          <w:tcPr>
            <w:tcW w:w="850" w:type="dxa"/>
            <w:vAlign w:val="center"/>
          </w:tcPr>
          <w:p w14:paraId="504B72F9" w14:textId="77777777" w:rsidR="00531D21" w:rsidRPr="00620A21" w:rsidRDefault="00531D21" w:rsidP="00620A21">
            <w:pPr>
              <w:spacing w:after="80"/>
              <w:jc w:val="center"/>
              <w:rPr>
                <w:rFonts w:eastAsia="Calibri"/>
                <w:sz w:val="16"/>
                <w:szCs w:val="16"/>
              </w:rPr>
            </w:pPr>
            <w:r w:rsidRPr="00620A21">
              <w:rPr>
                <w:rFonts w:eastAsia="Calibri"/>
                <w:sz w:val="16"/>
                <w:szCs w:val="16"/>
              </w:rPr>
              <w:t>22 hours</w:t>
            </w:r>
            <w:r w:rsidRPr="00620A21">
              <w:rPr>
                <w:rStyle w:val="FootnoteReference"/>
                <w:rFonts w:eastAsia="Calibri"/>
                <w:sz w:val="16"/>
                <w:szCs w:val="16"/>
              </w:rPr>
              <w:footnoteReference w:id="56"/>
            </w:r>
          </w:p>
        </w:tc>
        <w:tc>
          <w:tcPr>
            <w:tcW w:w="4535" w:type="dxa"/>
            <w:vAlign w:val="center"/>
          </w:tcPr>
          <w:p w14:paraId="79869AD0" w14:textId="77777777" w:rsidR="00531D21" w:rsidRPr="00620A21" w:rsidRDefault="00531D21" w:rsidP="00620A21">
            <w:pPr>
              <w:spacing w:after="80"/>
              <w:rPr>
                <w:rFonts w:eastAsia="Calibri"/>
                <w:sz w:val="16"/>
                <w:szCs w:val="16"/>
              </w:rPr>
            </w:pPr>
            <w:r w:rsidRPr="00620A21">
              <w:rPr>
                <w:rFonts w:eastAsia="Calibri"/>
                <w:sz w:val="16"/>
                <w:szCs w:val="16"/>
              </w:rPr>
              <w:t>PWWA indicator definition is: “Average hours of service per day for water supply, under normal circumstances”.</w:t>
            </w:r>
          </w:p>
        </w:tc>
      </w:tr>
      <w:tr w:rsidR="00620A21" w:rsidRPr="00620A21" w14:paraId="306E6192" w14:textId="77777777" w:rsidTr="00620A21">
        <w:trPr>
          <w:trHeight w:val="20"/>
        </w:trPr>
        <w:tc>
          <w:tcPr>
            <w:tcW w:w="1786" w:type="dxa"/>
            <w:vMerge/>
            <w:shd w:val="clear" w:color="auto" w:fill="auto"/>
          </w:tcPr>
          <w:p w14:paraId="369D151C" w14:textId="77777777" w:rsidR="00531D21" w:rsidRPr="00620A21" w:rsidRDefault="00531D21" w:rsidP="00620A21">
            <w:pPr>
              <w:spacing w:after="80"/>
              <w:ind w:left="357"/>
              <w:rPr>
                <w:rFonts w:cs="Calibri"/>
                <w:b/>
                <w:bCs/>
                <w:sz w:val="16"/>
                <w:szCs w:val="16"/>
              </w:rPr>
            </w:pPr>
          </w:p>
        </w:tc>
        <w:tc>
          <w:tcPr>
            <w:tcW w:w="2228" w:type="dxa"/>
            <w:shd w:val="clear" w:color="auto" w:fill="DFD8E8"/>
          </w:tcPr>
          <w:p w14:paraId="433FA299" w14:textId="77777777" w:rsidR="00531D21" w:rsidRPr="00620A21" w:rsidRDefault="00531D21" w:rsidP="00620A21">
            <w:pPr>
              <w:spacing w:after="80"/>
              <w:jc w:val="both"/>
              <w:rPr>
                <w:rFonts w:eastAsia="Calibri" w:cs="Calibri"/>
                <w:sz w:val="16"/>
                <w:szCs w:val="16"/>
              </w:rPr>
            </w:pPr>
            <w:r w:rsidRPr="00620A21">
              <w:rPr>
                <w:rFonts w:eastAsia="Calibri" w:cs="Calibri"/>
                <w:sz w:val="16"/>
                <w:szCs w:val="16"/>
              </w:rPr>
              <w:t>Level of Service measured as:</w:t>
            </w:r>
          </w:p>
          <w:p w14:paraId="7B4D8FBC" w14:textId="77777777" w:rsidR="00531D21" w:rsidRPr="00620A21" w:rsidRDefault="00531D21" w:rsidP="00620A21">
            <w:pPr>
              <w:spacing w:after="80"/>
              <w:rPr>
                <w:rFonts w:eastAsia="Calibri" w:cs="Calibri"/>
                <w:sz w:val="16"/>
                <w:szCs w:val="16"/>
                <w:lang w:val="en-US"/>
              </w:rPr>
            </w:pPr>
            <w:r w:rsidRPr="00620A21">
              <w:rPr>
                <w:rFonts w:eastAsia="Calibri" w:cs="Calibri"/>
                <w:sz w:val="16"/>
                <w:szCs w:val="16"/>
              </w:rPr>
              <w:t>% of registered customers receiving water supply at pressures at the property boundary of between 3 and 7 bar</w:t>
            </w:r>
          </w:p>
        </w:tc>
        <w:tc>
          <w:tcPr>
            <w:tcW w:w="918" w:type="dxa"/>
            <w:shd w:val="clear" w:color="auto" w:fill="auto"/>
            <w:vAlign w:val="center"/>
          </w:tcPr>
          <w:p w14:paraId="69901C6D"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Not available</w:t>
            </w:r>
          </w:p>
        </w:tc>
        <w:tc>
          <w:tcPr>
            <w:tcW w:w="918" w:type="dxa"/>
            <w:shd w:val="clear" w:color="auto" w:fill="auto"/>
            <w:vAlign w:val="center"/>
          </w:tcPr>
          <w:p w14:paraId="589F689F"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7" w:type="dxa"/>
          </w:tcPr>
          <w:p w14:paraId="767D9298"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4A6DD491"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tcPr>
          <w:p w14:paraId="7280A88C" w14:textId="77777777" w:rsidR="00531D21" w:rsidRPr="00620A21" w:rsidRDefault="00531D21" w:rsidP="00620A21">
            <w:pPr>
              <w:spacing w:after="80"/>
              <w:jc w:val="center"/>
              <w:rPr>
                <w:rFonts w:eastAsia="Calibri" w:cs="Calibri"/>
                <w:sz w:val="16"/>
                <w:szCs w:val="16"/>
              </w:rPr>
            </w:pPr>
          </w:p>
        </w:tc>
        <w:tc>
          <w:tcPr>
            <w:tcW w:w="850" w:type="dxa"/>
          </w:tcPr>
          <w:p w14:paraId="4CCEF5F3" w14:textId="77777777" w:rsidR="00531D21" w:rsidRPr="00620A21" w:rsidRDefault="00531D21" w:rsidP="00620A21">
            <w:pPr>
              <w:spacing w:after="80"/>
              <w:jc w:val="center"/>
              <w:rPr>
                <w:rFonts w:eastAsia="Calibri" w:cs="Calibri"/>
                <w:sz w:val="16"/>
                <w:szCs w:val="16"/>
              </w:rPr>
            </w:pPr>
          </w:p>
        </w:tc>
        <w:tc>
          <w:tcPr>
            <w:tcW w:w="4535" w:type="dxa"/>
          </w:tcPr>
          <w:p w14:paraId="3ABE451E" w14:textId="77777777" w:rsidR="00531D21" w:rsidRPr="00620A21" w:rsidRDefault="00531D21" w:rsidP="00620A21">
            <w:pPr>
              <w:spacing w:after="80"/>
              <w:rPr>
                <w:sz w:val="16"/>
                <w:szCs w:val="16"/>
              </w:rPr>
            </w:pPr>
          </w:p>
        </w:tc>
      </w:tr>
      <w:tr w:rsidR="00620A21" w:rsidRPr="00620A21" w14:paraId="625120B9" w14:textId="77777777" w:rsidTr="00620A21">
        <w:trPr>
          <w:trHeight w:val="20"/>
        </w:trPr>
        <w:tc>
          <w:tcPr>
            <w:tcW w:w="1786" w:type="dxa"/>
            <w:vMerge/>
            <w:shd w:val="clear" w:color="auto" w:fill="auto"/>
          </w:tcPr>
          <w:p w14:paraId="15A1F76E" w14:textId="77777777" w:rsidR="00531D21" w:rsidRPr="00620A21" w:rsidRDefault="00531D21" w:rsidP="00620A21">
            <w:pPr>
              <w:spacing w:after="80"/>
              <w:ind w:left="357"/>
              <w:rPr>
                <w:rFonts w:cs="Calibri"/>
                <w:b/>
                <w:bCs/>
                <w:sz w:val="16"/>
                <w:szCs w:val="16"/>
              </w:rPr>
            </w:pPr>
          </w:p>
        </w:tc>
        <w:tc>
          <w:tcPr>
            <w:tcW w:w="2228" w:type="dxa"/>
            <w:shd w:val="clear" w:color="auto" w:fill="DFD8E8"/>
          </w:tcPr>
          <w:p w14:paraId="019E0531" w14:textId="77777777" w:rsidR="00531D21" w:rsidRPr="00620A21" w:rsidRDefault="00531D21" w:rsidP="00620A21">
            <w:pPr>
              <w:spacing w:after="80"/>
              <w:rPr>
                <w:rFonts w:eastAsia="Calibri" w:cs="Calibri"/>
                <w:sz w:val="16"/>
                <w:szCs w:val="16"/>
              </w:rPr>
            </w:pPr>
            <w:r w:rsidRPr="00620A21">
              <w:rPr>
                <w:rFonts w:eastAsia="Calibri" w:cs="Calibri"/>
                <w:sz w:val="16"/>
                <w:szCs w:val="16"/>
                <w:lang w:val="en-US"/>
              </w:rPr>
              <w:t>Water quality – bacteriological compliance with WHO recommendations</w:t>
            </w:r>
            <w:r w:rsidRPr="00620A21">
              <w:rPr>
                <w:rFonts w:eastAsia="Calibri" w:cs="Calibri"/>
                <w:sz w:val="16"/>
                <w:szCs w:val="16"/>
              </w:rPr>
              <w:t>. (%age of samples with Nil e-coli and nil coliform)</w:t>
            </w:r>
            <w:r w:rsidRPr="00620A21">
              <w:rPr>
                <w:rStyle w:val="FootnoteReference"/>
                <w:rFonts w:eastAsia="Calibri" w:cs="Calibri"/>
                <w:sz w:val="16"/>
                <w:szCs w:val="16"/>
              </w:rPr>
              <w:footnoteReference w:id="57"/>
            </w:r>
          </w:p>
        </w:tc>
        <w:tc>
          <w:tcPr>
            <w:tcW w:w="918" w:type="dxa"/>
            <w:shd w:val="clear" w:color="auto" w:fill="auto"/>
            <w:vAlign w:val="center"/>
          </w:tcPr>
          <w:p w14:paraId="2639CE31"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73%</w:t>
            </w:r>
          </w:p>
        </w:tc>
        <w:tc>
          <w:tcPr>
            <w:tcW w:w="918" w:type="dxa"/>
            <w:shd w:val="clear" w:color="auto" w:fill="auto"/>
            <w:vAlign w:val="center"/>
          </w:tcPr>
          <w:p w14:paraId="12A7F9C8"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95%</w:t>
            </w:r>
          </w:p>
        </w:tc>
        <w:tc>
          <w:tcPr>
            <w:tcW w:w="847" w:type="dxa"/>
          </w:tcPr>
          <w:p w14:paraId="512633AD"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41995704"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97%</w:t>
            </w:r>
          </w:p>
        </w:tc>
        <w:tc>
          <w:tcPr>
            <w:tcW w:w="850" w:type="dxa"/>
          </w:tcPr>
          <w:p w14:paraId="32AC0A79" w14:textId="77777777" w:rsidR="00531D21" w:rsidRPr="00620A21" w:rsidRDefault="00531D21" w:rsidP="00620A21">
            <w:pPr>
              <w:spacing w:after="80"/>
              <w:jc w:val="center"/>
              <w:rPr>
                <w:rFonts w:eastAsia="Calibri" w:cs="Calibri"/>
                <w:sz w:val="16"/>
                <w:szCs w:val="16"/>
              </w:rPr>
            </w:pPr>
          </w:p>
        </w:tc>
        <w:tc>
          <w:tcPr>
            <w:tcW w:w="850" w:type="dxa"/>
          </w:tcPr>
          <w:p w14:paraId="0D1A8B84" w14:textId="77777777" w:rsidR="00531D21" w:rsidRPr="00620A21" w:rsidRDefault="00531D21" w:rsidP="00620A21">
            <w:pPr>
              <w:spacing w:after="80"/>
              <w:jc w:val="center"/>
              <w:rPr>
                <w:rFonts w:eastAsia="Calibri" w:cs="Calibri"/>
                <w:sz w:val="16"/>
                <w:szCs w:val="16"/>
              </w:rPr>
            </w:pPr>
          </w:p>
        </w:tc>
        <w:tc>
          <w:tcPr>
            <w:tcW w:w="4535" w:type="dxa"/>
          </w:tcPr>
          <w:p w14:paraId="4E670C56" w14:textId="77777777" w:rsidR="00531D21" w:rsidRPr="00620A21" w:rsidRDefault="00531D21" w:rsidP="00620A21">
            <w:pPr>
              <w:spacing w:after="80"/>
              <w:rPr>
                <w:sz w:val="16"/>
                <w:szCs w:val="16"/>
              </w:rPr>
            </w:pPr>
          </w:p>
        </w:tc>
      </w:tr>
      <w:tr w:rsidR="00620A21" w:rsidRPr="00620A21" w14:paraId="26CC7A63" w14:textId="77777777" w:rsidTr="00620A21">
        <w:trPr>
          <w:trHeight w:val="20"/>
        </w:trPr>
        <w:tc>
          <w:tcPr>
            <w:tcW w:w="1786" w:type="dxa"/>
            <w:vMerge/>
            <w:shd w:val="clear" w:color="auto" w:fill="auto"/>
          </w:tcPr>
          <w:p w14:paraId="5D613F1C" w14:textId="77777777" w:rsidR="00531D21" w:rsidRPr="00620A21" w:rsidRDefault="00531D21" w:rsidP="00620A21">
            <w:pPr>
              <w:spacing w:after="80"/>
              <w:ind w:left="357"/>
              <w:rPr>
                <w:rFonts w:cs="Calibri"/>
                <w:b/>
                <w:bCs/>
                <w:sz w:val="16"/>
                <w:szCs w:val="16"/>
              </w:rPr>
            </w:pPr>
          </w:p>
        </w:tc>
        <w:tc>
          <w:tcPr>
            <w:tcW w:w="2228" w:type="dxa"/>
            <w:shd w:val="clear" w:color="auto" w:fill="DFD8E8"/>
          </w:tcPr>
          <w:p w14:paraId="76BEF035" w14:textId="77777777" w:rsidR="00531D21" w:rsidRPr="00620A21" w:rsidRDefault="00531D21" w:rsidP="00620A21">
            <w:pPr>
              <w:spacing w:after="80"/>
              <w:rPr>
                <w:rFonts w:eastAsia="Calibri" w:cs="Calibri"/>
                <w:sz w:val="16"/>
                <w:szCs w:val="16"/>
                <w:lang w:val="en-US"/>
              </w:rPr>
            </w:pPr>
            <w:r w:rsidRPr="00620A21">
              <w:rPr>
                <w:rFonts w:eastAsia="Calibri" w:cs="Calibri"/>
                <w:sz w:val="16"/>
                <w:szCs w:val="16"/>
              </w:rPr>
              <w:t>Estimated % of population with registered water connections</w:t>
            </w:r>
          </w:p>
        </w:tc>
        <w:tc>
          <w:tcPr>
            <w:tcW w:w="918" w:type="dxa"/>
            <w:shd w:val="clear" w:color="auto" w:fill="auto"/>
            <w:vAlign w:val="center"/>
          </w:tcPr>
          <w:p w14:paraId="161215B2"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68.5%</w:t>
            </w:r>
            <w:r w:rsidRPr="00620A21">
              <w:rPr>
                <w:rStyle w:val="FootnoteReference"/>
                <w:rFonts w:eastAsia="Calibri" w:cs="Calibri"/>
                <w:sz w:val="16"/>
                <w:szCs w:val="16"/>
              </w:rPr>
              <w:footnoteReference w:id="58"/>
            </w:r>
            <w:r w:rsidRPr="00620A21">
              <w:rPr>
                <w:rFonts w:eastAsia="Calibri" w:cs="Calibri"/>
                <w:sz w:val="16"/>
                <w:szCs w:val="16"/>
              </w:rPr>
              <w:t xml:space="preserve"> (2012)</w:t>
            </w:r>
          </w:p>
        </w:tc>
        <w:tc>
          <w:tcPr>
            <w:tcW w:w="918" w:type="dxa"/>
            <w:shd w:val="clear" w:color="auto" w:fill="auto"/>
            <w:vAlign w:val="center"/>
          </w:tcPr>
          <w:p w14:paraId="4ED70BA1"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7" w:type="dxa"/>
            <w:vAlign w:val="center"/>
          </w:tcPr>
          <w:p w14:paraId="2AE601A5"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65%</w:t>
            </w:r>
            <w:r w:rsidRPr="00620A21">
              <w:rPr>
                <w:rStyle w:val="FootnoteReference"/>
                <w:rFonts w:eastAsia="Calibri" w:cs="Calibri"/>
                <w:sz w:val="16"/>
                <w:szCs w:val="16"/>
              </w:rPr>
              <w:footnoteReference w:id="59"/>
            </w:r>
          </w:p>
        </w:tc>
        <w:tc>
          <w:tcPr>
            <w:tcW w:w="918" w:type="dxa"/>
            <w:shd w:val="clear" w:color="auto" w:fill="auto"/>
            <w:vAlign w:val="center"/>
          </w:tcPr>
          <w:p w14:paraId="54D9EED5"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vAlign w:val="center"/>
          </w:tcPr>
          <w:p w14:paraId="47AC3DB1"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78%</w:t>
            </w:r>
            <w:r w:rsidRPr="00620A21">
              <w:rPr>
                <w:rStyle w:val="FootnoteReference"/>
                <w:rFonts w:eastAsia="Calibri" w:cs="Calibri"/>
                <w:sz w:val="16"/>
                <w:szCs w:val="16"/>
              </w:rPr>
              <w:footnoteReference w:id="60"/>
            </w:r>
          </w:p>
        </w:tc>
        <w:tc>
          <w:tcPr>
            <w:tcW w:w="850" w:type="dxa"/>
            <w:vAlign w:val="center"/>
          </w:tcPr>
          <w:p w14:paraId="35C780C0"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55%</w:t>
            </w:r>
            <w:r w:rsidRPr="00620A21">
              <w:rPr>
                <w:rStyle w:val="FootnoteReference"/>
                <w:rFonts w:eastAsia="Calibri" w:cs="Calibri"/>
                <w:sz w:val="16"/>
                <w:szCs w:val="16"/>
              </w:rPr>
              <w:footnoteReference w:id="61"/>
            </w:r>
          </w:p>
        </w:tc>
        <w:tc>
          <w:tcPr>
            <w:tcW w:w="4535" w:type="dxa"/>
          </w:tcPr>
          <w:p w14:paraId="41A30A3C" w14:textId="3FB06FB0" w:rsidR="00531D21" w:rsidRPr="00620A21" w:rsidRDefault="001B2B98" w:rsidP="00620A21">
            <w:pPr>
              <w:spacing w:after="80"/>
              <w:rPr>
                <w:color w:val="FF0000"/>
                <w:sz w:val="16"/>
                <w:szCs w:val="16"/>
              </w:rPr>
            </w:pPr>
            <w:r w:rsidRPr="00620A21">
              <w:rPr>
                <w:sz w:val="16"/>
                <w:szCs w:val="16"/>
              </w:rPr>
              <w:t>See explanatory note above re. number of new connections.</w:t>
            </w:r>
          </w:p>
        </w:tc>
      </w:tr>
      <w:tr w:rsidR="00620A21" w:rsidRPr="00620A21" w14:paraId="392625EB" w14:textId="77777777" w:rsidTr="00620A21">
        <w:trPr>
          <w:trHeight w:val="20"/>
        </w:trPr>
        <w:tc>
          <w:tcPr>
            <w:tcW w:w="1786" w:type="dxa"/>
            <w:vMerge w:val="restart"/>
            <w:shd w:val="clear" w:color="auto" w:fill="auto"/>
            <w:vAlign w:val="center"/>
          </w:tcPr>
          <w:p w14:paraId="0D7FF299" w14:textId="77777777" w:rsidR="00531D21" w:rsidRPr="00620A21" w:rsidRDefault="00531D21" w:rsidP="00620A21">
            <w:pPr>
              <w:spacing w:after="80"/>
              <w:rPr>
                <w:rFonts w:cs="Calibri"/>
                <w:b/>
                <w:bCs/>
                <w:sz w:val="16"/>
                <w:szCs w:val="16"/>
              </w:rPr>
            </w:pPr>
            <w:r w:rsidRPr="00620A21">
              <w:rPr>
                <w:rFonts w:cs="Calibri"/>
                <w:b/>
                <w:bCs/>
                <w:sz w:val="16"/>
                <w:szCs w:val="16"/>
              </w:rPr>
              <w:t>Improved customer care and communications</w:t>
            </w:r>
          </w:p>
        </w:tc>
        <w:tc>
          <w:tcPr>
            <w:tcW w:w="2228" w:type="dxa"/>
            <w:shd w:val="clear" w:color="auto" w:fill="DFD8E8"/>
          </w:tcPr>
          <w:p w14:paraId="008A87C4" w14:textId="77777777" w:rsidR="00531D21" w:rsidRPr="00620A21" w:rsidRDefault="00531D21" w:rsidP="00620A21">
            <w:pPr>
              <w:spacing w:after="80"/>
              <w:rPr>
                <w:rFonts w:eastAsia="Calibri" w:cs="Calibri"/>
                <w:sz w:val="16"/>
                <w:szCs w:val="16"/>
              </w:rPr>
            </w:pPr>
            <w:r w:rsidRPr="00620A21">
              <w:rPr>
                <w:rFonts w:eastAsia="Calibri" w:cs="Calibri"/>
                <w:sz w:val="16"/>
                <w:szCs w:val="16"/>
              </w:rPr>
              <w:t>Complaints ratio:</w:t>
            </w:r>
          </w:p>
          <w:p w14:paraId="5D8715CF" w14:textId="77777777" w:rsidR="00531D21" w:rsidRPr="00620A21" w:rsidRDefault="00531D21" w:rsidP="00620A21">
            <w:pPr>
              <w:spacing w:after="80"/>
              <w:rPr>
                <w:rFonts w:eastAsia="Calibri" w:cs="Calibri"/>
                <w:sz w:val="16"/>
                <w:szCs w:val="16"/>
              </w:rPr>
            </w:pPr>
            <w:r w:rsidRPr="00620A21">
              <w:rPr>
                <w:rFonts w:eastAsia="Calibri" w:cs="Calibri"/>
                <w:sz w:val="16"/>
                <w:szCs w:val="16"/>
              </w:rPr>
              <w:t>Complaints/1000 registered customers</w:t>
            </w:r>
            <w:r w:rsidRPr="00620A21">
              <w:rPr>
                <w:rStyle w:val="FootnoteReference"/>
                <w:rFonts w:eastAsia="Calibri" w:cs="Calibri"/>
                <w:sz w:val="16"/>
                <w:szCs w:val="16"/>
              </w:rPr>
              <w:footnoteReference w:id="62"/>
            </w:r>
          </w:p>
        </w:tc>
        <w:tc>
          <w:tcPr>
            <w:tcW w:w="918" w:type="dxa"/>
            <w:shd w:val="clear" w:color="auto" w:fill="auto"/>
            <w:vAlign w:val="center"/>
          </w:tcPr>
          <w:p w14:paraId="225C9B77"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199</w:t>
            </w:r>
          </w:p>
        </w:tc>
        <w:tc>
          <w:tcPr>
            <w:tcW w:w="918" w:type="dxa"/>
            <w:shd w:val="clear" w:color="auto" w:fill="auto"/>
            <w:vAlign w:val="center"/>
          </w:tcPr>
          <w:p w14:paraId="55C4ED6F"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120</w:t>
            </w:r>
          </w:p>
        </w:tc>
        <w:tc>
          <w:tcPr>
            <w:tcW w:w="847" w:type="dxa"/>
          </w:tcPr>
          <w:p w14:paraId="7ED5A6EB"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65717F47"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70</w:t>
            </w:r>
          </w:p>
        </w:tc>
        <w:tc>
          <w:tcPr>
            <w:tcW w:w="850" w:type="dxa"/>
          </w:tcPr>
          <w:p w14:paraId="4E2CB503" w14:textId="77777777" w:rsidR="00531D21" w:rsidRPr="00620A21" w:rsidRDefault="00531D21" w:rsidP="00620A21">
            <w:pPr>
              <w:spacing w:after="80"/>
              <w:jc w:val="center"/>
              <w:rPr>
                <w:rFonts w:eastAsia="Calibri" w:cs="Calibri"/>
                <w:sz w:val="16"/>
                <w:szCs w:val="16"/>
              </w:rPr>
            </w:pPr>
          </w:p>
        </w:tc>
        <w:tc>
          <w:tcPr>
            <w:tcW w:w="850" w:type="dxa"/>
          </w:tcPr>
          <w:p w14:paraId="24291559" w14:textId="77777777" w:rsidR="00531D21" w:rsidRPr="00620A21" w:rsidRDefault="00531D21" w:rsidP="00620A21">
            <w:pPr>
              <w:spacing w:after="80"/>
              <w:jc w:val="center"/>
              <w:rPr>
                <w:rFonts w:eastAsia="Calibri" w:cs="Calibri"/>
                <w:sz w:val="16"/>
                <w:szCs w:val="16"/>
              </w:rPr>
            </w:pPr>
          </w:p>
        </w:tc>
        <w:tc>
          <w:tcPr>
            <w:tcW w:w="4535" w:type="dxa"/>
          </w:tcPr>
          <w:p w14:paraId="5724C854" w14:textId="77777777" w:rsidR="00531D21" w:rsidRPr="00620A21" w:rsidRDefault="00531D21" w:rsidP="00620A21">
            <w:pPr>
              <w:spacing w:after="80"/>
              <w:rPr>
                <w:sz w:val="16"/>
                <w:szCs w:val="16"/>
              </w:rPr>
            </w:pPr>
          </w:p>
        </w:tc>
      </w:tr>
      <w:tr w:rsidR="00620A21" w:rsidRPr="00620A21" w14:paraId="30B79746" w14:textId="77777777" w:rsidTr="00620A21">
        <w:trPr>
          <w:trHeight w:val="20"/>
        </w:trPr>
        <w:tc>
          <w:tcPr>
            <w:tcW w:w="1786" w:type="dxa"/>
            <w:vMerge/>
            <w:shd w:val="clear" w:color="auto" w:fill="auto"/>
            <w:vAlign w:val="center"/>
          </w:tcPr>
          <w:p w14:paraId="07897554" w14:textId="77777777" w:rsidR="00531D21" w:rsidRPr="00620A21" w:rsidRDefault="00531D21" w:rsidP="00620A21">
            <w:pPr>
              <w:spacing w:after="80"/>
              <w:rPr>
                <w:rFonts w:cs="Calibri"/>
                <w:b/>
                <w:bCs/>
                <w:sz w:val="16"/>
                <w:szCs w:val="16"/>
              </w:rPr>
            </w:pPr>
          </w:p>
        </w:tc>
        <w:tc>
          <w:tcPr>
            <w:tcW w:w="2228" w:type="dxa"/>
            <w:shd w:val="clear" w:color="auto" w:fill="DFD8E8"/>
          </w:tcPr>
          <w:p w14:paraId="3F66B989" w14:textId="77777777" w:rsidR="00531D21" w:rsidRPr="00620A21" w:rsidRDefault="00531D21" w:rsidP="00620A21">
            <w:pPr>
              <w:spacing w:after="80"/>
              <w:rPr>
                <w:rFonts w:eastAsia="Calibri" w:cs="Calibri"/>
                <w:sz w:val="16"/>
                <w:szCs w:val="16"/>
                <w:lang w:val="en-US"/>
              </w:rPr>
            </w:pPr>
            <w:r w:rsidRPr="00620A21">
              <w:rPr>
                <w:rFonts w:eastAsia="Calibri" w:cs="Calibri"/>
                <w:sz w:val="16"/>
                <w:szCs w:val="16"/>
              </w:rPr>
              <w:t>Customer satisfaction level – through market research</w:t>
            </w:r>
          </w:p>
        </w:tc>
        <w:tc>
          <w:tcPr>
            <w:tcW w:w="918" w:type="dxa"/>
            <w:shd w:val="clear" w:color="auto" w:fill="auto"/>
            <w:vAlign w:val="center"/>
          </w:tcPr>
          <w:p w14:paraId="62E88214"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Not available</w:t>
            </w:r>
          </w:p>
        </w:tc>
        <w:tc>
          <w:tcPr>
            <w:tcW w:w="918" w:type="dxa"/>
            <w:shd w:val="clear" w:color="auto" w:fill="auto"/>
            <w:vAlign w:val="center"/>
          </w:tcPr>
          <w:p w14:paraId="0CD313C8"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7" w:type="dxa"/>
          </w:tcPr>
          <w:p w14:paraId="18AAA352"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65483516"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tcPr>
          <w:p w14:paraId="1E2984F4" w14:textId="77777777" w:rsidR="00531D21" w:rsidRPr="00620A21" w:rsidRDefault="00531D21" w:rsidP="00620A21">
            <w:pPr>
              <w:spacing w:after="80"/>
              <w:jc w:val="center"/>
              <w:rPr>
                <w:rFonts w:eastAsia="Calibri" w:cs="Calibri"/>
                <w:sz w:val="16"/>
                <w:szCs w:val="16"/>
              </w:rPr>
            </w:pPr>
          </w:p>
        </w:tc>
        <w:tc>
          <w:tcPr>
            <w:tcW w:w="850" w:type="dxa"/>
          </w:tcPr>
          <w:p w14:paraId="39DE5710" w14:textId="77777777" w:rsidR="00531D21" w:rsidRPr="00620A21" w:rsidRDefault="00531D21" w:rsidP="00620A21">
            <w:pPr>
              <w:spacing w:after="80"/>
              <w:jc w:val="center"/>
              <w:rPr>
                <w:rFonts w:eastAsia="Calibri" w:cs="Calibri"/>
                <w:sz w:val="16"/>
                <w:szCs w:val="16"/>
              </w:rPr>
            </w:pPr>
          </w:p>
        </w:tc>
        <w:tc>
          <w:tcPr>
            <w:tcW w:w="4535" w:type="dxa"/>
          </w:tcPr>
          <w:p w14:paraId="21BED329" w14:textId="77777777" w:rsidR="00531D21" w:rsidRPr="00620A21" w:rsidRDefault="00531D21" w:rsidP="00620A21">
            <w:pPr>
              <w:spacing w:after="80"/>
              <w:rPr>
                <w:sz w:val="16"/>
                <w:szCs w:val="16"/>
              </w:rPr>
            </w:pPr>
          </w:p>
        </w:tc>
      </w:tr>
      <w:tr w:rsidR="00620A21" w:rsidRPr="00620A21" w14:paraId="616DC5B1" w14:textId="77777777" w:rsidTr="00620A21">
        <w:trPr>
          <w:trHeight w:val="20"/>
        </w:trPr>
        <w:tc>
          <w:tcPr>
            <w:tcW w:w="1786" w:type="dxa"/>
            <w:vMerge/>
            <w:shd w:val="clear" w:color="auto" w:fill="auto"/>
          </w:tcPr>
          <w:p w14:paraId="0E3327EF" w14:textId="77777777" w:rsidR="00531D21" w:rsidRPr="00620A21" w:rsidRDefault="00531D21" w:rsidP="00620A21">
            <w:pPr>
              <w:spacing w:after="80"/>
              <w:rPr>
                <w:rFonts w:cs="Calibri"/>
                <w:b/>
                <w:bCs/>
                <w:sz w:val="16"/>
                <w:szCs w:val="16"/>
              </w:rPr>
            </w:pPr>
          </w:p>
        </w:tc>
        <w:tc>
          <w:tcPr>
            <w:tcW w:w="2228" w:type="dxa"/>
            <w:shd w:val="clear" w:color="auto" w:fill="DFD8E8"/>
          </w:tcPr>
          <w:p w14:paraId="5B8FA495" w14:textId="77777777" w:rsidR="00531D21" w:rsidRPr="00620A21" w:rsidRDefault="00531D21" w:rsidP="00620A21">
            <w:pPr>
              <w:spacing w:after="80"/>
              <w:rPr>
                <w:rFonts w:eastAsia="Calibri" w:cs="Calibri"/>
                <w:sz w:val="16"/>
                <w:szCs w:val="16"/>
              </w:rPr>
            </w:pPr>
            <w:r w:rsidRPr="00620A21">
              <w:rPr>
                <w:rFonts w:eastAsia="Calibri" w:cs="Calibri"/>
                <w:sz w:val="16"/>
                <w:szCs w:val="16"/>
              </w:rPr>
              <w:t>Customer perceptions - through market research</w:t>
            </w:r>
          </w:p>
        </w:tc>
        <w:tc>
          <w:tcPr>
            <w:tcW w:w="918" w:type="dxa"/>
            <w:shd w:val="clear" w:color="auto" w:fill="auto"/>
            <w:vAlign w:val="center"/>
          </w:tcPr>
          <w:p w14:paraId="30A9E124"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Not available</w:t>
            </w:r>
          </w:p>
        </w:tc>
        <w:tc>
          <w:tcPr>
            <w:tcW w:w="918" w:type="dxa"/>
            <w:shd w:val="clear" w:color="auto" w:fill="auto"/>
            <w:vAlign w:val="center"/>
          </w:tcPr>
          <w:p w14:paraId="002EE2F8"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7" w:type="dxa"/>
          </w:tcPr>
          <w:p w14:paraId="21C6031C"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447219CC"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tcPr>
          <w:p w14:paraId="68547A0E" w14:textId="77777777" w:rsidR="00531D21" w:rsidRPr="00620A21" w:rsidRDefault="00531D21" w:rsidP="00620A21">
            <w:pPr>
              <w:spacing w:after="80"/>
              <w:jc w:val="center"/>
              <w:rPr>
                <w:rFonts w:eastAsia="Calibri" w:cs="Calibri"/>
                <w:sz w:val="16"/>
                <w:szCs w:val="16"/>
              </w:rPr>
            </w:pPr>
          </w:p>
        </w:tc>
        <w:tc>
          <w:tcPr>
            <w:tcW w:w="850" w:type="dxa"/>
          </w:tcPr>
          <w:p w14:paraId="0BDB47DA" w14:textId="77777777" w:rsidR="00531D21" w:rsidRPr="00620A21" w:rsidRDefault="00531D21" w:rsidP="00620A21">
            <w:pPr>
              <w:spacing w:after="80"/>
              <w:jc w:val="center"/>
              <w:rPr>
                <w:rFonts w:eastAsia="Calibri" w:cs="Calibri"/>
                <w:sz w:val="16"/>
                <w:szCs w:val="16"/>
              </w:rPr>
            </w:pPr>
          </w:p>
        </w:tc>
        <w:tc>
          <w:tcPr>
            <w:tcW w:w="4535" w:type="dxa"/>
          </w:tcPr>
          <w:p w14:paraId="766024B9" w14:textId="77777777" w:rsidR="00531D21" w:rsidRPr="00620A21" w:rsidRDefault="00531D21" w:rsidP="00620A21">
            <w:pPr>
              <w:spacing w:after="80"/>
              <w:rPr>
                <w:sz w:val="16"/>
                <w:szCs w:val="16"/>
              </w:rPr>
            </w:pPr>
          </w:p>
        </w:tc>
      </w:tr>
      <w:tr w:rsidR="00620A21" w:rsidRPr="00620A21" w14:paraId="4C566645" w14:textId="77777777" w:rsidTr="00620A21">
        <w:trPr>
          <w:trHeight w:val="20"/>
        </w:trPr>
        <w:tc>
          <w:tcPr>
            <w:tcW w:w="1786" w:type="dxa"/>
            <w:vMerge w:val="restart"/>
            <w:shd w:val="clear" w:color="auto" w:fill="auto"/>
            <w:vAlign w:val="center"/>
          </w:tcPr>
          <w:p w14:paraId="4B45F423" w14:textId="77777777" w:rsidR="00531D21" w:rsidRPr="00620A21" w:rsidRDefault="00531D21" w:rsidP="00620A21">
            <w:pPr>
              <w:spacing w:after="80"/>
              <w:rPr>
                <w:rFonts w:cs="Calibri"/>
                <w:b/>
                <w:bCs/>
                <w:sz w:val="16"/>
                <w:szCs w:val="16"/>
              </w:rPr>
            </w:pPr>
            <w:r w:rsidRPr="00620A21">
              <w:rPr>
                <w:rFonts w:cs="Calibri"/>
                <w:b/>
                <w:bCs/>
                <w:sz w:val="16"/>
                <w:szCs w:val="16"/>
              </w:rPr>
              <w:lastRenderedPageBreak/>
              <w:t>Strengthened financial management &amp; administration</w:t>
            </w:r>
          </w:p>
        </w:tc>
        <w:tc>
          <w:tcPr>
            <w:tcW w:w="2228" w:type="dxa"/>
            <w:shd w:val="clear" w:color="auto" w:fill="DFD8E8"/>
          </w:tcPr>
          <w:p w14:paraId="55B3BE93" w14:textId="77777777" w:rsidR="00531D21" w:rsidRPr="00620A21" w:rsidRDefault="00531D21" w:rsidP="00620A21">
            <w:pPr>
              <w:spacing w:after="80"/>
              <w:rPr>
                <w:rFonts w:eastAsia="Calibri"/>
                <w:sz w:val="16"/>
                <w:szCs w:val="16"/>
              </w:rPr>
            </w:pPr>
            <w:r w:rsidRPr="00620A21">
              <w:rPr>
                <w:rFonts w:eastAsia="Calibri"/>
                <w:sz w:val="16"/>
                <w:szCs w:val="16"/>
              </w:rPr>
              <w:t>Return on capital</w:t>
            </w:r>
          </w:p>
        </w:tc>
        <w:tc>
          <w:tcPr>
            <w:tcW w:w="918" w:type="dxa"/>
            <w:shd w:val="clear" w:color="auto" w:fill="auto"/>
            <w:vAlign w:val="center"/>
          </w:tcPr>
          <w:p w14:paraId="6BA301C3" w14:textId="77777777" w:rsidR="00531D21" w:rsidRPr="00620A21" w:rsidRDefault="00531D21" w:rsidP="00620A21">
            <w:pPr>
              <w:spacing w:after="80"/>
              <w:jc w:val="center"/>
              <w:rPr>
                <w:rFonts w:eastAsia="Calibri"/>
                <w:sz w:val="16"/>
                <w:szCs w:val="16"/>
              </w:rPr>
            </w:pPr>
            <w:r w:rsidRPr="00620A21">
              <w:rPr>
                <w:rFonts w:eastAsia="Calibri"/>
                <w:sz w:val="16"/>
                <w:szCs w:val="16"/>
              </w:rPr>
              <w:t>8%</w:t>
            </w:r>
          </w:p>
        </w:tc>
        <w:tc>
          <w:tcPr>
            <w:tcW w:w="918" w:type="dxa"/>
            <w:shd w:val="clear" w:color="auto" w:fill="auto"/>
            <w:vAlign w:val="center"/>
          </w:tcPr>
          <w:p w14:paraId="67879969"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10%</w:t>
            </w:r>
          </w:p>
        </w:tc>
        <w:tc>
          <w:tcPr>
            <w:tcW w:w="847" w:type="dxa"/>
            <w:vAlign w:val="center"/>
          </w:tcPr>
          <w:p w14:paraId="58154FD9" w14:textId="77777777" w:rsidR="00531D21" w:rsidRPr="00620A21" w:rsidRDefault="00531D21" w:rsidP="00620A21">
            <w:pPr>
              <w:spacing w:after="80"/>
              <w:jc w:val="center"/>
              <w:rPr>
                <w:rFonts w:eastAsia="Calibri"/>
                <w:sz w:val="16"/>
                <w:szCs w:val="16"/>
              </w:rPr>
            </w:pPr>
            <w:r w:rsidRPr="00620A21">
              <w:rPr>
                <w:rFonts w:eastAsia="Calibri"/>
                <w:sz w:val="16"/>
                <w:szCs w:val="16"/>
              </w:rPr>
              <w:t>22%</w:t>
            </w:r>
            <w:r w:rsidRPr="00620A21">
              <w:rPr>
                <w:rStyle w:val="FootnoteReference"/>
                <w:rFonts w:eastAsia="Calibri"/>
                <w:sz w:val="16"/>
                <w:szCs w:val="16"/>
              </w:rPr>
              <w:footnoteReference w:id="63"/>
            </w:r>
          </w:p>
        </w:tc>
        <w:tc>
          <w:tcPr>
            <w:tcW w:w="918" w:type="dxa"/>
            <w:shd w:val="clear" w:color="auto" w:fill="auto"/>
            <w:vAlign w:val="center"/>
          </w:tcPr>
          <w:p w14:paraId="44A51797"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12%</w:t>
            </w:r>
          </w:p>
        </w:tc>
        <w:tc>
          <w:tcPr>
            <w:tcW w:w="850" w:type="dxa"/>
            <w:vAlign w:val="center"/>
          </w:tcPr>
          <w:p w14:paraId="0C86DAF1" w14:textId="77777777" w:rsidR="00531D21" w:rsidRPr="00620A21" w:rsidRDefault="00531D21" w:rsidP="00620A21">
            <w:pPr>
              <w:spacing w:after="80"/>
              <w:jc w:val="center"/>
              <w:rPr>
                <w:rFonts w:eastAsia="Calibri"/>
                <w:sz w:val="16"/>
                <w:szCs w:val="16"/>
              </w:rPr>
            </w:pPr>
            <w:r w:rsidRPr="00620A21">
              <w:rPr>
                <w:rFonts w:eastAsia="Calibri"/>
                <w:sz w:val="16"/>
                <w:szCs w:val="16"/>
              </w:rPr>
              <w:t>16%</w:t>
            </w:r>
            <w:r w:rsidRPr="00620A21">
              <w:rPr>
                <w:rStyle w:val="FootnoteReference"/>
                <w:rFonts w:eastAsia="Calibri"/>
                <w:sz w:val="16"/>
                <w:szCs w:val="16"/>
              </w:rPr>
              <w:footnoteReference w:id="64"/>
            </w:r>
          </w:p>
        </w:tc>
        <w:tc>
          <w:tcPr>
            <w:tcW w:w="850" w:type="dxa"/>
            <w:vAlign w:val="center"/>
          </w:tcPr>
          <w:p w14:paraId="2C8A1649" w14:textId="77777777" w:rsidR="00531D21" w:rsidRPr="00620A21" w:rsidRDefault="00531D21" w:rsidP="00620A21">
            <w:pPr>
              <w:spacing w:after="80"/>
              <w:jc w:val="center"/>
              <w:rPr>
                <w:rFonts w:eastAsia="Calibri"/>
                <w:sz w:val="16"/>
                <w:szCs w:val="16"/>
              </w:rPr>
            </w:pPr>
            <w:r w:rsidRPr="00620A21">
              <w:rPr>
                <w:rFonts w:eastAsia="Calibri"/>
                <w:sz w:val="16"/>
                <w:szCs w:val="16"/>
              </w:rPr>
              <w:t>4%</w:t>
            </w:r>
            <w:r w:rsidRPr="00620A21">
              <w:rPr>
                <w:rStyle w:val="FootnoteReference"/>
                <w:rFonts w:eastAsia="Calibri"/>
                <w:sz w:val="16"/>
                <w:szCs w:val="16"/>
              </w:rPr>
              <w:footnoteReference w:id="65"/>
            </w:r>
          </w:p>
        </w:tc>
        <w:tc>
          <w:tcPr>
            <w:tcW w:w="4535" w:type="dxa"/>
            <w:vAlign w:val="center"/>
          </w:tcPr>
          <w:p w14:paraId="4885B3FA" w14:textId="77777777" w:rsidR="00531D21" w:rsidRPr="00620A21" w:rsidRDefault="00531D21" w:rsidP="00620A21">
            <w:pPr>
              <w:spacing w:after="80"/>
              <w:rPr>
                <w:rFonts w:eastAsia="Calibri"/>
                <w:sz w:val="16"/>
                <w:szCs w:val="16"/>
              </w:rPr>
            </w:pPr>
            <w:r w:rsidRPr="00620A21">
              <w:rPr>
                <w:rFonts w:eastAsia="Calibri"/>
                <w:sz w:val="16"/>
                <w:szCs w:val="16"/>
              </w:rPr>
              <w:t xml:space="preserve">The Return on Capital (RoC) had a significant change following the revaluation of assets undertaken in 2015. A valuation had not been carried out for some time, resulting in earlier RoC figures being overstated. </w:t>
            </w:r>
          </w:p>
        </w:tc>
      </w:tr>
      <w:tr w:rsidR="00620A21" w:rsidRPr="00620A21" w14:paraId="6983FC29" w14:textId="77777777" w:rsidTr="00620A21">
        <w:trPr>
          <w:trHeight w:val="20"/>
        </w:trPr>
        <w:tc>
          <w:tcPr>
            <w:tcW w:w="1786" w:type="dxa"/>
            <w:vMerge/>
            <w:shd w:val="clear" w:color="auto" w:fill="auto"/>
          </w:tcPr>
          <w:p w14:paraId="299E46D9" w14:textId="77777777" w:rsidR="00531D21" w:rsidRPr="00620A21" w:rsidRDefault="00531D21" w:rsidP="00620A21">
            <w:pPr>
              <w:spacing w:after="80"/>
              <w:rPr>
                <w:rFonts w:cs="Calibri"/>
                <w:b/>
                <w:bCs/>
                <w:sz w:val="16"/>
                <w:szCs w:val="16"/>
              </w:rPr>
            </w:pPr>
          </w:p>
        </w:tc>
        <w:tc>
          <w:tcPr>
            <w:tcW w:w="2228" w:type="dxa"/>
            <w:shd w:val="clear" w:color="auto" w:fill="DFD8E8"/>
          </w:tcPr>
          <w:p w14:paraId="3810CE3F" w14:textId="77777777" w:rsidR="00531D21" w:rsidRPr="00620A21" w:rsidRDefault="00531D21" w:rsidP="00620A21">
            <w:pPr>
              <w:spacing w:after="80"/>
              <w:rPr>
                <w:rFonts w:eastAsia="Calibri"/>
                <w:sz w:val="16"/>
                <w:szCs w:val="16"/>
              </w:rPr>
            </w:pPr>
            <w:r w:rsidRPr="00620A21">
              <w:rPr>
                <w:rFonts w:eastAsia="Calibri"/>
                <w:sz w:val="16"/>
                <w:szCs w:val="16"/>
              </w:rPr>
              <w:t>Operating cost recovery</w:t>
            </w:r>
          </w:p>
        </w:tc>
        <w:tc>
          <w:tcPr>
            <w:tcW w:w="918" w:type="dxa"/>
            <w:shd w:val="clear" w:color="auto" w:fill="auto"/>
            <w:vAlign w:val="center"/>
          </w:tcPr>
          <w:p w14:paraId="77C51170" w14:textId="77777777" w:rsidR="00531D21" w:rsidRPr="00620A21" w:rsidRDefault="00531D21" w:rsidP="00620A21">
            <w:pPr>
              <w:spacing w:after="80"/>
              <w:jc w:val="center"/>
              <w:rPr>
                <w:rFonts w:eastAsia="Calibri"/>
                <w:sz w:val="16"/>
                <w:szCs w:val="16"/>
              </w:rPr>
            </w:pPr>
            <w:r w:rsidRPr="00620A21">
              <w:rPr>
                <w:rFonts w:eastAsia="Calibri"/>
                <w:sz w:val="16"/>
                <w:szCs w:val="16"/>
              </w:rPr>
              <w:t>105%</w:t>
            </w:r>
          </w:p>
        </w:tc>
        <w:tc>
          <w:tcPr>
            <w:tcW w:w="918" w:type="dxa"/>
            <w:shd w:val="clear" w:color="auto" w:fill="auto"/>
            <w:vAlign w:val="center"/>
          </w:tcPr>
          <w:p w14:paraId="5E3AEBA0"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115%</w:t>
            </w:r>
          </w:p>
        </w:tc>
        <w:tc>
          <w:tcPr>
            <w:tcW w:w="847" w:type="dxa"/>
            <w:vAlign w:val="center"/>
          </w:tcPr>
          <w:p w14:paraId="156E2F5F" w14:textId="77777777" w:rsidR="00531D21" w:rsidRPr="00620A21" w:rsidRDefault="00531D21" w:rsidP="00620A21">
            <w:pPr>
              <w:spacing w:after="80"/>
              <w:jc w:val="center"/>
              <w:rPr>
                <w:rFonts w:eastAsia="Calibri"/>
                <w:sz w:val="16"/>
                <w:szCs w:val="16"/>
              </w:rPr>
            </w:pPr>
            <w:r w:rsidRPr="00620A21">
              <w:rPr>
                <w:rFonts w:eastAsia="Calibri"/>
                <w:sz w:val="16"/>
                <w:szCs w:val="16"/>
              </w:rPr>
              <w:t>125%</w:t>
            </w:r>
          </w:p>
        </w:tc>
        <w:tc>
          <w:tcPr>
            <w:tcW w:w="918" w:type="dxa"/>
            <w:shd w:val="clear" w:color="auto" w:fill="auto"/>
            <w:vAlign w:val="center"/>
          </w:tcPr>
          <w:p w14:paraId="3F1C059C"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120%</w:t>
            </w:r>
          </w:p>
        </w:tc>
        <w:tc>
          <w:tcPr>
            <w:tcW w:w="850" w:type="dxa"/>
            <w:vAlign w:val="center"/>
          </w:tcPr>
          <w:p w14:paraId="3110110F" w14:textId="77777777" w:rsidR="00531D21" w:rsidRPr="00620A21" w:rsidRDefault="00531D21" w:rsidP="00620A21">
            <w:pPr>
              <w:spacing w:after="80"/>
              <w:jc w:val="center"/>
              <w:rPr>
                <w:rFonts w:eastAsia="Calibri"/>
                <w:sz w:val="16"/>
                <w:szCs w:val="16"/>
              </w:rPr>
            </w:pPr>
            <w:r w:rsidRPr="00620A21">
              <w:rPr>
                <w:rFonts w:eastAsia="Calibri"/>
                <w:sz w:val="16"/>
                <w:szCs w:val="16"/>
              </w:rPr>
              <w:t>97%</w:t>
            </w:r>
          </w:p>
        </w:tc>
        <w:tc>
          <w:tcPr>
            <w:tcW w:w="850" w:type="dxa"/>
            <w:vAlign w:val="center"/>
          </w:tcPr>
          <w:p w14:paraId="506B28B1" w14:textId="77777777" w:rsidR="00531D21" w:rsidRPr="00620A21" w:rsidRDefault="00531D21" w:rsidP="00620A21">
            <w:pPr>
              <w:spacing w:after="80"/>
              <w:jc w:val="center"/>
              <w:rPr>
                <w:rFonts w:eastAsia="Calibri"/>
                <w:sz w:val="16"/>
                <w:szCs w:val="16"/>
              </w:rPr>
            </w:pPr>
            <w:r w:rsidRPr="00620A21">
              <w:rPr>
                <w:rFonts w:eastAsia="Calibri"/>
                <w:sz w:val="16"/>
                <w:szCs w:val="16"/>
              </w:rPr>
              <w:t>101%</w:t>
            </w:r>
          </w:p>
        </w:tc>
        <w:tc>
          <w:tcPr>
            <w:tcW w:w="4535" w:type="dxa"/>
          </w:tcPr>
          <w:p w14:paraId="3A04E9A4" w14:textId="77777777" w:rsidR="00531D21" w:rsidRPr="00620A21" w:rsidRDefault="00531D21" w:rsidP="00620A21">
            <w:pPr>
              <w:spacing w:after="80"/>
              <w:jc w:val="center"/>
              <w:rPr>
                <w:rFonts w:eastAsia="Calibri"/>
                <w:sz w:val="16"/>
                <w:szCs w:val="16"/>
              </w:rPr>
            </w:pPr>
          </w:p>
        </w:tc>
      </w:tr>
      <w:tr w:rsidR="00620A21" w:rsidRPr="00620A21" w14:paraId="040CACB7" w14:textId="77777777" w:rsidTr="00620A21">
        <w:trPr>
          <w:trHeight w:val="20"/>
        </w:trPr>
        <w:tc>
          <w:tcPr>
            <w:tcW w:w="1786" w:type="dxa"/>
            <w:vMerge/>
            <w:shd w:val="clear" w:color="auto" w:fill="auto"/>
          </w:tcPr>
          <w:p w14:paraId="076DAAF5" w14:textId="77777777" w:rsidR="00531D21" w:rsidRPr="00620A21" w:rsidRDefault="00531D21" w:rsidP="00620A21">
            <w:pPr>
              <w:spacing w:after="80"/>
              <w:rPr>
                <w:rFonts w:cs="Calibri"/>
                <w:b/>
                <w:bCs/>
                <w:sz w:val="16"/>
                <w:szCs w:val="16"/>
              </w:rPr>
            </w:pPr>
          </w:p>
        </w:tc>
        <w:tc>
          <w:tcPr>
            <w:tcW w:w="2228" w:type="dxa"/>
            <w:shd w:val="clear" w:color="auto" w:fill="DFD8E8"/>
            <w:vAlign w:val="center"/>
          </w:tcPr>
          <w:p w14:paraId="1544285D" w14:textId="77777777" w:rsidR="00531D21" w:rsidRPr="00620A21" w:rsidRDefault="00531D21" w:rsidP="00620A21">
            <w:pPr>
              <w:spacing w:after="80"/>
              <w:rPr>
                <w:rFonts w:eastAsia="Calibri"/>
                <w:sz w:val="16"/>
                <w:szCs w:val="16"/>
              </w:rPr>
            </w:pPr>
            <w:r w:rsidRPr="00620A21">
              <w:rPr>
                <w:rFonts w:eastAsia="Calibri"/>
                <w:sz w:val="16"/>
                <w:szCs w:val="16"/>
              </w:rPr>
              <w:t>Operating cost recovery – adjusted to exclude donor contributions</w:t>
            </w:r>
          </w:p>
        </w:tc>
        <w:tc>
          <w:tcPr>
            <w:tcW w:w="918" w:type="dxa"/>
            <w:shd w:val="clear" w:color="auto" w:fill="auto"/>
            <w:vAlign w:val="center"/>
          </w:tcPr>
          <w:p w14:paraId="72CD2377" w14:textId="77777777" w:rsidR="00531D21" w:rsidRPr="00620A21" w:rsidRDefault="00531D21" w:rsidP="00620A21">
            <w:pPr>
              <w:spacing w:after="80"/>
              <w:jc w:val="center"/>
              <w:rPr>
                <w:rFonts w:eastAsia="Calibri"/>
                <w:sz w:val="16"/>
                <w:szCs w:val="16"/>
              </w:rPr>
            </w:pPr>
            <w:r w:rsidRPr="00620A21">
              <w:rPr>
                <w:rFonts w:eastAsia="Calibri"/>
                <w:sz w:val="16"/>
                <w:szCs w:val="16"/>
              </w:rPr>
              <w:t>-</w:t>
            </w:r>
          </w:p>
        </w:tc>
        <w:tc>
          <w:tcPr>
            <w:tcW w:w="918" w:type="dxa"/>
            <w:shd w:val="clear" w:color="auto" w:fill="auto"/>
            <w:vAlign w:val="center"/>
          </w:tcPr>
          <w:p w14:paraId="42D68876"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w:t>
            </w:r>
          </w:p>
        </w:tc>
        <w:tc>
          <w:tcPr>
            <w:tcW w:w="847" w:type="dxa"/>
            <w:vAlign w:val="center"/>
          </w:tcPr>
          <w:p w14:paraId="3B3DF700" w14:textId="77777777" w:rsidR="00531D21" w:rsidRPr="00620A21" w:rsidRDefault="00531D21" w:rsidP="00620A21">
            <w:pPr>
              <w:spacing w:after="80"/>
              <w:jc w:val="center"/>
              <w:rPr>
                <w:rFonts w:eastAsia="Calibri"/>
                <w:sz w:val="16"/>
                <w:szCs w:val="16"/>
              </w:rPr>
            </w:pPr>
            <w:r w:rsidRPr="00620A21">
              <w:rPr>
                <w:rFonts w:eastAsia="Calibri"/>
                <w:sz w:val="16"/>
                <w:szCs w:val="16"/>
              </w:rPr>
              <w:t>-</w:t>
            </w:r>
          </w:p>
        </w:tc>
        <w:tc>
          <w:tcPr>
            <w:tcW w:w="918" w:type="dxa"/>
            <w:shd w:val="clear" w:color="auto" w:fill="auto"/>
            <w:vAlign w:val="center"/>
          </w:tcPr>
          <w:p w14:paraId="53399690" w14:textId="77777777" w:rsidR="00531D21" w:rsidRPr="00620A21" w:rsidRDefault="00531D21" w:rsidP="00620A21">
            <w:pPr>
              <w:spacing w:after="80"/>
              <w:jc w:val="center"/>
              <w:rPr>
                <w:rFonts w:eastAsia="Calibri"/>
                <w:color w:val="808080"/>
                <w:sz w:val="16"/>
                <w:szCs w:val="16"/>
              </w:rPr>
            </w:pPr>
            <w:r w:rsidRPr="00620A21">
              <w:rPr>
                <w:rFonts w:eastAsia="Calibri"/>
                <w:color w:val="808080"/>
                <w:sz w:val="16"/>
                <w:szCs w:val="16"/>
              </w:rPr>
              <w:t>-</w:t>
            </w:r>
          </w:p>
        </w:tc>
        <w:tc>
          <w:tcPr>
            <w:tcW w:w="850" w:type="dxa"/>
            <w:vAlign w:val="center"/>
          </w:tcPr>
          <w:p w14:paraId="6351EACD" w14:textId="77777777" w:rsidR="00531D21" w:rsidRPr="00620A21" w:rsidRDefault="00531D21" w:rsidP="00620A21">
            <w:pPr>
              <w:spacing w:after="80"/>
              <w:jc w:val="center"/>
              <w:rPr>
                <w:rFonts w:eastAsia="Calibri"/>
                <w:sz w:val="16"/>
                <w:szCs w:val="16"/>
              </w:rPr>
            </w:pPr>
            <w:r w:rsidRPr="00620A21">
              <w:rPr>
                <w:rFonts w:eastAsia="Calibri"/>
                <w:sz w:val="16"/>
                <w:szCs w:val="16"/>
              </w:rPr>
              <w:t>89%</w:t>
            </w:r>
          </w:p>
        </w:tc>
        <w:tc>
          <w:tcPr>
            <w:tcW w:w="850" w:type="dxa"/>
            <w:vAlign w:val="center"/>
          </w:tcPr>
          <w:p w14:paraId="58A9A82B" w14:textId="77777777" w:rsidR="00531D21" w:rsidRPr="00620A21" w:rsidRDefault="00531D21" w:rsidP="00620A21">
            <w:pPr>
              <w:spacing w:after="80"/>
              <w:jc w:val="center"/>
              <w:rPr>
                <w:rFonts w:eastAsia="Calibri"/>
                <w:sz w:val="16"/>
                <w:szCs w:val="16"/>
              </w:rPr>
            </w:pPr>
            <w:r w:rsidRPr="00620A21">
              <w:rPr>
                <w:rFonts w:eastAsia="Calibri"/>
                <w:sz w:val="16"/>
                <w:szCs w:val="16"/>
              </w:rPr>
              <w:t>93%</w:t>
            </w:r>
          </w:p>
        </w:tc>
        <w:tc>
          <w:tcPr>
            <w:tcW w:w="4535" w:type="dxa"/>
            <w:vAlign w:val="center"/>
          </w:tcPr>
          <w:p w14:paraId="7FA55076" w14:textId="5E21DDD4" w:rsidR="00531D21" w:rsidRPr="00620A21" w:rsidRDefault="00531D21" w:rsidP="00620A21">
            <w:pPr>
              <w:spacing w:after="80"/>
              <w:rPr>
                <w:rFonts w:eastAsia="Calibri"/>
                <w:sz w:val="16"/>
                <w:szCs w:val="16"/>
              </w:rPr>
            </w:pPr>
            <w:r w:rsidRPr="00620A21">
              <w:rPr>
                <w:rFonts w:eastAsia="Calibri"/>
                <w:sz w:val="16"/>
                <w:szCs w:val="16"/>
              </w:rPr>
              <w:t>Profit adjusted to reflect estimated employment costs of personnel funded by DFAT; and removes donor income for operational activities</w:t>
            </w:r>
            <w:r w:rsidR="00620A21">
              <w:rPr>
                <w:rFonts w:eastAsia="Calibri"/>
                <w:sz w:val="16"/>
                <w:szCs w:val="16"/>
              </w:rPr>
              <w:t>.</w:t>
            </w:r>
          </w:p>
        </w:tc>
      </w:tr>
      <w:tr w:rsidR="00620A21" w:rsidRPr="00620A21" w14:paraId="612811D4" w14:textId="77777777" w:rsidTr="00620A21">
        <w:trPr>
          <w:trHeight w:val="20"/>
        </w:trPr>
        <w:tc>
          <w:tcPr>
            <w:tcW w:w="1786" w:type="dxa"/>
            <w:vMerge/>
            <w:shd w:val="clear" w:color="auto" w:fill="auto"/>
          </w:tcPr>
          <w:p w14:paraId="754AA70B" w14:textId="77777777" w:rsidR="00531D21" w:rsidRPr="00620A21" w:rsidRDefault="00531D21" w:rsidP="00620A21">
            <w:pPr>
              <w:spacing w:after="80"/>
              <w:rPr>
                <w:rFonts w:cs="Calibri"/>
                <w:b/>
                <w:bCs/>
                <w:sz w:val="16"/>
                <w:szCs w:val="16"/>
              </w:rPr>
            </w:pPr>
          </w:p>
        </w:tc>
        <w:tc>
          <w:tcPr>
            <w:tcW w:w="2228" w:type="dxa"/>
            <w:shd w:val="clear" w:color="auto" w:fill="DFD8E8"/>
          </w:tcPr>
          <w:p w14:paraId="4BF74489" w14:textId="77777777" w:rsidR="00531D21" w:rsidRPr="00620A21" w:rsidRDefault="00531D21" w:rsidP="00620A21">
            <w:pPr>
              <w:spacing w:after="80"/>
              <w:rPr>
                <w:rFonts w:eastAsia="Calibri" w:cs="Calibri"/>
                <w:sz w:val="16"/>
                <w:szCs w:val="16"/>
              </w:rPr>
            </w:pPr>
            <w:r w:rsidRPr="00620A21">
              <w:rPr>
                <w:rFonts w:eastAsia="Calibri" w:cs="Calibri"/>
                <w:sz w:val="16"/>
                <w:szCs w:val="16"/>
              </w:rPr>
              <w:t>Collection ratio :</w:t>
            </w:r>
          </w:p>
          <w:p w14:paraId="680D1934" w14:textId="77777777" w:rsidR="00531D21" w:rsidRPr="00620A21" w:rsidRDefault="00531D21" w:rsidP="00620A21">
            <w:pPr>
              <w:spacing w:after="80"/>
              <w:rPr>
                <w:rFonts w:eastAsia="Calibri" w:cs="Calibri"/>
                <w:sz w:val="16"/>
                <w:szCs w:val="16"/>
              </w:rPr>
            </w:pPr>
            <w:r w:rsidRPr="00620A21">
              <w:rPr>
                <w:rFonts w:eastAsia="Calibri" w:cs="Calibri"/>
                <w:sz w:val="16"/>
                <w:szCs w:val="16"/>
              </w:rPr>
              <w:t>Actual cash vs. billed revenue</w:t>
            </w:r>
            <w:r w:rsidRPr="00620A21">
              <w:rPr>
                <w:rStyle w:val="FootnoteReference"/>
                <w:rFonts w:eastAsia="Calibri" w:cs="Calibri"/>
                <w:sz w:val="16"/>
                <w:szCs w:val="16"/>
              </w:rPr>
              <w:footnoteReference w:id="66"/>
            </w:r>
          </w:p>
        </w:tc>
        <w:tc>
          <w:tcPr>
            <w:tcW w:w="918" w:type="dxa"/>
            <w:shd w:val="clear" w:color="auto" w:fill="auto"/>
            <w:vAlign w:val="center"/>
          </w:tcPr>
          <w:p w14:paraId="598CCD23"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82%</w:t>
            </w:r>
          </w:p>
        </w:tc>
        <w:tc>
          <w:tcPr>
            <w:tcW w:w="918" w:type="dxa"/>
            <w:shd w:val="clear" w:color="auto" w:fill="auto"/>
            <w:vAlign w:val="center"/>
          </w:tcPr>
          <w:p w14:paraId="09A68B1D"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90%</w:t>
            </w:r>
          </w:p>
        </w:tc>
        <w:tc>
          <w:tcPr>
            <w:tcW w:w="847" w:type="dxa"/>
          </w:tcPr>
          <w:p w14:paraId="55339161"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365D18C5"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92%</w:t>
            </w:r>
          </w:p>
        </w:tc>
        <w:tc>
          <w:tcPr>
            <w:tcW w:w="850" w:type="dxa"/>
          </w:tcPr>
          <w:p w14:paraId="2C8C11F0" w14:textId="77777777" w:rsidR="00531D21" w:rsidRPr="00620A21" w:rsidRDefault="00531D21" w:rsidP="00620A21">
            <w:pPr>
              <w:spacing w:after="80"/>
              <w:jc w:val="center"/>
              <w:rPr>
                <w:rFonts w:eastAsia="Calibri" w:cs="Calibri"/>
                <w:sz w:val="16"/>
                <w:szCs w:val="16"/>
              </w:rPr>
            </w:pPr>
          </w:p>
        </w:tc>
        <w:tc>
          <w:tcPr>
            <w:tcW w:w="850" w:type="dxa"/>
          </w:tcPr>
          <w:p w14:paraId="1498EBE6" w14:textId="77777777" w:rsidR="00531D21" w:rsidRPr="00620A21" w:rsidRDefault="00531D21" w:rsidP="00620A21">
            <w:pPr>
              <w:spacing w:after="80"/>
              <w:jc w:val="center"/>
              <w:rPr>
                <w:rFonts w:eastAsia="Calibri" w:cs="Calibri"/>
                <w:sz w:val="16"/>
                <w:szCs w:val="16"/>
              </w:rPr>
            </w:pPr>
          </w:p>
        </w:tc>
        <w:tc>
          <w:tcPr>
            <w:tcW w:w="4535" w:type="dxa"/>
          </w:tcPr>
          <w:p w14:paraId="499E8383" w14:textId="77777777" w:rsidR="00531D21" w:rsidRPr="00620A21" w:rsidRDefault="00531D21" w:rsidP="00620A21">
            <w:pPr>
              <w:spacing w:after="80"/>
              <w:rPr>
                <w:sz w:val="16"/>
                <w:szCs w:val="16"/>
              </w:rPr>
            </w:pPr>
          </w:p>
        </w:tc>
      </w:tr>
      <w:tr w:rsidR="00620A21" w:rsidRPr="00620A21" w14:paraId="1C92CC1C" w14:textId="77777777" w:rsidTr="00620A21">
        <w:trPr>
          <w:trHeight w:val="20"/>
        </w:trPr>
        <w:tc>
          <w:tcPr>
            <w:tcW w:w="1786" w:type="dxa"/>
            <w:vMerge/>
            <w:shd w:val="clear" w:color="auto" w:fill="auto"/>
          </w:tcPr>
          <w:p w14:paraId="5940D8AB" w14:textId="77777777" w:rsidR="00531D21" w:rsidRPr="00620A21" w:rsidRDefault="00531D21" w:rsidP="00620A21">
            <w:pPr>
              <w:spacing w:after="80"/>
              <w:rPr>
                <w:rFonts w:cs="Calibri"/>
                <w:b/>
                <w:bCs/>
                <w:sz w:val="16"/>
                <w:szCs w:val="16"/>
              </w:rPr>
            </w:pPr>
          </w:p>
        </w:tc>
        <w:tc>
          <w:tcPr>
            <w:tcW w:w="2228" w:type="dxa"/>
            <w:shd w:val="clear" w:color="auto" w:fill="DFD8E8"/>
          </w:tcPr>
          <w:p w14:paraId="27C4EC1E" w14:textId="77777777" w:rsidR="00531D21" w:rsidRPr="00620A21" w:rsidRDefault="00531D21" w:rsidP="00620A21">
            <w:pPr>
              <w:spacing w:after="80"/>
              <w:rPr>
                <w:rFonts w:eastAsia="Calibri" w:cs="Calibri"/>
                <w:sz w:val="16"/>
                <w:szCs w:val="16"/>
              </w:rPr>
            </w:pPr>
            <w:r w:rsidRPr="00620A21">
              <w:rPr>
                <w:rFonts w:eastAsia="Calibri" w:cs="Calibri"/>
                <w:sz w:val="16"/>
                <w:szCs w:val="16"/>
              </w:rPr>
              <w:t>Accounts receivable (days)</w:t>
            </w:r>
            <w:r w:rsidRPr="00620A21">
              <w:rPr>
                <w:rStyle w:val="FootnoteReference"/>
                <w:rFonts w:eastAsia="Calibri" w:cs="Calibri"/>
                <w:sz w:val="16"/>
                <w:szCs w:val="16"/>
              </w:rPr>
              <w:footnoteReference w:id="67"/>
            </w:r>
          </w:p>
        </w:tc>
        <w:tc>
          <w:tcPr>
            <w:tcW w:w="918" w:type="dxa"/>
            <w:shd w:val="clear" w:color="auto" w:fill="auto"/>
            <w:vAlign w:val="center"/>
          </w:tcPr>
          <w:p w14:paraId="48A30620"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92</w:t>
            </w:r>
          </w:p>
        </w:tc>
        <w:tc>
          <w:tcPr>
            <w:tcW w:w="918" w:type="dxa"/>
            <w:shd w:val="clear" w:color="auto" w:fill="auto"/>
            <w:vAlign w:val="center"/>
          </w:tcPr>
          <w:p w14:paraId="312EE18D"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88</w:t>
            </w:r>
          </w:p>
        </w:tc>
        <w:tc>
          <w:tcPr>
            <w:tcW w:w="847" w:type="dxa"/>
            <w:vAlign w:val="center"/>
          </w:tcPr>
          <w:p w14:paraId="6E8FB596"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1A3633C1"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85</w:t>
            </w:r>
          </w:p>
        </w:tc>
        <w:tc>
          <w:tcPr>
            <w:tcW w:w="850" w:type="dxa"/>
            <w:vAlign w:val="center"/>
          </w:tcPr>
          <w:p w14:paraId="2C6C3B1F" w14:textId="77777777" w:rsidR="00531D21" w:rsidRPr="00620A21" w:rsidRDefault="00531D21" w:rsidP="00620A21">
            <w:pPr>
              <w:spacing w:after="80"/>
              <w:jc w:val="center"/>
              <w:rPr>
                <w:rFonts w:eastAsia="Calibri" w:cs="Calibri"/>
                <w:sz w:val="16"/>
                <w:szCs w:val="16"/>
              </w:rPr>
            </w:pPr>
          </w:p>
        </w:tc>
        <w:tc>
          <w:tcPr>
            <w:tcW w:w="850" w:type="dxa"/>
            <w:vAlign w:val="center"/>
          </w:tcPr>
          <w:p w14:paraId="4F24DD17" w14:textId="77777777" w:rsidR="00531D21" w:rsidRPr="00620A21" w:rsidRDefault="00531D21" w:rsidP="00620A21">
            <w:pPr>
              <w:spacing w:after="80"/>
              <w:jc w:val="center"/>
              <w:rPr>
                <w:rFonts w:eastAsia="Calibri" w:cs="Calibri"/>
                <w:sz w:val="16"/>
                <w:szCs w:val="16"/>
              </w:rPr>
            </w:pPr>
          </w:p>
        </w:tc>
        <w:tc>
          <w:tcPr>
            <w:tcW w:w="4535" w:type="dxa"/>
          </w:tcPr>
          <w:p w14:paraId="5442AA79" w14:textId="77777777" w:rsidR="00531D21" w:rsidRPr="00620A21" w:rsidRDefault="00531D21" w:rsidP="00620A21">
            <w:pPr>
              <w:spacing w:after="80"/>
              <w:rPr>
                <w:sz w:val="16"/>
                <w:szCs w:val="16"/>
              </w:rPr>
            </w:pPr>
          </w:p>
        </w:tc>
      </w:tr>
      <w:tr w:rsidR="00620A21" w:rsidRPr="00620A21" w14:paraId="66E632BE" w14:textId="77777777" w:rsidTr="00620A21">
        <w:trPr>
          <w:trHeight w:val="20"/>
        </w:trPr>
        <w:tc>
          <w:tcPr>
            <w:tcW w:w="1786" w:type="dxa"/>
            <w:shd w:val="clear" w:color="auto" w:fill="auto"/>
          </w:tcPr>
          <w:p w14:paraId="46AD1414" w14:textId="77777777" w:rsidR="00531D21" w:rsidRPr="00620A21" w:rsidRDefault="00531D21" w:rsidP="00620A21">
            <w:pPr>
              <w:spacing w:after="80"/>
              <w:rPr>
                <w:rFonts w:cs="Calibri"/>
                <w:b/>
                <w:bCs/>
                <w:sz w:val="16"/>
                <w:szCs w:val="16"/>
              </w:rPr>
            </w:pPr>
            <w:r w:rsidRPr="00620A21">
              <w:rPr>
                <w:rFonts w:cs="Calibri"/>
                <w:b/>
                <w:bCs/>
                <w:sz w:val="16"/>
                <w:szCs w:val="16"/>
              </w:rPr>
              <w:t>Improved organizational capacity</w:t>
            </w:r>
          </w:p>
        </w:tc>
        <w:tc>
          <w:tcPr>
            <w:tcW w:w="2228" w:type="dxa"/>
            <w:shd w:val="clear" w:color="auto" w:fill="DFD8E8"/>
          </w:tcPr>
          <w:p w14:paraId="78E82F29" w14:textId="77777777" w:rsidR="00531D21" w:rsidRPr="00620A21" w:rsidRDefault="00531D21" w:rsidP="00620A21">
            <w:pPr>
              <w:spacing w:after="80"/>
              <w:rPr>
                <w:rFonts w:eastAsia="Calibri" w:cs="Calibri"/>
                <w:sz w:val="16"/>
                <w:szCs w:val="16"/>
              </w:rPr>
            </w:pPr>
            <w:r w:rsidRPr="00620A21">
              <w:rPr>
                <w:rFonts w:eastAsia="Calibri" w:cs="Calibri"/>
                <w:sz w:val="16"/>
                <w:szCs w:val="16"/>
              </w:rPr>
              <w:t>TBC</w:t>
            </w:r>
          </w:p>
        </w:tc>
        <w:tc>
          <w:tcPr>
            <w:tcW w:w="918" w:type="dxa"/>
            <w:shd w:val="clear" w:color="auto" w:fill="auto"/>
            <w:vAlign w:val="center"/>
          </w:tcPr>
          <w:p w14:paraId="7E66274F"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TBC</w:t>
            </w:r>
          </w:p>
        </w:tc>
        <w:tc>
          <w:tcPr>
            <w:tcW w:w="918" w:type="dxa"/>
            <w:shd w:val="clear" w:color="auto" w:fill="auto"/>
            <w:vAlign w:val="center"/>
          </w:tcPr>
          <w:p w14:paraId="2FFF05CD"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47" w:type="dxa"/>
          </w:tcPr>
          <w:p w14:paraId="658E45F0"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1E1DF86F"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TBC</w:t>
            </w:r>
          </w:p>
        </w:tc>
        <w:tc>
          <w:tcPr>
            <w:tcW w:w="850" w:type="dxa"/>
          </w:tcPr>
          <w:p w14:paraId="7ED0718B" w14:textId="77777777" w:rsidR="00531D21" w:rsidRPr="00620A21" w:rsidRDefault="00531D21" w:rsidP="00620A21">
            <w:pPr>
              <w:spacing w:after="80"/>
              <w:jc w:val="center"/>
              <w:rPr>
                <w:rFonts w:eastAsia="Calibri" w:cs="Calibri"/>
                <w:sz w:val="16"/>
                <w:szCs w:val="16"/>
              </w:rPr>
            </w:pPr>
          </w:p>
        </w:tc>
        <w:tc>
          <w:tcPr>
            <w:tcW w:w="850" w:type="dxa"/>
          </w:tcPr>
          <w:p w14:paraId="1DA0DCAE" w14:textId="77777777" w:rsidR="00531D21" w:rsidRPr="00620A21" w:rsidRDefault="00531D21" w:rsidP="00620A21">
            <w:pPr>
              <w:spacing w:after="80"/>
              <w:jc w:val="center"/>
              <w:rPr>
                <w:rFonts w:eastAsia="Calibri" w:cs="Calibri"/>
                <w:sz w:val="16"/>
                <w:szCs w:val="16"/>
              </w:rPr>
            </w:pPr>
          </w:p>
        </w:tc>
        <w:tc>
          <w:tcPr>
            <w:tcW w:w="4535" w:type="dxa"/>
          </w:tcPr>
          <w:p w14:paraId="3F3ECA5D" w14:textId="77777777" w:rsidR="00531D21" w:rsidRPr="00620A21" w:rsidRDefault="00531D21" w:rsidP="00620A21">
            <w:pPr>
              <w:spacing w:after="80"/>
              <w:rPr>
                <w:sz w:val="16"/>
                <w:szCs w:val="16"/>
              </w:rPr>
            </w:pPr>
          </w:p>
        </w:tc>
      </w:tr>
      <w:tr w:rsidR="00620A21" w:rsidRPr="00620A21" w14:paraId="6622EE69" w14:textId="77777777" w:rsidTr="00620A21">
        <w:trPr>
          <w:trHeight w:val="697"/>
        </w:trPr>
        <w:tc>
          <w:tcPr>
            <w:tcW w:w="1786" w:type="dxa"/>
            <w:shd w:val="clear" w:color="auto" w:fill="auto"/>
          </w:tcPr>
          <w:p w14:paraId="28357E83" w14:textId="77777777" w:rsidR="00531D21" w:rsidRPr="00620A21" w:rsidRDefault="00531D21" w:rsidP="00620A21">
            <w:pPr>
              <w:spacing w:after="80"/>
              <w:rPr>
                <w:rFonts w:cs="Calibri"/>
                <w:b/>
                <w:bCs/>
                <w:sz w:val="16"/>
                <w:szCs w:val="16"/>
              </w:rPr>
            </w:pPr>
            <w:r w:rsidRPr="00620A21">
              <w:rPr>
                <w:rFonts w:cs="Calibri"/>
                <w:b/>
                <w:bCs/>
                <w:sz w:val="16"/>
                <w:szCs w:val="16"/>
              </w:rPr>
              <w:t>Improved strategic planning</w:t>
            </w:r>
          </w:p>
        </w:tc>
        <w:tc>
          <w:tcPr>
            <w:tcW w:w="2228" w:type="dxa"/>
            <w:tcBorders>
              <w:bottom w:val="single" w:sz="8" w:space="0" w:color="8064A2"/>
            </w:tcBorders>
            <w:shd w:val="clear" w:color="auto" w:fill="DFD8E8"/>
          </w:tcPr>
          <w:p w14:paraId="2743391D" w14:textId="77777777" w:rsidR="00531D21" w:rsidRPr="00620A21" w:rsidRDefault="00531D21" w:rsidP="00620A21">
            <w:pPr>
              <w:spacing w:after="80"/>
              <w:rPr>
                <w:rFonts w:eastAsia="Calibri" w:cs="Calibri"/>
                <w:sz w:val="16"/>
                <w:szCs w:val="16"/>
              </w:rPr>
            </w:pPr>
            <w:r w:rsidRPr="00620A21">
              <w:rPr>
                <w:rFonts w:eastAsia="Calibri" w:cs="Calibri"/>
                <w:sz w:val="16"/>
                <w:szCs w:val="16"/>
              </w:rPr>
              <w:t>Proportion of the Study’s total Terms of Reference completed</w:t>
            </w:r>
          </w:p>
        </w:tc>
        <w:tc>
          <w:tcPr>
            <w:tcW w:w="918" w:type="dxa"/>
            <w:shd w:val="clear" w:color="auto" w:fill="auto"/>
            <w:vAlign w:val="center"/>
          </w:tcPr>
          <w:p w14:paraId="58F2D8FD" w14:textId="77777777" w:rsidR="00531D21" w:rsidRPr="00620A21" w:rsidRDefault="00531D21" w:rsidP="00620A21">
            <w:pPr>
              <w:spacing w:after="80"/>
              <w:jc w:val="center"/>
              <w:rPr>
                <w:rFonts w:eastAsia="Calibri" w:cs="Calibri"/>
                <w:sz w:val="16"/>
                <w:szCs w:val="16"/>
              </w:rPr>
            </w:pPr>
            <w:r w:rsidRPr="00620A21">
              <w:rPr>
                <w:rFonts w:eastAsia="Calibri" w:cs="Calibri"/>
                <w:sz w:val="16"/>
                <w:szCs w:val="16"/>
              </w:rPr>
              <w:t>0%</w:t>
            </w:r>
          </w:p>
        </w:tc>
        <w:tc>
          <w:tcPr>
            <w:tcW w:w="918" w:type="dxa"/>
            <w:tcBorders>
              <w:bottom w:val="single" w:sz="8" w:space="0" w:color="8064A2"/>
            </w:tcBorders>
            <w:shd w:val="clear" w:color="auto" w:fill="auto"/>
            <w:vAlign w:val="center"/>
          </w:tcPr>
          <w:p w14:paraId="777B3860"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60%</w:t>
            </w:r>
          </w:p>
        </w:tc>
        <w:tc>
          <w:tcPr>
            <w:tcW w:w="847" w:type="dxa"/>
          </w:tcPr>
          <w:p w14:paraId="4D2EAC3E" w14:textId="77777777" w:rsidR="00531D21" w:rsidRPr="00620A21" w:rsidRDefault="00531D21" w:rsidP="00620A21">
            <w:pPr>
              <w:spacing w:after="80"/>
              <w:jc w:val="center"/>
              <w:rPr>
                <w:rFonts w:eastAsia="Calibri" w:cs="Calibri"/>
                <w:sz w:val="16"/>
                <w:szCs w:val="16"/>
              </w:rPr>
            </w:pPr>
          </w:p>
        </w:tc>
        <w:tc>
          <w:tcPr>
            <w:tcW w:w="918" w:type="dxa"/>
            <w:shd w:val="clear" w:color="auto" w:fill="auto"/>
            <w:vAlign w:val="center"/>
          </w:tcPr>
          <w:p w14:paraId="1292999F" w14:textId="77777777" w:rsidR="00531D21" w:rsidRPr="00620A21" w:rsidRDefault="00531D21" w:rsidP="00620A21">
            <w:pPr>
              <w:spacing w:after="80"/>
              <w:jc w:val="center"/>
              <w:rPr>
                <w:rFonts w:eastAsia="Calibri" w:cs="Calibri"/>
                <w:color w:val="808080"/>
                <w:sz w:val="16"/>
                <w:szCs w:val="16"/>
              </w:rPr>
            </w:pPr>
            <w:r w:rsidRPr="00620A21">
              <w:rPr>
                <w:rFonts w:eastAsia="Calibri" w:cs="Calibri"/>
                <w:color w:val="808080"/>
                <w:sz w:val="16"/>
                <w:szCs w:val="16"/>
              </w:rPr>
              <w:t>100%</w:t>
            </w:r>
          </w:p>
        </w:tc>
        <w:tc>
          <w:tcPr>
            <w:tcW w:w="850" w:type="dxa"/>
          </w:tcPr>
          <w:p w14:paraId="1D1C2D19" w14:textId="77777777" w:rsidR="00531D21" w:rsidRPr="00620A21" w:rsidRDefault="00531D21" w:rsidP="00620A21">
            <w:pPr>
              <w:spacing w:after="80"/>
              <w:jc w:val="center"/>
              <w:rPr>
                <w:rFonts w:eastAsia="Calibri" w:cs="Calibri"/>
                <w:sz w:val="16"/>
                <w:szCs w:val="16"/>
              </w:rPr>
            </w:pPr>
          </w:p>
        </w:tc>
        <w:tc>
          <w:tcPr>
            <w:tcW w:w="850" w:type="dxa"/>
          </w:tcPr>
          <w:p w14:paraId="5CFAE4BB" w14:textId="77777777" w:rsidR="00531D21" w:rsidRPr="00620A21" w:rsidRDefault="00531D21" w:rsidP="00620A21">
            <w:pPr>
              <w:spacing w:after="80"/>
              <w:jc w:val="center"/>
              <w:rPr>
                <w:rFonts w:eastAsia="Calibri" w:cs="Calibri"/>
                <w:sz w:val="16"/>
                <w:szCs w:val="16"/>
              </w:rPr>
            </w:pPr>
          </w:p>
        </w:tc>
        <w:tc>
          <w:tcPr>
            <w:tcW w:w="4535" w:type="dxa"/>
          </w:tcPr>
          <w:p w14:paraId="2025D32B" w14:textId="77777777" w:rsidR="00531D21" w:rsidRPr="00620A21" w:rsidRDefault="00531D21" w:rsidP="00620A21">
            <w:pPr>
              <w:spacing w:after="80"/>
              <w:rPr>
                <w:sz w:val="16"/>
                <w:szCs w:val="16"/>
              </w:rPr>
            </w:pPr>
          </w:p>
        </w:tc>
      </w:tr>
    </w:tbl>
    <w:p w14:paraId="65213185" w14:textId="77777777" w:rsidR="00BE57C8" w:rsidRPr="00BE57C8" w:rsidRDefault="00BE57C8" w:rsidP="00BE57C8"/>
    <w:p w14:paraId="4575B36D" w14:textId="77777777" w:rsidR="00531D21" w:rsidRDefault="00531D21" w:rsidP="00BE3345">
      <w:pPr>
        <w:pStyle w:val="SectionTitle"/>
        <w:sectPr w:rsidR="00531D21" w:rsidSect="00BE57C8">
          <w:pgSz w:w="16838" w:h="11906" w:orient="landscape" w:code="9"/>
          <w:pgMar w:top="1440" w:right="1440" w:bottom="1440" w:left="1440" w:header="578" w:footer="578" w:gutter="0"/>
          <w:cols w:space="720"/>
          <w:titlePg/>
          <w:docGrid w:linePitch="286"/>
        </w:sectPr>
      </w:pPr>
    </w:p>
    <w:p w14:paraId="4F713CF4" w14:textId="77777777" w:rsidR="00AA017A" w:rsidRPr="00127531" w:rsidRDefault="00AA017A" w:rsidP="00BE3345">
      <w:pPr>
        <w:pStyle w:val="SectionTitle"/>
      </w:pPr>
      <w:bookmarkStart w:id="45" w:name="_Toc453956008"/>
      <w:r w:rsidRPr="00127531">
        <w:lastRenderedPageBreak/>
        <w:t>Abbreviations</w:t>
      </w:r>
      <w:bookmarkEnd w:id="41"/>
      <w:bookmarkEnd w:id="45"/>
    </w:p>
    <w:p w14:paraId="08E352C8" w14:textId="0DDAA76F" w:rsidR="00ED28A6" w:rsidRDefault="00ED28A6" w:rsidP="00BE3345">
      <w:r>
        <w:t>CSO</w:t>
      </w:r>
      <w:r>
        <w:tab/>
      </w:r>
      <w:r>
        <w:tab/>
        <w:t>Community service obligation</w:t>
      </w:r>
    </w:p>
    <w:p w14:paraId="463C4D1C" w14:textId="77777777" w:rsidR="00A95BDC" w:rsidRDefault="00A95BDC" w:rsidP="00BE3345">
      <w:r>
        <w:t>DFAT</w:t>
      </w:r>
      <w:r w:rsidR="00100D42">
        <w:tab/>
      </w:r>
      <w:r w:rsidR="00100D42">
        <w:tab/>
        <w:t>Department of Foreign Affairs and Trade</w:t>
      </w:r>
    </w:p>
    <w:p w14:paraId="4BA19F7B" w14:textId="487D1CB3" w:rsidR="00ED28A6" w:rsidRDefault="00ED28A6" w:rsidP="00BE3345">
      <w:r>
        <w:t>EDF</w:t>
      </w:r>
      <w:r>
        <w:tab/>
      </w:r>
      <w:r>
        <w:tab/>
        <w:t>European Development Fund</w:t>
      </w:r>
    </w:p>
    <w:p w14:paraId="1266F74D" w14:textId="77777777" w:rsidR="00032C71" w:rsidRDefault="00032C71" w:rsidP="00BE3345">
      <w:r>
        <w:t>EU</w:t>
      </w:r>
      <w:r w:rsidR="00026EDD">
        <w:tab/>
      </w:r>
      <w:r w:rsidR="00026EDD">
        <w:tab/>
        <w:t>European Union</w:t>
      </w:r>
    </w:p>
    <w:p w14:paraId="132A0D6E" w14:textId="77777777" w:rsidR="001B553D" w:rsidRDefault="001B553D" w:rsidP="00BE3345">
      <w:r>
        <w:t xml:space="preserve">JICA </w:t>
      </w:r>
      <w:r w:rsidR="00026EDD">
        <w:tab/>
      </w:r>
      <w:r w:rsidR="00026EDD">
        <w:tab/>
        <w:t>Japan International Cooperation Agency</w:t>
      </w:r>
    </w:p>
    <w:p w14:paraId="4F52013D" w14:textId="77777777" w:rsidR="00AA017A" w:rsidRDefault="00AA017A" w:rsidP="00BE3345">
      <w:r>
        <w:t>MEF</w:t>
      </w:r>
      <w:r>
        <w:tab/>
      </w:r>
      <w:r>
        <w:tab/>
        <w:t>Monitoring and evaluation framework</w:t>
      </w:r>
    </w:p>
    <w:p w14:paraId="1D714AC6" w14:textId="52C087F8" w:rsidR="00ED28A6" w:rsidRDefault="00ED28A6" w:rsidP="00BE3345">
      <w:r>
        <w:t>MMERE</w:t>
      </w:r>
      <w:r>
        <w:tab/>
      </w:r>
      <w:r>
        <w:tab/>
        <w:t>Ministry of Mines, Energy and Rural Electrification</w:t>
      </w:r>
    </w:p>
    <w:p w14:paraId="1806578E" w14:textId="77777777" w:rsidR="00B118C7" w:rsidRDefault="00B118C7" w:rsidP="00BE3345">
      <w:r>
        <w:t>NRW</w:t>
      </w:r>
      <w:r>
        <w:tab/>
      </w:r>
      <w:r>
        <w:tab/>
        <w:t>Non-revenue water</w:t>
      </w:r>
    </w:p>
    <w:p w14:paraId="27887AD2" w14:textId="163DCFF4" w:rsidR="00ED28A6" w:rsidRDefault="00ED28A6" w:rsidP="00BE3345">
      <w:r>
        <w:t>PWWA</w:t>
      </w:r>
      <w:r>
        <w:tab/>
      </w:r>
      <w:r>
        <w:tab/>
        <w:t>Pacific Water and Wastewater Association</w:t>
      </w:r>
    </w:p>
    <w:p w14:paraId="4659A69F" w14:textId="77777777" w:rsidR="00032C71" w:rsidRDefault="00032C71" w:rsidP="00BE3345">
      <w:r>
        <w:t>RAP</w:t>
      </w:r>
      <w:r w:rsidR="00026EDD">
        <w:tab/>
      </w:r>
      <w:r w:rsidR="00026EDD">
        <w:tab/>
        <w:t>Recovery Strategy and Action Plan</w:t>
      </w:r>
    </w:p>
    <w:p w14:paraId="3388D8DA" w14:textId="5B6FB7FF" w:rsidR="00ED28A6" w:rsidRDefault="00ED28A6" w:rsidP="00BE3345">
      <w:r>
        <w:t>SBD</w:t>
      </w:r>
      <w:r>
        <w:tab/>
      </w:r>
      <w:r>
        <w:tab/>
        <w:t>Solomon Islands dollar</w:t>
      </w:r>
    </w:p>
    <w:p w14:paraId="5100898B" w14:textId="7C481605" w:rsidR="00815FC8" w:rsidRDefault="00815FC8" w:rsidP="00BE3345">
      <w:r>
        <w:t>SCADA</w:t>
      </w:r>
      <w:r>
        <w:tab/>
      </w:r>
      <w:r>
        <w:tab/>
      </w:r>
      <w:r w:rsidRPr="00EC2DBA">
        <w:t xml:space="preserve">Supervisory Control </w:t>
      </w:r>
      <w:r>
        <w:t>a</w:t>
      </w:r>
      <w:r w:rsidRPr="00EC2DBA">
        <w:t xml:space="preserve">nd Data Acquisition </w:t>
      </w:r>
    </w:p>
    <w:p w14:paraId="203CE943" w14:textId="7B9BFA2A" w:rsidR="00ED28A6" w:rsidRDefault="00ED28A6" w:rsidP="00BE3345">
      <w:r>
        <w:t>SOE</w:t>
      </w:r>
      <w:r>
        <w:tab/>
      </w:r>
      <w:r>
        <w:tab/>
        <w:t>State-owned enterprise</w:t>
      </w:r>
    </w:p>
    <w:p w14:paraId="7859F8E6" w14:textId="77777777" w:rsidR="00AA017A" w:rsidRDefault="001F2790" w:rsidP="00BE3345">
      <w:r>
        <w:t>SIG</w:t>
      </w:r>
      <w:r>
        <w:tab/>
      </w:r>
      <w:r>
        <w:tab/>
        <w:t>Solomon Islands Government</w:t>
      </w:r>
    </w:p>
    <w:p w14:paraId="2EAE9946" w14:textId="77777777" w:rsidR="00032C71" w:rsidRDefault="00032C71" w:rsidP="00BE3345">
      <w:r>
        <w:t>SIWA</w:t>
      </w:r>
      <w:r w:rsidR="00026EDD">
        <w:tab/>
      </w:r>
      <w:r w:rsidR="00026EDD">
        <w:tab/>
        <w:t>Solomon Islands Water Authority</w:t>
      </w:r>
    </w:p>
    <w:p w14:paraId="45C6CD4B" w14:textId="01AE2F8A" w:rsidR="002451B5" w:rsidRDefault="002451B5" w:rsidP="00BE3345">
      <w:r>
        <w:t>TA</w:t>
      </w:r>
      <w:r>
        <w:tab/>
      </w:r>
      <w:r>
        <w:tab/>
        <w:t>Technical assistance</w:t>
      </w:r>
    </w:p>
    <w:p w14:paraId="4B4ACD03" w14:textId="64259187" w:rsidR="00ED28A6" w:rsidRDefault="00ED28A6" w:rsidP="00BE3345">
      <w:r>
        <w:t>WASH</w:t>
      </w:r>
      <w:r>
        <w:tab/>
      </w:r>
      <w:r>
        <w:tab/>
        <w:t>Water, sanitation and hygiene</w:t>
      </w:r>
    </w:p>
    <w:p w14:paraId="2F19ADC3" w14:textId="6EE448F3" w:rsidR="00ED28A6" w:rsidRDefault="00ED28A6" w:rsidP="00BE3345">
      <w:r>
        <w:t>WHO</w:t>
      </w:r>
      <w:r>
        <w:tab/>
      </w:r>
      <w:r>
        <w:tab/>
        <w:t>World Health Organisation</w:t>
      </w:r>
    </w:p>
    <w:p w14:paraId="7B3AE6DF" w14:textId="77777777" w:rsidR="00B35288" w:rsidRDefault="00B35288" w:rsidP="00BE3345"/>
    <w:p w14:paraId="1DB7EE0D" w14:textId="77777777" w:rsidR="00006BD6" w:rsidRDefault="00006BD6" w:rsidP="00006BD6">
      <w:pPr>
        <w:pStyle w:val="SectionTitle"/>
        <w:rPr>
          <w:noProof/>
        </w:rPr>
      </w:pPr>
      <w:bookmarkStart w:id="46" w:name="_Toc453956009"/>
      <w:r>
        <w:rPr>
          <w:noProof/>
        </w:rPr>
        <w:lastRenderedPageBreak/>
        <w:t>References</w:t>
      </w:r>
      <w:bookmarkEnd w:id="46"/>
    </w:p>
    <w:p w14:paraId="34343813" w14:textId="77777777" w:rsidR="00006BD6" w:rsidRDefault="00006BD6" w:rsidP="00006BD6">
      <w:pPr>
        <w:spacing w:before="0" w:after="0" w:line="240" w:lineRule="auto"/>
        <w:jc w:val="center"/>
        <w:rPr>
          <w:rFonts w:ascii="Arial" w:hAnsi="Arial" w:cs="Arial"/>
          <w:b/>
          <w:bCs/>
          <w:color w:val="FFFFFF"/>
          <w:sz w:val="20"/>
          <w:lang w:val="en-NZ" w:eastAsia="en-NZ"/>
        </w:rPr>
      </w:pPr>
    </w:p>
    <w:p w14:paraId="5257F217" w14:textId="77777777" w:rsidR="00006BD6" w:rsidRDefault="00006BD6" w:rsidP="00531D21">
      <w:pPr>
        <w:pStyle w:val="ColorfulList-Accent11"/>
        <w:numPr>
          <w:ilvl w:val="0"/>
          <w:numId w:val="14"/>
        </w:numPr>
        <w:spacing w:before="0" w:after="200" w:line="276" w:lineRule="auto"/>
        <w:ind w:left="1077" w:hanging="357"/>
      </w:pPr>
      <w:r>
        <w:t>Australia’s Aid Investment Plan for Solomon Islands</w:t>
      </w:r>
    </w:p>
    <w:p w14:paraId="12EF373F" w14:textId="77777777" w:rsidR="00006BD6" w:rsidRPr="00921B1B" w:rsidRDefault="00006BD6" w:rsidP="00531D21">
      <w:pPr>
        <w:pStyle w:val="ColorfulList-Accent11"/>
        <w:numPr>
          <w:ilvl w:val="0"/>
          <w:numId w:val="14"/>
        </w:numPr>
        <w:spacing w:before="0" w:after="200" w:line="276" w:lineRule="auto"/>
        <w:ind w:left="1077" w:hanging="357"/>
      </w:pPr>
      <w:r w:rsidRPr="00921B1B">
        <w:t xml:space="preserve">Investment </w:t>
      </w:r>
      <w:r>
        <w:t>c</w:t>
      </w:r>
      <w:r w:rsidRPr="00921B1B">
        <w:t>oncept/</w:t>
      </w:r>
      <w:r>
        <w:t>d</w:t>
      </w:r>
      <w:r w:rsidRPr="00921B1B">
        <w:t>esign documents</w:t>
      </w:r>
      <w:r>
        <w:t xml:space="preserve"> for the urban water program</w:t>
      </w:r>
    </w:p>
    <w:p w14:paraId="7E272C06" w14:textId="77777777" w:rsidR="00006BD6" w:rsidRDefault="00006BD6" w:rsidP="00531D21">
      <w:pPr>
        <w:pStyle w:val="ColorfulList-Accent11"/>
        <w:numPr>
          <w:ilvl w:val="0"/>
          <w:numId w:val="14"/>
        </w:numPr>
        <w:spacing w:before="0" w:after="200" w:line="276" w:lineRule="auto"/>
        <w:ind w:left="1077" w:hanging="357"/>
      </w:pPr>
      <w:r w:rsidRPr="00921B1B">
        <w:t>DFAT-SIWA Direct Funding Agreement</w:t>
      </w:r>
    </w:p>
    <w:p w14:paraId="3FD0CE9A" w14:textId="77777777" w:rsidR="00006BD6" w:rsidRPr="00921B1B" w:rsidRDefault="00006BD6" w:rsidP="00531D21">
      <w:pPr>
        <w:pStyle w:val="ColorfulList-Accent11"/>
        <w:numPr>
          <w:ilvl w:val="0"/>
          <w:numId w:val="14"/>
        </w:numPr>
        <w:spacing w:before="0" w:after="200" w:line="276" w:lineRule="auto"/>
        <w:ind w:left="1077" w:hanging="357"/>
      </w:pPr>
      <w:r>
        <w:t>Terms of reference for DFAT-funded long term advisers to SIWA</w:t>
      </w:r>
    </w:p>
    <w:p w14:paraId="4892BD7D" w14:textId="77777777" w:rsidR="00006BD6" w:rsidRDefault="00006BD6" w:rsidP="00531D21">
      <w:pPr>
        <w:pStyle w:val="ColorfulList-Accent11"/>
        <w:numPr>
          <w:ilvl w:val="0"/>
          <w:numId w:val="14"/>
        </w:numPr>
        <w:spacing w:before="0" w:after="200" w:line="276" w:lineRule="auto"/>
        <w:ind w:left="1077" w:hanging="357"/>
      </w:pPr>
      <w:r>
        <w:t>DFAT Economic Infrastructure Strategy</w:t>
      </w:r>
    </w:p>
    <w:p w14:paraId="407C528E" w14:textId="77777777" w:rsidR="00006BD6" w:rsidRDefault="00006BD6" w:rsidP="00531D21">
      <w:pPr>
        <w:pStyle w:val="ColorfulList-Accent11"/>
        <w:numPr>
          <w:ilvl w:val="0"/>
          <w:numId w:val="14"/>
        </w:numPr>
        <w:spacing w:before="0" w:after="200" w:line="276" w:lineRule="auto"/>
        <w:ind w:left="1077" w:hanging="357"/>
      </w:pPr>
      <w:r>
        <w:t>DFAT Health for Development Strategy</w:t>
      </w:r>
    </w:p>
    <w:p w14:paraId="7C77EBDF" w14:textId="77777777" w:rsidR="00006BD6" w:rsidRDefault="00006BD6" w:rsidP="00531D21">
      <w:pPr>
        <w:pStyle w:val="ColorfulList-Accent11"/>
        <w:numPr>
          <w:ilvl w:val="0"/>
          <w:numId w:val="14"/>
        </w:numPr>
        <w:spacing w:before="0" w:after="200" w:line="276" w:lineRule="auto"/>
        <w:ind w:left="1077" w:hanging="357"/>
      </w:pPr>
      <w:r>
        <w:t>DFAT Gender Equality Strategy</w:t>
      </w:r>
    </w:p>
    <w:p w14:paraId="1FA0C57F" w14:textId="77777777" w:rsidR="00006BD6" w:rsidRPr="00921B1B" w:rsidRDefault="00006BD6" w:rsidP="00531D21">
      <w:pPr>
        <w:pStyle w:val="ColorfulList-Accent11"/>
        <w:numPr>
          <w:ilvl w:val="0"/>
          <w:numId w:val="14"/>
        </w:numPr>
        <w:spacing w:before="0" w:after="200" w:line="276" w:lineRule="auto"/>
        <w:ind w:left="1077" w:hanging="357"/>
      </w:pPr>
      <w:r>
        <w:t>DFAT-UTS Solomon Islands Water and Sanitation Health Sector Brief 2012</w:t>
      </w:r>
    </w:p>
    <w:p w14:paraId="75C559CC" w14:textId="77777777" w:rsidR="00006BD6" w:rsidRDefault="00006BD6" w:rsidP="00531D21">
      <w:pPr>
        <w:pStyle w:val="ColorfulList-Accent11"/>
        <w:numPr>
          <w:ilvl w:val="0"/>
          <w:numId w:val="14"/>
        </w:numPr>
        <w:spacing w:before="0" w:after="200" w:line="276" w:lineRule="auto"/>
        <w:ind w:left="1077" w:hanging="357"/>
      </w:pPr>
      <w:r>
        <w:t>DFAT monitoring and evaluation standards</w:t>
      </w:r>
    </w:p>
    <w:p w14:paraId="2F12DDF2" w14:textId="77777777" w:rsidR="00006BD6" w:rsidRDefault="00006BD6" w:rsidP="00531D21">
      <w:pPr>
        <w:pStyle w:val="ColorfulList-Accent11"/>
        <w:numPr>
          <w:ilvl w:val="0"/>
          <w:numId w:val="14"/>
        </w:numPr>
        <w:spacing w:before="0" w:after="200" w:line="276" w:lineRule="auto"/>
        <w:ind w:left="1077" w:hanging="357"/>
      </w:pPr>
      <w:r w:rsidRPr="00921B1B">
        <w:t xml:space="preserve">DFAT </w:t>
      </w:r>
      <w:r>
        <w:t>i</w:t>
      </w:r>
      <w:r w:rsidRPr="00921B1B">
        <w:t xml:space="preserve">nvestment </w:t>
      </w:r>
      <w:r>
        <w:t>q</w:t>
      </w:r>
      <w:r w:rsidRPr="00921B1B">
        <w:t xml:space="preserve">uality </w:t>
      </w:r>
      <w:r>
        <w:t>r</w:t>
      </w:r>
      <w:r w:rsidRPr="00921B1B">
        <w:t>eports</w:t>
      </w:r>
      <w:r>
        <w:t xml:space="preserve"> on the water program</w:t>
      </w:r>
    </w:p>
    <w:p w14:paraId="01D96A0E" w14:textId="77777777" w:rsidR="00006BD6" w:rsidRDefault="00006BD6" w:rsidP="00531D21">
      <w:pPr>
        <w:pStyle w:val="ColorfulList-Accent11"/>
        <w:numPr>
          <w:ilvl w:val="0"/>
          <w:numId w:val="14"/>
        </w:numPr>
        <w:spacing w:before="0" w:after="200" w:line="276" w:lineRule="auto"/>
        <w:ind w:left="1077" w:hanging="357"/>
      </w:pPr>
      <w:r>
        <w:t>Solomon Islands Democratic Coalition for Change Policy Statement</w:t>
      </w:r>
    </w:p>
    <w:p w14:paraId="0CC64619" w14:textId="77777777" w:rsidR="00006BD6" w:rsidRDefault="00006BD6" w:rsidP="00531D21">
      <w:pPr>
        <w:pStyle w:val="ColorfulList-Accent11"/>
        <w:numPr>
          <w:ilvl w:val="0"/>
          <w:numId w:val="14"/>
        </w:numPr>
        <w:spacing w:before="0" w:after="200" w:line="276" w:lineRule="auto"/>
        <w:ind w:left="1077" w:hanging="357"/>
      </w:pPr>
      <w:r>
        <w:t>Solomon Islands Water Policy</w:t>
      </w:r>
    </w:p>
    <w:p w14:paraId="2D7BEA9A" w14:textId="77777777" w:rsidR="00006BD6" w:rsidRPr="00921B1B" w:rsidRDefault="00006BD6" w:rsidP="00531D21">
      <w:pPr>
        <w:pStyle w:val="ColorfulList-Accent11"/>
        <w:numPr>
          <w:ilvl w:val="0"/>
          <w:numId w:val="14"/>
        </w:numPr>
        <w:spacing w:before="0" w:after="200" w:line="276" w:lineRule="auto"/>
        <w:ind w:left="1077" w:hanging="357"/>
      </w:pPr>
      <w:r w:rsidRPr="00921B1B">
        <w:t>SIWA Development Plan 2013–2016</w:t>
      </w:r>
    </w:p>
    <w:p w14:paraId="05E3E54A" w14:textId="77777777" w:rsidR="00006BD6" w:rsidRPr="00921B1B" w:rsidRDefault="00006BD6" w:rsidP="00531D21">
      <w:pPr>
        <w:pStyle w:val="ColorfulList-Accent11"/>
        <w:numPr>
          <w:ilvl w:val="0"/>
          <w:numId w:val="14"/>
        </w:numPr>
        <w:spacing w:before="0" w:after="200" w:line="276" w:lineRule="auto"/>
        <w:ind w:left="1077" w:hanging="357"/>
      </w:pPr>
      <w:r w:rsidRPr="00921B1B">
        <w:t>SIWA Short Term Recovery Strategy and Action Plan  2011</w:t>
      </w:r>
      <w:r>
        <w:t>–</w:t>
      </w:r>
      <w:r w:rsidRPr="00921B1B">
        <w:t xml:space="preserve">2013 </w:t>
      </w:r>
    </w:p>
    <w:p w14:paraId="12DFF9D3" w14:textId="77777777" w:rsidR="00006BD6" w:rsidRDefault="00006BD6" w:rsidP="00531D21">
      <w:pPr>
        <w:pStyle w:val="ColorfulList-Accent11"/>
        <w:numPr>
          <w:ilvl w:val="0"/>
          <w:numId w:val="14"/>
        </w:numPr>
        <w:spacing w:before="0" w:after="200" w:line="276" w:lineRule="auto"/>
        <w:ind w:left="1077" w:hanging="357"/>
      </w:pPr>
      <w:r>
        <w:t>Review of the effectiveness of the RAP by former SIWA General Manager</w:t>
      </w:r>
    </w:p>
    <w:p w14:paraId="357FDCBF" w14:textId="77777777" w:rsidR="00006BD6" w:rsidRPr="00921B1B" w:rsidRDefault="00006BD6" w:rsidP="00531D21">
      <w:pPr>
        <w:pStyle w:val="ColorfulList-Accent11"/>
        <w:numPr>
          <w:ilvl w:val="0"/>
          <w:numId w:val="14"/>
        </w:numPr>
        <w:spacing w:before="0" w:after="200" w:line="276" w:lineRule="auto"/>
        <w:ind w:left="1077" w:hanging="357"/>
      </w:pPr>
      <w:r w:rsidRPr="00921B1B">
        <w:t xml:space="preserve">RAP and Development Plan </w:t>
      </w:r>
      <w:r>
        <w:t>a</w:t>
      </w:r>
      <w:r w:rsidRPr="00921B1B">
        <w:t xml:space="preserve">udit </w:t>
      </w:r>
      <w:r>
        <w:t>r</w:t>
      </w:r>
      <w:r w:rsidRPr="00921B1B">
        <w:t>eports</w:t>
      </w:r>
    </w:p>
    <w:p w14:paraId="0544595B" w14:textId="77777777" w:rsidR="00006BD6" w:rsidRDefault="00006BD6" w:rsidP="00531D21">
      <w:pPr>
        <w:pStyle w:val="ColorfulList-Accent11"/>
        <w:numPr>
          <w:ilvl w:val="0"/>
          <w:numId w:val="14"/>
        </w:numPr>
        <w:spacing w:before="0" w:after="200" w:line="276" w:lineRule="auto"/>
        <w:ind w:left="1077" w:hanging="357"/>
      </w:pPr>
      <w:r w:rsidRPr="00921B1B">
        <w:t>SIWA Annual Reports</w:t>
      </w:r>
      <w:r w:rsidR="00743A05">
        <w:rPr>
          <w:lang w:val="en-NZ"/>
        </w:rPr>
        <w:t xml:space="preserve"> - 2014</w:t>
      </w:r>
    </w:p>
    <w:p w14:paraId="2A249848" w14:textId="77777777" w:rsidR="00006BD6" w:rsidRPr="00142224" w:rsidRDefault="00006BD6" w:rsidP="00531D21">
      <w:pPr>
        <w:pStyle w:val="ColorfulList-Accent11"/>
        <w:numPr>
          <w:ilvl w:val="0"/>
          <w:numId w:val="14"/>
        </w:numPr>
        <w:spacing w:before="0" w:after="200" w:line="276" w:lineRule="auto"/>
        <w:ind w:left="1077" w:hanging="357"/>
      </w:pPr>
      <w:r>
        <w:t>SIWA reports</w:t>
      </w:r>
      <w:r w:rsidR="00743A05">
        <w:rPr>
          <w:lang w:val="en-NZ"/>
        </w:rPr>
        <w:t xml:space="preserve"> to Program Steering Group 2014, 2015, 2016</w:t>
      </w:r>
    </w:p>
    <w:p w14:paraId="58F2B9AD" w14:textId="77777777" w:rsidR="00531D21" w:rsidRPr="00531D21" w:rsidRDefault="00006BD6" w:rsidP="00531D21">
      <w:pPr>
        <w:pStyle w:val="ColorfulList-Accent11"/>
        <w:numPr>
          <w:ilvl w:val="0"/>
          <w:numId w:val="14"/>
        </w:numPr>
        <w:spacing w:before="0" w:after="200" w:line="276" w:lineRule="auto"/>
        <w:ind w:left="1077" w:hanging="357"/>
      </w:pPr>
      <w:r>
        <w:t>People’s Survey 2013</w:t>
      </w:r>
    </w:p>
    <w:p w14:paraId="72CA1289" w14:textId="77777777" w:rsidR="00531D21" w:rsidRPr="00531D21" w:rsidRDefault="00006BD6" w:rsidP="00531D21">
      <w:pPr>
        <w:pStyle w:val="ColorfulList-Accent11"/>
        <w:numPr>
          <w:ilvl w:val="0"/>
          <w:numId w:val="14"/>
        </w:numPr>
        <w:spacing w:before="0" w:after="200" w:line="276" w:lineRule="auto"/>
        <w:ind w:left="1077" w:hanging="357"/>
      </w:pPr>
      <w:r>
        <w:t xml:space="preserve">Pacific </w:t>
      </w:r>
      <w:r w:rsidRPr="00531D21">
        <w:t>Water and Wastewater Utilities Benchmarking Report 2013</w:t>
      </w:r>
    </w:p>
    <w:p w14:paraId="4D36192A" w14:textId="77777777" w:rsidR="00531D21" w:rsidRPr="00531D21" w:rsidRDefault="00743A05" w:rsidP="00531D21">
      <w:pPr>
        <w:pStyle w:val="ColorfulList-Accent11"/>
        <w:numPr>
          <w:ilvl w:val="0"/>
          <w:numId w:val="14"/>
        </w:numPr>
        <w:spacing w:before="0" w:after="200" w:line="276" w:lineRule="auto"/>
        <w:ind w:left="1077" w:hanging="357"/>
      </w:pPr>
      <w:r w:rsidRPr="00531D21">
        <w:t>Solomon Islands</w:t>
      </w:r>
      <w:r w:rsidR="00531D21" w:rsidRPr="00531D21">
        <w:t xml:space="preserve"> </w:t>
      </w:r>
      <w:r w:rsidRPr="00531D21">
        <w:t xml:space="preserve">Aid Management and Development Cooperation Policy. Ministry of Development Planning and Aid Coordination. </w:t>
      </w:r>
    </w:p>
    <w:p w14:paraId="2F7042CA" w14:textId="77777777" w:rsidR="00531D21" w:rsidRPr="00531D21" w:rsidRDefault="00743A05" w:rsidP="00531D21">
      <w:pPr>
        <w:pStyle w:val="ColorfulList-Accent11"/>
        <w:numPr>
          <w:ilvl w:val="0"/>
          <w:numId w:val="14"/>
        </w:numPr>
        <w:spacing w:before="0" w:after="200" w:line="276" w:lineRule="auto"/>
        <w:ind w:left="1077" w:hanging="357"/>
      </w:pPr>
      <w:r w:rsidRPr="00531D21">
        <w:t xml:space="preserve">Solomon Islands National Development Strategy </w:t>
      </w:r>
    </w:p>
    <w:p w14:paraId="00BF13C2" w14:textId="77777777" w:rsidR="00327A4A" w:rsidRPr="00531D21" w:rsidRDefault="00327A4A" w:rsidP="00531D21">
      <w:pPr>
        <w:pStyle w:val="ColorfulList-Accent11"/>
        <w:numPr>
          <w:ilvl w:val="0"/>
          <w:numId w:val="14"/>
        </w:numPr>
        <w:spacing w:before="0" w:after="200" w:line="276" w:lineRule="auto"/>
        <w:ind w:left="1077" w:hanging="357"/>
      </w:pPr>
      <w:r w:rsidRPr="00531D21">
        <w:t>Drinking Water Safety Planning – A Practical Guide for Pacific Island Countries, WHO, AusAID, SOPAC</w:t>
      </w:r>
    </w:p>
    <w:p w14:paraId="3D659AD2" w14:textId="77777777" w:rsidR="00743A05" w:rsidRDefault="00743A05" w:rsidP="00743A05">
      <w:pPr>
        <w:pStyle w:val="ColorfulList-Accent11"/>
        <w:spacing w:before="0" w:after="200" w:line="276" w:lineRule="auto"/>
        <w:rPr>
          <w:lang w:val="en-NZ"/>
        </w:rPr>
      </w:pPr>
    </w:p>
    <w:p w14:paraId="7DF13D9B" w14:textId="77777777" w:rsidR="00743A05" w:rsidRDefault="00743A05" w:rsidP="00743A05">
      <w:pPr>
        <w:pStyle w:val="ColorfulList-Accent11"/>
        <w:spacing w:before="0" w:after="200" w:line="276" w:lineRule="auto"/>
        <w:rPr>
          <w:lang w:val="en-NZ"/>
        </w:rPr>
      </w:pPr>
    </w:p>
    <w:p w14:paraId="2AD56E61" w14:textId="77777777" w:rsidR="00743A05" w:rsidRDefault="00743A05" w:rsidP="00743A05">
      <w:pPr>
        <w:pStyle w:val="ColorfulList-Accent11"/>
        <w:spacing w:before="0" w:after="200" w:line="276" w:lineRule="auto"/>
      </w:pPr>
    </w:p>
    <w:p w14:paraId="58F83782" w14:textId="77777777" w:rsidR="00006BD6" w:rsidRPr="00105C3F" w:rsidRDefault="00006BD6" w:rsidP="00006BD6"/>
    <w:p w14:paraId="45765FE0" w14:textId="77777777" w:rsidR="00006BD6" w:rsidRPr="00006BD6" w:rsidRDefault="00006BD6" w:rsidP="00006BD6"/>
    <w:p w14:paraId="6948F28F" w14:textId="77777777" w:rsidR="00B35288" w:rsidRPr="00B35288" w:rsidRDefault="00B35288" w:rsidP="00B35288"/>
    <w:sectPr w:rsidR="00B35288" w:rsidRPr="00B35288" w:rsidSect="00531D21">
      <w:pgSz w:w="11906" w:h="16838" w:code="9"/>
      <w:pgMar w:top="1440" w:right="1440" w:bottom="1440" w:left="1440" w:header="578" w:footer="578"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9D97" w14:textId="77777777" w:rsidR="00DC3F17" w:rsidRDefault="00DC3F17">
      <w:pPr>
        <w:spacing w:after="0"/>
      </w:pPr>
      <w:r>
        <w:separator/>
      </w:r>
    </w:p>
  </w:endnote>
  <w:endnote w:type="continuationSeparator" w:id="0">
    <w:p w14:paraId="0424BD57" w14:textId="77777777" w:rsidR="00DC3F17" w:rsidRDefault="00DC3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0"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ista Sans OT Light">
    <w:altName w:val="Vista Sans OT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80A" w14:textId="77777777" w:rsidR="00681DFD" w:rsidRDefault="00681DFD">
    <w:pPr>
      <w:pStyle w:val="Footer"/>
      <w:jc w:val="center"/>
    </w:pPr>
    <w:r>
      <w:fldChar w:fldCharType="begin"/>
    </w:r>
    <w:r>
      <w:instrText xml:space="preserve"> PAGE   \* MERGEFORMAT </w:instrText>
    </w:r>
    <w:r>
      <w:fldChar w:fldCharType="separate"/>
    </w:r>
    <w:r>
      <w:rPr>
        <w:noProof/>
      </w:rPr>
      <w:t>10</w:t>
    </w:r>
    <w:r>
      <w:fldChar w:fldCharType="end"/>
    </w:r>
  </w:p>
  <w:p w14:paraId="51840A76" w14:textId="77777777" w:rsidR="00681DFD" w:rsidRDefault="00681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ACC1" w14:textId="7120651D" w:rsidR="00681DFD" w:rsidRDefault="00681DFD" w:rsidP="00AA45A4">
    <w:pPr>
      <w:pStyle w:val="Footer"/>
      <w:jc w:val="center"/>
    </w:pPr>
    <w:r>
      <w:fldChar w:fldCharType="begin"/>
    </w:r>
    <w:r>
      <w:instrText xml:space="preserve"> PAGE   \* MERGEFORMAT </w:instrText>
    </w:r>
    <w:r>
      <w:fldChar w:fldCharType="separate"/>
    </w:r>
    <w:r w:rsidR="0027421F">
      <w:rPr>
        <w:noProof/>
      </w:rPr>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25C4" w14:textId="77777777" w:rsidR="00681DFD" w:rsidRDefault="00681DFD" w:rsidP="00F94BB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6F78" w14:textId="1875ACCA" w:rsidR="00681DFD" w:rsidRDefault="00681DFD" w:rsidP="00F94BBA">
    <w:pPr>
      <w:pStyle w:val="Footer"/>
      <w:jc w:val="center"/>
    </w:pPr>
    <w:r>
      <w:fldChar w:fldCharType="begin"/>
    </w:r>
    <w:r>
      <w:instrText xml:space="preserve"> PAGE   \* MERGEFORMAT </w:instrText>
    </w:r>
    <w:r>
      <w:fldChar w:fldCharType="separate"/>
    </w:r>
    <w:r w:rsidR="0027421F">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6805" w14:textId="46DF77B8" w:rsidR="00681DFD" w:rsidRDefault="00681DFD" w:rsidP="00AA45A4">
    <w:pPr>
      <w:pStyle w:val="Footer"/>
      <w:jc w:val="center"/>
    </w:pPr>
    <w:r>
      <w:fldChar w:fldCharType="begin"/>
    </w:r>
    <w:r>
      <w:instrText xml:space="preserve"> PAGE   \* MERGEFORMAT </w:instrText>
    </w:r>
    <w:r>
      <w:fldChar w:fldCharType="separate"/>
    </w:r>
    <w:r w:rsidR="002742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3EA5" w14:textId="77777777" w:rsidR="00DC3F17" w:rsidRDefault="00DC3F17">
      <w:pPr>
        <w:spacing w:after="0"/>
      </w:pPr>
      <w:r>
        <w:separator/>
      </w:r>
    </w:p>
  </w:footnote>
  <w:footnote w:type="continuationSeparator" w:id="0">
    <w:p w14:paraId="63A88611" w14:textId="77777777" w:rsidR="00DC3F17" w:rsidRDefault="00DC3F17">
      <w:pPr>
        <w:spacing w:after="0"/>
      </w:pPr>
      <w:r>
        <w:continuationSeparator/>
      </w:r>
    </w:p>
  </w:footnote>
  <w:footnote w:id="1">
    <w:p w14:paraId="7027E732" w14:textId="235702EB" w:rsidR="00681DFD" w:rsidRPr="00D15497" w:rsidRDefault="00681DFD">
      <w:pPr>
        <w:pStyle w:val="FootnoteText"/>
        <w:rPr>
          <w:lang w:val="en-NZ"/>
        </w:rPr>
      </w:pPr>
      <w:r>
        <w:rPr>
          <w:rStyle w:val="FootnoteReference"/>
        </w:rPr>
        <w:footnoteRef/>
      </w:r>
      <w:r>
        <w:tab/>
        <w:t xml:space="preserve">These were </w:t>
      </w:r>
      <w:r>
        <w:rPr>
          <w:lang w:val="en-NZ"/>
        </w:rPr>
        <w:t xml:space="preserve">amended during the writing of the evaluation plan to include consideration of how DFAT could support Solomon Water to transition to longer term EU support given the completion of DFAT’s funding to Solomon Water at the end of existing commitments. Solomon Water was not advised of this change at the time of writing the evaluation plan - the evaluation team provided the updated evaluation questions during the in-country consultations. </w:t>
      </w:r>
    </w:p>
  </w:footnote>
  <w:footnote w:id="2">
    <w:p w14:paraId="44EB28E1" w14:textId="770F2E76" w:rsidR="00681DFD" w:rsidRPr="009D1F8D" w:rsidRDefault="00681DFD">
      <w:pPr>
        <w:pStyle w:val="FootnoteText"/>
        <w:rPr>
          <w:lang w:val="en-NZ"/>
        </w:rPr>
      </w:pPr>
      <w:r>
        <w:rPr>
          <w:rStyle w:val="FootnoteReference"/>
        </w:rPr>
        <w:footnoteRef/>
      </w:r>
      <w:r>
        <w:t xml:space="preserve"> </w:t>
      </w:r>
      <w:r>
        <w:tab/>
      </w:r>
      <w:r w:rsidRPr="00F621FF">
        <w:rPr>
          <w:rFonts w:eastAsia="MS Mincho"/>
        </w:rPr>
        <w:t>The evaluation plan summarises the evaluation design.</w:t>
      </w:r>
    </w:p>
  </w:footnote>
  <w:footnote w:id="3">
    <w:p w14:paraId="018F8F61" w14:textId="5C17BEEC" w:rsidR="00681DFD" w:rsidRPr="006B5BF2" w:rsidRDefault="00681DFD">
      <w:pPr>
        <w:pStyle w:val="FootnoteText"/>
        <w:rPr>
          <w:lang w:val="en-NZ"/>
        </w:rPr>
      </w:pPr>
      <w:r>
        <w:rPr>
          <w:rStyle w:val="FootnoteReference"/>
        </w:rPr>
        <w:footnoteRef/>
      </w:r>
      <w:r>
        <w:t xml:space="preserve"> </w:t>
      </w:r>
      <w:r>
        <w:rPr>
          <w:lang w:val="en-NZ"/>
        </w:rPr>
        <w:tab/>
        <w:t>Board member tenures have progressively expired in 2014 and 2015, and one member resigned. The outcome of the recruitment processes to replace and/or reappoint members is awaiting approval from the Accountable Ministers.</w:t>
      </w:r>
    </w:p>
  </w:footnote>
  <w:footnote w:id="4">
    <w:p w14:paraId="0C8C1B4E" w14:textId="16043D80" w:rsidR="00681DFD" w:rsidRPr="00ED1E54" w:rsidRDefault="00681DFD">
      <w:pPr>
        <w:pStyle w:val="FootnoteText"/>
        <w:rPr>
          <w:lang w:val="en-NZ"/>
        </w:rPr>
      </w:pPr>
      <w:r>
        <w:rPr>
          <w:rStyle w:val="FootnoteReference"/>
        </w:rPr>
        <w:footnoteRef/>
      </w:r>
      <w:r>
        <w:t xml:space="preserve"> </w:t>
      </w:r>
      <w:r>
        <w:rPr>
          <w:lang w:val="en-NZ"/>
        </w:rPr>
        <w:tab/>
        <w:t>Solomon Water estimates it provides wastewater services to around 30 per cent of Honiara.</w:t>
      </w:r>
    </w:p>
  </w:footnote>
  <w:footnote w:id="5">
    <w:p w14:paraId="76003176" w14:textId="758B38EA" w:rsidR="00681DFD" w:rsidRPr="00A94CB4" w:rsidRDefault="00681DFD">
      <w:pPr>
        <w:pStyle w:val="FootnoteText"/>
        <w:rPr>
          <w:lang w:val="en-NZ"/>
        </w:rPr>
      </w:pPr>
      <w:r>
        <w:rPr>
          <w:rStyle w:val="FootnoteReference"/>
        </w:rPr>
        <w:footnoteRef/>
      </w:r>
      <w:r>
        <w:t xml:space="preserve"> </w:t>
      </w:r>
      <w:r>
        <w:tab/>
        <w:t>Solomon Water d</w:t>
      </w:r>
      <w:r w:rsidRPr="00A94CB4">
        <w:t xml:space="preserve">ata </w:t>
      </w:r>
      <w:r>
        <w:t xml:space="preserve">shows </w:t>
      </w:r>
      <w:r w:rsidRPr="00A94CB4">
        <w:t>2</w:t>
      </w:r>
      <w:r>
        <w:t xml:space="preserve"> </w:t>
      </w:r>
      <w:r w:rsidRPr="00A94CB4">
        <w:t xml:space="preserve">533 disconnections </w:t>
      </w:r>
      <w:r>
        <w:t xml:space="preserve">for January – November 2015. Solomon Water estimates ~50 per cent of these have </w:t>
      </w:r>
      <w:r w:rsidRPr="00A94CB4">
        <w:t>reconnected</w:t>
      </w:r>
      <w:r>
        <w:t xml:space="preserve"> (with a higher reconnection rate for commercial compared with residential customers). </w:t>
      </w:r>
    </w:p>
  </w:footnote>
  <w:footnote w:id="6">
    <w:p w14:paraId="00766991" w14:textId="3B6174DE" w:rsidR="00681DFD" w:rsidRDefault="00681DFD" w:rsidP="00634A7C">
      <w:pPr>
        <w:pStyle w:val="FootnoteText"/>
      </w:pPr>
      <w:r>
        <w:rPr>
          <w:rStyle w:val="FootnoteReference"/>
        </w:rPr>
        <w:footnoteRef/>
      </w:r>
      <w:r>
        <w:t xml:space="preserve"> </w:t>
      </w:r>
      <w:r>
        <w:tab/>
        <w:t>SIWA 2015 Financial Statement, and Review of Effectiveness of Recovery and Action Plan - 2011 to 2013</w:t>
      </w:r>
    </w:p>
  </w:footnote>
  <w:footnote w:id="7">
    <w:p w14:paraId="6D1E76C7" w14:textId="5CDF7AF6" w:rsidR="0069619B" w:rsidRDefault="0069619B" w:rsidP="0069619B">
      <w:pPr>
        <w:pStyle w:val="FootnoteText"/>
      </w:pPr>
      <w:r>
        <w:rPr>
          <w:rStyle w:val="FootnoteReference"/>
        </w:rPr>
        <w:footnoteRef/>
      </w:r>
      <w:r>
        <w:t xml:space="preserve"> </w:t>
      </w:r>
      <w:r>
        <w:tab/>
        <w:t xml:space="preserve">While the full extent of under-budgeting of the Development Plan will not be clear until current tenders and contracts for work are negotiated, early estimates from Solomon Water indicate a shortfall of ~AUD 2.5 to 3 million to complete the full scope of work envisaged under the Development Plan.  </w:t>
      </w:r>
    </w:p>
  </w:footnote>
  <w:footnote w:id="8">
    <w:p w14:paraId="62EEB07B" w14:textId="77777777" w:rsidR="00FA4AF0" w:rsidRDefault="00FA4AF0" w:rsidP="00FA4AF0">
      <w:pPr>
        <w:pStyle w:val="FootnoteText"/>
      </w:pPr>
      <w:r>
        <w:rPr>
          <w:rStyle w:val="FootnoteReference"/>
        </w:rPr>
        <w:footnoteRef/>
      </w:r>
      <w:r>
        <w:t xml:space="preserve"> </w:t>
      </w:r>
      <w:r>
        <w:tab/>
      </w:r>
      <w:r>
        <w:rPr>
          <w:rFonts w:eastAsia="Calibri"/>
          <w:lang w:val="en-NZ" w:eastAsia="en-US"/>
        </w:rPr>
        <w:t>Cu</w:t>
      </w:r>
      <w:r w:rsidRPr="0069619B">
        <w:rPr>
          <w:rFonts w:eastAsia="Calibri"/>
          <w:lang w:val="en-NZ" w:eastAsia="en-US"/>
        </w:rPr>
        <w:t>rrently running at less than 50 per cent of the original budget after 3.5 years of implementing the original two year plan</w:t>
      </w:r>
      <w:r>
        <w:rPr>
          <w:rFonts w:eastAsia="Calibri"/>
          <w:lang w:val="en-NZ" w:eastAsia="en-US"/>
        </w:rPr>
        <w:t>.</w:t>
      </w:r>
    </w:p>
  </w:footnote>
  <w:footnote w:id="9">
    <w:p w14:paraId="59BC9027" w14:textId="77777777" w:rsidR="00681DFD" w:rsidRPr="001D226D" w:rsidRDefault="00681DFD">
      <w:pPr>
        <w:pStyle w:val="FootnoteText"/>
        <w:rPr>
          <w:lang w:val="en-NZ"/>
        </w:rPr>
      </w:pPr>
      <w:r>
        <w:rPr>
          <w:rStyle w:val="FootnoteReference"/>
        </w:rPr>
        <w:footnoteRef/>
      </w:r>
      <w:r>
        <w:t xml:space="preserve"> </w:t>
      </w:r>
      <w:r>
        <w:rPr>
          <w:lang w:val="en-NZ"/>
        </w:rPr>
        <w:tab/>
        <w:t>Program Steering Group Report, 14 April 2016.</w:t>
      </w:r>
    </w:p>
  </w:footnote>
  <w:footnote w:id="10">
    <w:p w14:paraId="236CCF1B" w14:textId="77777777" w:rsidR="00681DFD" w:rsidRPr="00491467" w:rsidRDefault="00681DFD" w:rsidP="0048628E">
      <w:pPr>
        <w:pStyle w:val="FootnoteText"/>
        <w:rPr>
          <w:lang w:val="en-NZ"/>
        </w:rPr>
      </w:pPr>
      <w:r>
        <w:rPr>
          <w:rStyle w:val="FootnoteReference"/>
        </w:rPr>
        <w:footnoteRef/>
      </w:r>
      <w:r>
        <w:t xml:space="preserve"> </w:t>
      </w:r>
      <w:r>
        <w:tab/>
      </w:r>
      <w:r>
        <w:rPr>
          <w:rFonts w:eastAsia="Calibri"/>
          <w:lang w:val="en-NZ" w:eastAsia="en-US"/>
        </w:rPr>
        <w:t>Solomon Water data for Pacific Water and Wastewater Association (PWWA) benchmarking.</w:t>
      </w:r>
    </w:p>
  </w:footnote>
  <w:footnote w:id="11">
    <w:p w14:paraId="55A06155" w14:textId="77777777" w:rsidR="00681DFD" w:rsidRDefault="00681DFD" w:rsidP="001D226D">
      <w:pPr>
        <w:pStyle w:val="FootnoteText"/>
      </w:pPr>
      <w:r>
        <w:rPr>
          <w:rStyle w:val="FootnoteReference"/>
        </w:rPr>
        <w:footnoteRef/>
      </w:r>
      <w:r>
        <w:t xml:space="preserve"> </w:t>
      </w:r>
      <w:r>
        <w:tab/>
        <w:t>WHO standards for bacteriological contamination of drinking water are (i) E. coli not detectable in any 100 ml sample; (ii) total coliform not detectable in 95 per cent of samples from the distribution system.</w:t>
      </w:r>
    </w:p>
  </w:footnote>
  <w:footnote w:id="12">
    <w:p w14:paraId="2B88CD3C" w14:textId="77777777" w:rsidR="00681DFD" w:rsidRPr="00BB2F72" w:rsidRDefault="00681DFD" w:rsidP="00FE52E2">
      <w:pPr>
        <w:pStyle w:val="FootnoteText"/>
        <w:rPr>
          <w:lang w:val="en-NZ"/>
        </w:rPr>
      </w:pPr>
      <w:r>
        <w:rPr>
          <w:rStyle w:val="FootnoteReference"/>
        </w:rPr>
        <w:footnoteRef/>
      </w:r>
      <w:r>
        <w:t xml:space="preserve"> </w:t>
      </w:r>
      <w:r>
        <w:tab/>
      </w:r>
      <w:r>
        <w:rPr>
          <w:rFonts w:eastAsia="Calibri"/>
          <w:lang w:val="en-NZ" w:eastAsia="en-US"/>
        </w:rPr>
        <w:t>The requirement is that 0.2 mg/l of Free Residual Chlorine (FCR) is available in the sample.</w:t>
      </w:r>
    </w:p>
  </w:footnote>
  <w:footnote w:id="13">
    <w:p w14:paraId="3E88B6DA" w14:textId="77777777" w:rsidR="00681DFD" w:rsidRPr="00BB2F72" w:rsidRDefault="00681DFD" w:rsidP="00B125BD">
      <w:pPr>
        <w:pStyle w:val="FootnoteText"/>
        <w:rPr>
          <w:rFonts w:eastAsia="Calibri"/>
          <w:lang w:val="en-NZ" w:eastAsia="en-US"/>
        </w:rPr>
      </w:pPr>
      <w:r w:rsidRPr="00D0276C">
        <w:rPr>
          <w:rStyle w:val="FootnoteReference"/>
        </w:rPr>
        <w:footnoteRef/>
      </w:r>
      <w:r w:rsidRPr="00D0276C">
        <w:rPr>
          <w:rStyle w:val="FootnoteReference"/>
        </w:rPr>
        <w:t xml:space="preserve"> </w:t>
      </w:r>
      <w:r w:rsidRPr="00D0276C">
        <w:rPr>
          <w:rStyle w:val="FootnoteReference"/>
        </w:rPr>
        <w:tab/>
      </w:r>
      <w:r w:rsidRPr="00D0276C">
        <w:t xml:space="preserve">WHO suggests one sample per 5,000 people served/month or about 12-16 samples per month. </w:t>
      </w:r>
      <w:r>
        <w:t>Solomon Water s</w:t>
      </w:r>
      <w:r w:rsidRPr="00D0276C">
        <w:t>ampling is undertaken twice a week on Tuesdays and Wednesdays, compris</w:t>
      </w:r>
      <w:r>
        <w:t>ing</w:t>
      </w:r>
      <w:r w:rsidRPr="00D0276C">
        <w:t xml:space="preserve"> </w:t>
      </w:r>
      <w:r>
        <w:t xml:space="preserve">eight </w:t>
      </w:r>
      <w:r w:rsidRPr="00D0276C">
        <w:t xml:space="preserve">samples at random sites and another </w:t>
      </w:r>
      <w:r w:rsidRPr="00BB2F72">
        <w:rPr>
          <w:rFonts w:eastAsia="Calibri"/>
          <w:lang w:val="en-NZ" w:eastAsia="en-US"/>
        </w:rPr>
        <w:t>eight samples at fixed sites. Samples are also taken from the boreholes and water sources.</w:t>
      </w:r>
    </w:p>
  </w:footnote>
  <w:footnote w:id="14">
    <w:p w14:paraId="01244EE1" w14:textId="77777777" w:rsidR="00681DFD" w:rsidRPr="005563AB" w:rsidRDefault="00681DFD" w:rsidP="001D226D">
      <w:pPr>
        <w:pStyle w:val="FootnoteText"/>
        <w:rPr>
          <w:lang w:val="en-NZ"/>
        </w:rPr>
      </w:pPr>
      <w:r w:rsidRPr="00BB2F72">
        <w:rPr>
          <w:rStyle w:val="FootnoteReference"/>
        </w:rPr>
        <w:footnoteRef/>
      </w:r>
      <w:r w:rsidRPr="00BB2F72">
        <w:rPr>
          <w:rFonts w:eastAsia="Calibri"/>
          <w:lang w:val="en-NZ" w:eastAsia="en-US"/>
        </w:rPr>
        <w:t xml:space="preserve"> </w:t>
      </w:r>
      <w:r w:rsidRPr="00BB2F72">
        <w:rPr>
          <w:rFonts w:eastAsia="Calibri"/>
          <w:lang w:val="en-NZ" w:eastAsia="en-US"/>
        </w:rPr>
        <w:tab/>
      </w:r>
      <w:r>
        <w:rPr>
          <w:rFonts w:eastAsia="Calibri"/>
          <w:lang w:val="en-NZ" w:eastAsia="en-US"/>
        </w:rPr>
        <w:t>The recommended standard for residual chlorine testing is one sample/day/chlorination facility or 56 samples per week for the Honiara system.</w:t>
      </w:r>
    </w:p>
  </w:footnote>
  <w:footnote w:id="15">
    <w:p w14:paraId="68F2C854" w14:textId="47DE9975" w:rsidR="00681DFD" w:rsidRDefault="00681DFD" w:rsidP="00BB2F72">
      <w:pPr>
        <w:pStyle w:val="FootnoteText"/>
      </w:pPr>
      <w:r>
        <w:rPr>
          <w:rStyle w:val="FootnoteReference"/>
        </w:rPr>
        <w:footnoteRef/>
      </w:r>
      <w:r>
        <w:t xml:space="preserve"> </w:t>
      </w:r>
      <w:r>
        <w:tab/>
        <w:t xml:space="preserve">Drinking Water Safety Planning – A Practical Guide for Pacific Island Countries, WHO, AusAID, SOPAC.   </w:t>
      </w:r>
    </w:p>
  </w:footnote>
  <w:footnote w:id="16">
    <w:p w14:paraId="337CC4CE" w14:textId="1E3B9161" w:rsidR="00681DFD" w:rsidRDefault="00681DFD">
      <w:pPr>
        <w:pStyle w:val="FootnoteText"/>
      </w:pPr>
      <w:r>
        <w:rPr>
          <w:rStyle w:val="FootnoteReference"/>
        </w:rPr>
        <w:footnoteRef/>
      </w:r>
      <w:r>
        <w:t xml:space="preserve"> </w:t>
      </w:r>
      <w:r>
        <w:tab/>
        <w:t>The Honiara Water Quality Monitoring Committee included representatives from the Integrated Water Resource Management (IWRM) Project, Water Resource Division of the Ministry of Mines, Energy and Rural Electrification, the Ministry of Health, Honiara City Council and the National Public Health Laboratory.</w:t>
      </w:r>
    </w:p>
  </w:footnote>
  <w:footnote w:id="17">
    <w:p w14:paraId="44FC405E" w14:textId="6E83EBCE" w:rsidR="00681DFD" w:rsidRDefault="00681DFD" w:rsidP="00A16A96">
      <w:pPr>
        <w:pStyle w:val="FootnoteText"/>
      </w:pPr>
      <w:r>
        <w:rPr>
          <w:rStyle w:val="FootnoteReference"/>
        </w:rPr>
        <w:footnoteRef/>
      </w:r>
      <w:r>
        <w:t xml:space="preserve"> </w:t>
      </w:r>
      <w:r>
        <w:tab/>
        <w:t>SIWA 2015 Financial Statement and Review of Effectiveness of Recovery and Action Plan - 2011 to 2013</w:t>
      </w:r>
    </w:p>
  </w:footnote>
  <w:footnote w:id="18">
    <w:p w14:paraId="013648E1" w14:textId="55FA42FC" w:rsidR="00681DFD" w:rsidRPr="00D51DF3" w:rsidRDefault="00681DFD">
      <w:pPr>
        <w:pStyle w:val="FootnoteText"/>
        <w:rPr>
          <w:lang w:val="en-NZ"/>
        </w:rPr>
      </w:pPr>
      <w:r>
        <w:rPr>
          <w:rStyle w:val="FootnoteReference"/>
        </w:rPr>
        <w:footnoteRef/>
      </w:r>
      <w:r>
        <w:t xml:space="preserve"> </w:t>
      </w:r>
      <w:r>
        <w:tab/>
      </w:r>
      <w:r>
        <w:rPr>
          <w:lang w:val="en-NZ"/>
        </w:rPr>
        <w:t xml:space="preserve">On the assumption that Solomon Water would cover capital expenditure and the personnel costs for the General Manager, Chief Financial officer and international advisers which are currently provided by DFAT. </w:t>
      </w:r>
    </w:p>
  </w:footnote>
  <w:footnote w:id="19">
    <w:p w14:paraId="1C3E3323" w14:textId="7CE88ED7" w:rsidR="00681DFD" w:rsidRPr="00734344" w:rsidRDefault="00681DFD" w:rsidP="00426F6B">
      <w:pPr>
        <w:pStyle w:val="FootnoteText"/>
        <w:rPr>
          <w:lang w:val="en-GB"/>
        </w:rPr>
      </w:pPr>
      <w:r w:rsidRPr="00734344">
        <w:rPr>
          <w:rStyle w:val="FootnoteReference"/>
        </w:rPr>
        <w:footnoteRef/>
      </w:r>
      <w:r w:rsidRPr="00734344">
        <w:t xml:space="preserve"> </w:t>
      </w:r>
      <w:r>
        <w:tab/>
      </w:r>
      <w:r w:rsidRPr="00734344">
        <w:rPr>
          <w:lang w:val="en-GB"/>
        </w:rPr>
        <w:t>PWWA benchmark F2</w:t>
      </w:r>
    </w:p>
  </w:footnote>
  <w:footnote w:id="20">
    <w:p w14:paraId="193C8927" w14:textId="1C6CA6FD" w:rsidR="00681DFD" w:rsidRPr="00141439" w:rsidRDefault="00681DFD" w:rsidP="00426F6B">
      <w:pPr>
        <w:pStyle w:val="FootnoteText"/>
        <w:rPr>
          <w:sz w:val="18"/>
          <w:lang w:val="en-GB"/>
        </w:rPr>
      </w:pPr>
      <w:r w:rsidRPr="00141439">
        <w:rPr>
          <w:rStyle w:val="FootnoteReference"/>
        </w:rPr>
        <w:footnoteRef/>
      </w:r>
      <w:r w:rsidRPr="00141439">
        <w:t xml:space="preserve"> </w:t>
      </w:r>
      <w:r>
        <w:tab/>
      </w:r>
      <w:r w:rsidRPr="00141439">
        <w:t>PWWA benchmark F3</w:t>
      </w:r>
    </w:p>
  </w:footnote>
  <w:footnote w:id="21">
    <w:p w14:paraId="426662ED" w14:textId="58144374" w:rsidR="00681DFD" w:rsidRPr="00110C3E" w:rsidRDefault="00681DFD" w:rsidP="00141439">
      <w:pPr>
        <w:pStyle w:val="FootnoteText"/>
        <w:rPr>
          <w:b/>
        </w:rPr>
      </w:pPr>
      <w:r w:rsidRPr="00141439">
        <w:rPr>
          <w:rStyle w:val="FootnoteReference"/>
        </w:rPr>
        <w:footnoteRef/>
      </w:r>
      <w:r w:rsidRPr="00141439">
        <w:rPr>
          <w:rStyle w:val="FootnoteReference"/>
        </w:rPr>
        <w:t xml:space="preserve"> </w:t>
      </w:r>
      <w:r>
        <w:tab/>
      </w:r>
      <w:r w:rsidRPr="00141439">
        <w:t>Community Service Obligations (CSOs) are non</w:t>
      </w:r>
      <w:r w:rsidRPr="00141439">
        <w:noBreakHyphen/>
        <w:t xml:space="preserve">commercial goods or services which Government purchases from State-Owned Enterprises (SOEs) for delivery to the Solomon Islands community on its behalf.  </w:t>
      </w:r>
      <w:hyperlink r:id="rId1" w:history="1">
        <w:r w:rsidRPr="00141439">
          <w:rPr>
            <w:rStyle w:val="Hyperlink"/>
          </w:rPr>
          <w:t>http://www.mof.gov.sb/GovernmentFinances/CommunityServiceObligations.aspx</w:t>
        </w:r>
      </w:hyperlink>
      <w:r w:rsidRPr="00141439">
        <w:t xml:space="preserve"> accessed 23 May 2016.</w:t>
      </w:r>
      <w:r w:rsidRPr="00110C3E">
        <w:rPr>
          <w:b/>
        </w:rPr>
        <w:t xml:space="preserve"> </w:t>
      </w:r>
    </w:p>
  </w:footnote>
  <w:footnote w:id="22">
    <w:p w14:paraId="00EB9CC0" w14:textId="77777777" w:rsidR="00681DFD" w:rsidRPr="005B7ED0" w:rsidRDefault="00681DFD">
      <w:pPr>
        <w:pStyle w:val="FootnoteText"/>
        <w:rPr>
          <w:lang w:val="en-NZ"/>
        </w:rPr>
      </w:pPr>
      <w:r>
        <w:rPr>
          <w:rStyle w:val="FootnoteReference"/>
        </w:rPr>
        <w:footnoteRef/>
      </w:r>
      <w:r>
        <w:t xml:space="preserve"> </w:t>
      </w:r>
      <w:r>
        <w:tab/>
      </w:r>
      <w:r>
        <w:rPr>
          <w:lang w:val="en-NZ"/>
        </w:rPr>
        <w:t xml:space="preserve">The HR plan was expected to define Solomon Water’s needs in terms of skills, qualifications and numbers. </w:t>
      </w:r>
    </w:p>
  </w:footnote>
  <w:footnote w:id="23">
    <w:p w14:paraId="2FB7888D" w14:textId="6DE61632" w:rsidR="00681DFD" w:rsidRPr="00ED2F76" w:rsidRDefault="00681DFD">
      <w:pPr>
        <w:pStyle w:val="FootnoteText"/>
        <w:rPr>
          <w:lang w:val="en-NZ"/>
        </w:rPr>
      </w:pPr>
      <w:r>
        <w:rPr>
          <w:rStyle w:val="FootnoteReference"/>
        </w:rPr>
        <w:footnoteRef/>
      </w:r>
      <w:r>
        <w:t xml:space="preserve"> </w:t>
      </w:r>
      <w:r>
        <w:rPr>
          <w:lang w:val="en-NZ"/>
        </w:rPr>
        <w:tab/>
        <w:t xml:space="preserve">For example, the evaluation heard from Solomon Power about their comprehensive personnel development activities needed to upskill staff.    </w:t>
      </w:r>
    </w:p>
  </w:footnote>
  <w:footnote w:id="24">
    <w:p w14:paraId="69E9285F" w14:textId="77777777" w:rsidR="00681DFD" w:rsidRPr="005F650C" w:rsidRDefault="00681DFD">
      <w:pPr>
        <w:pStyle w:val="FootnoteText"/>
        <w:rPr>
          <w:lang w:val="en-NZ"/>
        </w:rPr>
      </w:pPr>
      <w:r>
        <w:rPr>
          <w:rStyle w:val="FootnoteReference"/>
        </w:rPr>
        <w:footnoteRef/>
      </w:r>
      <w:r>
        <w:t xml:space="preserve"> </w:t>
      </w:r>
      <w:r>
        <w:rPr>
          <w:lang w:val="en-NZ"/>
        </w:rPr>
        <w:tab/>
      </w:r>
      <w:r w:rsidRPr="005F650C">
        <w:t xml:space="preserve">DFAT defines long term </w:t>
      </w:r>
      <w:r>
        <w:t xml:space="preserve">technical assistance as </w:t>
      </w:r>
      <w:r w:rsidRPr="005F650C">
        <w:t>an Adviser engaged for a continuous period of more than six months</w:t>
      </w:r>
      <w:r>
        <w:t>.</w:t>
      </w:r>
    </w:p>
  </w:footnote>
  <w:footnote w:id="25">
    <w:p w14:paraId="30BEAE50" w14:textId="5CFE15F5" w:rsidR="00681DFD" w:rsidRPr="006C5D93" w:rsidRDefault="00681DFD">
      <w:pPr>
        <w:pStyle w:val="FootnoteText"/>
        <w:rPr>
          <w:lang w:val="en-NZ"/>
        </w:rPr>
      </w:pPr>
      <w:r>
        <w:rPr>
          <w:rStyle w:val="FootnoteReference"/>
        </w:rPr>
        <w:footnoteRef/>
      </w:r>
      <w:r>
        <w:t xml:space="preserve"> </w:t>
      </w:r>
      <w:r>
        <w:tab/>
        <w:t xml:space="preserve">DFAT, via its managing contractor for the Solomon Islands Resource Facility, undertook recruitment and contracting of all TA. DFAT officers at Post directly manage the performance assessment of all TA. </w:t>
      </w:r>
    </w:p>
  </w:footnote>
  <w:footnote w:id="26">
    <w:p w14:paraId="1E32044A" w14:textId="7704FEBD" w:rsidR="00681DFD" w:rsidRPr="00EF0311" w:rsidRDefault="00681DFD">
      <w:pPr>
        <w:pStyle w:val="FootnoteText"/>
        <w:rPr>
          <w:lang w:val="en-NZ"/>
        </w:rPr>
      </w:pPr>
      <w:r>
        <w:rPr>
          <w:rStyle w:val="FootnoteReference"/>
        </w:rPr>
        <w:footnoteRef/>
      </w:r>
      <w:r>
        <w:t xml:space="preserve"> </w:t>
      </w:r>
      <w:r>
        <w:rPr>
          <w:lang w:val="en-NZ"/>
        </w:rPr>
        <w:tab/>
        <w:t xml:space="preserve">The use of alternative recruitment and management systems need not preclude the use of the Adviser Remuneration Framework </w:t>
      </w:r>
      <w:r w:rsidRPr="00EF0311">
        <w:rPr>
          <w:lang w:val="en-NZ"/>
        </w:rPr>
        <w:t>for determining the remuneration of commercially contracted international advisers</w:t>
      </w:r>
      <w:r>
        <w:rPr>
          <w:lang w:val="en-NZ"/>
        </w:rPr>
        <w:t xml:space="preserve">. </w:t>
      </w:r>
    </w:p>
  </w:footnote>
  <w:footnote w:id="27">
    <w:p w14:paraId="12CD56C6" w14:textId="77777777" w:rsidR="00681DFD" w:rsidRPr="00E23341" w:rsidRDefault="00681DFD" w:rsidP="00F35AD9">
      <w:pPr>
        <w:pStyle w:val="FootnoteText"/>
        <w:rPr>
          <w:lang w:val="en-NZ"/>
        </w:rPr>
      </w:pPr>
      <w:r>
        <w:rPr>
          <w:rStyle w:val="FootnoteReference"/>
        </w:rPr>
        <w:footnoteRef/>
      </w:r>
      <w:r>
        <w:t xml:space="preserve"> </w:t>
      </w:r>
      <w:r>
        <w:rPr>
          <w:lang w:val="en-NZ"/>
        </w:rPr>
        <w:tab/>
      </w:r>
      <w:r w:rsidRPr="00E23341">
        <w:rPr>
          <w:lang w:val="en-NZ"/>
        </w:rPr>
        <w:t>DFAT</w:t>
      </w:r>
      <w:r>
        <w:rPr>
          <w:lang w:val="en-NZ"/>
        </w:rPr>
        <w:t xml:space="preserve">’s </w:t>
      </w:r>
      <w:r w:rsidRPr="00E23341">
        <w:rPr>
          <w:lang w:val="en-NZ"/>
        </w:rPr>
        <w:t>Aid Investment Plan</w:t>
      </w:r>
      <w:r>
        <w:rPr>
          <w:lang w:val="en-NZ"/>
        </w:rPr>
        <w:t xml:space="preserve"> for </w:t>
      </w:r>
      <w:r w:rsidRPr="00E23341">
        <w:rPr>
          <w:lang w:val="en-NZ"/>
        </w:rPr>
        <w:t>Solomon Islands, 2015-16 to 2018-19</w:t>
      </w:r>
      <w:r>
        <w:rPr>
          <w:lang w:val="en-NZ"/>
        </w:rPr>
        <w:t>.</w:t>
      </w:r>
    </w:p>
  </w:footnote>
  <w:footnote w:id="28">
    <w:p w14:paraId="697A983C" w14:textId="027A36F3" w:rsidR="00681DFD" w:rsidRPr="00E63F29" w:rsidRDefault="00681DFD" w:rsidP="00E63F29">
      <w:pPr>
        <w:pStyle w:val="FootnoteText"/>
        <w:rPr>
          <w:lang w:val="en-NZ"/>
        </w:rPr>
      </w:pPr>
      <w:r>
        <w:rPr>
          <w:rStyle w:val="FootnoteReference"/>
        </w:rPr>
        <w:footnoteRef/>
      </w:r>
      <w:r>
        <w:t xml:space="preserve"> </w:t>
      </w:r>
      <w:r>
        <w:rPr>
          <w:lang w:val="en-NZ"/>
        </w:rPr>
        <w:tab/>
        <w:t xml:space="preserve">A baseline assessment of rural water, sanitation and hygiene coverage has already been undertaken in December 2015, led by the </w:t>
      </w:r>
      <w:r w:rsidRPr="00E63F29">
        <w:rPr>
          <w:lang w:val="en-NZ"/>
        </w:rPr>
        <w:t>MHMS Environmental Health Division</w:t>
      </w:r>
      <w:r>
        <w:rPr>
          <w:lang w:val="en-NZ"/>
        </w:rPr>
        <w:t xml:space="preserve"> in collaboration with civil society organisations. </w:t>
      </w:r>
    </w:p>
    <w:p w14:paraId="4388357F" w14:textId="0C2C85A6" w:rsidR="00681DFD" w:rsidRPr="00E63F29" w:rsidRDefault="00681DFD" w:rsidP="00E63F29">
      <w:pPr>
        <w:pStyle w:val="FootnoteText"/>
        <w:rPr>
          <w:lang w:val="en-NZ"/>
        </w:rPr>
      </w:pPr>
    </w:p>
  </w:footnote>
  <w:footnote w:id="29">
    <w:p w14:paraId="60AD1192" w14:textId="367EBA13" w:rsidR="00681DFD" w:rsidRPr="00DD63CB" w:rsidRDefault="00681DFD">
      <w:pPr>
        <w:pStyle w:val="FootnoteText"/>
        <w:rPr>
          <w:lang w:val="en-NZ"/>
        </w:rPr>
      </w:pPr>
      <w:r>
        <w:rPr>
          <w:rStyle w:val="FootnoteReference"/>
        </w:rPr>
        <w:footnoteRef/>
      </w:r>
      <w:r>
        <w:t xml:space="preserve"> </w:t>
      </w:r>
      <w:r>
        <w:rPr>
          <w:lang w:val="en-NZ"/>
        </w:rPr>
        <w:tab/>
        <w:t xml:space="preserve">25 per cent is also the PWWA benchmark. </w:t>
      </w:r>
    </w:p>
  </w:footnote>
  <w:footnote w:id="30">
    <w:p w14:paraId="4597DDA3" w14:textId="3351EE78" w:rsidR="00681DFD" w:rsidRPr="00F80750" w:rsidRDefault="00681DFD">
      <w:pPr>
        <w:pStyle w:val="FootnoteText"/>
        <w:rPr>
          <w:lang w:val="en-NZ"/>
        </w:rPr>
      </w:pPr>
      <w:r>
        <w:rPr>
          <w:rStyle w:val="FootnoteReference"/>
        </w:rPr>
        <w:footnoteRef/>
      </w:r>
      <w:r>
        <w:t xml:space="preserve"> </w:t>
      </w:r>
      <w:r>
        <w:tab/>
        <w:t>W</w:t>
      </w:r>
      <w:r w:rsidRPr="003436E0">
        <w:t>ater consumption by Honiara household</w:t>
      </w:r>
      <w:r>
        <w:t>s, based on billed supply,</w:t>
      </w:r>
      <w:r w:rsidRPr="003436E0">
        <w:t xml:space="preserve"> is </w:t>
      </w:r>
      <w:r>
        <w:t xml:space="preserve">in the order of 180 litres/capita/day (lpcd) compared with the PWWA benchmark of 150 lpcd. </w:t>
      </w:r>
    </w:p>
  </w:footnote>
  <w:footnote w:id="31">
    <w:p w14:paraId="04D09CBA" w14:textId="0D073DBF" w:rsidR="00681DFD" w:rsidRPr="00CE5E38" w:rsidRDefault="00681DFD">
      <w:pPr>
        <w:pStyle w:val="FootnoteText"/>
        <w:rPr>
          <w:lang w:val="en-NZ"/>
        </w:rPr>
      </w:pPr>
      <w:r>
        <w:rPr>
          <w:rStyle w:val="FootnoteReference"/>
        </w:rPr>
        <w:footnoteRef/>
      </w:r>
      <w:r>
        <w:t xml:space="preserve"> </w:t>
      </w:r>
      <w:r>
        <w:rPr>
          <w:lang w:val="en-NZ"/>
        </w:rPr>
        <w:tab/>
        <w:t xml:space="preserve">EDF 11 is not likely to be channelled directly to Solomon Water. </w:t>
      </w:r>
      <w:r w:rsidRPr="00CE5E38">
        <w:rPr>
          <w:lang w:val="en-NZ"/>
        </w:rPr>
        <w:t xml:space="preserve">EU </w:t>
      </w:r>
      <w:r>
        <w:rPr>
          <w:lang w:val="en-NZ"/>
        </w:rPr>
        <w:t>b</w:t>
      </w:r>
      <w:r w:rsidRPr="00CE5E38">
        <w:rPr>
          <w:lang w:val="en-NZ"/>
        </w:rPr>
        <w:t xml:space="preserve">udget support is provided to </w:t>
      </w:r>
      <w:r>
        <w:rPr>
          <w:lang w:val="en-NZ"/>
        </w:rPr>
        <w:t>SIG through its</w:t>
      </w:r>
      <w:r w:rsidRPr="00CE5E38">
        <w:rPr>
          <w:lang w:val="en-NZ"/>
        </w:rPr>
        <w:t xml:space="preserve"> </w:t>
      </w:r>
      <w:r>
        <w:rPr>
          <w:lang w:val="en-NZ"/>
        </w:rPr>
        <w:t>T</w:t>
      </w:r>
      <w:r w:rsidRPr="00CE5E38">
        <w:rPr>
          <w:lang w:val="en-NZ"/>
        </w:rPr>
        <w:t>reasury. S</w:t>
      </w:r>
      <w:r>
        <w:rPr>
          <w:lang w:val="en-NZ"/>
        </w:rPr>
        <w:t xml:space="preserve">olomon </w:t>
      </w:r>
      <w:r w:rsidRPr="00CE5E38">
        <w:rPr>
          <w:lang w:val="en-NZ"/>
        </w:rPr>
        <w:t>W</w:t>
      </w:r>
      <w:r>
        <w:rPr>
          <w:lang w:val="en-NZ"/>
        </w:rPr>
        <w:t>ater</w:t>
      </w:r>
      <w:r w:rsidRPr="00CE5E38">
        <w:rPr>
          <w:lang w:val="en-NZ"/>
        </w:rPr>
        <w:t xml:space="preserve"> </w:t>
      </w:r>
      <w:r>
        <w:rPr>
          <w:lang w:val="en-NZ"/>
        </w:rPr>
        <w:t xml:space="preserve">would </w:t>
      </w:r>
      <w:r w:rsidRPr="00CE5E38">
        <w:rPr>
          <w:lang w:val="en-NZ"/>
        </w:rPr>
        <w:t xml:space="preserve">need to request </w:t>
      </w:r>
      <w:r>
        <w:rPr>
          <w:lang w:val="en-NZ"/>
        </w:rPr>
        <w:t xml:space="preserve">appropriation of any agreed </w:t>
      </w:r>
      <w:r w:rsidRPr="00CE5E38">
        <w:rPr>
          <w:lang w:val="en-NZ"/>
        </w:rPr>
        <w:t xml:space="preserve">funds </w:t>
      </w:r>
      <w:r>
        <w:rPr>
          <w:lang w:val="en-NZ"/>
        </w:rPr>
        <w:t>from SIG</w:t>
      </w:r>
      <w:r w:rsidRPr="00CE5E38">
        <w:rPr>
          <w:lang w:val="en-NZ"/>
        </w:rPr>
        <w:t>.</w:t>
      </w:r>
      <w:r>
        <w:rPr>
          <w:lang w:val="en-NZ"/>
        </w:rPr>
        <w:t xml:space="preserve"> </w:t>
      </w:r>
    </w:p>
  </w:footnote>
  <w:footnote w:id="32">
    <w:p w14:paraId="7FDB3A75" w14:textId="77777777" w:rsidR="00681DFD" w:rsidRPr="0090140B" w:rsidRDefault="00681DFD" w:rsidP="00531D21">
      <w:pPr>
        <w:pStyle w:val="FootnoteText"/>
        <w:rPr>
          <w:lang w:val="en-GB"/>
        </w:rPr>
      </w:pPr>
      <w:r>
        <w:rPr>
          <w:rStyle w:val="FootnoteReference"/>
        </w:rPr>
        <w:footnoteRef/>
      </w:r>
      <w:r>
        <w:t xml:space="preserve"> </w:t>
      </w:r>
      <w:r>
        <w:rPr>
          <w:lang w:val="en-GB"/>
        </w:rPr>
        <w:t>Source is Solomon Islands Demographic Health Survey (last conducted in 2007 with next survey due in 2014.</w:t>
      </w:r>
    </w:p>
  </w:footnote>
  <w:footnote w:id="33">
    <w:p w14:paraId="185EA7D2" w14:textId="77777777" w:rsidR="00681DFD" w:rsidRPr="0090140B" w:rsidRDefault="00681DFD" w:rsidP="00531D21">
      <w:pPr>
        <w:pStyle w:val="FootnoteText"/>
        <w:rPr>
          <w:lang w:val="en-GB"/>
        </w:rPr>
      </w:pPr>
      <w:r>
        <w:rPr>
          <w:rStyle w:val="FootnoteReference"/>
        </w:rPr>
        <w:footnoteRef/>
      </w:r>
      <w:r>
        <w:t xml:space="preserve"> </w:t>
      </w:r>
      <w:r>
        <w:rPr>
          <w:lang w:val="en-GB"/>
        </w:rPr>
        <w:t>Baseline is 9.4% in the 2 weeks prior to the survey in 2007.</w:t>
      </w:r>
    </w:p>
  </w:footnote>
  <w:footnote w:id="34">
    <w:p w14:paraId="0258ECF3" w14:textId="77777777" w:rsidR="00681DFD" w:rsidRPr="00A321EE" w:rsidRDefault="00681DFD" w:rsidP="00531D21">
      <w:pPr>
        <w:pStyle w:val="FootnoteText"/>
        <w:rPr>
          <w:lang w:val="en-GB"/>
        </w:rPr>
      </w:pPr>
      <w:r>
        <w:rPr>
          <w:rStyle w:val="FootnoteReference"/>
        </w:rPr>
        <w:footnoteRef/>
      </w:r>
      <w:r>
        <w:t xml:space="preserve"> Pacific Water and Wastewater Association (</w:t>
      </w:r>
      <w:r>
        <w:rPr>
          <w:lang w:val="en-GB"/>
        </w:rPr>
        <w:t>PWWA) benchmark O2</w:t>
      </w:r>
    </w:p>
  </w:footnote>
  <w:footnote w:id="35">
    <w:p w14:paraId="2886C899"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36">
    <w:p w14:paraId="55CA5067"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37">
    <w:p w14:paraId="4D7B6073"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38">
    <w:p w14:paraId="112FFE3C" w14:textId="77777777" w:rsidR="00681DFD" w:rsidRPr="00A321EE" w:rsidRDefault="00681DFD" w:rsidP="00531D21">
      <w:pPr>
        <w:pStyle w:val="FootnoteText"/>
        <w:rPr>
          <w:lang w:val="en-GB"/>
        </w:rPr>
      </w:pPr>
      <w:r>
        <w:rPr>
          <w:rStyle w:val="FootnoteReference"/>
        </w:rPr>
        <w:footnoteRef/>
      </w:r>
      <w:r>
        <w:t xml:space="preserve"> </w:t>
      </w:r>
      <w:r>
        <w:rPr>
          <w:lang w:val="en-GB"/>
        </w:rPr>
        <w:t>PWWA benchmark HE2</w:t>
      </w:r>
    </w:p>
  </w:footnote>
  <w:footnote w:id="39">
    <w:p w14:paraId="79391132" w14:textId="77777777" w:rsidR="00681DFD" w:rsidRDefault="00681DFD" w:rsidP="00531D21">
      <w:pPr>
        <w:pStyle w:val="FootnoteText"/>
      </w:pPr>
      <w:r>
        <w:rPr>
          <w:rStyle w:val="FootnoteReference"/>
        </w:rPr>
        <w:footnoteRef/>
      </w:r>
      <w:r>
        <w:t xml:space="preserve"> Program Steering Group Report, 30 September 2014</w:t>
      </w:r>
    </w:p>
  </w:footnote>
  <w:footnote w:id="40">
    <w:p w14:paraId="1D559D5B" w14:textId="77777777" w:rsidR="00681DFD" w:rsidRDefault="00681DFD" w:rsidP="00531D21">
      <w:pPr>
        <w:pStyle w:val="FootnoteText"/>
      </w:pPr>
      <w:r>
        <w:rPr>
          <w:rStyle w:val="FootnoteReference"/>
        </w:rPr>
        <w:footnoteRef/>
      </w:r>
      <w:r>
        <w:t xml:space="preserve"> Program Steering Group Report, 14 April 2016</w:t>
      </w:r>
    </w:p>
  </w:footnote>
  <w:footnote w:id="41">
    <w:p w14:paraId="78827F00" w14:textId="77777777" w:rsidR="00681DFD" w:rsidRDefault="00681DFD" w:rsidP="00531D21">
      <w:pPr>
        <w:pStyle w:val="FootnoteText"/>
      </w:pPr>
      <w:r>
        <w:rPr>
          <w:rStyle w:val="FootnoteReference"/>
        </w:rPr>
        <w:footnoteRef/>
      </w:r>
      <w:r>
        <w:t xml:space="preserve"> Program Steering Group Report, 14 April 2016</w:t>
      </w:r>
    </w:p>
  </w:footnote>
  <w:footnote w:id="42">
    <w:p w14:paraId="414F2620" w14:textId="77777777" w:rsidR="00681DFD" w:rsidRPr="00A321EE" w:rsidRDefault="00681DFD" w:rsidP="00531D21">
      <w:pPr>
        <w:pStyle w:val="FootnoteText"/>
        <w:rPr>
          <w:lang w:val="en-GB"/>
        </w:rPr>
      </w:pPr>
      <w:r>
        <w:rPr>
          <w:rStyle w:val="FootnoteReference"/>
        </w:rPr>
        <w:footnoteRef/>
      </w:r>
      <w:r>
        <w:t xml:space="preserve"> </w:t>
      </w:r>
      <w:r>
        <w:rPr>
          <w:lang w:val="en-GB"/>
        </w:rPr>
        <w:t>PWWA benchmark F1</w:t>
      </w:r>
    </w:p>
  </w:footnote>
  <w:footnote w:id="43">
    <w:p w14:paraId="14766EAC"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4">
    <w:p w14:paraId="1E80762E"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5">
    <w:p w14:paraId="4142974E"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6">
    <w:p w14:paraId="32B367F3"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7">
    <w:p w14:paraId="27A79C3C"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8">
    <w:p w14:paraId="64218429"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49">
    <w:p w14:paraId="74D7F4FA"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50">
    <w:p w14:paraId="1BDE2417" w14:textId="77777777" w:rsidR="00681DFD" w:rsidRDefault="00681DFD" w:rsidP="00531D21">
      <w:pPr>
        <w:pStyle w:val="FootnoteText"/>
      </w:pPr>
      <w:r>
        <w:rPr>
          <w:rStyle w:val="FootnoteReference"/>
        </w:rPr>
        <w:footnoteRef/>
      </w:r>
      <w:r>
        <w:t xml:space="preserve"> Program Steering Group Report, 30 September 2014</w:t>
      </w:r>
    </w:p>
  </w:footnote>
  <w:footnote w:id="51">
    <w:p w14:paraId="341B5734" w14:textId="77777777" w:rsidR="00681DFD" w:rsidRDefault="00681DFD" w:rsidP="00531D21">
      <w:pPr>
        <w:pStyle w:val="FootnoteText"/>
      </w:pPr>
      <w:r>
        <w:rPr>
          <w:rStyle w:val="FootnoteReference"/>
        </w:rPr>
        <w:footnoteRef/>
      </w:r>
      <w:r>
        <w:t xml:space="preserve"> Program Steering Group Report, 14 April 2016</w:t>
      </w:r>
    </w:p>
  </w:footnote>
  <w:footnote w:id="52">
    <w:p w14:paraId="17ED3F5C" w14:textId="77777777" w:rsidR="00681DFD" w:rsidRDefault="00681DFD" w:rsidP="00531D21">
      <w:pPr>
        <w:pStyle w:val="FootnoteText"/>
      </w:pPr>
      <w:r>
        <w:rPr>
          <w:rStyle w:val="FootnoteReference"/>
        </w:rPr>
        <w:footnoteRef/>
      </w:r>
      <w:r>
        <w:t xml:space="preserve"> Program Steering Group Report, 14 April 2016</w:t>
      </w:r>
    </w:p>
  </w:footnote>
  <w:footnote w:id="53">
    <w:p w14:paraId="03A45B42" w14:textId="77777777" w:rsidR="00681DFD" w:rsidRPr="00D46A9E" w:rsidRDefault="00681DFD" w:rsidP="00531D21">
      <w:pPr>
        <w:pStyle w:val="FootnoteText"/>
        <w:rPr>
          <w:sz w:val="18"/>
          <w:lang w:val="en-GB"/>
        </w:rPr>
      </w:pPr>
      <w:r w:rsidRPr="00D46A9E">
        <w:rPr>
          <w:rStyle w:val="FootnoteReference"/>
          <w:sz w:val="18"/>
        </w:rPr>
        <w:footnoteRef/>
      </w:r>
      <w:r w:rsidRPr="00D46A9E">
        <w:rPr>
          <w:sz w:val="18"/>
        </w:rPr>
        <w:t xml:space="preserve"> </w:t>
      </w:r>
      <w:r w:rsidRPr="00734344">
        <w:rPr>
          <w:lang w:val="en-GB"/>
        </w:rPr>
        <w:t>PWWA benchmark O2</w:t>
      </w:r>
    </w:p>
  </w:footnote>
  <w:footnote w:id="54">
    <w:p w14:paraId="534D943E"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55">
    <w:p w14:paraId="623D013D"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56">
    <w:p w14:paraId="59655E85"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57">
    <w:p w14:paraId="20E7FA99" w14:textId="77777777" w:rsidR="00681DFD" w:rsidRPr="00E735CE" w:rsidRDefault="00681DFD" w:rsidP="00531D21">
      <w:pPr>
        <w:pStyle w:val="FootnoteText"/>
        <w:rPr>
          <w:lang w:val="en-GB"/>
        </w:rPr>
      </w:pPr>
      <w:r>
        <w:rPr>
          <w:rStyle w:val="FootnoteReference"/>
        </w:rPr>
        <w:footnoteRef/>
      </w:r>
      <w:r>
        <w:t xml:space="preserve"> PWWA benchmark HE2</w:t>
      </w:r>
    </w:p>
  </w:footnote>
  <w:footnote w:id="58">
    <w:p w14:paraId="7E8570BB"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59">
    <w:p w14:paraId="6042BC21"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60">
    <w:p w14:paraId="7B38241D"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61">
    <w:p w14:paraId="33CE5C7B" w14:textId="77777777" w:rsidR="00681DFD" w:rsidRDefault="00681DFD" w:rsidP="00531D21">
      <w:pPr>
        <w:pStyle w:val="FootnoteText"/>
      </w:pPr>
      <w:r>
        <w:rPr>
          <w:rStyle w:val="FootnoteReference"/>
        </w:rPr>
        <w:footnoteRef/>
      </w:r>
      <w:r>
        <w:t xml:space="preserve"> Solomon Water </w:t>
      </w:r>
      <w:r w:rsidRPr="00365E0C">
        <w:rPr>
          <w:lang w:val="en-GB"/>
        </w:rPr>
        <w:t>PWWA Benchmark Data</w:t>
      </w:r>
      <w:r>
        <w:rPr>
          <w:lang w:val="en-GB"/>
        </w:rPr>
        <w:t>, 2010-2015</w:t>
      </w:r>
    </w:p>
  </w:footnote>
  <w:footnote w:id="62">
    <w:p w14:paraId="0EBE9C8D" w14:textId="77777777" w:rsidR="00681DFD" w:rsidRPr="00734344" w:rsidRDefault="00681DFD" w:rsidP="00531D21">
      <w:pPr>
        <w:pStyle w:val="FootnoteText"/>
        <w:rPr>
          <w:lang w:val="en-GB"/>
        </w:rPr>
      </w:pPr>
      <w:r>
        <w:rPr>
          <w:rStyle w:val="FootnoteReference"/>
        </w:rPr>
        <w:footnoteRef/>
      </w:r>
      <w:r>
        <w:t xml:space="preserve"> </w:t>
      </w:r>
      <w:r w:rsidRPr="00734344">
        <w:rPr>
          <w:lang w:val="en-GB"/>
        </w:rPr>
        <w:t>PWWA benchmark CM2</w:t>
      </w:r>
    </w:p>
  </w:footnote>
  <w:footnote w:id="63">
    <w:p w14:paraId="418873BC" w14:textId="77777777" w:rsidR="00681DFD" w:rsidRDefault="00681DFD" w:rsidP="00531D21">
      <w:pPr>
        <w:pStyle w:val="FootnoteText"/>
      </w:pPr>
      <w:r>
        <w:rPr>
          <w:rStyle w:val="FootnoteReference"/>
        </w:rPr>
        <w:footnoteRef/>
      </w:r>
      <w:r>
        <w:t xml:space="preserve"> Program Steering Group Report, 30 September 2014</w:t>
      </w:r>
    </w:p>
  </w:footnote>
  <w:footnote w:id="64">
    <w:p w14:paraId="2ACCDB13" w14:textId="77777777" w:rsidR="00681DFD" w:rsidRDefault="00681DFD" w:rsidP="00531D21">
      <w:pPr>
        <w:pStyle w:val="FootnoteText"/>
      </w:pPr>
      <w:r>
        <w:rPr>
          <w:rStyle w:val="FootnoteReference"/>
        </w:rPr>
        <w:footnoteRef/>
      </w:r>
      <w:r>
        <w:t xml:space="preserve"> Program Steering Group Report, 14 April 2016</w:t>
      </w:r>
    </w:p>
  </w:footnote>
  <w:footnote w:id="65">
    <w:p w14:paraId="0FFD3156" w14:textId="77777777" w:rsidR="00681DFD" w:rsidRDefault="00681DFD" w:rsidP="00531D21">
      <w:pPr>
        <w:pStyle w:val="FootnoteText"/>
      </w:pPr>
      <w:r>
        <w:rPr>
          <w:rStyle w:val="FootnoteReference"/>
        </w:rPr>
        <w:footnoteRef/>
      </w:r>
      <w:r>
        <w:t xml:space="preserve"> Program Steering Group Report, 14 April 2016</w:t>
      </w:r>
    </w:p>
  </w:footnote>
  <w:footnote w:id="66">
    <w:p w14:paraId="7F5A6404" w14:textId="77777777" w:rsidR="00681DFD" w:rsidRPr="00734344" w:rsidRDefault="00681DFD" w:rsidP="00531D21">
      <w:pPr>
        <w:pStyle w:val="FootnoteText"/>
        <w:rPr>
          <w:lang w:val="en-GB"/>
        </w:rPr>
      </w:pPr>
      <w:r w:rsidRPr="00734344">
        <w:rPr>
          <w:rStyle w:val="FootnoteReference"/>
        </w:rPr>
        <w:footnoteRef/>
      </w:r>
      <w:r w:rsidRPr="00734344">
        <w:t xml:space="preserve"> </w:t>
      </w:r>
      <w:r w:rsidRPr="00734344">
        <w:rPr>
          <w:lang w:val="en-GB"/>
        </w:rPr>
        <w:t>PWWA benchmark F2</w:t>
      </w:r>
    </w:p>
  </w:footnote>
  <w:footnote w:id="67">
    <w:p w14:paraId="49BBDAFF" w14:textId="77777777" w:rsidR="00681DFD" w:rsidRPr="00D46A9E" w:rsidRDefault="00681DFD" w:rsidP="00531D21">
      <w:pPr>
        <w:pStyle w:val="FootnoteText"/>
        <w:rPr>
          <w:sz w:val="18"/>
          <w:lang w:val="en-GB"/>
        </w:rPr>
      </w:pPr>
      <w:r w:rsidRPr="00734344">
        <w:rPr>
          <w:rStyle w:val="FootnoteReference"/>
        </w:rPr>
        <w:footnoteRef/>
      </w:r>
      <w:r w:rsidRPr="00734344">
        <w:t xml:space="preserve"> PWWA benchmark F3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3A84" w14:textId="77777777" w:rsidR="00681DFD" w:rsidRDefault="0027421F">
    <w:pPr>
      <w:pStyle w:val="Header"/>
    </w:pPr>
    <w:r>
      <w:fldChar w:fldCharType="begin"/>
    </w:r>
    <w:r>
      <w:instrText xml:space="preserve"> FILENAME   \* MERGEFORMAT </w:instrText>
    </w:r>
    <w:r>
      <w:fldChar w:fldCharType="separate"/>
    </w:r>
    <w:r w:rsidR="00681DFD">
      <w:rPr>
        <w:noProof/>
      </w:rPr>
      <w:t>Urban Water Evaluation Report_final draft (2)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16B0" w14:textId="77777777" w:rsidR="0027421F" w:rsidRDefault="00274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AB7F" w14:textId="77777777" w:rsidR="0027421F" w:rsidRDefault="00274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9135" w14:textId="77777777" w:rsidR="00681DFD" w:rsidRPr="00AA45A4" w:rsidRDefault="00681DFD" w:rsidP="00AA4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09001B"/>
    <w:lvl w:ilvl="0">
      <w:start w:val="1"/>
      <w:numFmt w:val="lowerRoman"/>
      <w:pStyle w:val="Numberlist2"/>
      <w:lvlText w:val="%1."/>
      <w:lvlJc w:val="right"/>
      <w:pPr>
        <w:ind w:left="926" w:hanging="360"/>
      </w:pPr>
      <w:rPr>
        <w:rFonts w:cs="Times New Roman"/>
      </w:rPr>
    </w:lvl>
  </w:abstractNum>
  <w:abstractNum w:abstractNumId="1" w15:restartNumberingAfterBreak="0">
    <w:nsid w:val="FFFFFF7F"/>
    <w:multiLevelType w:val="singleLevel"/>
    <w:tmpl w:val="815641AE"/>
    <w:lvl w:ilvl="0">
      <w:start w:val="1"/>
      <w:numFmt w:val="decimal"/>
      <w:pStyle w:val="NumberList3"/>
      <w:lvlText w:val="%1."/>
      <w:lvlJc w:val="left"/>
      <w:pPr>
        <w:tabs>
          <w:tab w:val="num" w:pos="643"/>
        </w:tabs>
        <w:ind w:left="643" w:hanging="360"/>
      </w:pPr>
      <w:rPr>
        <w:rFonts w:cs="Times New Roman"/>
      </w:rPr>
    </w:lvl>
  </w:abstractNum>
  <w:abstractNum w:abstractNumId="2" w15:restartNumberingAfterBreak="0">
    <w:nsid w:val="020D66F2"/>
    <w:multiLevelType w:val="hybridMultilevel"/>
    <w:tmpl w:val="484046F0"/>
    <w:lvl w:ilvl="0" w:tplc="FA564518">
      <w:start w:val="1"/>
      <w:numFmt w:val="lowerLetter"/>
      <w:pStyle w:val="TableListNumber2"/>
      <w:lvlText w:val="%1."/>
      <w:lvlJc w:val="left"/>
      <w:pPr>
        <w:ind w:left="1004" w:hanging="360"/>
      </w:pPr>
      <w:rPr>
        <w:rFonts w:cs="Times New Roman"/>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3" w15:restartNumberingAfterBreak="0">
    <w:nsid w:val="051A61C6"/>
    <w:multiLevelType w:val="hybridMultilevel"/>
    <w:tmpl w:val="63CE4194"/>
    <w:lvl w:ilvl="0" w:tplc="55E82FD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hint="default"/>
      </w:rPr>
    </w:lvl>
    <w:lvl w:ilvl="1" w:tplc="947E372C" w:tentative="1">
      <w:start w:val="1"/>
      <w:numFmt w:val="bullet"/>
      <w:lvlText w:val="o"/>
      <w:lvlJc w:val="left"/>
      <w:pPr>
        <w:tabs>
          <w:tab w:val="num" w:pos="1440"/>
        </w:tabs>
        <w:ind w:left="1440" w:hanging="360"/>
      </w:pPr>
      <w:rPr>
        <w:rFonts w:ascii="Courier New" w:hAnsi="Courier New"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7DD8"/>
    <w:multiLevelType w:val="hybridMultilevel"/>
    <w:tmpl w:val="BE4AD784"/>
    <w:lvl w:ilvl="0" w:tplc="A6C2F2AE">
      <w:start w:val="1"/>
      <w:numFmt w:val="lowerLetter"/>
      <w:pStyle w:val="TableNumberList2"/>
      <w:lvlText w:val="%1."/>
      <w:lvlJc w:val="left"/>
      <w:pPr>
        <w:ind w:left="587" w:hanging="360"/>
      </w:pPr>
      <w:rPr>
        <w:rFonts w:cs="Times New Roman" w:hint="default"/>
      </w:rPr>
    </w:lvl>
    <w:lvl w:ilvl="1" w:tplc="EB583B20" w:tentative="1">
      <w:start w:val="1"/>
      <w:numFmt w:val="lowerLetter"/>
      <w:lvlText w:val="%2."/>
      <w:lvlJc w:val="left"/>
      <w:pPr>
        <w:tabs>
          <w:tab w:val="num" w:pos="1440"/>
        </w:tabs>
        <w:ind w:left="1440" w:hanging="360"/>
      </w:pPr>
      <w:rPr>
        <w:rFonts w:cs="Times New Roman"/>
      </w:rPr>
    </w:lvl>
    <w:lvl w:ilvl="2" w:tplc="B5E21B8A" w:tentative="1">
      <w:start w:val="1"/>
      <w:numFmt w:val="lowerRoman"/>
      <w:lvlText w:val="%3."/>
      <w:lvlJc w:val="right"/>
      <w:pPr>
        <w:tabs>
          <w:tab w:val="num" w:pos="2160"/>
        </w:tabs>
        <w:ind w:left="2160" w:hanging="180"/>
      </w:pPr>
      <w:rPr>
        <w:rFonts w:cs="Times New Roman"/>
      </w:rPr>
    </w:lvl>
    <w:lvl w:ilvl="3" w:tplc="017C68B8" w:tentative="1">
      <w:start w:val="1"/>
      <w:numFmt w:val="decimal"/>
      <w:lvlText w:val="%4."/>
      <w:lvlJc w:val="left"/>
      <w:pPr>
        <w:tabs>
          <w:tab w:val="num" w:pos="2880"/>
        </w:tabs>
        <w:ind w:left="2880" w:hanging="360"/>
      </w:pPr>
      <w:rPr>
        <w:rFonts w:cs="Times New Roman"/>
      </w:rPr>
    </w:lvl>
    <w:lvl w:ilvl="4" w:tplc="D1789FF6" w:tentative="1">
      <w:start w:val="1"/>
      <w:numFmt w:val="lowerLetter"/>
      <w:lvlText w:val="%5."/>
      <w:lvlJc w:val="left"/>
      <w:pPr>
        <w:tabs>
          <w:tab w:val="num" w:pos="3600"/>
        </w:tabs>
        <w:ind w:left="3600" w:hanging="360"/>
      </w:pPr>
      <w:rPr>
        <w:rFonts w:cs="Times New Roman"/>
      </w:rPr>
    </w:lvl>
    <w:lvl w:ilvl="5" w:tplc="105ACA1A" w:tentative="1">
      <w:start w:val="1"/>
      <w:numFmt w:val="lowerRoman"/>
      <w:lvlText w:val="%6."/>
      <w:lvlJc w:val="right"/>
      <w:pPr>
        <w:tabs>
          <w:tab w:val="num" w:pos="4320"/>
        </w:tabs>
        <w:ind w:left="4320" w:hanging="180"/>
      </w:pPr>
      <w:rPr>
        <w:rFonts w:cs="Times New Roman"/>
      </w:rPr>
    </w:lvl>
    <w:lvl w:ilvl="6" w:tplc="EF6CA31C" w:tentative="1">
      <w:start w:val="1"/>
      <w:numFmt w:val="decimal"/>
      <w:lvlText w:val="%7."/>
      <w:lvlJc w:val="left"/>
      <w:pPr>
        <w:tabs>
          <w:tab w:val="num" w:pos="5040"/>
        </w:tabs>
        <w:ind w:left="5040" w:hanging="360"/>
      </w:pPr>
      <w:rPr>
        <w:rFonts w:cs="Times New Roman"/>
      </w:rPr>
    </w:lvl>
    <w:lvl w:ilvl="7" w:tplc="FD7C2C44" w:tentative="1">
      <w:start w:val="1"/>
      <w:numFmt w:val="lowerLetter"/>
      <w:lvlText w:val="%8."/>
      <w:lvlJc w:val="left"/>
      <w:pPr>
        <w:tabs>
          <w:tab w:val="num" w:pos="5760"/>
        </w:tabs>
        <w:ind w:left="5760" w:hanging="360"/>
      </w:pPr>
      <w:rPr>
        <w:rFonts w:cs="Times New Roman"/>
      </w:rPr>
    </w:lvl>
    <w:lvl w:ilvl="8" w:tplc="A68E2E52"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F7384"/>
    <w:multiLevelType w:val="hybridMultilevel"/>
    <w:tmpl w:val="1662ED08"/>
    <w:lvl w:ilvl="0" w:tplc="8538187E">
      <w:start w:val="1"/>
      <w:numFmt w:val="decimal"/>
      <w:lvlText w:val="%1."/>
      <w:lvlJc w:val="left"/>
      <w:pPr>
        <w:ind w:left="360" w:hanging="360"/>
      </w:pPr>
      <w:rPr>
        <w:rFonts w:hint="default"/>
        <w:i w:val="0"/>
      </w:rPr>
    </w:lvl>
    <w:lvl w:ilvl="1" w:tplc="19AEA524">
      <w:numFmt w:val="bullet"/>
      <w:lvlText w:val="•"/>
      <w:lvlJc w:val="left"/>
      <w:pPr>
        <w:ind w:left="1080" w:hanging="360"/>
      </w:pPr>
      <w:rPr>
        <w:rFonts w:ascii="Calibri" w:eastAsia="Calibri" w:hAnsi="Calibri" w:cs="Calibri" w:hint="default"/>
      </w:rPr>
    </w:lvl>
    <w:lvl w:ilvl="2" w:tplc="89286C2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9B02A7"/>
    <w:multiLevelType w:val="singleLevel"/>
    <w:tmpl w:val="0B94AE00"/>
    <w:lvl w:ilvl="0">
      <w:start w:val="1"/>
      <w:numFmt w:val="bullet"/>
      <w:pStyle w:val="Dash"/>
      <w:lvlText w:val="»"/>
      <w:lvlJc w:val="left"/>
      <w:pPr>
        <w:ind w:left="644" w:hanging="360"/>
      </w:pPr>
      <w:rPr>
        <w:rFonts w:ascii="Times New Roman" w:hAnsi="Times New Roman" w:hint="default"/>
        <w:color w:val="auto"/>
        <w:sz w:val="21"/>
      </w:rPr>
    </w:lvl>
  </w:abstractNum>
  <w:abstractNum w:abstractNumId="9"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29027A"/>
    <w:multiLevelType w:val="hybridMultilevel"/>
    <w:tmpl w:val="B7BA01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5A72A2"/>
    <w:multiLevelType w:val="hybridMultilevel"/>
    <w:tmpl w:val="03DA000A"/>
    <w:lvl w:ilvl="0" w:tplc="0C090001">
      <w:start w:val="1"/>
      <w:numFmt w:val="bullet"/>
      <w:lvlText w:val=""/>
      <w:lvlJc w:val="left"/>
      <w:pPr>
        <w:ind w:left="1080" w:hanging="360"/>
      </w:pPr>
      <w:rPr>
        <w:rFonts w:ascii="Symbol" w:hAnsi="Symbol" w:hint="default"/>
        <w:i w:val="0"/>
      </w:rPr>
    </w:lvl>
    <w:lvl w:ilvl="1" w:tplc="19AEA524">
      <w:numFmt w:val="bullet"/>
      <w:lvlText w:val="•"/>
      <w:lvlJc w:val="left"/>
      <w:pPr>
        <w:ind w:left="1800" w:hanging="360"/>
      </w:pPr>
      <w:rPr>
        <w:rFonts w:ascii="Calibri" w:eastAsia="Calibri" w:hAnsi="Calibri" w:cs="Calibri" w:hint="default"/>
      </w:rPr>
    </w:lvl>
    <w:lvl w:ilvl="2" w:tplc="89286C26">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7755126"/>
    <w:multiLevelType w:val="hybridMultilevel"/>
    <w:tmpl w:val="9F1ED878"/>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39617552"/>
    <w:multiLevelType w:val="hybridMultilevel"/>
    <w:tmpl w:val="56103A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087D42"/>
    <w:multiLevelType w:val="hybridMultilevel"/>
    <w:tmpl w:val="67744A6A"/>
    <w:lvl w:ilvl="0" w:tplc="4B707594">
      <w:start w:val="1"/>
      <w:numFmt w:val="decimal"/>
      <w:pStyle w:val="TableNumberedList"/>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7524C69"/>
    <w:multiLevelType w:val="hybridMultilevel"/>
    <w:tmpl w:val="4FCA7F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100756"/>
    <w:multiLevelType w:val="hybridMultilevel"/>
    <w:tmpl w:val="B3E269FC"/>
    <w:lvl w:ilvl="0" w:tplc="03788F1E">
      <w:start w:val="1"/>
      <w:numFmt w:val="decimal"/>
      <w:pStyle w:val="TableListNumb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98A5214"/>
    <w:multiLevelType w:val="hybridMultilevel"/>
    <w:tmpl w:val="7884C832"/>
    <w:lvl w:ilvl="0" w:tplc="07522316">
      <w:start w:val="1"/>
      <w:numFmt w:val="decimal"/>
      <w:pStyle w:val="TableNumberList"/>
      <w:lvlText w:val="%1."/>
      <w:lvlJc w:val="left"/>
      <w:pPr>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9F4135"/>
    <w:multiLevelType w:val="hybridMultilevel"/>
    <w:tmpl w:val="B7BA01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C55035"/>
    <w:multiLevelType w:val="hybridMultilevel"/>
    <w:tmpl w:val="55C6E97A"/>
    <w:lvl w:ilvl="0" w:tplc="7848D426">
      <w:start w:val="1"/>
      <w:numFmt w:val="bullet"/>
      <w:pStyle w:val="TableBullet"/>
      <w:lvlText w:val="›"/>
      <w:lvlJc w:val="left"/>
      <w:pPr>
        <w:ind w:left="360" w:hanging="360"/>
      </w:pPr>
      <w:rPr>
        <w:rFonts w:ascii="Times New Roman" w:hAnsi="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3142A"/>
    <w:multiLevelType w:val="hybridMultilevel"/>
    <w:tmpl w:val="970C2C54"/>
    <w:lvl w:ilvl="0" w:tplc="981A99D2">
      <w:numFmt w:val="bullet"/>
      <w:lvlText w:val="-"/>
      <w:lvlJc w:val="left"/>
      <w:pPr>
        <w:ind w:left="2160" w:hanging="360"/>
      </w:pPr>
      <w:rPr>
        <w:rFonts w:ascii="Franklin Gothic Book" w:eastAsia="Times New Roman" w:hAnsi="Franklin Gothic Book"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7F7A528B"/>
    <w:multiLevelType w:val="hybridMultilevel"/>
    <w:tmpl w:val="E71A6964"/>
    <w:lvl w:ilvl="0" w:tplc="7870CCAE">
      <w:start w:val="1"/>
      <w:numFmt w:val="bullet"/>
      <w:pStyle w:val="Bullet"/>
      <w:lvlText w:val="›"/>
      <w:lvlJc w:val="left"/>
      <w:pPr>
        <w:ind w:left="360" w:hanging="360"/>
      </w:pPr>
      <w:rPr>
        <w:rFonts w:ascii="Times New Roman" w:hAnsi="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14"/>
  </w:num>
  <w:num w:numId="6">
    <w:abstractNumId w:val="2"/>
  </w:num>
  <w:num w:numId="7">
    <w:abstractNumId w:val="8"/>
  </w:num>
  <w:num w:numId="8">
    <w:abstractNumId w:val="21"/>
  </w:num>
  <w:num w:numId="9">
    <w:abstractNumId w:val="19"/>
  </w:num>
  <w:num w:numId="10">
    <w:abstractNumId w:val="4"/>
  </w:num>
  <w:num w:numId="11">
    <w:abstractNumId w:val="17"/>
  </w:num>
  <w:num w:numId="12">
    <w:abstractNumId w:val="6"/>
  </w:num>
  <w:num w:numId="13">
    <w:abstractNumId w:val="12"/>
  </w:num>
  <w:num w:numId="14">
    <w:abstractNumId w:val="11"/>
  </w:num>
  <w:num w:numId="15">
    <w:abstractNumId w:val="18"/>
  </w:num>
  <w:num w:numId="16">
    <w:abstractNumId w:val="13"/>
  </w:num>
  <w:num w:numId="17">
    <w:abstractNumId w:val="16"/>
  </w:num>
  <w:num w:numId="18">
    <w:abstractNumId w:val="7"/>
  </w:num>
  <w:num w:numId="19">
    <w:abstractNumId w:val="15"/>
  </w:num>
  <w:num w:numId="20">
    <w:abstractNumId w:val="10"/>
  </w:num>
  <w:num w:numId="21">
    <w:abstractNumId w:val="20"/>
  </w:num>
  <w:num w:numId="22">
    <w:abstractNumId w:val="3"/>
  </w:num>
  <w:num w:numId="23">
    <w:abstractNumId w:val="21"/>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E4"/>
    <w:rsid w:val="0000035F"/>
    <w:rsid w:val="00006BD6"/>
    <w:rsid w:val="00006D34"/>
    <w:rsid w:val="00010702"/>
    <w:rsid w:val="00013A29"/>
    <w:rsid w:val="00014BB3"/>
    <w:rsid w:val="00014F19"/>
    <w:rsid w:val="00015A92"/>
    <w:rsid w:val="00016E45"/>
    <w:rsid w:val="00017608"/>
    <w:rsid w:val="00020488"/>
    <w:rsid w:val="00020AE5"/>
    <w:rsid w:val="00021BE4"/>
    <w:rsid w:val="00022D58"/>
    <w:rsid w:val="000239EB"/>
    <w:rsid w:val="0002553A"/>
    <w:rsid w:val="00026DD6"/>
    <w:rsid w:val="00026EDD"/>
    <w:rsid w:val="000303B3"/>
    <w:rsid w:val="00032C71"/>
    <w:rsid w:val="00032F3B"/>
    <w:rsid w:val="000342DC"/>
    <w:rsid w:val="00036E56"/>
    <w:rsid w:val="00040088"/>
    <w:rsid w:val="000408ED"/>
    <w:rsid w:val="000410EA"/>
    <w:rsid w:val="00041F31"/>
    <w:rsid w:val="0004493E"/>
    <w:rsid w:val="00044B9D"/>
    <w:rsid w:val="000456DB"/>
    <w:rsid w:val="00046940"/>
    <w:rsid w:val="00046A8D"/>
    <w:rsid w:val="00046FE3"/>
    <w:rsid w:val="00050CFA"/>
    <w:rsid w:val="00051C2D"/>
    <w:rsid w:val="00051CEB"/>
    <w:rsid w:val="00051F0E"/>
    <w:rsid w:val="00056ABF"/>
    <w:rsid w:val="00056EB8"/>
    <w:rsid w:val="0006045C"/>
    <w:rsid w:val="00061941"/>
    <w:rsid w:val="0006615F"/>
    <w:rsid w:val="000661BF"/>
    <w:rsid w:val="000666ED"/>
    <w:rsid w:val="000672A9"/>
    <w:rsid w:val="00067502"/>
    <w:rsid w:val="0007093D"/>
    <w:rsid w:val="00071975"/>
    <w:rsid w:val="000723CE"/>
    <w:rsid w:val="000723EB"/>
    <w:rsid w:val="0007453C"/>
    <w:rsid w:val="0007619D"/>
    <w:rsid w:val="00077BEB"/>
    <w:rsid w:val="00077F60"/>
    <w:rsid w:val="00080EA9"/>
    <w:rsid w:val="00082480"/>
    <w:rsid w:val="000842C5"/>
    <w:rsid w:val="00085A9D"/>
    <w:rsid w:val="00091172"/>
    <w:rsid w:val="00092C61"/>
    <w:rsid w:val="00097A26"/>
    <w:rsid w:val="000A1EEA"/>
    <w:rsid w:val="000A2CC5"/>
    <w:rsid w:val="000A3C6B"/>
    <w:rsid w:val="000A4636"/>
    <w:rsid w:val="000A49BA"/>
    <w:rsid w:val="000A67A4"/>
    <w:rsid w:val="000B224F"/>
    <w:rsid w:val="000B3342"/>
    <w:rsid w:val="000B3469"/>
    <w:rsid w:val="000B4D59"/>
    <w:rsid w:val="000B5A3A"/>
    <w:rsid w:val="000B6D80"/>
    <w:rsid w:val="000B7C70"/>
    <w:rsid w:val="000C0A59"/>
    <w:rsid w:val="000C10BA"/>
    <w:rsid w:val="000C1E95"/>
    <w:rsid w:val="000C56D4"/>
    <w:rsid w:val="000C5A12"/>
    <w:rsid w:val="000C77DF"/>
    <w:rsid w:val="000D1133"/>
    <w:rsid w:val="000D2ADF"/>
    <w:rsid w:val="000D2C16"/>
    <w:rsid w:val="000D3646"/>
    <w:rsid w:val="000D38EC"/>
    <w:rsid w:val="000D50D0"/>
    <w:rsid w:val="000D5560"/>
    <w:rsid w:val="000E0210"/>
    <w:rsid w:val="000E03D7"/>
    <w:rsid w:val="000E22BD"/>
    <w:rsid w:val="000E328E"/>
    <w:rsid w:val="000E36A6"/>
    <w:rsid w:val="000E4A3D"/>
    <w:rsid w:val="000E78B1"/>
    <w:rsid w:val="000E7F43"/>
    <w:rsid w:val="000F0646"/>
    <w:rsid w:val="000F1020"/>
    <w:rsid w:val="000F2BFA"/>
    <w:rsid w:val="000F3F15"/>
    <w:rsid w:val="000F3F6A"/>
    <w:rsid w:val="000F5473"/>
    <w:rsid w:val="000F621C"/>
    <w:rsid w:val="000F6430"/>
    <w:rsid w:val="000F6E47"/>
    <w:rsid w:val="000F6E85"/>
    <w:rsid w:val="000F71BB"/>
    <w:rsid w:val="000F733D"/>
    <w:rsid w:val="000F794A"/>
    <w:rsid w:val="000F7D46"/>
    <w:rsid w:val="00100909"/>
    <w:rsid w:val="00100D42"/>
    <w:rsid w:val="00100E64"/>
    <w:rsid w:val="00101EB3"/>
    <w:rsid w:val="00101F1C"/>
    <w:rsid w:val="00102C86"/>
    <w:rsid w:val="001039A6"/>
    <w:rsid w:val="00104E39"/>
    <w:rsid w:val="00105C3F"/>
    <w:rsid w:val="00105E90"/>
    <w:rsid w:val="00105F4B"/>
    <w:rsid w:val="00107623"/>
    <w:rsid w:val="00110C3E"/>
    <w:rsid w:val="00111B4B"/>
    <w:rsid w:val="001139A7"/>
    <w:rsid w:val="00114963"/>
    <w:rsid w:val="00114BAC"/>
    <w:rsid w:val="00114F8F"/>
    <w:rsid w:val="00115342"/>
    <w:rsid w:val="00116E8C"/>
    <w:rsid w:val="00121256"/>
    <w:rsid w:val="00125331"/>
    <w:rsid w:val="00126742"/>
    <w:rsid w:val="001273FD"/>
    <w:rsid w:val="00127531"/>
    <w:rsid w:val="00127A37"/>
    <w:rsid w:val="00127AD3"/>
    <w:rsid w:val="00130BFF"/>
    <w:rsid w:val="0013273D"/>
    <w:rsid w:val="00133A64"/>
    <w:rsid w:val="00135740"/>
    <w:rsid w:val="00135BCD"/>
    <w:rsid w:val="001406AF"/>
    <w:rsid w:val="00140DD0"/>
    <w:rsid w:val="00141439"/>
    <w:rsid w:val="00142224"/>
    <w:rsid w:val="0014256B"/>
    <w:rsid w:val="00143753"/>
    <w:rsid w:val="001479DD"/>
    <w:rsid w:val="001504CD"/>
    <w:rsid w:val="00151A35"/>
    <w:rsid w:val="00151D6D"/>
    <w:rsid w:val="0015218A"/>
    <w:rsid w:val="00152618"/>
    <w:rsid w:val="00155503"/>
    <w:rsid w:val="00155FDE"/>
    <w:rsid w:val="00156019"/>
    <w:rsid w:val="001566C1"/>
    <w:rsid w:val="00160D17"/>
    <w:rsid w:val="001617C9"/>
    <w:rsid w:val="001637FC"/>
    <w:rsid w:val="00164F22"/>
    <w:rsid w:val="00165127"/>
    <w:rsid w:val="00166274"/>
    <w:rsid w:val="00166F51"/>
    <w:rsid w:val="00170AEA"/>
    <w:rsid w:val="0017163A"/>
    <w:rsid w:val="00173D62"/>
    <w:rsid w:val="00174604"/>
    <w:rsid w:val="00177547"/>
    <w:rsid w:val="00181AD3"/>
    <w:rsid w:val="00182A50"/>
    <w:rsid w:val="0018398D"/>
    <w:rsid w:val="001846C5"/>
    <w:rsid w:val="001855CF"/>
    <w:rsid w:val="001863B5"/>
    <w:rsid w:val="00186C2C"/>
    <w:rsid w:val="00191103"/>
    <w:rsid w:val="00191501"/>
    <w:rsid w:val="001919CD"/>
    <w:rsid w:val="001932B9"/>
    <w:rsid w:val="00193CB1"/>
    <w:rsid w:val="0019576E"/>
    <w:rsid w:val="001978AA"/>
    <w:rsid w:val="00197B6C"/>
    <w:rsid w:val="001A01BD"/>
    <w:rsid w:val="001A01C5"/>
    <w:rsid w:val="001A06C5"/>
    <w:rsid w:val="001A0BB7"/>
    <w:rsid w:val="001A2583"/>
    <w:rsid w:val="001A3825"/>
    <w:rsid w:val="001A5D8F"/>
    <w:rsid w:val="001A603F"/>
    <w:rsid w:val="001A6521"/>
    <w:rsid w:val="001B0F28"/>
    <w:rsid w:val="001B2B98"/>
    <w:rsid w:val="001B39B3"/>
    <w:rsid w:val="001B3F77"/>
    <w:rsid w:val="001B454D"/>
    <w:rsid w:val="001B4E7C"/>
    <w:rsid w:val="001B4F83"/>
    <w:rsid w:val="001B553D"/>
    <w:rsid w:val="001C0A5D"/>
    <w:rsid w:val="001C3948"/>
    <w:rsid w:val="001C580B"/>
    <w:rsid w:val="001C680B"/>
    <w:rsid w:val="001D09FE"/>
    <w:rsid w:val="001D226D"/>
    <w:rsid w:val="001D4D1F"/>
    <w:rsid w:val="001D5AA7"/>
    <w:rsid w:val="001D60CE"/>
    <w:rsid w:val="001D7C21"/>
    <w:rsid w:val="001E0C3F"/>
    <w:rsid w:val="001E259C"/>
    <w:rsid w:val="001E368B"/>
    <w:rsid w:val="001E3BED"/>
    <w:rsid w:val="001E4DA3"/>
    <w:rsid w:val="001E52D5"/>
    <w:rsid w:val="001E594C"/>
    <w:rsid w:val="001E7170"/>
    <w:rsid w:val="001E79C9"/>
    <w:rsid w:val="001F05D0"/>
    <w:rsid w:val="001F0B27"/>
    <w:rsid w:val="001F0E33"/>
    <w:rsid w:val="001F111B"/>
    <w:rsid w:val="001F2616"/>
    <w:rsid w:val="001F2790"/>
    <w:rsid w:val="001F2FA5"/>
    <w:rsid w:val="001F2FB6"/>
    <w:rsid w:val="001F3010"/>
    <w:rsid w:val="001F67CA"/>
    <w:rsid w:val="00200B83"/>
    <w:rsid w:val="00201707"/>
    <w:rsid w:val="00201B63"/>
    <w:rsid w:val="00201E88"/>
    <w:rsid w:val="0020319C"/>
    <w:rsid w:val="00203929"/>
    <w:rsid w:val="00203969"/>
    <w:rsid w:val="00205589"/>
    <w:rsid w:val="00205B0B"/>
    <w:rsid w:val="00205D40"/>
    <w:rsid w:val="0020670A"/>
    <w:rsid w:val="00206974"/>
    <w:rsid w:val="00206A02"/>
    <w:rsid w:val="00207155"/>
    <w:rsid w:val="0020766C"/>
    <w:rsid w:val="00210963"/>
    <w:rsid w:val="002117B0"/>
    <w:rsid w:val="00214200"/>
    <w:rsid w:val="002151E4"/>
    <w:rsid w:val="00217F8A"/>
    <w:rsid w:val="00220206"/>
    <w:rsid w:val="00221B32"/>
    <w:rsid w:val="00222CC6"/>
    <w:rsid w:val="00223521"/>
    <w:rsid w:val="002273B6"/>
    <w:rsid w:val="00230310"/>
    <w:rsid w:val="00230A4E"/>
    <w:rsid w:val="002320DC"/>
    <w:rsid w:val="002375A6"/>
    <w:rsid w:val="00242749"/>
    <w:rsid w:val="00243E67"/>
    <w:rsid w:val="002448BA"/>
    <w:rsid w:val="002451B5"/>
    <w:rsid w:val="00246A3E"/>
    <w:rsid w:val="002473AE"/>
    <w:rsid w:val="002509F3"/>
    <w:rsid w:val="002526CC"/>
    <w:rsid w:val="0025447A"/>
    <w:rsid w:val="002612A6"/>
    <w:rsid w:val="002621A9"/>
    <w:rsid w:val="0026226A"/>
    <w:rsid w:val="0026253B"/>
    <w:rsid w:val="002648C1"/>
    <w:rsid w:val="00266D74"/>
    <w:rsid w:val="0027113B"/>
    <w:rsid w:val="00271B40"/>
    <w:rsid w:val="002726D9"/>
    <w:rsid w:val="00272E1B"/>
    <w:rsid w:val="002738B7"/>
    <w:rsid w:val="0027418A"/>
    <w:rsid w:val="0027421F"/>
    <w:rsid w:val="00275301"/>
    <w:rsid w:val="00275663"/>
    <w:rsid w:val="00275F3F"/>
    <w:rsid w:val="0028045F"/>
    <w:rsid w:val="00281D68"/>
    <w:rsid w:val="002822E8"/>
    <w:rsid w:val="00282851"/>
    <w:rsid w:val="002836A3"/>
    <w:rsid w:val="002836B5"/>
    <w:rsid w:val="00284611"/>
    <w:rsid w:val="00284D27"/>
    <w:rsid w:val="00284F00"/>
    <w:rsid w:val="00290242"/>
    <w:rsid w:val="00290F0A"/>
    <w:rsid w:val="00291071"/>
    <w:rsid w:val="0029345F"/>
    <w:rsid w:val="0029397A"/>
    <w:rsid w:val="00294A48"/>
    <w:rsid w:val="00295ED1"/>
    <w:rsid w:val="002A1888"/>
    <w:rsid w:val="002A5452"/>
    <w:rsid w:val="002A564F"/>
    <w:rsid w:val="002A5FE5"/>
    <w:rsid w:val="002A64D6"/>
    <w:rsid w:val="002A70E6"/>
    <w:rsid w:val="002B4068"/>
    <w:rsid w:val="002B55E4"/>
    <w:rsid w:val="002B5907"/>
    <w:rsid w:val="002B6984"/>
    <w:rsid w:val="002C15A8"/>
    <w:rsid w:val="002C19BF"/>
    <w:rsid w:val="002C29BE"/>
    <w:rsid w:val="002C3F92"/>
    <w:rsid w:val="002C5375"/>
    <w:rsid w:val="002C57AB"/>
    <w:rsid w:val="002C61F5"/>
    <w:rsid w:val="002D022D"/>
    <w:rsid w:val="002D0313"/>
    <w:rsid w:val="002D0691"/>
    <w:rsid w:val="002D1321"/>
    <w:rsid w:val="002D336C"/>
    <w:rsid w:val="002D3845"/>
    <w:rsid w:val="002D5E0C"/>
    <w:rsid w:val="002D6D77"/>
    <w:rsid w:val="002D730B"/>
    <w:rsid w:val="002D7C74"/>
    <w:rsid w:val="002E0593"/>
    <w:rsid w:val="002E1045"/>
    <w:rsid w:val="002E32B0"/>
    <w:rsid w:val="002E51A0"/>
    <w:rsid w:val="002E5D9A"/>
    <w:rsid w:val="002E6060"/>
    <w:rsid w:val="002E6A1C"/>
    <w:rsid w:val="002F0AE6"/>
    <w:rsid w:val="002F307D"/>
    <w:rsid w:val="002F371B"/>
    <w:rsid w:val="002F481A"/>
    <w:rsid w:val="002F5DCE"/>
    <w:rsid w:val="003002FA"/>
    <w:rsid w:val="00300365"/>
    <w:rsid w:val="00301179"/>
    <w:rsid w:val="00302544"/>
    <w:rsid w:val="0030265D"/>
    <w:rsid w:val="003033BC"/>
    <w:rsid w:val="00304A58"/>
    <w:rsid w:val="00305CE0"/>
    <w:rsid w:val="00307EBE"/>
    <w:rsid w:val="00311676"/>
    <w:rsid w:val="00311A4A"/>
    <w:rsid w:val="003129D9"/>
    <w:rsid w:val="00312F7A"/>
    <w:rsid w:val="00313954"/>
    <w:rsid w:val="0031465A"/>
    <w:rsid w:val="003160B0"/>
    <w:rsid w:val="00320A3E"/>
    <w:rsid w:val="00320AAB"/>
    <w:rsid w:val="0032232C"/>
    <w:rsid w:val="00322787"/>
    <w:rsid w:val="003238BE"/>
    <w:rsid w:val="0032739C"/>
    <w:rsid w:val="00327A4A"/>
    <w:rsid w:val="0033188B"/>
    <w:rsid w:val="003321DB"/>
    <w:rsid w:val="003339A0"/>
    <w:rsid w:val="00335B1F"/>
    <w:rsid w:val="003375F1"/>
    <w:rsid w:val="0034088B"/>
    <w:rsid w:val="003408B2"/>
    <w:rsid w:val="003411D7"/>
    <w:rsid w:val="00342835"/>
    <w:rsid w:val="00342E3F"/>
    <w:rsid w:val="00342F27"/>
    <w:rsid w:val="003436E0"/>
    <w:rsid w:val="00343BE0"/>
    <w:rsid w:val="0034503B"/>
    <w:rsid w:val="00347B21"/>
    <w:rsid w:val="0035012A"/>
    <w:rsid w:val="00351D91"/>
    <w:rsid w:val="0035342F"/>
    <w:rsid w:val="00353E6D"/>
    <w:rsid w:val="00355923"/>
    <w:rsid w:val="00356BEA"/>
    <w:rsid w:val="003574B1"/>
    <w:rsid w:val="00357B64"/>
    <w:rsid w:val="00360207"/>
    <w:rsid w:val="00360E55"/>
    <w:rsid w:val="0036246F"/>
    <w:rsid w:val="00364813"/>
    <w:rsid w:val="0036490C"/>
    <w:rsid w:val="00365392"/>
    <w:rsid w:val="00366137"/>
    <w:rsid w:val="00370EAD"/>
    <w:rsid w:val="00371520"/>
    <w:rsid w:val="003724BD"/>
    <w:rsid w:val="003729D3"/>
    <w:rsid w:val="00373A4B"/>
    <w:rsid w:val="00373CD9"/>
    <w:rsid w:val="0037553C"/>
    <w:rsid w:val="00377A66"/>
    <w:rsid w:val="00380CE3"/>
    <w:rsid w:val="0038289A"/>
    <w:rsid w:val="003839C7"/>
    <w:rsid w:val="0038611F"/>
    <w:rsid w:val="003863DF"/>
    <w:rsid w:val="003901AA"/>
    <w:rsid w:val="00390B68"/>
    <w:rsid w:val="0039136D"/>
    <w:rsid w:val="00391EB0"/>
    <w:rsid w:val="00392770"/>
    <w:rsid w:val="003927CD"/>
    <w:rsid w:val="00392D42"/>
    <w:rsid w:val="0039361E"/>
    <w:rsid w:val="0039518D"/>
    <w:rsid w:val="00396F45"/>
    <w:rsid w:val="00397A84"/>
    <w:rsid w:val="003A04A0"/>
    <w:rsid w:val="003A32F0"/>
    <w:rsid w:val="003A4953"/>
    <w:rsid w:val="003A62BD"/>
    <w:rsid w:val="003A6464"/>
    <w:rsid w:val="003A6B98"/>
    <w:rsid w:val="003A6C33"/>
    <w:rsid w:val="003B09BE"/>
    <w:rsid w:val="003B113C"/>
    <w:rsid w:val="003B1E10"/>
    <w:rsid w:val="003B2D21"/>
    <w:rsid w:val="003B4077"/>
    <w:rsid w:val="003B48E0"/>
    <w:rsid w:val="003B48EB"/>
    <w:rsid w:val="003B4B69"/>
    <w:rsid w:val="003B51B1"/>
    <w:rsid w:val="003C0726"/>
    <w:rsid w:val="003C096A"/>
    <w:rsid w:val="003C0A69"/>
    <w:rsid w:val="003C1AB3"/>
    <w:rsid w:val="003C1BA4"/>
    <w:rsid w:val="003C2412"/>
    <w:rsid w:val="003C32E5"/>
    <w:rsid w:val="003C6FD1"/>
    <w:rsid w:val="003C7634"/>
    <w:rsid w:val="003C76EF"/>
    <w:rsid w:val="003C7E77"/>
    <w:rsid w:val="003D037E"/>
    <w:rsid w:val="003D0620"/>
    <w:rsid w:val="003D232D"/>
    <w:rsid w:val="003D263F"/>
    <w:rsid w:val="003D4910"/>
    <w:rsid w:val="003D5B03"/>
    <w:rsid w:val="003D687B"/>
    <w:rsid w:val="003E0715"/>
    <w:rsid w:val="003E2A08"/>
    <w:rsid w:val="003E357A"/>
    <w:rsid w:val="003E4893"/>
    <w:rsid w:val="003E5CD5"/>
    <w:rsid w:val="003E5F90"/>
    <w:rsid w:val="003E650C"/>
    <w:rsid w:val="003E726F"/>
    <w:rsid w:val="003E75A6"/>
    <w:rsid w:val="003F0BFE"/>
    <w:rsid w:val="003F0D08"/>
    <w:rsid w:val="003F119D"/>
    <w:rsid w:val="003F133C"/>
    <w:rsid w:val="003F1B30"/>
    <w:rsid w:val="003F5730"/>
    <w:rsid w:val="003F58DE"/>
    <w:rsid w:val="003F6FF6"/>
    <w:rsid w:val="003F725E"/>
    <w:rsid w:val="003F77D9"/>
    <w:rsid w:val="0040088D"/>
    <w:rsid w:val="0040391D"/>
    <w:rsid w:val="00404B1E"/>
    <w:rsid w:val="00405184"/>
    <w:rsid w:val="0040644C"/>
    <w:rsid w:val="00406A22"/>
    <w:rsid w:val="0041041A"/>
    <w:rsid w:val="00410DDE"/>
    <w:rsid w:val="00411B26"/>
    <w:rsid w:val="0041267D"/>
    <w:rsid w:val="004127A6"/>
    <w:rsid w:val="004130B9"/>
    <w:rsid w:val="00413513"/>
    <w:rsid w:val="00415F3B"/>
    <w:rsid w:val="004164C0"/>
    <w:rsid w:val="00417917"/>
    <w:rsid w:val="0041794B"/>
    <w:rsid w:val="004213CC"/>
    <w:rsid w:val="00422615"/>
    <w:rsid w:val="00422EF0"/>
    <w:rsid w:val="00423A51"/>
    <w:rsid w:val="00425E89"/>
    <w:rsid w:val="00426293"/>
    <w:rsid w:val="00426F6B"/>
    <w:rsid w:val="004271D3"/>
    <w:rsid w:val="00427ADC"/>
    <w:rsid w:val="0043266A"/>
    <w:rsid w:val="0044002E"/>
    <w:rsid w:val="004408AF"/>
    <w:rsid w:val="0044143B"/>
    <w:rsid w:val="004415DE"/>
    <w:rsid w:val="00441600"/>
    <w:rsid w:val="00442E1E"/>
    <w:rsid w:val="0044382A"/>
    <w:rsid w:val="00444E17"/>
    <w:rsid w:val="00455A96"/>
    <w:rsid w:val="004576E0"/>
    <w:rsid w:val="004604CE"/>
    <w:rsid w:val="00460DC8"/>
    <w:rsid w:val="00461747"/>
    <w:rsid w:val="00467846"/>
    <w:rsid w:val="00467B6E"/>
    <w:rsid w:val="00467F3E"/>
    <w:rsid w:val="00470B9E"/>
    <w:rsid w:val="00470C59"/>
    <w:rsid w:val="00472F29"/>
    <w:rsid w:val="00475934"/>
    <w:rsid w:val="004822BC"/>
    <w:rsid w:val="0048295D"/>
    <w:rsid w:val="00482AEB"/>
    <w:rsid w:val="004861A4"/>
    <w:rsid w:val="0048628E"/>
    <w:rsid w:val="0048716B"/>
    <w:rsid w:val="00487E8F"/>
    <w:rsid w:val="004900B9"/>
    <w:rsid w:val="004901CD"/>
    <w:rsid w:val="0049062B"/>
    <w:rsid w:val="0049094C"/>
    <w:rsid w:val="00491467"/>
    <w:rsid w:val="00494F92"/>
    <w:rsid w:val="004950DB"/>
    <w:rsid w:val="00495337"/>
    <w:rsid w:val="004957C3"/>
    <w:rsid w:val="00497CD5"/>
    <w:rsid w:val="00497D20"/>
    <w:rsid w:val="00497FD2"/>
    <w:rsid w:val="004A27F1"/>
    <w:rsid w:val="004A4347"/>
    <w:rsid w:val="004A451C"/>
    <w:rsid w:val="004A5767"/>
    <w:rsid w:val="004A7B95"/>
    <w:rsid w:val="004B08F8"/>
    <w:rsid w:val="004B2EDA"/>
    <w:rsid w:val="004B3077"/>
    <w:rsid w:val="004B3921"/>
    <w:rsid w:val="004B4A57"/>
    <w:rsid w:val="004B4A62"/>
    <w:rsid w:val="004B7254"/>
    <w:rsid w:val="004C0A16"/>
    <w:rsid w:val="004C26A0"/>
    <w:rsid w:val="004C2953"/>
    <w:rsid w:val="004C523A"/>
    <w:rsid w:val="004C5D66"/>
    <w:rsid w:val="004C6429"/>
    <w:rsid w:val="004C6B1E"/>
    <w:rsid w:val="004C7441"/>
    <w:rsid w:val="004D286C"/>
    <w:rsid w:val="004D2ED9"/>
    <w:rsid w:val="004D4564"/>
    <w:rsid w:val="004D4B62"/>
    <w:rsid w:val="004D5FAF"/>
    <w:rsid w:val="004D79BE"/>
    <w:rsid w:val="004D7ED2"/>
    <w:rsid w:val="004E1D5C"/>
    <w:rsid w:val="004E3899"/>
    <w:rsid w:val="004E3A22"/>
    <w:rsid w:val="004E3C43"/>
    <w:rsid w:val="004E4A58"/>
    <w:rsid w:val="004E59A8"/>
    <w:rsid w:val="004E5AAC"/>
    <w:rsid w:val="004F1B75"/>
    <w:rsid w:val="004F1FCD"/>
    <w:rsid w:val="004F2477"/>
    <w:rsid w:val="004F24B3"/>
    <w:rsid w:val="004F2DE9"/>
    <w:rsid w:val="004F3461"/>
    <w:rsid w:val="004F35D1"/>
    <w:rsid w:val="004F7119"/>
    <w:rsid w:val="005019BB"/>
    <w:rsid w:val="00503608"/>
    <w:rsid w:val="00504C60"/>
    <w:rsid w:val="005078F1"/>
    <w:rsid w:val="00510BB0"/>
    <w:rsid w:val="00512570"/>
    <w:rsid w:val="00513DD6"/>
    <w:rsid w:val="00514922"/>
    <w:rsid w:val="00515B61"/>
    <w:rsid w:val="00516282"/>
    <w:rsid w:val="0051755A"/>
    <w:rsid w:val="005175E5"/>
    <w:rsid w:val="005215A9"/>
    <w:rsid w:val="0052273C"/>
    <w:rsid w:val="00524232"/>
    <w:rsid w:val="00524D66"/>
    <w:rsid w:val="00531410"/>
    <w:rsid w:val="00531853"/>
    <w:rsid w:val="00531D21"/>
    <w:rsid w:val="00532D94"/>
    <w:rsid w:val="0053300D"/>
    <w:rsid w:val="005354CC"/>
    <w:rsid w:val="00535C1E"/>
    <w:rsid w:val="00536B66"/>
    <w:rsid w:val="00541DB3"/>
    <w:rsid w:val="0054246C"/>
    <w:rsid w:val="005429EE"/>
    <w:rsid w:val="00543B21"/>
    <w:rsid w:val="00546B82"/>
    <w:rsid w:val="00547344"/>
    <w:rsid w:val="0055141B"/>
    <w:rsid w:val="00551A46"/>
    <w:rsid w:val="005524B2"/>
    <w:rsid w:val="005529A9"/>
    <w:rsid w:val="00553353"/>
    <w:rsid w:val="00553FA7"/>
    <w:rsid w:val="00554C76"/>
    <w:rsid w:val="005563AB"/>
    <w:rsid w:val="005566EF"/>
    <w:rsid w:val="005614DE"/>
    <w:rsid w:val="005615EB"/>
    <w:rsid w:val="005615FF"/>
    <w:rsid w:val="00566C26"/>
    <w:rsid w:val="005707B2"/>
    <w:rsid w:val="005708D3"/>
    <w:rsid w:val="005722C2"/>
    <w:rsid w:val="005756CE"/>
    <w:rsid w:val="00575E54"/>
    <w:rsid w:val="00577434"/>
    <w:rsid w:val="005778BD"/>
    <w:rsid w:val="0058027B"/>
    <w:rsid w:val="00580321"/>
    <w:rsid w:val="005803B2"/>
    <w:rsid w:val="00583EAF"/>
    <w:rsid w:val="00583FCC"/>
    <w:rsid w:val="00584661"/>
    <w:rsid w:val="00584EE3"/>
    <w:rsid w:val="0058610A"/>
    <w:rsid w:val="005863C3"/>
    <w:rsid w:val="00591D72"/>
    <w:rsid w:val="00591DA7"/>
    <w:rsid w:val="005938ED"/>
    <w:rsid w:val="00594C13"/>
    <w:rsid w:val="00595287"/>
    <w:rsid w:val="00595A68"/>
    <w:rsid w:val="005A1C66"/>
    <w:rsid w:val="005A1DCB"/>
    <w:rsid w:val="005A3043"/>
    <w:rsid w:val="005A3244"/>
    <w:rsid w:val="005A452A"/>
    <w:rsid w:val="005A5966"/>
    <w:rsid w:val="005A6DFE"/>
    <w:rsid w:val="005A72C4"/>
    <w:rsid w:val="005A7BBF"/>
    <w:rsid w:val="005B172C"/>
    <w:rsid w:val="005B34D2"/>
    <w:rsid w:val="005B3B6E"/>
    <w:rsid w:val="005B49A4"/>
    <w:rsid w:val="005B61CC"/>
    <w:rsid w:val="005B6CFF"/>
    <w:rsid w:val="005B7ED0"/>
    <w:rsid w:val="005C0889"/>
    <w:rsid w:val="005C408C"/>
    <w:rsid w:val="005C5FE1"/>
    <w:rsid w:val="005C64D3"/>
    <w:rsid w:val="005D0795"/>
    <w:rsid w:val="005D4052"/>
    <w:rsid w:val="005D560D"/>
    <w:rsid w:val="005D569D"/>
    <w:rsid w:val="005D735D"/>
    <w:rsid w:val="005D74A2"/>
    <w:rsid w:val="005D7BA3"/>
    <w:rsid w:val="005E0877"/>
    <w:rsid w:val="005E15A3"/>
    <w:rsid w:val="005E3338"/>
    <w:rsid w:val="005E3AF8"/>
    <w:rsid w:val="005E457F"/>
    <w:rsid w:val="005E49C9"/>
    <w:rsid w:val="005E4AC2"/>
    <w:rsid w:val="005F1827"/>
    <w:rsid w:val="005F2737"/>
    <w:rsid w:val="005F2A60"/>
    <w:rsid w:val="005F3DA0"/>
    <w:rsid w:val="005F51D2"/>
    <w:rsid w:val="005F5328"/>
    <w:rsid w:val="005F5F16"/>
    <w:rsid w:val="005F609A"/>
    <w:rsid w:val="005F650C"/>
    <w:rsid w:val="005F6776"/>
    <w:rsid w:val="005F702C"/>
    <w:rsid w:val="005F7A46"/>
    <w:rsid w:val="00600D70"/>
    <w:rsid w:val="00601C10"/>
    <w:rsid w:val="00601EA4"/>
    <w:rsid w:val="006068DE"/>
    <w:rsid w:val="00606D3E"/>
    <w:rsid w:val="00607272"/>
    <w:rsid w:val="00610392"/>
    <w:rsid w:val="00610D0D"/>
    <w:rsid w:val="00610D48"/>
    <w:rsid w:val="00612606"/>
    <w:rsid w:val="00612CE7"/>
    <w:rsid w:val="00613243"/>
    <w:rsid w:val="00614C1E"/>
    <w:rsid w:val="00615444"/>
    <w:rsid w:val="00616058"/>
    <w:rsid w:val="00616A39"/>
    <w:rsid w:val="006179AA"/>
    <w:rsid w:val="00620A21"/>
    <w:rsid w:val="00621F84"/>
    <w:rsid w:val="00625EC0"/>
    <w:rsid w:val="006265A0"/>
    <w:rsid w:val="006274C5"/>
    <w:rsid w:val="0063218D"/>
    <w:rsid w:val="006331B1"/>
    <w:rsid w:val="00633462"/>
    <w:rsid w:val="0063378A"/>
    <w:rsid w:val="00634A7C"/>
    <w:rsid w:val="00635F5F"/>
    <w:rsid w:val="00636332"/>
    <w:rsid w:val="00636BA7"/>
    <w:rsid w:val="006374B1"/>
    <w:rsid w:val="006409EB"/>
    <w:rsid w:val="00641093"/>
    <w:rsid w:val="006413A3"/>
    <w:rsid w:val="0064259E"/>
    <w:rsid w:val="00643C6A"/>
    <w:rsid w:val="006440C3"/>
    <w:rsid w:val="00645145"/>
    <w:rsid w:val="00645B3B"/>
    <w:rsid w:val="00645BD0"/>
    <w:rsid w:val="0064654D"/>
    <w:rsid w:val="00646CD3"/>
    <w:rsid w:val="006503BB"/>
    <w:rsid w:val="00650837"/>
    <w:rsid w:val="00651AE9"/>
    <w:rsid w:val="00652AD4"/>
    <w:rsid w:val="00654CF7"/>
    <w:rsid w:val="00655710"/>
    <w:rsid w:val="00656EB4"/>
    <w:rsid w:val="006570AB"/>
    <w:rsid w:val="0066098F"/>
    <w:rsid w:val="00660FED"/>
    <w:rsid w:val="00664F0E"/>
    <w:rsid w:val="006651FF"/>
    <w:rsid w:val="00665F74"/>
    <w:rsid w:val="0066662D"/>
    <w:rsid w:val="0066673F"/>
    <w:rsid w:val="00666CFF"/>
    <w:rsid w:val="0067027A"/>
    <w:rsid w:val="00670DFB"/>
    <w:rsid w:val="00671470"/>
    <w:rsid w:val="006716CE"/>
    <w:rsid w:val="00671E5C"/>
    <w:rsid w:val="00672897"/>
    <w:rsid w:val="00672FFE"/>
    <w:rsid w:val="00676807"/>
    <w:rsid w:val="00677146"/>
    <w:rsid w:val="00677256"/>
    <w:rsid w:val="006800A1"/>
    <w:rsid w:val="00681017"/>
    <w:rsid w:val="00681DFD"/>
    <w:rsid w:val="00681F56"/>
    <w:rsid w:val="006840A3"/>
    <w:rsid w:val="00686849"/>
    <w:rsid w:val="00686B3D"/>
    <w:rsid w:val="006872E0"/>
    <w:rsid w:val="006874BC"/>
    <w:rsid w:val="00691546"/>
    <w:rsid w:val="00691899"/>
    <w:rsid w:val="006928ED"/>
    <w:rsid w:val="00692B58"/>
    <w:rsid w:val="006944CD"/>
    <w:rsid w:val="0069619B"/>
    <w:rsid w:val="006962F8"/>
    <w:rsid w:val="00696F88"/>
    <w:rsid w:val="006A0281"/>
    <w:rsid w:val="006A1201"/>
    <w:rsid w:val="006A36CE"/>
    <w:rsid w:val="006A3A42"/>
    <w:rsid w:val="006A44CA"/>
    <w:rsid w:val="006A47CB"/>
    <w:rsid w:val="006A5B11"/>
    <w:rsid w:val="006A5EC2"/>
    <w:rsid w:val="006B0266"/>
    <w:rsid w:val="006B02CD"/>
    <w:rsid w:val="006B0AF2"/>
    <w:rsid w:val="006B0D06"/>
    <w:rsid w:val="006B1146"/>
    <w:rsid w:val="006B1329"/>
    <w:rsid w:val="006B2A31"/>
    <w:rsid w:val="006B3676"/>
    <w:rsid w:val="006B4086"/>
    <w:rsid w:val="006B4809"/>
    <w:rsid w:val="006B50BA"/>
    <w:rsid w:val="006B5A0C"/>
    <w:rsid w:val="006B5BF2"/>
    <w:rsid w:val="006B6247"/>
    <w:rsid w:val="006B6972"/>
    <w:rsid w:val="006B7B3A"/>
    <w:rsid w:val="006C071D"/>
    <w:rsid w:val="006C0ABD"/>
    <w:rsid w:val="006C1DCA"/>
    <w:rsid w:val="006C44F6"/>
    <w:rsid w:val="006C5D93"/>
    <w:rsid w:val="006C5EEF"/>
    <w:rsid w:val="006C62B2"/>
    <w:rsid w:val="006C6EEA"/>
    <w:rsid w:val="006C789F"/>
    <w:rsid w:val="006D2050"/>
    <w:rsid w:val="006D3D5A"/>
    <w:rsid w:val="006D3FC1"/>
    <w:rsid w:val="006D475B"/>
    <w:rsid w:val="006D4DB1"/>
    <w:rsid w:val="006D51FD"/>
    <w:rsid w:val="006D567A"/>
    <w:rsid w:val="006D5A56"/>
    <w:rsid w:val="006D65C8"/>
    <w:rsid w:val="006E2F25"/>
    <w:rsid w:val="006E46BF"/>
    <w:rsid w:val="006E4990"/>
    <w:rsid w:val="006E64B1"/>
    <w:rsid w:val="006E6AFF"/>
    <w:rsid w:val="006F0AD1"/>
    <w:rsid w:val="006F30CD"/>
    <w:rsid w:val="006F3E72"/>
    <w:rsid w:val="006F449B"/>
    <w:rsid w:val="006F5038"/>
    <w:rsid w:val="006F5743"/>
    <w:rsid w:val="007003BF"/>
    <w:rsid w:val="0070132F"/>
    <w:rsid w:val="00704FE3"/>
    <w:rsid w:val="007070C9"/>
    <w:rsid w:val="00707CEA"/>
    <w:rsid w:val="00710C11"/>
    <w:rsid w:val="007117A2"/>
    <w:rsid w:val="00712F1F"/>
    <w:rsid w:val="0071420B"/>
    <w:rsid w:val="00714E6E"/>
    <w:rsid w:val="00715EA4"/>
    <w:rsid w:val="00715F14"/>
    <w:rsid w:val="0071607C"/>
    <w:rsid w:val="00716351"/>
    <w:rsid w:val="00716D94"/>
    <w:rsid w:val="00717515"/>
    <w:rsid w:val="00717555"/>
    <w:rsid w:val="00717848"/>
    <w:rsid w:val="0072021F"/>
    <w:rsid w:val="00720B66"/>
    <w:rsid w:val="00721310"/>
    <w:rsid w:val="007216E7"/>
    <w:rsid w:val="00722FC3"/>
    <w:rsid w:val="0072333E"/>
    <w:rsid w:val="00723A72"/>
    <w:rsid w:val="007240DA"/>
    <w:rsid w:val="007306CF"/>
    <w:rsid w:val="00730F12"/>
    <w:rsid w:val="007311FA"/>
    <w:rsid w:val="00731DDF"/>
    <w:rsid w:val="00733A2A"/>
    <w:rsid w:val="00735CB7"/>
    <w:rsid w:val="0073613D"/>
    <w:rsid w:val="00736A75"/>
    <w:rsid w:val="00737527"/>
    <w:rsid w:val="00737A16"/>
    <w:rsid w:val="00737FEA"/>
    <w:rsid w:val="0074078C"/>
    <w:rsid w:val="00740DB6"/>
    <w:rsid w:val="007419E2"/>
    <w:rsid w:val="00743735"/>
    <w:rsid w:val="00743A05"/>
    <w:rsid w:val="00744949"/>
    <w:rsid w:val="007457F3"/>
    <w:rsid w:val="007500F7"/>
    <w:rsid w:val="00750119"/>
    <w:rsid w:val="00750E3A"/>
    <w:rsid w:val="0075247A"/>
    <w:rsid w:val="007532F6"/>
    <w:rsid w:val="00755092"/>
    <w:rsid w:val="00756A27"/>
    <w:rsid w:val="00764ABF"/>
    <w:rsid w:val="00764D84"/>
    <w:rsid w:val="0076566D"/>
    <w:rsid w:val="00765676"/>
    <w:rsid w:val="00766102"/>
    <w:rsid w:val="00766A3A"/>
    <w:rsid w:val="00770352"/>
    <w:rsid w:val="00770969"/>
    <w:rsid w:val="00770C80"/>
    <w:rsid w:val="00770E36"/>
    <w:rsid w:val="00772D67"/>
    <w:rsid w:val="00773806"/>
    <w:rsid w:val="00773CBF"/>
    <w:rsid w:val="007754ED"/>
    <w:rsid w:val="00775635"/>
    <w:rsid w:val="00775A44"/>
    <w:rsid w:val="00776118"/>
    <w:rsid w:val="00781CC1"/>
    <w:rsid w:val="00782CBE"/>
    <w:rsid w:val="007834A5"/>
    <w:rsid w:val="0078365F"/>
    <w:rsid w:val="0078606A"/>
    <w:rsid w:val="00786410"/>
    <w:rsid w:val="007879B1"/>
    <w:rsid w:val="00791E94"/>
    <w:rsid w:val="00793655"/>
    <w:rsid w:val="00793721"/>
    <w:rsid w:val="00795B53"/>
    <w:rsid w:val="007A1246"/>
    <w:rsid w:val="007A22F5"/>
    <w:rsid w:val="007A600C"/>
    <w:rsid w:val="007A72BD"/>
    <w:rsid w:val="007B0757"/>
    <w:rsid w:val="007B1F25"/>
    <w:rsid w:val="007B6181"/>
    <w:rsid w:val="007B6376"/>
    <w:rsid w:val="007C09C5"/>
    <w:rsid w:val="007C1576"/>
    <w:rsid w:val="007C1D1B"/>
    <w:rsid w:val="007C3B62"/>
    <w:rsid w:val="007C5C25"/>
    <w:rsid w:val="007C6A5A"/>
    <w:rsid w:val="007C6E44"/>
    <w:rsid w:val="007C7F1E"/>
    <w:rsid w:val="007D21F9"/>
    <w:rsid w:val="007D5254"/>
    <w:rsid w:val="007D6A81"/>
    <w:rsid w:val="007E0084"/>
    <w:rsid w:val="007E0219"/>
    <w:rsid w:val="007E0739"/>
    <w:rsid w:val="007E16CD"/>
    <w:rsid w:val="007E2EFB"/>
    <w:rsid w:val="007E4115"/>
    <w:rsid w:val="007E6F51"/>
    <w:rsid w:val="007E79E1"/>
    <w:rsid w:val="007F3B8D"/>
    <w:rsid w:val="007F3E31"/>
    <w:rsid w:val="007F44A9"/>
    <w:rsid w:val="007F5263"/>
    <w:rsid w:val="007F62D5"/>
    <w:rsid w:val="007F72B1"/>
    <w:rsid w:val="007F72C5"/>
    <w:rsid w:val="007F7B1D"/>
    <w:rsid w:val="008001E3"/>
    <w:rsid w:val="00800C6B"/>
    <w:rsid w:val="008028DD"/>
    <w:rsid w:val="00803372"/>
    <w:rsid w:val="0080515B"/>
    <w:rsid w:val="00805815"/>
    <w:rsid w:val="008121F4"/>
    <w:rsid w:val="00812E83"/>
    <w:rsid w:val="0081368F"/>
    <w:rsid w:val="00813F9A"/>
    <w:rsid w:val="008149B2"/>
    <w:rsid w:val="00815A7B"/>
    <w:rsid w:val="00815D00"/>
    <w:rsid w:val="00815FC8"/>
    <w:rsid w:val="00817008"/>
    <w:rsid w:val="008177B5"/>
    <w:rsid w:val="008212B1"/>
    <w:rsid w:val="00822567"/>
    <w:rsid w:val="00825374"/>
    <w:rsid w:val="008257FD"/>
    <w:rsid w:val="00826C6F"/>
    <w:rsid w:val="00827AEF"/>
    <w:rsid w:val="00832ABF"/>
    <w:rsid w:val="0083510C"/>
    <w:rsid w:val="00836306"/>
    <w:rsid w:val="00836A09"/>
    <w:rsid w:val="00837F6B"/>
    <w:rsid w:val="00844F4B"/>
    <w:rsid w:val="0084539F"/>
    <w:rsid w:val="00845880"/>
    <w:rsid w:val="00850314"/>
    <w:rsid w:val="008503DD"/>
    <w:rsid w:val="008508FA"/>
    <w:rsid w:val="00850CF6"/>
    <w:rsid w:val="0085275A"/>
    <w:rsid w:val="00852D66"/>
    <w:rsid w:val="0085344C"/>
    <w:rsid w:val="008622C7"/>
    <w:rsid w:val="00862D31"/>
    <w:rsid w:val="00866716"/>
    <w:rsid w:val="00870E18"/>
    <w:rsid w:val="008710FE"/>
    <w:rsid w:val="008715B9"/>
    <w:rsid w:val="00872157"/>
    <w:rsid w:val="008730EF"/>
    <w:rsid w:val="00874E60"/>
    <w:rsid w:val="00876400"/>
    <w:rsid w:val="008777B4"/>
    <w:rsid w:val="00877B55"/>
    <w:rsid w:val="00877E62"/>
    <w:rsid w:val="0088030E"/>
    <w:rsid w:val="00880E5D"/>
    <w:rsid w:val="00881A18"/>
    <w:rsid w:val="008833A4"/>
    <w:rsid w:val="00883778"/>
    <w:rsid w:val="00884D7B"/>
    <w:rsid w:val="00885DD7"/>
    <w:rsid w:val="00886FA2"/>
    <w:rsid w:val="00887FA3"/>
    <w:rsid w:val="0089279D"/>
    <w:rsid w:val="00892BC6"/>
    <w:rsid w:val="00893040"/>
    <w:rsid w:val="00893A21"/>
    <w:rsid w:val="00893C70"/>
    <w:rsid w:val="00893C72"/>
    <w:rsid w:val="008950D2"/>
    <w:rsid w:val="0089702E"/>
    <w:rsid w:val="00897BE9"/>
    <w:rsid w:val="008A1059"/>
    <w:rsid w:val="008A2A71"/>
    <w:rsid w:val="008A2D8C"/>
    <w:rsid w:val="008A42F1"/>
    <w:rsid w:val="008A4BBC"/>
    <w:rsid w:val="008A53E2"/>
    <w:rsid w:val="008A6F88"/>
    <w:rsid w:val="008B057C"/>
    <w:rsid w:val="008B0656"/>
    <w:rsid w:val="008B267F"/>
    <w:rsid w:val="008B2D7D"/>
    <w:rsid w:val="008B3158"/>
    <w:rsid w:val="008B3584"/>
    <w:rsid w:val="008B429C"/>
    <w:rsid w:val="008B4435"/>
    <w:rsid w:val="008B4CC3"/>
    <w:rsid w:val="008B582D"/>
    <w:rsid w:val="008B65E6"/>
    <w:rsid w:val="008B7077"/>
    <w:rsid w:val="008B7B53"/>
    <w:rsid w:val="008C3B17"/>
    <w:rsid w:val="008C5A2E"/>
    <w:rsid w:val="008C5E16"/>
    <w:rsid w:val="008C6725"/>
    <w:rsid w:val="008C6E59"/>
    <w:rsid w:val="008C716C"/>
    <w:rsid w:val="008C7512"/>
    <w:rsid w:val="008D09FB"/>
    <w:rsid w:val="008D1F98"/>
    <w:rsid w:val="008D2101"/>
    <w:rsid w:val="008D32BA"/>
    <w:rsid w:val="008D44EE"/>
    <w:rsid w:val="008D5825"/>
    <w:rsid w:val="008D6D0D"/>
    <w:rsid w:val="008D7234"/>
    <w:rsid w:val="008E15C3"/>
    <w:rsid w:val="008E1FF7"/>
    <w:rsid w:val="008E3576"/>
    <w:rsid w:val="008E5F67"/>
    <w:rsid w:val="008F0194"/>
    <w:rsid w:val="008F2382"/>
    <w:rsid w:val="008F39E5"/>
    <w:rsid w:val="008F3AA8"/>
    <w:rsid w:val="008F656A"/>
    <w:rsid w:val="008F683A"/>
    <w:rsid w:val="008F7BFF"/>
    <w:rsid w:val="009005A9"/>
    <w:rsid w:val="009011C7"/>
    <w:rsid w:val="00901F5D"/>
    <w:rsid w:val="009022DC"/>
    <w:rsid w:val="0090436C"/>
    <w:rsid w:val="00906968"/>
    <w:rsid w:val="009108C7"/>
    <w:rsid w:val="009151CC"/>
    <w:rsid w:val="009157A8"/>
    <w:rsid w:val="0091583C"/>
    <w:rsid w:val="00915DD1"/>
    <w:rsid w:val="00917E11"/>
    <w:rsid w:val="00925186"/>
    <w:rsid w:val="00925E2A"/>
    <w:rsid w:val="009260AF"/>
    <w:rsid w:val="009265D4"/>
    <w:rsid w:val="00927891"/>
    <w:rsid w:val="00930A9F"/>
    <w:rsid w:val="0093246C"/>
    <w:rsid w:val="00932B41"/>
    <w:rsid w:val="00932C6D"/>
    <w:rsid w:val="00936F29"/>
    <w:rsid w:val="00937B4A"/>
    <w:rsid w:val="0094378E"/>
    <w:rsid w:val="0094537A"/>
    <w:rsid w:val="00945E3D"/>
    <w:rsid w:val="00946F0C"/>
    <w:rsid w:val="00947238"/>
    <w:rsid w:val="009477EA"/>
    <w:rsid w:val="00947C85"/>
    <w:rsid w:val="00951972"/>
    <w:rsid w:val="00953EAB"/>
    <w:rsid w:val="00954BA3"/>
    <w:rsid w:val="00955142"/>
    <w:rsid w:val="0096081E"/>
    <w:rsid w:val="00961243"/>
    <w:rsid w:val="00961B28"/>
    <w:rsid w:val="00965587"/>
    <w:rsid w:val="00966812"/>
    <w:rsid w:val="00967550"/>
    <w:rsid w:val="00970936"/>
    <w:rsid w:val="00972178"/>
    <w:rsid w:val="0097240F"/>
    <w:rsid w:val="00972C6E"/>
    <w:rsid w:val="00973854"/>
    <w:rsid w:val="00976D59"/>
    <w:rsid w:val="00976D97"/>
    <w:rsid w:val="009777AF"/>
    <w:rsid w:val="00980071"/>
    <w:rsid w:val="00980894"/>
    <w:rsid w:val="00980943"/>
    <w:rsid w:val="00981F64"/>
    <w:rsid w:val="00983150"/>
    <w:rsid w:val="0098333F"/>
    <w:rsid w:val="009855B8"/>
    <w:rsid w:val="00985AA7"/>
    <w:rsid w:val="009877F5"/>
    <w:rsid w:val="009879E6"/>
    <w:rsid w:val="00991304"/>
    <w:rsid w:val="009917CF"/>
    <w:rsid w:val="00993653"/>
    <w:rsid w:val="00993C04"/>
    <w:rsid w:val="009952E6"/>
    <w:rsid w:val="00997F43"/>
    <w:rsid w:val="009A179C"/>
    <w:rsid w:val="009A18C6"/>
    <w:rsid w:val="009A1D4D"/>
    <w:rsid w:val="009A1EE5"/>
    <w:rsid w:val="009A314A"/>
    <w:rsid w:val="009A4251"/>
    <w:rsid w:val="009A4E22"/>
    <w:rsid w:val="009A503F"/>
    <w:rsid w:val="009A5FC7"/>
    <w:rsid w:val="009A61B9"/>
    <w:rsid w:val="009A683F"/>
    <w:rsid w:val="009A6B60"/>
    <w:rsid w:val="009B0089"/>
    <w:rsid w:val="009B1DBA"/>
    <w:rsid w:val="009B2287"/>
    <w:rsid w:val="009B2474"/>
    <w:rsid w:val="009B2CE5"/>
    <w:rsid w:val="009B2DAE"/>
    <w:rsid w:val="009B3C15"/>
    <w:rsid w:val="009B6D00"/>
    <w:rsid w:val="009B6E18"/>
    <w:rsid w:val="009C035F"/>
    <w:rsid w:val="009C1DF3"/>
    <w:rsid w:val="009C341A"/>
    <w:rsid w:val="009C3DCE"/>
    <w:rsid w:val="009C5C1A"/>
    <w:rsid w:val="009C6C2E"/>
    <w:rsid w:val="009C7813"/>
    <w:rsid w:val="009C7BA5"/>
    <w:rsid w:val="009C7D4C"/>
    <w:rsid w:val="009D0808"/>
    <w:rsid w:val="009D125F"/>
    <w:rsid w:val="009D1BA0"/>
    <w:rsid w:val="009D1F8D"/>
    <w:rsid w:val="009D2DA1"/>
    <w:rsid w:val="009D3D5D"/>
    <w:rsid w:val="009D53BF"/>
    <w:rsid w:val="009D5604"/>
    <w:rsid w:val="009D58A6"/>
    <w:rsid w:val="009D5A91"/>
    <w:rsid w:val="009E04E6"/>
    <w:rsid w:val="009E3B68"/>
    <w:rsid w:val="009E4F87"/>
    <w:rsid w:val="009E632D"/>
    <w:rsid w:val="009E7091"/>
    <w:rsid w:val="009E7751"/>
    <w:rsid w:val="009F0657"/>
    <w:rsid w:val="009F255A"/>
    <w:rsid w:val="009F3C1A"/>
    <w:rsid w:val="009F4086"/>
    <w:rsid w:val="009F5B95"/>
    <w:rsid w:val="009F6899"/>
    <w:rsid w:val="009F6AD1"/>
    <w:rsid w:val="009F74CA"/>
    <w:rsid w:val="00A0092E"/>
    <w:rsid w:val="00A00A74"/>
    <w:rsid w:val="00A018C1"/>
    <w:rsid w:val="00A01A04"/>
    <w:rsid w:val="00A03277"/>
    <w:rsid w:val="00A03A87"/>
    <w:rsid w:val="00A04F4E"/>
    <w:rsid w:val="00A05871"/>
    <w:rsid w:val="00A05F82"/>
    <w:rsid w:val="00A07C61"/>
    <w:rsid w:val="00A104FB"/>
    <w:rsid w:val="00A1369D"/>
    <w:rsid w:val="00A14132"/>
    <w:rsid w:val="00A14718"/>
    <w:rsid w:val="00A1559A"/>
    <w:rsid w:val="00A16A96"/>
    <w:rsid w:val="00A16B6A"/>
    <w:rsid w:val="00A17583"/>
    <w:rsid w:val="00A177EA"/>
    <w:rsid w:val="00A23D92"/>
    <w:rsid w:val="00A23F6C"/>
    <w:rsid w:val="00A24C1F"/>
    <w:rsid w:val="00A25238"/>
    <w:rsid w:val="00A267AC"/>
    <w:rsid w:val="00A26D11"/>
    <w:rsid w:val="00A26DCC"/>
    <w:rsid w:val="00A27155"/>
    <w:rsid w:val="00A27A9E"/>
    <w:rsid w:val="00A27C59"/>
    <w:rsid w:val="00A309B3"/>
    <w:rsid w:val="00A30E9C"/>
    <w:rsid w:val="00A3161B"/>
    <w:rsid w:val="00A31AF8"/>
    <w:rsid w:val="00A33CF1"/>
    <w:rsid w:val="00A34897"/>
    <w:rsid w:val="00A40EEF"/>
    <w:rsid w:val="00A41E64"/>
    <w:rsid w:val="00A4269D"/>
    <w:rsid w:val="00A4356F"/>
    <w:rsid w:val="00A439CC"/>
    <w:rsid w:val="00A43B73"/>
    <w:rsid w:val="00A44CDA"/>
    <w:rsid w:val="00A45A64"/>
    <w:rsid w:val="00A470A3"/>
    <w:rsid w:val="00A47C67"/>
    <w:rsid w:val="00A47D81"/>
    <w:rsid w:val="00A47E1E"/>
    <w:rsid w:val="00A504A7"/>
    <w:rsid w:val="00A50F04"/>
    <w:rsid w:val="00A51767"/>
    <w:rsid w:val="00A52F24"/>
    <w:rsid w:val="00A53501"/>
    <w:rsid w:val="00A537D9"/>
    <w:rsid w:val="00A53C48"/>
    <w:rsid w:val="00A542A9"/>
    <w:rsid w:val="00A54597"/>
    <w:rsid w:val="00A551B0"/>
    <w:rsid w:val="00A559DB"/>
    <w:rsid w:val="00A564A7"/>
    <w:rsid w:val="00A579B7"/>
    <w:rsid w:val="00A613B8"/>
    <w:rsid w:val="00A61F9E"/>
    <w:rsid w:val="00A62DCA"/>
    <w:rsid w:val="00A6322D"/>
    <w:rsid w:val="00A63277"/>
    <w:rsid w:val="00A6424B"/>
    <w:rsid w:val="00A655AD"/>
    <w:rsid w:val="00A70568"/>
    <w:rsid w:val="00A72825"/>
    <w:rsid w:val="00A7363D"/>
    <w:rsid w:val="00A756D7"/>
    <w:rsid w:val="00A77310"/>
    <w:rsid w:val="00A80AB3"/>
    <w:rsid w:val="00A813F5"/>
    <w:rsid w:val="00A838AC"/>
    <w:rsid w:val="00A85C36"/>
    <w:rsid w:val="00A86CD1"/>
    <w:rsid w:val="00A876C6"/>
    <w:rsid w:val="00A87DEB"/>
    <w:rsid w:val="00A9331B"/>
    <w:rsid w:val="00A948DB"/>
    <w:rsid w:val="00A94953"/>
    <w:rsid w:val="00A94CB4"/>
    <w:rsid w:val="00A95BDC"/>
    <w:rsid w:val="00A96066"/>
    <w:rsid w:val="00A96A03"/>
    <w:rsid w:val="00A96ED3"/>
    <w:rsid w:val="00A974CA"/>
    <w:rsid w:val="00AA017A"/>
    <w:rsid w:val="00AA0859"/>
    <w:rsid w:val="00AA1451"/>
    <w:rsid w:val="00AA2055"/>
    <w:rsid w:val="00AA45A4"/>
    <w:rsid w:val="00AA5065"/>
    <w:rsid w:val="00AA5ED0"/>
    <w:rsid w:val="00AA65B9"/>
    <w:rsid w:val="00AA6B4F"/>
    <w:rsid w:val="00AA727A"/>
    <w:rsid w:val="00AA75A7"/>
    <w:rsid w:val="00AB066C"/>
    <w:rsid w:val="00AB0CE3"/>
    <w:rsid w:val="00AB1AE1"/>
    <w:rsid w:val="00AB27A0"/>
    <w:rsid w:val="00AB2D49"/>
    <w:rsid w:val="00AB3BCB"/>
    <w:rsid w:val="00AB5452"/>
    <w:rsid w:val="00AB5923"/>
    <w:rsid w:val="00AC1A7E"/>
    <w:rsid w:val="00AC1E09"/>
    <w:rsid w:val="00AC2FB8"/>
    <w:rsid w:val="00AC334E"/>
    <w:rsid w:val="00AC3E86"/>
    <w:rsid w:val="00AC55AA"/>
    <w:rsid w:val="00AD0262"/>
    <w:rsid w:val="00AD0CD0"/>
    <w:rsid w:val="00AD2016"/>
    <w:rsid w:val="00AD2804"/>
    <w:rsid w:val="00AD4451"/>
    <w:rsid w:val="00AD4A20"/>
    <w:rsid w:val="00AD62D2"/>
    <w:rsid w:val="00AD6F55"/>
    <w:rsid w:val="00AD7CD9"/>
    <w:rsid w:val="00AE187A"/>
    <w:rsid w:val="00AE26BF"/>
    <w:rsid w:val="00AE5C8B"/>
    <w:rsid w:val="00AE74D7"/>
    <w:rsid w:val="00AE75DB"/>
    <w:rsid w:val="00AF03B9"/>
    <w:rsid w:val="00AF0C66"/>
    <w:rsid w:val="00AF19BB"/>
    <w:rsid w:val="00AF1CB8"/>
    <w:rsid w:val="00AF213E"/>
    <w:rsid w:val="00AF4C0E"/>
    <w:rsid w:val="00AF6247"/>
    <w:rsid w:val="00B00680"/>
    <w:rsid w:val="00B016BD"/>
    <w:rsid w:val="00B045CE"/>
    <w:rsid w:val="00B0565C"/>
    <w:rsid w:val="00B05FA5"/>
    <w:rsid w:val="00B10AF2"/>
    <w:rsid w:val="00B118C7"/>
    <w:rsid w:val="00B11A0D"/>
    <w:rsid w:val="00B125A9"/>
    <w:rsid w:val="00B125BD"/>
    <w:rsid w:val="00B1647E"/>
    <w:rsid w:val="00B21A31"/>
    <w:rsid w:val="00B22095"/>
    <w:rsid w:val="00B22AE7"/>
    <w:rsid w:val="00B23E8A"/>
    <w:rsid w:val="00B24652"/>
    <w:rsid w:val="00B24977"/>
    <w:rsid w:val="00B24C8F"/>
    <w:rsid w:val="00B24D60"/>
    <w:rsid w:val="00B25DAE"/>
    <w:rsid w:val="00B25F55"/>
    <w:rsid w:val="00B30636"/>
    <w:rsid w:val="00B33CBA"/>
    <w:rsid w:val="00B33EA4"/>
    <w:rsid w:val="00B35288"/>
    <w:rsid w:val="00B3631B"/>
    <w:rsid w:val="00B36AFB"/>
    <w:rsid w:val="00B37855"/>
    <w:rsid w:val="00B422D1"/>
    <w:rsid w:val="00B44224"/>
    <w:rsid w:val="00B45603"/>
    <w:rsid w:val="00B50D30"/>
    <w:rsid w:val="00B50F3D"/>
    <w:rsid w:val="00B51E8F"/>
    <w:rsid w:val="00B528D9"/>
    <w:rsid w:val="00B52B51"/>
    <w:rsid w:val="00B54877"/>
    <w:rsid w:val="00B55A71"/>
    <w:rsid w:val="00B55F41"/>
    <w:rsid w:val="00B561EA"/>
    <w:rsid w:val="00B60E20"/>
    <w:rsid w:val="00B62111"/>
    <w:rsid w:val="00B624B6"/>
    <w:rsid w:val="00B63DF2"/>
    <w:rsid w:val="00B63EBF"/>
    <w:rsid w:val="00B64994"/>
    <w:rsid w:val="00B6550D"/>
    <w:rsid w:val="00B66E90"/>
    <w:rsid w:val="00B67E67"/>
    <w:rsid w:val="00B7037D"/>
    <w:rsid w:val="00B711E2"/>
    <w:rsid w:val="00B7259D"/>
    <w:rsid w:val="00B729B4"/>
    <w:rsid w:val="00B72DD5"/>
    <w:rsid w:val="00B7308A"/>
    <w:rsid w:val="00B7317F"/>
    <w:rsid w:val="00B742D1"/>
    <w:rsid w:val="00B743B7"/>
    <w:rsid w:val="00B75565"/>
    <w:rsid w:val="00B805AF"/>
    <w:rsid w:val="00B819B5"/>
    <w:rsid w:val="00B829F3"/>
    <w:rsid w:val="00B859E2"/>
    <w:rsid w:val="00B86639"/>
    <w:rsid w:val="00B86B89"/>
    <w:rsid w:val="00B8722E"/>
    <w:rsid w:val="00B87C3E"/>
    <w:rsid w:val="00B902C5"/>
    <w:rsid w:val="00B9107F"/>
    <w:rsid w:val="00B93FBA"/>
    <w:rsid w:val="00B947F5"/>
    <w:rsid w:val="00B979EE"/>
    <w:rsid w:val="00BA112A"/>
    <w:rsid w:val="00BA1E6F"/>
    <w:rsid w:val="00BA2853"/>
    <w:rsid w:val="00BA3C65"/>
    <w:rsid w:val="00BA5205"/>
    <w:rsid w:val="00BA7AF4"/>
    <w:rsid w:val="00BA7CAC"/>
    <w:rsid w:val="00BB1574"/>
    <w:rsid w:val="00BB1E0B"/>
    <w:rsid w:val="00BB2F72"/>
    <w:rsid w:val="00BB337F"/>
    <w:rsid w:val="00BB37EF"/>
    <w:rsid w:val="00BB4A20"/>
    <w:rsid w:val="00BB5800"/>
    <w:rsid w:val="00BB5E57"/>
    <w:rsid w:val="00BB5EFD"/>
    <w:rsid w:val="00BB6230"/>
    <w:rsid w:val="00BB62B7"/>
    <w:rsid w:val="00BB7008"/>
    <w:rsid w:val="00BC10D8"/>
    <w:rsid w:val="00BC2F33"/>
    <w:rsid w:val="00BC31C0"/>
    <w:rsid w:val="00BC43D6"/>
    <w:rsid w:val="00BC5053"/>
    <w:rsid w:val="00BD2007"/>
    <w:rsid w:val="00BD25DB"/>
    <w:rsid w:val="00BD27C9"/>
    <w:rsid w:val="00BD346C"/>
    <w:rsid w:val="00BD417F"/>
    <w:rsid w:val="00BD6FA8"/>
    <w:rsid w:val="00BD70D9"/>
    <w:rsid w:val="00BE045A"/>
    <w:rsid w:val="00BE0658"/>
    <w:rsid w:val="00BE10F8"/>
    <w:rsid w:val="00BE1958"/>
    <w:rsid w:val="00BE3345"/>
    <w:rsid w:val="00BE4446"/>
    <w:rsid w:val="00BE48A8"/>
    <w:rsid w:val="00BE4E04"/>
    <w:rsid w:val="00BE57C8"/>
    <w:rsid w:val="00BE5D2E"/>
    <w:rsid w:val="00BE64CD"/>
    <w:rsid w:val="00BE75C1"/>
    <w:rsid w:val="00BE7944"/>
    <w:rsid w:val="00BE7D03"/>
    <w:rsid w:val="00BF0A53"/>
    <w:rsid w:val="00BF12F5"/>
    <w:rsid w:val="00BF1C9F"/>
    <w:rsid w:val="00BF2C56"/>
    <w:rsid w:val="00BF311E"/>
    <w:rsid w:val="00BF375E"/>
    <w:rsid w:val="00BF7E4D"/>
    <w:rsid w:val="00C00AC0"/>
    <w:rsid w:val="00C03D8C"/>
    <w:rsid w:val="00C049B6"/>
    <w:rsid w:val="00C05EA6"/>
    <w:rsid w:val="00C0626E"/>
    <w:rsid w:val="00C063F8"/>
    <w:rsid w:val="00C10546"/>
    <w:rsid w:val="00C14BB9"/>
    <w:rsid w:val="00C159A3"/>
    <w:rsid w:val="00C15DB3"/>
    <w:rsid w:val="00C1623C"/>
    <w:rsid w:val="00C16AE9"/>
    <w:rsid w:val="00C16C69"/>
    <w:rsid w:val="00C22710"/>
    <w:rsid w:val="00C22A34"/>
    <w:rsid w:val="00C24166"/>
    <w:rsid w:val="00C249DB"/>
    <w:rsid w:val="00C24B38"/>
    <w:rsid w:val="00C25962"/>
    <w:rsid w:val="00C26138"/>
    <w:rsid w:val="00C274F2"/>
    <w:rsid w:val="00C30A33"/>
    <w:rsid w:val="00C30B0E"/>
    <w:rsid w:val="00C312A9"/>
    <w:rsid w:val="00C32B66"/>
    <w:rsid w:val="00C4094A"/>
    <w:rsid w:val="00C417E3"/>
    <w:rsid w:val="00C441B3"/>
    <w:rsid w:val="00C45C28"/>
    <w:rsid w:val="00C4703B"/>
    <w:rsid w:val="00C50D29"/>
    <w:rsid w:val="00C5122B"/>
    <w:rsid w:val="00C51B9D"/>
    <w:rsid w:val="00C51E40"/>
    <w:rsid w:val="00C526CC"/>
    <w:rsid w:val="00C52C2C"/>
    <w:rsid w:val="00C52F1A"/>
    <w:rsid w:val="00C52F39"/>
    <w:rsid w:val="00C539CE"/>
    <w:rsid w:val="00C539E0"/>
    <w:rsid w:val="00C53D9C"/>
    <w:rsid w:val="00C541D6"/>
    <w:rsid w:val="00C54EFC"/>
    <w:rsid w:val="00C5560F"/>
    <w:rsid w:val="00C557A5"/>
    <w:rsid w:val="00C55E67"/>
    <w:rsid w:val="00C55F4A"/>
    <w:rsid w:val="00C5796F"/>
    <w:rsid w:val="00C633E2"/>
    <w:rsid w:val="00C64040"/>
    <w:rsid w:val="00C65B2C"/>
    <w:rsid w:val="00C66742"/>
    <w:rsid w:val="00C67836"/>
    <w:rsid w:val="00C717F2"/>
    <w:rsid w:val="00C72350"/>
    <w:rsid w:val="00C726BF"/>
    <w:rsid w:val="00C74633"/>
    <w:rsid w:val="00C75DE5"/>
    <w:rsid w:val="00C77CDF"/>
    <w:rsid w:val="00C80716"/>
    <w:rsid w:val="00C831DF"/>
    <w:rsid w:val="00C843EE"/>
    <w:rsid w:val="00C851C9"/>
    <w:rsid w:val="00C861C7"/>
    <w:rsid w:val="00C87529"/>
    <w:rsid w:val="00C87829"/>
    <w:rsid w:val="00C9007B"/>
    <w:rsid w:val="00C9041E"/>
    <w:rsid w:val="00C90C19"/>
    <w:rsid w:val="00C91CCD"/>
    <w:rsid w:val="00C92341"/>
    <w:rsid w:val="00C94536"/>
    <w:rsid w:val="00C95537"/>
    <w:rsid w:val="00C9562E"/>
    <w:rsid w:val="00C95922"/>
    <w:rsid w:val="00C97A8C"/>
    <w:rsid w:val="00CA006F"/>
    <w:rsid w:val="00CA15C8"/>
    <w:rsid w:val="00CA34C4"/>
    <w:rsid w:val="00CA4F52"/>
    <w:rsid w:val="00CA6233"/>
    <w:rsid w:val="00CA7185"/>
    <w:rsid w:val="00CB2308"/>
    <w:rsid w:val="00CB55E5"/>
    <w:rsid w:val="00CB779F"/>
    <w:rsid w:val="00CC0486"/>
    <w:rsid w:val="00CC19B7"/>
    <w:rsid w:val="00CC36DB"/>
    <w:rsid w:val="00CC5B45"/>
    <w:rsid w:val="00CC7E00"/>
    <w:rsid w:val="00CD290F"/>
    <w:rsid w:val="00CD3994"/>
    <w:rsid w:val="00CD45B1"/>
    <w:rsid w:val="00CD4E02"/>
    <w:rsid w:val="00CE04A1"/>
    <w:rsid w:val="00CE0D7B"/>
    <w:rsid w:val="00CE0EB4"/>
    <w:rsid w:val="00CE100C"/>
    <w:rsid w:val="00CE1EC9"/>
    <w:rsid w:val="00CE27D3"/>
    <w:rsid w:val="00CE284B"/>
    <w:rsid w:val="00CE3085"/>
    <w:rsid w:val="00CE5E38"/>
    <w:rsid w:val="00CE7EF6"/>
    <w:rsid w:val="00CF4067"/>
    <w:rsid w:val="00CF4C32"/>
    <w:rsid w:val="00CF69F2"/>
    <w:rsid w:val="00CF6C64"/>
    <w:rsid w:val="00D00A00"/>
    <w:rsid w:val="00D018E7"/>
    <w:rsid w:val="00D01F4B"/>
    <w:rsid w:val="00D020BE"/>
    <w:rsid w:val="00D0276C"/>
    <w:rsid w:val="00D0308E"/>
    <w:rsid w:val="00D0357D"/>
    <w:rsid w:val="00D0393C"/>
    <w:rsid w:val="00D03BF4"/>
    <w:rsid w:val="00D05937"/>
    <w:rsid w:val="00D05A2B"/>
    <w:rsid w:val="00D063ED"/>
    <w:rsid w:val="00D06BAC"/>
    <w:rsid w:val="00D0790A"/>
    <w:rsid w:val="00D103FB"/>
    <w:rsid w:val="00D11263"/>
    <w:rsid w:val="00D1131B"/>
    <w:rsid w:val="00D11E6D"/>
    <w:rsid w:val="00D128E1"/>
    <w:rsid w:val="00D136AB"/>
    <w:rsid w:val="00D1418F"/>
    <w:rsid w:val="00D1419E"/>
    <w:rsid w:val="00D15497"/>
    <w:rsid w:val="00D17906"/>
    <w:rsid w:val="00D20295"/>
    <w:rsid w:val="00D20FD9"/>
    <w:rsid w:val="00D22AC7"/>
    <w:rsid w:val="00D24D19"/>
    <w:rsid w:val="00D24EF3"/>
    <w:rsid w:val="00D25F49"/>
    <w:rsid w:val="00D26C1C"/>
    <w:rsid w:val="00D27109"/>
    <w:rsid w:val="00D27819"/>
    <w:rsid w:val="00D30122"/>
    <w:rsid w:val="00D31408"/>
    <w:rsid w:val="00D32A0D"/>
    <w:rsid w:val="00D336B4"/>
    <w:rsid w:val="00D33C38"/>
    <w:rsid w:val="00D3507F"/>
    <w:rsid w:val="00D40688"/>
    <w:rsid w:val="00D42991"/>
    <w:rsid w:val="00D42BC7"/>
    <w:rsid w:val="00D447A1"/>
    <w:rsid w:val="00D44CBE"/>
    <w:rsid w:val="00D50233"/>
    <w:rsid w:val="00D5182B"/>
    <w:rsid w:val="00D51DF3"/>
    <w:rsid w:val="00D52267"/>
    <w:rsid w:val="00D526D3"/>
    <w:rsid w:val="00D54AE9"/>
    <w:rsid w:val="00D60017"/>
    <w:rsid w:val="00D614DF"/>
    <w:rsid w:val="00D62CBA"/>
    <w:rsid w:val="00D63EF3"/>
    <w:rsid w:val="00D6592C"/>
    <w:rsid w:val="00D66A52"/>
    <w:rsid w:val="00D66BED"/>
    <w:rsid w:val="00D66F33"/>
    <w:rsid w:val="00D71615"/>
    <w:rsid w:val="00D73DBF"/>
    <w:rsid w:val="00D756E6"/>
    <w:rsid w:val="00D75AC5"/>
    <w:rsid w:val="00D80CB8"/>
    <w:rsid w:val="00D8208F"/>
    <w:rsid w:val="00D850E9"/>
    <w:rsid w:val="00D85147"/>
    <w:rsid w:val="00D855F9"/>
    <w:rsid w:val="00D85C56"/>
    <w:rsid w:val="00D87C58"/>
    <w:rsid w:val="00D92CE7"/>
    <w:rsid w:val="00D93119"/>
    <w:rsid w:val="00D93859"/>
    <w:rsid w:val="00D939C8"/>
    <w:rsid w:val="00D93E9B"/>
    <w:rsid w:val="00D94BA4"/>
    <w:rsid w:val="00D94E70"/>
    <w:rsid w:val="00D9624C"/>
    <w:rsid w:val="00D964DE"/>
    <w:rsid w:val="00D96F7C"/>
    <w:rsid w:val="00DA04C9"/>
    <w:rsid w:val="00DA135F"/>
    <w:rsid w:val="00DA1407"/>
    <w:rsid w:val="00DA6BE7"/>
    <w:rsid w:val="00DB148C"/>
    <w:rsid w:val="00DB1661"/>
    <w:rsid w:val="00DB23E0"/>
    <w:rsid w:val="00DB2974"/>
    <w:rsid w:val="00DB2D23"/>
    <w:rsid w:val="00DB2D74"/>
    <w:rsid w:val="00DB4154"/>
    <w:rsid w:val="00DB62CF"/>
    <w:rsid w:val="00DB6F4C"/>
    <w:rsid w:val="00DB711C"/>
    <w:rsid w:val="00DC04FA"/>
    <w:rsid w:val="00DC063E"/>
    <w:rsid w:val="00DC0727"/>
    <w:rsid w:val="00DC122C"/>
    <w:rsid w:val="00DC2DEA"/>
    <w:rsid w:val="00DC3F17"/>
    <w:rsid w:val="00DC7351"/>
    <w:rsid w:val="00DD1152"/>
    <w:rsid w:val="00DD1996"/>
    <w:rsid w:val="00DD231F"/>
    <w:rsid w:val="00DD351A"/>
    <w:rsid w:val="00DD40C7"/>
    <w:rsid w:val="00DD4725"/>
    <w:rsid w:val="00DD4F49"/>
    <w:rsid w:val="00DD5195"/>
    <w:rsid w:val="00DD5A8F"/>
    <w:rsid w:val="00DD63CB"/>
    <w:rsid w:val="00DE0CAE"/>
    <w:rsid w:val="00DE14CF"/>
    <w:rsid w:val="00DE1ACD"/>
    <w:rsid w:val="00DE3FBF"/>
    <w:rsid w:val="00DE5D73"/>
    <w:rsid w:val="00DE7A1A"/>
    <w:rsid w:val="00DF13D7"/>
    <w:rsid w:val="00DF1AE7"/>
    <w:rsid w:val="00DF1B3A"/>
    <w:rsid w:val="00DF2992"/>
    <w:rsid w:val="00DF56DD"/>
    <w:rsid w:val="00DF63D4"/>
    <w:rsid w:val="00DF722A"/>
    <w:rsid w:val="00E00777"/>
    <w:rsid w:val="00E00A2D"/>
    <w:rsid w:val="00E02652"/>
    <w:rsid w:val="00E034BE"/>
    <w:rsid w:val="00E06F73"/>
    <w:rsid w:val="00E07A63"/>
    <w:rsid w:val="00E07D7E"/>
    <w:rsid w:val="00E11E9B"/>
    <w:rsid w:val="00E11FEC"/>
    <w:rsid w:val="00E12034"/>
    <w:rsid w:val="00E121B1"/>
    <w:rsid w:val="00E12322"/>
    <w:rsid w:val="00E132CA"/>
    <w:rsid w:val="00E156F8"/>
    <w:rsid w:val="00E17D25"/>
    <w:rsid w:val="00E21112"/>
    <w:rsid w:val="00E214EB"/>
    <w:rsid w:val="00E21DAD"/>
    <w:rsid w:val="00E23341"/>
    <w:rsid w:val="00E237F0"/>
    <w:rsid w:val="00E242F7"/>
    <w:rsid w:val="00E268C5"/>
    <w:rsid w:val="00E27179"/>
    <w:rsid w:val="00E3067A"/>
    <w:rsid w:val="00E31DDC"/>
    <w:rsid w:val="00E32E0B"/>
    <w:rsid w:val="00E337E0"/>
    <w:rsid w:val="00E35DF1"/>
    <w:rsid w:val="00E4108F"/>
    <w:rsid w:val="00E41508"/>
    <w:rsid w:val="00E4234B"/>
    <w:rsid w:val="00E42ACB"/>
    <w:rsid w:val="00E437BF"/>
    <w:rsid w:val="00E50A62"/>
    <w:rsid w:val="00E50CBE"/>
    <w:rsid w:val="00E520E5"/>
    <w:rsid w:val="00E533E9"/>
    <w:rsid w:val="00E54C5A"/>
    <w:rsid w:val="00E54DDB"/>
    <w:rsid w:val="00E54FC8"/>
    <w:rsid w:val="00E56E22"/>
    <w:rsid w:val="00E579D5"/>
    <w:rsid w:val="00E60E4F"/>
    <w:rsid w:val="00E61CC5"/>
    <w:rsid w:val="00E630F4"/>
    <w:rsid w:val="00E63F29"/>
    <w:rsid w:val="00E645A7"/>
    <w:rsid w:val="00E672BF"/>
    <w:rsid w:val="00E67664"/>
    <w:rsid w:val="00E6792F"/>
    <w:rsid w:val="00E7041F"/>
    <w:rsid w:val="00E7139F"/>
    <w:rsid w:val="00E718A6"/>
    <w:rsid w:val="00E725E8"/>
    <w:rsid w:val="00E73BD4"/>
    <w:rsid w:val="00E73F23"/>
    <w:rsid w:val="00E80D0E"/>
    <w:rsid w:val="00E86E45"/>
    <w:rsid w:val="00E903B7"/>
    <w:rsid w:val="00E914CA"/>
    <w:rsid w:val="00E917CA"/>
    <w:rsid w:val="00E918FA"/>
    <w:rsid w:val="00E92F8F"/>
    <w:rsid w:val="00E93C24"/>
    <w:rsid w:val="00E93D4F"/>
    <w:rsid w:val="00E940FB"/>
    <w:rsid w:val="00E94B93"/>
    <w:rsid w:val="00E9623F"/>
    <w:rsid w:val="00E96F92"/>
    <w:rsid w:val="00E97DEC"/>
    <w:rsid w:val="00EA0741"/>
    <w:rsid w:val="00EA115D"/>
    <w:rsid w:val="00EA25DF"/>
    <w:rsid w:val="00EA4B61"/>
    <w:rsid w:val="00EA64B0"/>
    <w:rsid w:val="00EA64D9"/>
    <w:rsid w:val="00EA696B"/>
    <w:rsid w:val="00EA70C4"/>
    <w:rsid w:val="00EA7D7D"/>
    <w:rsid w:val="00EB025E"/>
    <w:rsid w:val="00EB0D4C"/>
    <w:rsid w:val="00EB0DDE"/>
    <w:rsid w:val="00EB2111"/>
    <w:rsid w:val="00EB2359"/>
    <w:rsid w:val="00EB4AC2"/>
    <w:rsid w:val="00EB4DB2"/>
    <w:rsid w:val="00EB5BE0"/>
    <w:rsid w:val="00EC001A"/>
    <w:rsid w:val="00EC0A19"/>
    <w:rsid w:val="00EC14EB"/>
    <w:rsid w:val="00EC17D0"/>
    <w:rsid w:val="00EC20B1"/>
    <w:rsid w:val="00EC3247"/>
    <w:rsid w:val="00EC3F36"/>
    <w:rsid w:val="00EC40A4"/>
    <w:rsid w:val="00EC5C92"/>
    <w:rsid w:val="00EC61AB"/>
    <w:rsid w:val="00EC66FB"/>
    <w:rsid w:val="00EC78D2"/>
    <w:rsid w:val="00ED1E54"/>
    <w:rsid w:val="00ED28A6"/>
    <w:rsid w:val="00ED2C1B"/>
    <w:rsid w:val="00ED2F76"/>
    <w:rsid w:val="00ED343B"/>
    <w:rsid w:val="00ED56D1"/>
    <w:rsid w:val="00ED5A9F"/>
    <w:rsid w:val="00ED61C4"/>
    <w:rsid w:val="00ED6341"/>
    <w:rsid w:val="00ED6E1B"/>
    <w:rsid w:val="00ED774F"/>
    <w:rsid w:val="00ED78FA"/>
    <w:rsid w:val="00ED79F3"/>
    <w:rsid w:val="00ED7E0D"/>
    <w:rsid w:val="00EE0695"/>
    <w:rsid w:val="00EE19CC"/>
    <w:rsid w:val="00EE497D"/>
    <w:rsid w:val="00EE6299"/>
    <w:rsid w:val="00EE6B74"/>
    <w:rsid w:val="00EE7B06"/>
    <w:rsid w:val="00EF0311"/>
    <w:rsid w:val="00EF0AD2"/>
    <w:rsid w:val="00EF13A4"/>
    <w:rsid w:val="00EF4D36"/>
    <w:rsid w:val="00EF5151"/>
    <w:rsid w:val="00EF5EB0"/>
    <w:rsid w:val="00EF69E0"/>
    <w:rsid w:val="00EF70AF"/>
    <w:rsid w:val="00F008F6"/>
    <w:rsid w:val="00F0224F"/>
    <w:rsid w:val="00F02AD5"/>
    <w:rsid w:val="00F06743"/>
    <w:rsid w:val="00F06802"/>
    <w:rsid w:val="00F100C8"/>
    <w:rsid w:val="00F10330"/>
    <w:rsid w:val="00F121AA"/>
    <w:rsid w:val="00F1669A"/>
    <w:rsid w:val="00F17E51"/>
    <w:rsid w:val="00F2108F"/>
    <w:rsid w:val="00F214A0"/>
    <w:rsid w:val="00F2166E"/>
    <w:rsid w:val="00F21FB6"/>
    <w:rsid w:val="00F23C5B"/>
    <w:rsid w:val="00F25EFC"/>
    <w:rsid w:val="00F27597"/>
    <w:rsid w:val="00F3071E"/>
    <w:rsid w:val="00F326F3"/>
    <w:rsid w:val="00F32B86"/>
    <w:rsid w:val="00F32F69"/>
    <w:rsid w:val="00F33578"/>
    <w:rsid w:val="00F35AD9"/>
    <w:rsid w:val="00F37375"/>
    <w:rsid w:val="00F376FB"/>
    <w:rsid w:val="00F4013A"/>
    <w:rsid w:val="00F41920"/>
    <w:rsid w:val="00F44F34"/>
    <w:rsid w:val="00F5184F"/>
    <w:rsid w:val="00F5313C"/>
    <w:rsid w:val="00F54929"/>
    <w:rsid w:val="00F54B17"/>
    <w:rsid w:val="00F5738B"/>
    <w:rsid w:val="00F57A5D"/>
    <w:rsid w:val="00F603AD"/>
    <w:rsid w:val="00F60495"/>
    <w:rsid w:val="00F60B49"/>
    <w:rsid w:val="00F621FF"/>
    <w:rsid w:val="00F626FB"/>
    <w:rsid w:val="00F63906"/>
    <w:rsid w:val="00F64FEA"/>
    <w:rsid w:val="00F65C7D"/>
    <w:rsid w:val="00F664C0"/>
    <w:rsid w:val="00F66B03"/>
    <w:rsid w:val="00F66D06"/>
    <w:rsid w:val="00F6713F"/>
    <w:rsid w:val="00F71D6B"/>
    <w:rsid w:val="00F71DBF"/>
    <w:rsid w:val="00F722B1"/>
    <w:rsid w:val="00F72384"/>
    <w:rsid w:val="00F72511"/>
    <w:rsid w:val="00F735E7"/>
    <w:rsid w:val="00F7419B"/>
    <w:rsid w:val="00F76BA3"/>
    <w:rsid w:val="00F77B74"/>
    <w:rsid w:val="00F77F0D"/>
    <w:rsid w:val="00F80750"/>
    <w:rsid w:val="00F808E6"/>
    <w:rsid w:val="00F82F78"/>
    <w:rsid w:val="00F868E3"/>
    <w:rsid w:val="00F86CB0"/>
    <w:rsid w:val="00F86D4B"/>
    <w:rsid w:val="00F86E3C"/>
    <w:rsid w:val="00F8743D"/>
    <w:rsid w:val="00F87703"/>
    <w:rsid w:val="00F90AB4"/>
    <w:rsid w:val="00F90C95"/>
    <w:rsid w:val="00F91DB4"/>
    <w:rsid w:val="00F92495"/>
    <w:rsid w:val="00F92EF1"/>
    <w:rsid w:val="00F93E2F"/>
    <w:rsid w:val="00F9426D"/>
    <w:rsid w:val="00F94BBA"/>
    <w:rsid w:val="00F9550C"/>
    <w:rsid w:val="00F96805"/>
    <w:rsid w:val="00F96A6E"/>
    <w:rsid w:val="00F96F0D"/>
    <w:rsid w:val="00FA08E7"/>
    <w:rsid w:val="00FA0B85"/>
    <w:rsid w:val="00FA128A"/>
    <w:rsid w:val="00FA1757"/>
    <w:rsid w:val="00FA1A79"/>
    <w:rsid w:val="00FA1FEE"/>
    <w:rsid w:val="00FA34AF"/>
    <w:rsid w:val="00FA3905"/>
    <w:rsid w:val="00FA46A7"/>
    <w:rsid w:val="00FA4AF0"/>
    <w:rsid w:val="00FA5DE1"/>
    <w:rsid w:val="00FA78F0"/>
    <w:rsid w:val="00FB08EE"/>
    <w:rsid w:val="00FB2882"/>
    <w:rsid w:val="00FB2918"/>
    <w:rsid w:val="00FB3604"/>
    <w:rsid w:val="00FB4E1F"/>
    <w:rsid w:val="00FB5134"/>
    <w:rsid w:val="00FB798A"/>
    <w:rsid w:val="00FC189F"/>
    <w:rsid w:val="00FC2951"/>
    <w:rsid w:val="00FC3491"/>
    <w:rsid w:val="00FC40AD"/>
    <w:rsid w:val="00FC4601"/>
    <w:rsid w:val="00FC4ABA"/>
    <w:rsid w:val="00FC4E05"/>
    <w:rsid w:val="00FC53D7"/>
    <w:rsid w:val="00FC606D"/>
    <w:rsid w:val="00FC78AB"/>
    <w:rsid w:val="00FD11AC"/>
    <w:rsid w:val="00FD1A90"/>
    <w:rsid w:val="00FD2FAD"/>
    <w:rsid w:val="00FD30BF"/>
    <w:rsid w:val="00FD38E2"/>
    <w:rsid w:val="00FD3EE3"/>
    <w:rsid w:val="00FD5686"/>
    <w:rsid w:val="00FD615C"/>
    <w:rsid w:val="00FD62C1"/>
    <w:rsid w:val="00FD7BB4"/>
    <w:rsid w:val="00FE52E2"/>
    <w:rsid w:val="00FE649A"/>
    <w:rsid w:val="00FE64E2"/>
    <w:rsid w:val="00FE7B35"/>
    <w:rsid w:val="00FF03ED"/>
    <w:rsid w:val="00FF10D7"/>
    <w:rsid w:val="00FF1726"/>
    <w:rsid w:val="00FF33A2"/>
    <w:rsid w:val="00FF6BA7"/>
    <w:rsid w:val="00FF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4E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41"/>
    <w:pPr>
      <w:spacing w:before="40" w:after="160" w:line="288" w:lineRule="auto"/>
    </w:pPr>
    <w:rPr>
      <w:rFonts w:ascii="Franklin Gothic Book" w:hAnsi="Franklin Gothic Book"/>
      <w:sz w:val="21"/>
    </w:rPr>
  </w:style>
  <w:style w:type="paragraph" w:styleId="Heading1">
    <w:name w:val="heading 1"/>
    <w:basedOn w:val="Normal"/>
    <w:next w:val="Normal"/>
    <w:link w:val="Heading1Char"/>
    <w:uiPriority w:val="9"/>
    <w:qFormat/>
    <w:rsid w:val="00F664C0"/>
    <w:pPr>
      <w:keepNext/>
      <w:pageBreakBefore/>
      <w:spacing w:before="480" w:after="1560" w:line="540" w:lineRule="atLeast"/>
      <w:ind w:left="720" w:hanging="720"/>
      <w:outlineLvl w:val="0"/>
    </w:pPr>
    <w:rPr>
      <w:rFonts w:ascii="Arial" w:hAnsi="Arial" w:cs="Arial"/>
      <w:bCs/>
      <w:color w:val="FFFFFF"/>
      <w:sz w:val="44"/>
      <w:szCs w:val="32"/>
    </w:rPr>
  </w:style>
  <w:style w:type="paragraph" w:styleId="Heading2">
    <w:name w:val="heading 2"/>
    <w:basedOn w:val="Normal"/>
    <w:next w:val="Normal"/>
    <w:link w:val="Heading2Char"/>
    <w:uiPriority w:val="9"/>
    <w:qFormat/>
    <w:rsid w:val="00595A68"/>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uiPriority w:val="9"/>
    <w:qFormat/>
    <w:rsid w:val="00595A68"/>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uiPriority w:val="9"/>
    <w:qFormat/>
    <w:rsid w:val="00595A68"/>
    <w:pPr>
      <w:keepNext/>
      <w:spacing w:before="240" w:after="120"/>
      <w:outlineLvl w:val="3"/>
    </w:pPr>
    <w:rPr>
      <w:rFonts w:ascii="Arial" w:hAnsi="Arial"/>
      <w:b/>
      <w:bCs/>
      <w:sz w:val="22"/>
      <w:szCs w:val="28"/>
    </w:rPr>
  </w:style>
  <w:style w:type="paragraph" w:styleId="Heading5">
    <w:name w:val="heading 5"/>
    <w:basedOn w:val="Normal"/>
    <w:next w:val="Normal"/>
    <w:link w:val="Heading5Char"/>
    <w:uiPriority w:val="9"/>
    <w:qFormat/>
    <w:rsid w:val="00595A68"/>
    <w:pPr>
      <w:keepNext/>
      <w:spacing w:before="60" w:after="60"/>
      <w:outlineLvl w:val="4"/>
    </w:pPr>
    <w:rPr>
      <w:rFonts w:ascii="Arial" w:hAnsi="Arial"/>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42E"/>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1C242E"/>
    <w:rPr>
      <w:rFonts w:ascii="Cambria" w:eastAsia="MS Gothic" w:hAnsi="Cambria" w:cs="Times New Roman"/>
      <w:b/>
      <w:bCs/>
      <w:i/>
      <w:iCs/>
      <w:sz w:val="28"/>
      <w:szCs w:val="28"/>
    </w:rPr>
  </w:style>
  <w:style w:type="character" w:customStyle="1" w:styleId="Heading3Char">
    <w:name w:val="Heading 3 Char"/>
    <w:link w:val="Heading3"/>
    <w:uiPriority w:val="9"/>
    <w:semiHidden/>
    <w:rsid w:val="001C242E"/>
    <w:rPr>
      <w:rFonts w:ascii="Cambria" w:eastAsia="MS Gothic" w:hAnsi="Cambria" w:cs="Times New Roman"/>
      <w:b/>
      <w:bCs/>
      <w:sz w:val="26"/>
      <w:szCs w:val="26"/>
    </w:rPr>
  </w:style>
  <w:style w:type="character" w:customStyle="1" w:styleId="Heading4Char">
    <w:name w:val="Heading 4 Char"/>
    <w:link w:val="Heading4"/>
    <w:uiPriority w:val="9"/>
    <w:semiHidden/>
    <w:rsid w:val="001C242E"/>
    <w:rPr>
      <w:rFonts w:ascii="Calibri" w:eastAsia="MS Mincho" w:hAnsi="Calibri" w:cs="Times New Roman"/>
      <w:b/>
      <w:bCs/>
      <w:sz w:val="28"/>
      <w:szCs w:val="28"/>
    </w:rPr>
  </w:style>
  <w:style w:type="character" w:customStyle="1" w:styleId="Heading5Char">
    <w:name w:val="Heading 5 Char"/>
    <w:link w:val="Heading5"/>
    <w:uiPriority w:val="9"/>
    <w:semiHidden/>
    <w:rsid w:val="001C242E"/>
    <w:rPr>
      <w:rFonts w:ascii="Calibri" w:eastAsia="MS Mincho" w:hAnsi="Calibri" w:cs="Times New Roman"/>
      <w:b/>
      <w:bCs/>
      <w:i/>
      <w:iCs/>
      <w:sz w:val="26"/>
      <w:szCs w:val="26"/>
    </w:rPr>
  </w:style>
  <w:style w:type="paragraph" w:styleId="Date">
    <w:name w:val="Date"/>
    <w:basedOn w:val="Subtitle"/>
    <w:next w:val="Normal"/>
    <w:link w:val="DateChar"/>
    <w:uiPriority w:val="99"/>
    <w:rsid w:val="00887FA3"/>
    <w:pPr>
      <w:spacing w:after="600"/>
    </w:pPr>
    <w:rPr>
      <w:i/>
      <w:iCs/>
    </w:rPr>
  </w:style>
  <w:style w:type="paragraph" w:styleId="Subtitle">
    <w:name w:val="Subtitle"/>
    <w:basedOn w:val="Title"/>
    <w:next w:val="Date"/>
    <w:link w:val="SubtitleChar"/>
    <w:uiPriority w:val="11"/>
    <w:qFormat/>
    <w:rsid w:val="00887FA3"/>
    <w:pPr>
      <w:pageBreakBefore w:val="0"/>
      <w:spacing w:before="200" w:after="0" w:line="380" w:lineRule="atLeast"/>
    </w:pPr>
    <w:rPr>
      <w:sz w:val="32"/>
      <w:szCs w:val="32"/>
    </w:rPr>
  </w:style>
  <w:style w:type="paragraph" w:styleId="Title">
    <w:name w:val="Title"/>
    <w:basedOn w:val="Normal"/>
    <w:next w:val="Subtitle"/>
    <w:link w:val="TitleChar"/>
    <w:uiPriority w:val="10"/>
    <w:qFormat/>
    <w:rsid w:val="004164C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uiPriority w:val="10"/>
    <w:locked/>
    <w:rsid w:val="004164C0"/>
    <w:rPr>
      <w:rFonts w:ascii="Helvetica" w:hAnsi="Helvetica"/>
      <w:noProof/>
      <w:color w:val="FFFFFF"/>
      <w:kern w:val="28"/>
      <w:sz w:val="50"/>
      <w:lang w:val="en-US" w:eastAsia="en-US"/>
    </w:rPr>
  </w:style>
  <w:style w:type="character" w:customStyle="1" w:styleId="SubtitleChar">
    <w:name w:val="Subtitle Char"/>
    <w:link w:val="Subtitle"/>
    <w:uiPriority w:val="11"/>
    <w:locked/>
    <w:rsid w:val="00887FA3"/>
    <w:rPr>
      <w:rFonts w:ascii="Helvetica" w:hAnsi="Helvetica"/>
      <w:noProof/>
      <w:color w:val="FFFFFF"/>
      <w:kern w:val="28"/>
      <w:sz w:val="32"/>
      <w:lang w:val="en-US" w:eastAsia="en-US"/>
    </w:rPr>
  </w:style>
  <w:style w:type="character" w:customStyle="1" w:styleId="DateChar">
    <w:name w:val="Date Char"/>
    <w:link w:val="Date"/>
    <w:uiPriority w:val="99"/>
    <w:locked/>
    <w:rsid w:val="00887FA3"/>
    <w:rPr>
      <w:rFonts w:ascii="Helvetica" w:hAnsi="Helvetica"/>
      <w:i/>
      <w:noProof/>
      <w:color w:val="FFFFFF"/>
      <w:kern w:val="28"/>
      <w:sz w:val="32"/>
      <w:lang w:val="en-US" w:eastAsia="en-US"/>
    </w:rPr>
  </w:style>
  <w:style w:type="paragraph" w:customStyle="1" w:styleId="PullQuote">
    <w:name w:val="PullQuote"/>
    <w:basedOn w:val="Normal"/>
    <w:next w:val="Normal"/>
    <w:rsid w:val="00D020BE"/>
    <w:rPr>
      <w:rFonts w:ascii="Trebuchet MS" w:hAnsi="Trebuchet MS"/>
      <w:b/>
      <w:i/>
      <w:color w:val="007FAD"/>
    </w:rPr>
  </w:style>
  <w:style w:type="paragraph" w:customStyle="1" w:styleId="ReportDate">
    <w:name w:val="ReportDate"/>
    <w:basedOn w:val="Normal"/>
    <w:rsid w:val="00E07D7E"/>
    <w:pPr>
      <w:spacing w:before="960"/>
    </w:pPr>
    <w:rPr>
      <w:rFonts w:ascii="Calibri" w:hAnsi="Calibri"/>
      <w:sz w:val="28"/>
    </w:rPr>
  </w:style>
  <w:style w:type="paragraph" w:customStyle="1" w:styleId="Heading1a">
    <w:name w:val="Heading 1a"/>
    <w:basedOn w:val="Heading1"/>
    <w:next w:val="Normal"/>
    <w:rsid w:val="00E718A6"/>
    <w:pPr>
      <w:outlineLvl w:val="9"/>
    </w:pPr>
  </w:style>
  <w:style w:type="paragraph" w:customStyle="1" w:styleId="Heading2a">
    <w:name w:val="Heading 2a"/>
    <w:basedOn w:val="Heading2"/>
    <w:next w:val="Normal"/>
    <w:rsid w:val="00E718A6"/>
    <w:pPr>
      <w:ind w:left="0" w:firstLine="0"/>
      <w:outlineLvl w:val="9"/>
    </w:pPr>
  </w:style>
  <w:style w:type="paragraph" w:customStyle="1" w:styleId="Heading3a">
    <w:name w:val="Heading 3a"/>
    <w:basedOn w:val="Heading3"/>
    <w:next w:val="Normal"/>
    <w:rsid w:val="001B454D"/>
    <w:pPr>
      <w:ind w:left="0" w:firstLine="0"/>
      <w:outlineLvl w:val="9"/>
    </w:pPr>
  </w:style>
  <w:style w:type="paragraph" w:styleId="Header">
    <w:name w:val="header"/>
    <w:basedOn w:val="Normal"/>
    <w:link w:val="HeaderChar"/>
    <w:uiPriority w:val="99"/>
    <w:rsid w:val="00D20FD9"/>
    <w:pPr>
      <w:tabs>
        <w:tab w:val="right" w:pos="9000"/>
      </w:tabs>
      <w:spacing w:after="0"/>
    </w:pPr>
    <w:rPr>
      <w:sz w:val="18"/>
    </w:rPr>
  </w:style>
  <w:style w:type="character" w:customStyle="1" w:styleId="HeaderChar">
    <w:name w:val="Header Char"/>
    <w:link w:val="Header"/>
    <w:uiPriority w:val="99"/>
    <w:locked/>
    <w:rsid w:val="004164C0"/>
    <w:rPr>
      <w:rFonts w:ascii="Franklin Gothic Book" w:hAnsi="Franklin Gothic Book" w:cs="Times New Roman"/>
      <w:color w:val="000000"/>
      <w:sz w:val="18"/>
    </w:rPr>
  </w:style>
  <w:style w:type="paragraph" w:styleId="Footer">
    <w:name w:val="footer"/>
    <w:basedOn w:val="Normal"/>
    <w:link w:val="FooterChar"/>
    <w:uiPriority w:val="99"/>
    <w:rsid w:val="00D20FD9"/>
    <w:pPr>
      <w:tabs>
        <w:tab w:val="right" w:pos="9000"/>
      </w:tabs>
      <w:spacing w:after="0"/>
    </w:pPr>
    <w:rPr>
      <w:sz w:val="20"/>
    </w:rPr>
  </w:style>
  <w:style w:type="character" w:customStyle="1" w:styleId="FooterChar">
    <w:name w:val="Footer Char"/>
    <w:link w:val="Footer"/>
    <w:uiPriority w:val="99"/>
    <w:locked/>
    <w:rsid w:val="005A72C4"/>
    <w:rPr>
      <w:rFonts w:cs="Times New Roman"/>
      <w:color w:val="000000"/>
    </w:rPr>
  </w:style>
  <w:style w:type="character" w:styleId="PageNumber">
    <w:name w:val="page number"/>
    <w:uiPriority w:val="99"/>
    <w:semiHidden/>
    <w:rsid w:val="00D20FD9"/>
    <w:rPr>
      <w:rFonts w:ascii="Times New Roman" w:hAnsi="Times New Roman" w:cs="Times New Roman"/>
      <w:b/>
      <w:sz w:val="20"/>
    </w:rPr>
  </w:style>
  <w:style w:type="paragraph" w:customStyle="1" w:styleId="TableText">
    <w:name w:val="TableText"/>
    <w:basedOn w:val="Normal"/>
    <w:qFormat/>
    <w:rsid w:val="000F733D"/>
    <w:pPr>
      <w:keepNext/>
      <w:spacing w:after="40" w:line="200" w:lineRule="atLeast"/>
    </w:pPr>
    <w:rPr>
      <w:color w:val="000000"/>
      <w:sz w:val="17"/>
      <w:szCs w:val="21"/>
    </w:rPr>
  </w:style>
  <w:style w:type="paragraph" w:customStyle="1" w:styleId="TFListNotesSpace">
    <w:name w:val="TFListNotes+Space"/>
    <w:basedOn w:val="TableText"/>
    <w:next w:val="Normal"/>
    <w:rsid w:val="00BE10F8"/>
    <w:pPr>
      <w:keepNext w:val="0"/>
      <w:keepLines/>
      <w:spacing w:after="360"/>
      <w:ind w:left="170" w:hanging="170"/>
    </w:pPr>
    <w:rPr>
      <w:sz w:val="16"/>
      <w:szCs w:val="18"/>
    </w:rPr>
  </w:style>
  <w:style w:type="paragraph" w:customStyle="1" w:styleId="TFListNotes">
    <w:name w:val="TFListNotes"/>
    <w:basedOn w:val="TFListNotesSpace"/>
    <w:rsid w:val="00BE10F8"/>
    <w:pPr>
      <w:keepNext/>
      <w:spacing w:after="0"/>
    </w:pPr>
  </w:style>
  <w:style w:type="paragraph" w:customStyle="1" w:styleId="TableName">
    <w:name w:val="TableName"/>
    <w:basedOn w:val="TableText"/>
    <w:rsid w:val="00E718A6"/>
    <w:pPr>
      <w:tabs>
        <w:tab w:val="left" w:pos="1080"/>
      </w:tabs>
      <w:spacing w:before="80" w:after="120"/>
      <w:ind w:left="1077" w:hanging="1077"/>
    </w:pPr>
    <w:rPr>
      <w:b/>
      <w:bCs/>
      <w:color w:val="auto"/>
      <w:sz w:val="22"/>
    </w:rPr>
  </w:style>
  <w:style w:type="paragraph" w:customStyle="1" w:styleId="TableHeading">
    <w:name w:val="TableHeading"/>
    <w:basedOn w:val="TableText"/>
    <w:rsid w:val="00595A68"/>
    <w:pPr>
      <w:spacing w:before="80" w:after="80"/>
    </w:pPr>
    <w:rPr>
      <w:rFonts w:ascii="Arial" w:hAnsi="Arial"/>
      <w:b/>
      <w:bCs/>
      <w:color w:val="FFFFFF"/>
      <w:sz w:val="20"/>
    </w:rPr>
  </w:style>
  <w:style w:type="paragraph" w:customStyle="1" w:styleId="BoxText">
    <w:name w:val="BoxText"/>
    <w:basedOn w:val="Normal"/>
    <w:link w:val="BoxTextChar"/>
    <w:qFormat/>
    <w:rsid w:val="00595A68"/>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character" w:customStyle="1" w:styleId="BoxTextChar">
    <w:name w:val="BoxText Char"/>
    <w:link w:val="BoxText"/>
    <w:locked/>
    <w:rsid w:val="00595A68"/>
    <w:rPr>
      <w:rFonts w:ascii="Franklin Gothic Book" w:hAnsi="Franklin Gothic Book" w:cs="Times New Roman"/>
      <w:sz w:val="21"/>
      <w:shd w:val="clear" w:color="auto" w:fill="ECF1F7"/>
    </w:rPr>
  </w:style>
  <w:style w:type="paragraph" w:customStyle="1" w:styleId="BoxNotes">
    <w:name w:val="BoxNotes"/>
    <w:basedOn w:val="BoxText"/>
    <w:rsid w:val="0066662D"/>
    <w:pPr>
      <w:spacing w:before="120" w:after="60"/>
    </w:pPr>
    <w:rPr>
      <w:sz w:val="18"/>
    </w:rPr>
  </w:style>
  <w:style w:type="paragraph" w:customStyle="1" w:styleId="ColorfulGrid-Accent11">
    <w:name w:val="Colorful Grid - Accent 11"/>
    <w:basedOn w:val="Normal"/>
    <w:link w:val="ColorfulGrid-Accent1Char"/>
    <w:uiPriority w:val="29"/>
    <w:qFormat/>
    <w:rsid w:val="00EB0D4C"/>
    <w:pPr>
      <w:ind w:left="567" w:right="567"/>
    </w:pPr>
    <w:rPr>
      <w:i/>
    </w:rPr>
  </w:style>
  <w:style w:type="character" w:customStyle="1" w:styleId="ColorfulGrid-Accent1Char">
    <w:name w:val="Colorful Grid - Accent 1 Char"/>
    <w:link w:val="ColorfulGrid-Accent11"/>
    <w:uiPriority w:val="29"/>
    <w:locked/>
    <w:rsid w:val="00AF6247"/>
    <w:rPr>
      <w:rFonts w:ascii="Franklin Gothic Book" w:hAnsi="Franklin Gothic Book" w:cs="Times New Roman"/>
      <w:i/>
      <w:color w:val="000000"/>
      <w:sz w:val="21"/>
    </w:rPr>
  </w:style>
  <w:style w:type="paragraph" w:customStyle="1" w:styleId="References">
    <w:name w:val="References"/>
    <w:basedOn w:val="Normal"/>
    <w:rsid w:val="001E259C"/>
    <w:pPr>
      <w:keepLines/>
      <w:ind w:left="284" w:hanging="284"/>
    </w:pPr>
  </w:style>
  <w:style w:type="paragraph" w:styleId="FootnoteText">
    <w:name w:val="footnote text"/>
    <w:basedOn w:val="Normal"/>
    <w:link w:val="FootnoteTextChar"/>
    <w:uiPriority w:val="99"/>
    <w:rsid w:val="00E56E22"/>
    <w:pPr>
      <w:spacing w:after="0"/>
      <w:ind w:left="360" w:hanging="360"/>
    </w:pPr>
    <w:rPr>
      <w:sz w:val="17"/>
    </w:rPr>
  </w:style>
  <w:style w:type="character" w:customStyle="1" w:styleId="FootnoteTextChar">
    <w:name w:val="Footnote Text Char"/>
    <w:link w:val="FootnoteText"/>
    <w:uiPriority w:val="99"/>
    <w:locked/>
    <w:rsid w:val="00E56E22"/>
    <w:rPr>
      <w:rFonts w:cs="Times New Roman"/>
      <w:sz w:val="17"/>
    </w:rPr>
  </w:style>
  <w:style w:type="character" w:styleId="FootnoteReference">
    <w:name w:val="footnote reference"/>
    <w:uiPriority w:val="99"/>
    <w:rsid w:val="00D20FD9"/>
    <w:rPr>
      <w:rFonts w:cs="Times New Roman"/>
      <w:vertAlign w:val="superscript"/>
    </w:rPr>
  </w:style>
  <w:style w:type="paragraph" w:customStyle="1" w:styleId="FigTabPara">
    <w:name w:val="FigTabPara"/>
    <w:basedOn w:val="Normal"/>
    <w:next w:val="Normal"/>
    <w:rsid w:val="00396F45"/>
    <w:pPr>
      <w:keepNext/>
      <w:ind w:left="1077"/>
    </w:pPr>
    <w:rPr>
      <w:sz w:val="20"/>
    </w:rPr>
  </w:style>
  <w:style w:type="paragraph" w:customStyle="1" w:styleId="TableBullet">
    <w:name w:val="TableBullet"/>
    <w:basedOn w:val="Normal"/>
    <w:rsid w:val="00BE10F8"/>
    <w:pPr>
      <w:numPr>
        <w:numId w:val="9"/>
      </w:numPr>
      <w:spacing w:after="40" w:line="240" w:lineRule="auto"/>
    </w:pPr>
    <w:rPr>
      <w:sz w:val="17"/>
      <w:szCs w:val="17"/>
      <w:lang w:eastAsia="en-US"/>
    </w:rPr>
  </w:style>
  <w:style w:type="paragraph" w:customStyle="1" w:styleId="TFAbbrevs">
    <w:name w:val="TFAbbrevs"/>
    <w:basedOn w:val="TFListNotes"/>
    <w:rsid w:val="00BE10F8"/>
    <w:pPr>
      <w:ind w:left="0" w:firstLine="0"/>
    </w:pPr>
  </w:style>
  <w:style w:type="paragraph" w:styleId="TOC1">
    <w:name w:val="toc 1"/>
    <w:basedOn w:val="Normal"/>
    <w:next w:val="Normal"/>
    <w:autoRedefine/>
    <w:uiPriority w:val="39"/>
    <w:rsid w:val="006068DE"/>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6068DE"/>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6068DE"/>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BE10F8"/>
    <w:pPr>
      <w:numPr>
        <w:numId w:val="10"/>
      </w:numPr>
    </w:pPr>
    <w:rPr>
      <w:szCs w:val="20"/>
      <w:lang w:val="x-none"/>
    </w:rPr>
  </w:style>
  <w:style w:type="character" w:customStyle="1" w:styleId="TableDashChar">
    <w:name w:val="TableDash Char"/>
    <w:link w:val="TableDash"/>
    <w:locked/>
    <w:rsid w:val="00BE10F8"/>
    <w:rPr>
      <w:rFonts w:ascii="Franklin Gothic Book" w:hAnsi="Franklin Gothic Book"/>
      <w:sz w:val="17"/>
      <w:lang w:val="x-none" w:eastAsia="en-US"/>
    </w:rPr>
  </w:style>
  <w:style w:type="paragraph" w:customStyle="1" w:styleId="Bullet">
    <w:name w:val="Bullet"/>
    <w:basedOn w:val="Normal"/>
    <w:qFormat/>
    <w:rsid w:val="00020AE5"/>
    <w:pPr>
      <w:numPr>
        <w:numId w:val="8"/>
      </w:numPr>
      <w:spacing w:before="0" w:after="80" w:line="280" w:lineRule="exact"/>
    </w:pPr>
  </w:style>
  <w:style w:type="paragraph" w:customStyle="1" w:styleId="BulletLast">
    <w:name w:val="BulletLast"/>
    <w:basedOn w:val="Bullet"/>
    <w:qFormat/>
    <w:rsid w:val="00FD615C"/>
    <w:pPr>
      <w:spacing w:after="160"/>
    </w:pPr>
  </w:style>
  <w:style w:type="paragraph" w:customStyle="1" w:styleId="Dash">
    <w:name w:val="Dash"/>
    <w:basedOn w:val="Normal"/>
    <w:rsid w:val="00020AE5"/>
    <w:pPr>
      <w:numPr>
        <w:numId w:val="7"/>
      </w:numPr>
      <w:spacing w:before="0" w:after="80" w:line="280" w:lineRule="exact"/>
      <w:ind w:left="568" w:hanging="284"/>
    </w:pPr>
    <w:rPr>
      <w:szCs w:val="24"/>
    </w:r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020AE5"/>
    <w:pPr>
      <w:keepNext/>
      <w:spacing w:before="0" w:after="80"/>
    </w:pPr>
  </w:style>
  <w:style w:type="paragraph" w:customStyle="1" w:styleId="BoxName">
    <w:name w:val="BoxName"/>
    <w:basedOn w:val="BoxText"/>
    <w:rsid w:val="00125331"/>
    <w:pPr>
      <w:keepNext/>
      <w:shd w:val="clear" w:color="auto" w:fill="007FAD"/>
      <w:spacing w:before="180" w:after="240"/>
      <w:ind w:left="1077" w:hanging="1077"/>
    </w:pPr>
    <w:rPr>
      <w:rFonts w:ascii="Arial" w:hAnsi="Arial"/>
      <w:b/>
      <w:bCs/>
      <w:color w:val="FFFFFF"/>
      <w:sz w:val="24"/>
    </w:rPr>
  </w:style>
  <w:style w:type="paragraph" w:customStyle="1" w:styleId="BoxHeading">
    <w:name w:val="BoxHeading"/>
    <w:basedOn w:val="BoxText"/>
    <w:link w:val="BoxHeadingChar"/>
    <w:rsid w:val="00AB0CE3"/>
    <w:pPr>
      <w:keepNext/>
      <w:spacing w:before="360" w:after="60"/>
    </w:pPr>
    <w:rPr>
      <w:b/>
      <w:bCs/>
      <w:sz w:val="22"/>
    </w:rPr>
  </w:style>
  <w:style w:type="character" w:customStyle="1" w:styleId="BoxHeadingChar">
    <w:name w:val="BoxHeading Char"/>
    <w:link w:val="BoxHeading"/>
    <w:locked/>
    <w:rsid w:val="00AB0CE3"/>
    <w:rPr>
      <w:rFonts w:ascii="Franklin Gothic Book" w:hAnsi="Franklin Gothic Book" w:cs="Times New Roman"/>
      <w:b/>
      <w:bCs/>
      <w:sz w:val="22"/>
      <w:shd w:val="clear" w:color="auto" w:fill="ECF1F7"/>
    </w:rPr>
  </w:style>
  <w:style w:type="paragraph" w:customStyle="1" w:styleId="BoxBullet">
    <w:name w:val="BoxBullet"/>
    <w:basedOn w:val="BoxText"/>
    <w:link w:val="BoxBulletChar"/>
    <w:rsid w:val="00636332"/>
    <w:pPr>
      <w:numPr>
        <w:numId w:val="4"/>
      </w:numPr>
    </w:pPr>
  </w:style>
  <w:style w:type="character" w:customStyle="1" w:styleId="BoxBulletChar">
    <w:name w:val="BoxBullet Char"/>
    <w:link w:val="BoxBullet"/>
    <w:locked/>
    <w:rsid w:val="00636332"/>
    <w:rPr>
      <w:rFonts w:ascii="Franklin Gothic Book" w:hAnsi="Franklin Gothic Book"/>
      <w:sz w:val="21"/>
      <w:shd w:val="clear" w:color="auto" w:fill="ECF1F7"/>
      <w:lang w:val="en-AU" w:eastAsia="en-AU"/>
    </w:rPr>
  </w:style>
  <w:style w:type="paragraph" w:customStyle="1" w:styleId="BoxHeading2">
    <w:name w:val="BoxHeading2"/>
    <w:basedOn w:val="BoxHeading"/>
    <w:link w:val="BoxHeading2Char"/>
    <w:qFormat/>
    <w:rsid w:val="00AB0CE3"/>
    <w:pPr>
      <w:spacing w:before="240"/>
    </w:pPr>
    <w:rPr>
      <w:i/>
      <w:sz w:val="21"/>
    </w:rPr>
  </w:style>
  <w:style w:type="character" w:customStyle="1" w:styleId="BoxHeading2Char">
    <w:name w:val="BoxHeading2 Char"/>
    <w:link w:val="BoxHeading2"/>
    <w:locked/>
    <w:rsid w:val="00AB0CE3"/>
    <w:rPr>
      <w:rFonts w:ascii="Franklin Gothic Book" w:hAnsi="Franklin Gothic Book" w:cs="Times New Roman"/>
      <w:b/>
      <w:bCs/>
      <w:i/>
      <w:sz w:val="21"/>
      <w:shd w:val="clear" w:color="auto" w:fill="ECF1F7"/>
    </w:rPr>
  </w:style>
  <w:style w:type="paragraph" w:customStyle="1" w:styleId="FigureName">
    <w:name w:val="FigureName"/>
    <w:basedOn w:val="Normal"/>
    <w:next w:val="Normal"/>
    <w:qFormat/>
    <w:rsid w:val="00E718A6"/>
    <w:pPr>
      <w:keepNext/>
      <w:keepLines/>
      <w:tabs>
        <w:tab w:val="left" w:pos="1080"/>
      </w:tabs>
      <w:spacing w:before="80" w:after="80"/>
      <w:ind w:left="1077" w:hanging="1077"/>
    </w:pPr>
    <w:rPr>
      <w:b/>
      <w:bCs/>
      <w:sz w:val="22"/>
    </w:rPr>
  </w:style>
  <w:style w:type="paragraph" w:styleId="Index1">
    <w:name w:val="index 1"/>
    <w:basedOn w:val="Normal"/>
    <w:next w:val="Normal"/>
    <w:uiPriority w:val="99"/>
    <w:rsid w:val="005F1827"/>
    <w:pPr>
      <w:spacing w:after="0"/>
      <w:ind w:left="518" w:hanging="518"/>
    </w:pPr>
    <w:rPr>
      <w:noProof/>
      <w:sz w:val="22"/>
    </w:rPr>
  </w:style>
  <w:style w:type="paragraph" w:styleId="Index2">
    <w:name w:val="index 2"/>
    <w:basedOn w:val="Index1"/>
    <w:next w:val="Normal"/>
    <w:uiPriority w:val="99"/>
    <w:rsid w:val="005F1827"/>
    <w:pPr>
      <w:ind w:left="816" w:hanging="476"/>
    </w:pPr>
  </w:style>
  <w:style w:type="paragraph" w:styleId="TOC4">
    <w:name w:val="toc 4"/>
    <w:basedOn w:val="Normal"/>
    <w:next w:val="Normal"/>
    <w:autoRedefine/>
    <w:uiPriority w:val="39"/>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paragraph" w:customStyle="1" w:styleId="TFAbbrevsSpace">
    <w:name w:val="TFAbbrevs+Space"/>
    <w:basedOn w:val="TFAbbrevs"/>
    <w:next w:val="Normal"/>
    <w:rsid w:val="00EE7B06"/>
    <w:pPr>
      <w:spacing w:after="360"/>
    </w:pPr>
  </w:style>
  <w:style w:type="character" w:styleId="Strong">
    <w:name w:val="Strong"/>
    <w:uiPriority w:val="22"/>
    <w:qFormat/>
    <w:rsid w:val="00692B58"/>
    <w:rPr>
      <w:rFonts w:cs="Times New Roman"/>
      <w:b/>
      <w:bCs/>
    </w:rPr>
  </w:style>
  <w:style w:type="character" w:styleId="Emphasis">
    <w:name w:val="Emphasis"/>
    <w:uiPriority w:val="20"/>
    <w:qFormat/>
    <w:rsid w:val="00692B58"/>
    <w:rPr>
      <w:rFonts w:cs="Times New Roman"/>
      <w:i/>
      <w:iCs/>
    </w:rPr>
  </w:style>
  <w:style w:type="character" w:customStyle="1" w:styleId="Roman">
    <w:name w:val="Roman"/>
    <w:uiPriority w:val="1"/>
    <w:rsid w:val="00114BAC"/>
    <w:rPr>
      <w:i/>
    </w:rPr>
  </w:style>
  <w:style w:type="table" w:styleId="TableGrid">
    <w:name w:val="Table Grid"/>
    <w:aliases w:val="Plain Table"/>
    <w:basedOn w:val="TableNormal"/>
    <w:uiPriority w:val="59"/>
    <w:rsid w:val="00C26138"/>
    <w:tblPr>
      <w:tblBorders>
        <w:top w:val="single" w:sz="4" w:space="0" w:color="007FAD"/>
        <w:bottom w:val="single" w:sz="4" w:space="0" w:color="007FAD"/>
        <w:insideH w:val="single" w:sz="4" w:space="0" w:color="007FAD"/>
      </w:tblBorders>
      <w:tblCellMar>
        <w:top w:w="85" w:type="dxa"/>
        <w:bottom w:w="85" w:type="dxa"/>
      </w:tblCellMar>
    </w:tblPr>
    <w:tcPr>
      <w:shd w:val="clear" w:color="auto" w:fill="FFFFFF"/>
    </w:tcPr>
    <w:tblStylePr w:type="firstRow">
      <w:rPr>
        <w:rFonts w:cs="Times New Roman"/>
      </w:rPr>
      <w:tblPr/>
      <w:tcPr>
        <w:shd w:val="clear" w:color="auto" w:fill="007FAD"/>
      </w:tcPr>
    </w:tblStylePr>
  </w:style>
  <w:style w:type="paragraph" w:customStyle="1" w:styleId="TableNumberList">
    <w:name w:val="TableNumberList"/>
    <w:basedOn w:val="Normal"/>
    <w:rsid w:val="00BE10F8"/>
    <w:pPr>
      <w:numPr>
        <w:numId w:val="11"/>
      </w:numPr>
      <w:spacing w:after="40" w:line="240" w:lineRule="auto"/>
    </w:pPr>
    <w:rPr>
      <w:sz w:val="17"/>
      <w:szCs w:val="17"/>
      <w:lang w:eastAsia="en-US"/>
    </w:rPr>
  </w:style>
  <w:style w:type="character" w:customStyle="1" w:styleId="Subscript">
    <w:name w:val="Subscript"/>
    <w:uiPriority w:val="1"/>
    <w:rsid w:val="00C92341"/>
    <w:rPr>
      <w:rFonts w:cs="Times New Roman"/>
      <w:noProof/>
      <w:vertAlign w:val="subscript"/>
    </w:rPr>
  </w:style>
  <w:style w:type="character" w:customStyle="1" w:styleId="Superscript">
    <w:name w:val="Superscript"/>
    <w:uiPriority w:val="1"/>
    <w:rsid w:val="00C92341"/>
    <w:rPr>
      <w:rFonts w:cs="Times New Roman"/>
      <w:noProof/>
      <w:vertAlign w:val="superscript"/>
    </w:rPr>
  </w:style>
  <w:style w:type="character" w:customStyle="1" w:styleId="Symbol">
    <w:name w:val="Symbol"/>
    <w:uiPriority w:val="1"/>
    <w:rsid w:val="00C92341"/>
    <w:rPr>
      <w:rFonts w:cs="Times New Roman"/>
      <w:noProof/>
    </w:rPr>
  </w:style>
  <w:style w:type="paragraph" w:customStyle="1" w:styleId="TableNumberList2">
    <w:name w:val="TableNumberList2"/>
    <w:basedOn w:val="TableNumberList"/>
    <w:rsid w:val="00BE10F8"/>
    <w:pPr>
      <w:numPr>
        <w:numId w:val="12"/>
      </w:numPr>
    </w:pPr>
  </w:style>
  <w:style w:type="paragraph" w:customStyle="1" w:styleId="ImprintText">
    <w:name w:val="ImprintText"/>
    <w:basedOn w:val="Normal"/>
    <w:rsid w:val="00C16AE9"/>
    <w:pPr>
      <w:spacing w:line="240" w:lineRule="auto"/>
    </w:pPr>
  </w:style>
  <w:style w:type="paragraph" w:styleId="Caption">
    <w:name w:val="caption"/>
    <w:basedOn w:val="Normal"/>
    <w:next w:val="Credit"/>
    <w:uiPriority w:val="35"/>
    <w:qFormat/>
    <w:rsid w:val="003E5CD5"/>
    <w:pPr>
      <w:spacing w:after="0"/>
    </w:pPr>
    <w:rPr>
      <w:b/>
      <w:bCs/>
      <w:sz w:val="20"/>
      <w:szCs w:val="18"/>
    </w:rPr>
  </w:style>
  <w:style w:type="paragraph" w:customStyle="1" w:styleId="Credit">
    <w:name w:val="Credit"/>
    <w:basedOn w:val="Caption"/>
    <w:next w:val="Normal"/>
    <w:rsid w:val="003E5CD5"/>
    <w:pPr>
      <w:spacing w:after="240"/>
    </w:pPr>
    <w:rPr>
      <w:b w:val="0"/>
      <w:noProof/>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0F733D"/>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link w:val="BalloonText"/>
    <w:uiPriority w:val="99"/>
    <w:semiHidden/>
    <w:locked/>
    <w:rsid w:val="00704FE3"/>
    <w:rPr>
      <w:rFonts w:ascii="Tahoma" w:hAnsi="Tahoma" w:cs="Tahoma"/>
      <w:color w:val="000000"/>
      <w:sz w:val="16"/>
      <w:szCs w:val="16"/>
    </w:rPr>
  </w:style>
  <w:style w:type="paragraph" w:customStyle="1" w:styleId="RecommendationText">
    <w:name w:val="RecommendationText"/>
    <w:basedOn w:val="BoxText"/>
    <w:link w:val="RecommendationTextChar"/>
    <w:qFormat/>
    <w:rsid w:val="00595A68"/>
    <w:pPr>
      <w:pBdr>
        <w:top w:val="single" w:sz="4" w:space="4" w:color="124486"/>
        <w:left w:val="none" w:sz="0" w:space="0" w:color="auto"/>
        <w:bottom w:val="single" w:sz="4" w:space="4" w:color="124486"/>
        <w:right w:val="none" w:sz="0" w:space="0" w:color="auto"/>
      </w:pBdr>
      <w:shd w:val="clear" w:color="auto" w:fill="auto"/>
    </w:pPr>
  </w:style>
  <w:style w:type="character" w:customStyle="1" w:styleId="RecommendationTextChar">
    <w:name w:val="RecommendationText Char"/>
    <w:basedOn w:val="BoxTextChar"/>
    <w:link w:val="RecommendationText"/>
    <w:locked/>
    <w:rsid w:val="00595A68"/>
    <w:rPr>
      <w:rFonts w:ascii="Franklin Gothic Book" w:hAnsi="Franklin Gothic Book" w:cs="Times New Roman"/>
      <w:sz w:val="21"/>
      <w:shd w:val="clear" w:color="auto" w:fill="ECF1F7"/>
    </w:rPr>
  </w:style>
  <w:style w:type="paragraph" w:customStyle="1" w:styleId="SectionTitle">
    <w:name w:val="SectionTitle"/>
    <w:basedOn w:val="Normal"/>
    <w:next w:val="Normal"/>
    <w:rsid w:val="00595A68"/>
    <w:pPr>
      <w:pageBreakBefore/>
    </w:pPr>
    <w:rPr>
      <w:rFonts w:ascii="Arial" w:hAnsi="Arial"/>
      <w:b/>
      <w:color w:val="124486"/>
      <w:sz w:val="50"/>
    </w:rPr>
  </w:style>
  <w:style w:type="paragraph" w:customStyle="1" w:styleId="SectionSubtitle">
    <w:name w:val="SectionSubtitle"/>
    <w:basedOn w:val="Normal"/>
    <w:rsid w:val="00E718A6"/>
    <w:pPr>
      <w:spacing w:after="0"/>
    </w:pPr>
    <w:rPr>
      <w:rFonts w:ascii="Calibri" w:hAnsi="Calibri"/>
      <w:color w:val="007FAD"/>
      <w:sz w:val="32"/>
    </w:rPr>
  </w:style>
  <w:style w:type="paragraph" w:customStyle="1" w:styleId="QuoteNumberList">
    <w:name w:val="QuoteNumberList"/>
    <w:basedOn w:val="ColorfulGrid-Accent11"/>
    <w:rsid w:val="00BD346C"/>
    <w:pPr>
      <w:ind w:left="1117" w:hanging="397"/>
    </w:pPr>
    <w:rPr>
      <w:noProof/>
    </w:rPr>
  </w:style>
  <w:style w:type="paragraph" w:customStyle="1" w:styleId="QuoteBullet">
    <w:name w:val="QuoteBullet"/>
    <w:basedOn w:val="ColorfulGrid-Accent11"/>
    <w:rsid w:val="00EB0D4C"/>
    <w:pPr>
      <w:numPr>
        <w:numId w:val="3"/>
      </w:numPr>
      <w:tabs>
        <w:tab w:val="left" w:pos="851"/>
      </w:tabs>
      <w:ind w:left="851" w:hanging="284"/>
    </w:pPr>
    <w:rPr>
      <w:noProof/>
    </w:rPr>
  </w:style>
  <w:style w:type="paragraph" w:customStyle="1" w:styleId="TableNumberedList">
    <w:name w:val="TableNumberedList"/>
    <w:basedOn w:val="TableText"/>
    <w:autoRedefine/>
    <w:qFormat/>
    <w:rsid w:val="00927891"/>
    <w:pPr>
      <w:numPr>
        <w:numId w:val="5"/>
      </w:numPr>
    </w:pPr>
  </w:style>
  <w:style w:type="paragraph" w:customStyle="1" w:styleId="TableListNumber">
    <w:name w:val="TableListNumber"/>
    <w:basedOn w:val="Normal"/>
    <w:qFormat/>
    <w:rsid w:val="000F733D"/>
    <w:pPr>
      <w:keepNext/>
      <w:numPr>
        <w:numId w:val="17"/>
      </w:numPr>
      <w:tabs>
        <w:tab w:val="left" w:pos="216"/>
      </w:tabs>
      <w:spacing w:after="40" w:line="200" w:lineRule="atLeast"/>
    </w:pPr>
    <w:rPr>
      <w:color w:val="000000"/>
      <w:sz w:val="17"/>
      <w:szCs w:val="21"/>
    </w:rPr>
  </w:style>
  <w:style w:type="paragraph" w:customStyle="1" w:styleId="TableListNumber2">
    <w:name w:val="TableListNumber 2"/>
    <w:basedOn w:val="TableListNumber"/>
    <w:qFormat/>
    <w:rsid w:val="003A32F0"/>
    <w:pPr>
      <w:numPr>
        <w:numId w:val="6"/>
      </w:numPr>
      <w:tabs>
        <w:tab w:val="clear" w:pos="216"/>
        <w:tab w:val="left" w:pos="284"/>
      </w:tabs>
      <w:ind w:left="430" w:hanging="215"/>
    </w:pPr>
  </w:style>
  <w:style w:type="paragraph" w:customStyle="1" w:styleId="TableHeading2">
    <w:name w:val="TableHeading2"/>
    <w:basedOn w:val="TableHeading"/>
    <w:qFormat/>
    <w:rsid w:val="00BE10F8"/>
    <w:rPr>
      <w:i/>
    </w:rPr>
  </w:style>
  <w:style w:type="paragraph" w:customStyle="1" w:styleId="Draftingnote">
    <w:name w:val="Drafting note"/>
    <w:basedOn w:val="Normal"/>
    <w:link w:val="DraftingnoteChar"/>
    <w:qFormat/>
    <w:rsid w:val="00BA5205"/>
    <w:rPr>
      <w:b/>
      <w:color w:val="FF0000"/>
      <w:sz w:val="20"/>
      <w:u w:val="dotted"/>
    </w:rPr>
  </w:style>
  <w:style w:type="character" w:customStyle="1" w:styleId="DraftingnoteChar">
    <w:name w:val="Drafting note Char"/>
    <w:link w:val="Draftingnote"/>
    <w:locked/>
    <w:rsid w:val="00BA5205"/>
    <w:rPr>
      <w:rFonts w:ascii="Cambria" w:hAnsi="Cambria" w:cs="Times New Roman"/>
      <w:b/>
      <w:color w:val="FF0000"/>
      <w:u w:val="dotted"/>
    </w:rPr>
  </w:style>
  <w:style w:type="character" w:styleId="Hyperlink">
    <w:name w:val="Hyperlink"/>
    <w:uiPriority w:val="99"/>
    <w:unhideWhenUsed/>
    <w:rsid w:val="001B454D"/>
    <w:rPr>
      <w:rFonts w:cs="Times New Roman"/>
      <w:color w:val="007FAD"/>
      <w:u w:val="single"/>
    </w:rPr>
  </w:style>
  <w:style w:type="character" w:styleId="CommentReference">
    <w:name w:val="annotation reference"/>
    <w:uiPriority w:val="99"/>
    <w:unhideWhenUsed/>
    <w:rsid w:val="00DF1B3A"/>
    <w:rPr>
      <w:rFonts w:cs="Times New Roman"/>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link w:val="CommentText"/>
    <w:uiPriority w:val="99"/>
    <w:locked/>
    <w:rsid w:val="00DF1B3A"/>
    <w:rPr>
      <w:rFonts w:ascii="Cambria" w:hAnsi="Cambria" w:cs="Times New Roman"/>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link w:val="CommentSubject"/>
    <w:uiPriority w:val="99"/>
    <w:semiHidden/>
    <w:locked/>
    <w:rsid w:val="00DF1B3A"/>
    <w:rPr>
      <w:rFonts w:ascii="Cambria" w:hAnsi="Cambria" w:cs="Times New Roman"/>
      <w:b/>
      <w:bCs/>
      <w:color w:val="000000"/>
    </w:rPr>
  </w:style>
  <w:style w:type="table" w:styleId="MediumGrid3">
    <w:name w:val="Medium Grid 3"/>
    <w:basedOn w:val="TableNormal"/>
    <w:uiPriority w:val="60"/>
    <w:rsid w:val="00FB4E1F"/>
    <w:rPr>
      <w:color w:val="00000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EFEE"/>
    </w:tcPr>
    <w:tblStylePr w:type="firstRow">
      <w:pPr>
        <w:spacing w:before="0" w:after="0"/>
      </w:pPr>
      <w:rPr>
        <w:rFonts w:cs="Times New Roman"/>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DarkList">
    <w:name w:val="Dark List"/>
    <w:basedOn w:val="TableNormal"/>
    <w:uiPriority w:val="61"/>
    <w:rsid w:val="00FB4E1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umberlist2">
    <w:name w:val="Numberlist2"/>
    <w:basedOn w:val="Normal"/>
    <w:rsid w:val="00D020BE"/>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020BE"/>
    <w:pPr>
      <w:numPr>
        <w:numId w:val="1"/>
      </w:numPr>
      <w:spacing w:before="0" w:line="280" w:lineRule="exact"/>
      <w:ind w:left="851" w:hanging="284"/>
      <w:contextualSpacing/>
    </w:pPr>
    <w:rPr>
      <w:szCs w:val="24"/>
    </w:rPr>
  </w:style>
  <w:style w:type="paragraph" w:customStyle="1" w:styleId="BoxDash">
    <w:name w:val="BoxDash"/>
    <w:basedOn w:val="BoxText"/>
    <w:rsid w:val="00BE3345"/>
    <w:pPr>
      <w:tabs>
        <w:tab w:val="left" w:pos="360"/>
        <w:tab w:val="left" w:pos="720"/>
      </w:tabs>
      <w:ind w:left="720" w:hanging="720"/>
    </w:pPr>
  </w:style>
  <w:style w:type="paragraph" w:styleId="EndnoteText">
    <w:name w:val="endnote text"/>
    <w:basedOn w:val="Normal"/>
    <w:link w:val="EndnoteTextChar"/>
    <w:uiPriority w:val="99"/>
    <w:semiHidden/>
    <w:unhideWhenUsed/>
    <w:rsid w:val="003E5CD5"/>
    <w:pPr>
      <w:spacing w:before="0" w:after="0" w:line="240" w:lineRule="auto"/>
    </w:pPr>
    <w:rPr>
      <w:sz w:val="20"/>
    </w:rPr>
  </w:style>
  <w:style w:type="character" w:customStyle="1" w:styleId="EndnoteTextChar">
    <w:name w:val="Endnote Text Char"/>
    <w:link w:val="EndnoteText"/>
    <w:uiPriority w:val="99"/>
    <w:semiHidden/>
    <w:locked/>
    <w:rsid w:val="003E5CD5"/>
    <w:rPr>
      <w:rFonts w:ascii="Franklin Gothic Book" w:hAnsi="Franklin Gothic Book" w:cs="Times New Roman"/>
      <w:color w:val="000000"/>
    </w:rPr>
  </w:style>
  <w:style w:type="character" w:styleId="EndnoteReference">
    <w:name w:val="endnote reference"/>
    <w:uiPriority w:val="99"/>
    <w:semiHidden/>
    <w:unhideWhenUsed/>
    <w:rsid w:val="003E5CD5"/>
    <w:rPr>
      <w:rFonts w:cs="Times New Roman"/>
      <w:vertAlign w:val="superscript"/>
    </w:rPr>
  </w:style>
  <w:style w:type="paragraph" w:customStyle="1" w:styleId="BoxQuote">
    <w:name w:val="BoxQuote"/>
    <w:basedOn w:val="BoxText"/>
    <w:next w:val="BoxQuoteSource"/>
    <w:link w:val="BoxQuoteChar"/>
    <w:qFormat/>
    <w:rsid w:val="00A25238"/>
    <w:pPr>
      <w:spacing w:after="0"/>
      <w:ind w:left="357" w:hanging="357"/>
    </w:pPr>
    <w:rPr>
      <w:i/>
      <w:sz w:val="20"/>
    </w:rPr>
  </w:style>
  <w:style w:type="paragraph" w:customStyle="1" w:styleId="BoxQuoteSource">
    <w:name w:val="BoxQuoteSource"/>
    <w:basedOn w:val="BoxText"/>
    <w:link w:val="BoxQuoteSourceChar"/>
    <w:qFormat/>
    <w:rsid w:val="008777B4"/>
    <w:pPr>
      <w:jc w:val="right"/>
    </w:pPr>
    <w:rPr>
      <w:noProof/>
      <w:sz w:val="20"/>
    </w:rPr>
  </w:style>
  <w:style w:type="character" w:customStyle="1" w:styleId="BoxQuoteSourceChar">
    <w:name w:val="BoxQuoteSource Char"/>
    <w:link w:val="BoxQuoteSource"/>
    <w:locked/>
    <w:rsid w:val="008777B4"/>
    <w:rPr>
      <w:rFonts w:ascii="Franklin Gothic Book" w:hAnsi="Franklin Gothic Book" w:cs="Times New Roman"/>
      <w:noProof/>
      <w:sz w:val="21"/>
      <w:shd w:val="clear" w:color="auto" w:fill="ECF1F7"/>
    </w:rPr>
  </w:style>
  <w:style w:type="character" w:customStyle="1" w:styleId="BoxQuoteChar">
    <w:name w:val="BoxQuote Char"/>
    <w:link w:val="BoxQuote"/>
    <w:locked/>
    <w:rsid w:val="00A25238"/>
    <w:rPr>
      <w:rFonts w:ascii="Franklin Gothic Book" w:hAnsi="Franklin Gothic Book" w:cs="Times New Roman"/>
      <w:i/>
      <w:sz w:val="21"/>
      <w:shd w:val="clear" w:color="auto" w:fill="ECF1F7"/>
    </w:rPr>
  </w:style>
  <w:style w:type="paragraph" w:customStyle="1" w:styleId="QuoteSource">
    <w:name w:val="QuoteSource"/>
    <w:basedOn w:val="ColorfulGrid-Accent11"/>
    <w:link w:val="QuoteSourceChar"/>
    <w:qFormat/>
    <w:rsid w:val="00AF6247"/>
    <w:pPr>
      <w:spacing w:after="240"/>
      <w:jc w:val="right"/>
    </w:pPr>
    <w:rPr>
      <w:i w:val="0"/>
    </w:rPr>
  </w:style>
  <w:style w:type="character" w:customStyle="1" w:styleId="QuoteSourceChar">
    <w:name w:val="QuoteSource Char"/>
    <w:basedOn w:val="ColorfulGrid-Accent1Char"/>
    <w:link w:val="QuoteSource"/>
    <w:locked/>
    <w:rsid w:val="00AF6247"/>
    <w:rPr>
      <w:rFonts w:ascii="Franklin Gothic Book" w:hAnsi="Franklin Gothic Book" w:cs="Times New Roman"/>
      <w:i/>
      <w:color w:val="000000"/>
      <w:sz w:val="21"/>
    </w:rPr>
  </w:style>
  <w:style w:type="paragraph" w:customStyle="1" w:styleId="RecommendationSub">
    <w:name w:val="RecommendationSub"/>
    <w:basedOn w:val="RecommendationText"/>
    <w:link w:val="RecommendationSubChar"/>
    <w:qFormat/>
    <w:rsid w:val="006D567A"/>
    <w:pPr>
      <w:ind w:left="357" w:hanging="357"/>
    </w:pPr>
  </w:style>
  <w:style w:type="character" w:customStyle="1" w:styleId="RecommendationSubChar">
    <w:name w:val="RecommendationSub Char"/>
    <w:basedOn w:val="RecommendationTextChar"/>
    <w:link w:val="RecommendationSub"/>
    <w:locked/>
    <w:rsid w:val="006D567A"/>
    <w:rPr>
      <w:rFonts w:ascii="Franklin Gothic Book" w:hAnsi="Franklin Gothic Book" w:cs="Times New Roman"/>
      <w:sz w:val="21"/>
      <w:shd w:val="clear" w:color="auto" w:fill="ECF1F7"/>
    </w:rPr>
  </w:style>
  <w:style w:type="paragraph" w:customStyle="1" w:styleId="RecommendationName">
    <w:name w:val="RecommendationName"/>
    <w:basedOn w:val="RecommendationText"/>
    <w:link w:val="RecommendationNameChar"/>
    <w:qFormat/>
    <w:rsid w:val="006068DE"/>
    <w:pPr>
      <w:spacing w:before="120"/>
    </w:pPr>
    <w:rPr>
      <w:rFonts w:ascii="Arial Bold" w:hAnsi="Arial Bold"/>
      <w:b/>
      <w:color w:val="EB0029"/>
      <w:sz w:val="24"/>
    </w:rPr>
  </w:style>
  <w:style w:type="character" w:customStyle="1" w:styleId="RecommendationNameChar">
    <w:name w:val="RecommendationName Char"/>
    <w:link w:val="RecommendationName"/>
    <w:locked/>
    <w:rsid w:val="006068DE"/>
    <w:rPr>
      <w:rFonts w:ascii="Arial Bold" w:hAnsi="Arial Bold" w:cs="Times New Roman"/>
      <w:b/>
      <w:color w:val="EB0029"/>
      <w:sz w:val="24"/>
      <w:shd w:val="clear" w:color="auto" w:fill="ECF1F7"/>
    </w:rPr>
  </w:style>
  <w:style w:type="paragraph" w:customStyle="1" w:styleId="ColorfulList-Accent11">
    <w:name w:val="Colorful List - Accent 11"/>
    <w:basedOn w:val="Normal"/>
    <w:link w:val="ColorfulList-Accent1Char"/>
    <w:uiPriority w:val="34"/>
    <w:qFormat/>
    <w:rsid w:val="00E54C5A"/>
    <w:pPr>
      <w:ind w:left="720"/>
      <w:contextualSpacing/>
    </w:pPr>
    <w:rPr>
      <w:lang w:val="x-none" w:eastAsia="x-none"/>
    </w:rPr>
  </w:style>
  <w:style w:type="character" w:customStyle="1" w:styleId="ColorfulList-Accent1Char">
    <w:name w:val="Colorful List - Accent 1 Char"/>
    <w:link w:val="ColorfulList-Accent11"/>
    <w:uiPriority w:val="34"/>
    <w:locked/>
    <w:rsid w:val="005F609A"/>
    <w:rPr>
      <w:rFonts w:ascii="Franklin Gothic Book" w:hAnsi="Franklin Gothic Book"/>
      <w:sz w:val="21"/>
    </w:rPr>
  </w:style>
  <w:style w:type="paragraph" w:customStyle="1" w:styleId="Style1">
    <w:name w:val="Style1"/>
    <w:basedOn w:val="FootnoteText"/>
    <w:link w:val="Style1Char"/>
    <w:qFormat/>
    <w:rsid w:val="00C95537"/>
    <w:rPr>
      <w:lang w:val="en-US"/>
    </w:rPr>
  </w:style>
  <w:style w:type="character" w:customStyle="1" w:styleId="Style1Char">
    <w:name w:val="Style1 Char"/>
    <w:link w:val="Style1"/>
    <w:locked/>
    <w:rsid w:val="00C95537"/>
    <w:rPr>
      <w:rFonts w:ascii="Franklin Gothic Book" w:hAnsi="Franklin Gothic Book" w:cs="Times New Roman"/>
      <w:sz w:val="17"/>
      <w:lang w:val="en-US" w:eastAsia="x-none"/>
    </w:rPr>
  </w:style>
  <w:style w:type="paragraph" w:customStyle="1" w:styleId="Default">
    <w:name w:val="Default"/>
    <w:rsid w:val="004D7ED2"/>
    <w:pPr>
      <w:autoSpaceDE w:val="0"/>
      <w:autoSpaceDN w:val="0"/>
      <w:adjustRightInd w:val="0"/>
    </w:pPr>
    <w:rPr>
      <w:rFonts w:ascii="Gill Sans MT" w:hAnsi="Gill Sans MT" w:cs="Gill Sans MT"/>
      <w:color w:val="000000"/>
      <w:sz w:val="24"/>
      <w:szCs w:val="24"/>
      <w:lang w:val="en-NZ" w:eastAsia="en-US"/>
    </w:rPr>
  </w:style>
  <w:style w:type="character" w:customStyle="1" w:styleId="A2">
    <w:name w:val="A2"/>
    <w:uiPriority w:val="99"/>
    <w:rsid w:val="00A96A03"/>
    <w:rPr>
      <w:rFonts w:cs="Vista Sans OT Light"/>
      <w:color w:val="000000"/>
      <w:sz w:val="19"/>
      <w:szCs w:val="19"/>
    </w:rPr>
  </w:style>
  <w:style w:type="paragraph" w:customStyle="1" w:styleId="MediumGrid21">
    <w:name w:val="Medium Grid 21"/>
    <w:uiPriority w:val="1"/>
    <w:qFormat/>
    <w:rsid w:val="00F2166E"/>
    <w:rPr>
      <w:rFonts w:ascii="Calibri" w:eastAsia="Calibri" w:hAnsi="Calibri"/>
      <w:sz w:val="22"/>
      <w:szCs w:val="22"/>
      <w:lang w:val="en-NZ" w:eastAsia="en-US"/>
    </w:rPr>
  </w:style>
  <w:style w:type="paragraph" w:styleId="Revision">
    <w:name w:val="Revision"/>
    <w:hidden/>
    <w:uiPriority w:val="99"/>
    <w:semiHidden/>
    <w:rsid w:val="00077BEB"/>
    <w:rPr>
      <w:rFonts w:ascii="Franklin Gothic Book" w:hAnsi="Franklin Gothic Book"/>
      <w:sz w:val="21"/>
    </w:rPr>
  </w:style>
  <w:style w:type="paragraph" w:customStyle="1" w:styleId="EvaluationBodyCopy">
    <w:name w:val="Evaluation Body Copy"/>
    <w:basedOn w:val="Normal"/>
    <w:qFormat/>
    <w:rsid w:val="009F5B95"/>
    <w:pPr>
      <w:tabs>
        <w:tab w:val="left" w:pos="567"/>
      </w:tabs>
      <w:spacing w:before="0" w:after="0" w:line="260" w:lineRule="atLeast"/>
    </w:pPr>
    <w:rPr>
      <w:rFonts w:ascii="Verdana" w:hAnsi="Verdana" w:cs="Helvetica"/>
      <w:color w:val="404040"/>
      <w:sz w:val="18"/>
      <w:szCs w:val="24"/>
      <w:lang w:val="en-NZ" w:eastAsia="en-US"/>
    </w:rPr>
  </w:style>
  <w:style w:type="paragraph" w:customStyle="1" w:styleId="FootnoteMFAT">
    <w:name w:val="Footnote MFAT"/>
    <w:basedOn w:val="Normal"/>
    <w:uiPriority w:val="23"/>
    <w:qFormat/>
    <w:rsid w:val="00EA115D"/>
    <w:pPr>
      <w:tabs>
        <w:tab w:val="left" w:pos="567"/>
      </w:tabs>
      <w:spacing w:before="120" w:after="0"/>
    </w:pPr>
    <w:rPr>
      <w:rFonts w:ascii="Verdana" w:hAnsi="Verdana"/>
      <w:sz w:val="16"/>
      <w:szCs w:val="24"/>
      <w:lang w:val="en-NZ" w:eastAsia="en-US"/>
    </w:rPr>
  </w:style>
  <w:style w:type="paragraph" w:styleId="ListParagraph">
    <w:name w:val="List Paragraph"/>
    <w:basedOn w:val="Normal"/>
    <w:uiPriority w:val="34"/>
    <w:qFormat/>
    <w:rsid w:val="00295ED1"/>
    <w:pPr>
      <w:spacing w:before="0" w:after="200" w:line="276" w:lineRule="auto"/>
      <w:ind w:left="720"/>
      <w:contextualSpacing/>
    </w:pPr>
    <w:rPr>
      <w:rFonts w:ascii="Calibri" w:eastAsia="Calibri" w:hAnsi="Calibri"/>
      <w:sz w:val="22"/>
      <w:szCs w:val="22"/>
      <w:lang w:val="en-NZ" w:eastAsia="en-US"/>
    </w:rPr>
  </w:style>
  <w:style w:type="paragraph" w:styleId="NormalWeb">
    <w:name w:val="Normal (Web)"/>
    <w:basedOn w:val="Normal"/>
    <w:uiPriority w:val="99"/>
    <w:semiHidden/>
    <w:unhideWhenUsed/>
    <w:rsid w:val="008C6E59"/>
    <w:pPr>
      <w:spacing w:before="0" w:after="324" w:line="240" w:lineRule="auto"/>
    </w:pPr>
    <w:rPr>
      <w:rFonts w:ascii="Times New Roman" w:hAnsi="Times New Roman"/>
      <w:sz w:val="24"/>
      <w:szCs w:val="24"/>
      <w:lang w:val="en-NZ" w:eastAsia="en-NZ"/>
    </w:rPr>
  </w:style>
  <w:style w:type="paragraph" w:customStyle="1" w:styleId="ecxmsonormal">
    <w:name w:val="ecxmsonormal"/>
    <w:basedOn w:val="Normal"/>
    <w:rsid w:val="008C6E59"/>
    <w:pPr>
      <w:spacing w:before="0" w:after="324" w:line="240" w:lineRule="auto"/>
    </w:pPr>
    <w:rPr>
      <w:rFonts w:ascii="Times New Roman" w:hAnsi="Times New Roman"/>
      <w:sz w:val="24"/>
      <w:szCs w:val="24"/>
      <w:lang w:val="en-NZ" w:eastAsia="en-NZ"/>
    </w:rPr>
  </w:style>
  <w:style w:type="paragraph" w:styleId="NoSpacing">
    <w:name w:val="No Spacing"/>
    <w:uiPriority w:val="1"/>
    <w:qFormat/>
    <w:rsid w:val="00B55A71"/>
    <w:rPr>
      <w:rFonts w:ascii="Calibri" w:hAnsi="Calibri"/>
      <w:sz w:val="22"/>
      <w:szCs w:val="22"/>
    </w:rPr>
  </w:style>
  <w:style w:type="character" w:styleId="FollowedHyperlink">
    <w:name w:val="FollowedHyperlink"/>
    <w:uiPriority w:val="99"/>
    <w:semiHidden/>
    <w:unhideWhenUsed/>
    <w:rsid w:val="00181A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5929">
      <w:marLeft w:val="0"/>
      <w:marRight w:val="0"/>
      <w:marTop w:val="0"/>
      <w:marBottom w:val="0"/>
      <w:divBdr>
        <w:top w:val="none" w:sz="0" w:space="0" w:color="auto"/>
        <w:left w:val="none" w:sz="0" w:space="0" w:color="auto"/>
        <w:bottom w:val="none" w:sz="0" w:space="0" w:color="auto"/>
        <w:right w:val="none" w:sz="0" w:space="0" w:color="auto"/>
      </w:divBdr>
      <w:divsChild>
        <w:div w:id="1197040807">
          <w:marLeft w:val="0"/>
          <w:marRight w:val="0"/>
          <w:marTop w:val="0"/>
          <w:marBottom w:val="0"/>
          <w:divBdr>
            <w:top w:val="none" w:sz="0" w:space="0" w:color="auto"/>
            <w:left w:val="none" w:sz="0" w:space="0" w:color="auto"/>
            <w:bottom w:val="none" w:sz="0" w:space="0" w:color="auto"/>
            <w:right w:val="none" w:sz="0" w:space="0" w:color="auto"/>
          </w:divBdr>
          <w:divsChild>
            <w:div w:id="1162548384">
              <w:marLeft w:val="0"/>
              <w:marRight w:val="0"/>
              <w:marTop w:val="0"/>
              <w:marBottom w:val="0"/>
              <w:divBdr>
                <w:top w:val="none" w:sz="0" w:space="0" w:color="auto"/>
                <w:left w:val="none" w:sz="0" w:space="0" w:color="auto"/>
                <w:bottom w:val="none" w:sz="0" w:space="0" w:color="auto"/>
                <w:right w:val="none" w:sz="0" w:space="0" w:color="auto"/>
              </w:divBdr>
              <w:divsChild>
                <w:div w:id="1403865492">
                  <w:marLeft w:val="0"/>
                  <w:marRight w:val="0"/>
                  <w:marTop w:val="0"/>
                  <w:marBottom w:val="0"/>
                  <w:divBdr>
                    <w:top w:val="none" w:sz="0" w:space="0" w:color="auto"/>
                    <w:left w:val="none" w:sz="0" w:space="0" w:color="auto"/>
                    <w:bottom w:val="none" w:sz="0" w:space="0" w:color="auto"/>
                    <w:right w:val="none" w:sz="0" w:space="0" w:color="auto"/>
                  </w:divBdr>
                  <w:divsChild>
                    <w:div w:id="694354015">
                      <w:marLeft w:val="0"/>
                      <w:marRight w:val="0"/>
                      <w:marTop w:val="0"/>
                      <w:marBottom w:val="0"/>
                      <w:divBdr>
                        <w:top w:val="none" w:sz="0" w:space="0" w:color="auto"/>
                        <w:left w:val="none" w:sz="0" w:space="0" w:color="auto"/>
                        <w:bottom w:val="none" w:sz="0" w:space="0" w:color="auto"/>
                        <w:right w:val="none" w:sz="0" w:space="0" w:color="auto"/>
                      </w:divBdr>
                      <w:divsChild>
                        <w:div w:id="1448356368">
                          <w:marLeft w:val="0"/>
                          <w:marRight w:val="0"/>
                          <w:marTop w:val="0"/>
                          <w:marBottom w:val="0"/>
                          <w:divBdr>
                            <w:top w:val="none" w:sz="0" w:space="0" w:color="auto"/>
                            <w:left w:val="none" w:sz="0" w:space="0" w:color="auto"/>
                            <w:bottom w:val="none" w:sz="0" w:space="0" w:color="auto"/>
                            <w:right w:val="none" w:sz="0" w:space="0" w:color="auto"/>
                          </w:divBdr>
                          <w:divsChild>
                            <w:div w:id="837427688">
                              <w:marLeft w:val="0"/>
                              <w:marRight w:val="0"/>
                              <w:marTop w:val="0"/>
                              <w:marBottom w:val="0"/>
                              <w:divBdr>
                                <w:top w:val="none" w:sz="0" w:space="0" w:color="auto"/>
                                <w:left w:val="none" w:sz="0" w:space="0" w:color="auto"/>
                                <w:bottom w:val="none" w:sz="0" w:space="0" w:color="auto"/>
                                <w:right w:val="none" w:sz="0" w:space="0" w:color="auto"/>
                              </w:divBdr>
                              <w:divsChild>
                                <w:div w:id="13849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92129">
      <w:bodyDiv w:val="1"/>
      <w:marLeft w:val="0"/>
      <w:marRight w:val="0"/>
      <w:marTop w:val="0"/>
      <w:marBottom w:val="0"/>
      <w:divBdr>
        <w:top w:val="none" w:sz="0" w:space="0" w:color="auto"/>
        <w:left w:val="none" w:sz="0" w:space="0" w:color="auto"/>
        <w:bottom w:val="none" w:sz="0" w:space="0" w:color="auto"/>
        <w:right w:val="none" w:sz="0" w:space="0" w:color="auto"/>
      </w:divBdr>
    </w:div>
    <w:div w:id="400254608">
      <w:bodyDiv w:val="1"/>
      <w:marLeft w:val="0"/>
      <w:marRight w:val="0"/>
      <w:marTop w:val="0"/>
      <w:marBottom w:val="0"/>
      <w:divBdr>
        <w:top w:val="none" w:sz="0" w:space="0" w:color="auto"/>
        <w:left w:val="none" w:sz="0" w:space="0" w:color="auto"/>
        <w:bottom w:val="none" w:sz="0" w:space="0" w:color="auto"/>
        <w:right w:val="none" w:sz="0" w:space="0" w:color="auto"/>
      </w:divBdr>
    </w:div>
    <w:div w:id="647129498">
      <w:bodyDiv w:val="1"/>
      <w:marLeft w:val="0"/>
      <w:marRight w:val="0"/>
      <w:marTop w:val="0"/>
      <w:marBottom w:val="0"/>
      <w:divBdr>
        <w:top w:val="none" w:sz="0" w:space="0" w:color="auto"/>
        <w:left w:val="none" w:sz="0" w:space="0" w:color="auto"/>
        <w:bottom w:val="none" w:sz="0" w:space="0" w:color="auto"/>
        <w:right w:val="none" w:sz="0" w:space="0" w:color="auto"/>
      </w:divBdr>
      <w:divsChild>
        <w:div w:id="954557565">
          <w:marLeft w:val="0"/>
          <w:marRight w:val="0"/>
          <w:marTop w:val="0"/>
          <w:marBottom w:val="0"/>
          <w:divBdr>
            <w:top w:val="none" w:sz="0" w:space="0" w:color="auto"/>
            <w:left w:val="none" w:sz="0" w:space="0" w:color="auto"/>
            <w:bottom w:val="none" w:sz="0" w:space="0" w:color="auto"/>
            <w:right w:val="none" w:sz="0" w:space="0" w:color="auto"/>
          </w:divBdr>
          <w:divsChild>
            <w:div w:id="2074422029">
              <w:marLeft w:val="0"/>
              <w:marRight w:val="0"/>
              <w:marTop w:val="0"/>
              <w:marBottom w:val="0"/>
              <w:divBdr>
                <w:top w:val="none" w:sz="0" w:space="0" w:color="auto"/>
                <w:left w:val="none" w:sz="0" w:space="0" w:color="auto"/>
                <w:bottom w:val="none" w:sz="0" w:space="0" w:color="auto"/>
                <w:right w:val="none" w:sz="0" w:space="0" w:color="auto"/>
              </w:divBdr>
              <w:divsChild>
                <w:div w:id="121577050">
                  <w:marLeft w:val="0"/>
                  <w:marRight w:val="0"/>
                  <w:marTop w:val="100"/>
                  <w:marBottom w:val="100"/>
                  <w:divBdr>
                    <w:top w:val="none" w:sz="0" w:space="0" w:color="auto"/>
                    <w:left w:val="none" w:sz="0" w:space="0" w:color="auto"/>
                    <w:bottom w:val="none" w:sz="0" w:space="0" w:color="auto"/>
                    <w:right w:val="none" w:sz="0" w:space="0" w:color="auto"/>
                  </w:divBdr>
                  <w:divsChild>
                    <w:div w:id="1668509444">
                      <w:marLeft w:val="0"/>
                      <w:marRight w:val="0"/>
                      <w:marTop w:val="0"/>
                      <w:marBottom w:val="0"/>
                      <w:divBdr>
                        <w:top w:val="none" w:sz="0" w:space="0" w:color="auto"/>
                        <w:left w:val="none" w:sz="0" w:space="0" w:color="auto"/>
                        <w:bottom w:val="none" w:sz="0" w:space="0" w:color="auto"/>
                        <w:right w:val="none" w:sz="0" w:space="0" w:color="auto"/>
                      </w:divBdr>
                      <w:divsChild>
                        <w:div w:id="192620492">
                          <w:marLeft w:val="0"/>
                          <w:marRight w:val="0"/>
                          <w:marTop w:val="0"/>
                          <w:marBottom w:val="0"/>
                          <w:divBdr>
                            <w:top w:val="none" w:sz="0" w:space="0" w:color="auto"/>
                            <w:left w:val="none" w:sz="0" w:space="0" w:color="auto"/>
                            <w:bottom w:val="none" w:sz="0" w:space="0" w:color="auto"/>
                            <w:right w:val="none" w:sz="0" w:space="0" w:color="auto"/>
                          </w:divBdr>
                          <w:divsChild>
                            <w:div w:id="1544096175">
                              <w:marLeft w:val="0"/>
                              <w:marRight w:val="0"/>
                              <w:marTop w:val="0"/>
                              <w:marBottom w:val="0"/>
                              <w:divBdr>
                                <w:top w:val="none" w:sz="0" w:space="0" w:color="auto"/>
                                <w:left w:val="none" w:sz="0" w:space="0" w:color="auto"/>
                                <w:bottom w:val="none" w:sz="0" w:space="0" w:color="auto"/>
                                <w:right w:val="none" w:sz="0" w:space="0" w:color="auto"/>
                              </w:divBdr>
                              <w:divsChild>
                                <w:div w:id="963464353">
                                  <w:marLeft w:val="0"/>
                                  <w:marRight w:val="0"/>
                                  <w:marTop w:val="0"/>
                                  <w:marBottom w:val="0"/>
                                  <w:divBdr>
                                    <w:top w:val="none" w:sz="0" w:space="0" w:color="auto"/>
                                    <w:left w:val="none" w:sz="0" w:space="0" w:color="auto"/>
                                    <w:bottom w:val="none" w:sz="0" w:space="0" w:color="auto"/>
                                    <w:right w:val="none" w:sz="0" w:space="0" w:color="auto"/>
                                  </w:divBdr>
                                  <w:divsChild>
                                    <w:div w:id="2113282946">
                                      <w:marLeft w:val="0"/>
                                      <w:marRight w:val="0"/>
                                      <w:marTop w:val="0"/>
                                      <w:marBottom w:val="0"/>
                                      <w:divBdr>
                                        <w:top w:val="none" w:sz="0" w:space="0" w:color="auto"/>
                                        <w:left w:val="none" w:sz="0" w:space="0" w:color="auto"/>
                                        <w:bottom w:val="none" w:sz="0" w:space="0" w:color="auto"/>
                                        <w:right w:val="none" w:sz="0" w:space="0" w:color="auto"/>
                                      </w:divBdr>
                                      <w:divsChild>
                                        <w:div w:id="1091969803">
                                          <w:marLeft w:val="0"/>
                                          <w:marRight w:val="0"/>
                                          <w:marTop w:val="0"/>
                                          <w:marBottom w:val="0"/>
                                          <w:divBdr>
                                            <w:top w:val="none" w:sz="0" w:space="0" w:color="auto"/>
                                            <w:left w:val="none" w:sz="0" w:space="0" w:color="auto"/>
                                            <w:bottom w:val="none" w:sz="0" w:space="0" w:color="auto"/>
                                            <w:right w:val="none" w:sz="0" w:space="0" w:color="auto"/>
                                          </w:divBdr>
                                          <w:divsChild>
                                            <w:div w:id="1860314019">
                                              <w:marLeft w:val="0"/>
                                              <w:marRight w:val="0"/>
                                              <w:marTop w:val="0"/>
                                              <w:marBottom w:val="0"/>
                                              <w:divBdr>
                                                <w:top w:val="none" w:sz="0" w:space="0" w:color="auto"/>
                                                <w:left w:val="none" w:sz="0" w:space="0" w:color="auto"/>
                                                <w:bottom w:val="none" w:sz="0" w:space="0" w:color="auto"/>
                                                <w:right w:val="none" w:sz="0" w:space="0" w:color="auto"/>
                                              </w:divBdr>
                                              <w:divsChild>
                                                <w:div w:id="135341825">
                                                  <w:marLeft w:val="0"/>
                                                  <w:marRight w:val="300"/>
                                                  <w:marTop w:val="0"/>
                                                  <w:marBottom w:val="0"/>
                                                  <w:divBdr>
                                                    <w:top w:val="none" w:sz="0" w:space="0" w:color="auto"/>
                                                    <w:left w:val="none" w:sz="0" w:space="0" w:color="auto"/>
                                                    <w:bottom w:val="none" w:sz="0" w:space="0" w:color="auto"/>
                                                    <w:right w:val="none" w:sz="0" w:space="0" w:color="auto"/>
                                                  </w:divBdr>
                                                  <w:divsChild>
                                                    <w:div w:id="656812245">
                                                      <w:marLeft w:val="0"/>
                                                      <w:marRight w:val="0"/>
                                                      <w:marTop w:val="0"/>
                                                      <w:marBottom w:val="0"/>
                                                      <w:divBdr>
                                                        <w:top w:val="none" w:sz="0" w:space="0" w:color="auto"/>
                                                        <w:left w:val="none" w:sz="0" w:space="0" w:color="auto"/>
                                                        <w:bottom w:val="none" w:sz="0" w:space="0" w:color="auto"/>
                                                        <w:right w:val="none" w:sz="0" w:space="0" w:color="auto"/>
                                                      </w:divBdr>
                                                      <w:divsChild>
                                                        <w:div w:id="932663473">
                                                          <w:marLeft w:val="0"/>
                                                          <w:marRight w:val="0"/>
                                                          <w:marTop w:val="0"/>
                                                          <w:marBottom w:val="300"/>
                                                          <w:divBdr>
                                                            <w:top w:val="single" w:sz="6" w:space="0" w:color="CCCCCC"/>
                                                            <w:left w:val="none" w:sz="0" w:space="0" w:color="auto"/>
                                                            <w:bottom w:val="none" w:sz="0" w:space="0" w:color="auto"/>
                                                            <w:right w:val="none" w:sz="0" w:space="0" w:color="auto"/>
                                                          </w:divBdr>
                                                          <w:divsChild>
                                                            <w:div w:id="917400818">
                                                              <w:marLeft w:val="0"/>
                                                              <w:marRight w:val="0"/>
                                                              <w:marTop w:val="0"/>
                                                              <w:marBottom w:val="0"/>
                                                              <w:divBdr>
                                                                <w:top w:val="none" w:sz="0" w:space="0" w:color="auto"/>
                                                                <w:left w:val="none" w:sz="0" w:space="0" w:color="auto"/>
                                                                <w:bottom w:val="none" w:sz="0" w:space="0" w:color="auto"/>
                                                                <w:right w:val="none" w:sz="0" w:space="0" w:color="auto"/>
                                                              </w:divBdr>
                                                              <w:divsChild>
                                                                <w:div w:id="1415932133">
                                                                  <w:marLeft w:val="0"/>
                                                                  <w:marRight w:val="0"/>
                                                                  <w:marTop w:val="0"/>
                                                                  <w:marBottom w:val="0"/>
                                                                  <w:divBdr>
                                                                    <w:top w:val="none" w:sz="0" w:space="0" w:color="auto"/>
                                                                    <w:left w:val="none" w:sz="0" w:space="0" w:color="auto"/>
                                                                    <w:bottom w:val="none" w:sz="0" w:space="0" w:color="auto"/>
                                                                    <w:right w:val="none" w:sz="0" w:space="0" w:color="auto"/>
                                                                  </w:divBdr>
                                                                  <w:divsChild>
                                                                    <w:div w:id="972098259">
                                                                      <w:marLeft w:val="0"/>
                                                                      <w:marRight w:val="0"/>
                                                                      <w:marTop w:val="0"/>
                                                                      <w:marBottom w:val="0"/>
                                                                      <w:divBdr>
                                                                        <w:top w:val="none" w:sz="0" w:space="0" w:color="auto"/>
                                                                        <w:left w:val="none" w:sz="0" w:space="0" w:color="auto"/>
                                                                        <w:bottom w:val="none" w:sz="0" w:space="0" w:color="auto"/>
                                                                        <w:right w:val="none" w:sz="0" w:space="0" w:color="auto"/>
                                                                      </w:divBdr>
                                                                      <w:divsChild>
                                                                        <w:div w:id="2870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878409">
      <w:bodyDiv w:val="1"/>
      <w:marLeft w:val="0"/>
      <w:marRight w:val="0"/>
      <w:marTop w:val="0"/>
      <w:marBottom w:val="0"/>
      <w:divBdr>
        <w:top w:val="none" w:sz="0" w:space="0" w:color="auto"/>
        <w:left w:val="none" w:sz="0" w:space="0" w:color="auto"/>
        <w:bottom w:val="none" w:sz="0" w:space="0" w:color="auto"/>
        <w:right w:val="none" w:sz="0" w:space="0" w:color="auto"/>
      </w:divBdr>
    </w:div>
    <w:div w:id="885987299">
      <w:bodyDiv w:val="1"/>
      <w:marLeft w:val="0"/>
      <w:marRight w:val="0"/>
      <w:marTop w:val="0"/>
      <w:marBottom w:val="0"/>
      <w:divBdr>
        <w:top w:val="none" w:sz="0" w:space="0" w:color="auto"/>
        <w:left w:val="none" w:sz="0" w:space="0" w:color="auto"/>
        <w:bottom w:val="none" w:sz="0" w:space="0" w:color="auto"/>
        <w:right w:val="none" w:sz="0" w:space="0" w:color="auto"/>
      </w:divBdr>
    </w:div>
    <w:div w:id="1035547342">
      <w:bodyDiv w:val="1"/>
      <w:marLeft w:val="0"/>
      <w:marRight w:val="0"/>
      <w:marTop w:val="0"/>
      <w:marBottom w:val="0"/>
      <w:divBdr>
        <w:top w:val="none" w:sz="0" w:space="0" w:color="auto"/>
        <w:left w:val="none" w:sz="0" w:space="0" w:color="auto"/>
        <w:bottom w:val="none" w:sz="0" w:space="0" w:color="auto"/>
        <w:right w:val="none" w:sz="0" w:space="0" w:color="auto"/>
      </w:divBdr>
    </w:div>
    <w:div w:id="1036271562">
      <w:marLeft w:val="0"/>
      <w:marRight w:val="0"/>
      <w:marTop w:val="0"/>
      <w:marBottom w:val="0"/>
      <w:divBdr>
        <w:top w:val="none" w:sz="0" w:space="0" w:color="auto"/>
        <w:left w:val="none" w:sz="0" w:space="0" w:color="auto"/>
        <w:bottom w:val="none" w:sz="0" w:space="0" w:color="auto"/>
        <w:right w:val="none" w:sz="0" w:space="0" w:color="auto"/>
      </w:divBdr>
      <w:divsChild>
        <w:div w:id="911239067">
          <w:marLeft w:val="0"/>
          <w:marRight w:val="0"/>
          <w:marTop w:val="0"/>
          <w:marBottom w:val="0"/>
          <w:divBdr>
            <w:top w:val="none" w:sz="0" w:space="0" w:color="auto"/>
            <w:left w:val="none" w:sz="0" w:space="0" w:color="auto"/>
            <w:bottom w:val="none" w:sz="0" w:space="0" w:color="auto"/>
            <w:right w:val="none" w:sz="0" w:space="0" w:color="auto"/>
          </w:divBdr>
          <w:divsChild>
            <w:div w:id="423839991">
              <w:marLeft w:val="0"/>
              <w:marRight w:val="0"/>
              <w:marTop w:val="0"/>
              <w:marBottom w:val="0"/>
              <w:divBdr>
                <w:top w:val="none" w:sz="0" w:space="0" w:color="auto"/>
                <w:left w:val="none" w:sz="0" w:space="0" w:color="auto"/>
                <w:bottom w:val="none" w:sz="0" w:space="0" w:color="auto"/>
                <w:right w:val="none" w:sz="0" w:space="0" w:color="auto"/>
              </w:divBdr>
              <w:divsChild>
                <w:div w:id="2015569950">
                  <w:marLeft w:val="0"/>
                  <w:marRight w:val="0"/>
                  <w:marTop w:val="0"/>
                  <w:marBottom w:val="0"/>
                  <w:divBdr>
                    <w:top w:val="none" w:sz="0" w:space="0" w:color="auto"/>
                    <w:left w:val="none" w:sz="0" w:space="0" w:color="auto"/>
                    <w:bottom w:val="none" w:sz="0" w:space="0" w:color="auto"/>
                    <w:right w:val="none" w:sz="0" w:space="0" w:color="auto"/>
                  </w:divBdr>
                  <w:divsChild>
                    <w:div w:id="1625842591">
                      <w:marLeft w:val="0"/>
                      <w:marRight w:val="0"/>
                      <w:marTop w:val="0"/>
                      <w:marBottom w:val="0"/>
                      <w:divBdr>
                        <w:top w:val="none" w:sz="0" w:space="0" w:color="auto"/>
                        <w:left w:val="none" w:sz="0" w:space="0" w:color="auto"/>
                        <w:bottom w:val="none" w:sz="0" w:space="0" w:color="auto"/>
                        <w:right w:val="none" w:sz="0" w:space="0" w:color="auto"/>
                      </w:divBdr>
                      <w:divsChild>
                        <w:div w:id="1917398755">
                          <w:marLeft w:val="0"/>
                          <w:marRight w:val="0"/>
                          <w:marTop w:val="0"/>
                          <w:marBottom w:val="0"/>
                          <w:divBdr>
                            <w:top w:val="none" w:sz="0" w:space="0" w:color="auto"/>
                            <w:left w:val="none" w:sz="0" w:space="0" w:color="auto"/>
                            <w:bottom w:val="none" w:sz="0" w:space="0" w:color="auto"/>
                            <w:right w:val="none" w:sz="0" w:space="0" w:color="auto"/>
                          </w:divBdr>
                          <w:divsChild>
                            <w:div w:id="818107297">
                              <w:marLeft w:val="0"/>
                              <w:marRight w:val="0"/>
                              <w:marTop w:val="0"/>
                              <w:marBottom w:val="0"/>
                              <w:divBdr>
                                <w:top w:val="none" w:sz="0" w:space="0" w:color="auto"/>
                                <w:left w:val="none" w:sz="0" w:space="0" w:color="auto"/>
                                <w:bottom w:val="none" w:sz="0" w:space="0" w:color="auto"/>
                                <w:right w:val="none" w:sz="0" w:space="0" w:color="auto"/>
                              </w:divBdr>
                              <w:divsChild>
                                <w:div w:id="130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25392">
      <w:marLeft w:val="0"/>
      <w:marRight w:val="0"/>
      <w:marTop w:val="0"/>
      <w:marBottom w:val="0"/>
      <w:divBdr>
        <w:top w:val="none" w:sz="0" w:space="0" w:color="auto"/>
        <w:left w:val="none" w:sz="0" w:space="0" w:color="auto"/>
        <w:bottom w:val="none" w:sz="0" w:space="0" w:color="auto"/>
        <w:right w:val="none" w:sz="0" w:space="0" w:color="auto"/>
      </w:divBdr>
    </w:div>
    <w:div w:id="1141725393">
      <w:marLeft w:val="0"/>
      <w:marRight w:val="0"/>
      <w:marTop w:val="0"/>
      <w:marBottom w:val="0"/>
      <w:divBdr>
        <w:top w:val="none" w:sz="0" w:space="0" w:color="auto"/>
        <w:left w:val="none" w:sz="0" w:space="0" w:color="auto"/>
        <w:bottom w:val="none" w:sz="0" w:space="0" w:color="auto"/>
        <w:right w:val="none" w:sz="0" w:space="0" w:color="auto"/>
      </w:divBdr>
      <w:divsChild>
        <w:div w:id="1141725399">
          <w:marLeft w:val="0"/>
          <w:marRight w:val="0"/>
          <w:marTop w:val="0"/>
          <w:marBottom w:val="0"/>
          <w:divBdr>
            <w:top w:val="none" w:sz="0" w:space="0" w:color="auto"/>
            <w:left w:val="none" w:sz="0" w:space="0" w:color="auto"/>
            <w:bottom w:val="none" w:sz="0" w:space="0" w:color="auto"/>
            <w:right w:val="none" w:sz="0" w:space="0" w:color="auto"/>
          </w:divBdr>
          <w:divsChild>
            <w:div w:id="1141725415">
              <w:marLeft w:val="0"/>
              <w:marRight w:val="0"/>
              <w:marTop w:val="0"/>
              <w:marBottom w:val="0"/>
              <w:divBdr>
                <w:top w:val="none" w:sz="0" w:space="0" w:color="auto"/>
                <w:left w:val="none" w:sz="0" w:space="0" w:color="auto"/>
                <w:bottom w:val="none" w:sz="0" w:space="0" w:color="auto"/>
                <w:right w:val="none" w:sz="0" w:space="0" w:color="auto"/>
              </w:divBdr>
              <w:divsChild>
                <w:div w:id="1141725413">
                  <w:marLeft w:val="0"/>
                  <w:marRight w:val="0"/>
                  <w:marTop w:val="100"/>
                  <w:marBottom w:val="100"/>
                  <w:divBdr>
                    <w:top w:val="none" w:sz="0" w:space="0" w:color="auto"/>
                    <w:left w:val="none" w:sz="0" w:space="0" w:color="auto"/>
                    <w:bottom w:val="none" w:sz="0" w:space="0" w:color="auto"/>
                    <w:right w:val="none" w:sz="0" w:space="0" w:color="auto"/>
                  </w:divBdr>
                  <w:divsChild>
                    <w:div w:id="1141725403">
                      <w:marLeft w:val="0"/>
                      <w:marRight w:val="0"/>
                      <w:marTop w:val="0"/>
                      <w:marBottom w:val="0"/>
                      <w:divBdr>
                        <w:top w:val="none" w:sz="0" w:space="0" w:color="auto"/>
                        <w:left w:val="none" w:sz="0" w:space="0" w:color="auto"/>
                        <w:bottom w:val="none" w:sz="0" w:space="0" w:color="auto"/>
                        <w:right w:val="none" w:sz="0" w:space="0" w:color="auto"/>
                      </w:divBdr>
                      <w:divsChild>
                        <w:div w:id="1141725395">
                          <w:marLeft w:val="0"/>
                          <w:marRight w:val="0"/>
                          <w:marTop w:val="0"/>
                          <w:marBottom w:val="0"/>
                          <w:divBdr>
                            <w:top w:val="none" w:sz="0" w:space="0" w:color="auto"/>
                            <w:left w:val="none" w:sz="0" w:space="0" w:color="auto"/>
                            <w:bottom w:val="none" w:sz="0" w:space="0" w:color="auto"/>
                            <w:right w:val="none" w:sz="0" w:space="0" w:color="auto"/>
                          </w:divBdr>
                          <w:divsChild>
                            <w:div w:id="1141725400">
                              <w:marLeft w:val="0"/>
                              <w:marRight w:val="0"/>
                              <w:marTop w:val="0"/>
                              <w:marBottom w:val="0"/>
                              <w:divBdr>
                                <w:top w:val="none" w:sz="0" w:space="0" w:color="auto"/>
                                <w:left w:val="none" w:sz="0" w:space="0" w:color="auto"/>
                                <w:bottom w:val="none" w:sz="0" w:space="0" w:color="auto"/>
                                <w:right w:val="none" w:sz="0" w:space="0" w:color="auto"/>
                              </w:divBdr>
                              <w:divsChild>
                                <w:div w:id="1141725412">
                                  <w:marLeft w:val="0"/>
                                  <w:marRight w:val="0"/>
                                  <w:marTop w:val="0"/>
                                  <w:marBottom w:val="0"/>
                                  <w:divBdr>
                                    <w:top w:val="none" w:sz="0" w:space="0" w:color="auto"/>
                                    <w:left w:val="none" w:sz="0" w:space="0" w:color="auto"/>
                                    <w:bottom w:val="none" w:sz="0" w:space="0" w:color="auto"/>
                                    <w:right w:val="none" w:sz="0" w:space="0" w:color="auto"/>
                                  </w:divBdr>
                                  <w:divsChild>
                                    <w:div w:id="1141725404">
                                      <w:marLeft w:val="0"/>
                                      <w:marRight w:val="0"/>
                                      <w:marTop w:val="0"/>
                                      <w:marBottom w:val="0"/>
                                      <w:divBdr>
                                        <w:top w:val="none" w:sz="0" w:space="0" w:color="auto"/>
                                        <w:left w:val="none" w:sz="0" w:space="0" w:color="auto"/>
                                        <w:bottom w:val="none" w:sz="0" w:space="0" w:color="auto"/>
                                        <w:right w:val="none" w:sz="0" w:space="0" w:color="auto"/>
                                      </w:divBdr>
                                      <w:divsChild>
                                        <w:div w:id="1141725408">
                                          <w:marLeft w:val="0"/>
                                          <w:marRight w:val="0"/>
                                          <w:marTop w:val="0"/>
                                          <w:marBottom w:val="0"/>
                                          <w:divBdr>
                                            <w:top w:val="none" w:sz="0" w:space="0" w:color="auto"/>
                                            <w:left w:val="none" w:sz="0" w:space="0" w:color="auto"/>
                                            <w:bottom w:val="none" w:sz="0" w:space="0" w:color="auto"/>
                                            <w:right w:val="none" w:sz="0" w:space="0" w:color="auto"/>
                                          </w:divBdr>
                                          <w:divsChild>
                                            <w:div w:id="1141725405">
                                              <w:marLeft w:val="0"/>
                                              <w:marRight w:val="0"/>
                                              <w:marTop w:val="0"/>
                                              <w:marBottom w:val="0"/>
                                              <w:divBdr>
                                                <w:top w:val="none" w:sz="0" w:space="0" w:color="auto"/>
                                                <w:left w:val="none" w:sz="0" w:space="0" w:color="auto"/>
                                                <w:bottom w:val="none" w:sz="0" w:space="0" w:color="auto"/>
                                                <w:right w:val="none" w:sz="0" w:space="0" w:color="auto"/>
                                              </w:divBdr>
                                              <w:divsChild>
                                                <w:div w:id="1141725406">
                                                  <w:marLeft w:val="0"/>
                                                  <w:marRight w:val="300"/>
                                                  <w:marTop w:val="0"/>
                                                  <w:marBottom w:val="0"/>
                                                  <w:divBdr>
                                                    <w:top w:val="none" w:sz="0" w:space="0" w:color="auto"/>
                                                    <w:left w:val="none" w:sz="0" w:space="0" w:color="auto"/>
                                                    <w:bottom w:val="none" w:sz="0" w:space="0" w:color="auto"/>
                                                    <w:right w:val="none" w:sz="0" w:space="0" w:color="auto"/>
                                                  </w:divBdr>
                                                  <w:divsChild>
                                                    <w:div w:id="1141725414">
                                                      <w:marLeft w:val="0"/>
                                                      <w:marRight w:val="0"/>
                                                      <w:marTop w:val="0"/>
                                                      <w:marBottom w:val="0"/>
                                                      <w:divBdr>
                                                        <w:top w:val="none" w:sz="0" w:space="0" w:color="auto"/>
                                                        <w:left w:val="none" w:sz="0" w:space="0" w:color="auto"/>
                                                        <w:bottom w:val="none" w:sz="0" w:space="0" w:color="auto"/>
                                                        <w:right w:val="none" w:sz="0" w:space="0" w:color="auto"/>
                                                      </w:divBdr>
                                                      <w:divsChild>
                                                        <w:div w:id="1141725397">
                                                          <w:marLeft w:val="0"/>
                                                          <w:marRight w:val="0"/>
                                                          <w:marTop w:val="0"/>
                                                          <w:marBottom w:val="300"/>
                                                          <w:divBdr>
                                                            <w:top w:val="single" w:sz="6" w:space="0" w:color="CCCCCC"/>
                                                            <w:left w:val="none" w:sz="0" w:space="0" w:color="auto"/>
                                                            <w:bottom w:val="none" w:sz="0" w:space="0" w:color="auto"/>
                                                            <w:right w:val="none" w:sz="0" w:space="0" w:color="auto"/>
                                                          </w:divBdr>
                                                          <w:divsChild>
                                                            <w:div w:id="1141725394">
                                                              <w:marLeft w:val="0"/>
                                                              <w:marRight w:val="0"/>
                                                              <w:marTop w:val="0"/>
                                                              <w:marBottom w:val="0"/>
                                                              <w:divBdr>
                                                                <w:top w:val="none" w:sz="0" w:space="0" w:color="auto"/>
                                                                <w:left w:val="none" w:sz="0" w:space="0" w:color="auto"/>
                                                                <w:bottom w:val="none" w:sz="0" w:space="0" w:color="auto"/>
                                                                <w:right w:val="none" w:sz="0" w:space="0" w:color="auto"/>
                                                              </w:divBdr>
                                                              <w:divsChild>
                                                                <w:div w:id="1141725402">
                                                                  <w:marLeft w:val="0"/>
                                                                  <w:marRight w:val="0"/>
                                                                  <w:marTop w:val="0"/>
                                                                  <w:marBottom w:val="0"/>
                                                                  <w:divBdr>
                                                                    <w:top w:val="none" w:sz="0" w:space="0" w:color="auto"/>
                                                                    <w:left w:val="none" w:sz="0" w:space="0" w:color="auto"/>
                                                                    <w:bottom w:val="none" w:sz="0" w:space="0" w:color="auto"/>
                                                                    <w:right w:val="none" w:sz="0" w:space="0" w:color="auto"/>
                                                                  </w:divBdr>
                                                                  <w:divsChild>
                                                                    <w:div w:id="11417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1725396">
      <w:marLeft w:val="0"/>
      <w:marRight w:val="0"/>
      <w:marTop w:val="0"/>
      <w:marBottom w:val="0"/>
      <w:divBdr>
        <w:top w:val="none" w:sz="0" w:space="0" w:color="auto"/>
        <w:left w:val="none" w:sz="0" w:space="0" w:color="auto"/>
        <w:bottom w:val="none" w:sz="0" w:space="0" w:color="auto"/>
        <w:right w:val="none" w:sz="0" w:space="0" w:color="auto"/>
      </w:divBdr>
    </w:div>
    <w:div w:id="1141725398">
      <w:marLeft w:val="0"/>
      <w:marRight w:val="0"/>
      <w:marTop w:val="0"/>
      <w:marBottom w:val="0"/>
      <w:divBdr>
        <w:top w:val="none" w:sz="0" w:space="0" w:color="auto"/>
        <w:left w:val="none" w:sz="0" w:space="0" w:color="auto"/>
        <w:bottom w:val="none" w:sz="0" w:space="0" w:color="auto"/>
        <w:right w:val="none" w:sz="0" w:space="0" w:color="auto"/>
      </w:divBdr>
    </w:div>
    <w:div w:id="1141725401">
      <w:marLeft w:val="0"/>
      <w:marRight w:val="0"/>
      <w:marTop w:val="0"/>
      <w:marBottom w:val="0"/>
      <w:divBdr>
        <w:top w:val="none" w:sz="0" w:space="0" w:color="auto"/>
        <w:left w:val="none" w:sz="0" w:space="0" w:color="auto"/>
        <w:bottom w:val="none" w:sz="0" w:space="0" w:color="auto"/>
        <w:right w:val="none" w:sz="0" w:space="0" w:color="auto"/>
      </w:divBdr>
    </w:div>
    <w:div w:id="1141725407">
      <w:marLeft w:val="0"/>
      <w:marRight w:val="0"/>
      <w:marTop w:val="0"/>
      <w:marBottom w:val="0"/>
      <w:divBdr>
        <w:top w:val="none" w:sz="0" w:space="0" w:color="auto"/>
        <w:left w:val="none" w:sz="0" w:space="0" w:color="auto"/>
        <w:bottom w:val="none" w:sz="0" w:space="0" w:color="auto"/>
        <w:right w:val="none" w:sz="0" w:space="0" w:color="auto"/>
      </w:divBdr>
    </w:div>
    <w:div w:id="1141725409">
      <w:marLeft w:val="0"/>
      <w:marRight w:val="0"/>
      <w:marTop w:val="0"/>
      <w:marBottom w:val="0"/>
      <w:divBdr>
        <w:top w:val="none" w:sz="0" w:space="0" w:color="auto"/>
        <w:left w:val="none" w:sz="0" w:space="0" w:color="auto"/>
        <w:bottom w:val="none" w:sz="0" w:space="0" w:color="auto"/>
        <w:right w:val="none" w:sz="0" w:space="0" w:color="auto"/>
      </w:divBdr>
    </w:div>
    <w:div w:id="1141725410">
      <w:marLeft w:val="0"/>
      <w:marRight w:val="0"/>
      <w:marTop w:val="0"/>
      <w:marBottom w:val="0"/>
      <w:divBdr>
        <w:top w:val="none" w:sz="0" w:space="0" w:color="auto"/>
        <w:left w:val="none" w:sz="0" w:space="0" w:color="auto"/>
        <w:bottom w:val="none" w:sz="0" w:space="0" w:color="auto"/>
        <w:right w:val="none" w:sz="0" w:space="0" w:color="auto"/>
      </w:divBdr>
    </w:div>
    <w:div w:id="1141725411">
      <w:marLeft w:val="0"/>
      <w:marRight w:val="0"/>
      <w:marTop w:val="0"/>
      <w:marBottom w:val="0"/>
      <w:divBdr>
        <w:top w:val="none" w:sz="0" w:space="0" w:color="auto"/>
        <w:left w:val="none" w:sz="0" w:space="0" w:color="auto"/>
        <w:bottom w:val="none" w:sz="0" w:space="0" w:color="auto"/>
        <w:right w:val="none" w:sz="0" w:space="0" w:color="auto"/>
      </w:divBdr>
    </w:div>
    <w:div w:id="1283153228">
      <w:bodyDiv w:val="1"/>
      <w:marLeft w:val="0"/>
      <w:marRight w:val="0"/>
      <w:marTop w:val="0"/>
      <w:marBottom w:val="0"/>
      <w:divBdr>
        <w:top w:val="none" w:sz="0" w:space="0" w:color="auto"/>
        <w:left w:val="none" w:sz="0" w:space="0" w:color="auto"/>
        <w:bottom w:val="none" w:sz="0" w:space="0" w:color="auto"/>
        <w:right w:val="none" w:sz="0" w:space="0" w:color="auto"/>
      </w:divBdr>
      <w:divsChild>
        <w:div w:id="678701608">
          <w:marLeft w:val="0"/>
          <w:marRight w:val="0"/>
          <w:marTop w:val="0"/>
          <w:marBottom w:val="0"/>
          <w:divBdr>
            <w:top w:val="none" w:sz="0" w:space="0" w:color="auto"/>
            <w:left w:val="none" w:sz="0" w:space="0" w:color="auto"/>
            <w:bottom w:val="none" w:sz="0" w:space="0" w:color="auto"/>
            <w:right w:val="none" w:sz="0" w:space="0" w:color="auto"/>
          </w:divBdr>
          <w:divsChild>
            <w:div w:id="12614128">
              <w:marLeft w:val="0"/>
              <w:marRight w:val="0"/>
              <w:marTop w:val="0"/>
              <w:marBottom w:val="0"/>
              <w:divBdr>
                <w:top w:val="none" w:sz="0" w:space="0" w:color="auto"/>
                <w:left w:val="none" w:sz="0" w:space="0" w:color="auto"/>
                <w:bottom w:val="none" w:sz="0" w:space="0" w:color="auto"/>
                <w:right w:val="none" w:sz="0" w:space="0" w:color="auto"/>
              </w:divBdr>
              <w:divsChild>
                <w:div w:id="348335637">
                  <w:marLeft w:val="0"/>
                  <w:marRight w:val="0"/>
                  <w:marTop w:val="100"/>
                  <w:marBottom w:val="100"/>
                  <w:divBdr>
                    <w:top w:val="none" w:sz="0" w:space="0" w:color="auto"/>
                    <w:left w:val="none" w:sz="0" w:space="0" w:color="auto"/>
                    <w:bottom w:val="none" w:sz="0" w:space="0" w:color="auto"/>
                    <w:right w:val="none" w:sz="0" w:space="0" w:color="auto"/>
                  </w:divBdr>
                  <w:divsChild>
                    <w:div w:id="995110999">
                      <w:marLeft w:val="0"/>
                      <w:marRight w:val="0"/>
                      <w:marTop w:val="0"/>
                      <w:marBottom w:val="0"/>
                      <w:divBdr>
                        <w:top w:val="none" w:sz="0" w:space="0" w:color="auto"/>
                        <w:left w:val="none" w:sz="0" w:space="0" w:color="auto"/>
                        <w:bottom w:val="none" w:sz="0" w:space="0" w:color="auto"/>
                        <w:right w:val="none" w:sz="0" w:space="0" w:color="auto"/>
                      </w:divBdr>
                      <w:divsChild>
                        <w:div w:id="1025709880">
                          <w:marLeft w:val="0"/>
                          <w:marRight w:val="0"/>
                          <w:marTop w:val="0"/>
                          <w:marBottom w:val="0"/>
                          <w:divBdr>
                            <w:top w:val="none" w:sz="0" w:space="0" w:color="auto"/>
                            <w:left w:val="none" w:sz="0" w:space="0" w:color="auto"/>
                            <w:bottom w:val="none" w:sz="0" w:space="0" w:color="auto"/>
                            <w:right w:val="none" w:sz="0" w:space="0" w:color="auto"/>
                          </w:divBdr>
                          <w:divsChild>
                            <w:div w:id="1400594127">
                              <w:marLeft w:val="0"/>
                              <w:marRight w:val="0"/>
                              <w:marTop w:val="0"/>
                              <w:marBottom w:val="0"/>
                              <w:divBdr>
                                <w:top w:val="none" w:sz="0" w:space="0" w:color="auto"/>
                                <w:left w:val="none" w:sz="0" w:space="0" w:color="auto"/>
                                <w:bottom w:val="none" w:sz="0" w:space="0" w:color="auto"/>
                                <w:right w:val="none" w:sz="0" w:space="0" w:color="auto"/>
                              </w:divBdr>
                              <w:divsChild>
                                <w:div w:id="1984311108">
                                  <w:marLeft w:val="0"/>
                                  <w:marRight w:val="0"/>
                                  <w:marTop w:val="0"/>
                                  <w:marBottom w:val="0"/>
                                  <w:divBdr>
                                    <w:top w:val="none" w:sz="0" w:space="0" w:color="auto"/>
                                    <w:left w:val="none" w:sz="0" w:space="0" w:color="auto"/>
                                    <w:bottom w:val="none" w:sz="0" w:space="0" w:color="auto"/>
                                    <w:right w:val="none" w:sz="0" w:space="0" w:color="auto"/>
                                  </w:divBdr>
                                  <w:divsChild>
                                    <w:div w:id="2139293956">
                                      <w:marLeft w:val="0"/>
                                      <w:marRight w:val="0"/>
                                      <w:marTop w:val="0"/>
                                      <w:marBottom w:val="0"/>
                                      <w:divBdr>
                                        <w:top w:val="none" w:sz="0" w:space="0" w:color="auto"/>
                                        <w:left w:val="none" w:sz="0" w:space="0" w:color="auto"/>
                                        <w:bottom w:val="none" w:sz="0" w:space="0" w:color="auto"/>
                                        <w:right w:val="none" w:sz="0" w:space="0" w:color="auto"/>
                                      </w:divBdr>
                                      <w:divsChild>
                                        <w:div w:id="1860698859">
                                          <w:marLeft w:val="0"/>
                                          <w:marRight w:val="0"/>
                                          <w:marTop w:val="0"/>
                                          <w:marBottom w:val="0"/>
                                          <w:divBdr>
                                            <w:top w:val="none" w:sz="0" w:space="0" w:color="auto"/>
                                            <w:left w:val="none" w:sz="0" w:space="0" w:color="auto"/>
                                            <w:bottom w:val="none" w:sz="0" w:space="0" w:color="auto"/>
                                            <w:right w:val="none" w:sz="0" w:space="0" w:color="auto"/>
                                          </w:divBdr>
                                          <w:divsChild>
                                            <w:div w:id="764813414">
                                              <w:marLeft w:val="0"/>
                                              <w:marRight w:val="0"/>
                                              <w:marTop w:val="0"/>
                                              <w:marBottom w:val="0"/>
                                              <w:divBdr>
                                                <w:top w:val="none" w:sz="0" w:space="0" w:color="auto"/>
                                                <w:left w:val="none" w:sz="0" w:space="0" w:color="auto"/>
                                                <w:bottom w:val="none" w:sz="0" w:space="0" w:color="auto"/>
                                                <w:right w:val="none" w:sz="0" w:space="0" w:color="auto"/>
                                              </w:divBdr>
                                              <w:divsChild>
                                                <w:div w:id="1348873040">
                                                  <w:marLeft w:val="0"/>
                                                  <w:marRight w:val="300"/>
                                                  <w:marTop w:val="0"/>
                                                  <w:marBottom w:val="0"/>
                                                  <w:divBdr>
                                                    <w:top w:val="none" w:sz="0" w:space="0" w:color="auto"/>
                                                    <w:left w:val="none" w:sz="0" w:space="0" w:color="auto"/>
                                                    <w:bottom w:val="none" w:sz="0" w:space="0" w:color="auto"/>
                                                    <w:right w:val="none" w:sz="0" w:space="0" w:color="auto"/>
                                                  </w:divBdr>
                                                  <w:divsChild>
                                                    <w:div w:id="1526824894">
                                                      <w:marLeft w:val="0"/>
                                                      <w:marRight w:val="0"/>
                                                      <w:marTop w:val="0"/>
                                                      <w:marBottom w:val="0"/>
                                                      <w:divBdr>
                                                        <w:top w:val="none" w:sz="0" w:space="0" w:color="auto"/>
                                                        <w:left w:val="none" w:sz="0" w:space="0" w:color="auto"/>
                                                        <w:bottom w:val="none" w:sz="0" w:space="0" w:color="auto"/>
                                                        <w:right w:val="none" w:sz="0" w:space="0" w:color="auto"/>
                                                      </w:divBdr>
                                                      <w:divsChild>
                                                        <w:div w:id="306979571">
                                                          <w:marLeft w:val="0"/>
                                                          <w:marRight w:val="0"/>
                                                          <w:marTop w:val="0"/>
                                                          <w:marBottom w:val="300"/>
                                                          <w:divBdr>
                                                            <w:top w:val="single" w:sz="6" w:space="0" w:color="CCCCCC"/>
                                                            <w:left w:val="none" w:sz="0" w:space="0" w:color="auto"/>
                                                            <w:bottom w:val="none" w:sz="0" w:space="0" w:color="auto"/>
                                                            <w:right w:val="none" w:sz="0" w:space="0" w:color="auto"/>
                                                          </w:divBdr>
                                                          <w:divsChild>
                                                            <w:div w:id="1479153092">
                                                              <w:marLeft w:val="0"/>
                                                              <w:marRight w:val="0"/>
                                                              <w:marTop w:val="0"/>
                                                              <w:marBottom w:val="0"/>
                                                              <w:divBdr>
                                                                <w:top w:val="none" w:sz="0" w:space="0" w:color="auto"/>
                                                                <w:left w:val="none" w:sz="0" w:space="0" w:color="auto"/>
                                                                <w:bottom w:val="none" w:sz="0" w:space="0" w:color="auto"/>
                                                                <w:right w:val="none" w:sz="0" w:space="0" w:color="auto"/>
                                                              </w:divBdr>
                                                              <w:divsChild>
                                                                <w:div w:id="1670211790">
                                                                  <w:marLeft w:val="0"/>
                                                                  <w:marRight w:val="0"/>
                                                                  <w:marTop w:val="0"/>
                                                                  <w:marBottom w:val="0"/>
                                                                  <w:divBdr>
                                                                    <w:top w:val="none" w:sz="0" w:space="0" w:color="auto"/>
                                                                    <w:left w:val="none" w:sz="0" w:space="0" w:color="auto"/>
                                                                    <w:bottom w:val="none" w:sz="0" w:space="0" w:color="auto"/>
                                                                    <w:right w:val="none" w:sz="0" w:space="0" w:color="auto"/>
                                                                  </w:divBdr>
                                                                  <w:divsChild>
                                                                    <w:div w:id="1753551442">
                                                                      <w:marLeft w:val="0"/>
                                                                      <w:marRight w:val="0"/>
                                                                      <w:marTop w:val="0"/>
                                                                      <w:marBottom w:val="0"/>
                                                                      <w:divBdr>
                                                                        <w:top w:val="none" w:sz="0" w:space="0" w:color="auto"/>
                                                                        <w:left w:val="none" w:sz="0" w:space="0" w:color="auto"/>
                                                                        <w:bottom w:val="none" w:sz="0" w:space="0" w:color="auto"/>
                                                                        <w:right w:val="none" w:sz="0" w:space="0" w:color="auto"/>
                                                                      </w:divBdr>
                                                                      <w:divsChild>
                                                                        <w:div w:id="834146932">
                                                                          <w:marLeft w:val="0"/>
                                                                          <w:marRight w:val="0"/>
                                                                          <w:marTop w:val="0"/>
                                                                          <w:marBottom w:val="0"/>
                                                                          <w:divBdr>
                                                                            <w:top w:val="none" w:sz="0" w:space="0" w:color="auto"/>
                                                                            <w:left w:val="none" w:sz="0" w:space="0" w:color="auto"/>
                                                                            <w:bottom w:val="none" w:sz="0" w:space="0" w:color="auto"/>
                                                                            <w:right w:val="none" w:sz="0" w:space="0" w:color="auto"/>
                                                                          </w:divBdr>
                                                                          <w:divsChild>
                                                                            <w:div w:id="1402798104">
                                                                              <w:marLeft w:val="0"/>
                                                                              <w:marRight w:val="0"/>
                                                                              <w:marTop w:val="0"/>
                                                                              <w:marBottom w:val="0"/>
                                                                              <w:divBdr>
                                                                                <w:top w:val="none" w:sz="0" w:space="0" w:color="auto"/>
                                                                                <w:left w:val="none" w:sz="0" w:space="0" w:color="auto"/>
                                                                                <w:bottom w:val="none" w:sz="0" w:space="0" w:color="auto"/>
                                                                                <w:right w:val="none" w:sz="0" w:space="0" w:color="auto"/>
                                                                              </w:divBdr>
                                                                              <w:divsChild>
                                                                                <w:div w:id="1185829969">
                                                                                  <w:marLeft w:val="0"/>
                                                                                  <w:marRight w:val="0"/>
                                                                                  <w:marTop w:val="0"/>
                                                                                  <w:marBottom w:val="0"/>
                                                                                  <w:divBdr>
                                                                                    <w:top w:val="none" w:sz="0" w:space="0" w:color="auto"/>
                                                                                    <w:left w:val="none" w:sz="0" w:space="0" w:color="auto"/>
                                                                                    <w:bottom w:val="none" w:sz="0" w:space="0" w:color="auto"/>
                                                                                    <w:right w:val="none" w:sz="0" w:space="0" w:color="auto"/>
                                                                                  </w:divBdr>
                                                                                  <w:divsChild>
                                                                                    <w:div w:id="6946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mof.gov.sb/GovernmentFinances/CommunityServiceObligations.asp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stacey\Documents\Work\Contracts\Cardno\SIWA%20evaluation\Data%20for%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tongi\AppData\Local\Microsoft\Windows\INetCache\Content.Outlook\OCQNBVRS\Honiara%20Bacterial%20Compliance%20Summary_12012016%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Sheet1!$B$7</c:f>
              <c:strCache>
                <c:ptCount val="1"/>
                <c:pt idx="0">
                  <c:v>Hrs/day</c:v>
                </c:pt>
              </c:strCache>
            </c:strRef>
          </c:tx>
          <c:invertIfNegative val="0"/>
          <c:cat>
            <c:numRef>
              <c:f>Sheet1!$A$8:$A$13</c:f>
              <c:numCache>
                <c:formatCode>General</c:formatCode>
                <c:ptCount val="6"/>
                <c:pt idx="0">
                  <c:v>2010</c:v>
                </c:pt>
                <c:pt idx="1">
                  <c:v>2011</c:v>
                </c:pt>
                <c:pt idx="2">
                  <c:v>2012</c:v>
                </c:pt>
                <c:pt idx="3">
                  <c:v>2013</c:v>
                </c:pt>
                <c:pt idx="4">
                  <c:v>2014</c:v>
                </c:pt>
                <c:pt idx="5">
                  <c:v>2015</c:v>
                </c:pt>
              </c:numCache>
            </c:numRef>
          </c:cat>
          <c:val>
            <c:numRef>
              <c:f>Sheet1!$B$8:$B$13</c:f>
              <c:numCache>
                <c:formatCode>#,##0.00</c:formatCode>
                <c:ptCount val="6"/>
                <c:pt idx="0">
                  <c:v>8</c:v>
                </c:pt>
                <c:pt idx="1">
                  <c:v>14</c:v>
                </c:pt>
                <c:pt idx="2">
                  <c:v>14.199999809265099</c:v>
                </c:pt>
                <c:pt idx="3">
                  <c:v>18</c:v>
                </c:pt>
                <c:pt idx="4">
                  <c:v>22</c:v>
                </c:pt>
                <c:pt idx="5">
                  <c:v>22</c:v>
                </c:pt>
              </c:numCache>
            </c:numRef>
          </c:val>
          <c:extLst>
            <c:ext xmlns:c16="http://schemas.microsoft.com/office/drawing/2014/chart" uri="{C3380CC4-5D6E-409C-BE32-E72D297353CC}">
              <c16:uniqueId val="{00000000-AA34-464E-AF0A-49E2540EDCDB}"/>
            </c:ext>
          </c:extLst>
        </c:ser>
        <c:dLbls>
          <c:showLegendKey val="0"/>
          <c:showVal val="0"/>
          <c:showCatName val="0"/>
          <c:showSerName val="0"/>
          <c:showPercent val="0"/>
          <c:showBubbleSize val="0"/>
        </c:dLbls>
        <c:gapWidth val="150"/>
        <c:axId val="126728448"/>
        <c:axId val="127848448"/>
      </c:barChart>
      <c:catAx>
        <c:axId val="126728448"/>
        <c:scaling>
          <c:orientation val="minMax"/>
        </c:scaling>
        <c:delete val="0"/>
        <c:axPos val="b"/>
        <c:numFmt formatCode="General" sourceLinked="1"/>
        <c:majorTickMark val="out"/>
        <c:minorTickMark val="none"/>
        <c:tickLblPos val="nextTo"/>
        <c:crossAx val="127848448"/>
        <c:crosses val="autoZero"/>
        <c:auto val="1"/>
        <c:lblAlgn val="ctr"/>
        <c:lblOffset val="100"/>
        <c:noMultiLvlLbl val="0"/>
      </c:catAx>
      <c:valAx>
        <c:axId val="127848448"/>
        <c:scaling>
          <c:orientation val="minMax"/>
        </c:scaling>
        <c:delete val="0"/>
        <c:axPos val="l"/>
        <c:majorGridlines/>
        <c:numFmt formatCode="#,##0.00" sourceLinked="1"/>
        <c:majorTickMark val="out"/>
        <c:minorTickMark val="none"/>
        <c:tickLblPos val="nextTo"/>
        <c:crossAx val="126728448"/>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Sheet1!$H$3</c:f>
              <c:strCache>
                <c:ptCount val="1"/>
                <c:pt idx="0">
                  <c:v>E.coliCompliance</c:v>
                </c:pt>
              </c:strCache>
            </c:strRef>
          </c:tx>
          <c:spPr>
            <a:solidFill>
              <a:schemeClr val="accent3">
                <a:lumMod val="60000"/>
                <a:lumOff val="40000"/>
              </a:schemeClr>
            </a:solidFill>
          </c:spPr>
          <c:invertIfNegative val="0"/>
          <c:cat>
            <c:numRef>
              <c:f>Sheet1!$B$4:$B$42</c:f>
              <c:numCache>
                <c:formatCode>mmm\-yy</c:formatCode>
                <c:ptCount val="39"/>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42050</c:v>
                </c:pt>
                <c:pt idx="26">
                  <c:v>42064</c:v>
                </c:pt>
                <c:pt idx="27" formatCode="[$-409]mmm\-yy;@">
                  <c:v>42109</c:v>
                </c:pt>
                <c:pt idx="28">
                  <c:v>42125</c:v>
                </c:pt>
                <c:pt idx="29">
                  <c:v>42156</c:v>
                </c:pt>
                <c:pt idx="30">
                  <c:v>42186</c:v>
                </c:pt>
                <c:pt idx="31">
                  <c:v>42217</c:v>
                </c:pt>
                <c:pt idx="32">
                  <c:v>42248</c:v>
                </c:pt>
                <c:pt idx="33">
                  <c:v>42278</c:v>
                </c:pt>
                <c:pt idx="34">
                  <c:v>42309</c:v>
                </c:pt>
                <c:pt idx="35">
                  <c:v>42339</c:v>
                </c:pt>
                <c:pt idx="36">
                  <c:v>42370</c:v>
                </c:pt>
                <c:pt idx="37">
                  <c:v>42401</c:v>
                </c:pt>
                <c:pt idx="38">
                  <c:v>42430</c:v>
                </c:pt>
              </c:numCache>
            </c:numRef>
          </c:cat>
          <c:val>
            <c:numRef>
              <c:f>Sheet1!$H$4:$H$42</c:f>
              <c:numCache>
                <c:formatCode>0.0%</c:formatCode>
                <c:ptCount val="39"/>
                <c:pt idx="0">
                  <c:v>0.76744186046511675</c:v>
                </c:pt>
                <c:pt idx="1">
                  <c:v>0.8125</c:v>
                </c:pt>
                <c:pt idx="2">
                  <c:v>0.76923076923076916</c:v>
                </c:pt>
                <c:pt idx="3">
                  <c:v>0.73913043478260854</c:v>
                </c:pt>
                <c:pt idx="4">
                  <c:v>0.86956521739130455</c:v>
                </c:pt>
                <c:pt idx="5">
                  <c:v>0.77777777777777801</c:v>
                </c:pt>
                <c:pt idx="6">
                  <c:v>0.82000000000000028</c:v>
                </c:pt>
                <c:pt idx="7">
                  <c:v>0.98039215686274472</c:v>
                </c:pt>
                <c:pt idx="8">
                  <c:v>0.9473684210526313</c:v>
                </c:pt>
                <c:pt idx="9">
                  <c:v>0.91071428571428559</c:v>
                </c:pt>
                <c:pt idx="10">
                  <c:v>0.95000000000000018</c:v>
                </c:pt>
                <c:pt idx="11">
                  <c:v>0.81818181818181834</c:v>
                </c:pt>
                <c:pt idx="12">
                  <c:v>0.86486486486486491</c:v>
                </c:pt>
                <c:pt idx="13">
                  <c:v>0.84615384615384648</c:v>
                </c:pt>
                <c:pt idx="14">
                  <c:v>0.97560975609756129</c:v>
                </c:pt>
                <c:pt idx="15">
                  <c:v>0.87500000000000022</c:v>
                </c:pt>
                <c:pt idx="16">
                  <c:v>0.94642857142857173</c:v>
                </c:pt>
                <c:pt idx="17">
                  <c:v>1</c:v>
                </c:pt>
                <c:pt idx="18">
                  <c:v>0.97222222222222221</c:v>
                </c:pt>
                <c:pt idx="19">
                  <c:v>0.93333333333333335</c:v>
                </c:pt>
                <c:pt idx="20">
                  <c:v>0.96666666666666667</c:v>
                </c:pt>
                <c:pt idx="21">
                  <c:v>0.96923076923076901</c:v>
                </c:pt>
                <c:pt idx="22">
                  <c:v>0.9859154929577465</c:v>
                </c:pt>
                <c:pt idx="23">
                  <c:v>1</c:v>
                </c:pt>
                <c:pt idx="24">
                  <c:v>0.91304347826086962</c:v>
                </c:pt>
                <c:pt idx="25">
                  <c:v>0.98387096774193528</c:v>
                </c:pt>
                <c:pt idx="26">
                  <c:v>0.98</c:v>
                </c:pt>
                <c:pt idx="27">
                  <c:v>1</c:v>
                </c:pt>
                <c:pt idx="28">
                  <c:v>0.94642857142857173</c:v>
                </c:pt>
                <c:pt idx="29">
                  <c:v>0.89062500000000022</c:v>
                </c:pt>
                <c:pt idx="30">
                  <c:v>0.9</c:v>
                </c:pt>
                <c:pt idx="31">
                  <c:v>1</c:v>
                </c:pt>
                <c:pt idx="32">
                  <c:v>1</c:v>
                </c:pt>
                <c:pt idx="33">
                  <c:v>0.97058823529411764</c:v>
                </c:pt>
                <c:pt idx="34">
                  <c:v>1</c:v>
                </c:pt>
                <c:pt idx="35">
                  <c:v>1</c:v>
                </c:pt>
                <c:pt idx="36">
                  <c:v>0.93200000000000005</c:v>
                </c:pt>
                <c:pt idx="37">
                  <c:v>0.98499999999999999</c:v>
                </c:pt>
                <c:pt idx="38">
                  <c:v>0.95000000000000018</c:v>
                </c:pt>
              </c:numCache>
            </c:numRef>
          </c:val>
          <c:extLst>
            <c:ext xmlns:c16="http://schemas.microsoft.com/office/drawing/2014/chart" uri="{C3380CC4-5D6E-409C-BE32-E72D297353CC}">
              <c16:uniqueId val="{00000000-0311-4F0F-BA80-8359BC5EFA2C}"/>
            </c:ext>
          </c:extLst>
        </c:ser>
        <c:dLbls>
          <c:showLegendKey val="0"/>
          <c:showVal val="0"/>
          <c:showCatName val="0"/>
          <c:showSerName val="0"/>
          <c:showPercent val="0"/>
          <c:showBubbleSize val="0"/>
        </c:dLbls>
        <c:gapWidth val="75"/>
        <c:axId val="127964672"/>
        <c:axId val="143959168"/>
      </c:barChart>
      <c:lineChart>
        <c:grouping val="standard"/>
        <c:varyColors val="0"/>
        <c:ser>
          <c:idx val="1"/>
          <c:order val="1"/>
          <c:tx>
            <c:strRef>
              <c:f>Sheet1!$I$3</c:f>
              <c:strCache>
                <c:ptCount val="1"/>
                <c:pt idx="0">
                  <c:v>E.coli 39-month Average running compliance</c:v>
                </c:pt>
              </c:strCache>
            </c:strRef>
          </c:tx>
          <c:spPr>
            <a:ln>
              <a:solidFill>
                <a:schemeClr val="accent3">
                  <a:lumMod val="75000"/>
                </a:schemeClr>
              </a:solidFill>
            </a:ln>
          </c:spPr>
          <c:marker>
            <c:symbol val="none"/>
          </c:marker>
          <c:cat>
            <c:numRef>
              <c:f>Sheet1!$B$4:$B$42</c:f>
              <c:numCache>
                <c:formatCode>mmm\-yy</c:formatCode>
                <c:ptCount val="39"/>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42050</c:v>
                </c:pt>
                <c:pt idx="26">
                  <c:v>42064</c:v>
                </c:pt>
                <c:pt idx="27" formatCode="[$-409]mmm\-yy;@">
                  <c:v>42109</c:v>
                </c:pt>
                <c:pt idx="28">
                  <c:v>42125</c:v>
                </c:pt>
                <c:pt idx="29">
                  <c:v>42156</c:v>
                </c:pt>
                <c:pt idx="30">
                  <c:v>42186</c:v>
                </c:pt>
                <c:pt idx="31">
                  <c:v>42217</c:v>
                </c:pt>
                <c:pt idx="32">
                  <c:v>42248</c:v>
                </c:pt>
                <c:pt idx="33">
                  <c:v>42278</c:v>
                </c:pt>
                <c:pt idx="34">
                  <c:v>42309</c:v>
                </c:pt>
                <c:pt idx="35">
                  <c:v>42339</c:v>
                </c:pt>
                <c:pt idx="36">
                  <c:v>42370</c:v>
                </c:pt>
                <c:pt idx="37">
                  <c:v>42401</c:v>
                </c:pt>
                <c:pt idx="38">
                  <c:v>42430</c:v>
                </c:pt>
              </c:numCache>
            </c:numRef>
          </c:cat>
          <c:val>
            <c:numRef>
              <c:f>Sheet1!$I$4:$I$42</c:f>
              <c:numCache>
                <c:formatCode>0.0%</c:formatCode>
                <c:ptCount val="39"/>
                <c:pt idx="0">
                  <c:v>0.76744186046511675</c:v>
                </c:pt>
                <c:pt idx="1">
                  <c:v>0.8125</c:v>
                </c:pt>
                <c:pt idx="2">
                  <c:v>0.79086538461538469</c:v>
                </c:pt>
                <c:pt idx="3">
                  <c:v>0.77362040133779286</c:v>
                </c:pt>
                <c:pt idx="4">
                  <c:v>0.79760660535117078</c:v>
                </c:pt>
                <c:pt idx="5">
                  <c:v>0.79364083983649214</c:v>
                </c:pt>
                <c:pt idx="6">
                  <c:v>0.79803403319707678</c:v>
                </c:pt>
                <c:pt idx="7">
                  <c:v>0.82408519372074351</c:v>
                </c:pt>
                <c:pt idx="8">
                  <c:v>0.83949559713722954</c:v>
                </c:pt>
                <c:pt idx="9">
                  <c:v>0.84740878475690218</c:v>
                </c:pt>
                <c:pt idx="10">
                  <c:v>0.85766790628121248</c:v>
                </c:pt>
                <c:pt idx="11">
                  <c:v>0.8540782619085403</c:v>
                </c:pt>
                <c:pt idx="12">
                  <c:v>0.85497714548823378</c:v>
                </c:pt>
                <c:pt idx="13">
                  <c:v>0.85778163266772145</c:v>
                </c:pt>
                <c:pt idx="14">
                  <c:v>0.87497988157328743</c:v>
                </c:pt>
                <c:pt idx="15">
                  <c:v>0.8863023453414024</c:v>
                </c:pt>
                <c:pt idx="16">
                  <c:v>0.89270762484450861</c:v>
                </c:pt>
                <c:pt idx="17">
                  <c:v>0.91122614336302687</c:v>
                </c:pt>
                <c:pt idx="18">
                  <c:v>0.92391132854821201</c:v>
                </c:pt>
                <c:pt idx="19">
                  <c:v>0.91998975992076093</c:v>
                </c:pt>
                <c:pt idx="20">
                  <c:v>0.92159794705526388</c:v>
                </c:pt>
                <c:pt idx="21">
                  <c:v>0.9264743206816376</c:v>
                </c:pt>
                <c:pt idx="22">
                  <c:v>0.92946727842811661</c:v>
                </c:pt>
                <c:pt idx="23">
                  <c:v>1</c:v>
                </c:pt>
                <c:pt idx="24">
                  <c:v>0.95384615384615379</c:v>
                </c:pt>
                <c:pt idx="25">
                  <c:v>0.96354166666666663</c:v>
                </c:pt>
                <c:pt idx="26">
                  <c:v>0.96694214876033058</c:v>
                </c:pt>
                <c:pt idx="27">
                  <c:v>0.9727891156462587</c:v>
                </c:pt>
                <c:pt idx="28">
                  <c:v>0.96857142857142864</c:v>
                </c:pt>
                <c:pt idx="29">
                  <c:v>0.95652173913043481</c:v>
                </c:pt>
                <c:pt idx="30">
                  <c:v>0.94936708860759489</c:v>
                </c:pt>
                <c:pt idx="31">
                  <c:v>0.95384615384615379</c:v>
                </c:pt>
                <c:pt idx="32">
                  <c:v>0.95847750865051928</c:v>
                </c:pt>
                <c:pt idx="33">
                  <c:v>0.95975232198142391</c:v>
                </c:pt>
                <c:pt idx="34">
                  <c:v>0.96322489391796318</c:v>
                </c:pt>
                <c:pt idx="35">
                  <c:v>0.96601307189542462</c:v>
                </c:pt>
                <c:pt idx="36">
                  <c:v>0.96300000000000019</c:v>
                </c:pt>
                <c:pt idx="37">
                  <c:v>0.96500000000000019</c:v>
                </c:pt>
                <c:pt idx="38">
                  <c:v>0.96400000000000019</c:v>
                </c:pt>
              </c:numCache>
            </c:numRef>
          </c:val>
          <c:smooth val="0"/>
          <c:extLst>
            <c:ext xmlns:c16="http://schemas.microsoft.com/office/drawing/2014/chart" uri="{C3380CC4-5D6E-409C-BE32-E72D297353CC}">
              <c16:uniqueId val="{00000001-0311-4F0F-BA80-8359BC5EFA2C}"/>
            </c:ext>
          </c:extLst>
        </c:ser>
        <c:dLbls>
          <c:showLegendKey val="0"/>
          <c:showVal val="0"/>
          <c:showCatName val="0"/>
          <c:showSerName val="0"/>
          <c:showPercent val="0"/>
          <c:showBubbleSize val="0"/>
        </c:dLbls>
        <c:marker val="1"/>
        <c:smooth val="0"/>
        <c:axId val="127964672"/>
        <c:axId val="143959168"/>
      </c:lineChart>
      <c:catAx>
        <c:axId val="127964672"/>
        <c:scaling>
          <c:orientation val="minMax"/>
        </c:scaling>
        <c:delete val="0"/>
        <c:axPos val="b"/>
        <c:numFmt formatCode="mmm\-yy" sourceLinked="1"/>
        <c:majorTickMark val="none"/>
        <c:minorTickMark val="none"/>
        <c:tickLblPos val="nextTo"/>
        <c:txPr>
          <a:bodyPr/>
          <a:lstStyle/>
          <a:p>
            <a:pPr>
              <a:defRPr sz="900">
                <a:latin typeface="Franklin Gothic Book" panose="020B0503020102020204" pitchFamily="34" charset="0"/>
              </a:defRPr>
            </a:pPr>
            <a:endParaRPr lang="en-US"/>
          </a:p>
        </c:txPr>
        <c:crossAx val="143959168"/>
        <c:crosses val="autoZero"/>
        <c:auto val="0"/>
        <c:lblAlgn val="ctr"/>
        <c:lblOffset val="100"/>
        <c:noMultiLvlLbl val="0"/>
      </c:catAx>
      <c:valAx>
        <c:axId val="143959168"/>
        <c:scaling>
          <c:orientation val="minMax"/>
          <c:max val="1"/>
        </c:scaling>
        <c:delete val="0"/>
        <c:axPos val="l"/>
        <c:majorGridlines/>
        <c:numFmt formatCode="0.0%" sourceLinked="1"/>
        <c:majorTickMark val="none"/>
        <c:minorTickMark val="none"/>
        <c:tickLblPos val="nextTo"/>
        <c:spPr>
          <a:ln w="9525">
            <a:noFill/>
          </a:ln>
        </c:spPr>
        <c:txPr>
          <a:bodyPr/>
          <a:lstStyle/>
          <a:p>
            <a:pPr>
              <a:defRPr sz="900">
                <a:latin typeface="Franklin Gothic Book" panose="020B0503020102020204" pitchFamily="34" charset="0"/>
              </a:defRPr>
            </a:pPr>
            <a:endParaRPr lang="en-US"/>
          </a:p>
        </c:txPr>
        <c:crossAx val="127964672"/>
        <c:crosses val="autoZero"/>
        <c:crossBetween val="between"/>
      </c:valAx>
      <c:spPr>
        <a:noFill/>
        <a:ln>
          <a:noFill/>
        </a:ln>
      </c:spPr>
    </c:plotArea>
    <c:legend>
      <c:legendPos val="b"/>
      <c:layout/>
      <c:overlay val="0"/>
      <c:txPr>
        <a:bodyPr/>
        <a:lstStyle/>
        <a:p>
          <a:pPr>
            <a:defRPr sz="900">
              <a:latin typeface="Franklin Gothic Book" panose="020B0503020102020204" pitchFamily="34" charset="0"/>
            </a:defRPr>
          </a:pPr>
          <a:endParaRPr lang="en-US"/>
        </a:p>
      </c:txPr>
    </c:legend>
    <c:plotVisOnly val="1"/>
    <c:dispBlanksAs val="gap"/>
    <c:showDLblsOverMax val="0"/>
  </c:chart>
  <c:spPr>
    <a:ln>
      <a:solidFill>
        <a:schemeClr val="bg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48BB12-DBB5-48EF-85B8-B63B6F90216E}"/>
</file>

<file path=customXml/itemProps2.xml><?xml version="1.0" encoding="utf-8"?>
<ds:datastoreItem xmlns:ds="http://schemas.openxmlformats.org/officeDocument/2006/customXml" ds:itemID="{C2D008C4-4938-4422-B656-ADAA3E550B40}"/>
</file>

<file path=customXml/itemProps3.xml><?xml version="1.0" encoding="utf-8"?>
<ds:datastoreItem xmlns:ds="http://schemas.openxmlformats.org/officeDocument/2006/customXml" ds:itemID="{4827AD73-85D5-41FC-B776-59969937A7C2}"/>
</file>

<file path=customXml/itemProps4.xml><?xml version="1.0" encoding="utf-8"?>
<ds:datastoreItem xmlns:ds="http://schemas.openxmlformats.org/officeDocument/2006/customXml" ds:itemID="{58D3C26C-3A7A-4EA1-8A79-8B00E7AFD139}"/>
</file>

<file path=docProps/app.xml><?xml version="1.0" encoding="utf-8"?>
<Properties xmlns="http://schemas.openxmlformats.org/officeDocument/2006/extended-properties" xmlns:vt="http://schemas.openxmlformats.org/officeDocument/2006/docPropsVTypes">
  <Template>Normal.dotm</Template>
  <TotalTime>0</TotalTime>
  <Pages>73</Pages>
  <Words>22865</Words>
  <Characters>130337</Characters>
  <Application>Microsoft Office Word</Application>
  <DocSecurity>0</DocSecurity>
  <Lines>1086</Lines>
  <Paragraphs>305</Paragraphs>
  <ScaleCrop>false</ScaleCrop>
  <Company/>
  <LinksUpToDate>false</LinksUpToDate>
  <CharactersWithSpaces>152897</CharactersWithSpaces>
  <SharedDoc>false</SharedDoc>
  <HLinks>
    <vt:vector size="6" baseType="variant">
      <vt:variant>
        <vt:i4>393307</vt:i4>
      </vt:variant>
      <vt:variant>
        <vt:i4>0</vt:i4>
      </vt:variant>
      <vt:variant>
        <vt:i4>0</vt:i4>
      </vt:variant>
      <vt:variant>
        <vt:i4>5</vt:i4>
      </vt:variant>
      <vt:variant>
        <vt:lpwstr>http://www.mof.gov.sb/GovernmentFinances/CommunityServiceObligations.aspx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2018-02-28T03:57:00Z</dcterms:created>
  <dcterms:modified xsi:type="dcterms:W3CDTF">2018-02-28T03:57:00Z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a4b51145-35da-4948-863c-37be8020c32a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1156100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