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0A78F0" w:rsidRDefault="000A78F0"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4BC2216E" wp14:editId="718966A7">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3F3411E0" wp14:editId="4B9E85EE">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rsidR="00C6626C" w:rsidRPr="00D7713F" w:rsidRDefault="00D7713F" w:rsidP="002A51CA">
      <w:pPr>
        <w:pStyle w:val="Title"/>
        <w:spacing w:after="120" w:line="600" w:lineRule="exact"/>
        <w:rPr>
          <w:spacing w:val="-20"/>
          <w:sz w:val="60"/>
          <w:szCs w:val="60"/>
        </w:rPr>
      </w:pPr>
      <w:r>
        <w:rPr>
          <w:spacing w:val="-20"/>
          <w:sz w:val="60"/>
          <w:szCs w:val="60"/>
        </w:rPr>
        <w:t xml:space="preserve">FULL APPR </w:t>
      </w:r>
      <w:r w:rsidR="00C6626C" w:rsidRPr="00D7713F">
        <w:rPr>
          <w:spacing w:val="-20"/>
          <w:sz w:val="60"/>
          <w:szCs w:val="60"/>
        </w:rPr>
        <w:t>201</w:t>
      </w:r>
      <w:r>
        <w:rPr>
          <w:spacing w:val="-20"/>
          <w:sz w:val="60"/>
          <w:szCs w:val="60"/>
        </w:rPr>
        <w:t>8-19</w:t>
      </w:r>
    </w:p>
    <w:p w:rsidR="00C6626C" w:rsidRDefault="001836ED" w:rsidP="00A56F14">
      <w:r>
        <w:rPr>
          <w:sz w:val="40"/>
        </w:rPr>
        <w:t>SOLOMON ISLANDS</w:t>
      </w:r>
    </w:p>
    <w:p w:rsidR="00C6626C" w:rsidRPr="002A51CA" w:rsidRDefault="00C6626C" w:rsidP="00A56F14">
      <w:pPr>
        <w:rPr>
          <w:sz w:val="24"/>
        </w:rPr>
      </w:pPr>
      <w:r w:rsidRPr="002A51CA">
        <w:rPr>
          <w:sz w:val="24"/>
        </w:rPr>
        <w:t>September 201</w:t>
      </w:r>
      <w:r w:rsidR="00D7713F">
        <w:rPr>
          <w:sz w:val="24"/>
        </w:rPr>
        <w:t>9</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D7713F" w:rsidRPr="00BB648A" w:rsidRDefault="001836ED" w:rsidP="00D7713F">
      <w:pPr>
        <w:pStyle w:val="Title"/>
        <w:spacing w:before="120" w:after="240" w:line="300" w:lineRule="exact"/>
        <w:contextualSpacing w:val="0"/>
        <w:rPr>
          <w:szCs w:val="38"/>
        </w:rPr>
      </w:pPr>
      <w:r w:rsidRPr="00855802">
        <w:rPr>
          <w:szCs w:val="38"/>
        </w:rPr>
        <w:lastRenderedPageBreak/>
        <w:t>SOLOMON ISLANDS</w:t>
      </w:r>
      <w:r w:rsidR="00D7713F" w:rsidRPr="00855802">
        <w:rPr>
          <w:szCs w:val="38"/>
        </w:rPr>
        <w:t xml:space="preserve"> </w:t>
      </w:r>
      <w:r w:rsidR="00D7713F" w:rsidRPr="00BB648A">
        <w:rPr>
          <w:szCs w:val="38"/>
        </w:rPr>
        <w:t>Aid Program Performance Information 201</w:t>
      </w:r>
      <w:r w:rsidR="00F46D79">
        <w:rPr>
          <w:szCs w:val="38"/>
        </w:rPr>
        <w:t>8-19</w:t>
      </w:r>
    </w:p>
    <w:p w:rsidR="00C6626C" w:rsidRPr="00C61187" w:rsidRDefault="00C6626C" w:rsidP="00D7713F">
      <w:pPr>
        <w:pStyle w:val="ListBullet"/>
        <w:tabs>
          <w:tab w:val="clear" w:pos="284"/>
        </w:tabs>
        <w:spacing w:before="360" w:line="300" w:lineRule="exact"/>
        <w:rPr>
          <w:kern w:val="28"/>
        </w:rPr>
      </w:pPr>
      <w:r w:rsidRPr="002A51CA">
        <w:rPr>
          <w:rFonts w:asciiTheme="majorHAnsi" w:eastAsiaTheme="majorEastAsia" w:hAnsiTheme="majorHAnsi" w:cstheme="majorBidi"/>
          <w:caps/>
          <w:color w:val="495965" w:themeColor="text2"/>
          <w:sz w:val="38"/>
          <w:szCs w:val="26"/>
          <w:lang w:val="en-GB" w:eastAsia="en-US"/>
        </w:rPr>
        <w:t>Key Messages</w:t>
      </w:r>
    </w:p>
    <w:p w:rsidR="00051C64" w:rsidRPr="00802AD4" w:rsidRDefault="00051C64" w:rsidP="00051C64">
      <w:pPr>
        <w:spacing w:after="120" w:line="240" w:lineRule="auto"/>
        <w:rPr>
          <w:rFonts w:ascii="Calibri Light" w:hAnsi="Calibri Light" w:cs="Calibri Light"/>
          <w:b/>
          <w:lang w:val="en-AU"/>
        </w:rPr>
      </w:pPr>
      <w:bookmarkStart w:id="0" w:name="_GoBack"/>
      <w:r w:rsidRPr="00802AD4">
        <w:rPr>
          <w:rFonts w:ascii="Calibri Light" w:hAnsi="Calibri Light" w:cs="Calibri Light"/>
          <w:b/>
        </w:rPr>
        <w:t xml:space="preserve">This report summarises the performance of Australia’s aid program in Solomon Islands from July 2018 to June 2019 against the Solomon Islands Aid Investment Plan.  </w:t>
      </w:r>
    </w:p>
    <w:p w:rsidR="00051C64" w:rsidRPr="00802AD4" w:rsidRDefault="00693CCF" w:rsidP="00051C64">
      <w:pPr>
        <w:spacing w:after="120" w:line="240" w:lineRule="auto"/>
        <w:rPr>
          <w:rFonts w:ascii="Calibri Light" w:hAnsi="Calibri Light" w:cs="Calibri Light"/>
        </w:rPr>
      </w:pPr>
      <w:r w:rsidRPr="00CA2357">
        <w:rPr>
          <w:rFonts w:ascii="Calibri Light" w:hAnsi="Calibri Light" w:cs="Calibri Light"/>
          <w:b/>
        </w:rPr>
        <w:t>Australia and Solomon Islands enjoy a close friendship and a shared history that was further strengthened by our partnership in the 14-year Regional Assistance Mission to Solomon Islands (RAMSI).</w:t>
      </w:r>
      <w:r w:rsidR="00B3666E">
        <w:rPr>
          <w:rFonts w:ascii="Roboto" w:hAnsi="Roboto" w:cs="Helvetica"/>
          <w:color w:val="333333"/>
          <w:sz w:val="25"/>
          <w:szCs w:val="25"/>
          <w:lang w:val="en"/>
        </w:rPr>
        <w:t xml:space="preserve">  </w:t>
      </w:r>
      <w:r w:rsidR="0004600C" w:rsidRPr="00802AD4">
        <w:rPr>
          <w:rFonts w:ascii="Calibri Light" w:hAnsi="Calibri Light" w:cs="Calibri Light"/>
        </w:rPr>
        <w:t xml:space="preserve">Reflecting the significance of the relationship, our development assistance to Solomon Islands is Australia’s third largest </w:t>
      </w:r>
      <w:r w:rsidR="00585CA5">
        <w:rPr>
          <w:rFonts w:ascii="Calibri Light" w:hAnsi="Calibri Light" w:cs="Calibri Light"/>
        </w:rPr>
        <w:t xml:space="preserve">bilateral </w:t>
      </w:r>
      <w:r w:rsidR="005D663E">
        <w:rPr>
          <w:rFonts w:ascii="Calibri Light" w:hAnsi="Calibri Light" w:cs="Calibri Light"/>
        </w:rPr>
        <w:t xml:space="preserve">aid program.  Guided by </w:t>
      </w:r>
      <w:r w:rsidR="00C14F5F">
        <w:rPr>
          <w:rFonts w:ascii="Calibri Light" w:hAnsi="Calibri Light" w:cs="Calibri Light"/>
        </w:rPr>
        <w:t xml:space="preserve">the </w:t>
      </w:r>
      <w:r w:rsidR="005D663E" w:rsidRPr="00143708">
        <w:rPr>
          <w:rFonts w:ascii="Calibri Light" w:hAnsi="Calibri Light" w:cs="Calibri Light"/>
          <w:i/>
        </w:rPr>
        <w:t>Solomon Islands</w:t>
      </w:r>
      <w:r w:rsidR="00143708">
        <w:rPr>
          <w:rFonts w:ascii="Calibri Light" w:hAnsi="Calibri Light" w:cs="Calibri Light"/>
        </w:rPr>
        <w:t xml:space="preserve"> </w:t>
      </w:r>
      <w:r w:rsidR="00143708" w:rsidRPr="00FC5C9B">
        <w:rPr>
          <w:rFonts w:ascii="Calibri Light" w:hAnsi="Calibri Light" w:cs="Calibri Light"/>
          <w:i/>
        </w:rPr>
        <w:t>Government</w:t>
      </w:r>
      <w:r w:rsidR="00143708">
        <w:rPr>
          <w:rFonts w:ascii="Calibri Light" w:hAnsi="Calibri Light" w:cs="Calibri Light"/>
        </w:rPr>
        <w:t xml:space="preserve"> </w:t>
      </w:r>
      <w:r w:rsidR="005D663E" w:rsidRPr="00143708">
        <w:rPr>
          <w:rFonts w:ascii="Calibri Light" w:hAnsi="Calibri Light" w:cs="Calibri Light"/>
          <w:i/>
        </w:rPr>
        <w:t xml:space="preserve">National Development Strategy </w:t>
      </w:r>
      <w:r w:rsidR="00FC6BE9">
        <w:rPr>
          <w:rFonts w:ascii="Calibri Light" w:hAnsi="Calibri Light" w:cs="Calibri Light"/>
          <w:i/>
        </w:rPr>
        <w:t>(</w:t>
      </w:r>
      <w:r w:rsidR="005D663E" w:rsidRPr="00143708">
        <w:rPr>
          <w:rFonts w:ascii="Calibri Light" w:hAnsi="Calibri Light" w:cs="Calibri Light"/>
          <w:i/>
        </w:rPr>
        <w:t>2016-2035</w:t>
      </w:r>
      <w:r w:rsidR="00FC6BE9">
        <w:rPr>
          <w:rFonts w:ascii="Calibri Light" w:hAnsi="Calibri Light" w:cs="Calibri Light"/>
          <w:i/>
        </w:rPr>
        <w:t>)</w:t>
      </w:r>
      <w:r w:rsidR="005D663E">
        <w:rPr>
          <w:rFonts w:ascii="Calibri Light" w:hAnsi="Calibri Light" w:cs="Calibri Light"/>
        </w:rPr>
        <w:t>,</w:t>
      </w:r>
      <w:r w:rsidR="0004600C">
        <w:rPr>
          <w:rFonts w:ascii="Calibri Light" w:hAnsi="Calibri Light" w:cs="Calibri Light"/>
        </w:rPr>
        <w:t xml:space="preserve"> </w:t>
      </w:r>
      <w:r w:rsidR="00051C64" w:rsidRPr="00802AD4">
        <w:rPr>
          <w:rFonts w:ascii="Calibri Light" w:hAnsi="Calibri Light" w:cs="Calibri Light"/>
        </w:rPr>
        <w:t>Australia</w:t>
      </w:r>
      <w:r w:rsidR="0004600C">
        <w:rPr>
          <w:rFonts w:ascii="Calibri Light" w:hAnsi="Calibri Light" w:cs="Calibri Light"/>
        </w:rPr>
        <w:t xml:space="preserve"> </w:t>
      </w:r>
      <w:r w:rsidR="00051C64" w:rsidRPr="00802AD4">
        <w:rPr>
          <w:rFonts w:ascii="Calibri Light" w:hAnsi="Calibri Light" w:cs="Calibri Light"/>
        </w:rPr>
        <w:t xml:space="preserve">is supporting Solomon Islands to cement the conditions for ongoing stability, </w:t>
      </w:r>
      <w:r w:rsidR="005D663E" w:rsidRPr="00802AD4">
        <w:rPr>
          <w:rFonts w:ascii="Calibri Light" w:hAnsi="Calibri Light" w:cs="Calibri Light"/>
        </w:rPr>
        <w:t>enable economic growth</w:t>
      </w:r>
      <w:r w:rsidR="005D663E">
        <w:rPr>
          <w:rFonts w:ascii="Calibri Light" w:hAnsi="Calibri Light" w:cs="Calibri Light"/>
        </w:rPr>
        <w:t xml:space="preserve">, </w:t>
      </w:r>
      <w:r w:rsidR="005D663E" w:rsidRPr="00802AD4">
        <w:rPr>
          <w:rFonts w:ascii="Calibri Light" w:hAnsi="Calibri Light" w:cs="Calibri Light"/>
        </w:rPr>
        <w:t>improve literacy and numeracy,</w:t>
      </w:r>
      <w:r w:rsidR="005D663E">
        <w:rPr>
          <w:rFonts w:ascii="Calibri Light" w:hAnsi="Calibri Light" w:cs="Calibri Light"/>
        </w:rPr>
        <w:t xml:space="preserve"> and</w:t>
      </w:r>
      <w:r w:rsidR="005D663E" w:rsidRPr="00802AD4">
        <w:rPr>
          <w:rFonts w:ascii="Calibri Light" w:hAnsi="Calibri Light" w:cs="Calibri Light"/>
        </w:rPr>
        <w:t xml:space="preserve"> deliver primary health services.  </w:t>
      </w:r>
      <w:r w:rsidR="005F3256">
        <w:rPr>
          <w:rFonts w:ascii="Calibri Light" w:hAnsi="Calibri Light" w:cs="Calibri Light"/>
        </w:rPr>
        <w:t>Our support extends</w:t>
      </w:r>
      <w:r w:rsidR="005F3256" w:rsidRPr="00802AD4">
        <w:rPr>
          <w:rFonts w:ascii="Calibri Light" w:hAnsi="Calibri Light" w:cs="Calibri Light"/>
        </w:rPr>
        <w:t xml:space="preserve"> </w:t>
      </w:r>
      <w:r w:rsidR="00051C64" w:rsidRPr="00802AD4">
        <w:rPr>
          <w:rFonts w:ascii="Calibri Light" w:hAnsi="Calibri Light" w:cs="Calibri Light"/>
        </w:rPr>
        <w:t xml:space="preserve">across law and justice, governance, policing, health, education, infrastructure and economic growth.  </w:t>
      </w:r>
      <w:bookmarkEnd w:id="0"/>
    </w:p>
    <w:p w:rsidR="00051C64" w:rsidRDefault="00051C64" w:rsidP="00051C64">
      <w:pPr>
        <w:spacing w:after="120" w:line="240" w:lineRule="auto"/>
        <w:rPr>
          <w:rFonts w:ascii="Calibri Light" w:hAnsi="Calibri Light" w:cs="Calibri Light"/>
        </w:rPr>
      </w:pPr>
      <w:r w:rsidRPr="00802AD4">
        <w:rPr>
          <w:rFonts w:ascii="Calibri Light" w:hAnsi="Calibri Light" w:cs="Calibri Light"/>
          <w:b/>
        </w:rPr>
        <w:t>Australia’s development cooperation with Solomon Islands</w:t>
      </w:r>
      <w:r w:rsidR="00E02B6F">
        <w:rPr>
          <w:rFonts w:ascii="Calibri Light" w:hAnsi="Calibri Light" w:cs="Calibri Light"/>
          <w:b/>
        </w:rPr>
        <w:t xml:space="preserve"> moved into</w:t>
      </w:r>
      <w:r w:rsidR="0063312A">
        <w:rPr>
          <w:rFonts w:ascii="Calibri Light" w:hAnsi="Calibri Light" w:cs="Calibri Light"/>
          <w:b/>
        </w:rPr>
        <w:t xml:space="preserve"> a new phase</w:t>
      </w:r>
      <w:r w:rsidR="008A11D7">
        <w:rPr>
          <w:rFonts w:ascii="Calibri Light" w:hAnsi="Calibri Light" w:cs="Calibri Light"/>
          <w:b/>
        </w:rPr>
        <w:t xml:space="preserve"> </w:t>
      </w:r>
      <w:r w:rsidR="00E6672F">
        <w:rPr>
          <w:rFonts w:ascii="Calibri Light" w:hAnsi="Calibri Light" w:cs="Calibri Light"/>
          <w:b/>
        </w:rPr>
        <w:t>as</w:t>
      </w:r>
      <w:r w:rsidR="00E02B6F">
        <w:rPr>
          <w:rFonts w:ascii="Calibri Light" w:hAnsi="Calibri Light" w:cs="Calibri Light"/>
          <w:b/>
        </w:rPr>
        <w:t xml:space="preserve"> Australia step</w:t>
      </w:r>
      <w:r w:rsidR="005F7DC6">
        <w:rPr>
          <w:rFonts w:ascii="Calibri Light" w:hAnsi="Calibri Light" w:cs="Calibri Light"/>
          <w:b/>
        </w:rPr>
        <w:t>ped</w:t>
      </w:r>
      <w:r w:rsidR="003D0462">
        <w:rPr>
          <w:rFonts w:ascii="Calibri Light" w:hAnsi="Calibri Light" w:cs="Calibri Light"/>
          <w:b/>
        </w:rPr>
        <w:t>-</w:t>
      </w:r>
      <w:r w:rsidR="00E02B6F">
        <w:rPr>
          <w:rFonts w:ascii="Calibri Light" w:hAnsi="Calibri Light" w:cs="Calibri Light"/>
          <w:b/>
        </w:rPr>
        <w:t xml:space="preserve">up </w:t>
      </w:r>
      <w:r w:rsidR="00E6672F">
        <w:rPr>
          <w:rFonts w:ascii="Calibri Light" w:hAnsi="Calibri Light" w:cs="Calibri Light"/>
          <w:b/>
        </w:rPr>
        <w:t xml:space="preserve">its </w:t>
      </w:r>
      <w:r w:rsidR="00E02B6F">
        <w:rPr>
          <w:rFonts w:ascii="Calibri Light" w:hAnsi="Calibri Light" w:cs="Calibri Light"/>
          <w:b/>
        </w:rPr>
        <w:t>engagement in</w:t>
      </w:r>
      <w:r w:rsidR="0063312A">
        <w:rPr>
          <w:rFonts w:ascii="Calibri Light" w:hAnsi="Calibri Light" w:cs="Calibri Light"/>
          <w:b/>
        </w:rPr>
        <w:t xml:space="preserve"> the Pacific.  </w:t>
      </w:r>
      <w:r w:rsidRPr="00802AD4">
        <w:rPr>
          <w:rFonts w:ascii="Calibri Light" w:hAnsi="Calibri Light" w:cs="Calibri Light"/>
        </w:rPr>
        <w:t xml:space="preserve">As </w:t>
      </w:r>
      <w:r w:rsidR="0004600C">
        <w:rPr>
          <w:rFonts w:ascii="Calibri Light" w:hAnsi="Calibri Light" w:cs="Calibri Light"/>
        </w:rPr>
        <w:t xml:space="preserve">part of </w:t>
      </w:r>
      <w:r w:rsidR="003D0462">
        <w:rPr>
          <w:rFonts w:ascii="Calibri Light" w:hAnsi="Calibri Light" w:cs="Calibri Light"/>
        </w:rPr>
        <w:t xml:space="preserve">our </w:t>
      </w:r>
      <w:r w:rsidR="008A11D7">
        <w:rPr>
          <w:rFonts w:ascii="Calibri Light" w:hAnsi="Calibri Light" w:cs="Calibri Light"/>
        </w:rPr>
        <w:t xml:space="preserve">Pacific </w:t>
      </w:r>
      <w:r w:rsidR="00FC6BE9">
        <w:rPr>
          <w:rFonts w:ascii="Calibri Light" w:hAnsi="Calibri Light" w:cs="Calibri Light"/>
        </w:rPr>
        <w:t>S</w:t>
      </w:r>
      <w:r w:rsidR="00E02B6F">
        <w:rPr>
          <w:rFonts w:ascii="Calibri Light" w:hAnsi="Calibri Light" w:cs="Calibri Light"/>
        </w:rPr>
        <w:t>tep</w:t>
      </w:r>
      <w:r w:rsidR="00143708">
        <w:rPr>
          <w:rFonts w:ascii="Calibri Light" w:hAnsi="Calibri Light" w:cs="Calibri Light"/>
        </w:rPr>
        <w:t>-u</w:t>
      </w:r>
      <w:r w:rsidR="00E02B6F">
        <w:rPr>
          <w:rFonts w:ascii="Calibri Light" w:hAnsi="Calibri Light" w:cs="Calibri Light"/>
        </w:rPr>
        <w:t>p,</w:t>
      </w:r>
      <w:r w:rsidR="00E6672F">
        <w:rPr>
          <w:rFonts w:ascii="Calibri Light" w:hAnsi="Calibri Light" w:cs="Calibri Light"/>
        </w:rPr>
        <w:t xml:space="preserve"> Australia</w:t>
      </w:r>
      <w:r w:rsidR="008A11D7">
        <w:rPr>
          <w:rFonts w:ascii="Calibri Light" w:hAnsi="Calibri Light" w:cs="Calibri Light"/>
        </w:rPr>
        <w:t xml:space="preserve"> announced a further s</w:t>
      </w:r>
      <w:r w:rsidR="00E6672F">
        <w:rPr>
          <w:rFonts w:ascii="Calibri Light" w:hAnsi="Calibri Light" w:cs="Calibri Light"/>
        </w:rPr>
        <w:t>cale</w:t>
      </w:r>
      <w:r w:rsidR="003D0462">
        <w:rPr>
          <w:rFonts w:ascii="Calibri Light" w:hAnsi="Calibri Light" w:cs="Calibri Light"/>
        </w:rPr>
        <w:t>-</w:t>
      </w:r>
      <w:r w:rsidR="00E6672F">
        <w:rPr>
          <w:rFonts w:ascii="Calibri Light" w:hAnsi="Calibri Light" w:cs="Calibri Light"/>
        </w:rPr>
        <w:t xml:space="preserve">up </w:t>
      </w:r>
      <w:r w:rsidR="008A11D7">
        <w:rPr>
          <w:rFonts w:ascii="Calibri Light" w:hAnsi="Calibri Light" w:cs="Calibri Light"/>
        </w:rPr>
        <w:t xml:space="preserve">of </w:t>
      </w:r>
      <w:r w:rsidR="00E6672F">
        <w:rPr>
          <w:rFonts w:ascii="Calibri Light" w:hAnsi="Calibri Light" w:cs="Calibri Light"/>
        </w:rPr>
        <w:t>support for infrastructure in Solomon Islands</w:t>
      </w:r>
      <w:r w:rsidR="005D663E">
        <w:rPr>
          <w:rFonts w:ascii="Calibri Light" w:hAnsi="Calibri Light" w:cs="Calibri Light"/>
        </w:rPr>
        <w:t xml:space="preserve"> </w:t>
      </w:r>
      <w:r w:rsidR="00C14F5F">
        <w:rPr>
          <w:rFonts w:ascii="Calibri Light" w:hAnsi="Calibri Light" w:cs="Calibri Light"/>
        </w:rPr>
        <w:t xml:space="preserve">and expanded cooperation on regional security. We </w:t>
      </w:r>
      <w:r w:rsidR="005D663E">
        <w:rPr>
          <w:rFonts w:ascii="Calibri Light" w:hAnsi="Calibri Light" w:cs="Calibri Light"/>
        </w:rPr>
        <w:t xml:space="preserve">launched </w:t>
      </w:r>
      <w:r w:rsidR="00E02B6F">
        <w:rPr>
          <w:rFonts w:ascii="Calibri Light" w:hAnsi="Calibri Light" w:cs="Calibri Light"/>
        </w:rPr>
        <w:t>n</w:t>
      </w:r>
      <w:r w:rsidRPr="00802AD4">
        <w:rPr>
          <w:rFonts w:ascii="Calibri Light" w:hAnsi="Calibri Light" w:cs="Calibri Light"/>
        </w:rPr>
        <w:t>ew partnerships on sports and churches</w:t>
      </w:r>
      <w:r w:rsidR="00E6672F">
        <w:rPr>
          <w:rFonts w:ascii="Calibri Light" w:hAnsi="Calibri Light" w:cs="Calibri Light"/>
        </w:rPr>
        <w:t>, deepening our interpersonal connections</w:t>
      </w:r>
      <w:r w:rsidR="005D663E">
        <w:rPr>
          <w:rFonts w:ascii="Calibri Light" w:hAnsi="Calibri Light" w:cs="Calibri Light"/>
        </w:rPr>
        <w:t xml:space="preserve">.  </w:t>
      </w:r>
      <w:r w:rsidRPr="00802AD4">
        <w:rPr>
          <w:rFonts w:ascii="Calibri Light" w:hAnsi="Calibri Light" w:cs="Calibri Light"/>
        </w:rPr>
        <w:t>Australia support</w:t>
      </w:r>
      <w:r w:rsidR="005F3256">
        <w:rPr>
          <w:rFonts w:ascii="Calibri Light" w:hAnsi="Calibri Light" w:cs="Calibri Light"/>
        </w:rPr>
        <w:t>ed</w:t>
      </w:r>
      <w:r w:rsidRPr="00802AD4">
        <w:rPr>
          <w:rFonts w:ascii="Calibri Light" w:hAnsi="Calibri Light" w:cs="Calibri Light"/>
        </w:rPr>
        <w:t xml:space="preserve"> Solomon Islands’ response to the grounding of</w:t>
      </w:r>
      <w:r w:rsidR="00C14F5F">
        <w:rPr>
          <w:rFonts w:ascii="Calibri Light" w:hAnsi="Calibri Light" w:cs="Calibri Light"/>
        </w:rPr>
        <w:t>,</w:t>
      </w:r>
      <w:r w:rsidRPr="00802AD4">
        <w:rPr>
          <w:rFonts w:ascii="Calibri Light" w:hAnsi="Calibri Light" w:cs="Calibri Light"/>
        </w:rPr>
        <w:t xml:space="preserve"> and oil leak from</w:t>
      </w:r>
      <w:r w:rsidR="00C14F5F">
        <w:rPr>
          <w:rFonts w:ascii="Calibri Light" w:hAnsi="Calibri Light" w:cs="Calibri Light"/>
        </w:rPr>
        <w:t>,</w:t>
      </w:r>
      <w:r w:rsidRPr="00802AD4">
        <w:rPr>
          <w:rFonts w:ascii="Calibri Light" w:hAnsi="Calibri Light" w:cs="Calibri Light"/>
        </w:rPr>
        <w:t xml:space="preserve"> a large bauxite carrier in February 2019, which threatened a nearby UNESCO World Heritage Site </w:t>
      </w:r>
      <w:r w:rsidR="003D0462">
        <w:rPr>
          <w:rFonts w:ascii="Calibri Light" w:hAnsi="Calibri Light" w:cs="Calibri Light"/>
        </w:rPr>
        <w:t>o</w:t>
      </w:r>
      <w:r w:rsidRPr="00802AD4">
        <w:rPr>
          <w:rFonts w:ascii="Calibri Light" w:hAnsi="Calibri Light" w:cs="Calibri Light"/>
        </w:rPr>
        <w:t xml:space="preserve">n remote Rennell Island. </w:t>
      </w:r>
    </w:p>
    <w:p w:rsidR="005A2A1F" w:rsidRPr="00802AD4" w:rsidRDefault="005A2A1F" w:rsidP="005A2A1F">
      <w:pPr>
        <w:pStyle w:val="NormalWeb"/>
        <w:spacing w:before="120" w:beforeAutospacing="0" w:after="120" w:afterAutospacing="0"/>
        <w:rPr>
          <w:rFonts w:asciiTheme="minorHAnsi" w:eastAsiaTheme="minorHAnsi" w:hAnsiTheme="minorHAnsi" w:cstheme="minorHAnsi"/>
          <w:color w:val="495965" w:themeColor="text2"/>
          <w:sz w:val="22"/>
          <w:szCs w:val="22"/>
          <w:lang w:eastAsia="en-US"/>
        </w:rPr>
      </w:pPr>
      <w:r w:rsidRPr="00802AD4">
        <w:rPr>
          <w:rFonts w:asciiTheme="minorHAnsi" w:eastAsiaTheme="minorHAnsi" w:hAnsiTheme="minorHAnsi" w:cstheme="minorHAnsi"/>
          <w:b/>
          <w:color w:val="495965" w:themeColor="text2"/>
          <w:sz w:val="22"/>
          <w:szCs w:val="22"/>
          <w:lang w:eastAsia="en-US"/>
        </w:rPr>
        <w:t>A strong partnership with the Solomon Islands Government is key to the success of the program</w:t>
      </w:r>
      <w:r w:rsidRPr="00802AD4">
        <w:rPr>
          <w:rFonts w:asciiTheme="minorHAnsi" w:hAnsiTheme="minorHAnsi" w:cstheme="minorHAnsi"/>
          <w:b/>
          <w:color w:val="495965" w:themeColor="text2"/>
          <w:sz w:val="22"/>
          <w:szCs w:val="22"/>
        </w:rPr>
        <w:t>.</w:t>
      </w:r>
      <w:r w:rsidRPr="00802AD4">
        <w:rPr>
          <w:rFonts w:asciiTheme="minorHAnsi" w:hAnsiTheme="minorHAnsi" w:cstheme="minorHAnsi"/>
          <w:color w:val="495965" w:themeColor="text2"/>
          <w:sz w:val="22"/>
          <w:szCs w:val="22"/>
        </w:rPr>
        <w:t xml:space="preserve">  </w:t>
      </w:r>
      <w:r>
        <w:rPr>
          <w:rFonts w:asciiTheme="minorHAnsi" w:hAnsiTheme="minorHAnsi" w:cstheme="minorHAnsi"/>
          <w:color w:val="495965" w:themeColor="text2"/>
          <w:sz w:val="22"/>
          <w:szCs w:val="22"/>
        </w:rPr>
        <w:t>Over o</w:t>
      </w:r>
      <w:r w:rsidRPr="00802AD4">
        <w:rPr>
          <w:rFonts w:asciiTheme="minorHAnsi" w:eastAsiaTheme="minorHAnsi" w:hAnsiTheme="minorHAnsi" w:cstheme="minorHAnsi"/>
          <w:color w:val="495965" w:themeColor="text2"/>
          <w:sz w:val="22"/>
          <w:szCs w:val="22"/>
          <w:lang w:val="en-GB" w:eastAsia="en-US"/>
        </w:rPr>
        <w:t>ne quarter of Australia’s bilateral development cooperation was delivered through partner government systems.  This approach allowed us to engage in effective policy dialogue with Solomon Islands Government, and to maximise our reach at the local level.</w:t>
      </w:r>
      <w:r w:rsidRPr="00802AD4">
        <w:rPr>
          <w:rFonts w:asciiTheme="minorHAnsi" w:eastAsiaTheme="minorHAnsi" w:hAnsiTheme="minorHAnsi" w:cstheme="minorHAnsi"/>
          <w:color w:val="495965" w:themeColor="text2"/>
          <w:sz w:val="22"/>
          <w:szCs w:val="22"/>
          <w:lang w:eastAsia="en-US"/>
        </w:rPr>
        <w:t xml:space="preserve"> </w:t>
      </w:r>
    </w:p>
    <w:p w:rsidR="00051C64" w:rsidRDefault="00051C64" w:rsidP="00051C64">
      <w:pPr>
        <w:spacing w:after="120" w:line="240" w:lineRule="auto"/>
        <w:rPr>
          <w:rFonts w:ascii="Calibri Light" w:hAnsi="Calibri Light" w:cs="Calibri Light"/>
        </w:rPr>
      </w:pPr>
      <w:r w:rsidRPr="00802AD4">
        <w:rPr>
          <w:rFonts w:ascii="Calibri Light" w:hAnsi="Calibri Light" w:cs="Calibri Light"/>
          <w:b/>
        </w:rPr>
        <w:t>Solomon Islands achieved a milestone in 2019 with the</w:t>
      </w:r>
      <w:r w:rsidR="00F93848">
        <w:rPr>
          <w:rFonts w:ascii="Calibri Light" w:hAnsi="Calibri Light" w:cs="Calibri Light"/>
          <w:b/>
        </w:rPr>
        <w:t xml:space="preserve"> successful</w:t>
      </w:r>
      <w:r w:rsidRPr="00802AD4">
        <w:rPr>
          <w:rFonts w:ascii="Calibri Light" w:hAnsi="Calibri Light" w:cs="Calibri Light"/>
          <w:b/>
        </w:rPr>
        <w:t xml:space="preserve"> delivery of its first democratic election since the end of </w:t>
      </w:r>
      <w:r w:rsidR="00F93848">
        <w:rPr>
          <w:rFonts w:ascii="Calibri Light" w:hAnsi="Calibri Light" w:cs="Calibri Light"/>
          <w:b/>
        </w:rPr>
        <w:t>RAMSI</w:t>
      </w:r>
      <w:r w:rsidR="00C14F5F">
        <w:rPr>
          <w:rFonts w:ascii="Calibri Light" w:hAnsi="Calibri Light" w:cs="Calibri Light"/>
          <w:b/>
        </w:rPr>
        <w:t xml:space="preserve"> in 2017</w:t>
      </w:r>
      <w:r w:rsidR="004D451C">
        <w:rPr>
          <w:rFonts w:ascii="Calibri Light" w:hAnsi="Calibri Light" w:cs="Calibri Light"/>
          <w:b/>
        </w:rPr>
        <w:t>, a key test of Solomon Islands stability</w:t>
      </w:r>
      <w:r w:rsidRPr="00802AD4">
        <w:rPr>
          <w:rFonts w:ascii="Calibri Light" w:hAnsi="Calibri Light" w:cs="Calibri Light"/>
          <w:b/>
        </w:rPr>
        <w:t xml:space="preserve">.  </w:t>
      </w:r>
      <w:r w:rsidRPr="00802AD4">
        <w:rPr>
          <w:rFonts w:ascii="Calibri Light" w:hAnsi="Calibri Light" w:cs="Calibri Light"/>
        </w:rPr>
        <w:t>In response to a request from Solomon Islands,</w:t>
      </w:r>
      <w:r w:rsidRPr="00802AD4">
        <w:rPr>
          <w:rFonts w:ascii="Calibri Light" w:hAnsi="Calibri Light" w:cs="Calibri Light"/>
          <w:b/>
        </w:rPr>
        <w:t xml:space="preserve"> </w:t>
      </w:r>
      <w:r w:rsidRPr="00802AD4">
        <w:rPr>
          <w:rFonts w:ascii="Calibri Light" w:hAnsi="Calibri Light" w:cs="Calibri Light"/>
        </w:rPr>
        <w:t>Australia provided assistance to support the delivery of the</w:t>
      </w:r>
      <w:r w:rsidRPr="00802AD4">
        <w:rPr>
          <w:rFonts w:ascii="Calibri Light" w:hAnsi="Calibri Light" w:cs="Calibri Light"/>
          <w:bCs/>
        </w:rPr>
        <w:t xml:space="preserve"> National General Elections</w:t>
      </w:r>
      <w:r w:rsidR="004D451C">
        <w:rPr>
          <w:rFonts w:ascii="Calibri Light" w:hAnsi="Calibri Light" w:cs="Calibri Light"/>
        </w:rPr>
        <w:t xml:space="preserve">, including </w:t>
      </w:r>
      <w:r w:rsidR="003D0462">
        <w:rPr>
          <w:rFonts w:ascii="Calibri Light" w:hAnsi="Calibri Light" w:cs="Calibri Light"/>
        </w:rPr>
        <w:t xml:space="preserve">through </w:t>
      </w:r>
      <w:r w:rsidR="007B05C1">
        <w:rPr>
          <w:rFonts w:ascii="Calibri Light" w:hAnsi="Calibri Light" w:cs="Calibri Light"/>
        </w:rPr>
        <w:t xml:space="preserve">the deployment of Australian Electoral Commission advisors, </w:t>
      </w:r>
      <w:r w:rsidR="003D0462">
        <w:rPr>
          <w:rFonts w:ascii="Calibri Light" w:hAnsi="Calibri Light" w:cs="Calibri Light"/>
        </w:rPr>
        <w:t xml:space="preserve">and </w:t>
      </w:r>
      <w:r w:rsidR="007B05C1">
        <w:rPr>
          <w:rFonts w:ascii="Calibri Light" w:hAnsi="Calibri Light" w:cs="Calibri Light"/>
        </w:rPr>
        <w:t xml:space="preserve">Australian Defence Force and </w:t>
      </w:r>
      <w:r w:rsidR="007C06E3">
        <w:rPr>
          <w:rFonts w:ascii="Calibri Light" w:hAnsi="Calibri Light" w:cs="Calibri Light"/>
        </w:rPr>
        <w:t>Australian Federal Police (</w:t>
      </w:r>
      <w:r w:rsidR="007B05C1">
        <w:rPr>
          <w:rFonts w:ascii="Calibri Light" w:hAnsi="Calibri Light" w:cs="Calibri Light"/>
        </w:rPr>
        <w:t>AFP</w:t>
      </w:r>
      <w:r w:rsidR="007C06E3">
        <w:rPr>
          <w:rFonts w:ascii="Calibri Light" w:hAnsi="Calibri Light" w:cs="Calibri Light"/>
        </w:rPr>
        <w:t>)</w:t>
      </w:r>
      <w:r w:rsidR="007B05C1">
        <w:rPr>
          <w:rFonts w:ascii="Calibri Light" w:hAnsi="Calibri Light" w:cs="Calibri Light"/>
        </w:rPr>
        <w:t xml:space="preserve"> personnel</w:t>
      </w:r>
      <w:r w:rsidRPr="00802AD4">
        <w:rPr>
          <w:rFonts w:ascii="Calibri Light" w:hAnsi="Calibri Light" w:cs="Calibri Light"/>
        </w:rPr>
        <w:t xml:space="preserve">.  Australia’s </w:t>
      </w:r>
      <w:r w:rsidR="00F93848">
        <w:rPr>
          <w:rFonts w:ascii="Calibri Light" w:hAnsi="Calibri Light" w:cs="Calibri Light"/>
        </w:rPr>
        <w:t>assistance supported</w:t>
      </w:r>
      <w:r w:rsidRPr="00802AD4">
        <w:rPr>
          <w:rFonts w:ascii="Calibri Light" w:hAnsi="Calibri Light" w:cs="Calibri Light"/>
        </w:rPr>
        <w:t xml:space="preserve"> a</w:t>
      </w:r>
      <w:r w:rsidR="00F93848">
        <w:rPr>
          <w:rFonts w:ascii="Calibri Light" w:hAnsi="Calibri Light" w:cs="Calibri Light"/>
        </w:rPr>
        <w:t xml:space="preserve"> s</w:t>
      </w:r>
      <w:r w:rsidRPr="00802AD4">
        <w:rPr>
          <w:rFonts w:ascii="Calibri Light" w:hAnsi="Calibri Light" w:cs="Calibri Light"/>
        </w:rPr>
        <w:t xml:space="preserve">mooth and peaceful voting and counting process.  </w:t>
      </w:r>
      <w:r w:rsidR="00C14F5F">
        <w:rPr>
          <w:rFonts w:ascii="Calibri Light" w:hAnsi="Calibri Light" w:cs="Calibri Light"/>
        </w:rPr>
        <w:t xml:space="preserve">While </w:t>
      </w:r>
      <w:r w:rsidR="007B05C1">
        <w:rPr>
          <w:rFonts w:ascii="Calibri Light" w:hAnsi="Calibri Light" w:cs="Calibri Light"/>
        </w:rPr>
        <w:t>t</w:t>
      </w:r>
      <w:r w:rsidRPr="00802AD4">
        <w:rPr>
          <w:rFonts w:ascii="Calibri Light" w:hAnsi="Calibri Light" w:cs="Calibri Light"/>
        </w:rPr>
        <w:t>wo women were elected to Parliament</w:t>
      </w:r>
      <w:r w:rsidR="005F7DC6">
        <w:rPr>
          <w:rFonts w:ascii="Calibri Light" w:hAnsi="Calibri Light" w:cs="Calibri Light"/>
        </w:rPr>
        <w:t xml:space="preserve"> (</w:t>
      </w:r>
      <w:r w:rsidR="003D0462">
        <w:rPr>
          <w:rFonts w:ascii="Calibri Light" w:hAnsi="Calibri Light" w:cs="Calibri Light"/>
        </w:rPr>
        <w:t xml:space="preserve">out </w:t>
      </w:r>
      <w:r w:rsidR="005F7DC6">
        <w:rPr>
          <w:rFonts w:ascii="Calibri Light" w:hAnsi="Calibri Light" w:cs="Calibri Light"/>
        </w:rPr>
        <w:t>of 5</w:t>
      </w:r>
      <w:r w:rsidR="00CA2357">
        <w:rPr>
          <w:rFonts w:ascii="Calibri Light" w:hAnsi="Calibri Light" w:cs="Calibri Light"/>
        </w:rPr>
        <w:t>0</w:t>
      </w:r>
      <w:r w:rsidR="005F7DC6">
        <w:rPr>
          <w:rFonts w:ascii="Calibri Light" w:hAnsi="Calibri Light" w:cs="Calibri Light"/>
        </w:rPr>
        <w:t xml:space="preserve"> members)</w:t>
      </w:r>
      <w:r w:rsidR="003D0462">
        <w:rPr>
          <w:rFonts w:ascii="Calibri Light" w:hAnsi="Calibri Light" w:cs="Calibri Light"/>
        </w:rPr>
        <w:t xml:space="preserve"> –</w:t>
      </w:r>
      <w:r w:rsidR="007B05C1">
        <w:rPr>
          <w:rFonts w:ascii="Calibri Light" w:hAnsi="Calibri Light" w:cs="Calibri Light"/>
        </w:rPr>
        <w:t xml:space="preserve"> </w:t>
      </w:r>
      <w:r w:rsidR="00C14F5F" w:rsidRPr="00802AD4">
        <w:rPr>
          <w:rFonts w:ascii="Calibri Light" w:hAnsi="Calibri Light" w:cs="Calibri Light"/>
        </w:rPr>
        <w:t>the</w:t>
      </w:r>
      <w:r w:rsidR="003D0462">
        <w:rPr>
          <w:rFonts w:ascii="Calibri Light" w:hAnsi="Calibri Light" w:cs="Calibri Light"/>
        </w:rPr>
        <w:t xml:space="preserve"> </w:t>
      </w:r>
      <w:r w:rsidR="00C14F5F" w:rsidRPr="00802AD4">
        <w:rPr>
          <w:rFonts w:ascii="Calibri Light" w:hAnsi="Calibri Light" w:cs="Calibri Light"/>
        </w:rPr>
        <w:t>most women elected in a Solomon Isla</w:t>
      </w:r>
      <w:r w:rsidR="00C14F5F">
        <w:rPr>
          <w:rFonts w:ascii="Calibri Light" w:hAnsi="Calibri Light" w:cs="Calibri Light"/>
        </w:rPr>
        <w:t>nds election since Independence</w:t>
      </w:r>
      <w:r w:rsidR="003D0462">
        <w:rPr>
          <w:rFonts w:ascii="Calibri Light" w:hAnsi="Calibri Light" w:cs="Calibri Light"/>
        </w:rPr>
        <w:t xml:space="preserve"> –</w:t>
      </w:r>
      <w:r w:rsidR="00C14F5F">
        <w:rPr>
          <w:rFonts w:ascii="Calibri Light" w:hAnsi="Calibri Light" w:cs="Calibri Light"/>
        </w:rPr>
        <w:t xml:space="preserve"> </w:t>
      </w:r>
      <w:r w:rsidR="007B05C1">
        <w:rPr>
          <w:rFonts w:ascii="Calibri Light" w:hAnsi="Calibri Light" w:cs="Calibri Light"/>
        </w:rPr>
        <w:t>increasing</w:t>
      </w:r>
      <w:r w:rsidR="003D0462">
        <w:rPr>
          <w:rFonts w:ascii="Calibri Light" w:hAnsi="Calibri Light" w:cs="Calibri Light"/>
        </w:rPr>
        <w:t xml:space="preserve"> </w:t>
      </w:r>
      <w:r w:rsidR="007B05C1">
        <w:rPr>
          <w:rFonts w:ascii="Calibri Light" w:hAnsi="Calibri Light" w:cs="Calibri Light"/>
        </w:rPr>
        <w:t xml:space="preserve">women’s political participation continues to be a challenge. </w:t>
      </w:r>
    </w:p>
    <w:p w:rsidR="004D451C" w:rsidRPr="00CA2357" w:rsidRDefault="004D451C" w:rsidP="00051C64">
      <w:pPr>
        <w:spacing w:after="120" w:line="240" w:lineRule="auto"/>
        <w:rPr>
          <w:rFonts w:ascii="Calibri Light" w:hAnsi="Calibri Light" w:cs="Calibri Light"/>
          <w:b/>
        </w:rPr>
      </w:pPr>
      <w:r w:rsidRPr="00CA2357">
        <w:rPr>
          <w:rFonts w:ascii="Calibri Light" w:hAnsi="Calibri Light" w:cs="Calibri Light"/>
          <w:b/>
        </w:rPr>
        <w:t xml:space="preserve">Our support to police and justice agencies increased access to justice and improved system efficiency. </w:t>
      </w:r>
      <w:r>
        <w:rPr>
          <w:rFonts w:ascii="Calibri Light" w:hAnsi="Calibri Light" w:cs="Calibri Light"/>
          <w:b/>
        </w:rPr>
        <w:t xml:space="preserve">  </w:t>
      </w:r>
      <w:r w:rsidR="007B05C1">
        <w:rPr>
          <w:rFonts w:ascii="Calibri Light" w:hAnsi="Calibri Light" w:cs="Calibri Light"/>
        </w:rPr>
        <w:t>Led</w:t>
      </w:r>
      <w:r w:rsidR="00FC6BE9">
        <w:rPr>
          <w:rFonts w:ascii="Calibri Light" w:hAnsi="Calibri Light" w:cs="Calibri Light"/>
        </w:rPr>
        <w:t> </w:t>
      </w:r>
      <w:r w:rsidR="007B05C1">
        <w:rPr>
          <w:rFonts w:ascii="Calibri Light" w:hAnsi="Calibri Light" w:cs="Calibri Light"/>
        </w:rPr>
        <w:t xml:space="preserve">by an </w:t>
      </w:r>
      <w:r>
        <w:rPr>
          <w:rFonts w:ascii="Calibri Light" w:hAnsi="Calibri Light" w:cs="Calibri Light"/>
        </w:rPr>
        <w:t xml:space="preserve">effective Chief </w:t>
      </w:r>
      <w:r w:rsidR="00097FC1">
        <w:rPr>
          <w:rFonts w:ascii="Calibri Light" w:hAnsi="Calibri Light" w:cs="Calibri Light"/>
        </w:rPr>
        <w:t>Magistrate</w:t>
      </w:r>
      <w:r>
        <w:rPr>
          <w:rFonts w:ascii="Calibri Light" w:hAnsi="Calibri Light" w:cs="Calibri Light"/>
        </w:rPr>
        <w:t>, a</w:t>
      </w:r>
      <w:r w:rsidRPr="00CA2357">
        <w:rPr>
          <w:rFonts w:ascii="Calibri Light" w:hAnsi="Calibri Light" w:cs="Calibri Light"/>
        </w:rPr>
        <w:t>ccess to justice increased</w:t>
      </w:r>
      <w:r w:rsidR="007B05C1">
        <w:rPr>
          <w:rFonts w:ascii="Calibri Light" w:hAnsi="Calibri Light" w:cs="Calibri Light"/>
        </w:rPr>
        <w:t xml:space="preserve"> in the reporting period</w:t>
      </w:r>
      <w:r w:rsidRPr="00CA2357">
        <w:rPr>
          <w:rFonts w:ascii="Calibri Light" w:hAnsi="Calibri Light" w:cs="Calibri Light"/>
        </w:rPr>
        <w:t xml:space="preserve"> with the number of Provincial Court Circuits tripling to 60, </w:t>
      </w:r>
      <w:r w:rsidR="007B05C1">
        <w:rPr>
          <w:rFonts w:ascii="Calibri Light" w:hAnsi="Calibri Light" w:cs="Calibri Light"/>
        </w:rPr>
        <w:t>and the number of cases concluded at the Provincial level increasing seven</w:t>
      </w:r>
      <w:r w:rsidR="00FC6BE9">
        <w:rPr>
          <w:rFonts w:ascii="Calibri Light" w:hAnsi="Calibri Light" w:cs="Calibri Light"/>
        </w:rPr>
        <w:t>-</w:t>
      </w:r>
      <w:r w:rsidR="007B05C1">
        <w:rPr>
          <w:rFonts w:ascii="Calibri Light" w:hAnsi="Calibri Light" w:cs="Calibri Light"/>
        </w:rPr>
        <w:t>fold to 937</w:t>
      </w:r>
      <w:r w:rsidRPr="00CA2357">
        <w:rPr>
          <w:rFonts w:ascii="Calibri Light" w:hAnsi="Calibri Light" w:cs="Calibri Light"/>
        </w:rPr>
        <w:t>.</w:t>
      </w:r>
      <w:r>
        <w:rPr>
          <w:rFonts w:ascii="Calibri Light" w:hAnsi="Calibri Light" w:cs="Calibri Light"/>
          <w:b/>
        </w:rPr>
        <w:t xml:space="preserve">  </w:t>
      </w:r>
      <w:r w:rsidR="007B05C1">
        <w:rPr>
          <w:rFonts w:ascii="Calibri Light" w:hAnsi="Calibri Light" w:cs="Calibri Light"/>
          <w:b/>
        </w:rPr>
        <w:t xml:space="preserve"> </w:t>
      </w:r>
    </w:p>
    <w:p w:rsidR="00051C64" w:rsidRPr="00802AD4" w:rsidRDefault="00051C64" w:rsidP="00051C64">
      <w:pPr>
        <w:spacing w:after="120" w:line="240" w:lineRule="auto"/>
        <w:rPr>
          <w:rFonts w:cstheme="minorHAnsi"/>
        </w:rPr>
      </w:pPr>
      <w:r w:rsidRPr="00802AD4">
        <w:rPr>
          <w:rFonts w:ascii="Calibri Light" w:hAnsi="Calibri Light" w:cs="Calibri Light"/>
          <w:b/>
        </w:rPr>
        <w:t xml:space="preserve">Australia </w:t>
      </w:r>
      <w:r w:rsidR="00F90999">
        <w:rPr>
          <w:rFonts w:ascii="Calibri Light" w:hAnsi="Calibri Light" w:cs="Calibri Light"/>
          <w:b/>
        </w:rPr>
        <w:t>delivered on its support for</w:t>
      </w:r>
      <w:r w:rsidRPr="00802AD4">
        <w:rPr>
          <w:rFonts w:ascii="Calibri Light" w:hAnsi="Calibri Light" w:cs="Calibri Light"/>
          <w:b/>
        </w:rPr>
        <w:t xml:space="preserve"> Solomon Islands’ economic growth</w:t>
      </w:r>
      <w:r w:rsidR="00FC6BE9">
        <w:rPr>
          <w:rFonts w:ascii="Calibri Light" w:hAnsi="Calibri Light" w:cs="Calibri Light"/>
          <w:b/>
        </w:rPr>
        <w:t xml:space="preserve"> in the reporting period</w:t>
      </w:r>
      <w:r w:rsidR="00CF3B91">
        <w:rPr>
          <w:rFonts w:ascii="Calibri Light" w:hAnsi="Calibri Light" w:cs="Calibri Light"/>
          <w:b/>
        </w:rPr>
        <w:t xml:space="preserve">, with </w:t>
      </w:r>
      <w:r w:rsidR="00F90999">
        <w:rPr>
          <w:rFonts w:ascii="Calibri Light" w:hAnsi="Calibri Light" w:cs="Calibri Light"/>
          <w:b/>
        </w:rPr>
        <w:t xml:space="preserve">the completion of </w:t>
      </w:r>
      <w:r w:rsidR="007C06E3">
        <w:rPr>
          <w:rFonts w:ascii="Calibri Light" w:hAnsi="Calibri Light" w:cs="Calibri Light"/>
          <w:b/>
        </w:rPr>
        <w:t xml:space="preserve">the </w:t>
      </w:r>
      <w:r w:rsidR="00F90999">
        <w:rPr>
          <w:rFonts w:ascii="Calibri Light" w:hAnsi="Calibri Light" w:cs="Calibri Light"/>
          <w:b/>
        </w:rPr>
        <w:t xml:space="preserve">Gizo market and </w:t>
      </w:r>
      <w:r w:rsidR="00CF3B91">
        <w:rPr>
          <w:rFonts w:ascii="Calibri Light" w:hAnsi="Calibri Light" w:cs="Calibri Light"/>
          <w:b/>
        </w:rPr>
        <w:t>over 1</w:t>
      </w:r>
      <w:r w:rsidR="007C06E3">
        <w:rPr>
          <w:rFonts w:ascii="Calibri Light" w:hAnsi="Calibri Light" w:cs="Calibri Light"/>
          <w:b/>
        </w:rPr>
        <w:t>,</w:t>
      </w:r>
      <w:r w:rsidR="00CF3B91">
        <w:rPr>
          <w:rFonts w:ascii="Calibri Light" w:hAnsi="Calibri Light" w:cs="Calibri Light"/>
          <w:b/>
        </w:rPr>
        <w:t>000km of roads maintained or rehabilitated</w:t>
      </w:r>
      <w:r w:rsidR="00FC6BE9">
        <w:rPr>
          <w:rFonts w:ascii="Calibri Light" w:hAnsi="Calibri Light" w:cs="Calibri Light"/>
          <w:b/>
        </w:rPr>
        <w:t>.  T</w:t>
      </w:r>
      <w:r w:rsidR="00CF3B91">
        <w:rPr>
          <w:rFonts w:ascii="Calibri Light" w:hAnsi="Calibri Light" w:cs="Calibri Light"/>
          <w:b/>
        </w:rPr>
        <w:t xml:space="preserve">he Coral Sea Cable </w:t>
      </w:r>
      <w:r w:rsidR="00FC6BE9">
        <w:rPr>
          <w:rFonts w:ascii="Calibri Light" w:hAnsi="Calibri Light" w:cs="Calibri Light"/>
          <w:b/>
        </w:rPr>
        <w:t xml:space="preserve">is also </w:t>
      </w:r>
      <w:r w:rsidR="00CF3B91">
        <w:rPr>
          <w:rFonts w:ascii="Calibri Light" w:hAnsi="Calibri Light" w:cs="Calibri Light"/>
          <w:b/>
        </w:rPr>
        <w:t xml:space="preserve">on track to deliver improved connectivity by 2020.  </w:t>
      </w:r>
      <w:r w:rsidRPr="00802AD4">
        <w:rPr>
          <w:rFonts w:ascii="Calibri Light" w:hAnsi="Calibri Light" w:cs="Calibri Light"/>
        </w:rPr>
        <w:t xml:space="preserve">Installation of the Coral Sea Cable began along the system’s 4,700km route to Sydney, with the project on-track to deliver faster, cheaper and more reliable communications infrastructure to Solomon Islands. </w:t>
      </w:r>
      <w:r w:rsidR="003D0462">
        <w:rPr>
          <w:rFonts w:ascii="Calibri Light" w:hAnsi="Calibri Light" w:cs="Calibri Light"/>
        </w:rPr>
        <w:t>During</w:t>
      </w:r>
      <w:r w:rsidR="0004600C">
        <w:rPr>
          <w:rFonts w:ascii="Calibri Light" w:hAnsi="Calibri Light" w:cs="Calibri Light"/>
        </w:rPr>
        <w:t xml:space="preserve"> a visit to Solomon Islands in June 2019,</w:t>
      </w:r>
      <w:r w:rsidRPr="00802AD4">
        <w:rPr>
          <w:rFonts w:ascii="Calibri Light" w:hAnsi="Calibri Light" w:cs="Calibri Light"/>
        </w:rPr>
        <w:t xml:space="preserve"> Prime Minister Morri</w:t>
      </w:r>
      <w:r w:rsidR="00985309">
        <w:rPr>
          <w:rFonts w:ascii="Calibri Light" w:hAnsi="Calibri Light" w:cs="Calibri Light"/>
        </w:rPr>
        <w:t>son announced a $250 million, ten</w:t>
      </w:r>
      <w:r w:rsidRPr="00802AD4">
        <w:rPr>
          <w:rFonts w:ascii="Calibri Light" w:hAnsi="Calibri Light" w:cs="Calibri Light"/>
        </w:rPr>
        <w:t xml:space="preserve">-year infrastructure financing program to support key national and economic infrastructure.  Australia’s advocacy helped to unlock </w:t>
      </w:r>
      <w:r w:rsidRPr="00802AD4">
        <w:rPr>
          <w:rFonts w:cstheme="minorHAnsi"/>
        </w:rPr>
        <w:t xml:space="preserve">progress on the $300 million Tina River Hydropower Project, </w:t>
      </w:r>
      <w:r w:rsidR="002C2639">
        <w:rPr>
          <w:rFonts w:cstheme="minorHAnsi"/>
        </w:rPr>
        <w:t>with key agreements signed</w:t>
      </w:r>
      <w:r w:rsidRPr="00802AD4">
        <w:rPr>
          <w:rFonts w:cstheme="minorHAnsi"/>
        </w:rPr>
        <w:t xml:space="preserve"> in December 2018.  Scoping work commenced for support to Solomon Islands through Australia’s Infrastructure Financing Facility for the Pacific.</w:t>
      </w:r>
      <w:r w:rsidR="00CF3B91">
        <w:rPr>
          <w:rFonts w:cstheme="minorHAnsi"/>
        </w:rPr>
        <w:t xml:space="preserve">  </w:t>
      </w:r>
    </w:p>
    <w:p w:rsidR="00051C64" w:rsidRPr="00802AD4" w:rsidRDefault="00051C64" w:rsidP="00051C64">
      <w:pPr>
        <w:pStyle w:val="Default"/>
        <w:spacing w:before="120" w:after="120"/>
        <w:rPr>
          <w:rFonts w:asciiTheme="minorHAnsi" w:hAnsiTheme="minorHAnsi" w:cstheme="minorHAnsi"/>
          <w:color w:val="495965" w:themeColor="text2"/>
          <w:sz w:val="22"/>
          <w:szCs w:val="22"/>
        </w:rPr>
      </w:pPr>
      <w:r w:rsidRPr="00802AD4">
        <w:rPr>
          <w:rFonts w:asciiTheme="minorHAnsi" w:hAnsiTheme="minorHAnsi" w:cstheme="minorHAnsi"/>
          <w:b/>
          <w:color w:val="495965" w:themeColor="text2"/>
          <w:sz w:val="22"/>
          <w:szCs w:val="22"/>
        </w:rPr>
        <w:t xml:space="preserve">Solomon Islands </w:t>
      </w:r>
      <w:r w:rsidR="00EE52AC" w:rsidRPr="00802AD4">
        <w:rPr>
          <w:rFonts w:asciiTheme="minorHAnsi" w:hAnsiTheme="minorHAnsi" w:cstheme="minorHAnsi"/>
          <w:b/>
          <w:color w:val="495965" w:themeColor="text2"/>
          <w:sz w:val="22"/>
          <w:szCs w:val="22"/>
        </w:rPr>
        <w:t xml:space="preserve">entry </w:t>
      </w:r>
      <w:r w:rsidR="00091805">
        <w:rPr>
          <w:rFonts w:asciiTheme="minorHAnsi" w:hAnsiTheme="minorHAnsi" w:cstheme="minorHAnsi"/>
          <w:b/>
          <w:color w:val="495965" w:themeColor="text2"/>
          <w:sz w:val="22"/>
          <w:szCs w:val="22"/>
        </w:rPr>
        <w:t xml:space="preserve">into the Pacific Labour Scheme </w:t>
      </w:r>
      <w:r w:rsidR="00EE52AC" w:rsidRPr="00802AD4">
        <w:rPr>
          <w:rFonts w:asciiTheme="minorHAnsi" w:hAnsiTheme="minorHAnsi" w:cstheme="minorHAnsi"/>
          <w:b/>
          <w:color w:val="495965" w:themeColor="text2"/>
          <w:sz w:val="22"/>
          <w:szCs w:val="22"/>
        </w:rPr>
        <w:t>in September 2018</w:t>
      </w:r>
      <w:r w:rsidRPr="00802AD4">
        <w:rPr>
          <w:rFonts w:asciiTheme="minorHAnsi" w:hAnsiTheme="minorHAnsi" w:cstheme="minorHAnsi"/>
          <w:b/>
          <w:color w:val="495965" w:themeColor="text2"/>
          <w:sz w:val="22"/>
          <w:szCs w:val="22"/>
        </w:rPr>
        <w:t xml:space="preserve"> provided an </w:t>
      </w:r>
      <w:r w:rsidR="00EE52AC" w:rsidRPr="00802AD4">
        <w:rPr>
          <w:rFonts w:asciiTheme="minorHAnsi" w:hAnsiTheme="minorHAnsi" w:cstheme="minorHAnsi"/>
          <w:b/>
          <w:color w:val="495965" w:themeColor="text2"/>
          <w:sz w:val="22"/>
          <w:szCs w:val="22"/>
        </w:rPr>
        <w:t xml:space="preserve">additional </w:t>
      </w:r>
      <w:r w:rsidRPr="00802AD4">
        <w:rPr>
          <w:rFonts w:asciiTheme="minorHAnsi" w:hAnsiTheme="minorHAnsi" w:cstheme="minorHAnsi"/>
          <w:b/>
          <w:color w:val="495965" w:themeColor="text2"/>
          <w:sz w:val="22"/>
          <w:szCs w:val="22"/>
        </w:rPr>
        <w:t>pathway to improved economic opportunities for Solomon Islanders</w:t>
      </w:r>
      <w:r w:rsidR="002E0470">
        <w:rPr>
          <w:rFonts w:asciiTheme="minorHAnsi" w:hAnsiTheme="minorHAnsi" w:cstheme="minorHAnsi"/>
          <w:b/>
          <w:color w:val="495965" w:themeColor="text2"/>
          <w:sz w:val="22"/>
          <w:szCs w:val="22"/>
        </w:rPr>
        <w:t xml:space="preserve">. </w:t>
      </w:r>
      <w:r w:rsidR="00F90999">
        <w:rPr>
          <w:rFonts w:asciiTheme="minorHAnsi" w:hAnsiTheme="minorHAnsi" w:cstheme="minorHAnsi"/>
          <w:b/>
          <w:color w:val="495965" w:themeColor="text2"/>
          <w:sz w:val="22"/>
          <w:szCs w:val="22"/>
        </w:rPr>
        <w:t xml:space="preserve"> </w:t>
      </w:r>
      <w:r w:rsidR="00F90999">
        <w:rPr>
          <w:rFonts w:asciiTheme="minorHAnsi" w:hAnsiTheme="minorHAnsi" w:cstheme="minorHAnsi"/>
          <w:color w:val="495965" w:themeColor="text2"/>
          <w:sz w:val="22"/>
          <w:szCs w:val="22"/>
        </w:rPr>
        <w:t>Numbers of Solomon Islands participants are low relative to other Pacific countries, but rising.  T</w:t>
      </w:r>
      <w:r w:rsidR="008E33CB" w:rsidRPr="00CA2357">
        <w:rPr>
          <w:rFonts w:asciiTheme="minorHAnsi" w:hAnsiTheme="minorHAnsi" w:cstheme="minorHAnsi"/>
          <w:color w:val="495965" w:themeColor="text2"/>
          <w:sz w:val="22"/>
          <w:szCs w:val="22"/>
        </w:rPr>
        <w:t>wenty</w:t>
      </w:r>
      <w:r w:rsidRPr="00802AD4">
        <w:rPr>
          <w:rFonts w:asciiTheme="minorHAnsi" w:hAnsiTheme="minorHAnsi" w:cstheme="minorHAnsi"/>
          <w:color w:val="495965" w:themeColor="text2"/>
          <w:sz w:val="22"/>
          <w:szCs w:val="22"/>
        </w:rPr>
        <w:t xml:space="preserve"> workers </w:t>
      </w:r>
      <w:r w:rsidR="000C63F7">
        <w:rPr>
          <w:rFonts w:asciiTheme="minorHAnsi" w:hAnsiTheme="minorHAnsi" w:cstheme="minorHAnsi"/>
          <w:color w:val="495965" w:themeColor="text2"/>
          <w:sz w:val="22"/>
          <w:szCs w:val="22"/>
        </w:rPr>
        <w:t xml:space="preserve">(6 </w:t>
      </w:r>
      <w:r w:rsidR="00A05D0A">
        <w:rPr>
          <w:rFonts w:asciiTheme="minorHAnsi" w:hAnsiTheme="minorHAnsi" w:cstheme="minorHAnsi"/>
          <w:color w:val="495965" w:themeColor="text2"/>
          <w:sz w:val="22"/>
          <w:szCs w:val="22"/>
        </w:rPr>
        <w:t xml:space="preserve">x </w:t>
      </w:r>
      <w:r w:rsidR="000C63F7">
        <w:rPr>
          <w:rFonts w:asciiTheme="minorHAnsi" w:hAnsiTheme="minorHAnsi" w:cstheme="minorHAnsi"/>
          <w:color w:val="495965" w:themeColor="text2"/>
          <w:sz w:val="22"/>
          <w:szCs w:val="22"/>
        </w:rPr>
        <w:t xml:space="preserve">female) </w:t>
      </w:r>
      <w:r w:rsidR="002E0470">
        <w:rPr>
          <w:rFonts w:asciiTheme="minorHAnsi" w:hAnsiTheme="minorHAnsi" w:cstheme="minorHAnsi"/>
          <w:color w:val="495965" w:themeColor="text2"/>
          <w:sz w:val="22"/>
          <w:szCs w:val="22"/>
        </w:rPr>
        <w:t xml:space="preserve">were </w:t>
      </w:r>
      <w:r w:rsidRPr="00802AD4">
        <w:rPr>
          <w:rFonts w:asciiTheme="minorHAnsi" w:hAnsiTheme="minorHAnsi" w:cstheme="minorHAnsi"/>
          <w:color w:val="495965" w:themeColor="text2"/>
          <w:sz w:val="22"/>
          <w:szCs w:val="22"/>
        </w:rPr>
        <w:t xml:space="preserve">mobilised under the </w:t>
      </w:r>
      <w:r w:rsidR="000C63F7">
        <w:rPr>
          <w:rFonts w:asciiTheme="minorHAnsi" w:hAnsiTheme="minorHAnsi" w:cstheme="minorHAnsi"/>
          <w:color w:val="495965" w:themeColor="text2"/>
          <w:sz w:val="22"/>
          <w:szCs w:val="22"/>
        </w:rPr>
        <w:t xml:space="preserve">Pacific </w:t>
      </w:r>
      <w:r w:rsidR="000C63F7">
        <w:rPr>
          <w:rFonts w:asciiTheme="minorHAnsi" w:hAnsiTheme="minorHAnsi" w:cstheme="minorHAnsi"/>
          <w:color w:val="495965" w:themeColor="text2"/>
          <w:sz w:val="22"/>
          <w:szCs w:val="22"/>
        </w:rPr>
        <w:lastRenderedPageBreak/>
        <w:t>Labour S</w:t>
      </w:r>
      <w:r w:rsidRPr="00802AD4">
        <w:rPr>
          <w:rFonts w:asciiTheme="minorHAnsi" w:hAnsiTheme="minorHAnsi" w:cstheme="minorHAnsi"/>
          <w:color w:val="495965" w:themeColor="text2"/>
          <w:sz w:val="22"/>
          <w:szCs w:val="22"/>
        </w:rPr>
        <w:t>cheme</w:t>
      </w:r>
      <w:r w:rsidR="000C63F7">
        <w:rPr>
          <w:rFonts w:asciiTheme="minorHAnsi" w:hAnsiTheme="minorHAnsi" w:cstheme="minorHAnsi"/>
          <w:color w:val="495965" w:themeColor="text2"/>
          <w:sz w:val="22"/>
          <w:szCs w:val="22"/>
        </w:rPr>
        <w:t xml:space="preserve"> (PLS)</w:t>
      </w:r>
      <w:r w:rsidRPr="00802AD4">
        <w:rPr>
          <w:rFonts w:asciiTheme="minorHAnsi" w:hAnsiTheme="minorHAnsi" w:cstheme="minorHAnsi"/>
          <w:color w:val="495965" w:themeColor="text2"/>
          <w:sz w:val="22"/>
          <w:szCs w:val="22"/>
        </w:rPr>
        <w:t xml:space="preserve"> within the reporting period</w:t>
      </w:r>
      <w:r w:rsidR="002E0470">
        <w:rPr>
          <w:rFonts w:asciiTheme="minorHAnsi" w:hAnsiTheme="minorHAnsi" w:cstheme="minorHAnsi"/>
          <w:color w:val="495965" w:themeColor="text2"/>
          <w:sz w:val="22"/>
          <w:szCs w:val="22"/>
        </w:rPr>
        <w:t xml:space="preserve">, with a </w:t>
      </w:r>
      <w:r w:rsidRPr="00802AD4">
        <w:rPr>
          <w:rFonts w:asciiTheme="minorHAnsi" w:hAnsiTheme="minorHAnsi" w:cstheme="minorHAnsi"/>
          <w:color w:val="495965" w:themeColor="text2"/>
          <w:sz w:val="22"/>
          <w:szCs w:val="22"/>
        </w:rPr>
        <w:t>further 31</w:t>
      </w:r>
      <w:r w:rsidR="000C63F7">
        <w:rPr>
          <w:rFonts w:asciiTheme="minorHAnsi" w:hAnsiTheme="minorHAnsi" w:cstheme="minorHAnsi"/>
          <w:color w:val="495965" w:themeColor="text2"/>
          <w:sz w:val="22"/>
          <w:szCs w:val="22"/>
        </w:rPr>
        <w:t>4</w:t>
      </w:r>
      <w:r w:rsidRPr="00802AD4">
        <w:rPr>
          <w:rFonts w:asciiTheme="minorHAnsi" w:hAnsiTheme="minorHAnsi" w:cstheme="minorHAnsi"/>
          <w:color w:val="495965" w:themeColor="text2"/>
          <w:sz w:val="22"/>
          <w:szCs w:val="22"/>
        </w:rPr>
        <w:t> workers</w:t>
      </w:r>
      <w:r w:rsidR="000C63F7">
        <w:rPr>
          <w:rFonts w:asciiTheme="minorHAnsi" w:hAnsiTheme="minorHAnsi" w:cstheme="minorHAnsi"/>
          <w:color w:val="495965" w:themeColor="text2"/>
          <w:sz w:val="22"/>
          <w:szCs w:val="22"/>
        </w:rPr>
        <w:t xml:space="preserve"> (42 </w:t>
      </w:r>
      <w:r w:rsidR="00A05D0A">
        <w:rPr>
          <w:rFonts w:asciiTheme="minorHAnsi" w:hAnsiTheme="minorHAnsi" w:cstheme="minorHAnsi"/>
          <w:color w:val="495965" w:themeColor="text2"/>
          <w:sz w:val="22"/>
          <w:szCs w:val="22"/>
        </w:rPr>
        <w:t xml:space="preserve">x </w:t>
      </w:r>
      <w:r w:rsidR="000C63F7">
        <w:rPr>
          <w:rFonts w:asciiTheme="minorHAnsi" w:hAnsiTheme="minorHAnsi" w:cstheme="minorHAnsi"/>
          <w:color w:val="495965" w:themeColor="text2"/>
          <w:sz w:val="22"/>
          <w:szCs w:val="22"/>
        </w:rPr>
        <w:t xml:space="preserve">female) </w:t>
      </w:r>
      <w:r w:rsidRPr="00802AD4">
        <w:rPr>
          <w:rFonts w:asciiTheme="minorHAnsi" w:hAnsiTheme="minorHAnsi" w:cstheme="minorHAnsi"/>
          <w:color w:val="495965" w:themeColor="text2"/>
          <w:sz w:val="22"/>
          <w:szCs w:val="22"/>
        </w:rPr>
        <w:t xml:space="preserve"> </w:t>
      </w:r>
      <w:r w:rsidR="002E0470">
        <w:rPr>
          <w:rFonts w:asciiTheme="minorHAnsi" w:hAnsiTheme="minorHAnsi" w:cstheme="minorHAnsi"/>
          <w:color w:val="495965" w:themeColor="text2"/>
          <w:sz w:val="22"/>
          <w:szCs w:val="22"/>
        </w:rPr>
        <w:t xml:space="preserve">participating in </w:t>
      </w:r>
      <w:r w:rsidRPr="00802AD4">
        <w:rPr>
          <w:rFonts w:asciiTheme="minorHAnsi" w:hAnsiTheme="minorHAnsi" w:cstheme="minorHAnsi"/>
          <w:color w:val="495965" w:themeColor="text2"/>
          <w:sz w:val="22"/>
          <w:szCs w:val="22"/>
        </w:rPr>
        <w:t xml:space="preserve">the </w:t>
      </w:r>
      <w:r w:rsidRPr="00802AD4">
        <w:rPr>
          <w:rFonts w:asciiTheme="minorHAnsi" w:hAnsiTheme="minorHAnsi" w:cstheme="minorHAnsi"/>
          <w:bCs/>
          <w:color w:val="495965" w:themeColor="text2"/>
          <w:sz w:val="22"/>
          <w:szCs w:val="22"/>
        </w:rPr>
        <w:t>Seasonal Worker Program</w:t>
      </w:r>
      <w:r w:rsidR="00091805">
        <w:rPr>
          <w:rFonts w:asciiTheme="minorHAnsi" w:hAnsiTheme="minorHAnsi" w:cstheme="minorHAnsi"/>
          <w:bCs/>
          <w:color w:val="495965" w:themeColor="text2"/>
          <w:sz w:val="22"/>
          <w:szCs w:val="22"/>
        </w:rPr>
        <w:t>me</w:t>
      </w:r>
      <w:r w:rsidRPr="00802AD4">
        <w:rPr>
          <w:rFonts w:asciiTheme="minorHAnsi" w:hAnsiTheme="minorHAnsi" w:cstheme="minorHAnsi"/>
          <w:color w:val="495965" w:themeColor="text2"/>
          <w:sz w:val="22"/>
          <w:szCs w:val="22"/>
        </w:rPr>
        <w:t xml:space="preserve">.  </w:t>
      </w:r>
    </w:p>
    <w:p w:rsidR="00051C64" w:rsidRPr="00802AD4" w:rsidRDefault="00051C64" w:rsidP="00051C64">
      <w:pPr>
        <w:spacing w:after="120" w:line="240" w:lineRule="auto"/>
        <w:rPr>
          <w:rFonts w:cstheme="minorHAnsi"/>
        </w:rPr>
      </w:pPr>
      <w:r w:rsidRPr="00802AD4">
        <w:rPr>
          <w:rFonts w:cstheme="minorHAnsi"/>
          <w:b/>
        </w:rPr>
        <w:t xml:space="preserve">The aid program </w:t>
      </w:r>
      <w:r w:rsidR="00D96CA0">
        <w:rPr>
          <w:rFonts w:cstheme="minorHAnsi"/>
          <w:b/>
        </w:rPr>
        <w:t>supported Solomon Islands</w:t>
      </w:r>
      <w:r w:rsidR="00607885">
        <w:rPr>
          <w:rFonts w:cstheme="minorHAnsi"/>
          <w:b/>
        </w:rPr>
        <w:t>’</w:t>
      </w:r>
      <w:r w:rsidR="00D96CA0">
        <w:rPr>
          <w:rFonts w:cstheme="minorHAnsi"/>
          <w:b/>
        </w:rPr>
        <w:t xml:space="preserve"> work</w:t>
      </w:r>
      <w:r w:rsidR="00D96CA0" w:rsidRPr="00802AD4">
        <w:rPr>
          <w:rFonts w:cstheme="minorHAnsi"/>
          <w:b/>
        </w:rPr>
        <w:t xml:space="preserve"> </w:t>
      </w:r>
      <w:r w:rsidRPr="00802AD4">
        <w:rPr>
          <w:rFonts w:cstheme="minorHAnsi"/>
          <w:b/>
        </w:rPr>
        <w:t xml:space="preserve">to address the </w:t>
      </w:r>
      <w:r w:rsidR="00607885">
        <w:rPr>
          <w:rFonts w:cstheme="minorHAnsi"/>
          <w:b/>
        </w:rPr>
        <w:t xml:space="preserve">country’s </w:t>
      </w:r>
      <w:r w:rsidRPr="00802AD4">
        <w:rPr>
          <w:rFonts w:cstheme="minorHAnsi"/>
          <w:b/>
        </w:rPr>
        <w:t>significant human development challenges.</w:t>
      </w:r>
      <w:r w:rsidR="00F90999">
        <w:rPr>
          <w:rFonts w:cstheme="minorHAnsi"/>
        </w:rPr>
        <w:t xml:space="preserve">  We leveraged </w:t>
      </w:r>
      <w:r w:rsidR="004D451C">
        <w:rPr>
          <w:rFonts w:cstheme="minorHAnsi"/>
        </w:rPr>
        <w:t xml:space="preserve">our relationships and </w:t>
      </w:r>
      <w:r w:rsidR="00F90999">
        <w:rPr>
          <w:rFonts w:cstheme="minorHAnsi"/>
        </w:rPr>
        <w:t>performance payments</w:t>
      </w:r>
      <w:r w:rsidR="004D451C">
        <w:rPr>
          <w:rFonts w:cstheme="minorHAnsi"/>
        </w:rPr>
        <w:t xml:space="preserve"> in health and education to </w:t>
      </w:r>
      <w:r w:rsidR="007C06E3">
        <w:rPr>
          <w:rFonts w:cstheme="minorHAnsi"/>
        </w:rPr>
        <w:t>engage in</w:t>
      </w:r>
      <w:r w:rsidR="004D451C">
        <w:rPr>
          <w:rFonts w:cstheme="minorHAnsi"/>
        </w:rPr>
        <w:t xml:space="preserve"> policy discussions, successfully reinforcing the need for </w:t>
      </w:r>
      <w:r w:rsidR="00FC6BE9">
        <w:rPr>
          <w:rFonts w:cstheme="minorHAnsi"/>
        </w:rPr>
        <w:t xml:space="preserve">the </w:t>
      </w:r>
      <w:r w:rsidR="004D451C">
        <w:rPr>
          <w:rFonts w:cstheme="minorHAnsi"/>
        </w:rPr>
        <w:t>Solomon Islands Government to continue to meet budget funding targets for health and education.  Our work</w:t>
      </w:r>
      <w:r w:rsidR="00F90999">
        <w:rPr>
          <w:rFonts w:cstheme="minorHAnsi"/>
        </w:rPr>
        <w:t xml:space="preserve"> supported the</w:t>
      </w:r>
      <w:r w:rsidR="004D451C">
        <w:rPr>
          <w:rFonts w:cstheme="minorHAnsi"/>
        </w:rPr>
        <w:t xml:space="preserve"> Government to deliver</w:t>
      </w:r>
      <w:r w:rsidR="00F90999">
        <w:rPr>
          <w:rFonts w:cstheme="minorHAnsi"/>
        </w:rPr>
        <w:t xml:space="preserve"> </w:t>
      </w:r>
      <w:r w:rsidR="00F90999" w:rsidRPr="00CA2357">
        <w:rPr>
          <w:rFonts w:cstheme="minorHAnsi"/>
        </w:rPr>
        <w:t xml:space="preserve">professional development </w:t>
      </w:r>
      <w:r w:rsidR="004D451C">
        <w:rPr>
          <w:rFonts w:cstheme="minorHAnsi"/>
        </w:rPr>
        <w:t>to</w:t>
      </w:r>
      <w:r w:rsidR="00F90999" w:rsidRPr="00CA2357">
        <w:rPr>
          <w:rFonts w:cstheme="minorHAnsi"/>
        </w:rPr>
        <w:t xml:space="preserve"> 1,183 school teachers and school leaders, </w:t>
      </w:r>
      <w:r w:rsidR="004D451C">
        <w:rPr>
          <w:rFonts w:cstheme="minorHAnsi"/>
        </w:rPr>
        <w:t>construct</w:t>
      </w:r>
      <w:r w:rsidR="004D451C" w:rsidRPr="00CA2357">
        <w:rPr>
          <w:rFonts w:cstheme="minorHAnsi"/>
        </w:rPr>
        <w:t xml:space="preserve"> 43 classrooms, and </w:t>
      </w:r>
      <w:r w:rsidR="004D451C">
        <w:rPr>
          <w:rFonts w:cstheme="minorHAnsi"/>
        </w:rPr>
        <w:t>progress curriculum reform</w:t>
      </w:r>
      <w:r w:rsidR="004D451C" w:rsidRPr="00CA2357">
        <w:rPr>
          <w:rFonts w:cstheme="minorHAnsi"/>
        </w:rPr>
        <w:t xml:space="preserve">. </w:t>
      </w:r>
      <w:r w:rsidR="008006FE">
        <w:rPr>
          <w:rFonts w:cstheme="minorHAnsi"/>
        </w:rPr>
        <w:t xml:space="preserve"> In the health sector, while national level reform is progressing as expected, Solomon Islands experienced a severe national </w:t>
      </w:r>
      <w:r w:rsidR="001249AA">
        <w:rPr>
          <w:rFonts w:cstheme="minorHAnsi"/>
        </w:rPr>
        <w:t xml:space="preserve">medicines shortage </w:t>
      </w:r>
      <w:r w:rsidR="008006FE">
        <w:rPr>
          <w:rFonts w:cstheme="minorHAnsi"/>
        </w:rPr>
        <w:t>due to delays in procurement of the annual drug and medical supply order.   At Solomon Islands request</w:t>
      </w:r>
      <w:r w:rsidR="001249AA">
        <w:rPr>
          <w:rFonts w:cstheme="minorHAnsi"/>
        </w:rPr>
        <w:t>,</w:t>
      </w:r>
      <w:r w:rsidR="008006FE">
        <w:rPr>
          <w:rFonts w:cstheme="minorHAnsi"/>
        </w:rPr>
        <w:t xml:space="preserve"> Australia responded with additional technical support, and </w:t>
      </w:r>
      <w:r w:rsidR="001249AA">
        <w:rPr>
          <w:rFonts w:cstheme="minorHAnsi"/>
        </w:rPr>
        <w:t>we continue to support the</w:t>
      </w:r>
      <w:r w:rsidR="008006FE">
        <w:rPr>
          <w:rFonts w:cstheme="minorHAnsi"/>
        </w:rPr>
        <w:t xml:space="preserve"> Solomon Isl</w:t>
      </w:r>
      <w:r w:rsidR="001249AA">
        <w:rPr>
          <w:rFonts w:cstheme="minorHAnsi"/>
        </w:rPr>
        <w:t>a</w:t>
      </w:r>
      <w:r w:rsidR="008006FE">
        <w:rPr>
          <w:rFonts w:cstheme="minorHAnsi"/>
        </w:rPr>
        <w:t>nds Government to remedy</w:t>
      </w:r>
      <w:r w:rsidR="001249AA">
        <w:rPr>
          <w:rFonts w:cstheme="minorHAnsi"/>
        </w:rPr>
        <w:t xml:space="preserve"> medical</w:t>
      </w:r>
      <w:r w:rsidR="008006FE">
        <w:rPr>
          <w:rFonts w:cstheme="minorHAnsi"/>
        </w:rPr>
        <w:t xml:space="preserve"> </w:t>
      </w:r>
      <w:r w:rsidR="001249AA">
        <w:rPr>
          <w:rFonts w:cstheme="minorHAnsi"/>
        </w:rPr>
        <w:t>procurement issues</w:t>
      </w:r>
      <w:r w:rsidR="008006FE">
        <w:rPr>
          <w:rFonts w:cstheme="minorHAnsi"/>
        </w:rPr>
        <w:t xml:space="preserve">.   </w:t>
      </w:r>
      <w:r w:rsidR="004D451C">
        <w:rPr>
          <w:rFonts w:cstheme="minorHAnsi"/>
        </w:rPr>
        <w:t xml:space="preserve">Contributing to the elimination of violence against women and girls, </w:t>
      </w:r>
      <w:r w:rsidRPr="00802AD4">
        <w:rPr>
          <w:rFonts w:cstheme="minorHAnsi"/>
        </w:rPr>
        <w:t>Australia supported an innovative public private partnership with</w:t>
      </w:r>
      <w:r w:rsidR="00E02B6F">
        <w:rPr>
          <w:rFonts w:cstheme="minorHAnsi"/>
        </w:rPr>
        <w:t xml:space="preserve"> </w:t>
      </w:r>
      <w:r w:rsidRPr="00802AD4">
        <w:rPr>
          <w:rFonts w:cstheme="minorHAnsi"/>
        </w:rPr>
        <w:t xml:space="preserve">the Solomon Islands Government </w:t>
      </w:r>
      <w:r w:rsidR="00E02B6F">
        <w:rPr>
          <w:rFonts w:cstheme="minorHAnsi"/>
        </w:rPr>
        <w:t xml:space="preserve">and SolRice </w:t>
      </w:r>
      <w:r w:rsidRPr="00802AD4">
        <w:rPr>
          <w:rFonts w:cstheme="minorHAnsi"/>
        </w:rPr>
        <w:t>to distribu</w:t>
      </w:r>
      <w:r w:rsidR="005F3256">
        <w:rPr>
          <w:rFonts w:cstheme="minorHAnsi"/>
        </w:rPr>
        <w:t>te</w:t>
      </w:r>
      <w:r w:rsidRPr="00802AD4">
        <w:rPr>
          <w:rFonts w:cstheme="minorHAnsi"/>
        </w:rPr>
        <w:t xml:space="preserve"> information </w:t>
      </w:r>
      <w:r w:rsidR="00E02B6F" w:rsidRPr="00802AD4">
        <w:rPr>
          <w:rFonts w:cstheme="minorHAnsi"/>
        </w:rPr>
        <w:t xml:space="preserve">on </w:t>
      </w:r>
      <w:r w:rsidR="00E02B6F">
        <w:rPr>
          <w:rFonts w:cstheme="minorHAnsi"/>
        </w:rPr>
        <w:t>domestic violence</w:t>
      </w:r>
      <w:r w:rsidR="00E02B6F" w:rsidRPr="00802AD4">
        <w:rPr>
          <w:rFonts w:cstheme="minorHAnsi"/>
        </w:rPr>
        <w:t xml:space="preserve"> </w:t>
      </w:r>
      <w:r w:rsidR="00E02B6F">
        <w:rPr>
          <w:rFonts w:cstheme="minorHAnsi"/>
        </w:rPr>
        <w:t xml:space="preserve">laws via </w:t>
      </w:r>
      <w:r w:rsidR="005F3256">
        <w:rPr>
          <w:rFonts w:cstheme="minorHAnsi"/>
        </w:rPr>
        <w:t>110,000 rice bags</w:t>
      </w:r>
      <w:r w:rsidR="00E02B6F">
        <w:rPr>
          <w:rFonts w:cstheme="minorHAnsi"/>
        </w:rPr>
        <w:t>,</w:t>
      </w:r>
      <w:r w:rsidR="005F3256">
        <w:rPr>
          <w:rFonts w:cstheme="minorHAnsi"/>
        </w:rPr>
        <w:t xml:space="preserve"> </w:t>
      </w:r>
      <w:r w:rsidR="004D451C">
        <w:rPr>
          <w:rFonts w:cstheme="minorHAnsi"/>
        </w:rPr>
        <w:t xml:space="preserve">reaching all corners of the country. </w:t>
      </w:r>
      <w:r w:rsidR="00E02B6F">
        <w:rPr>
          <w:rFonts w:cstheme="minorHAnsi"/>
        </w:rPr>
        <w:t xml:space="preserve"> </w:t>
      </w:r>
    </w:p>
    <w:p w:rsidR="00051C64" w:rsidRPr="00802AD4" w:rsidRDefault="00051C64" w:rsidP="00051C64">
      <w:pPr>
        <w:pStyle w:val="NormalWeb"/>
        <w:spacing w:before="120" w:beforeAutospacing="0" w:after="120" w:afterAutospacing="0"/>
        <w:rPr>
          <w:rFonts w:asciiTheme="minorHAnsi" w:eastAsiaTheme="minorHAnsi" w:hAnsiTheme="minorHAnsi" w:cstheme="minorHAnsi"/>
          <w:color w:val="495965" w:themeColor="text2"/>
          <w:sz w:val="22"/>
          <w:szCs w:val="22"/>
          <w:lang w:eastAsia="en-US"/>
        </w:rPr>
      </w:pPr>
      <w:r w:rsidRPr="00802AD4">
        <w:rPr>
          <w:rFonts w:asciiTheme="minorHAnsi" w:eastAsiaTheme="minorHAnsi" w:hAnsiTheme="minorHAnsi" w:cstheme="minorHAnsi"/>
          <w:b/>
          <w:color w:val="495965" w:themeColor="text2"/>
          <w:sz w:val="22"/>
          <w:szCs w:val="22"/>
          <w:lang w:eastAsia="en-US"/>
        </w:rPr>
        <w:t>A new Aid Investment Plan will be developed in 2019-20 to shape the future direction of our ai</w:t>
      </w:r>
      <w:r w:rsidR="002E0470">
        <w:rPr>
          <w:rFonts w:asciiTheme="minorHAnsi" w:eastAsiaTheme="minorHAnsi" w:hAnsiTheme="minorHAnsi" w:cstheme="minorHAnsi"/>
          <w:b/>
          <w:color w:val="495965" w:themeColor="text2"/>
          <w:sz w:val="22"/>
          <w:szCs w:val="22"/>
          <w:lang w:eastAsia="en-US"/>
        </w:rPr>
        <w:t xml:space="preserve">d program in Solomon Islands.  </w:t>
      </w:r>
    </w:p>
    <w:p w:rsidR="00C6626C" w:rsidRPr="00C61187" w:rsidRDefault="00D7713F" w:rsidP="00D7713F">
      <w:pPr>
        <w:pStyle w:val="ListBullet"/>
        <w:tabs>
          <w:tab w:val="clear" w:pos="284"/>
        </w:tabs>
        <w:spacing w:before="360" w:line="300" w:lineRule="exact"/>
        <w:rPr>
          <w:kern w:val="28"/>
        </w:rPr>
      </w:pPr>
      <w:r>
        <w:rPr>
          <w:rFonts w:asciiTheme="majorHAnsi" w:eastAsiaTheme="majorEastAsia" w:hAnsiTheme="majorHAnsi" w:cstheme="majorBidi"/>
          <w:caps/>
          <w:color w:val="495965" w:themeColor="text2"/>
          <w:sz w:val="38"/>
          <w:szCs w:val="26"/>
          <w:lang w:val="en-GB" w:eastAsia="en-US"/>
        </w:rPr>
        <w:t xml:space="preserve">Context </w:t>
      </w:r>
    </w:p>
    <w:p w:rsidR="00501964" w:rsidRPr="00802AD4" w:rsidRDefault="00501964" w:rsidP="00501964">
      <w:pPr>
        <w:pStyle w:val="Default"/>
        <w:spacing w:before="120" w:after="120"/>
        <w:rPr>
          <w:rFonts w:asciiTheme="minorHAnsi" w:hAnsiTheme="minorHAnsi" w:cstheme="minorHAnsi"/>
          <w:color w:val="495965" w:themeColor="text2"/>
          <w:sz w:val="22"/>
          <w:szCs w:val="22"/>
        </w:rPr>
      </w:pPr>
      <w:r w:rsidRPr="00802AD4">
        <w:rPr>
          <w:b/>
          <w:color w:val="495965" w:themeColor="text2"/>
          <w:sz w:val="22"/>
          <w:szCs w:val="22"/>
        </w:rPr>
        <w:t>Australia's aid program in Solomon Islands focuses on three strategic objectives; supporting stability, enabling economic growth, and enhancing human development</w:t>
      </w:r>
      <w:r w:rsidRPr="00802AD4">
        <w:rPr>
          <w:color w:val="495965" w:themeColor="text2"/>
          <w:sz w:val="22"/>
          <w:szCs w:val="22"/>
        </w:rPr>
        <w:t xml:space="preserve">.  Further bolstering efforts towards these objectives, Australia </w:t>
      </w:r>
      <w:r w:rsidR="00FC6BE9">
        <w:rPr>
          <w:color w:val="495965" w:themeColor="text2"/>
          <w:sz w:val="22"/>
          <w:szCs w:val="22"/>
        </w:rPr>
        <w:t xml:space="preserve">has </w:t>
      </w:r>
      <w:r w:rsidRPr="00802AD4">
        <w:rPr>
          <w:color w:val="495965" w:themeColor="text2"/>
          <w:sz w:val="22"/>
          <w:szCs w:val="22"/>
        </w:rPr>
        <w:t xml:space="preserve">moved to establish more ambitious and intensified engagement in Solomon Islands as part of </w:t>
      </w:r>
      <w:r w:rsidRPr="00802AD4">
        <w:rPr>
          <w:rFonts w:asciiTheme="minorHAnsi" w:hAnsiTheme="minorHAnsi" w:cstheme="minorHAnsi"/>
          <w:color w:val="495965" w:themeColor="text2"/>
          <w:sz w:val="22"/>
          <w:szCs w:val="22"/>
        </w:rPr>
        <w:t xml:space="preserve">Australia’s Step-Up in the Pacific </w:t>
      </w:r>
      <w:r w:rsidR="00FC6BE9">
        <w:rPr>
          <w:rFonts w:asciiTheme="minorHAnsi" w:hAnsiTheme="minorHAnsi" w:cstheme="minorHAnsi"/>
          <w:color w:val="495965" w:themeColor="text2"/>
          <w:sz w:val="22"/>
          <w:szCs w:val="22"/>
        </w:rPr>
        <w:t>over the past two years</w:t>
      </w:r>
      <w:r w:rsidRPr="00802AD4">
        <w:rPr>
          <w:rFonts w:asciiTheme="minorHAnsi" w:hAnsiTheme="minorHAnsi" w:cstheme="minorHAnsi"/>
          <w:color w:val="495965" w:themeColor="text2"/>
          <w:sz w:val="22"/>
          <w:szCs w:val="22"/>
        </w:rPr>
        <w:t xml:space="preserve">, representing a new chapter in our long-standing relations with our Pacific </w:t>
      </w:r>
      <w:r w:rsidR="00143708">
        <w:rPr>
          <w:rFonts w:asciiTheme="minorHAnsi" w:hAnsiTheme="minorHAnsi" w:cstheme="minorHAnsi"/>
          <w:color w:val="495965" w:themeColor="text2"/>
          <w:sz w:val="22"/>
          <w:szCs w:val="22"/>
        </w:rPr>
        <w:t>neighbours</w:t>
      </w:r>
      <w:r w:rsidRPr="00802AD4">
        <w:rPr>
          <w:rFonts w:asciiTheme="minorHAnsi" w:hAnsiTheme="minorHAnsi" w:cstheme="minorHAnsi"/>
          <w:color w:val="495965" w:themeColor="text2"/>
          <w:sz w:val="22"/>
          <w:szCs w:val="22"/>
        </w:rPr>
        <w:t>.  Australia’s assistance supports</w:t>
      </w:r>
      <w:r w:rsidR="00234E22">
        <w:rPr>
          <w:rFonts w:asciiTheme="minorHAnsi" w:hAnsiTheme="minorHAnsi" w:cstheme="minorHAnsi"/>
          <w:color w:val="495965" w:themeColor="text2"/>
          <w:sz w:val="22"/>
          <w:szCs w:val="22"/>
        </w:rPr>
        <w:t xml:space="preserve"> the</w:t>
      </w:r>
      <w:r w:rsidRPr="00802AD4">
        <w:rPr>
          <w:rFonts w:asciiTheme="minorHAnsi" w:hAnsiTheme="minorHAnsi" w:cstheme="minorHAnsi"/>
          <w:color w:val="495965" w:themeColor="text2"/>
          <w:sz w:val="22"/>
          <w:szCs w:val="22"/>
        </w:rPr>
        <w:t xml:space="preserve"> </w:t>
      </w:r>
      <w:r w:rsidRPr="00234E22">
        <w:rPr>
          <w:rFonts w:asciiTheme="minorHAnsi" w:hAnsiTheme="minorHAnsi" w:cstheme="minorHAnsi"/>
          <w:i/>
          <w:color w:val="495965" w:themeColor="text2"/>
          <w:sz w:val="22"/>
          <w:szCs w:val="22"/>
        </w:rPr>
        <w:t>Solomon Islands’ National Development Strategy (2016-2035),</w:t>
      </w:r>
      <w:r w:rsidRPr="00802AD4">
        <w:rPr>
          <w:rFonts w:asciiTheme="minorHAnsi" w:hAnsiTheme="minorHAnsi" w:cstheme="minorHAnsi"/>
          <w:color w:val="495965" w:themeColor="text2"/>
          <w:sz w:val="22"/>
          <w:szCs w:val="22"/>
        </w:rPr>
        <w:t xml:space="preserve"> which maps out the pathway for Solomon Islands to improve the social and economic livelihoods of all Solomon Islanders. </w:t>
      </w:r>
    </w:p>
    <w:p w:rsidR="00D5179E" w:rsidRDefault="00501964" w:rsidP="00D5179E">
      <w:pPr>
        <w:spacing w:after="120" w:line="240" w:lineRule="auto"/>
        <w:rPr>
          <w:rFonts w:cstheme="minorHAnsi"/>
        </w:rPr>
      </w:pPr>
      <w:r w:rsidRPr="00802AD4">
        <w:rPr>
          <w:rFonts w:cstheme="minorHAnsi"/>
          <w:b/>
        </w:rPr>
        <w:t xml:space="preserve">While the country has experienced a decade of relative stability and economic growth, Solomon Islands remains one of the poorest countries in the Pacific.  </w:t>
      </w:r>
      <w:r w:rsidR="005A2A1F" w:rsidRPr="00802AD4">
        <w:rPr>
          <w:rFonts w:cstheme="minorHAnsi"/>
          <w:bCs/>
        </w:rPr>
        <w:t>Solomon Islands’</w:t>
      </w:r>
      <w:r w:rsidR="005A2A1F" w:rsidRPr="00802AD4">
        <w:rPr>
          <w:rFonts w:cstheme="minorHAnsi"/>
        </w:rPr>
        <w:t xml:space="preserve"> land area and exclusive economic zone includes high-value natural resources such as forests, minerals and fisheries. However, </w:t>
      </w:r>
      <w:r w:rsidR="005A2A1F" w:rsidRPr="00802AD4">
        <w:rPr>
          <w:rFonts w:cstheme="minorHAnsi"/>
          <w:bCs/>
        </w:rPr>
        <w:t>Solomon</w:t>
      </w:r>
      <w:r w:rsidR="003A1BA4">
        <w:rPr>
          <w:rFonts w:cstheme="minorHAnsi"/>
          <w:bCs/>
        </w:rPr>
        <w:t> </w:t>
      </w:r>
      <w:r w:rsidR="005A2A1F" w:rsidRPr="00802AD4">
        <w:rPr>
          <w:rFonts w:cstheme="minorHAnsi"/>
          <w:bCs/>
        </w:rPr>
        <w:t>Islands’ remoteness from markets and small, dispersed population results in an absence of economies of scale in private sector activity and public administration</w:t>
      </w:r>
      <w:r w:rsidR="005A2A1F">
        <w:rPr>
          <w:rFonts w:cstheme="minorHAnsi"/>
          <w:bCs/>
        </w:rPr>
        <w:t>,</w:t>
      </w:r>
      <w:r w:rsidR="005A2A1F" w:rsidRPr="00802AD4">
        <w:rPr>
          <w:rFonts w:cstheme="minorHAnsi"/>
          <w:bCs/>
        </w:rPr>
        <w:t xml:space="preserve"> and a small and narrow private sector.</w:t>
      </w:r>
      <w:r w:rsidR="005A2A1F" w:rsidRPr="00802AD4">
        <w:rPr>
          <w:rFonts w:cstheme="minorHAnsi"/>
        </w:rPr>
        <w:t xml:space="preserve">  </w:t>
      </w:r>
      <w:r w:rsidR="0061773E">
        <w:rPr>
          <w:rFonts w:cstheme="minorHAnsi"/>
          <w:bCs/>
        </w:rPr>
        <w:t xml:space="preserve">The </w:t>
      </w:r>
      <w:r w:rsidR="003D0462">
        <w:rPr>
          <w:rFonts w:cstheme="minorHAnsi"/>
          <w:bCs/>
        </w:rPr>
        <w:t>UN</w:t>
      </w:r>
      <w:r w:rsidR="0061773E" w:rsidRPr="001F0C25">
        <w:rPr>
          <w:rFonts w:cstheme="minorHAnsi"/>
          <w:bCs/>
        </w:rPr>
        <w:t xml:space="preserve"> Human Development Index</w:t>
      </w:r>
      <w:r w:rsidR="0061773E" w:rsidRPr="001B39E6">
        <w:rPr>
          <w:rFonts w:cstheme="minorHAnsi"/>
          <w:bCs/>
        </w:rPr>
        <w:t xml:space="preserve">, which summarises average national achievement across health, education and standards of living, places Solomon Islands in the low human development category, </w:t>
      </w:r>
      <w:r w:rsidR="003D0462">
        <w:rPr>
          <w:rFonts w:cstheme="minorHAnsi"/>
          <w:bCs/>
        </w:rPr>
        <w:t>ranking it</w:t>
      </w:r>
      <w:r w:rsidR="0061773E" w:rsidRPr="001F0C25">
        <w:rPr>
          <w:rFonts w:cstheme="minorHAnsi"/>
          <w:bCs/>
        </w:rPr>
        <w:t xml:space="preserve"> 152 out of 189 countries</w:t>
      </w:r>
      <w:r w:rsidR="0061773E" w:rsidRPr="001F0C25">
        <w:rPr>
          <w:rStyle w:val="FootnoteReference"/>
          <w:rFonts w:cstheme="minorHAnsi"/>
          <w:bCs/>
        </w:rPr>
        <w:footnoteReference w:id="1"/>
      </w:r>
      <w:r w:rsidR="0061773E">
        <w:rPr>
          <w:rFonts w:cstheme="minorHAnsi"/>
          <w:bCs/>
        </w:rPr>
        <w:t>.</w:t>
      </w:r>
      <w:r w:rsidR="003D4EAB">
        <w:rPr>
          <w:rFonts w:cstheme="minorHAnsi"/>
          <w:bCs/>
        </w:rPr>
        <w:t xml:space="preserve">  </w:t>
      </w:r>
      <w:r w:rsidRPr="00802AD4">
        <w:rPr>
          <w:rFonts w:cstheme="minorHAnsi"/>
          <w:bCs/>
        </w:rPr>
        <w:t xml:space="preserve">While human development outcomes have been improving slowly over recent years, </w:t>
      </w:r>
      <w:r w:rsidR="0061773E">
        <w:rPr>
          <w:rFonts w:cstheme="minorHAnsi"/>
          <w:bCs/>
        </w:rPr>
        <w:t>poverty remains high.  Ar</w:t>
      </w:r>
      <w:r w:rsidR="004335B7">
        <w:rPr>
          <w:rFonts w:cstheme="minorHAnsi"/>
          <w:bCs/>
        </w:rPr>
        <w:t>ound one quarter</w:t>
      </w:r>
      <w:r w:rsidRPr="00802AD4">
        <w:rPr>
          <w:rFonts w:cstheme="minorHAnsi"/>
          <w:bCs/>
        </w:rPr>
        <w:t xml:space="preserve"> of Solomon Islander</w:t>
      </w:r>
      <w:r w:rsidR="00546893">
        <w:rPr>
          <w:rFonts w:cstheme="minorHAnsi"/>
          <w:bCs/>
        </w:rPr>
        <w:t>s live in extreme poverty</w:t>
      </w:r>
      <w:r w:rsidR="001F0C25">
        <w:rPr>
          <w:rFonts w:cstheme="minorHAnsi"/>
          <w:bCs/>
        </w:rPr>
        <w:t xml:space="preserve">. </w:t>
      </w:r>
    </w:p>
    <w:p w:rsidR="007D110D" w:rsidRPr="00CA2357" w:rsidRDefault="00D96CA0" w:rsidP="00D5179E">
      <w:pPr>
        <w:spacing w:after="120" w:line="240" w:lineRule="auto"/>
        <w:rPr>
          <w:rFonts w:ascii="Calibri Light" w:hAnsi="Calibri Light" w:cs="Calibri Light"/>
          <w:bCs/>
        </w:rPr>
      </w:pPr>
      <w:r>
        <w:rPr>
          <w:rFonts w:cstheme="minorHAnsi"/>
          <w:b/>
          <w:bCs/>
        </w:rPr>
        <w:t xml:space="preserve">Solomon Islands’ </w:t>
      </w:r>
      <w:r w:rsidR="0006675D">
        <w:rPr>
          <w:rFonts w:cstheme="minorHAnsi"/>
          <w:b/>
          <w:bCs/>
        </w:rPr>
        <w:t>economy slowed slightly to grow</w:t>
      </w:r>
      <w:r>
        <w:rPr>
          <w:rFonts w:cstheme="minorHAnsi"/>
          <w:b/>
          <w:bCs/>
        </w:rPr>
        <w:t xml:space="preserve"> a</w:t>
      </w:r>
      <w:r w:rsidR="0006675D">
        <w:rPr>
          <w:rFonts w:cstheme="minorHAnsi"/>
          <w:b/>
          <w:bCs/>
        </w:rPr>
        <w:t xml:space="preserve">t </w:t>
      </w:r>
      <w:r w:rsidR="003D0462">
        <w:rPr>
          <w:rFonts w:cstheme="minorHAnsi"/>
          <w:b/>
          <w:bCs/>
        </w:rPr>
        <w:t>three</w:t>
      </w:r>
      <w:r w:rsidR="007D110D" w:rsidRPr="00CA2357">
        <w:rPr>
          <w:rFonts w:cstheme="minorHAnsi"/>
          <w:b/>
          <w:bCs/>
        </w:rPr>
        <w:t xml:space="preserve"> per cent </w:t>
      </w:r>
      <w:r w:rsidR="00EF77C4">
        <w:rPr>
          <w:rFonts w:cstheme="minorHAnsi"/>
          <w:b/>
          <w:bCs/>
        </w:rPr>
        <w:t xml:space="preserve">in </w:t>
      </w:r>
      <w:r w:rsidR="007D110D" w:rsidRPr="00CA2357">
        <w:rPr>
          <w:rFonts w:cstheme="minorHAnsi"/>
          <w:b/>
          <w:bCs/>
        </w:rPr>
        <w:t>2018 (3.2 per cent in 2017)</w:t>
      </w:r>
      <w:r w:rsidR="0006675D">
        <w:rPr>
          <w:rFonts w:cstheme="minorHAnsi"/>
          <w:b/>
          <w:bCs/>
        </w:rPr>
        <w:t xml:space="preserve">, or </w:t>
      </w:r>
      <w:r w:rsidR="0006675D">
        <w:rPr>
          <w:rFonts w:cstheme="minorHAnsi"/>
          <w:b/>
          <w:bCs/>
        </w:rPr>
        <w:br/>
        <w:t>0</w:t>
      </w:r>
      <w:r w:rsidR="00284FA9">
        <w:rPr>
          <w:rFonts w:cstheme="minorHAnsi"/>
          <w:b/>
          <w:bCs/>
        </w:rPr>
        <w:t xml:space="preserve">.2 per cent GDP growth </w:t>
      </w:r>
      <w:r w:rsidR="00EF77C4">
        <w:rPr>
          <w:rFonts w:cstheme="minorHAnsi"/>
          <w:b/>
          <w:bCs/>
        </w:rPr>
        <w:t>per capita</w:t>
      </w:r>
      <w:r w:rsidR="007D110D">
        <w:rPr>
          <w:rStyle w:val="FootnoteReference"/>
          <w:rFonts w:cstheme="minorHAnsi"/>
          <w:bCs/>
        </w:rPr>
        <w:footnoteReference w:id="2"/>
      </w:r>
      <w:r w:rsidR="007D110D">
        <w:rPr>
          <w:rFonts w:cstheme="minorHAnsi"/>
          <w:bCs/>
        </w:rPr>
        <w:t>.</w:t>
      </w:r>
      <w:r w:rsidR="0006675D">
        <w:rPr>
          <w:rFonts w:ascii="Calibri Light" w:hAnsi="Calibri Light" w:cs="Calibri Light"/>
          <w:bCs/>
        </w:rPr>
        <w:t xml:space="preserve">  </w:t>
      </w:r>
      <w:r w:rsidR="003A1BA4">
        <w:rPr>
          <w:rFonts w:ascii="Calibri Light" w:hAnsi="Calibri Light" w:cs="Calibri Light"/>
          <w:bCs/>
        </w:rPr>
        <w:t>T</w:t>
      </w:r>
      <w:r w:rsidR="007D110D">
        <w:rPr>
          <w:rFonts w:ascii="Calibri Light" w:hAnsi="Calibri Light" w:cs="Calibri Light"/>
          <w:bCs/>
        </w:rPr>
        <w:t>he export value of most crops declined in 201</w:t>
      </w:r>
      <w:r w:rsidR="003D4EAB">
        <w:rPr>
          <w:rFonts w:ascii="Calibri Light" w:hAnsi="Calibri Light" w:cs="Calibri Light"/>
          <w:bCs/>
        </w:rPr>
        <w:t>8</w:t>
      </w:r>
      <w:r w:rsidR="00761359">
        <w:rPr>
          <w:rFonts w:ascii="Calibri Light" w:hAnsi="Calibri Light" w:cs="Calibri Light"/>
          <w:bCs/>
        </w:rPr>
        <w:t>,</w:t>
      </w:r>
      <w:r w:rsidR="003D4EAB">
        <w:rPr>
          <w:rFonts w:ascii="Calibri Light" w:hAnsi="Calibri Light" w:cs="Calibri Light"/>
          <w:bCs/>
        </w:rPr>
        <w:t xml:space="preserve"> offset by a more than 25 per cent increase in the </w:t>
      </w:r>
      <w:r w:rsidR="007D110D">
        <w:rPr>
          <w:rFonts w:ascii="Calibri Light" w:hAnsi="Calibri Light" w:cs="Calibri Light"/>
          <w:bCs/>
        </w:rPr>
        <w:t>value of log exports.  Exports of minerals rose by an estimated 30</w:t>
      </w:r>
      <w:r w:rsidR="009E0ABE">
        <w:rPr>
          <w:rFonts w:ascii="Calibri Light" w:hAnsi="Calibri Light" w:cs="Calibri Light"/>
          <w:bCs/>
        </w:rPr>
        <w:t xml:space="preserve"> per cent</w:t>
      </w:r>
      <w:r w:rsidR="007D110D">
        <w:rPr>
          <w:rFonts w:ascii="Calibri Light" w:hAnsi="Calibri Light" w:cs="Calibri Light"/>
          <w:bCs/>
        </w:rPr>
        <w:t>, from a low base</w:t>
      </w:r>
      <w:r w:rsidR="0089795C" w:rsidRPr="009E0ABE">
        <w:rPr>
          <w:rStyle w:val="FootnoteReference"/>
          <w:rFonts w:ascii="Calibri Light" w:hAnsi="Calibri Light" w:cs="Calibri Light"/>
          <w:bCs/>
        </w:rPr>
        <w:footnoteReference w:id="3"/>
      </w:r>
      <w:r w:rsidR="007D110D" w:rsidRPr="009E0ABE">
        <w:rPr>
          <w:rFonts w:ascii="Calibri Light" w:hAnsi="Calibri Light" w:cs="Calibri Light"/>
          <w:bCs/>
        </w:rPr>
        <w:t xml:space="preserve">. </w:t>
      </w:r>
      <w:r w:rsidR="00284FA9">
        <w:rPr>
          <w:rFonts w:ascii="Calibri Light" w:hAnsi="Calibri Light" w:cs="Calibri Light"/>
          <w:bCs/>
        </w:rPr>
        <w:t xml:space="preserve"> The </w:t>
      </w:r>
      <w:r w:rsidR="003D0462">
        <w:rPr>
          <w:rFonts w:ascii="Calibri Light" w:hAnsi="Calibri Light" w:cs="Calibri Light"/>
          <w:bCs/>
        </w:rPr>
        <w:t>Asian Development Bank (</w:t>
      </w:r>
      <w:r w:rsidR="00284FA9">
        <w:rPr>
          <w:rFonts w:ascii="Calibri Light" w:hAnsi="Calibri Light" w:cs="Calibri Light"/>
          <w:bCs/>
        </w:rPr>
        <w:t>ADB</w:t>
      </w:r>
      <w:r w:rsidR="003D0462">
        <w:rPr>
          <w:rFonts w:ascii="Calibri Light" w:hAnsi="Calibri Light" w:cs="Calibri Light"/>
          <w:bCs/>
        </w:rPr>
        <w:t>)</w:t>
      </w:r>
      <w:r w:rsidR="00284FA9">
        <w:rPr>
          <w:rFonts w:ascii="Calibri Light" w:hAnsi="Calibri Light" w:cs="Calibri Light"/>
          <w:bCs/>
        </w:rPr>
        <w:t xml:space="preserve"> predicts </w:t>
      </w:r>
      <w:r w:rsidR="00761359">
        <w:rPr>
          <w:rFonts w:ascii="Calibri Light" w:hAnsi="Calibri Light" w:cs="Calibri Light"/>
          <w:bCs/>
        </w:rPr>
        <w:t xml:space="preserve">GDP </w:t>
      </w:r>
      <w:r w:rsidR="00284FA9">
        <w:rPr>
          <w:rFonts w:ascii="Calibri Light" w:hAnsi="Calibri Light" w:cs="Calibri Light"/>
          <w:bCs/>
        </w:rPr>
        <w:t xml:space="preserve">growth </w:t>
      </w:r>
      <w:r w:rsidR="00761359">
        <w:rPr>
          <w:rFonts w:ascii="Calibri Light" w:hAnsi="Calibri Light" w:cs="Calibri Light"/>
          <w:bCs/>
        </w:rPr>
        <w:t>to further slow in 2019 and 2020</w:t>
      </w:r>
      <w:r w:rsidR="00761359">
        <w:rPr>
          <w:rStyle w:val="FootnoteReference"/>
          <w:rFonts w:ascii="Calibri Light" w:hAnsi="Calibri Light" w:cs="Calibri Light"/>
          <w:bCs/>
        </w:rPr>
        <w:footnoteReference w:id="4"/>
      </w:r>
      <w:r w:rsidR="00761359">
        <w:rPr>
          <w:rFonts w:ascii="Calibri Light" w:hAnsi="Calibri Light" w:cs="Calibri Light"/>
          <w:bCs/>
        </w:rPr>
        <w:t xml:space="preserve">.  As logging activity weakens over time, mining appears the only sector </w:t>
      </w:r>
      <w:r w:rsidR="003D0462">
        <w:rPr>
          <w:rFonts w:ascii="Calibri Light" w:hAnsi="Calibri Light" w:cs="Calibri Light"/>
          <w:bCs/>
        </w:rPr>
        <w:t>that</w:t>
      </w:r>
      <w:r w:rsidR="00761359">
        <w:rPr>
          <w:rFonts w:ascii="Calibri Light" w:hAnsi="Calibri Light" w:cs="Calibri Light"/>
          <w:bCs/>
        </w:rPr>
        <w:t xml:space="preserve"> can potentially take its place in terms of fuelling growth, maintaining revenue and </w:t>
      </w:r>
      <w:r w:rsidR="003D0462">
        <w:rPr>
          <w:rFonts w:ascii="Calibri Light" w:hAnsi="Calibri Light" w:cs="Calibri Light"/>
          <w:bCs/>
        </w:rPr>
        <w:t>the</w:t>
      </w:r>
      <w:r w:rsidR="00761359">
        <w:rPr>
          <w:rFonts w:ascii="Calibri Light" w:hAnsi="Calibri Light" w:cs="Calibri Light"/>
          <w:bCs/>
        </w:rPr>
        <w:t xml:space="preserve"> flow of foreign exchange. However, m</w:t>
      </w:r>
      <w:r w:rsidR="00761359" w:rsidRPr="009E0ABE">
        <w:rPr>
          <w:rFonts w:ascii="Calibri Light" w:hAnsi="Calibri Light" w:cs="Calibri Light"/>
          <w:bCs/>
        </w:rPr>
        <w:t>ining</w:t>
      </w:r>
      <w:r w:rsidR="00761359" w:rsidRPr="00CA2357">
        <w:rPr>
          <w:rFonts w:ascii="Calibri Light" w:hAnsi="Calibri Light" w:cs="Calibri Light"/>
          <w:bCs/>
        </w:rPr>
        <w:t xml:space="preserve">’s impact on the economy remained limited, </w:t>
      </w:r>
      <w:r w:rsidR="00761359" w:rsidRPr="009E0ABE">
        <w:rPr>
          <w:rFonts w:ascii="Calibri Light" w:hAnsi="Calibri Light" w:cs="Calibri Light"/>
          <w:bCs/>
        </w:rPr>
        <w:t>with only small, low</w:t>
      </w:r>
      <w:r w:rsidR="00761359">
        <w:rPr>
          <w:rFonts w:ascii="Calibri Light" w:hAnsi="Calibri Light" w:cs="Calibri Light"/>
          <w:bCs/>
        </w:rPr>
        <w:t>-</w:t>
      </w:r>
      <w:r w:rsidR="00761359" w:rsidRPr="009E0ABE">
        <w:rPr>
          <w:rFonts w:ascii="Calibri Light" w:hAnsi="Calibri Light" w:cs="Calibri Light"/>
          <w:bCs/>
        </w:rPr>
        <w:t>technology mines in operation.</w:t>
      </w:r>
      <w:r w:rsidR="00761359">
        <w:rPr>
          <w:rFonts w:ascii="Calibri Light" w:hAnsi="Calibri Light" w:cs="Calibri Light"/>
          <w:bCs/>
        </w:rPr>
        <w:t xml:space="preserve">  </w:t>
      </w:r>
      <w:r w:rsidR="00284FA9">
        <w:rPr>
          <w:rFonts w:ascii="Calibri Light" w:hAnsi="Calibri Light" w:cs="Calibri Light"/>
          <w:bCs/>
        </w:rPr>
        <w:t>T</w:t>
      </w:r>
      <w:r w:rsidR="0089795C" w:rsidRPr="009E0ABE">
        <w:rPr>
          <w:rFonts w:ascii="Calibri Light" w:hAnsi="Calibri Light" w:cs="Calibri Light"/>
          <w:bCs/>
        </w:rPr>
        <w:t>he</w:t>
      </w:r>
      <w:r w:rsidR="003A1BA4">
        <w:rPr>
          <w:rFonts w:ascii="Calibri Light" w:hAnsi="Calibri Light" w:cs="Calibri Light"/>
          <w:bCs/>
        </w:rPr>
        <w:t> </w:t>
      </w:r>
      <w:r w:rsidR="0089795C" w:rsidRPr="009E0ABE">
        <w:rPr>
          <w:rFonts w:ascii="Calibri Light" w:hAnsi="Calibri Light" w:cs="Calibri Light"/>
          <w:bCs/>
        </w:rPr>
        <w:t xml:space="preserve">potential impacts of poor mining governance were highlighted by the </w:t>
      </w:r>
      <w:r w:rsidR="007D110D" w:rsidRPr="009E0ABE">
        <w:rPr>
          <w:rFonts w:ascii="Calibri Light" w:hAnsi="Calibri Light" w:cs="Calibri Light"/>
          <w:bCs/>
        </w:rPr>
        <w:t>grounding of</w:t>
      </w:r>
      <w:r w:rsidR="0089795C" w:rsidRPr="009E0ABE">
        <w:rPr>
          <w:rFonts w:ascii="Calibri Light" w:hAnsi="Calibri Light" w:cs="Calibri Light"/>
          <w:bCs/>
        </w:rPr>
        <w:t>,</w:t>
      </w:r>
      <w:r w:rsidR="007D110D" w:rsidRPr="009E0ABE">
        <w:rPr>
          <w:rFonts w:ascii="Calibri Light" w:hAnsi="Calibri Light" w:cs="Calibri Light"/>
          <w:bCs/>
        </w:rPr>
        <w:t xml:space="preserve"> and subsequent</w:t>
      </w:r>
      <w:r w:rsidR="007D110D">
        <w:rPr>
          <w:rFonts w:ascii="Calibri Light" w:hAnsi="Calibri Light" w:cs="Calibri Light"/>
          <w:bCs/>
        </w:rPr>
        <w:t xml:space="preserve"> oil spill from</w:t>
      </w:r>
      <w:r w:rsidR="0089795C">
        <w:rPr>
          <w:rFonts w:ascii="Calibri Light" w:hAnsi="Calibri Light" w:cs="Calibri Light"/>
          <w:bCs/>
        </w:rPr>
        <w:t>,</w:t>
      </w:r>
      <w:r w:rsidR="007D110D">
        <w:rPr>
          <w:rFonts w:ascii="Calibri Light" w:hAnsi="Calibri Light" w:cs="Calibri Light"/>
          <w:bCs/>
        </w:rPr>
        <w:t xml:space="preserve"> a vessel loading bauxite on remote Rennell Island in February 2019</w:t>
      </w:r>
      <w:r w:rsidR="00761359">
        <w:rPr>
          <w:rFonts w:ascii="Calibri Light" w:hAnsi="Calibri Light" w:cs="Calibri Light"/>
          <w:bCs/>
        </w:rPr>
        <w:t xml:space="preserve">.  </w:t>
      </w:r>
    </w:p>
    <w:p w:rsidR="00501964" w:rsidRPr="005B4D51" w:rsidRDefault="00D5179E" w:rsidP="005B4D51">
      <w:pPr>
        <w:suppressAutoHyphens w:val="0"/>
        <w:autoSpaceDE w:val="0"/>
        <w:autoSpaceDN w:val="0"/>
        <w:adjustRightInd w:val="0"/>
        <w:spacing w:before="0" w:after="0" w:line="240" w:lineRule="auto"/>
        <w:rPr>
          <w:rFonts w:ascii="Calibri Light" w:hAnsi="Calibri Light" w:cs="Calibri Light"/>
        </w:rPr>
      </w:pPr>
      <w:r w:rsidRPr="00D5179E">
        <w:rPr>
          <w:rFonts w:ascii="Calibri Light" w:hAnsi="Calibri Light" w:cs="Calibri Light"/>
          <w:b/>
          <w:lang w:val="en-AU"/>
        </w:rPr>
        <w:lastRenderedPageBreak/>
        <w:t>T</w:t>
      </w:r>
      <w:r w:rsidRPr="00802AD4">
        <w:rPr>
          <w:rFonts w:ascii="Calibri Light" w:hAnsi="Calibri Light" w:cs="Calibri Light"/>
          <w:b/>
          <w:bCs/>
        </w:rPr>
        <w:t>he quality of Solomon Islands’ human resources is limited by</w:t>
      </w:r>
      <w:r w:rsidRPr="00802AD4">
        <w:rPr>
          <w:rFonts w:ascii="Calibri Light" w:hAnsi="Calibri Light" w:cs="Calibri Light"/>
        </w:rPr>
        <w:t xml:space="preserve"> </w:t>
      </w:r>
      <w:r w:rsidRPr="00802AD4">
        <w:rPr>
          <w:rFonts w:ascii="Calibri Light" w:hAnsi="Calibri Light" w:cs="Calibri Light"/>
          <w:b/>
          <w:bCs/>
        </w:rPr>
        <w:t>poor access to quality education and attainment of basic skills</w:t>
      </w:r>
      <w:r w:rsidRPr="00802AD4">
        <w:rPr>
          <w:rFonts w:ascii="Calibri Light" w:hAnsi="Calibri Light" w:cs="Calibri Light"/>
        </w:rPr>
        <w:t xml:space="preserve">. </w:t>
      </w:r>
      <w:r w:rsidR="000909BD">
        <w:rPr>
          <w:rFonts w:ascii="Calibri Light" w:hAnsi="Calibri Light" w:cs="Calibri Light"/>
        </w:rPr>
        <w:t xml:space="preserve"> </w:t>
      </w:r>
      <w:r w:rsidRPr="00802AD4">
        <w:rPr>
          <w:rFonts w:ascii="Calibri Light" w:hAnsi="Calibri Light" w:cs="Calibri Light"/>
        </w:rPr>
        <w:t xml:space="preserve">While the net primary school enrolment rate is </w:t>
      </w:r>
      <w:r w:rsidR="00B53096">
        <w:rPr>
          <w:rFonts w:ascii="Calibri Light" w:hAnsi="Calibri Light" w:cs="Calibri Light"/>
        </w:rPr>
        <w:t>91.8</w:t>
      </w:r>
      <w:r w:rsidRPr="00802AD4">
        <w:rPr>
          <w:rFonts w:ascii="Calibri Light" w:hAnsi="Calibri Light" w:cs="Calibri Light"/>
        </w:rPr>
        <w:t xml:space="preserve"> per cent (2017), children are dropping out early and frequently repeating, leading to low transition rates to secondary schooling.</w:t>
      </w:r>
      <w:r w:rsidR="00983696">
        <w:rPr>
          <w:rFonts w:ascii="Calibri Light" w:hAnsi="Calibri Light" w:cs="Calibri Light"/>
        </w:rPr>
        <w:t xml:space="preserve">  Results for literacy and numeracy show a comparatively high performance relative to other countries in the Pacific region, however many students are performing below expected levels and </w:t>
      </w:r>
      <w:r w:rsidR="00983696" w:rsidRPr="00983696">
        <w:rPr>
          <w:rFonts w:ascii="Calibri Light" w:hAnsi="Calibri Light" w:cs="Calibri Light"/>
        </w:rPr>
        <w:t>t</w:t>
      </w:r>
      <w:r w:rsidR="00983696">
        <w:rPr>
          <w:rFonts w:ascii="Calibri Light" w:hAnsi="Calibri Light" w:cs="Calibri Light"/>
        </w:rPr>
        <w:t>here is</w:t>
      </w:r>
      <w:r w:rsidR="00983696" w:rsidRPr="005B4D51">
        <w:rPr>
          <w:rFonts w:ascii="Calibri Light" w:hAnsi="Calibri Light" w:cs="Calibri Light"/>
        </w:rPr>
        <w:t xml:space="preserve"> </w:t>
      </w:r>
      <w:r w:rsidR="00983696">
        <w:rPr>
          <w:rFonts w:ascii="Calibri Light" w:hAnsi="Calibri Light" w:cs="Calibri Light"/>
        </w:rPr>
        <w:t xml:space="preserve">significant geographic </w:t>
      </w:r>
      <w:r w:rsidR="00983696" w:rsidRPr="005B4D51">
        <w:rPr>
          <w:rFonts w:ascii="Calibri Light" w:hAnsi="Calibri Light" w:cs="Calibri Light"/>
        </w:rPr>
        <w:t>disparity in learning outcom</w:t>
      </w:r>
      <w:r w:rsidR="00983696" w:rsidRPr="00983696">
        <w:rPr>
          <w:rFonts w:ascii="Calibri Light" w:hAnsi="Calibri Light" w:cs="Calibri Light"/>
        </w:rPr>
        <w:t>es</w:t>
      </w:r>
      <w:r w:rsidR="00983696" w:rsidRPr="005B4D51">
        <w:rPr>
          <w:rFonts w:ascii="Calibri Light" w:hAnsi="Calibri Light" w:cs="Calibri Light"/>
        </w:rPr>
        <w:t>.</w:t>
      </w:r>
      <w:r w:rsidR="00983696">
        <w:rPr>
          <w:rFonts w:ascii="Calibri Light" w:hAnsi="Calibri Light" w:cs="Calibri Light"/>
        </w:rPr>
        <w:t xml:space="preserve">  </w:t>
      </w:r>
      <w:r w:rsidRPr="00802AD4">
        <w:rPr>
          <w:rFonts w:ascii="Calibri Light" w:hAnsi="Calibri Light" w:cs="Calibri Light"/>
        </w:rPr>
        <w:t>Less</w:t>
      </w:r>
      <w:r w:rsidR="003A1BA4">
        <w:rPr>
          <w:rFonts w:ascii="Calibri Light" w:hAnsi="Calibri Light" w:cs="Calibri Light"/>
        </w:rPr>
        <w:t> </w:t>
      </w:r>
      <w:r w:rsidRPr="00802AD4">
        <w:rPr>
          <w:rFonts w:ascii="Calibri Light" w:hAnsi="Calibri Light" w:cs="Calibri Light"/>
        </w:rPr>
        <w:t>than three per cent of the population between the ages of 15 to 24 ha</w:t>
      </w:r>
      <w:r w:rsidR="003D0462">
        <w:rPr>
          <w:rFonts w:ascii="Calibri Light" w:hAnsi="Calibri Light" w:cs="Calibri Light"/>
        </w:rPr>
        <w:t>ve</w:t>
      </w:r>
      <w:r w:rsidRPr="00802AD4">
        <w:rPr>
          <w:rFonts w:ascii="Calibri Light" w:hAnsi="Calibri Light" w:cs="Calibri Light"/>
        </w:rPr>
        <w:t xml:space="preserve"> acquired a TVET certification</w:t>
      </w:r>
      <w:r w:rsidRPr="00802AD4">
        <w:rPr>
          <w:rStyle w:val="FootnoteReference"/>
          <w:rFonts w:ascii="Calibri Light" w:hAnsi="Calibri Light" w:cs="Calibri Light"/>
        </w:rPr>
        <w:footnoteReference w:id="5"/>
      </w:r>
      <w:r w:rsidRPr="00802AD4">
        <w:rPr>
          <w:rFonts w:ascii="Calibri Light" w:hAnsi="Calibri Light" w:cs="Calibri Light"/>
        </w:rPr>
        <w:t xml:space="preserve"> and </w:t>
      </w:r>
      <w:r w:rsidR="003A1BA4">
        <w:rPr>
          <w:rFonts w:ascii="Calibri Light" w:hAnsi="Calibri Light" w:cs="Calibri Light"/>
        </w:rPr>
        <w:t xml:space="preserve">only </w:t>
      </w:r>
      <w:r w:rsidRPr="00802AD4">
        <w:rPr>
          <w:rFonts w:ascii="Calibri Light" w:hAnsi="Calibri Light" w:cs="Calibri Light"/>
        </w:rPr>
        <w:t>one to three per</w:t>
      </w:r>
      <w:r w:rsidR="003A1BA4">
        <w:rPr>
          <w:rFonts w:ascii="Calibri Light" w:hAnsi="Calibri Light" w:cs="Calibri Light"/>
        </w:rPr>
        <w:t xml:space="preserve"> </w:t>
      </w:r>
      <w:r w:rsidRPr="00802AD4">
        <w:rPr>
          <w:rFonts w:ascii="Calibri Light" w:hAnsi="Calibri Light" w:cs="Calibri Light"/>
        </w:rPr>
        <w:t>cent of students go to university.</w:t>
      </w:r>
      <w:r w:rsidRPr="00D5179E">
        <w:rPr>
          <w:rFonts w:cstheme="minorHAnsi"/>
          <w:b/>
        </w:rPr>
        <w:t xml:space="preserve"> </w:t>
      </w:r>
      <w:r w:rsidR="000909BD">
        <w:rPr>
          <w:rFonts w:cstheme="minorHAnsi"/>
          <w:b/>
        </w:rPr>
        <w:t xml:space="preserve"> </w:t>
      </w:r>
      <w:r w:rsidRPr="00D5179E">
        <w:rPr>
          <w:rFonts w:cstheme="minorHAnsi"/>
        </w:rPr>
        <w:t>Key health</w:t>
      </w:r>
      <w:r w:rsidRPr="00D5179E">
        <w:rPr>
          <w:rFonts w:ascii="Calibri Light" w:hAnsi="Calibri Light" w:cs="Calibri Light"/>
          <w:bCs/>
        </w:rPr>
        <w:t xml:space="preserve"> indicators have improved, but Solomon Islands is dealing with the ‘dual burden’ of communicable and non-communicable disease</w:t>
      </w:r>
      <w:r w:rsidRPr="00D5179E">
        <w:rPr>
          <w:rFonts w:ascii="Calibri Light" w:hAnsi="Calibri Light" w:cs="Calibri Light"/>
        </w:rPr>
        <w:t xml:space="preserve">.  </w:t>
      </w:r>
      <w:r w:rsidR="00501964" w:rsidRPr="001267CF">
        <w:rPr>
          <w:rFonts w:cstheme="minorHAnsi"/>
          <w:bCs/>
        </w:rPr>
        <w:t>Women face significant levels of gender inequality in Solomon Islands</w:t>
      </w:r>
      <w:r w:rsidR="00501964" w:rsidRPr="00802AD4">
        <w:rPr>
          <w:rFonts w:cstheme="minorHAnsi"/>
          <w:b/>
          <w:bCs/>
        </w:rPr>
        <w:t xml:space="preserve">.  </w:t>
      </w:r>
      <w:r w:rsidR="00501964" w:rsidRPr="00802AD4">
        <w:rPr>
          <w:rFonts w:cstheme="minorHAnsi"/>
          <w:bCs/>
        </w:rPr>
        <w:t>Women are twice as likely as men to have no schoo</w:t>
      </w:r>
      <w:r w:rsidR="00091805">
        <w:rPr>
          <w:rFonts w:cstheme="minorHAnsi"/>
          <w:bCs/>
        </w:rPr>
        <w:t>ling and in rural areas only 14 per cent</w:t>
      </w:r>
      <w:r w:rsidR="00501964" w:rsidRPr="00802AD4">
        <w:rPr>
          <w:rFonts w:cstheme="minorHAnsi"/>
          <w:bCs/>
        </w:rPr>
        <w:t xml:space="preserve"> of women have functi</w:t>
      </w:r>
      <w:r w:rsidR="00091805">
        <w:rPr>
          <w:rFonts w:cstheme="minorHAnsi"/>
          <w:bCs/>
        </w:rPr>
        <w:t>onal literacy, compared with 21 per cent</w:t>
      </w:r>
      <w:r w:rsidR="00501964" w:rsidRPr="00802AD4">
        <w:rPr>
          <w:rFonts w:cstheme="minorHAnsi"/>
          <w:bCs/>
        </w:rPr>
        <w:t xml:space="preserve"> of men.</w:t>
      </w:r>
      <w:r w:rsidR="009413D4">
        <w:rPr>
          <w:rFonts w:cstheme="minorHAnsi"/>
          <w:bCs/>
        </w:rPr>
        <w:t xml:space="preserve"> </w:t>
      </w:r>
      <w:r w:rsidR="00501964" w:rsidRPr="00802AD4">
        <w:rPr>
          <w:rFonts w:cstheme="minorHAnsi"/>
          <w:bCs/>
        </w:rPr>
        <w:t xml:space="preserve"> </w:t>
      </w:r>
    </w:p>
    <w:p w:rsidR="00D5179E" w:rsidRDefault="00501964" w:rsidP="00501964">
      <w:pPr>
        <w:pStyle w:val="Default"/>
        <w:spacing w:before="120" w:after="120"/>
        <w:rPr>
          <w:color w:val="495965" w:themeColor="text2"/>
          <w:sz w:val="22"/>
          <w:szCs w:val="22"/>
        </w:rPr>
      </w:pPr>
      <w:r w:rsidRPr="00802AD4">
        <w:rPr>
          <w:b/>
          <w:color w:val="495965" w:themeColor="text2"/>
          <w:sz w:val="22"/>
          <w:szCs w:val="22"/>
        </w:rPr>
        <w:t>In March 2019, Solomon Islands delivered its first election post-RAMSI</w:t>
      </w:r>
      <w:r w:rsidR="001267CF">
        <w:rPr>
          <w:b/>
          <w:color w:val="495965" w:themeColor="text2"/>
          <w:sz w:val="22"/>
          <w:szCs w:val="22"/>
        </w:rPr>
        <w:t xml:space="preserve">.  </w:t>
      </w:r>
      <w:r w:rsidR="001267CF" w:rsidRPr="001267CF">
        <w:rPr>
          <w:rFonts w:asciiTheme="minorHAnsi" w:hAnsiTheme="minorHAnsi" w:cstheme="minorHAnsi"/>
          <w:bCs/>
          <w:color w:val="495965" w:themeColor="text2"/>
          <w:sz w:val="22"/>
          <w:szCs w:val="22"/>
          <w:lang w:val="en-GB"/>
        </w:rPr>
        <w:t>The Commonwealth commended the Solomon Islands Electoral Commission</w:t>
      </w:r>
      <w:r w:rsidR="00AF5F22">
        <w:rPr>
          <w:rFonts w:asciiTheme="minorHAnsi" w:hAnsiTheme="minorHAnsi" w:cstheme="minorHAnsi"/>
          <w:bCs/>
          <w:color w:val="495965" w:themeColor="text2"/>
          <w:sz w:val="22"/>
          <w:szCs w:val="22"/>
          <w:lang w:val="en-GB"/>
        </w:rPr>
        <w:t xml:space="preserve"> for</w:t>
      </w:r>
      <w:r w:rsidR="001267CF" w:rsidRPr="001267CF">
        <w:rPr>
          <w:rFonts w:asciiTheme="minorHAnsi" w:hAnsiTheme="minorHAnsi" w:cstheme="minorHAnsi"/>
          <w:bCs/>
          <w:color w:val="495965" w:themeColor="text2"/>
          <w:sz w:val="22"/>
          <w:szCs w:val="22"/>
          <w:lang w:val="en-GB"/>
        </w:rPr>
        <w:t xml:space="preserve"> </w:t>
      </w:r>
      <w:r w:rsidR="001267CF" w:rsidRPr="00D5179E">
        <w:rPr>
          <w:rFonts w:asciiTheme="minorHAnsi" w:hAnsiTheme="minorHAnsi" w:cstheme="minorHAnsi"/>
          <w:bCs/>
          <w:color w:val="495965" w:themeColor="text2"/>
          <w:sz w:val="22"/>
          <w:szCs w:val="22"/>
          <w:lang w:val="en-GB"/>
        </w:rPr>
        <w:t>strengthen</w:t>
      </w:r>
      <w:r w:rsidR="001267CF" w:rsidRPr="001267CF">
        <w:rPr>
          <w:rFonts w:asciiTheme="minorHAnsi" w:hAnsiTheme="minorHAnsi" w:cstheme="minorHAnsi"/>
          <w:bCs/>
          <w:color w:val="495965" w:themeColor="text2"/>
          <w:sz w:val="22"/>
          <w:szCs w:val="22"/>
          <w:lang w:val="en-GB"/>
        </w:rPr>
        <w:t>ing</w:t>
      </w:r>
      <w:r w:rsidR="001267CF" w:rsidRPr="00D5179E">
        <w:rPr>
          <w:rFonts w:asciiTheme="minorHAnsi" w:hAnsiTheme="minorHAnsi" w:cstheme="minorHAnsi"/>
          <w:bCs/>
          <w:color w:val="495965" w:themeColor="text2"/>
          <w:sz w:val="22"/>
          <w:szCs w:val="22"/>
          <w:lang w:val="en-GB"/>
        </w:rPr>
        <w:t xml:space="preserve"> the administration of the election </w:t>
      </w:r>
      <w:r w:rsidR="001267CF" w:rsidRPr="001267CF">
        <w:rPr>
          <w:rFonts w:asciiTheme="minorHAnsi" w:hAnsiTheme="minorHAnsi" w:cstheme="minorHAnsi"/>
          <w:bCs/>
          <w:color w:val="495965" w:themeColor="text2"/>
          <w:sz w:val="22"/>
          <w:szCs w:val="22"/>
          <w:lang w:val="en-GB"/>
        </w:rPr>
        <w:t>under the new Electoral Act</w:t>
      </w:r>
      <w:r w:rsidR="00AF5F22">
        <w:rPr>
          <w:rFonts w:asciiTheme="minorHAnsi" w:hAnsiTheme="minorHAnsi" w:cstheme="minorHAnsi"/>
          <w:bCs/>
          <w:color w:val="495965" w:themeColor="text2"/>
          <w:sz w:val="22"/>
          <w:szCs w:val="22"/>
          <w:lang w:val="en-GB"/>
        </w:rPr>
        <w:t xml:space="preserve">.  It </w:t>
      </w:r>
      <w:r w:rsidR="001267CF">
        <w:rPr>
          <w:rFonts w:asciiTheme="minorHAnsi" w:hAnsiTheme="minorHAnsi" w:cstheme="minorHAnsi"/>
          <w:bCs/>
          <w:color w:val="495965" w:themeColor="text2"/>
          <w:sz w:val="22"/>
          <w:szCs w:val="22"/>
          <w:lang w:val="en-GB"/>
        </w:rPr>
        <w:t xml:space="preserve">also </w:t>
      </w:r>
      <w:r w:rsidR="00AF5F22">
        <w:rPr>
          <w:rFonts w:asciiTheme="minorHAnsi" w:hAnsiTheme="minorHAnsi" w:cstheme="minorHAnsi"/>
          <w:bCs/>
          <w:color w:val="495965" w:themeColor="text2"/>
          <w:sz w:val="22"/>
          <w:szCs w:val="22"/>
          <w:lang w:val="en-GB"/>
        </w:rPr>
        <w:t xml:space="preserve">highlighted </w:t>
      </w:r>
      <w:r w:rsidR="001267CF">
        <w:rPr>
          <w:rFonts w:asciiTheme="minorHAnsi" w:hAnsiTheme="minorHAnsi" w:cstheme="minorHAnsi"/>
          <w:bCs/>
          <w:color w:val="495965" w:themeColor="text2"/>
          <w:sz w:val="22"/>
          <w:szCs w:val="22"/>
          <w:lang w:val="en-GB"/>
        </w:rPr>
        <w:t>areas for ongoing work</w:t>
      </w:r>
      <w:r w:rsidR="00AF5F22">
        <w:rPr>
          <w:rFonts w:asciiTheme="minorHAnsi" w:hAnsiTheme="minorHAnsi" w:cstheme="minorHAnsi"/>
          <w:bCs/>
          <w:color w:val="495965" w:themeColor="text2"/>
          <w:sz w:val="22"/>
          <w:szCs w:val="22"/>
          <w:lang w:val="en-GB"/>
        </w:rPr>
        <w:t>, including calling</w:t>
      </w:r>
      <w:r w:rsidR="001267CF">
        <w:rPr>
          <w:rFonts w:asciiTheme="minorHAnsi" w:hAnsiTheme="minorHAnsi" w:cstheme="minorHAnsi"/>
          <w:bCs/>
          <w:color w:val="495965" w:themeColor="text2"/>
          <w:sz w:val="22"/>
          <w:szCs w:val="22"/>
          <w:lang w:val="en-GB"/>
        </w:rPr>
        <w:t xml:space="preserve"> on </w:t>
      </w:r>
      <w:r w:rsidR="001267CF" w:rsidRPr="001267CF">
        <w:rPr>
          <w:rFonts w:asciiTheme="minorHAnsi" w:hAnsiTheme="minorHAnsi" w:cstheme="minorHAnsi"/>
          <w:bCs/>
          <w:color w:val="495965" w:themeColor="text2"/>
          <w:sz w:val="22"/>
          <w:szCs w:val="22"/>
          <w:lang w:val="en-GB"/>
        </w:rPr>
        <w:t>political parties to increase the political representation of women</w:t>
      </w:r>
      <w:r w:rsidR="00D5179E" w:rsidRPr="001267CF">
        <w:rPr>
          <w:rStyle w:val="FootnoteReference"/>
          <w:color w:val="495965" w:themeColor="text2"/>
          <w:sz w:val="22"/>
          <w:szCs w:val="22"/>
        </w:rPr>
        <w:footnoteReference w:id="6"/>
      </w:r>
      <w:r w:rsidR="00D5179E" w:rsidRPr="001267CF">
        <w:rPr>
          <w:color w:val="495965" w:themeColor="text2"/>
          <w:sz w:val="22"/>
          <w:szCs w:val="22"/>
        </w:rPr>
        <w:t>.</w:t>
      </w:r>
      <w:r w:rsidR="002E0470">
        <w:rPr>
          <w:color w:val="495965" w:themeColor="text2"/>
          <w:sz w:val="22"/>
          <w:szCs w:val="22"/>
        </w:rPr>
        <w:t xml:space="preserve">  </w:t>
      </w:r>
    </w:p>
    <w:p w:rsidR="00501964" w:rsidRPr="00802AD4" w:rsidRDefault="00501964" w:rsidP="00501964">
      <w:pPr>
        <w:pStyle w:val="Default"/>
        <w:spacing w:before="120" w:after="120"/>
        <w:rPr>
          <w:color w:val="495965" w:themeColor="text2"/>
          <w:sz w:val="22"/>
          <w:szCs w:val="22"/>
        </w:rPr>
      </w:pPr>
      <w:r w:rsidRPr="00802AD4">
        <w:rPr>
          <w:b/>
          <w:color w:val="495965" w:themeColor="text2"/>
          <w:sz w:val="22"/>
          <w:szCs w:val="22"/>
        </w:rPr>
        <w:t>The 2019 budget</w:t>
      </w:r>
      <w:r w:rsidR="00AF5F22">
        <w:rPr>
          <w:b/>
          <w:color w:val="495965" w:themeColor="text2"/>
          <w:sz w:val="22"/>
          <w:szCs w:val="22"/>
        </w:rPr>
        <w:t>,</w:t>
      </w:r>
      <w:r w:rsidRPr="00802AD4">
        <w:rPr>
          <w:b/>
          <w:color w:val="495965" w:themeColor="text2"/>
          <w:sz w:val="22"/>
          <w:szCs w:val="22"/>
        </w:rPr>
        <w:t xml:space="preserve"> with its focus on restoring fiscal stability and sustainability</w:t>
      </w:r>
      <w:r w:rsidR="00AF5F22">
        <w:rPr>
          <w:b/>
          <w:color w:val="495965" w:themeColor="text2"/>
          <w:sz w:val="22"/>
          <w:szCs w:val="22"/>
        </w:rPr>
        <w:t>,</w:t>
      </w:r>
      <w:r w:rsidRPr="00802AD4">
        <w:rPr>
          <w:color w:val="495965" w:themeColor="text2"/>
          <w:sz w:val="22"/>
          <w:szCs w:val="22"/>
        </w:rPr>
        <w:t xml:space="preserve"> </w:t>
      </w:r>
      <w:r w:rsidRPr="00802AD4">
        <w:rPr>
          <w:b/>
          <w:color w:val="495965" w:themeColor="text2"/>
          <w:sz w:val="22"/>
          <w:szCs w:val="22"/>
        </w:rPr>
        <w:t>is</w:t>
      </w:r>
      <w:r w:rsidR="00AF5F22">
        <w:rPr>
          <w:b/>
          <w:color w:val="495965" w:themeColor="text2"/>
          <w:sz w:val="22"/>
          <w:szCs w:val="22"/>
        </w:rPr>
        <w:t xml:space="preserve"> a</w:t>
      </w:r>
      <w:r w:rsidRPr="00802AD4">
        <w:rPr>
          <w:b/>
          <w:color w:val="495965" w:themeColor="text2"/>
          <w:sz w:val="22"/>
          <w:szCs w:val="22"/>
        </w:rPr>
        <w:t xml:space="preserve"> promising sign for</w:t>
      </w:r>
      <w:r w:rsidR="001267CF">
        <w:rPr>
          <w:b/>
          <w:color w:val="495965" w:themeColor="text2"/>
          <w:sz w:val="22"/>
          <w:szCs w:val="22"/>
        </w:rPr>
        <w:t xml:space="preserve"> governance in Solomon Islands.  </w:t>
      </w:r>
      <w:r w:rsidR="00577FEE">
        <w:rPr>
          <w:color w:val="495965" w:themeColor="text2"/>
          <w:sz w:val="22"/>
          <w:szCs w:val="22"/>
        </w:rPr>
        <w:t>A</w:t>
      </w:r>
      <w:r w:rsidRPr="00802AD4">
        <w:rPr>
          <w:color w:val="495965" w:themeColor="text2"/>
          <w:sz w:val="22"/>
          <w:szCs w:val="22"/>
        </w:rPr>
        <w:t xml:space="preserve"> significant measure was an almost 60</w:t>
      </w:r>
      <w:r w:rsidR="00234E22">
        <w:rPr>
          <w:color w:val="495965" w:themeColor="text2"/>
          <w:sz w:val="22"/>
          <w:szCs w:val="22"/>
        </w:rPr>
        <w:t> </w:t>
      </w:r>
      <w:r w:rsidRPr="00802AD4">
        <w:rPr>
          <w:color w:val="495965" w:themeColor="text2"/>
          <w:sz w:val="22"/>
          <w:szCs w:val="22"/>
        </w:rPr>
        <w:t xml:space="preserve">per cent reduction in the discretionary spending available to Members of Parliament. </w:t>
      </w:r>
      <w:r w:rsidR="001267CF">
        <w:rPr>
          <w:color w:val="495965" w:themeColor="text2"/>
          <w:sz w:val="22"/>
          <w:szCs w:val="22"/>
        </w:rPr>
        <w:t xml:space="preserve"> </w:t>
      </w:r>
      <w:r w:rsidRPr="00802AD4">
        <w:rPr>
          <w:color w:val="495965" w:themeColor="text2"/>
          <w:sz w:val="22"/>
          <w:szCs w:val="22"/>
        </w:rPr>
        <w:t xml:space="preserve">Savings were </w:t>
      </w:r>
      <w:r w:rsidRPr="005B4D51">
        <w:rPr>
          <w:color w:val="495965" w:themeColor="text2"/>
          <w:sz w:val="22"/>
          <w:szCs w:val="22"/>
        </w:rPr>
        <w:t xml:space="preserve">directed to much-needed priorities including </w:t>
      </w:r>
      <w:r w:rsidRPr="005B4D51">
        <w:rPr>
          <w:rStyle w:val="Strong"/>
          <w:b w:val="0"/>
          <w:color w:val="495965" w:themeColor="text2"/>
          <w:sz w:val="22"/>
          <w:szCs w:val="22"/>
        </w:rPr>
        <w:t>education which</w:t>
      </w:r>
      <w:r w:rsidRPr="005B4D51">
        <w:rPr>
          <w:color w:val="495965" w:themeColor="text2"/>
          <w:sz w:val="22"/>
          <w:szCs w:val="22"/>
        </w:rPr>
        <w:t xml:space="preserve"> received </w:t>
      </w:r>
      <w:r w:rsidR="00AF5F22" w:rsidRPr="005B4D51">
        <w:rPr>
          <w:color w:val="495965" w:themeColor="text2"/>
          <w:sz w:val="22"/>
          <w:szCs w:val="22"/>
        </w:rPr>
        <w:t xml:space="preserve">approximately </w:t>
      </w:r>
      <w:r w:rsidRPr="005B4D51">
        <w:rPr>
          <w:color w:val="495965" w:themeColor="text2"/>
          <w:sz w:val="22"/>
          <w:szCs w:val="22"/>
        </w:rPr>
        <w:t xml:space="preserve">36 per cent of the budget. </w:t>
      </w:r>
      <w:r w:rsidR="000909BD" w:rsidRPr="005B4D51">
        <w:rPr>
          <w:color w:val="495965" w:themeColor="text2"/>
          <w:sz w:val="22"/>
          <w:szCs w:val="22"/>
        </w:rPr>
        <w:t xml:space="preserve"> </w:t>
      </w:r>
      <w:r w:rsidR="003D0462">
        <w:rPr>
          <w:color w:val="495965" w:themeColor="text2"/>
          <w:sz w:val="22"/>
          <w:szCs w:val="22"/>
        </w:rPr>
        <w:t>An upcoming priority</w:t>
      </w:r>
      <w:r w:rsidRPr="005B4D51">
        <w:rPr>
          <w:color w:val="495965" w:themeColor="text2"/>
          <w:sz w:val="22"/>
          <w:szCs w:val="22"/>
        </w:rPr>
        <w:t xml:space="preserve"> for the country </w:t>
      </w:r>
      <w:r w:rsidR="003D0462">
        <w:rPr>
          <w:color w:val="495965" w:themeColor="text2"/>
          <w:sz w:val="22"/>
          <w:szCs w:val="22"/>
        </w:rPr>
        <w:t xml:space="preserve">is </w:t>
      </w:r>
      <w:r w:rsidRPr="005B4D51">
        <w:rPr>
          <w:color w:val="495965" w:themeColor="text2"/>
          <w:sz w:val="22"/>
          <w:szCs w:val="22"/>
        </w:rPr>
        <w:t>the hosting of the 2023 Pacific Games</w:t>
      </w:r>
      <w:r w:rsidR="00577FEE" w:rsidRPr="005B4D51">
        <w:rPr>
          <w:color w:val="495965" w:themeColor="text2"/>
          <w:sz w:val="22"/>
          <w:szCs w:val="22"/>
        </w:rPr>
        <w:t>,</w:t>
      </w:r>
      <w:r w:rsidRPr="005B4D51">
        <w:rPr>
          <w:color w:val="495965" w:themeColor="text2"/>
          <w:sz w:val="22"/>
          <w:szCs w:val="22"/>
        </w:rPr>
        <w:t xml:space="preserve"> which some consider represents a commitment beyond Solomon Islands’ ability to afford or its capacity to deliver.</w:t>
      </w:r>
      <w:r w:rsidRPr="00802AD4">
        <w:rPr>
          <w:color w:val="495965" w:themeColor="text2"/>
          <w:sz w:val="22"/>
          <w:szCs w:val="22"/>
        </w:rPr>
        <w:t xml:space="preserve"> </w:t>
      </w:r>
      <w:r w:rsidR="000909BD">
        <w:rPr>
          <w:color w:val="495965" w:themeColor="text2"/>
          <w:sz w:val="22"/>
          <w:szCs w:val="22"/>
        </w:rPr>
        <w:t xml:space="preserve"> </w:t>
      </w:r>
      <w:r w:rsidR="00D5179E" w:rsidRPr="00802AD4">
        <w:rPr>
          <w:color w:val="495965" w:themeColor="text2"/>
          <w:sz w:val="22"/>
          <w:szCs w:val="22"/>
        </w:rPr>
        <w:t xml:space="preserve">The Core Economic </w:t>
      </w:r>
      <w:r w:rsidR="00D5179E">
        <w:rPr>
          <w:color w:val="495965" w:themeColor="text2"/>
          <w:sz w:val="22"/>
          <w:szCs w:val="22"/>
        </w:rPr>
        <w:t>Working Group</w:t>
      </w:r>
      <w:r w:rsidR="00752AC0">
        <w:rPr>
          <w:color w:val="495965" w:themeColor="text2"/>
          <w:sz w:val="22"/>
          <w:szCs w:val="22"/>
        </w:rPr>
        <w:t xml:space="preserve"> deliver</w:t>
      </w:r>
      <w:r w:rsidR="00577FEE">
        <w:rPr>
          <w:color w:val="495965" w:themeColor="text2"/>
          <w:sz w:val="22"/>
          <w:szCs w:val="22"/>
        </w:rPr>
        <w:t>ed</w:t>
      </w:r>
      <w:r w:rsidR="00752AC0">
        <w:rPr>
          <w:color w:val="495965" w:themeColor="text2"/>
          <w:sz w:val="22"/>
          <w:szCs w:val="22"/>
        </w:rPr>
        <w:t xml:space="preserve"> on its mandate, enabling </w:t>
      </w:r>
      <w:r w:rsidR="00D5179E" w:rsidRPr="00802AD4">
        <w:rPr>
          <w:color w:val="495965" w:themeColor="text2"/>
          <w:sz w:val="22"/>
          <w:szCs w:val="22"/>
        </w:rPr>
        <w:t>policy discussion between the Solomon Islands Government and development partners on issues including public financial management and economic reforms.</w:t>
      </w:r>
    </w:p>
    <w:p w:rsidR="00501964" w:rsidRPr="00802AD4" w:rsidRDefault="00501964" w:rsidP="00501964">
      <w:pPr>
        <w:pStyle w:val="PlainText"/>
        <w:rPr>
          <w:color w:val="495965" w:themeColor="text2"/>
        </w:rPr>
      </w:pPr>
      <w:r w:rsidRPr="00802AD4">
        <w:rPr>
          <w:rFonts w:ascii="Calibri Light" w:hAnsi="Calibri Light" w:cs="Calibri Light"/>
          <w:b/>
          <w:bCs/>
          <w:color w:val="495965" w:themeColor="text2"/>
        </w:rPr>
        <w:t xml:space="preserve">The UN Committee for Development Policy recommended Solomon Islands’ graduation from </w:t>
      </w:r>
      <w:r w:rsidR="00FA294B">
        <w:rPr>
          <w:rFonts w:ascii="Calibri Light" w:hAnsi="Calibri Light" w:cs="Calibri Light"/>
          <w:b/>
          <w:bCs/>
          <w:color w:val="495965" w:themeColor="text2"/>
        </w:rPr>
        <w:t>Least Developed Country (</w:t>
      </w:r>
      <w:r w:rsidRPr="00802AD4">
        <w:rPr>
          <w:rFonts w:ascii="Calibri Light" w:hAnsi="Calibri Light" w:cs="Calibri Light"/>
          <w:b/>
          <w:bCs/>
          <w:color w:val="495965" w:themeColor="text2"/>
        </w:rPr>
        <w:t>LDC</w:t>
      </w:r>
      <w:r w:rsidR="00FA294B">
        <w:rPr>
          <w:rFonts w:ascii="Calibri Light" w:hAnsi="Calibri Light" w:cs="Calibri Light"/>
          <w:b/>
          <w:bCs/>
          <w:color w:val="495965" w:themeColor="text2"/>
        </w:rPr>
        <w:t>)</w:t>
      </w:r>
      <w:r w:rsidRPr="00802AD4">
        <w:rPr>
          <w:rFonts w:ascii="Calibri Light" w:hAnsi="Calibri Light" w:cs="Calibri Light"/>
          <w:b/>
          <w:bCs/>
          <w:color w:val="495965" w:themeColor="text2"/>
        </w:rPr>
        <w:t xml:space="preserve"> status in March 2018</w:t>
      </w:r>
      <w:r w:rsidRPr="00802AD4">
        <w:rPr>
          <w:rFonts w:ascii="Calibri Light" w:hAnsi="Calibri Light" w:cs="Calibri Light"/>
          <w:bCs/>
          <w:color w:val="495965" w:themeColor="text2"/>
        </w:rPr>
        <w:t>.  In</w:t>
      </w:r>
      <w:r w:rsidRPr="00802AD4">
        <w:rPr>
          <w:rFonts w:ascii="Calibri Light" w:hAnsi="Calibri Light" w:cs="Calibri Light"/>
          <w:color w:val="495965" w:themeColor="text2"/>
          <w:lang w:val="en-GB"/>
        </w:rPr>
        <w:t xml:space="preserve"> December 2018 the UN General Assembly granted Solomon Islands an additional three years (six years in total) to transition from LDC status.  Solomon Islands will now graduate in 2024.  Graduation from LDC status without proper processes and regulations in place would have a significant impact on Solomon Islands’ competitiveness in exports of tuna and palm oil, due to a potential loss of </w:t>
      </w:r>
      <w:r w:rsidR="00546893">
        <w:rPr>
          <w:rFonts w:ascii="Calibri Light" w:hAnsi="Calibri Light" w:cs="Calibri Light"/>
          <w:color w:val="495965" w:themeColor="text2"/>
          <w:lang w:val="en-GB"/>
        </w:rPr>
        <w:t>duty and quota free access to European Union</w:t>
      </w:r>
      <w:r w:rsidRPr="00802AD4">
        <w:rPr>
          <w:rFonts w:ascii="Calibri Light" w:hAnsi="Calibri Light" w:cs="Calibri Light"/>
          <w:color w:val="495965" w:themeColor="text2"/>
          <w:lang w:val="en-GB"/>
        </w:rPr>
        <w:t xml:space="preserve"> markets.  The additional three years will allow Solomon Islands to meet all its obligations and negotiate trade agreements to protect exports. </w:t>
      </w:r>
    </w:p>
    <w:p w:rsidR="00F83044" w:rsidRDefault="00501964" w:rsidP="005B4D51">
      <w:pPr>
        <w:pStyle w:val="Default"/>
        <w:spacing w:before="120" w:after="120"/>
      </w:pPr>
      <w:r w:rsidRPr="00802AD4">
        <w:rPr>
          <w:b/>
          <w:color w:val="495965" w:themeColor="text2"/>
          <w:sz w:val="22"/>
          <w:szCs w:val="22"/>
        </w:rPr>
        <w:t>Australia is the largest aid partner to Solomon Islands, providing around two thirds of Solomon Islands’ development assistance.</w:t>
      </w:r>
      <w:r w:rsidRPr="00802AD4">
        <w:rPr>
          <w:color w:val="495965" w:themeColor="text2"/>
          <w:sz w:val="22"/>
          <w:szCs w:val="22"/>
        </w:rPr>
        <w:t xml:space="preserve"> </w:t>
      </w:r>
      <w:r w:rsidR="000909BD">
        <w:rPr>
          <w:color w:val="495965" w:themeColor="text2"/>
          <w:sz w:val="22"/>
          <w:szCs w:val="22"/>
        </w:rPr>
        <w:t xml:space="preserve"> </w:t>
      </w:r>
      <w:r w:rsidRPr="00802AD4">
        <w:rPr>
          <w:color w:val="495965" w:themeColor="text2"/>
          <w:sz w:val="22"/>
          <w:szCs w:val="22"/>
        </w:rPr>
        <w:t>Australia</w:t>
      </w:r>
      <w:r w:rsidR="00FA294B">
        <w:rPr>
          <w:color w:val="495965" w:themeColor="text2"/>
          <w:sz w:val="22"/>
          <w:szCs w:val="22"/>
        </w:rPr>
        <w:t>’s</w:t>
      </w:r>
      <w:r w:rsidRPr="00802AD4">
        <w:rPr>
          <w:color w:val="495965" w:themeColor="text2"/>
          <w:sz w:val="22"/>
          <w:szCs w:val="22"/>
        </w:rPr>
        <w:t xml:space="preserve"> official development assistance (ODA) to Solomon Islands in 2018-19 </w:t>
      </w:r>
      <w:r w:rsidR="00FA294B" w:rsidRPr="00802AD4">
        <w:rPr>
          <w:color w:val="495965" w:themeColor="text2"/>
          <w:sz w:val="22"/>
          <w:szCs w:val="22"/>
        </w:rPr>
        <w:t>represent</w:t>
      </w:r>
      <w:r w:rsidR="00FA294B">
        <w:rPr>
          <w:color w:val="495965" w:themeColor="text2"/>
          <w:sz w:val="22"/>
          <w:szCs w:val="22"/>
        </w:rPr>
        <w:t xml:space="preserve">ed </w:t>
      </w:r>
      <w:r w:rsidR="00100C65">
        <w:rPr>
          <w:color w:val="495965" w:themeColor="text2"/>
          <w:sz w:val="22"/>
          <w:szCs w:val="22"/>
        </w:rPr>
        <w:t>an estimated 67</w:t>
      </w:r>
      <w:r w:rsidRPr="00802AD4">
        <w:rPr>
          <w:color w:val="495965" w:themeColor="text2"/>
          <w:sz w:val="22"/>
          <w:szCs w:val="22"/>
        </w:rPr>
        <w:t xml:space="preserve"> per cent</w:t>
      </w:r>
      <w:r w:rsidR="00100C65">
        <w:rPr>
          <w:rStyle w:val="FootnoteReference"/>
          <w:color w:val="495965" w:themeColor="text2"/>
          <w:sz w:val="22"/>
          <w:szCs w:val="22"/>
        </w:rPr>
        <w:footnoteReference w:id="7"/>
      </w:r>
      <w:r w:rsidRPr="00802AD4">
        <w:rPr>
          <w:color w:val="495965" w:themeColor="text2"/>
          <w:sz w:val="22"/>
          <w:szCs w:val="22"/>
        </w:rPr>
        <w:t xml:space="preserve"> of total ODA flows to Solomon Islands and </w:t>
      </w:r>
      <w:r w:rsidR="00477907">
        <w:rPr>
          <w:color w:val="495965" w:themeColor="text2"/>
          <w:sz w:val="22"/>
          <w:szCs w:val="22"/>
        </w:rPr>
        <w:t>9.6</w:t>
      </w:r>
      <w:r w:rsidR="00477907" w:rsidRPr="00802AD4">
        <w:rPr>
          <w:color w:val="495965" w:themeColor="text2"/>
          <w:sz w:val="22"/>
          <w:szCs w:val="22"/>
        </w:rPr>
        <w:t xml:space="preserve"> </w:t>
      </w:r>
      <w:r w:rsidRPr="00802AD4">
        <w:rPr>
          <w:color w:val="495965" w:themeColor="text2"/>
          <w:sz w:val="22"/>
          <w:szCs w:val="22"/>
        </w:rPr>
        <w:t>per cent</w:t>
      </w:r>
      <w:r w:rsidR="00100C65">
        <w:rPr>
          <w:rStyle w:val="FootnoteReference"/>
          <w:color w:val="495965" w:themeColor="text2"/>
          <w:sz w:val="22"/>
          <w:szCs w:val="22"/>
        </w:rPr>
        <w:footnoteReference w:id="8"/>
      </w:r>
      <w:r w:rsidRPr="00802AD4">
        <w:rPr>
          <w:color w:val="495965" w:themeColor="text2"/>
          <w:sz w:val="22"/>
          <w:szCs w:val="22"/>
        </w:rPr>
        <w:t xml:space="preserve"> of Solomon</w:t>
      </w:r>
      <w:r w:rsidR="00F5449C">
        <w:rPr>
          <w:color w:val="495965" w:themeColor="text2"/>
          <w:sz w:val="22"/>
          <w:szCs w:val="22"/>
        </w:rPr>
        <w:t> </w:t>
      </w:r>
      <w:r w:rsidRPr="00802AD4">
        <w:rPr>
          <w:color w:val="495965" w:themeColor="text2"/>
          <w:sz w:val="22"/>
          <w:szCs w:val="22"/>
        </w:rPr>
        <w:t>Islands’ nominal G</w:t>
      </w:r>
      <w:r w:rsidR="00546893">
        <w:rPr>
          <w:color w:val="495965" w:themeColor="text2"/>
          <w:sz w:val="22"/>
          <w:szCs w:val="22"/>
        </w:rPr>
        <w:t>ross Domestic Product (GDP)</w:t>
      </w:r>
      <w:r w:rsidRPr="00802AD4">
        <w:rPr>
          <w:color w:val="495965" w:themeColor="text2"/>
          <w:sz w:val="22"/>
          <w:szCs w:val="22"/>
        </w:rPr>
        <w:t>.</w:t>
      </w:r>
      <w:r w:rsidR="002E0470">
        <w:rPr>
          <w:color w:val="495965" w:themeColor="text2"/>
          <w:sz w:val="22"/>
          <w:szCs w:val="22"/>
        </w:rPr>
        <w:t xml:space="preserve"> </w:t>
      </w:r>
      <w:r w:rsidRPr="00802AD4">
        <w:rPr>
          <w:color w:val="495965" w:themeColor="text2"/>
          <w:sz w:val="22"/>
          <w:szCs w:val="22"/>
        </w:rPr>
        <w:t xml:space="preserve"> Other </w:t>
      </w:r>
      <w:r w:rsidR="00D35812">
        <w:rPr>
          <w:color w:val="495965" w:themeColor="text2"/>
          <w:sz w:val="22"/>
          <w:szCs w:val="22"/>
        </w:rPr>
        <w:t xml:space="preserve">bilateral </w:t>
      </w:r>
      <w:r w:rsidRPr="00802AD4">
        <w:rPr>
          <w:color w:val="495965" w:themeColor="text2"/>
          <w:sz w:val="22"/>
          <w:szCs w:val="22"/>
        </w:rPr>
        <w:t>donors</w:t>
      </w:r>
      <w:r w:rsidR="00D35812">
        <w:rPr>
          <w:color w:val="495965" w:themeColor="text2"/>
          <w:sz w:val="22"/>
          <w:szCs w:val="22"/>
        </w:rPr>
        <w:t xml:space="preserve"> with a notable </w:t>
      </w:r>
      <w:r w:rsidR="009E0ABE">
        <w:rPr>
          <w:color w:val="495965" w:themeColor="text2"/>
          <w:sz w:val="22"/>
          <w:szCs w:val="22"/>
        </w:rPr>
        <w:t>presence in Solomon</w:t>
      </w:r>
      <w:r w:rsidR="00F5449C">
        <w:rPr>
          <w:color w:val="495965" w:themeColor="text2"/>
          <w:sz w:val="22"/>
          <w:szCs w:val="22"/>
        </w:rPr>
        <w:t> </w:t>
      </w:r>
      <w:r w:rsidR="009E0ABE">
        <w:rPr>
          <w:color w:val="495965" w:themeColor="text2"/>
          <w:sz w:val="22"/>
          <w:szCs w:val="22"/>
        </w:rPr>
        <w:t>Islands are</w:t>
      </w:r>
      <w:r w:rsidRPr="00802AD4">
        <w:rPr>
          <w:color w:val="495965" w:themeColor="text2"/>
          <w:sz w:val="22"/>
          <w:szCs w:val="22"/>
        </w:rPr>
        <w:t xml:space="preserve"> New Zealand, Japan and Taiwan</w:t>
      </w:r>
      <w:r w:rsidR="0089795C">
        <w:rPr>
          <w:color w:val="495965" w:themeColor="text2"/>
          <w:sz w:val="22"/>
          <w:szCs w:val="22"/>
        </w:rPr>
        <w:t>.</w:t>
      </w:r>
      <w:r w:rsidRPr="00802AD4">
        <w:rPr>
          <w:color w:val="495965" w:themeColor="text2"/>
          <w:sz w:val="22"/>
          <w:szCs w:val="22"/>
        </w:rPr>
        <w:t xml:space="preserve"> </w:t>
      </w:r>
      <w:r w:rsidR="000909BD">
        <w:rPr>
          <w:color w:val="495965" w:themeColor="text2"/>
          <w:sz w:val="22"/>
          <w:szCs w:val="22"/>
        </w:rPr>
        <w:t xml:space="preserve"> </w:t>
      </w:r>
      <w:r w:rsidRPr="00802AD4">
        <w:rPr>
          <w:color w:val="495965" w:themeColor="text2"/>
          <w:sz w:val="22"/>
          <w:szCs w:val="22"/>
        </w:rPr>
        <w:t>The</w:t>
      </w:r>
      <w:r w:rsidR="003D0462">
        <w:rPr>
          <w:color w:val="495965" w:themeColor="text2"/>
          <w:sz w:val="22"/>
          <w:szCs w:val="22"/>
        </w:rPr>
        <w:t xml:space="preserve"> ADB</w:t>
      </w:r>
      <w:r w:rsidRPr="00802AD4">
        <w:rPr>
          <w:color w:val="495965" w:themeColor="text2"/>
          <w:sz w:val="22"/>
          <w:szCs w:val="22"/>
        </w:rPr>
        <w:t xml:space="preserve"> and World Bank are scaling up engagement in </w:t>
      </w:r>
      <w:r w:rsidR="0089795C">
        <w:rPr>
          <w:color w:val="495965" w:themeColor="text2"/>
          <w:sz w:val="22"/>
          <w:szCs w:val="22"/>
        </w:rPr>
        <w:t>Solomon Islands</w:t>
      </w:r>
      <w:r w:rsidR="00BD7C35">
        <w:rPr>
          <w:color w:val="495965" w:themeColor="text2"/>
          <w:sz w:val="22"/>
          <w:szCs w:val="22"/>
        </w:rPr>
        <w:t>.</w:t>
      </w:r>
      <w:r w:rsidR="000909BD">
        <w:rPr>
          <w:color w:val="495965" w:themeColor="text2"/>
          <w:sz w:val="22"/>
          <w:szCs w:val="22"/>
        </w:rPr>
        <w:t xml:space="preserve"> </w:t>
      </w:r>
      <w:r w:rsidR="00BD7C35">
        <w:rPr>
          <w:color w:val="495965" w:themeColor="text2"/>
          <w:sz w:val="22"/>
          <w:szCs w:val="22"/>
        </w:rPr>
        <w:t xml:space="preserve"> T</w:t>
      </w:r>
      <w:r w:rsidRPr="00802AD4">
        <w:rPr>
          <w:color w:val="495965" w:themeColor="text2"/>
          <w:sz w:val="22"/>
          <w:szCs w:val="22"/>
        </w:rPr>
        <w:t xml:space="preserve">he </w:t>
      </w:r>
      <w:r w:rsidR="00546893">
        <w:rPr>
          <w:color w:val="495965" w:themeColor="text2"/>
          <w:sz w:val="22"/>
          <w:szCs w:val="22"/>
        </w:rPr>
        <w:t>UN</w:t>
      </w:r>
      <w:r w:rsidRPr="00802AD4">
        <w:rPr>
          <w:color w:val="495965" w:themeColor="text2"/>
          <w:sz w:val="22"/>
          <w:szCs w:val="22"/>
        </w:rPr>
        <w:t xml:space="preserve"> has a small presence.</w:t>
      </w:r>
      <w:r w:rsidR="0069797B">
        <w:rPr>
          <w:color w:val="495965" w:themeColor="text2"/>
          <w:sz w:val="22"/>
          <w:szCs w:val="22"/>
        </w:rPr>
        <w:t xml:space="preserve">  Australia works closely with donor and multilateral partners o</w:t>
      </w:r>
      <w:r w:rsidR="008867D0">
        <w:rPr>
          <w:color w:val="495965" w:themeColor="text2"/>
          <w:sz w:val="22"/>
          <w:szCs w:val="22"/>
        </w:rPr>
        <w:t xml:space="preserve">n issues including </w:t>
      </w:r>
      <w:r w:rsidR="00607885">
        <w:rPr>
          <w:color w:val="495965" w:themeColor="text2"/>
          <w:sz w:val="22"/>
          <w:szCs w:val="22"/>
        </w:rPr>
        <w:t>economic and financial</w:t>
      </w:r>
      <w:r w:rsidR="008867D0">
        <w:rPr>
          <w:color w:val="495965" w:themeColor="text2"/>
          <w:sz w:val="22"/>
          <w:szCs w:val="22"/>
        </w:rPr>
        <w:t xml:space="preserve"> reform</w:t>
      </w:r>
      <w:r w:rsidR="00607885">
        <w:rPr>
          <w:color w:val="495965" w:themeColor="text2"/>
          <w:sz w:val="22"/>
          <w:szCs w:val="22"/>
        </w:rPr>
        <w:t xml:space="preserve"> with the World Bank, ADB and New Zealand</w:t>
      </w:r>
      <w:r w:rsidR="008867D0">
        <w:rPr>
          <w:color w:val="495965" w:themeColor="text2"/>
          <w:sz w:val="22"/>
          <w:szCs w:val="22"/>
        </w:rPr>
        <w:t xml:space="preserve"> through the</w:t>
      </w:r>
      <w:r w:rsidR="0069797B">
        <w:rPr>
          <w:color w:val="495965" w:themeColor="text2"/>
          <w:sz w:val="22"/>
          <w:szCs w:val="22"/>
        </w:rPr>
        <w:t xml:space="preserve"> multi-donor</w:t>
      </w:r>
      <w:r w:rsidR="008867D0">
        <w:rPr>
          <w:color w:val="495965" w:themeColor="text2"/>
          <w:sz w:val="22"/>
          <w:szCs w:val="22"/>
        </w:rPr>
        <w:t xml:space="preserve"> </w:t>
      </w:r>
      <w:r w:rsidR="0069797B">
        <w:rPr>
          <w:color w:val="495965" w:themeColor="text2"/>
          <w:sz w:val="22"/>
          <w:szCs w:val="22"/>
        </w:rPr>
        <w:t xml:space="preserve">Core Economic Working Group; on </w:t>
      </w:r>
      <w:r w:rsidR="00607885">
        <w:rPr>
          <w:color w:val="495965" w:themeColor="text2"/>
          <w:sz w:val="22"/>
          <w:szCs w:val="22"/>
        </w:rPr>
        <w:t xml:space="preserve">transport </w:t>
      </w:r>
      <w:r w:rsidR="008867D0">
        <w:rPr>
          <w:color w:val="495965" w:themeColor="text2"/>
          <w:sz w:val="22"/>
          <w:szCs w:val="22"/>
        </w:rPr>
        <w:t>infrastructure with the ADB</w:t>
      </w:r>
      <w:r w:rsidR="0069797B">
        <w:rPr>
          <w:color w:val="495965" w:themeColor="text2"/>
          <w:sz w:val="22"/>
          <w:szCs w:val="22"/>
        </w:rPr>
        <w:t xml:space="preserve">; and mining sector reform, access to justice and rural development with the World Bank.  </w:t>
      </w:r>
      <w:r w:rsidR="008867D0">
        <w:rPr>
          <w:color w:val="495965" w:themeColor="text2"/>
          <w:sz w:val="22"/>
          <w:szCs w:val="22"/>
        </w:rPr>
        <w:t xml:space="preserve"> </w:t>
      </w:r>
      <w:r w:rsidR="00F83044">
        <w:br w:type="page"/>
      </w:r>
    </w:p>
    <w:p w:rsidR="00C6626C" w:rsidRPr="002A51CA" w:rsidRDefault="00C6626C" w:rsidP="00D7713F">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rsidR="00577FEE" w:rsidRDefault="005F574B" w:rsidP="005F574B">
      <w:pPr>
        <w:rPr>
          <w:b/>
          <w:sz w:val="24"/>
        </w:rPr>
      </w:pPr>
      <w:r w:rsidRPr="00F14F8D">
        <w:t xml:space="preserve">Australia provided $198.3 million in </w:t>
      </w:r>
      <w:r w:rsidR="00546893">
        <w:t>ODA</w:t>
      </w:r>
      <w:r w:rsidRPr="00F14F8D">
        <w:t xml:space="preserve"> to Solomon Islands in 2018-19</w:t>
      </w:r>
      <w:r>
        <w:t>, up from $141.8 million in 2017-18.  This notable increase in expenditure in 2018-19 was largely due to the allocation of $53.5 million for the undersea cable; and increasing regional expenditure ($33.3 million up fr</w:t>
      </w:r>
      <w:r w:rsidR="002E0470">
        <w:t xml:space="preserve">om $20.8 million in 2017-18).   </w:t>
      </w:r>
      <w:r>
        <w:t>As</w:t>
      </w:r>
      <w:r w:rsidR="00F5449C">
        <w:t> </w:t>
      </w:r>
      <w:r>
        <w:t xml:space="preserve">planned, program expenditure reflected the Aid Investment Plans’ intended transition from a stability and peacebuilding focus towards boosting economic growth.  </w:t>
      </w:r>
    </w:p>
    <w:p w:rsidR="005F574B" w:rsidRDefault="005F574B" w:rsidP="005F574B">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E66F65">
        <w:rPr>
          <w:b/>
          <w:noProof/>
          <w:sz w:val="24"/>
        </w:rPr>
        <w:t>1</w:t>
      </w:r>
      <w:r w:rsidRPr="008C2F58">
        <w:rPr>
          <w:b/>
          <w:noProof/>
          <w:sz w:val="24"/>
        </w:rPr>
        <w:fldChar w:fldCharType="end"/>
      </w:r>
      <w:r w:rsidR="00F5449C">
        <w:rPr>
          <w:b/>
          <w:noProof/>
          <w:sz w:val="24"/>
        </w:rPr>
        <w:t>:</w:t>
      </w:r>
      <w:r w:rsidRPr="008C2F58">
        <w:rPr>
          <w:b/>
          <w:sz w:val="24"/>
        </w:rPr>
        <w:t xml:space="preserve"> Total ODA Expenditure in FY 201</w:t>
      </w:r>
      <w:r>
        <w:rPr>
          <w:b/>
          <w:sz w:val="24"/>
        </w:rPr>
        <w:t>8-19</w:t>
      </w:r>
    </w:p>
    <w:tbl>
      <w:tblPr>
        <w:tblStyle w:val="TableGrid"/>
        <w:tblW w:w="9634" w:type="dxa"/>
        <w:tblLook w:val="04A0" w:firstRow="1" w:lastRow="0" w:firstColumn="1" w:lastColumn="0" w:noHBand="0" w:noVBand="1"/>
      </w:tblPr>
      <w:tblGrid>
        <w:gridCol w:w="6374"/>
        <w:gridCol w:w="1559"/>
        <w:gridCol w:w="1701"/>
      </w:tblGrid>
      <w:tr w:rsidR="005F574B" w:rsidTr="00EE52AC">
        <w:tc>
          <w:tcPr>
            <w:tcW w:w="6374" w:type="dxa"/>
          </w:tcPr>
          <w:p w:rsidR="005F574B" w:rsidRDefault="005F574B" w:rsidP="00EE52AC">
            <w:pPr>
              <w:spacing w:before="60"/>
              <w:rPr>
                <w:b/>
                <w:sz w:val="24"/>
              </w:rPr>
            </w:pPr>
            <w:r w:rsidRPr="00BE6C6D">
              <w:rPr>
                <w:sz w:val="20"/>
              </w:rPr>
              <w:t>Objective</w:t>
            </w:r>
          </w:p>
        </w:tc>
        <w:tc>
          <w:tcPr>
            <w:tcW w:w="1559" w:type="dxa"/>
          </w:tcPr>
          <w:p w:rsidR="005F574B" w:rsidRDefault="005F574B" w:rsidP="00EE52AC">
            <w:pPr>
              <w:spacing w:before="60"/>
              <w:rPr>
                <w:b/>
                <w:sz w:val="24"/>
              </w:rPr>
            </w:pPr>
            <w:r w:rsidRPr="00BE6C6D">
              <w:rPr>
                <w:sz w:val="20"/>
              </w:rPr>
              <w:t>A$ million</w:t>
            </w:r>
          </w:p>
        </w:tc>
        <w:tc>
          <w:tcPr>
            <w:tcW w:w="1701" w:type="dxa"/>
          </w:tcPr>
          <w:p w:rsidR="005F574B" w:rsidRDefault="005F574B" w:rsidP="00EE52AC">
            <w:pPr>
              <w:spacing w:before="60"/>
              <w:ind w:right="-546"/>
              <w:rPr>
                <w:b/>
                <w:sz w:val="24"/>
              </w:rPr>
            </w:pPr>
            <w:r w:rsidRPr="00BE6C6D">
              <w:rPr>
                <w:sz w:val="20"/>
              </w:rPr>
              <w:t>% of total ODA</w:t>
            </w:r>
          </w:p>
        </w:tc>
      </w:tr>
      <w:tr w:rsidR="005F574B" w:rsidTr="00EE52AC">
        <w:tc>
          <w:tcPr>
            <w:tcW w:w="6374" w:type="dxa"/>
          </w:tcPr>
          <w:p w:rsidR="005F574B" w:rsidRPr="00BC3CE5" w:rsidRDefault="005F574B" w:rsidP="00EE52AC">
            <w:pPr>
              <w:spacing w:before="60"/>
              <w:ind w:left="720"/>
              <w:rPr>
                <w:sz w:val="20"/>
              </w:rPr>
            </w:pPr>
            <w:r w:rsidRPr="00B16FEC">
              <w:rPr>
                <w:sz w:val="20"/>
              </w:rPr>
              <w:t xml:space="preserve">Objective 1 – Supporting Stability </w:t>
            </w:r>
          </w:p>
        </w:tc>
        <w:tc>
          <w:tcPr>
            <w:tcW w:w="1559" w:type="dxa"/>
            <w:shd w:val="clear" w:color="auto" w:fill="auto"/>
          </w:tcPr>
          <w:p w:rsidR="005F574B" w:rsidRPr="00B16FEC" w:rsidRDefault="005F574B" w:rsidP="00EE52AC">
            <w:pPr>
              <w:jc w:val="center"/>
            </w:pPr>
            <w:r w:rsidRPr="00B16FEC">
              <w:rPr>
                <w:sz w:val="20"/>
              </w:rPr>
              <w:t>26.2</w:t>
            </w:r>
          </w:p>
        </w:tc>
        <w:tc>
          <w:tcPr>
            <w:tcW w:w="1701" w:type="dxa"/>
            <w:shd w:val="clear" w:color="auto" w:fill="auto"/>
          </w:tcPr>
          <w:p w:rsidR="005F574B" w:rsidRPr="00BC3CE5" w:rsidRDefault="005F574B" w:rsidP="00EE52AC">
            <w:pPr>
              <w:jc w:val="center"/>
              <w:rPr>
                <w:sz w:val="20"/>
              </w:rPr>
            </w:pPr>
            <w:r w:rsidRPr="00B16FEC">
              <w:rPr>
                <w:sz w:val="20"/>
              </w:rPr>
              <w:t>1</w:t>
            </w:r>
            <w:r>
              <w:rPr>
                <w:sz w:val="20"/>
              </w:rPr>
              <w:t>3</w:t>
            </w:r>
          </w:p>
        </w:tc>
      </w:tr>
      <w:tr w:rsidR="005F574B" w:rsidTr="00EE52AC">
        <w:tc>
          <w:tcPr>
            <w:tcW w:w="6374" w:type="dxa"/>
          </w:tcPr>
          <w:p w:rsidR="005F574B" w:rsidRPr="00B16FEC" w:rsidRDefault="005F574B" w:rsidP="005F574B">
            <w:pPr>
              <w:spacing w:before="60"/>
              <w:ind w:left="720"/>
              <w:rPr>
                <w:sz w:val="20"/>
              </w:rPr>
            </w:pPr>
            <w:r w:rsidRPr="00B16FEC">
              <w:rPr>
                <w:sz w:val="20"/>
              </w:rPr>
              <w:t xml:space="preserve">Objective 2- Enabling Economic Growth </w:t>
            </w:r>
          </w:p>
        </w:tc>
        <w:tc>
          <w:tcPr>
            <w:tcW w:w="1559" w:type="dxa"/>
            <w:shd w:val="clear" w:color="auto" w:fill="auto"/>
          </w:tcPr>
          <w:p w:rsidR="005F574B" w:rsidRPr="00B16FEC" w:rsidRDefault="005F574B" w:rsidP="005F574B">
            <w:pPr>
              <w:jc w:val="center"/>
              <w:rPr>
                <w:sz w:val="20"/>
              </w:rPr>
            </w:pPr>
            <w:r w:rsidRPr="00B16FEC">
              <w:rPr>
                <w:sz w:val="20"/>
              </w:rPr>
              <w:t>81.7</w:t>
            </w:r>
          </w:p>
        </w:tc>
        <w:tc>
          <w:tcPr>
            <w:tcW w:w="1701" w:type="dxa"/>
            <w:shd w:val="clear" w:color="auto" w:fill="auto"/>
          </w:tcPr>
          <w:p w:rsidR="005F574B" w:rsidRPr="00B16FEC" w:rsidRDefault="005F574B" w:rsidP="005F574B">
            <w:pPr>
              <w:jc w:val="center"/>
              <w:rPr>
                <w:sz w:val="20"/>
              </w:rPr>
            </w:pPr>
            <w:r w:rsidRPr="00B16FEC">
              <w:rPr>
                <w:sz w:val="20"/>
              </w:rPr>
              <w:t>41</w:t>
            </w:r>
          </w:p>
        </w:tc>
      </w:tr>
      <w:tr w:rsidR="005F574B" w:rsidTr="00EE52AC">
        <w:tc>
          <w:tcPr>
            <w:tcW w:w="6374" w:type="dxa"/>
          </w:tcPr>
          <w:p w:rsidR="005F574B" w:rsidRPr="00B16FEC" w:rsidRDefault="005F574B" w:rsidP="005F574B">
            <w:pPr>
              <w:spacing w:before="60"/>
              <w:ind w:left="720"/>
              <w:rPr>
                <w:b/>
                <w:sz w:val="24"/>
              </w:rPr>
            </w:pPr>
            <w:r w:rsidRPr="00B16FEC">
              <w:rPr>
                <w:sz w:val="20"/>
              </w:rPr>
              <w:t>Objective 3 – Enhancing Human Development</w:t>
            </w:r>
          </w:p>
        </w:tc>
        <w:tc>
          <w:tcPr>
            <w:tcW w:w="1559" w:type="dxa"/>
            <w:shd w:val="clear" w:color="auto" w:fill="auto"/>
          </w:tcPr>
          <w:p w:rsidR="005F574B" w:rsidRPr="00B16FEC" w:rsidRDefault="005F574B" w:rsidP="005F574B">
            <w:pPr>
              <w:jc w:val="center"/>
            </w:pPr>
            <w:r w:rsidRPr="00B16FEC">
              <w:rPr>
                <w:sz w:val="20"/>
              </w:rPr>
              <w:t>38.2</w:t>
            </w:r>
          </w:p>
        </w:tc>
        <w:tc>
          <w:tcPr>
            <w:tcW w:w="1701" w:type="dxa"/>
            <w:shd w:val="clear" w:color="auto" w:fill="auto"/>
          </w:tcPr>
          <w:p w:rsidR="005F574B" w:rsidRPr="00B16FEC" w:rsidRDefault="005F574B" w:rsidP="005F574B">
            <w:pPr>
              <w:jc w:val="center"/>
            </w:pPr>
            <w:r w:rsidRPr="00B16FEC">
              <w:rPr>
                <w:sz w:val="20"/>
              </w:rPr>
              <w:t>19</w:t>
            </w:r>
          </w:p>
        </w:tc>
      </w:tr>
      <w:tr w:rsidR="005F574B" w:rsidTr="00EE52AC">
        <w:tc>
          <w:tcPr>
            <w:tcW w:w="6374" w:type="dxa"/>
          </w:tcPr>
          <w:p w:rsidR="005F574B" w:rsidRPr="00B16FEC" w:rsidRDefault="005F574B" w:rsidP="005F574B">
            <w:pPr>
              <w:spacing w:before="60"/>
              <w:rPr>
                <w:b/>
                <w:sz w:val="24"/>
              </w:rPr>
            </w:pPr>
            <w:r w:rsidRPr="00B16FEC">
              <w:rPr>
                <w:b/>
                <w:sz w:val="20"/>
              </w:rPr>
              <w:t>Sub-Total Bilateral</w:t>
            </w:r>
          </w:p>
        </w:tc>
        <w:tc>
          <w:tcPr>
            <w:tcW w:w="1559" w:type="dxa"/>
            <w:shd w:val="clear" w:color="auto" w:fill="auto"/>
          </w:tcPr>
          <w:p w:rsidR="005F574B" w:rsidRPr="00B16FEC" w:rsidRDefault="005F574B" w:rsidP="005F574B">
            <w:pPr>
              <w:jc w:val="center"/>
              <w:rPr>
                <w:b/>
                <w:sz w:val="20"/>
              </w:rPr>
            </w:pPr>
            <w:r w:rsidRPr="00EE377F">
              <w:rPr>
                <w:b/>
                <w:sz w:val="20"/>
              </w:rPr>
              <w:t>146.1</w:t>
            </w:r>
          </w:p>
        </w:tc>
        <w:tc>
          <w:tcPr>
            <w:tcW w:w="1701" w:type="dxa"/>
            <w:shd w:val="clear" w:color="auto" w:fill="auto"/>
          </w:tcPr>
          <w:p w:rsidR="005F574B" w:rsidRPr="00B16FEC" w:rsidRDefault="005F574B" w:rsidP="005F574B">
            <w:pPr>
              <w:jc w:val="center"/>
              <w:rPr>
                <w:b/>
              </w:rPr>
            </w:pPr>
            <w:r>
              <w:rPr>
                <w:b/>
                <w:sz w:val="20"/>
              </w:rPr>
              <w:t>7</w:t>
            </w:r>
            <w:r w:rsidR="00B56A5D">
              <w:rPr>
                <w:b/>
                <w:sz w:val="20"/>
              </w:rPr>
              <w:t>4</w:t>
            </w:r>
          </w:p>
        </w:tc>
      </w:tr>
      <w:tr w:rsidR="005F574B" w:rsidTr="00EE52AC">
        <w:tc>
          <w:tcPr>
            <w:tcW w:w="6374" w:type="dxa"/>
          </w:tcPr>
          <w:p w:rsidR="005F574B" w:rsidRPr="00B16FEC" w:rsidRDefault="005F574B" w:rsidP="005F574B">
            <w:pPr>
              <w:spacing w:before="60"/>
              <w:rPr>
                <w:b/>
                <w:sz w:val="20"/>
              </w:rPr>
            </w:pPr>
            <w:r w:rsidRPr="00B16FEC">
              <w:rPr>
                <w:b/>
                <w:sz w:val="20"/>
              </w:rPr>
              <w:t>Regional and Global</w:t>
            </w:r>
          </w:p>
        </w:tc>
        <w:tc>
          <w:tcPr>
            <w:tcW w:w="1559" w:type="dxa"/>
            <w:shd w:val="clear" w:color="auto" w:fill="auto"/>
          </w:tcPr>
          <w:p w:rsidR="005F574B" w:rsidRPr="00B16FEC" w:rsidRDefault="005F574B" w:rsidP="005F574B">
            <w:pPr>
              <w:jc w:val="center"/>
              <w:rPr>
                <w:b/>
              </w:rPr>
            </w:pPr>
            <w:r w:rsidRPr="00B16FEC">
              <w:rPr>
                <w:b/>
                <w:sz w:val="20"/>
              </w:rPr>
              <w:t>33.3</w:t>
            </w:r>
          </w:p>
        </w:tc>
        <w:tc>
          <w:tcPr>
            <w:tcW w:w="1701" w:type="dxa"/>
            <w:shd w:val="clear" w:color="auto" w:fill="auto"/>
          </w:tcPr>
          <w:p w:rsidR="005F574B" w:rsidRPr="00B16FEC" w:rsidRDefault="005F574B" w:rsidP="005F574B">
            <w:pPr>
              <w:jc w:val="center"/>
              <w:rPr>
                <w:b/>
                <w:sz w:val="20"/>
              </w:rPr>
            </w:pPr>
            <w:r w:rsidRPr="00B16FEC">
              <w:rPr>
                <w:b/>
                <w:sz w:val="20"/>
              </w:rPr>
              <w:t>17</w:t>
            </w:r>
          </w:p>
        </w:tc>
      </w:tr>
      <w:tr w:rsidR="005F574B" w:rsidTr="00EE52AC">
        <w:tc>
          <w:tcPr>
            <w:tcW w:w="6374" w:type="dxa"/>
          </w:tcPr>
          <w:p w:rsidR="005F574B" w:rsidRPr="00B16FEC" w:rsidRDefault="005F574B" w:rsidP="005F574B">
            <w:pPr>
              <w:spacing w:before="60"/>
              <w:rPr>
                <w:b/>
                <w:sz w:val="24"/>
              </w:rPr>
            </w:pPr>
            <w:r w:rsidRPr="00B16FEC">
              <w:rPr>
                <w:b/>
                <w:sz w:val="20"/>
              </w:rPr>
              <w:t>Other Government Departments</w:t>
            </w:r>
          </w:p>
        </w:tc>
        <w:tc>
          <w:tcPr>
            <w:tcW w:w="1559" w:type="dxa"/>
            <w:shd w:val="clear" w:color="auto" w:fill="auto"/>
          </w:tcPr>
          <w:p w:rsidR="005F574B" w:rsidRPr="00B16FEC" w:rsidRDefault="005F574B" w:rsidP="005F574B">
            <w:pPr>
              <w:jc w:val="center"/>
              <w:rPr>
                <w:b/>
              </w:rPr>
            </w:pPr>
            <w:r w:rsidRPr="00B16FEC">
              <w:rPr>
                <w:b/>
                <w:sz w:val="20"/>
              </w:rPr>
              <w:t>18.9</w:t>
            </w:r>
          </w:p>
        </w:tc>
        <w:tc>
          <w:tcPr>
            <w:tcW w:w="1701" w:type="dxa"/>
            <w:shd w:val="clear" w:color="auto" w:fill="auto"/>
          </w:tcPr>
          <w:p w:rsidR="005F574B" w:rsidRPr="00B16FEC" w:rsidRDefault="005F574B" w:rsidP="005F574B">
            <w:pPr>
              <w:jc w:val="center"/>
              <w:rPr>
                <w:b/>
              </w:rPr>
            </w:pPr>
            <w:r w:rsidRPr="00B16FEC">
              <w:rPr>
                <w:b/>
                <w:sz w:val="20"/>
              </w:rPr>
              <w:t>10</w:t>
            </w:r>
          </w:p>
        </w:tc>
      </w:tr>
      <w:tr w:rsidR="00B56A5D" w:rsidTr="00EE52AC">
        <w:tc>
          <w:tcPr>
            <w:tcW w:w="6374" w:type="dxa"/>
          </w:tcPr>
          <w:p w:rsidR="00B56A5D" w:rsidRPr="00B16FEC" w:rsidRDefault="00B56A5D" w:rsidP="00153899">
            <w:pPr>
              <w:spacing w:before="60"/>
              <w:ind w:left="720"/>
              <w:rPr>
                <w:b/>
                <w:sz w:val="20"/>
              </w:rPr>
            </w:pPr>
            <w:r w:rsidRPr="00B16FEC">
              <w:rPr>
                <w:sz w:val="20"/>
              </w:rPr>
              <w:t>Australian Federal Police (Objective 1 – Supporting Stability)</w:t>
            </w:r>
            <w:r w:rsidRPr="00B16FEC">
              <w:rPr>
                <w:b/>
                <w:sz w:val="24"/>
              </w:rPr>
              <w:t xml:space="preserve"> </w:t>
            </w:r>
          </w:p>
        </w:tc>
        <w:tc>
          <w:tcPr>
            <w:tcW w:w="1559" w:type="dxa"/>
            <w:shd w:val="clear" w:color="auto" w:fill="auto"/>
          </w:tcPr>
          <w:p w:rsidR="00B56A5D" w:rsidRPr="00B16FEC" w:rsidRDefault="00B56A5D" w:rsidP="00B56A5D">
            <w:pPr>
              <w:jc w:val="center"/>
              <w:rPr>
                <w:b/>
                <w:sz w:val="20"/>
              </w:rPr>
            </w:pPr>
            <w:r w:rsidRPr="00B16FEC">
              <w:rPr>
                <w:sz w:val="20"/>
              </w:rPr>
              <w:t>17.7</w:t>
            </w:r>
          </w:p>
        </w:tc>
        <w:tc>
          <w:tcPr>
            <w:tcW w:w="1701" w:type="dxa"/>
            <w:shd w:val="clear" w:color="auto" w:fill="auto"/>
          </w:tcPr>
          <w:p w:rsidR="00B56A5D" w:rsidRPr="00B16FEC" w:rsidRDefault="00B56A5D" w:rsidP="00B56A5D">
            <w:pPr>
              <w:jc w:val="center"/>
              <w:rPr>
                <w:b/>
                <w:sz w:val="20"/>
              </w:rPr>
            </w:pPr>
            <w:r w:rsidRPr="00B16FEC">
              <w:rPr>
                <w:sz w:val="20"/>
              </w:rPr>
              <w:t>9</w:t>
            </w:r>
          </w:p>
        </w:tc>
      </w:tr>
      <w:tr w:rsidR="00B56A5D" w:rsidTr="00EE52AC">
        <w:tc>
          <w:tcPr>
            <w:tcW w:w="6374" w:type="dxa"/>
          </w:tcPr>
          <w:p w:rsidR="00B56A5D" w:rsidRPr="00B16FEC" w:rsidRDefault="00B56A5D" w:rsidP="00B56A5D">
            <w:pPr>
              <w:spacing w:before="60"/>
              <w:rPr>
                <w:b/>
                <w:sz w:val="24"/>
              </w:rPr>
            </w:pPr>
            <w:r w:rsidRPr="00B16FEC">
              <w:rPr>
                <w:b/>
                <w:sz w:val="20"/>
              </w:rPr>
              <w:t>Total ODA Expenditure</w:t>
            </w:r>
          </w:p>
        </w:tc>
        <w:tc>
          <w:tcPr>
            <w:tcW w:w="1559" w:type="dxa"/>
            <w:shd w:val="clear" w:color="auto" w:fill="auto"/>
          </w:tcPr>
          <w:p w:rsidR="00B56A5D" w:rsidRPr="00B16FEC" w:rsidRDefault="00B56A5D" w:rsidP="00B56A5D">
            <w:pPr>
              <w:jc w:val="center"/>
              <w:rPr>
                <w:b/>
              </w:rPr>
            </w:pPr>
            <w:r w:rsidRPr="00B16FEC">
              <w:rPr>
                <w:b/>
                <w:sz w:val="20"/>
              </w:rPr>
              <w:t>198.3</w:t>
            </w:r>
          </w:p>
        </w:tc>
        <w:tc>
          <w:tcPr>
            <w:tcW w:w="1701" w:type="dxa"/>
            <w:shd w:val="clear" w:color="auto" w:fill="auto"/>
          </w:tcPr>
          <w:p w:rsidR="00B56A5D" w:rsidRPr="00B16FEC" w:rsidRDefault="00B56A5D" w:rsidP="00B56A5D">
            <w:pPr>
              <w:jc w:val="center"/>
              <w:rPr>
                <w:b/>
              </w:rPr>
            </w:pPr>
            <w:r w:rsidRPr="00B16FEC">
              <w:rPr>
                <w:b/>
                <w:sz w:val="20"/>
              </w:rPr>
              <w:t>100%</w:t>
            </w:r>
          </w:p>
        </w:tc>
      </w:tr>
    </w:tbl>
    <w:p w:rsidR="002A51CA" w:rsidRPr="002A51CA" w:rsidRDefault="002A51CA" w:rsidP="00F3733D">
      <w:pPr>
        <w:suppressAutoHyphens w:val="0"/>
        <w:spacing w:before="360" w:after="120" w:line="300" w:lineRule="exact"/>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 xml:space="preserve">Progress towards </w:t>
      </w:r>
      <w:r w:rsidR="00546893">
        <w:rPr>
          <w:rFonts w:asciiTheme="majorHAnsi" w:eastAsiaTheme="majorEastAsia" w:hAnsiTheme="majorHAnsi" w:cstheme="majorBidi"/>
          <w:caps/>
          <w:sz w:val="38"/>
          <w:szCs w:val="26"/>
        </w:rPr>
        <w:t>AID INVESTMENT PLAN</w:t>
      </w:r>
      <w:r w:rsidR="00162218">
        <w:rPr>
          <w:rFonts w:asciiTheme="majorHAnsi" w:eastAsiaTheme="majorEastAsia" w:hAnsiTheme="majorHAnsi" w:cstheme="majorBidi"/>
          <w:caps/>
          <w:sz w:val="38"/>
          <w:szCs w:val="26"/>
        </w:rPr>
        <w:t xml:space="preserve"> </w:t>
      </w:r>
      <w:r w:rsidRPr="002A51CA">
        <w:rPr>
          <w:rFonts w:asciiTheme="majorHAnsi" w:eastAsiaTheme="majorEastAsia" w:hAnsiTheme="majorHAnsi" w:cstheme="majorBidi"/>
          <w:caps/>
          <w:sz w:val="38"/>
          <w:szCs w:val="26"/>
        </w:rPr>
        <w:t>Objectives</w:t>
      </w:r>
      <w:r w:rsidRPr="002A51CA">
        <w:rPr>
          <w:rFonts w:asciiTheme="majorHAnsi" w:eastAsiaTheme="majorEastAsia" w:hAnsiTheme="majorHAnsi" w:cstheme="majorBidi"/>
          <w:caps/>
          <w:sz w:val="38"/>
          <w:szCs w:val="26"/>
        </w:rPr>
        <w:tab/>
      </w:r>
    </w:p>
    <w:p w:rsidR="00E7443B" w:rsidRPr="00BE6C6D" w:rsidRDefault="00E7443B" w:rsidP="00E7443B">
      <w:r w:rsidRPr="00D63783">
        <w:t>Australia’s performance against A</w:t>
      </w:r>
      <w:r w:rsidR="00546893">
        <w:t>id Investment Plan</w:t>
      </w:r>
      <w:r w:rsidRPr="00D63783">
        <w:t xml:space="preserve"> objectives </w:t>
      </w:r>
      <w:r>
        <w:t>was</w:t>
      </w:r>
      <w:r w:rsidRPr="00D63783">
        <w:t xml:space="preserve"> measured using the </w:t>
      </w:r>
      <w:r>
        <w:t xml:space="preserve">summary </w:t>
      </w:r>
      <w:r w:rsidRPr="00D63783">
        <w:t>P</w:t>
      </w:r>
      <w:r w:rsidR="00546893">
        <w:t xml:space="preserve">erformance Assessment Framework </w:t>
      </w:r>
      <w:r w:rsidRPr="00D63783">
        <w:t xml:space="preserve">detailed in Annex E.  </w:t>
      </w:r>
      <w:r w:rsidR="00091805" w:rsidRPr="00BC3CE5">
        <w:t xml:space="preserve">In 2018-19, Australia progressed as expected towards </w:t>
      </w:r>
      <w:r w:rsidR="00091805">
        <w:t>all</w:t>
      </w:r>
      <w:r w:rsidR="00091805" w:rsidRPr="00BC3CE5">
        <w:t xml:space="preserve"> four objectives.</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E66F65">
        <w:rPr>
          <w:b/>
          <w:noProof/>
          <w:sz w:val="24"/>
        </w:rPr>
        <w:t>2</w:t>
      </w:r>
      <w:r w:rsidRPr="008C2F58">
        <w:rPr>
          <w:b/>
          <w:noProof/>
          <w:sz w:val="24"/>
        </w:rPr>
        <w:fldChar w:fldCharType="end"/>
      </w:r>
      <w:r w:rsidR="003D0462">
        <w:rPr>
          <w:b/>
          <w:noProof/>
          <w:sz w:val="24"/>
        </w:rPr>
        <w:t>:</w:t>
      </w:r>
      <w:r w:rsidRPr="008C2F58">
        <w:rPr>
          <w:b/>
          <w:sz w:val="24"/>
        </w:rPr>
        <w:t xml:space="preserve"> Rating of the Program's Progress towards Australia’s Aid Objectives</w:t>
      </w:r>
    </w:p>
    <w:tbl>
      <w:tblPr>
        <w:tblStyle w:val="APPR"/>
        <w:tblW w:w="4928" w:type="pct"/>
        <w:tblBorders>
          <w:top w:val="single" w:sz="4" w:space="0" w:color="000000" w:themeColor="text1"/>
          <w:bottom w:val="single" w:sz="4" w:space="0" w:color="000000" w:themeColor="text1"/>
        </w:tblBorders>
        <w:tblLook w:val="0000" w:firstRow="0" w:lastRow="0" w:firstColumn="0" w:lastColumn="0" w:noHBand="0" w:noVBand="0"/>
      </w:tblPr>
      <w:tblGrid>
        <w:gridCol w:w="6621"/>
        <w:gridCol w:w="1438"/>
        <w:gridCol w:w="1440"/>
      </w:tblGrid>
      <w:tr w:rsidR="00355959" w:rsidRPr="00812509" w:rsidTr="005F574B">
        <w:trPr>
          <w:cnfStyle w:val="000000010000" w:firstRow="0" w:lastRow="0" w:firstColumn="0" w:lastColumn="0" w:oddVBand="0" w:evenVBand="0" w:oddHBand="0" w:evenHBand="1" w:firstRowFirstColumn="0" w:firstRowLastColumn="0" w:lastRowFirstColumn="0" w:lastRowLastColumn="0"/>
          <w:trHeight w:val="397"/>
        </w:trPr>
        <w:tc>
          <w:tcPr>
            <w:tcW w:w="65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rPr>
                <w:noProof/>
              </w:rPr>
              <w:drawing>
                <wp:anchor distT="0" distB="0" distL="114300" distR="114300" simplePos="0" relativeHeight="251681792" behindDoc="0" locked="0" layoutInCell="1" allowOverlap="1" wp14:anchorId="1B84E736" wp14:editId="54A6BDBC">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Previous Rating</w:t>
            </w:r>
          </w:p>
        </w:tc>
        <w:tc>
          <w:tcPr>
            <w:tcW w:w="13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Current Rating</w:t>
            </w:r>
          </w:p>
        </w:tc>
      </w:tr>
      <w:tr w:rsidR="00355959" w:rsidRPr="00812509" w:rsidTr="005F574B">
        <w:trPr>
          <w:cnfStyle w:val="000000010000" w:firstRow="0" w:lastRow="0" w:firstColumn="0" w:lastColumn="0" w:oddVBand="0" w:evenVBand="0" w:oddHBand="0" w:evenHBand="1" w:firstRowFirstColumn="0" w:firstRowLastColumn="0" w:lastRowFirstColumn="0" w:lastRowLastColumn="0"/>
        </w:trPr>
        <w:tc>
          <w:tcPr>
            <w:tcW w:w="65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55802" w:rsidRDefault="00355959" w:rsidP="00D05246">
            <w:pPr>
              <w:pStyle w:val="TableTextEntries"/>
              <w:rPr>
                <w:rFonts w:asciiTheme="minorHAnsi" w:hAnsiTheme="minorHAnsi" w:cstheme="minorHAnsi"/>
              </w:rPr>
            </w:pPr>
            <w:r w:rsidRPr="00855802">
              <w:rPr>
                <w:rFonts w:asciiTheme="minorHAnsi" w:hAnsiTheme="minorHAnsi" w:cstheme="minorHAnsi"/>
              </w:rPr>
              <w:t>Objective 1</w:t>
            </w:r>
            <w:r w:rsidR="00855802">
              <w:rPr>
                <w:rFonts w:asciiTheme="minorHAnsi" w:hAnsiTheme="minorHAnsi" w:cstheme="minorHAnsi"/>
              </w:rPr>
              <w:t>:</w:t>
            </w:r>
            <w:r w:rsidR="00855802" w:rsidRPr="00855802">
              <w:rPr>
                <w:rFonts w:asciiTheme="minorHAnsi" w:hAnsiTheme="minorHAnsi" w:cstheme="minorHAnsi"/>
              </w:rPr>
              <w:t xml:space="preserve"> </w:t>
            </w:r>
            <w:r w:rsidR="00855802" w:rsidRPr="00855802">
              <w:rPr>
                <w:rFonts w:asciiTheme="minorHAnsi" w:hAnsiTheme="minorHAnsi" w:cstheme="minorHAnsi"/>
                <w:b/>
                <w:lang w:eastAsia="en-US"/>
              </w:rPr>
              <w:t xml:space="preserve">Supporting stability - </w:t>
            </w:r>
            <w:r w:rsidR="00855802" w:rsidRPr="00855802">
              <w:rPr>
                <w:rFonts w:asciiTheme="minorHAnsi" w:hAnsiTheme="minorHAnsi" w:cstheme="minorHAnsi"/>
                <w:lang w:eastAsia="en-US"/>
              </w:rPr>
              <w:t xml:space="preserve"> Solomon Islanders increasingly recognise and participate in a legitimate state, free from conflict and economically stable</w:t>
            </w:r>
          </w:p>
        </w:tc>
        <w:tc>
          <w:tcPr>
            <w:tcW w:w="1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60A43" w:rsidRDefault="00AE782D" w:rsidP="00D05246">
            <w:pPr>
              <w:pStyle w:val="TableTextEntries"/>
              <w:jc w:val="center"/>
              <w:rPr>
                <w:rFonts w:asciiTheme="minorHAnsi" w:hAnsiTheme="minorHAnsi"/>
              </w:rPr>
            </w:pPr>
            <w:r w:rsidRPr="00AE782D">
              <w:rPr>
                <w:rFonts w:asciiTheme="minorHAnsi" w:hAnsiTheme="minorHAnsi"/>
                <w:color w:val="FFFFFF" w:themeColor="background1"/>
              </w:rPr>
              <w:t>Green</w:t>
            </w:r>
          </w:p>
        </w:tc>
      </w:tr>
      <w:tr w:rsidR="00355959" w:rsidRPr="00812509" w:rsidTr="005F574B">
        <w:trPr>
          <w:cnfStyle w:val="000000010000" w:firstRow="0" w:lastRow="0" w:firstColumn="0" w:lastColumn="0" w:oddVBand="0" w:evenVBand="0" w:oddHBand="0" w:evenHBand="1" w:firstRowFirstColumn="0" w:firstRowLastColumn="0" w:lastRowFirstColumn="0" w:lastRowLastColumn="0"/>
        </w:trPr>
        <w:tc>
          <w:tcPr>
            <w:tcW w:w="65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55802" w:rsidRDefault="00355959" w:rsidP="00855802">
            <w:pPr>
              <w:pStyle w:val="TableTextEntries"/>
              <w:tabs>
                <w:tab w:val="left" w:pos="1680"/>
              </w:tabs>
              <w:rPr>
                <w:rFonts w:asciiTheme="minorHAnsi" w:hAnsiTheme="minorHAnsi" w:cstheme="minorHAnsi"/>
              </w:rPr>
            </w:pPr>
            <w:r w:rsidRPr="00855802">
              <w:rPr>
                <w:rFonts w:asciiTheme="minorHAnsi" w:hAnsiTheme="minorHAnsi" w:cstheme="minorHAnsi"/>
              </w:rPr>
              <w:t>Objective 2</w:t>
            </w:r>
            <w:r w:rsidR="00855802">
              <w:rPr>
                <w:rFonts w:asciiTheme="minorHAnsi" w:hAnsiTheme="minorHAnsi" w:cstheme="minorHAnsi"/>
              </w:rPr>
              <w:t>A</w:t>
            </w:r>
            <w:r w:rsidR="00855802" w:rsidRPr="00855802">
              <w:rPr>
                <w:rFonts w:asciiTheme="minorHAnsi" w:hAnsiTheme="minorHAnsi" w:cstheme="minorHAnsi"/>
                <w:lang w:eastAsia="en-US"/>
              </w:rPr>
              <w:t xml:space="preserve">: </w:t>
            </w:r>
            <w:r w:rsidR="00855802" w:rsidRPr="00855802">
              <w:rPr>
                <w:rFonts w:asciiTheme="minorHAnsi" w:hAnsiTheme="minorHAnsi" w:cstheme="minorHAnsi"/>
                <w:b/>
                <w:lang w:eastAsia="en-US"/>
              </w:rPr>
              <w:t>Enabling economic growth</w:t>
            </w:r>
            <w:r w:rsidR="00855802" w:rsidRPr="00855802">
              <w:rPr>
                <w:rFonts w:asciiTheme="minorHAnsi" w:hAnsiTheme="minorHAnsi" w:cstheme="minorHAnsi"/>
                <w:lang w:eastAsia="en-US"/>
              </w:rPr>
              <w:t xml:space="preserve"> - Solomon Islands’ economic operating environment is more attractive to business</w:t>
            </w:r>
            <w:r w:rsidR="00855802" w:rsidRPr="00855802">
              <w:rPr>
                <w:rFonts w:asciiTheme="minorHAnsi" w:hAnsiTheme="minorHAnsi" w:cstheme="minorHAnsi"/>
              </w:rPr>
              <w:tab/>
              <w:t xml:space="preserve"> </w:t>
            </w:r>
          </w:p>
        </w:tc>
        <w:tc>
          <w:tcPr>
            <w:tcW w:w="1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12509" w:rsidRDefault="00855802"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60A43" w:rsidRDefault="002254EA" w:rsidP="00D05246">
            <w:pPr>
              <w:pStyle w:val="TableTextEntries"/>
              <w:jc w:val="center"/>
              <w:rPr>
                <w:rFonts w:asciiTheme="minorHAnsi" w:hAnsiTheme="minorHAnsi"/>
              </w:rPr>
            </w:pPr>
            <w:r>
              <w:rPr>
                <w:rFonts w:asciiTheme="minorHAnsi" w:hAnsiTheme="minorHAnsi"/>
                <w:color w:val="FFFFFF" w:themeColor="background1"/>
              </w:rPr>
              <w:t>Green</w:t>
            </w:r>
          </w:p>
        </w:tc>
      </w:tr>
      <w:tr w:rsidR="00355959" w:rsidRPr="00812509" w:rsidTr="005F574B">
        <w:trPr>
          <w:cnfStyle w:val="000000010000" w:firstRow="0" w:lastRow="0" w:firstColumn="0" w:lastColumn="0" w:oddVBand="0" w:evenVBand="0" w:oddHBand="0" w:evenHBand="1" w:firstRowFirstColumn="0" w:firstRowLastColumn="0" w:lastRowFirstColumn="0" w:lastRowLastColumn="0"/>
        </w:trPr>
        <w:tc>
          <w:tcPr>
            <w:tcW w:w="65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55802" w:rsidRDefault="00855802" w:rsidP="00855802">
            <w:pPr>
              <w:pStyle w:val="TableTextEntries"/>
              <w:tabs>
                <w:tab w:val="left" w:pos="2235"/>
              </w:tabs>
              <w:rPr>
                <w:rFonts w:asciiTheme="minorHAnsi" w:hAnsiTheme="minorHAnsi" w:cstheme="minorHAnsi"/>
              </w:rPr>
            </w:pPr>
            <w:r>
              <w:rPr>
                <w:rFonts w:asciiTheme="minorHAnsi" w:hAnsiTheme="minorHAnsi" w:cstheme="minorHAnsi"/>
              </w:rPr>
              <w:t>Objective 2B</w:t>
            </w:r>
            <w:r w:rsidRPr="00855802">
              <w:rPr>
                <w:rFonts w:asciiTheme="minorHAnsi" w:hAnsiTheme="minorHAnsi" w:cstheme="minorHAnsi"/>
                <w:lang w:eastAsia="en-US"/>
              </w:rPr>
              <w:t xml:space="preserve">: </w:t>
            </w:r>
            <w:r w:rsidRPr="00855802">
              <w:rPr>
                <w:rFonts w:asciiTheme="minorHAnsi" w:hAnsiTheme="minorHAnsi" w:cstheme="minorHAnsi"/>
                <w:b/>
                <w:lang w:eastAsia="en-US"/>
              </w:rPr>
              <w:t xml:space="preserve">Enabling economic growth - </w:t>
            </w:r>
            <w:r w:rsidRPr="00855802">
              <w:rPr>
                <w:rFonts w:asciiTheme="minorHAnsi" w:hAnsiTheme="minorHAnsi" w:cstheme="minorHAnsi"/>
                <w:lang w:eastAsia="en-US"/>
              </w:rPr>
              <w:t>More men and women are able to earn a cash-based income</w:t>
            </w:r>
          </w:p>
        </w:tc>
        <w:tc>
          <w:tcPr>
            <w:tcW w:w="1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355959" w:rsidRPr="00812509" w:rsidRDefault="00855802"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13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60A43" w:rsidRDefault="002540D7" w:rsidP="00D05246">
            <w:pPr>
              <w:pStyle w:val="TableTextEntries"/>
              <w:jc w:val="center"/>
              <w:rPr>
                <w:rFonts w:asciiTheme="minorHAnsi" w:hAnsiTheme="minorHAnsi"/>
              </w:rPr>
            </w:pPr>
            <w:r>
              <w:rPr>
                <w:rFonts w:asciiTheme="minorHAnsi" w:hAnsiTheme="minorHAnsi"/>
                <w:color w:val="FFFFFF" w:themeColor="background1"/>
              </w:rPr>
              <w:t>Green</w:t>
            </w:r>
          </w:p>
        </w:tc>
      </w:tr>
      <w:tr w:rsidR="00855802" w:rsidRPr="00812509" w:rsidTr="00153899">
        <w:trPr>
          <w:cnfStyle w:val="000000010000" w:firstRow="0" w:lastRow="0" w:firstColumn="0" w:lastColumn="0" w:oddVBand="0" w:evenVBand="0" w:oddHBand="0" w:evenHBand="1" w:firstRowFirstColumn="0" w:firstRowLastColumn="0" w:lastRowFirstColumn="0" w:lastRowLastColumn="0"/>
        </w:trPr>
        <w:tc>
          <w:tcPr>
            <w:tcW w:w="65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55802" w:rsidRPr="00855802" w:rsidRDefault="00855802" w:rsidP="00855802">
            <w:pPr>
              <w:pStyle w:val="TableTextEntries"/>
              <w:rPr>
                <w:rFonts w:asciiTheme="minorHAnsi" w:hAnsiTheme="minorHAnsi" w:cstheme="minorHAnsi"/>
              </w:rPr>
            </w:pPr>
            <w:r w:rsidRPr="00855802">
              <w:rPr>
                <w:rFonts w:asciiTheme="minorHAnsi" w:hAnsiTheme="minorHAnsi" w:cstheme="minorHAnsi"/>
              </w:rPr>
              <w:t>Objective 3</w:t>
            </w:r>
            <w:r>
              <w:rPr>
                <w:rFonts w:asciiTheme="minorHAnsi" w:hAnsiTheme="minorHAnsi" w:cstheme="minorHAnsi"/>
              </w:rPr>
              <w:t>:</w:t>
            </w:r>
            <w:r w:rsidRPr="00855802">
              <w:rPr>
                <w:rFonts w:asciiTheme="minorHAnsi" w:hAnsiTheme="minorHAnsi" w:cstheme="minorHAnsi"/>
              </w:rPr>
              <w:t xml:space="preserve"> </w:t>
            </w:r>
            <w:r w:rsidRPr="00855802">
              <w:rPr>
                <w:rFonts w:asciiTheme="minorHAnsi" w:hAnsiTheme="minorHAnsi" w:cstheme="minorHAnsi"/>
                <w:b/>
                <w:lang w:eastAsia="en-US"/>
              </w:rPr>
              <w:t>Enhancing human development</w:t>
            </w:r>
            <w:r w:rsidRPr="00855802">
              <w:rPr>
                <w:rFonts w:asciiTheme="minorHAnsi" w:hAnsiTheme="minorHAnsi" w:cstheme="minorHAnsi"/>
                <w:lang w:eastAsia="en-US"/>
              </w:rPr>
              <w:t xml:space="preserve"> - More men, women, girls and boys benefit from quality health and basic and vocational education services</w:t>
            </w:r>
          </w:p>
        </w:tc>
        <w:tc>
          <w:tcPr>
            <w:tcW w:w="1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855802" w:rsidRPr="00812509" w:rsidRDefault="00855802" w:rsidP="00855802">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855802" w:rsidRPr="00860A43" w:rsidRDefault="00153899" w:rsidP="00855802">
            <w:pPr>
              <w:pStyle w:val="TableTextEntries"/>
              <w:jc w:val="center"/>
              <w:rPr>
                <w:rFonts w:asciiTheme="minorHAnsi" w:hAnsiTheme="minorHAnsi"/>
              </w:rPr>
            </w:pPr>
            <w:r>
              <w:rPr>
                <w:rFonts w:asciiTheme="minorHAnsi" w:hAnsiTheme="minorHAnsi"/>
                <w:color w:val="FFFFFF" w:themeColor="background1"/>
              </w:rPr>
              <w:t>Amber</w:t>
            </w:r>
          </w:p>
        </w:tc>
      </w:tr>
    </w:tbl>
    <w:p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F83044" w:rsidRDefault="00F83044">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p>
    <w:p w:rsidR="0072170F" w:rsidRPr="00877607"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lastRenderedPageBreak/>
        <w:t>Objective 1</w:t>
      </w:r>
      <w:r w:rsidR="00C57378">
        <w:rPr>
          <w:rFonts w:asciiTheme="majorHAnsi" w:eastAsiaTheme="majorEastAsia" w:hAnsiTheme="majorHAnsi" w:cstheme="majorBidi"/>
          <w:caps/>
          <w:sz w:val="32"/>
          <w:szCs w:val="32"/>
        </w:rPr>
        <w:t>:  SUPPORTING STABILITY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72170F" w:rsidRPr="00695730" w:rsidTr="00D05246">
        <w:tc>
          <w:tcPr>
            <w:tcW w:w="2016" w:type="dxa"/>
          </w:tcPr>
          <w:p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1BC9BB34" wp14:editId="251F6E91">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72170F" w:rsidRPr="00695730" w:rsidRDefault="00C57378" w:rsidP="00D05246">
            <w:pPr>
              <w:suppressAutoHyphens w:val="0"/>
              <w:spacing w:before="160" w:after="80" w:line="240" w:lineRule="auto"/>
              <w:jc w:val="center"/>
              <w:rPr>
                <w:rFonts w:asciiTheme="majorHAnsi" w:eastAsiaTheme="majorEastAsia" w:hAnsiTheme="majorHAnsi" w:cstheme="majorBidi"/>
                <w:caps/>
                <w:sz w:val="38"/>
                <w:szCs w:val="26"/>
              </w:rPr>
            </w:pPr>
            <w:r w:rsidRPr="00071F77">
              <w:rPr>
                <w:noProof/>
                <w:sz w:val="20"/>
                <w:lang w:val="en-AU" w:eastAsia="en-AU"/>
              </w:rPr>
              <w:drawing>
                <wp:inline distT="0" distB="0" distL="0" distR="0" wp14:anchorId="41E17EC0" wp14:editId="02C86FEF">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C57378"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E7AD1AE" wp14:editId="28CAE059">
                  <wp:extent cx="609600" cy="609600"/>
                  <wp:effectExtent l="0" t="0" r="0" b="0"/>
                  <wp:docPr id="6" name="Picture 6"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rsidR="0072170F" w:rsidRPr="00695730" w:rsidRDefault="00C57378" w:rsidP="00D05246">
            <w:pPr>
              <w:suppressAutoHyphens w:val="0"/>
              <w:spacing w:before="160" w:after="80" w:line="240" w:lineRule="auto"/>
              <w:jc w:val="center"/>
              <w:rPr>
                <w:rFonts w:asciiTheme="majorHAnsi" w:eastAsiaTheme="majorEastAsia" w:hAnsiTheme="majorHAnsi" w:cstheme="majorBidi"/>
                <w:caps/>
                <w:sz w:val="38"/>
                <w:szCs w:val="26"/>
              </w:rPr>
            </w:pPr>
            <w:r w:rsidRPr="00071F77">
              <w:rPr>
                <w:noProof/>
                <w:sz w:val="20"/>
                <w:lang w:val="en-AU" w:eastAsia="en-AU"/>
              </w:rPr>
              <w:drawing>
                <wp:inline distT="0" distB="0" distL="0" distR="0" wp14:anchorId="0A0D828A" wp14:editId="43559132">
                  <wp:extent cx="608400" cy="6120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p>
        </w:tc>
      </w:tr>
    </w:tbl>
    <w:p w:rsidR="00361C10" w:rsidRPr="00FE347A" w:rsidRDefault="00B069EE" w:rsidP="00361C10">
      <w:r w:rsidRPr="00091805">
        <w:rPr>
          <w:b/>
        </w:rPr>
        <w:t>P</w:t>
      </w:r>
      <w:r w:rsidR="00361C10" w:rsidRPr="00091805">
        <w:rPr>
          <w:b/>
        </w:rPr>
        <w:t xml:space="preserve">rogress towards this </w:t>
      </w:r>
      <w:r w:rsidR="004646B4" w:rsidRPr="00091805">
        <w:rPr>
          <w:b/>
        </w:rPr>
        <w:t>objective</w:t>
      </w:r>
      <w:r w:rsidRPr="00091805">
        <w:rPr>
          <w:b/>
        </w:rPr>
        <w:t xml:space="preserve"> - Solomon Islanders’ increasingly recognise and participate in a legitimate state, free from conflict and economically stable -</w:t>
      </w:r>
      <w:r w:rsidR="004646B4" w:rsidRPr="00091805">
        <w:rPr>
          <w:b/>
        </w:rPr>
        <w:t xml:space="preserve"> </w:t>
      </w:r>
      <w:r w:rsidR="006D6354" w:rsidRPr="00091805">
        <w:rPr>
          <w:b/>
        </w:rPr>
        <w:t>wa</w:t>
      </w:r>
      <w:r w:rsidR="00361C10" w:rsidRPr="00091805">
        <w:rPr>
          <w:b/>
        </w:rPr>
        <w:t>s</w:t>
      </w:r>
      <w:r w:rsidR="006D6354" w:rsidRPr="00091805">
        <w:rPr>
          <w:b/>
        </w:rPr>
        <w:t xml:space="preserve"> as</w:t>
      </w:r>
      <w:r w:rsidR="004646B4" w:rsidRPr="00091805">
        <w:rPr>
          <w:b/>
        </w:rPr>
        <w:t xml:space="preserve"> expected</w:t>
      </w:r>
      <w:r w:rsidR="004646B4" w:rsidRPr="00FE347A">
        <w:t xml:space="preserve"> </w:t>
      </w:r>
      <w:r w:rsidR="00575681">
        <w:t>and is rated green</w:t>
      </w:r>
      <w:r w:rsidR="00B5012F">
        <w:t>;</w:t>
      </w:r>
      <w:r w:rsidR="00575681">
        <w:t xml:space="preserve"> </w:t>
      </w:r>
      <w:r w:rsidR="004646B4" w:rsidRPr="00FE347A">
        <w:t>12</w:t>
      </w:r>
      <w:r w:rsidR="00730E7A" w:rsidRPr="00FE347A">
        <w:t xml:space="preserve"> of </w:t>
      </w:r>
      <w:r w:rsidR="004646B4" w:rsidRPr="00FE347A">
        <w:t>14</w:t>
      </w:r>
      <w:r w:rsidR="00F5449C">
        <w:t> </w:t>
      </w:r>
      <w:r w:rsidR="00730E7A" w:rsidRPr="00FE347A">
        <w:t xml:space="preserve">indicators </w:t>
      </w:r>
      <w:r w:rsidR="006257F7" w:rsidRPr="00FE347A">
        <w:t xml:space="preserve">across six outcomes </w:t>
      </w:r>
      <w:r w:rsidR="00B5012F" w:rsidRPr="00FE347A">
        <w:t>achiev</w:t>
      </w:r>
      <w:r w:rsidR="00B5012F">
        <w:t>ed</w:t>
      </w:r>
      <w:r w:rsidR="00B5012F" w:rsidRPr="00FE347A">
        <w:t xml:space="preserve"> </w:t>
      </w:r>
      <w:r w:rsidR="006257F7" w:rsidRPr="00FE347A">
        <w:t>their</w:t>
      </w:r>
      <w:r w:rsidR="00730E7A" w:rsidRPr="00FE347A">
        <w:t xml:space="preserve"> target</w:t>
      </w:r>
      <w:r w:rsidR="004646B4" w:rsidRPr="00FE347A">
        <w:t xml:space="preserve"> </w:t>
      </w:r>
      <w:r w:rsidR="006D6354" w:rsidRPr="00FE347A">
        <w:t>(</w:t>
      </w:r>
      <w:r w:rsidR="004646B4" w:rsidRPr="00FE347A">
        <w:t>Annex E</w:t>
      </w:r>
      <w:r w:rsidR="006D6354" w:rsidRPr="00FE347A">
        <w:t>)</w:t>
      </w:r>
      <w:r w:rsidR="00B5012F">
        <w:t>, with</w:t>
      </w:r>
      <w:r w:rsidR="006D6354" w:rsidRPr="00FE347A">
        <w:t xml:space="preserve"> two of the three relevant performance benchmarks achieved (Annex B)</w:t>
      </w:r>
      <w:r w:rsidR="004646B4" w:rsidRPr="00FE347A">
        <w:t xml:space="preserve">. </w:t>
      </w:r>
    </w:p>
    <w:p w:rsidR="00F5449C" w:rsidRPr="008A7D0A" w:rsidRDefault="00F5449C" w:rsidP="00F5449C">
      <w:pPr>
        <w:rPr>
          <w:color w:val="auto"/>
          <w:sz w:val="21"/>
          <w:szCs w:val="21"/>
        </w:rPr>
      </w:pPr>
      <w:r w:rsidRPr="005B4D51">
        <w:rPr>
          <w:b/>
        </w:rPr>
        <w:t>Stability is critical to both economic growth and human development.</w:t>
      </w:r>
      <w:r w:rsidR="00142CC4">
        <w:rPr>
          <w:b/>
        </w:rPr>
        <w:t xml:space="preserve">  </w:t>
      </w:r>
      <w:r w:rsidRPr="005B4D51">
        <w:t>In Solomon Islands Australia supports the formal policing and justice sector</w:t>
      </w:r>
      <w:r w:rsidR="000909BD" w:rsidRPr="005B4D51">
        <w:t>, democratic governance,</w:t>
      </w:r>
      <w:r w:rsidRPr="005B4D51">
        <w:t xml:space="preserve"> </w:t>
      </w:r>
      <w:r w:rsidR="003D0462">
        <w:t>and</w:t>
      </w:r>
      <w:r w:rsidRPr="005B4D51">
        <w:t xml:space="preserve"> the Solomon Islands government efforts to maintain economic stability and build a platform for growth. </w:t>
      </w:r>
      <w:r w:rsidR="000909BD" w:rsidRPr="005B4D51">
        <w:t xml:space="preserve"> </w:t>
      </w:r>
      <w:r w:rsidRPr="005B4D51">
        <w:t xml:space="preserve">Through these efforts, we are supporting Solomon Islands </w:t>
      </w:r>
      <w:r w:rsidR="003D0462">
        <w:t xml:space="preserve">to </w:t>
      </w:r>
      <w:r w:rsidRPr="005B4D51">
        <w:t>maintain peace</w:t>
      </w:r>
      <w:r w:rsidR="00142CC4">
        <w:t xml:space="preserve">, </w:t>
      </w:r>
      <w:r w:rsidRPr="005B4D51">
        <w:t>security</w:t>
      </w:r>
      <w:r w:rsidR="00142CC4">
        <w:t xml:space="preserve"> and justice</w:t>
      </w:r>
      <w:r w:rsidRPr="005B4D51">
        <w:t xml:space="preserve">. </w:t>
      </w:r>
      <w:r w:rsidR="000909BD" w:rsidRPr="005B4D51">
        <w:t xml:space="preserve"> </w:t>
      </w:r>
      <w:r w:rsidR="008F2195">
        <w:t xml:space="preserve">While </w:t>
      </w:r>
      <w:r w:rsidRPr="005B4D51">
        <w:t>S</w:t>
      </w:r>
      <w:r w:rsidR="00577FEE" w:rsidRPr="005B4D51">
        <w:t xml:space="preserve">olomon Islands </w:t>
      </w:r>
      <w:r w:rsidR="00142CC4">
        <w:t xml:space="preserve">has now experienced </w:t>
      </w:r>
      <w:r w:rsidR="008F2195">
        <w:t>an extended period</w:t>
      </w:r>
      <w:r w:rsidR="00142CC4">
        <w:t xml:space="preserve"> </w:t>
      </w:r>
      <w:r w:rsidR="003D0462">
        <w:t xml:space="preserve">of </w:t>
      </w:r>
      <w:r w:rsidR="00142CC4">
        <w:t xml:space="preserve">relative stability, </w:t>
      </w:r>
      <w:r w:rsidR="008F2195">
        <w:t>it</w:t>
      </w:r>
      <w:r w:rsidR="00142CC4">
        <w:t xml:space="preserve"> </w:t>
      </w:r>
      <w:r w:rsidR="008C2895" w:rsidRPr="008C2895">
        <w:t xml:space="preserve">remains </w:t>
      </w:r>
      <w:r w:rsidR="008F2195" w:rsidRPr="008F2195">
        <w:t>fragile, ranking</w:t>
      </w:r>
      <w:r w:rsidR="00577FEE" w:rsidRPr="005B4D51">
        <w:t xml:space="preserve"> </w:t>
      </w:r>
      <w:r w:rsidRPr="005B4D51">
        <w:t>5</w:t>
      </w:r>
      <w:r w:rsidR="00562A14">
        <w:t>5</w:t>
      </w:r>
      <w:r w:rsidRPr="005B4D51">
        <w:t xml:space="preserve"> </w:t>
      </w:r>
      <w:r w:rsidR="00562A14">
        <w:t xml:space="preserve">out </w:t>
      </w:r>
      <w:r w:rsidRPr="005B4D51">
        <w:t>of 178 countries in the Fund For Peace’s 2019 Fragile States Index</w:t>
      </w:r>
      <w:r w:rsidRPr="005B4D51">
        <w:rPr>
          <w:rStyle w:val="FootnoteReference"/>
          <w:color w:val="auto"/>
          <w:sz w:val="21"/>
          <w:szCs w:val="21"/>
        </w:rPr>
        <w:footnoteReference w:id="9"/>
      </w:r>
      <w:r w:rsidRPr="005B4D51">
        <w:rPr>
          <w:color w:val="auto"/>
          <w:sz w:val="21"/>
          <w:szCs w:val="21"/>
        </w:rPr>
        <w:t>.</w:t>
      </w:r>
      <w:r w:rsidRPr="008A7D0A">
        <w:rPr>
          <w:color w:val="auto"/>
          <w:sz w:val="21"/>
          <w:szCs w:val="21"/>
        </w:rPr>
        <w:t xml:space="preserve"> </w:t>
      </w:r>
    </w:p>
    <w:p w:rsidR="00270556" w:rsidRPr="00FE347A" w:rsidRDefault="00091805" w:rsidP="003F2EB3">
      <w:r w:rsidRPr="00091805">
        <w:rPr>
          <w:b/>
        </w:rPr>
        <w:t>In 2018-</w:t>
      </w:r>
      <w:r w:rsidR="004646B4" w:rsidRPr="00091805">
        <w:rPr>
          <w:b/>
        </w:rPr>
        <w:t xml:space="preserve">19, our </w:t>
      </w:r>
      <w:r w:rsidR="002C56CD" w:rsidRPr="00091805">
        <w:rPr>
          <w:b/>
        </w:rPr>
        <w:t>support to police and justice agencies i</w:t>
      </w:r>
      <w:r w:rsidR="004646B4" w:rsidRPr="00091805">
        <w:rPr>
          <w:b/>
        </w:rPr>
        <w:t>ncreased access to justice and improved system efficiency</w:t>
      </w:r>
      <w:r w:rsidR="004646B4" w:rsidRPr="00FE347A">
        <w:t xml:space="preserve"> (outcome 1</w:t>
      </w:r>
      <w:r w:rsidR="00686FD0" w:rsidRPr="00FE347A">
        <w:t>.1</w:t>
      </w:r>
      <w:r w:rsidR="004646B4" w:rsidRPr="00FE347A">
        <w:t>)</w:t>
      </w:r>
      <w:r w:rsidR="006257F7" w:rsidRPr="00FE347A">
        <w:t>.</w:t>
      </w:r>
      <w:r w:rsidR="000909BD">
        <w:t xml:space="preserve"> </w:t>
      </w:r>
      <w:r w:rsidR="006257F7" w:rsidRPr="00FE347A">
        <w:t xml:space="preserve"> </w:t>
      </w:r>
      <w:r w:rsidR="00270556" w:rsidRPr="00FE347A">
        <w:t>In 2018-19, 22 long and short term legal advisers provided support to the public solicitor and public prosecutor offices to assist legislative reform, correctional centre management, judicial services, and responses to gender</w:t>
      </w:r>
      <w:r w:rsidR="000909BD">
        <w:t>-</w:t>
      </w:r>
      <w:r w:rsidR="00270556" w:rsidRPr="00FE347A">
        <w:t xml:space="preserve">based and family violence. </w:t>
      </w:r>
      <w:r w:rsidR="000909BD">
        <w:t xml:space="preserve"> </w:t>
      </w:r>
      <w:r w:rsidR="00DE1245" w:rsidRPr="00FE347A">
        <w:t>The number of provincial court circuits held rose from 12 (2017) to 60</w:t>
      </w:r>
      <w:r>
        <w:t>,</w:t>
      </w:r>
      <w:r w:rsidR="00DE1245" w:rsidRPr="00FE347A">
        <w:t xml:space="preserve"> exceeding our target of 20</w:t>
      </w:r>
      <w:r>
        <w:t xml:space="preserve">. </w:t>
      </w:r>
      <w:r w:rsidR="0055559E">
        <w:t xml:space="preserve"> </w:t>
      </w:r>
      <w:r>
        <w:t>This r</w:t>
      </w:r>
      <w:r w:rsidR="006257F7" w:rsidRPr="00FE347A">
        <w:t xml:space="preserve">esulted </w:t>
      </w:r>
      <w:r>
        <w:t xml:space="preserve">in </w:t>
      </w:r>
      <w:r w:rsidR="006257F7" w:rsidRPr="00FE347A">
        <w:t>hearing</w:t>
      </w:r>
      <w:r w:rsidR="00270556" w:rsidRPr="00FE347A">
        <w:t>s</w:t>
      </w:r>
      <w:r w:rsidR="006257F7" w:rsidRPr="00FE347A">
        <w:t xml:space="preserve"> </w:t>
      </w:r>
      <w:r>
        <w:t xml:space="preserve">held </w:t>
      </w:r>
      <w:r w:rsidR="006257F7" w:rsidRPr="00FE347A">
        <w:t xml:space="preserve">in </w:t>
      </w:r>
      <w:r w:rsidR="00DE1245" w:rsidRPr="00FE347A">
        <w:t>50</w:t>
      </w:r>
      <w:r>
        <w:t> </w:t>
      </w:r>
      <w:r w:rsidR="00DE1245" w:rsidRPr="00FE347A">
        <w:t xml:space="preserve">weeks in 2018, up from 14 weeks in 2017. </w:t>
      </w:r>
      <w:r w:rsidR="000909BD">
        <w:t xml:space="preserve"> </w:t>
      </w:r>
      <w:r w:rsidR="00DE1245" w:rsidRPr="00FE347A">
        <w:t>Some of these court circuits had not sat for over 14</w:t>
      </w:r>
      <w:r w:rsidR="000909BD">
        <w:t> </w:t>
      </w:r>
      <w:r w:rsidR="00DE1245" w:rsidRPr="00FE347A">
        <w:t xml:space="preserve">years. </w:t>
      </w:r>
      <w:r w:rsidR="000909BD">
        <w:t xml:space="preserve"> </w:t>
      </w:r>
      <w:r w:rsidR="00DE1245" w:rsidRPr="00FE347A">
        <w:t xml:space="preserve">Magistrates were appointed in all four provincial court locations for the first time in 12 years resulting in the number of cases concluded at the provincial level increasing seven-fold (937 in 2018 up from 134 in 2017). </w:t>
      </w:r>
      <w:r w:rsidR="000909BD">
        <w:t xml:space="preserve"> </w:t>
      </w:r>
      <w:r w:rsidR="00DE1245" w:rsidRPr="00FE347A">
        <w:t xml:space="preserve">Increased Customary Land Appeal Court hearings resulted in the clearance of 97 per cent of all land cases, some of which stretched back over 35 years. </w:t>
      </w:r>
      <w:r w:rsidR="000909BD">
        <w:t xml:space="preserve"> </w:t>
      </w:r>
      <w:r w:rsidR="00DE1245" w:rsidRPr="00FE347A">
        <w:t xml:space="preserve">Only 12 cases remain to be cleared by the end of 2019. </w:t>
      </w:r>
      <w:r w:rsidR="0055559E">
        <w:t xml:space="preserve"> </w:t>
      </w:r>
      <w:r w:rsidR="00DE1245" w:rsidRPr="00FE347A">
        <w:t xml:space="preserve">Australia agreed to provide an expatriate High Court judge and High Court adviser to increase the caseload undertaken by that institution. </w:t>
      </w:r>
      <w:r w:rsidR="000909BD">
        <w:t xml:space="preserve"> </w:t>
      </w:r>
      <w:r w:rsidR="00DE1245" w:rsidRPr="00FE347A">
        <w:t xml:space="preserve">A UN Access to Justice </w:t>
      </w:r>
      <w:r w:rsidR="003D0462">
        <w:t>s</w:t>
      </w:r>
      <w:r w:rsidR="00DE1245" w:rsidRPr="00FE347A">
        <w:t>urvey reported that 73</w:t>
      </w:r>
      <w:r w:rsidR="00FE347A">
        <w:t> </w:t>
      </w:r>
      <w:r w:rsidR="00DE1245" w:rsidRPr="00FE347A">
        <w:t xml:space="preserve">per cent of the population were satisfied with the way disputes are settled, an increase from 66 per cent in the previous year. </w:t>
      </w:r>
    </w:p>
    <w:p w:rsidR="003F2EB3" w:rsidRPr="00FE347A" w:rsidRDefault="003F2EB3" w:rsidP="003F2EB3">
      <w:r w:rsidRPr="00FE347A">
        <w:rPr>
          <w:b/>
        </w:rPr>
        <w:t xml:space="preserve">An important aspect of our bilateral relationship is our strong partnership between the </w:t>
      </w:r>
      <w:r w:rsidR="000909BD">
        <w:rPr>
          <w:b/>
        </w:rPr>
        <w:t xml:space="preserve">AFP </w:t>
      </w:r>
      <w:r w:rsidRPr="00FE347A">
        <w:rPr>
          <w:b/>
        </w:rPr>
        <w:t>and Royal</w:t>
      </w:r>
      <w:r w:rsidR="000909BD">
        <w:rPr>
          <w:b/>
        </w:rPr>
        <w:t> </w:t>
      </w:r>
      <w:r w:rsidRPr="00FE347A">
        <w:rPr>
          <w:b/>
        </w:rPr>
        <w:t>Solomon Islands Police Force</w:t>
      </w:r>
      <w:r w:rsidR="007C06E3">
        <w:rPr>
          <w:b/>
        </w:rPr>
        <w:t xml:space="preserve"> (RSIPF)</w:t>
      </w:r>
      <w:r w:rsidRPr="00FE347A">
        <w:t xml:space="preserve">. </w:t>
      </w:r>
      <w:r w:rsidR="000909BD">
        <w:t xml:space="preserve"> </w:t>
      </w:r>
      <w:r w:rsidRPr="00FE347A">
        <w:t>We work together to strengthen the capacity of police and develop a more responsive and community oriented police force.  Forty</w:t>
      </w:r>
      <w:r w:rsidR="0055559E">
        <w:t xml:space="preserve"> </w:t>
      </w:r>
      <w:r w:rsidRPr="00FE347A">
        <w:t xml:space="preserve">two AFP advisers mentor, train and advise the </w:t>
      </w:r>
      <w:r w:rsidR="007C06E3">
        <w:t>RSIPF</w:t>
      </w:r>
      <w:r w:rsidR="00654D02">
        <w:t xml:space="preserve"> </w:t>
      </w:r>
      <w:r w:rsidR="00654D02" w:rsidRPr="00654D02">
        <w:t>under the Solomon Islands Police Development Program.</w:t>
      </w:r>
      <w:r w:rsidR="0055559E">
        <w:t xml:space="preserve"> </w:t>
      </w:r>
      <w:r w:rsidR="00654D02" w:rsidRPr="00654D02">
        <w:t xml:space="preserve"> In 2018-19</w:t>
      </w:r>
      <w:r w:rsidR="000909BD">
        <w:t>,</w:t>
      </w:r>
      <w:r w:rsidR="00654D02" w:rsidRPr="00654D02">
        <w:t xml:space="preserve"> the </w:t>
      </w:r>
      <w:r w:rsidR="007C06E3">
        <w:t>program</w:t>
      </w:r>
      <w:r w:rsidR="007C06E3" w:rsidRPr="00654D02">
        <w:t xml:space="preserve"> </w:t>
      </w:r>
      <w:r w:rsidR="00654D02" w:rsidRPr="00654D02">
        <w:t>focused on assisting the RSIPF with its preparation, planning and delivery of a safe and secure National General Election</w:t>
      </w:r>
      <w:r w:rsidR="007C06E3">
        <w:t>.</w:t>
      </w:r>
      <w:r w:rsidR="00E548E6">
        <w:t xml:space="preserve"> </w:t>
      </w:r>
      <w:r w:rsidR="000909BD">
        <w:t xml:space="preserve"> </w:t>
      </w:r>
      <w:r w:rsidR="00654D02" w:rsidRPr="00654D02">
        <w:t xml:space="preserve">The </w:t>
      </w:r>
      <w:r w:rsidR="007C06E3">
        <w:t>program</w:t>
      </w:r>
      <w:r w:rsidR="007C06E3" w:rsidRPr="00654D02">
        <w:t xml:space="preserve"> </w:t>
      </w:r>
      <w:r w:rsidR="00654D02" w:rsidRPr="00654D02">
        <w:t xml:space="preserve">also supported the RSIPF in a joint AFP/RSIPF response to 500kg of cocaine discovered in a yacht </w:t>
      </w:r>
      <w:r w:rsidR="00924ED2">
        <w:t>in</w:t>
      </w:r>
      <w:r w:rsidR="00924ED2" w:rsidRPr="00654D02">
        <w:t xml:space="preserve"> </w:t>
      </w:r>
      <w:r w:rsidR="00654D02" w:rsidRPr="00654D02">
        <w:t xml:space="preserve">Solomon Islands waters. </w:t>
      </w:r>
      <w:r w:rsidR="0055559E">
        <w:t xml:space="preserve"> </w:t>
      </w:r>
      <w:r w:rsidR="000909BD">
        <w:t>T</w:t>
      </w:r>
      <w:r w:rsidR="00654D02" w:rsidRPr="00654D02">
        <w:t xml:space="preserve">he </w:t>
      </w:r>
      <w:r w:rsidR="007C06E3">
        <w:t>program</w:t>
      </w:r>
      <w:r w:rsidR="007C06E3" w:rsidRPr="00654D02">
        <w:t xml:space="preserve"> </w:t>
      </w:r>
      <w:r w:rsidR="00654D02" w:rsidRPr="00654D02">
        <w:t xml:space="preserve">supported the RSIPF in developing a workforce capability framework </w:t>
      </w:r>
      <w:r w:rsidR="00924ED2">
        <w:t>resulting</w:t>
      </w:r>
      <w:r w:rsidR="00654D02" w:rsidRPr="00654D02">
        <w:t xml:space="preserve"> in a</w:t>
      </w:r>
      <w:r w:rsidR="00924ED2">
        <w:t xml:space="preserve">n </w:t>
      </w:r>
      <w:r w:rsidR="00654D02" w:rsidRPr="00654D02">
        <w:t>increase in female officers applying for promotion.</w:t>
      </w:r>
      <w:r w:rsidRPr="00FE347A">
        <w:t xml:space="preserve"> </w:t>
      </w:r>
    </w:p>
    <w:p w:rsidR="00686FD0" w:rsidRPr="00FE347A" w:rsidRDefault="003F2EB3" w:rsidP="00103466">
      <w:r w:rsidRPr="00FE347A">
        <w:rPr>
          <w:b/>
        </w:rPr>
        <w:t>W</w:t>
      </w:r>
      <w:r w:rsidR="00DE1245" w:rsidRPr="00FE347A">
        <w:rPr>
          <w:b/>
        </w:rPr>
        <w:t>omen’s access to justice continues to be a challenge</w:t>
      </w:r>
      <w:r w:rsidR="002C56CD" w:rsidRPr="00FE347A">
        <w:rPr>
          <w:b/>
        </w:rPr>
        <w:t xml:space="preserve"> especially in relation to </w:t>
      </w:r>
      <w:r w:rsidR="003D0462">
        <w:rPr>
          <w:b/>
        </w:rPr>
        <w:t xml:space="preserve">the </w:t>
      </w:r>
      <w:r w:rsidR="002C56CD" w:rsidRPr="00FE347A">
        <w:rPr>
          <w:b/>
        </w:rPr>
        <w:t>reporting of domestic violence</w:t>
      </w:r>
      <w:r w:rsidR="002C56CD" w:rsidRPr="00FE347A">
        <w:t xml:space="preserve"> (outcomes </w:t>
      </w:r>
      <w:r w:rsidR="00686FD0" w:rsidRPr="00FE347A">
        <w:t>1.</w:t>
      </w:r>
      <w:r w:rsidR="002C56CD" w:rsidRPr="00FE347A">
        <w:t>3)</w:t>
      </w:r>
      <w:r w:rsidR="00DE1245" w:rsidRPr="00FE347A">
        <w:rPr>
          <w:b/>
        </w:rPr>
        <w:t xml:space="preserve">. </w:t>
      </w:r>
      <w:r w:rsidR="0055559E">
        <w:rPr>
          <w:b/>
        </w:rPr>
        <w:t xml:space="preserve"> </w:t>
      </w:r>
      <w:r w:rsidR="00DE1245" w:rsidRPr="00FE347A">
        <w:t>We continued to assist with the implementation of the Family Protection Act which addresses v</w:t>
      </w:r>
      <w:r w:rsidR="002C56CD" w:rsidRPr="00FE347A">
        <w:t>iolence against women and girls.</w:t>
      </w:r>
      <w:r w:rsidR="00DE1245" w:rsidRPr="00FE347A">
        <w:rPr>
          <w:b/>
        </w:rPr>
        <w:t xml:space="preserve"> </w:t>
      </w:r>
      <w:r w:rsidR="0055559E">
        <w:rPr>
          <w:b/>
        </w:rPr>
        <w:t xml:space="preserve"> </w:t>
      </w:r>
      <w:r w:rsidR="00DE1245" w:rsidRPr="00FE347A">
        <w:t>Protection Order</w:t>
      </w:r>
      <w:r w:rsidR="002C56CD" w:rsidRPr="00FE347A">
        <w:t>s</w:t>
      </w:r>
      <w:r w:rsidR="00DE1245" w:rsidRPr="00FE347A">
        <w:t xml:space="preserve"> (restraining order</w:t>
      </w:r>
      <w:r w:rsidRPr="00FE347A">
        <w:t>s</w:t>
      </w:r>
      <w:r w:rsidR="00DE1245" w:rsidRPr="00FE347A">
        <w:t>)</w:t>
      </w:r>
      <w:r w:rsidR="002C56CD" w:rsidRPr="00FE347A">
        <w:t xml:space="preserve"> continued to be issued, however, the number of</w:t>
      </w:r>
      <w:r w:rsidRPr="00FE347A">
        <w:t xml:space="preserve"> orders issued declined </w:t>
      </w:r>
      <w:r w:rsidR="000909BD">
        <w:t>since last year</w:t>
      </w:r>
      <w:r w:rsidR="000909BD" w:rsidRPr="00FE347A">
        <w:t xml:space="preserve"> </w:t>
      </w:r>
      <w:r w:rsidRPr="00FE347A">
        <w:t>and only</w:t>
      </w:r>
      <w:r w:rsidR="00985309">
        <w:t xml:space="preserve"> 54</w:t>
      </w:r>
      <w:r w:rsidR="000909BD">
        <w:t> </w:t>
      </w:r>
      <w:r w:rsidRPr="00FE347A">
        <w:t>domestic violence cases were</w:t>
      </w:r>
      <w:r w:rsidR="00DE1245" w:rsidRPr="00FE347A">
        <w:t xml:space="preserve"> heard by courts</w:t>
      </w:r>
      <w:r w:rsidR="00091805">
        <w:t xml:space="preserve"> in 2018-</w:t>
      </w:r>
      <w:r w:rsidRPr="00FE347A">
        <w:t>19</w:t>
      </w:r>
      <w:r w:rsidR="00DE1245" w:rsidRPr="00FE347A">
        <w:t xml:space="preserve">. </w:t>
      </w:r>
      <w:r w:rsidR="0055559E">
        <w:t xml:space="preserve"> </w:t>
      </w:r>
      <w:r w:rsidR="00E548E6">
        <w:t>The justice</w:t>
      </w:r>
      <w:r w:rsidR="00575681">
        <w:t xml:space="preserve"> program is conducting community outreach and advocacy through justice agencies to increase access to</w:t>
      </w:r>
      <w:r w:rsidR="003D0462">
        <w:t xml:space="preserve"> the</w:t>
      </w:r>
      <w:r w:rsidR="00575681">
        <w:t xml:space="preserve"> formal justice service covered by the Family Protection Act.</w:t>
      </w:r>
      <w:r w:rsidR="0055559E">
        <w:t xml:space="preserve"> </w:t>
      </w:r>
      <w:r w:rsidR="00575681">
        <w:t xml:space="preserve"> </w:t>
      </w:r>
      <w:r w:rsidRPr="00FE347A">
        <w:t xml:space="preserve">Our partnership with </w:t>
      </w:r>
      <w:r w:rsidR="00183457" w:rsidRPr="00E548E6">
        <w:rPr>
          <w:i/>
        </w:rPr>
        <w:t>Seif Ples</w:t>
      </w:r>
      <w:r w:rsidR="007C06E3" w:rsidRPr="00E548E6">
        <w:rPr>
          <w:i/>
        </w:rPr>
        <w:t xml:space="preserve"> </w:t>
      </w:r>
      <w:r w:rsidR="007C06E3" w:rsidRPr="00E548E6">
        <w:t>(</w:t>
      </w:r>
      <w:r w:rsidR="003D0462">
        <w:t xml:space="preserve">an </w:t>
      </w:r>
      <w:r w:rsidR="00E548E6">
        <w:t>emergency clinic and accommodation for survivors of violence</w:t>
      </w:r>
      <w:r w:rsidR="007C06E3" w:rsidRPr="00E548E6">
        <w:t>)</w:t>
      </w:r>
      <w:r w:rsidRPr="00E548E6">
        <w:t xml:space="preserve"> has increased</w:t>
      </w:r>
      <w:r w:rsidRPr="00FE347A">
        <w:t xml:space="preserve"> the number of survivors of gender-based violence who accessed services (outcom</w:t>
      </w:r>
      <w:r w:rsidRPr="00985309">
        <w:t>e 1.4).</w:t>
      </w:r>
      <w:r w:rsidR="00091805" w:rsidRPr="00985309">
        <w:t xml:space="preserve"> </w:t>
      </w:r>
      <w:r w:rsidR="0055559E">
        <w:t xml:space="preserve"> </w:t>
      </w:r>
      <w:r w:rsidR="00091805" w:rsidRPr="00985309">
        <w:t>In 2018-1</w:t>
      </w:r>
      <w:r w:rsidR="00851B6C" w:rsidRPr="00985309">
        <w:t xml:space="preserve">9, 919 survivors of violence </w:t>
      </w:r>
      <w:r w:rsidR="00686FD0" w:rsidRPr="00985309">
        <w:t>accessed support services</w:t>
      </w:r>
      <w:r w:rsidR="003D0462">
        <w:t xml:space="preserve">, </w:t>
      </w:r>
      <w:r w:rsidR="00686FD0" w:rsidRPr="00985309">
        <w:t xml:space="preserve">delivering a year on year increase (our target) compared to </w:t>
      </w:r>
      <w:r w:rsidR="00686FD0" w:rsidRPr="00985309">
        <w:lastRenderedPageBreak/>
        <w:t xml:space="preserve">297 in </w:t>
      </w:r>
      <w:r w:rsidR="00091805" w:rsidRPr="00985309">
        <w:t>2016-17</w:t>
      </w:r>
      <w:r w:rsidR="00686FD0" w:rsidRPr="00985309">
        <w:t xml:space="preserve"> and 381 in </w:t>
      </w:r>
      <w:r w:rsidR="00091805" w:rsidRPr="00985309">
        <w:t>2017</w:t>
      </w:r>
      <w:r w:rsidR="00091805" w:rsidRPr="00985309">
        <w:noBreakHyphen/>
        <w:t>18</w:t>
      </w:r>
      <w:r w:rsidR="00686FD0" w:rsidRPr="00985309">
        <w:t>.</w:t>
      </w:r>
      <w:r w:rsidR="00686FD0" w:rsidRPr="00FE347A">
        <w:t xml:space="preserve"> </w:t>
      </w:r>
      <w:r w:rsidR="0055559E">
        <w:t xml:space="preserve"> </w:t>
      </w:r>
      <w:r w:rsidR="00686FD0" w:rsidRPr="00FE347A">
        <w:t>Case management services through S</w:t>
      </w:r>
      <w:r w:rsidR="00270556" w:rsidRPr="00FE347A">
        <w:t>AFENET</w:t>
      </w:r>
      <w:r w:rsidR="00546893">
        <w:t xml:space="preserve">, </w:t>
      </w:r>
      <w:r w:rsidR="00546893" w:rsidRPr="00546893">
        <w:t>the</w:t>
      </w:r>
      <w:r w:rsidR="00E548E6">
        <w:t xml:space="preserve"> Government’s formal</w:t>
      </w:r>
      <w:r w:rsidR="00546893" w:rsidRPr="00546893">
        <w:t xml:space="preserve"> referral network for survivors of violence,</w:t>
      </w:r>
      <w:r w:rsidR="00686FD0" w:rsidRPr="00FE347A">
        <w:t xml:space="preserve"> increased from 117 to 235</w:t>
      </w:r>
      <w:r w:rsidR="004A5C0A">
        <w:t xml:space="preserve">. </w:t>
      </w:r>
      <w:r w:rsidR="0055559E">
        <w:t xml:space="preserve"> </w:t>
      </w:r>
    </w:p>
    <w:p w:rsidR="003D4472" w:rsidRPr="00FE347A" w:rsidRDefault="00103466" w:rsidP="003D4472">
      <w:r w:rsidRPr="00FE347A">
        <w:rPr>
          <w:b/>
        </w:rPr>
        <w:t>Australia’s support helped the Solomon Islands Government improve its internal accountability and transparency and deliver responsible public financial management and improved public sector performance</w:t>
      </w:r>
      <w:r w:rsidR="00686FD0" w:rsidRPr="00FE347A">
        <w:rPr>
          <w:b/>
        </w:rPr>
        <w:t xml:space="preserve"> </w:t>
      </w:r>
      <w:r w:rsidR="00686FD0" w:rsidRPr="00091805">
        <w:t>(outcome 1.2)</w:t>
      </w:r>
      <w:r w:rsidRPr="00091805">
        <w:t>.</w:t>
      </w:r>
      <w:r w:rsidRPr="00FE347A">
        <w:t xml:space="preserve">  In 2018-19</w:t>
      </w:r>
      <w:r w:rsidR="003D0462">
        <w:t>,</w:t>
      </w:r>
      <w:r w:rsidRPr="00FE347A">
        <w:t xml:space="preserve"> our program included technical advisers in budget development, debt management, customs, public financial management, procurement, audit, </w:t>
      </w:r>
      <w:r w:rsidR="00546893">
        <w:t>information and communication technology (ICT)</w:t>
      </w:r>
      <w:r w:rsidRPr="00FE347A">
        <w:t>, human resources and gender equity; and the purchase of critical whole of Solomon Islands Government digital infrastructure.</w:t>
      </w:r>
      <w:r w:rsidR="0055559E">
        <w:t xml:space="preserve"> </w:t>
      </w:r>
      <w:r w:rsidR="009B5376" w:rsidRPr="00FE347A">
        <w:t xml:space="preserve"> Our support ensured </w:t>
      </w:r>
      <w:r w:rsidRPr="00FE347A">
        <w:t xml:space="preserve">debt regulations were finalised and </w:t>
      </w:r>
      <w:r w:rsidR="0055559E">
        <w:t xml:space="preserve">that </w:t>
      </w:r>
      <w:r w:rsidR="009B5376" w:rsidRPr="00FE347A">
        <w:t>the debt</w:t>
      </w:r>
      <w:r w:rsidR="0055559E">
        <w:t>-</w:t>
      </w:r>
      <w:r w:rsidR="009B5376" w:rsidRPr="00FE347A">
        <w:t>to</w:t>
      </w:r>
      <w:r w:rsidR="0055559E">
        <w:t>-</w:t>
      </w:r>
      <w:r w:rsidR="009B5376" w:rsidRPr="00FE347A">
        <w:t>GDP ratio</w:t>
      </w:r>
      <w:r w:rsidR="003D0462">
        <w:t>,</w:t>
      </w:r>
      <w:r w:rsidR="009B5376" w:rsidRPr="00FE347A">
        <w:t xml:space="preserve"> at 11</w:t>
      </w:r>
      <w:r w:rsidR="00091805">
        <w:t> </w:t>
      </w:r>
      <w:r w:rsidR="009B5376" w:rsidRPr="00FE347A">
        <w:t>per cent</w:t>
      </w:r>
      <w:r w:rsidR="003D0462">
        <w:t>,</w:t>
      </w:r>
      <w:r w:rsidR="009B5376" w:rsidRPr="00FE347A">
        <w:t xml:space="preserve"> remain</w:t>
      </w:r>
      <w:r w:rsidR="0055559E">
        <w:t>ed</w:t>
      </w:r>
      <w:r w:rsidR="009B5376" w:rsidRPr="00FE347A">
        <w:t xml:space="preserve"> under the debt ceiling. In 2018, 26 people (13 women) graduated with a Certificate IV in Procurement and Contracting</w:t>
      </w:r>
      <w:r w:rsidR="0055559E">
        <w:t>.  T</w:t>
      </w:r>
      <w:r w:rsidR="00270556" w:rsidRPr="00FE347A">
        <w:t>his</w:t>
      </w:r>
      <w:r w:rsidR="0055559E">
        <w:t>,</w:t>
      </w:r>
      <w:r w:rsidR="00270556" w:rsidRPr="00FE347A">
        <w:t xml:space="preserve"> combined with our advocacy and other training</w:t>
      </w:r>
      <w:r w:rsidR="0055559E">
        <w:t>,</w:t>
      </w:r>
      <w:r w:rsidRPr="00FE347A">
        <w:t xml:space="preserve"> result</w:t>
      </w:r>
      <w:r w:rsidR="00270556" w:rsidRPr="00FE347A">
        <w:t xml:space="preserve">ed </w:t>
      </w:r>
      <w:r w:rsidRPr="00FE347A">
        <w:t>in a 30 per cent increase in the use of procurement plans across ministries.</w:t>
      </w:r>
      <w:r w:rsidR="0055559E">
        <w:t xml:space="preserve"> </w:t>
      </w:r>
      <w:r w:rsidRPr="00FE347A">
        <w:t xml:space="preserve"> </w:t>
      </w:r>
      <w:r w:rsidR="003D4472" w:rsidRPr="00FE347A">
        <w:t>A</w:t>
      </w:r>
      <w:r w:rsidR="0055559E">
        <w:t> </w:t>
      </w:r>
      <w:r w:rsidR="00546893">
        <w:t>twinning arrangement with the New South Wales</w:t>
      </w:r>
      <w:r w:rsidR="003D4472" w:rsidRPr="00FE347A">
        <w:t xml:space="preserve"> Audit Office helped the Office of the Auditor General complete audits for 2015 and 2016, reducing its backlog. </w:t>
      </w:r>
      <w:r w:rsidR="0055559E">
        <w:t xml:space="preserve"> </w:t>
      </w:r>
      <w:r w:rsidR="003D4472" w:rsidRPr="00FE347A">
        <w:t xml:space="preserve">New ICT systems have resulted in over 7,000 users now accessing the Solomon Islands Government network, </w:t>
      </w:r>
      <w:r w:rsidR="003D4472" w:rsidRPr="00546893">
        <w:rPr>
          <w:i/>
        </w:rPr>
        <w:t>SIG-Connect</w:t>
      </w:r>
      <w:r w:rsidR="003D4472" w:rsidRPr="00FE347A">
        <w:t xml:space="preserve">, for payroll and human resource management. </w:t>
      </w:r>
      <w:r w:rsidR="0055559E">
        <w:t xml:space="preserve"> </w:t>
      </w:r>
      <w:r w:rsidR="003D4472" w:rsidRPr="00FE347A">
        <w:t xml:space="preserve">With all ministries and provinces now connected, it has significantly modernised and automated procedures and improved transparency. </w:t>
      </w:r>
      <w:r w:rsidR="0055559E">
        <w:t xml:space="preserve"> </w:t>
      </w:r>
      <w:r w:rsidR="003D4472" w:rsidRPr="00FE347A">
        <w:t xml:space="preserve">For the first time in four years, the Core Economic Working Group achieved </w:t>
      </w:r>
      <w:r w:rsidR="00E60197">
        <w:t>60</w:t>
      </w:r>
      <w:r w:rsidR="003D4472" w:rsidRPr="00FE347A">
        <w:t xml:space="preserve"> per</w:t>
      </w:r>
      <w:r w:rsidR="00E60197">
        <w:t xml:space="preserve"> </w:t>
      </w:r>
      <w:r w:rsidR="003D4472" w:rsidRPr="00FE347A">
        <w:t xml:space="preserve">cent of the agreed reforms exceeding our target of </w:t>
      </w:r>
      <w:r w:rsidR="00E60197">
        <w:t>50</w:t>
      </w:r>
      <w:r w:rsidR="003D4472" w:rsidRPr="00FE347A">
        <w:t xml:space="preserve"> per</w:t>
      </w:r>
      <w:r w:rsidR="00E60197">
        <w:t xml:space="preserve"> </w:t>
      </w:r>
      <w:r w:rsidR="003D4472" w:rsidRPr="00FE347A">
        <w:t xml:space="preserve">cent. </w:t>
      </w:r>
      <w:r w:rsidR="0055559E">
        <w:t xml:space="preserve"> </w:t>
      </w:r>
      <w:r w:rsidRPr="00FE347A">
        <w:t xml:space="preserve">Our focus on </w:t>
      </w:r>
      <w:r w:rsidR="003D4472" w:rsidRPr="00FE347A">
        <w:t xml:space="preserve">improved </w:t>
      </w:r>
      <w:r w:rsidRPr="00FE347A">
        <w:t>line</w:t>
      </w:r>
      <w:r w:rsidR="003D0462">
        <w:t>-</w:t>
      </w:r>
      <w:r w:rsidRPr="00FE347A">
        <w:t xml:space="preserve">ministry budget planning, </w:t>
      </w:r>
      <w:r w:rsidR="003D4472" w:rsidRPr="00FE347A">
        <w:t xml:space="preserve">a </w:t>
      </w:r>
      <w:r w:rsidRPr="00FE347A">
        <w:t>decrease to discretionary funds for members of parliament and a surplus budget</w:t>
      </w:r>
      <w:r w:rsidR="0055559E">
        <w:t>,</w:t>
      </w:r>
      <w:r w:rsidRPr="00FE347A">
        <w:t xml:space="preserve"> helped Solomon Islands end 2018 with a positive balance of SBD 250 million after years of running a budget</w:t>
      </w:r>
      <w:r w:rsidR="0055559E">
        <w:t xml:space="preserve"> deficit</w:t>
      </w:r>
      <w:r w:rsidRPr="00FE347A">
        <w:t xml:space="preserve">.  </w:t>
      </w:r>
    </w:p>
    <w:p w:rsidR="006257F7" w:rsidRPr="00FE347A" w:rsidRDefault="003D4472" w:rsidP="003D4472">
      <w:r w:rsidRPr="00091805">
        <w:rPr>
          <w:b/>
        </w:rPr>
        <w:t>Our support expanded women’s leadership and increased electoral participation in</w:t>
      </w:r>
      <w:r w:rsidR="006257F7" w:rsidRPr="00091805">
        <w:rPr>
          <w:b/>
        </w:rPr>
        <w:t xml:space="preserve"> </w:t>
      </w:r>
      <w:r w:rsidRPr="00091805">
        <w:rPr>
          <w:b/>
        </w:rPr>
        <w:t>line with our moderate targets</w:t>
      </w:r>
      <w:r w:rsidRPr="00FE347A">
        <w:t xml:space="preserve"> (outcome 1.5).</w:t>
      </w:r>
      <w:r w:rsidR="006257F7" w:rsidRPr="00FE347A">
        <w:t xml:space="preserve"> </w:t>
      </w:r>
      <w:r w:rsidR="0055559E">
        <w:t xml:space="preserve"> </w:t>
      </w:r>
      <w:r w:rsidR="006257F7" w:rsidRPr="00FE347A">
        <w:t xml:space="preserve">The number of </w:t>
      </w:r>
      <w:r w:rsidR="006257F7" w:rsidRPr="00091805">
        <w:t>women in the public service decision making roles continued its steady growth</w:t>
      </w:r>
      <w:r w:rsidR="006257F7" w:rsidRPr="00FE347A">
        <w:t xml:space="preserve"> to 33 up</w:t>
      </w:r>
      <w:r w:rsidR="00270556" w:rsidRPr="00FE347A">
        <w:t xml:space="preserve"> from 26 (</w:t>
      </w:r>
      <w:r w:rsidR="00091805">
        <w:t>2016-17</w:t>
      </w:r>
      <w:r w:rsidR="00270556" w:rsidRPr="00FE347A">
        <w:t>) and 28 (</w:t>
      </w:r>
      <w:r w:rsidR="00091805">
        <w:t>2017-18</w:t>
      </w:r>
      <w:r w:rsidR="00270556" w:rsidRPr="00FE347A">
        <w:t>)</w:t>
      </w:r>
      <w:r w:rsidR="00546893">
        <w:t xml:space="preserve">. </w:t>
      </w:r>
      <w:r w:rsidR="0055559E">
        <w:t xml:space="preserve"> </w:t>
      </w:r>
      <w:r w:rsidR="00546893">
        <w:t xml:space="preserve">Through the </w:t>
      </w:r>
      <w:r w:rsidR="00E548E6">
        <w:t>UN</w:t>
      </w:r>
      <w:r w:rsidR="006257F7" w:rsidRPr="00FE347A">
        <w:t>, we supported 60 potential female candidates with 26 running in the national election and two elected – the highest number ever</w:t>
      </w:r>
      <w:r w:rsidR="00091805">
        <w:t>,</w:t>
      </w:r>
      <w:r w:rsidR="006257F7" w:rsidRPr="00FE347A">
        <w:t xml:space="preserve"> but below </w:t>
      </w:r>
      <w:r w:rsidR="00091805">
        <w:t xml:space="preserve">the </w:t>
      </w:r>
      <w:r w:rsidR="006257F7" w:rsidRPr="00FE347A">
        <w:t xml:space="preserve">aspirational target of four. </w:t>
      </w:r>
    </w:p>
    <w:p w:rsidR="00FB0E69" w:rsidRDefault="003D4472" w:rsidP="00CA2357">
      <w:pPr>
        <w:rPr>
          <w:rFonts w:asciiTheme="majorHAnsi" w:eastAsiaTheme="majorEastAsia" w:hAnsiTheme="majorHAnsi" w:cstheme="majorBidi"/>
          <w:caps/>
          <w:sz w:val="32"/>
          <w:szCs w:val="32"/>
        </w:rPr>
      </w:pPr>
      <w:r w:rsidRPr="00FE347A">
        <w:rPr>
          <w:b/>
        </w:rPr>
        <w:t xml:space="preserve">The </w:t>
      </w:r>
      <w:r w:rsidR="003D0462">
        <w:rPr>
          <w:b/>
        </w:rPr>
        <w:t xml:space="preserve">general </w:t>
      </w:r>
      <w:r w:rsidRPr="00FE347A">
        <w:rPr>
          <w:b/>
        </w:rPr>
        <w:t>election held in April 2019 was a major milestone for Solomon Islands</w:t>
      </w:r>
      <w:r w:rsidRPr="00FE347A">
        <w:t xml:space="preserve">. </w:t>
      </w:r>
      <w:r w:rsidR="0055559E">
        <w:t xml:space="preserve"> </w:t>
      </w:r>
      <w:r w:rsidRPr="00FE347A">
        <w:t>Australia played a strong support role, assisting the Solomon Islands Electoral Commission to deliver a technically sound, impartial and independent election</w:t>
      </w:r>
      <w:r w:rsidR="006257F7" w:rsidRPr="00FE347A">
        <w:t xml:space="preserve"> (outcome 1.6)</w:t>
      </w:r>
      <w:r w:rsidRPr="00FE347A">
        <w:t xml:space="preserve">. </w:t>
      </w:r>
      <w:r w:rsidR="0055559E">
        <w:t xml:space="preserve"> </w:t>
      </w:r>
      <w:r w:rsidRPr="00FE347A">
        <w:t xml:space="preserve">Our assistance was wide ranging:  from assisting to develop the voter registration system; to supporting women candidates and members of parliament; to operational and logistical support during the polling period. </w:t>
      </w:r>
      <w:r w:rsidR="0055559E">
        <w:t xml:space="preserve"> </w:t>
      </w:r>
      <w:r w:rsidRPr="00FE347A">
        <w:t xml:space="preserve">This was delivered through a range of mechanisms including the deployment of Australian Electoral Commission advisers, Australian Defence Force and AFP personnel. </w:t>
      </w:r>
    </w:p>
    <w:p w:rsidR="001A177B" w:rsidRDefault="001A177B" w:rsidP="00CA2357">
      <w:pPr>
        <w:spacing w:after="120" w:line="240" w:lineRule="auto"/>
        <w:rPr>
          <w:rFonts w:asciiTheme="majorHAnsi" w:eastAsiaTheme="majorEastAsia" w:hAnsiTheme="majorHAnsi" w:cstheme="majorBidi"/>
          <w:caps/>
          <w:sz w:val="32"/>
          <w:szCs w:val="32"/>
        </w:rPr>
      </w:pPr>
      <w:r w:rsidRPr="00210F29">
        <w:rPr>
          <w:b/>
        </w:rPr>
        <w:t xml:space="preserve">Solomon Islands and Australia established new partnerships on sports and churches. </w:t>
      </w:r>
      <w:r w:rsidRPr="00CA2357">
        <w:t xml:space="preserve"> </w:t>
      </w:r>
      <w:r w:rsidRPr="00210F29">
        <w:t>Australia will assist Solomon Islands to develop its elite athletes through sports training in Australia</w:t>
      </w:r>
      <w:r w:rsidR="008C2895">
        <w:t xml:space="preserve"> and st</w:t>
      </w:r>
      <w:r w:rsidR="005B4D51">
        <w:t>r</w:t>
      </w:r>
      <w:r w:rsidR="008C2895">
        <w:t>engthen</w:t>
      </w:r>
      <w:r w:rsidRPr="00210F29">
        <w:t xml:space="preserve"> in-country capability to provide training for a select number of Solomon Islands’ athletes to prepare for the 2023 Solomon I</w:t>
      </w:r>
      <w:r w:rsidRPr="008753B7">
        <w:t>slands Pacific Games.  As part of the Pacific Churches Partnership initiative, Australia committed to work with Solomon Islands churches across denominations to strengthen ecumenical exchanges with Australian church</w:t>
      </w:r>
      <w:r w:rsidR="00606936">
        <w:t>es</w:t>
      </w:r>
      <w:r w:rsidRPr="008753B7">
        <w:t>.</w:t>
      </w:r>
      <w:r w:rsidR="00606936">
        <w:t xml:space="preserve"> The progress of these programs is reported in the Pacific Regional APPR. </w:t>
      </w:r>
    </w:p>
    <w:p w:rsidR="0072170F" w:rsidRDefault="0072170F" w:rsidP="00545E5D">
      <w:pPr>
        <w:suppressAutoHyphens w:val="0"/>
        <w:spacing w:before="0" w:after="120" w:line="440" w:lineRule="atLeast"/>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00C57378">
        <w:rPr>
          <w:rFonts w:asciiTheme="majorHAnsi" w:eastAsiaTheme="majorEastAsia" w:hAnsiTheme="majorHAnsi" w:cstheme="majorBidi"/>
          <w:caps/>
          <w:sz w:val="32"/>
          <w:szCs w:val="32"/>
        </w:rPr>
        <w:t>a:  more attractive business environment</w:t>
      </w:r>
    </w:p>
    <w:p w:rsidR="00C57378" w:rsidRDefault="00C57378" w:rsidP="0072170F">
      <w:pPr>
        <w:spacing w:before="240"/>
        <w:rPr>
          <w:rFonts w:asciiTheme="majorHAnsi" w:eastAsiaTheme="majorEastAsia" w:hAnsiTheme="majorHAnsi" w:cstheme="majorBidi"/>
          <w:caps/>
          <w:sz w:val="32"/>
          <w:szCs w:val="32"/>
        </w:rPr>
      </w:pPr>
      <w:r>
        <w:rPr>
          <w:rFonts w:asciiTheme="majorHAnsi" w:eastAsiaTheme="majorEastAsia" w:hAnsiTheme="majorHAnsi" w:cstheme="majorBidi"/>
          <w:caps/>
          <w:noProof/>
          <w:sz w:val="38"/>
          <w:szCs w:val="26"/>
          <w:lang w:val="en-AU" w:eastAsia="en-AU"/>
        </w:rPr>
        <w:drawing>
          <wp:inline distT="0" distB="0" distL="0" distR="0" wp14:anchorId="44AFF352" wp14:editId="2D16678F">
            <wp:extent cx="1137600" cy="720000"/>
            <wp:effectExtent l="0" t="0" r="5715" b="444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sz w:val="32"/>
          <w:szCs w:val="32"/>
        </w:rPr>
        <w:t xml:space="preserve">  </w:t>
      </w:r>
      <w:r>
        <w:rPr>
          <w:noProof/>
          <w:lang w:val="en-AU" w:eastAsia="en-AU"/>
        </w:rPr>
        <w:drawing>
          <wp:inline distT="0" distB="0" distL="0" distR="0" wp14:anchorId="4F8F9976" wp14:editId="52FF2CC4">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2"/>
          <w:szCs w:val="32"/>
        </w:rPr>
        <w:t xml:space="preserve">  </w:t>
      </w:r>
      <w:r>
        <w:rPr>
          <w:noProof/>
          <w:lang w:val="en-AU" w:eastAsia="en-AU"/>
        </w:rPr>
        <w:drawing>
          <wp:inline distT="0" distB="0" distL="0" distR="0" wp14:anchorId="2265406F" wp14:editId="2165A503">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2"/>
          <w:szCs w:val="32"/>
        </w:rPr>
        <w:t xml:space="preserve">  </w:t>
      </w:r>
      <w:r>
        <w:rPr>
          <w:noProof/>
          <w:lang w:val="en-AU" w:eastAsia="en-AU"/>
        </w:rPr>
        <w:drawing>
          <wp:inline distT="0" distB="0" distL="0" distR="0" wp14:anchorId="537830E4" wp14:editId="44F87BA3">
            <wp:extent cx="612000" cy="6120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2"/>
          <w:szCs w:val="32"/>
        </w:rPr>
        <w:t xml:space="preserve">  </w:t>
      </w:r>
      <w:r>
        <w:rPr>
          <w:noProof/>
          <w:lang w:val="en-AU" w:eastAsia="en-AU"/>
        </w:rPr>
        <w:drawing>
          <wp:inline distT="0" distB="0" distL="0" distR="0" wp14:anchorId="0BABE9C5" wp14:editId="5D33DDF7">
            <wp:extent cx="609600" cy="609600"/>
            <wp:effectExtent l="0" t="0" r="0" b="0"/>
            <wp:docPr id="47" name="Picture 4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heme="majorHAnsi" w:eastAsiaTheme="majorEastAsia" w:hAnsiTheme="majorHAnsi" w:cstheme="majorBidi"/>
          <w:caps/>
          <w:sz w:val="32"/>
          <w:szCs w:val="32"/>
        </w:rPr>
        <w:t xml:space="preserve">  </w:t>
      </w:r>
      <w:r>
        <w:rPr>
          <w:rFonts w:asciiTheme="majorHAnsi" w:eastAsiaTheme="majorEastAsia" w:hAnsiTheme="majorHAnsi" w:cstheme="majorBidi"/>
          <w:noProof/>
          <w:sz w:val="38"/>
          <w:szCs w:val="26"/>
          <w:lang w:val="en-AU" w:eastAsia="en-AU"/>
        </w:rPr>
        <w:drawing>
          <wp:inline distT="0" distB="0" distL="0" distR="0" wp14:anchorId="29D73DCD" wp14:editId="416A989F">
            <wp:extent cx="609631" cy="609631"/>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DG9a.png"/>
                    <pic:cNvPicPr/>
                  </pic:nvPicPr>
                  <pic:blipFill>
                    <a:blip r:embed="rId23">
                      <a:extLst>
                        <a:ext uri="{28A0092B-C50C-407E-A947-70E740481C1C}">
                          <a14:useLocalDpi xmlns:a14="http://schemas.microsoft.com/office/drawing/2010/main" val="0"/>
                        </a:ext>
                      </a:extLst>
                    </a:blip>
                    <a:stretch>
                      <a:fillRect/>
                    </a:stretch>
                  </pic:blipFill>
                  <pic:spPr>
                    <a:xfrm>
                      <a:off x="0" y="0"/>
                      <a:ext cx="609631" cy="609631"/>
                    </a:xfrm>
                    <a:prstGeom prst="rect">
                      <a:avLst/>
                    </a:prstGeom>
                  </pic:spPr>
                </pic:pic>
              </a:graphicData>
            </a:graphic>
          </wp:inline>
        </w:drawing>
      </w:r>
      <w:r>
        <w:rPr>
          <w:rFonts w:asciiTheme="majorHAnsi" w:eastAsiaTheme="majorEastAsia" w:hAnsiTheme="majorHAnsi" w:cstheme="majorBidi"/>
          <w:caps/>
          <w:sz w:val="32"/>
          <w:szCs w:val="32"/>
        </w:rPr>
        <w:t xml:space="preserve">  </w:t>
      </w:r>
      <w:r>
        <w:rPr>
          <w:noProof/>
          <w:lang w:val="en-AU" w:eastAsia="en-AU"/>
        </w:rPr>
        <w:drawing>
          <wp:inline distT="0" distB="0" distL="0" distR="0" wp14:anchorId="316DD99D" wp14:editId="5E422B4F">
            <wp:extent cx="612000" cy="6120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361C10" w:rsidRDefault="00A86D59">
      <w:pPr>
        <w:rPr>
          <w:rFonts w:cstheme="minorHAnsi"/>
          <w:lang w:val="en-US"/>
        </w:rPr>
      </w:pPr>
      <w:r w:rsidRPr="002048EA">
        <w:rPr>
          <w:rFonts w:cstheme="minorHAnsi"/>
          <w:b/>
          <w:lang w:val="en-US"/>
        </w:rPr>
        <w:t xml:space="preserve">The progress towards this objective </w:t>
      </w:r>
      <w:r w:rsidR="00B069EE" w:rsidRPr="002048EA">
        <w:rPr>
          <w:rFonts w:cstheme="minorHAnsi"/>
          <w:b/>
          <w:lang w:val="en-US"/>
        </w:rPr>
        <w:t xml:space="preserve">- Solomon Islands’ economic operating environment is more attractive to business - </w:t>
      </w:r>
      <w:r w:rsidRPr="002048EA">
        <w:rPr>
          <w:rFonts w:cstheme="minorHAnsi"/>
          <w:b/>
          <w:lang w:val="en-US"/>
        </w:rPr>
        <w:t xml:space="preserve">was </w:t>
      </w:r>
      <w:r w:rsidR="00B069EE" w:rsidRPr="002048EA">
        <w:rPr>
          <w:rFonts w:cstheme="minorHAnsi"/>
          <w:b/>
          <w:lang w:val="en-US"/>
        </w:rPr>
        <w:t>as</w:t>
      </w:r>
      <w:r w:rsidRPr="002048EA">
        <w:rPr>
          <w:rFonts w:cstheme="minorHAnsi"/>
          <w:b/>
          <w:lang w:val="en-US"/>
        </w:rPr>
        <w:t xml:space="preserve"> expected</w:t>
      </w:r>
      <w:r w:rsidRPr="00802AD4">
        <w:rPr>
          <w:rFonts w:cstheme="minorHAnsi"/>
          <w:lang w:val="en-US"/>
        </w:rPr>
        <w:t xml:space="preserve"> </w:t>
      </w:r>
      <w:r w:rsidR="00575681">
        <w:rPr>
          <w:rFonts w:cstheme="minorHAnsi"/>
          <w:lang w:val="en-US"/>
        </w:rPr>
        <w:t xml:space="preserve">and is rated green; </w:t>
      </w:r>
      <w:r w:rsidR="00B5012F">
        <w:rPr>
          <w:rFonts w:cstheme="minorHAnsi"/>
          <w:lang w:val="en-US"/>
        </w:rPr>
        <w:t xml:space="preserve">five </w:t>
      </w:r>
      <w:r w:rsidRPr="00802AD4">
        <w:rPr>
          <w:rFonts w:cstheme="minorHAnsi"/>
          <w:lang w:val="en-US"/>
        </w:rPr>
        <w:t xml:space="preserve">of </w:t>
      </w:r>
      <w:r w:rsidR="00B5012F">
        <w:rPr>
          <w:rFonts w:cstheme="minorHAnsi"/>
          <w:lang w:val="en-US"/>
        </w:rPr>
        <w:t>six</w:t>
      </w:r>
      <w:r w:rsidRPr="00802AD4">
        <w:rPr>
          <w:rFonts w:cstheme="minorHAnsi"/>
          <w:lang w:val="en-US"/>
        </w:rPr>
        <w:t xml:space="preserve"> indicators across four outcomes achiev</w:t>
      </w:r>
      <w:r w:rsidR="00575681">
        <w:rPr>
          <w:rFonts w:cstheme="minorHAnsi"/>
          <w:lang w:val="en-US"/>
        </w:rPr>
        <w:t>ed</w:t>
      </w:r>
      <w:r w:rsidRPr="00802AD4">
        <w:rPr>
          <w:rFonts w:cstheme="minorHAnsi"/>
          <w:lang w:val="en-US"/>
        </w:rPr>
        <w:t xml:space="preserve"> their target (Annex E) and the two relevant performance benchmarks achieved (Annex B). </w:t>
      </w:r>
    </w:p>
    <w:p w:rsidR="00575681" w:rsidRDefault="008C2895" w:rsidP="00575681">
      <w:pPr>
        <w:rPr>
          <w:rFonts w:eastAsia="Times New Roman"/>
        </w:rPr>
      </w:pPr>
      <w:r w:rsidRPr="005B4D51">
        <w:rPr>
          <w:rFonts w:eastAsia="Times New Roman"/>
          <w:b/>
        </w:rPr>
        <w:t>Australia is supporting transformative activities to lower the cost of doing business in Solomon Islands</w:t>
      </w:r>
      <w:r w:rsidR="00606936">
        <w:rPr>
          <w:rFonts w:eastAsia="Times New Roman"/>
          <w:b/>
        </w:rPr>
        <w:t xml:space="preserve">, with a focus on transport infrastructure, power, telecommunications, and economic and business policy reform. </w:t>
      </w:r>
      <w:r w:rsidRPr="005B4D51">
        <w:rPr>
          <w:rFonts w:eastAsia="Times New Roman"/>
          <w:b/>
        </w:rPr>
        <w:t xml:space="preserve"> </w:t>
      </w:r>
      <w:r w:rsidR="00575681" w:rsidRPr="005B4D51">
        <w:t xml:space="preserve">Solomon Islands’ ranking in the World Bank 2019 Group’s Doing Business indicators was 115 out of </w:t>
      </w:r>
      <w:r w:rsidR="00575681" w:rsidRPr="005B4D51">
        <w:lastRenderedPageBreak/>
        <w:t>190</w:t>
      </w:r>
      <w:r w:rsidR="0055559E" w:rsidRPr="005B4D51">
        <w:t> </w:t>
      </w:r>
      <w:r w:rsidR="00575681" w:rsidRPr="005B4D51">
        <w:t>countries, placing it higher than many other Pacific Islands and on par with the small states average.</w:t>
      </w:r>
      <w:r w:rsidR="00575681" w:rsidRPr="001C634B">
        <w:t xml:space="preserve"> Solomon Islands now performs very well on paying taxes and dealing with construction permits and quite well on getting electricity, getting credit and for its mobile network coverage.  </w:t>
      </w:r>
      <w:r w:rsidR="00575681" w:rsidRPr="002048EA">
        <w:t>Despite these achievements, the Solomon Islands</w:t>
      </w:r>
      <w:r w:rsidR="00A07975">
        <w:t>’</w:t>
      </w:r>
      <w:r w:rsidR="00575681" w:rsidRPr="002048EA">
        <w:t xml:space="preserve"> operating environment remains extremely challenging.</w:t>
      </w:r>
      <w:r w:rsidR="00A07975">
        <w:t xml:space="preserve"> </w:t>
      </w:r>
      <w:r w:rsidR="00575681" w:rsidRPr="002048EA">
        <w:t xml:space="preserve"> </w:t>
      </w:r>
    </w:p>
    <w:p w:rsidR="002254EA" w:rsidRPr="001C634B" w:rsidRDefault="002254EA" w:rsidP="002254EA">
      <w:r w:rsidRPr="001C634B">
        <w:rPr>
          <w:rFonts w:cstheme="minorHAnsi"/>
          <w:b/>
          <w:lang w:val="en-US"/>
        </w:rPr>
        <w:t>We continued to support the Solomon Islands Government to maintain and improve transport infrastructure, including roads, bridges and wharves</w:t>
      </w:r>
      <w:r w:rsidR="00A86D59">
        <w:rPr>
          <w:rFonts w:cstheme="minorHAnsi"/>
          <w:b/>
          <w:lang w:val="en-US"/>
        </w:rPr>
        <w:t xml:space="preserve"> </w:t>
      </w:r>
      <w:r w:rsidR="00A86D59" w:rsidRPr="002048EA">
        <w:rPr>
          <w:rFonts w:cstheme="minorHAnsi"/>
          <w:lang w:val="en-US"/>
        </w:rPr>
        <w:t>(outcome 2A.1)</w:t>
      </w:r>
      <w:r w:rsidRPr="002048EA">
        <w:rPr>
          <w:rFonts w:cstheme="minorHAnsi"/>
          <w:lang w:val="en-US"/>
        </w:rPr>
        <w:t>.</w:t>
      </w:r>
      <w:r w:rsidRPr="001C634B">
        <w:rPr>
          <w:rFonts w:cstheme="minorHAnsi"/>
          <w:lang w:val="en-US"/>
        </w:rPr>
        <w:t xml:space="preserve"> </w:t>
      </w:r>
      <w:r w:rsidR="00A07975">
        <w:rPr>
          <w:rFonts w:cstheme="minorHAnsi"/>
          <w:lang w:val="en-US"/>
        </w:rPr>
        <w:t xml:space="preserve"> </w:t>
      </w:r>
      <w:r w:rsidRPr="001C634B">
        <w:rPr>
          <w:rFonts w:cstheme="minorHAnsi"/>
          <w:lang w:val="en-US"/>
        </w:rPr>
        <w:t xml:space="preserve">The </w:t>
      </w:r>
      <w:r w:rsidRPr="001C634B">
        <w:t>Mbokokimbo Bridge was completed</w:t>
      </w:r>
      <w:r w:rsidR="00622C0C">
        <w:t xml:space="preserve"> as expected</w:t>
      </w:r>
      <w:r w:rsidRPr="001C634B">
        <w:t xml:space="preserve"> in 2018</w:t>
      </w:r>
      <w:r w:rsidR="00622C0C">
        <w:t>; this enabled</w:t>
      </w:r>
      <w:r w:rsidRPr="001C634B">
        <w:t xml:space="preserve"> communities</w:t>
      </w:r>
      <w:r w:rsidR="002048EA">
        <w:t>’ easier</w:t>
      </w:r>
      <w:r w:rsidRPr="001C634B">
        <w:t xml:space="preserve"> </w:t>
      </w:r>
      <w:r w:rsidR="00622C0C" w:rsidRPr="001C634B">
        <w:t xml:space="preserve">access to markets and social services </w:t>
      </w:r>
      <w:r w:rsidR="00622C0C">
        <w:t xml:space="preserve">since flooding twenty </w:t>
      </w:r>
      <w:r w:rsidRPr="001C634B">
        <w:t xml:space="preserve">years ago. </w:t>
      </w:r>
      <w:r w:rsidRPr="001C634B">
        <w:rPr>
          <w:rFonts w:cstheme="minorHAnsi"/>
          <w:lang w:val="en-US"/>
        </w:rPr>
        <w:t xml:space="preserve"> We also helped to build the skills, systems and capacity of the Ministry of Infrastructure Development to deliver reliable and sustainable transport infrastructure services. </w:t>
      </w:r>
      <w:r w:rsidR="00A07975">
        <w:rPr>
          <w:rFonts w:cstheme="minorHAnsi"/>
          <w:lang w:val="en-US"/>
        </w:rPr>
        <w:t xml:space="preserve"> </w:t>
      </w:r>
      <w:r w:rsidRPr="001C634B">
        <w:rPr>
          <w:rFonts w:cstheme="minorHAnsi"/>
          <w:lang w:val="en-US"/>
        </w:rPr>
        <w:t>In 2018, 97</w:t>
      </w:r>
      <w:r w:rsidR="007C3CFE">
        <w:rPr>
          <w:rFonts w:cstheme="minorHAnsi"/>
          <w:lang w:val="en-US"/>
        </w:rPr>
        <w:t> </w:t>
      </w:r>
      <w:r w:rsidRPr="001C634B">
        <w:rPr>
          <w:rFonts w:cstheme="minorHAnsi"/>
          <w:lang w:val="en-US"/>
        </w:rPr>
        <w:t>km of roads were rehabilitated and 970 km of roads and five bridges were maintained</w:t>
      </w:r>
      <w:r w:rsidR="00A07975">
        <w:rPr>
          <w:rFonts w:cstheme="minorHAnsi"/>
          <w:lang w:val="en-US"/>
        </w:rPr>
        <w:t>,</w:t>
      </w:r>
      <w:r w:rsidR="00211D4C">
        <w:rPr>
          <w:rFonts w:cstheme="minorHAnsi"/>
          <w:lang w:val="en-US"/>
        </w:rPr>
        <w:t xml:space="preserve"> exceeding our target (performance benchmark)</w:t>
      </w:r>
      <w:r w:rsidRPr="001C634B">
        <w:rPr>
          <w:rFonts w:cstheme="minorHAnsi"/>
          <w:lang w:val="en-US"/>
        </w:rPr>
        <w:t xml:space="preserve">. </w:t>
      </w:r>
      <w:r w:rsidR="00A07975">
        <w:rPr>
          <w:rFonts w:cstheme="minorHAnsi"/>
          <w:lang w:val="en-US"/>
        </w:rPr>
        <w:t xml:space="preserve"> </w:t>
      </w:r>
      <w:r w:rsidRPr="001C634B">
        <w:rPr>
          <w:rFonts w:cstheme="minorHAnsi"/>
          <w:lang w:val="en-US"/>
        </w:rPr>
        <w:t xml:space="preserve">The slow rate of implementation under the National Transport Fund, however, </w:t>
      </w:r>
      <w:r w:rsidRPr="001C634B">
        <w:t>resulted in Australia reducing its core contribution to the Fund in 2018-19 from $5 million to $3</w:t>
      </w:r>
      <w:r w:rsidR="002048EA">
        <w:t> </w:t>
      </w:r>
      <w:r w:rsidRPr="001C634B">
        <w:t>million.</w:t>
      </w:r>
      <w:r w:rsidR="00A07975">
        <w:t xml:space="preserve"> </w:t>
      </w:r>
      <w:r w:rsidR="00211D4C">
        <w:t xml:space="preserve"> To improve quality, labour-based contract</w:t>
      </w:r>
      <w:r w:rsidR="008423D4">
        <w:t>ing is</w:t>
      </w:r>
      <w:r w:rsidR="00211D4C">
        <w:t xml:space="preserve"> being phased out and this indicator was not tracked (indicator in Annex E).</w:t>
      </w:r>
      <w:r w:rsidR="00EA2364">
        <w:t xml:space="preserve"> </w:t>
      </w:r>
      <w:r w:rsidR="00A07975">
        <w:t xml:space="preserve"> </w:t>
      </w:r>
      <w:r w:rsidR="004470D1">
        <w:t xml:space="preserve">Our support to the National Transport </w:t>
      </w:r>
      <w:r w:rsidR="00606936">
        <w:t xml:space="preserve">Fund </w:t>
      </w:r>
      <w:r w:rsidR="004470D1">
        <w:t>concludes in 2020.</w:t>
      </w:r>
    </w:p>
    <w:p w:rsidR="002254EA" w:rsidRPr="001C634B" w:rsidRDefault="002254EA" w:rsidP="002254EA">
      <w:pPr>
        <w:spacing w:before="0" w:after="0"/>
      </w:pPr>
      <w:r w:rsidRPr="001C634B">
        <w:rPr>
          <w:b/>
        </w:rPr>
        <w:t>In December 2018, key project agreements were signed for the Tina River Hydropower Project</w:t>
      </w:r>
      <w:r w:rsidR="00211D4C">
        <w:rPr>
          <w:b/>
        </w:rPr>
        <w:t xml:space="preserve"> (in line with our expectations)</w:t>
      </w:r>
      <w:r w:rsidR="008423D4">
        <w:rPr>
          <w:b/>
        </w:rPr>
        <w:t xml:space="preserve">.  </w:t>
      </w:r>
      <w:r w:rsidR="008423D4" w:rsidRPr="00CA2357">
        <w:t xml:space="preserve">This </w:t>
      </w:r>
      <w:r w:rsidR="008423D4" w:rsidRPr="008423D4">
        <w:t>officially</w:t>
      </w:r>
      <w:r w:rsidR="008423D4">
        <w:t xml:space="preserve"> moved</w:t>
      </w:r>
      <w:r w:rsidRPr="00802AD4">
        <w:t xml:space="preserve"> the project from the 10</w:t>
      </w:r>
      <w:r w:rsidR="00A07975">
        <w:t>-</w:t>
      </w:r>
      <w:r w:rsidRPr="00802AD4">
        <w:t>year preparation phase to implementation</w:t>
      </w:r>
      <w:r w:rsidR="00211D4C" w:rsidRPr="00802AD4">
        <w:t xml:space="preserve"> and one step closer to reduced energy costs (outcome 2A.2)</w:t>
      </w:r>
      <w:r w:rsidRPr="00802AD4">
        <w:t>.</w:t>
      </w:r>
      <w:r w:rsidRPr="001C634B">
        <w:t xml:space="preserve"> </w:t>
      </w:r>
      <w:r w:rsidR="00A07975">
        <w:t xml:space="preserve"> </w:t>
      </w:r>
      <w:r w:rsidRPr="001C634B">
        <w:t xml:space="preserve">Australia’s $29 million contribution to this project </w:t>
      </w:r>
      <w:r w:rsidR="00622C0C">
        <w:t>was</w:t>
      </w:r>
      <w:r w:rsidRPr="001C634B">
        <w:t xml:space="preserve"> instrumental in mobilising </w:t>
      </w:r>
      <w:r w:rsidR="00622C0C">
        <w:t>the</w:t>
      </w:r>
      <w:r w:rsidR="00622C0C" w:rsidRPr="001C634B">
        <w:t xml:space="preserve"> </w:t>
      </w:r>
      <w:r w:rsidR="00234E22">
        <w:t>$300</w:t>
      </w:r>
      <w:r w:rsidRPr="001C634B">
        <w:t xml:space="preserve"> million investment project in partnership with the World</w:t>
      </w:r>
      <w:r w:rsidR="00A07975">
        <w:t> </w:t>
      </w:r>
      <w:r w:rsidRPr="001C634B">
        <w:t xml:space="preserve">Bank.  </w:t>
      </w:r>
      <w:r w:rsidR="00B53096">
        <w:t>The project’s Gender Action Plan continued to be implemented during the reporting period, including through recruitment of</w:t>
      </w:r>
      <w:r w:rsidR="00A07975">
        <w:t xml:space="preserve"> a</w:t>
      </w:r>
      <w:r w:rsidR="00B53096">
        <w:t xml:space="preserve"> Gender Focal point in the Tina River Project Office. </w:t>
      </w:r>
      <w:r w:rsidR="00A07975">
        <w:t xml:space="preserve"> </w:t>
      </w:r>
      <w:r w:rsidR="00622C0C">
        <w:t>The Project</w:t>
      </w:r>
      <w:r w:rsidRPr="001C634B">
        <w:t xml:space="preserve"> will </w:t>
      </w:r>
      <w:r w:rsidR="00622C0C">
        <w:t>assist</w:t>
      </w:r>
      <w:r w:rsidR="00622C0C" w:rsidRPr="001C634B">
        <w:t xml:space="preserve"> </w:t>
      </w:r>
      <w:r w:rsidRPr="001C634B">
        <w:t>transition away from diesel-powered energy, strengthen energy security, reduce its exposure to volatile global fuel prices, and reduce greenhouse gas emissions, meeting Solomon Islands</w:t>
      </w:r>
      <w:r w:rsidR="00A07975">
        <w:t>’</w:t>
      </w:r>
      <w:r w:rsidRPr="001C634B">
        <w:t xml:space="preserve"> international commitments for emissions reductions under the Paris Agreement.</w:t>
      </w:r>
    </w:p>
    <w:p w:rsidR="002254EA" w:rsidRDefault="008423D4" w:rsidP="002254EA">
      <w:r>
        <w:rPr>
          <w:b/>
        </w:rPr>
        <w:t>S</w:t>
      </w:r>
      <w:r w:rsidR="002254EA" w:rsidRPr="001C634B">
        <w:rPr>
          <w:b/>
        </w:rPr>
        <w:t>ubstantial progress was made in the delivery of the Coral Sea Cable System</w:t>
      </w:r>
      <w:r w:rsidR="00211D4C">
        <w:rPr>
          <w:b/>
        </w:rPr>
        <w:t xml:space="preserve">, which will deliver improved internet connectivity by 2020 </w:t>
      </w:r>
      <w:r w:rsidR="00211D4C" w:rsidRPr="002048EA">
        <w:t>(outcome 2A.3)</w:t>
      </w:r>
      <w:r w:rsidR="002254EA" w:rsidRPr="002048EA">
        <w:t>.</w:t>
      </w:r>
      <w:r w:rsidR="002254EA" w:rsidRPr="001C634B">
        <w:t xml:space="preserve"> </w:t>
      </w:r>
      <w:r w:rsidR="00A07975">
        <w:t xml:space="preserve"> </w:t>
      </w:r>
      <w:r w:rsidR="00211D4C">
        <w:t xml:space="preserve">In line with expectations, </w:t>
      </w:r>
      <w:r w:rsidR="003D0462">
        <w:t>a</w:t>
      </w:r>
      <w:r w:rsidR="002254EA" w:rsidRPr="001C634B">
        <w:t xml:space="preserve"> marine survey was undertaken in late 2018 </w:t>
      </w:r>
      <w:r w:rsidR="00211D4C">
        <w:t xml:space="preserve">and undersea cable manufacturing was completed in </w:t>
      </w:r>
      <w:r w:rsidR="002254EA" w:rsidRPr="001C634B">
        <w:t xml:space="preserve">March 2019. </w:t>
      </w:r>
      <w:r w:rsidR="00A07975">
        <w:t xml:space="preserve"> </w:t>
      </w:r>
      <w:r w:rsidR="00720333">
        <w:t>A</w:t>
      </w:r>
      <w:r w:rsidR="002254EA" w:rsidRPr="001C634B">
        <w:t>n Australian</w:t>
      </w:r>
      <w:r w:rsidR="003D0462">
        <w:t>-</w:t>
      </w:r>
      <w:r w:rsidR="002254EA" w:rsidRPr="001C634B">
        <w:t>funded ICT</w:t>
      </w:r>
      <w:r w:rsidR="00A07975">
        <w:t> </w:t>
      </w:r>
      <w:r w:rsidR="002254EA" w:rsidRPr="001C634B">
        <w:t xml:space="preserve">adviser </w:t>
      </w:r>
      <w:r>
        <w:t>was placed</w:t>
      </w:r>
      <w:r w:rsidR="00622C0C">
        <w:t xml:space="preserve"> within </w:t>
      </w:r>
      <w:r w:rsidR="002254EA" w:rsidRPr="001C634B">
        <w:t xml:space="preserve">the Prime Minister’s Office to coordinate </w:t>
      </w:r>
      <w:r w:rsidR="003D0462">
        <w:t xml:space="preserve">the </w:t>
      </w:r>
      <w:r w:rsidR="002254EA" w:rsidRPr="001C634B">
        <w:t>Solomon Island Government</w:t>
      </w:r>
      <w:r w:rsidR="003D0462">
        <w:t>’s</w:t>
      </w:r>
      <w:r w:rsidR="002254EA" w:rsidRPr="001C634B">
        <w:t xml:space="preserve"> efforts to maximise the benefits of the cable. </w:t>
      </w:r>
      <w:r w:rsidR="00A07975">
        <w:t xml:space="preserve"> </w:t>
      </w:r>
      <w:r w:rsidR="002254EA" w:rsidRPr="001C634B">
        <w:t>Australian</w:t>
      </w:r>
      <w:r w:rsidR="002254EA" w:rsidRPr="001C634B">
        <w:noBreakHyphen/>
        <w:t>funded World Bank analytic work has commenced that will provide an overview of the current state of digital development in Solomon Islands and prospects for acceleration</w:t>
      </w:r>
      <w:r w:rsidR="003D0462">
        <w:t>,</w:t>
      </w:r>
      <w:r w:rsidR="002254EA" w:rsidRPr="001C634B">
        <w:t xml:space="preserve"> including identifying policy and regulatory requirements, recommended actions, and possible investment</w:t>
      </w:r>
      <w:r w:rsidR="00606936">
        <w:t xml:space="preserve"> and </w:t>
      </w:r>
      <w:r w:rsidR="002254EA" w:rsidRPr="001C634B">
        <w:t>support opportunities.</w:t>
      </w:r>
    </w:p>
    <w:p w:rsidR="00DA16A4" w:rsidRPr="00DA16A4" w:rsidRDefault="00DA16A4" w:rsidP="00DA16A4">
      <w:r w:rsidRPr="00E548E6">
        <w:rPr>
          <w:b/>
        </w:rPr>
        <w:t>Australia, through the World Bank, supported implementation of the National Mining Policy, including preparation of a draft Minerals Bill.</w:t>
      </w:r>
      <w:r w:rsidRPr="00DA16A4">
        <w:t xml:space="preserve">  The Ministry of Mines, Energy and Rural Electrification led consultations and outreach on the draft Bill, and although it planned to submit the bill to Cabinet in late 2019, was unable to finalise the bill before the </w:t>
      </w:r>
      <w:r w:rsidR="00A07975">
        <w:t xml:space="preserve">World Bank </w:t>
      </w:r>
      <w:r w:rsidRPr="00DA16A4">
        <w:t>project concluded.  A number of areas of work, including plans to digitise and publish the mineral tenement cadastre, were also not completed within the project period.  Australia is working with the World Bank to develop a new phase of work to support mining governance in Solomon Islands, and to address the remaining gaps from the previous phase. </w:t>
      </w:r>
    </w:p>
    <w:p w:rsidR="002254EA" w:rsidRDefault="00211D4C" w:rsidP="002254EA">
      <w:r>
        <w:rPr>
          <w:b/>
        </w:rPr>
        <w:t xml:space="preserve">The </w:t>
      </w:r>
      <w:r w:rsidR="002254EA" w:rsidRPr="001C634B">
        <w:rPr>
          <w:b/>
        </w:rPr>
        <w:t>Solomon Islands Chamber of Commerce and Industry</w:t>
      </w:r>
      <w:r w:rsidR="00096D87">
        <w:rPr>
          <w:b/>
        </w:rPr>
        <w:t>,</w:t>
      </w:r>
      <w:r>
        <w:rPr>
          <w:b/>
        </w:rPr>
        <w:t xml:space="preserve"> </w:t>
      </w:r>
      <w:r w:rsidR="008423D4">
        <w:rPr>
          <w:b/>
        </w:rPr>
        <w:t>supported by Australia</w:t>
      </w:r>
      <w:r w:rsidR="00096D87">
        <w:rPr>
          <w:b/>
        </w:rPr>
        <w:t>,</w:t>
      </w:r>
      <w:r>
        <w:rPr>
          <w:b/>
        </w:rPr>
        <w:t xml:space="preserve"> continued to be an effective advocate for business policy reform </w:t>
      </w:r>
      <w:r w:rsidRPr="002048EA">
        <w:t>(outcome 2A.4)</w:t>
      </w:r>
      <w:r w:rsidR="002254EA" w:rsidRPr="002048EA">
        <w:t>.</w:t>
      </w:r>
      <w:r w:rsidR="002254EA" w:rsidRPr="001C634B">
        <w:rPr>
          <w:b/>
        </w:rPr>
        <w:t xml:space="preserve"> </w:t>
      </w:r>
      <w:r w:rsidR="00A07975">
        <w:rPr>
          <w:b/>
        </w:rPr>
        <w:t xml:space="preserve"> </w:t>
      </w:r>
      <w:r>
        <w:t xml:space="preserve">The Government-Business Advisory Committee </w:t>
      </w:r>
      <w:r w:rsidR="00096D87">
        <w:t>met five</w:t>
      </w:r>
      <w:r>
        <w:t xml:space="preserve"> times</w:t>
      </w:r>
      <w:r w:rsidR="00096D87">
        <w:t>,</w:t>
      </w:r>
      <w:r>
        <w:t xml:space="preserve"> exceeding </w:t>
      </w:r>
      <w:r w:rsidR="00096D87">
        <w:t>our target –</w:t>
      </w:r>
      <w:r w:rsidR="00A07975">
        <w:t xml:space="preserve"> </w:t>
      </w:r>
      <w:r w:rsidR="00096D87">
        <w:t xml:space="preserve">a notable achievement in an election year. </w:t>
      </w:r>
      <w:r w:rsidR="00A07975">
        <w:t xml:space="preserve"> </w:t>
      </w:r>
      <w:r w:rsidR="002048EA">
        <w:t>The Chamber</w:t>
      </w:r>
      <w:r w:rsidR="002254EA" w:rsidRPr="001C634B">
        <w:t xml:space="preserve"> sits on 21 boards and committees, has formalised </w:t>
      </w:r>
      <w:r w:rsidR="00EB01FF">
        <w:t>agreements</w:t>
      </w:r>
      <w:r w:rsidR="002254EA" w:rsidRPr="001C634B">
        <w:t xml:space="preserve"> with Government and the Royal Solomon Islands Police Force and has a membership of over 245 org</w:t>
      </w:r>
      <w:r w:rsidR="002048EA">
        <w:t>anisations (up from 159 in 2016,</w:t>
      </w:r>
      <w:r w:rsidR="002254EA" w:rsidRPr="001C634B">
        <w:t xml:space="preserve"> with 30 from the provinces</w:t>
      </w:r>
      <w:r w:rsidR="002048EA">
        <w:t>)</w:t>
      </w:r>
      <w:r w:rsidR="002254EA" w:rsidRPr="001C634B">
        <w:t xml:space="preserve">. </w:t>
      </w:r>
      <w:r w:rsidR="00B5012F">
        <w:t xml:space="preserve"> </w:t>
      </w:r>
      <w:r w:rsidR="002254EA" w:rsidRPr="001C634B">
        <w:t>The new agreement will continue our support to the Chamber to engage with government on its reform agenda (such as tax reform, infrastructure needs, budget processes and corruption) and include</w:t>
      </w:r>
      <w:r w:rsidR="003D0462">
        <w:t>s</w:t>
      </w:r>
      <w:r w:rsidR="002254EA" w:rsidRPr="001C634B">
        <w:t xml:space="preserve"> greater provincial outreach and support for activities that address </w:t>
      </w:r>
      <w:r w:rsidR="003D0462">
        <w:t xml:space="preserve">the </w:t>
      </w:r>
      <w:r w:rsidR="002254EA" w:rsidRPr="001C634B">
        <w:t>constraints to growth that business face.</w:t>
      </w:r>
      <w:r w:rsidR="00540248">
        <w:t xml:space="preserve"> </w:t>
      </w:r>
      <w:r w:rsidR="00B5012F">
        <w:t xml:space="preserve"> The Chamber </w:t>
      </w:r>
      <w:r w:rsidR="00540248">
        <w:t>continued to drive gender equality</w:t>
      </w:r>
      <w:r w:rsidR="000F7E27">
        <w:t xml:space="preserve">, particularly through the </w:t>
      </w:r>
      <w:r w:rsidR="000F7E27">
        <w:rPr>
          <w:rFonts w:eastAsia="Times New Roman"/>
          <w:i/>
        </w:rPr>
        <w:t>W</w:t>
      </w:r>
      <w:r w:rsidR="000F7E27" w:rsidRPr="00E60197">
        <w:rPr>
          <w:rFonts w:eastAsia="Times New Roman"/>
          <w:i/>
        </w:rPr>
        <w:t xml:space="preserve">aka </w:t>
      </w:r>
      <w:r w:rsidR="000F7E27">
        <w:rPr>
          <w:rFonts w:eastAsia="Times New Roman"/>
          <w:i/>
        </w:rPr>
        <w:t>M</w:t>
      </w:r>
      <w:r w:rsidR="000F7E27" w:rsidRPr="00E60197">
        <w:rPr>
          <w:rFonts w:eastAsia="Times New Roman"/>
          <w:i/>
        </w:rPr>
        <w:t xml:space="preserve">ere </w:t>
      </w:r>
      <w:r w:rsidR="000F7E27">
        <w:rPr>
          <w:rFonts w:eastAsia="Times New Roman"/>
          <w:i/>
        </w:rPr>
        <w:t>C</w:t>
      </w:r>
      <w:r w:rsidR="000F7E27" w:rsidRPr="00E60197">
        <w:rPr>
          <w:rFonts w:eastAsia="Times New Roman"/>
          <w:i/>
        </w:rPr>
        <w:t>ommitment</w:t>
      </w:r>
      <w:r w:rsidR="000F7E27" w:rsidRPr="00C814D9">
        <w:rPr>
          <w:rFonts w:eastAsia="Times New Roman"/>
        </w:rPr>
        <w:t xml:space="preserve"> </w:t>
      </w:r>
      <w:r w:rsidR="000F7E27" w:rsidRPr="00E60197">
        <w:rPr>
          <w:rFonts w:eastAsia="Times New Roman"/>
          <w:i/>
        </w:rPr>
        <w:t xml:space="preserve">to </w:t>
      </w:r>
      <w:r w:rsidR="000F7E27">
        <w:rPr>
          <w:rFonts w:eastAsia="Times New Roman"/>
          <w:i/>
        </w:rPr>
        <w:t>A</w:t>
      </w:r>
      <w:r w:rsidR="000F7E27" w:rsidRPr="00E60197">
        <w:rPr>
          <w:rFonts w:eastAsia="Times New Roman"/>
          <w:i/>
        </w:rPr>
        <w:t>ction</w:t>
      </w:r>
      <w:r w:rsidR="00540248">
        <w:t xml:space="preserve"> </w:t>
      </w:r>
      <w:r w:rsidR="003D0462">
        <w:t>(</w:t>
      </w:r>
      <w:r w:rsidR="00540248">
        <w:t xml:space="preserve">discussed further </w:t>
      </w:r>
      <w:r w:rsidR="00182E93">
        <w:t>below</w:t>
      </w:r>
      <w:r w:rsidR="003D0462">
        <w:t>)</w:t>
      </w:r>
      <w:r w:rsidR="00182E93">
        <w:t xml:space="preserve">. </w:t>
      </w:r>
    </w:p>
    <w:p w:rsidR="00E86910" w:rsidRDefault="00E86910" w:rsidP="002254EA"/>
    <w:p w:rsidR="00CB1039" w:rsidRPr="00FA294B" w:rsidRDefault="00CB1039" w:rsidP="00FA294B">
      <w:pPr>
        <w:suppressAutoHyphens w:val="0"/>
        <w:spacing w:before="0" w:after="120" w:line="440" w:lineRule="atLeast"/>
        <w:rPr>
          <w:rFonts w:asciiTheme="majorHAnsi" w:eastAsiaTheme="majorEastAsia" w:hAnsiTheme="majorHAnsi" w:cstheme="majorBidi"/>
          <w:caps/>
          <w:sz w:val="32"/>
          <w:szCs w:val="32"/>
        </w:rPr>
      </w:pPr>
      <w:r w:rsidRPr="00FA294B">
        <w:rPr>
          <w:rFonts w:asciiTheme="majorHAnsi" w:eastAsiaTheme="majorEastAsia" w:hAnsiTheme="majorHAnsi" w:cstheme="majorBidi"/>
          <w:caps/>
          <w:sz w:val="32"/>
          <w:szCs w:val="32"/>
        </w:rPr>
        <w:lastRenderedPageBreak/>
        <w:t>Objective 2B: INcreased ability to earn cash income</w:t>
      </w:r>
    </w:p>
    <w:p w:rsidR="00CB1039" w:rsidRDefault="00CB1039" w:rsidP="00CF62AE">
      <w:pPr>
        <w:spacing w:after="120"/>
        <w:rPr>
          <w:rFonts w:eastAsia="Times New Roman"/>
          <w:color w:val="FF0000"/>
        </w:rPr>
      </w:pPr>
      <w:r>
        <w:rPr>
          <w:rFonts w:asciiTheme="majorHAnsi" w:eastAsiaTheme="majorEastAsia" w:hAnsiTheme="majorHAnsi" w:cstheme="majorBidi"/>
          <w:caps/>
          <w:noProof/>
          <w:sz w:val="38"/>
          <w:szCs w:val="26"/>
          <w:lang w:val="en-AU" w:eastAsia="en-AU"/>
        </w:rPr>
        <w:drawing>
          <wp:inline distT="0" distB="0" distL="0" distR="0" wp14:anchorId="2B845649" wp14:editId="0EEEE72B">
            <wp:extent cx="1137600" cy="720000"/>
            <wp:effectExtent l="0" t="0" r="571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eastAsia="Times New Roman"/>
          <w:color w:val="FF0000"/>
        </w:rPr>
        <w:t xml:space="preserve">   </w:t>
      </w:r>
      <w:r w:rsidRPr="00F75380">
        <w:rPr>
          <w:noProof/>
          <w:lang w:val="en-AU" w:eastAsia="en-AU"/>
        </w:rPr>
        <w:drawing>
          <wp:inline distT="0" distB="0" distL="0" distR="0" wp14:anchorId="7E271C62" wp14:editId="3D78CB8C">
            <wp:extent cx="612000" cy="612000"/>
            <wp:effectExtent l="0" t="0" r="0" b="0"/>
            <wp:docPr id="81" name="Picture 8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Pr>
          <w:rFonts w:eastAsia="Times New Roman"/>
          <w:color w:val="FF0000"/>
        </w:rPr>
        <w:t xml:space="preserve">      </w:t>
      </w:r>
      <w:r>
        <w:rPr>
          <w:noProof/>
          <w:lang w:val="en-AU" w:eastAsia="en-AU"/>
        </w:rPr>
        <w:drawing>
          <wp:inline distT="0" distB="0" distL="0" distR="0" wp14:anchorId="5E257BB8" wp14:editId="5F083515">
            <wp:extent cx="612000" cy="6120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eastAsia="Times New Roman"/>
          <w:color w:val="FF0000"/>
        </w:rPr>
        <w:t xml:space="preserve">       </w:t>
      </w:r>
      <w:r>
        <w:rPr>
          <w:noProof/>
          <w:lang w:val="en-AU" w:eastAsia="en-AU"/>
        </w:rPr>
        <w:drawing>
          <wp:inline distT="0" distB="0" distL="0" distR="0" wp14:anchorId="58E94E67" wp14:editId="0971B537">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eastAsia="Times New Roman"/>
          <w:color w:val="FF0000"/>
        </w:rPr>
        <w:t xml:space="preserve">       </w:t>
      </w:r>
      <w:r>
        <w:rPr>
          <w:noProof/>
          <w:lang w:val="en-AU" w:eastAsia="en-AU"/>
        </w:rPr>
        <w:drawing>
          <wp:inline distT="0" distB="0" distL="0" distR="0" wp14:anchorId="6A41B2C1" wp14:editId="757383A8">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eastAsia="Times New Roman"/>
          <w:color w:val="FF0000"/>
        </w:rPr>
        <w:t xml:space="preserve">     </w:t>
      </w:r>
      <w:r>
        <w:rPr>
          <w:noProof/>
          <w:lang w:val="en-AU" w:eastAsia="en-AU"/>
        </w:rPr>
        <w:drawing>
          <wp:inline distT="0" distB="0" distL="0" distR="0" wp14:anchorId="6B8EB34C" wp14:editId="5C8160C5">
            <wp:extent cx="609600" cy="609600"/>
            <wp:effectExtent l="0" t="0" r="0" b="0"/>
            <wp:docPr id="83" name="Picture 8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eastAsia="Times New Roman"/>
          <w:color w:val="FF0000"/>
        </w:rPr>
        <w:t xml:space="preserve">   </w:t>
      </w:r>
    </w:p>
    <w:p w:rsidR="00990DAC" w:rsidRPr="002048EA" w:rsidRDefault="008223AE" w:rsidP="00361C10">
      <w:pPr>
        <w:rPr>
          <w:rFonts w:eastAsia="Times New Roman"/>
        </w:rPr>
      </w:pPr>
      <w:r w:rsidRPr="002048EA">
        <w:rPr>
          <w:rFonts w:eastAsia="Times New Roman"/>
          <w:b/>
        </w:rPr>
        <w:t>The progress towards this objective</w:t>
      </w:r>
      <w:r w:rsidR="00B069EE" w:rsidRPr="002048EA">
        <w:rPr>
          <w:rFonts w:eastAsia="Times New Roman"/>
          <w:b/>
        </w:rPr>
        <w:t xml:space="preserve"> - more men and women are able to earn a cash-based income </w:t>
      </w:r>
      <w:r w:rsidR="002A594F">
        <w:rPr>
          <w:rFonts w:eastAsia="Times New Roman"/>
          <w:b/>
        </w:rPr>
        <w:t>–</w:t>
      </w:r>
      <w:r w:rsidR="00B069EE" w:rsidRPr="002048EA">
        <w:rPr>
          <w:rFonts w:eastAsia="Times New Roman"/>
          <w:b/>
        </w:rPr>
        <w:t xml:space="preserve"> </w:t>
      </w:r>
      <w:r w:rsidR="002A594F">
        <w:rPr>
          <w:rFonts w:eastAsia="Times New Roman"/>
          <w:b/>
        </w:rPr>
        <w:t xml:space="preserve">while modest, </w:t>
      </w:r>
      <w:r w:rsidR="006D6354" w:rsidRPr="002048EA">
        <w:rPr>
          <w:rFonts w:eastAsia="Times New Roman"/>
          <w:b/>
        </w:rPr>
        <w:t>was</w:t>
      </w:r>
      <w:r w:rsidRPr="002048EA">
        <w:rPr>
          <w:rFonts w:eastAsia="Times New Roman"/>
          <w:b/>
        </w:rPr>
        <w:t xml:space="preserve"> </w:t>
      </w:r>
      <w:r w:rsidR="006D6354" w:rsidRPr="002048EA">
        <w:rPr>
          <w:rFonts w:eastAsia="Times New Roman"/>
          <w:b/>
        </w:rPr>
        <w:t xml:space="preserve">as </w:t>
      </w:r>
      <w:r w:rsidRPr="002048EA">
        <w:rPr>
          <w:rFonts w:eastAsia="Times New Roman"/>
          <w:b/>
        </w:rPr>
        <w:t>expected</w:t>
      </w:r>
      <w:r w:rsidR="00575681">
        <w:rPr>
          <w:rFonts w:eastAsia="Times New Roman"/>
          <w:b/>
        </w:rPr>
        <w:t xml:space="preserve"> and rated green</w:t>
      </w:r>
      <w:r w:rsidR="00B069EE" w:rsidRPr="005B4D51">
        <w:rPr>
          <w:rFonts w:eastAsia="Times New Roman"/>
        </w:rPr>
        <w:t>;</w:t>
      </w:r>
      <w:r w:rsidR="006D6354" w:rsidRPr="00A44190">
        <w:rPr>
          <w:rFonts w:eastAsia="Times New Roman"/>
        </w:rPr>
        <w:t xml:space="preserve"> </w:t>
      </w:r>
      <w:r w:rsidR="006D6354" w:rsidRPr="002048EA">
        <w:rPr>
          <w:rFonts w:eastAsia="Times New Roman"/>
        </w:rPr>
        <w:t>across</w:t>
      </w:r>
      <w:r w:rsidRPr="002048EA">
        <w:rPr>
          <w:rFonts w:eastAsia="Times New Roman"/>
        </w:rPr>
        <w:t xml:space="preserve"> four outcomes </w:t>
      </w:r>
      <w:r w:rsidR="00B5012F">
        <w:rPr>
          <w:rFonts w:eastAsia="Times New Roman"/>
        </w:rPr>
        <w:t>four</w:t>
      </w:r>
      <w:r w:rsidR="00B5012F" w:rsidRPr="002048EA">
        <w:rPr>
          <w:rFonts w:eastAsia="Times New Roman"/>
        </w:rPr>
        <w:t xml:space="preserve"> </w:t>
      </w:r>
      <w:r w:rsidR="006D6354" w:rsidRPr="002048EA">
        <w:rPr>
          <w:rFonts w:eastAsia="Times New Roman"/>
        </w:rPr>
        <w:t xml:space="preserve">of </w:t>
      </w:r>
      <w:r w:rsidR="00B5012F">
        <w:rPr>
          <w:rFonts w:eastAsia="Times New Roman"/>
        </w:rPr>
        <w:t>seven</w:t>
      </w:r>
      <w:r w:rsidR="006D6354" w:rsidRPr="002048EA">
        <w:rPr>
          <w:rFonts w:eastAsia="Times New Roman"/>
        </w:rPr>
        <w:t xml:space="preserve"> indicators exceeded their target</w:t>
      </w:r>
      <w:r w:rsidR="00B069EE" w:rsidRPr="002048EA">
        <w:rPr>
          <w:rFonts w:eastAsia="Times New Roman"/>
        </w:rPr>
        <w:t>;</w:t>
      </w:r>
      <w:r w:rsidR="006D6354" w:rsidRPr="002048EA">
        <w:rPr>
          <w:rFonts w:eastAsia="Times New Roman"/>
        </w:rPr>
        <w:t xml:space="preserve"> </w:t>
      </w:r>
      <w:r w:rsidR="00B5012F">
        <w:rPr>
          <w:rFonts w:eastAsia="Times New Roman"/>
        </w:rPr>
        <w:t>two </w:t>
      </w:r>
      <w:r w:rsidR="006D6354" w:rsidRPr="002048EA">
        <w:rPr>
          <w:rFonts w:eastAsia="Times New Roman"/>
        </w:rPr>
        <w:t>were just below target (</w:t>
      </w:r>
      <w:r w:rsidRPr="002048EA">
        <w:rPr>
          <w:rFonts w:eastAsia="Times New Roman"/>
        </w:rPr>
        <w:t>Annex E</w:t>
      </w:r>
      <w:r w:rsidR="006D6354" w:rsidRPr="002048EA">
        <w:rPr>
          <w:rFonts w:eastAsia="Times New Roman"/>
        </w:rPr>
        <w:t>)</w:t>
      </w:r>
      <w:r w:rsidR="00B069EE" w:rsidRPr="002048EA">
        <w:rPr>
          <w:rFonts w:eastAsia="Times New Roman"/>
        </w:rPr>
        <w:t>;</w:t>
      </w:r>
      <w:r w:rsidR="006D6354" w:rsidRPr="002048EA">
        <w:rPr>
          <w:rFonts w:eastAsia="Times New Roman"/>
        </w:rPr>
        <w:t xml:space="preserve"> and the performance benchmark was achieved (Annex B)</w:t>
      </w:r>
      <w:r w:rsidRPr="002048EA">
        <w:rPr>
          <w:rFonts w:eastAsia="Times New Roman"/>
        </w:rPr>
        <w:t>.</w:t>
      </w:r>
    </w:p>
    <w:p w:rsidR="00A44190" w:rsidRPr="005B4D51" w:rsidRDefault="006737B9" w:rsidP="000A5A2A">
      <w:pPr>
        <w:rPr>
          <w:rFonts w:eastAsia="Times New Roman"/>
        </w:rPr>
      </w:pPr>
      <w:r w:rsidRPr="005B4D51">
        <w:rPr>
          <w:rFonts w:eastAsia="Times New Roman"/>
          <w:b/>
        </w:rPr>
        <w:t xml:space="preserve">Solomon Islands needs to grow local income to </w:t>
      </w:r>
      <w:r w:rsidR="00562A14" w:rsidRPr="005B4D51">
        <w:rPr>
          <w:rFonts w:eastAsia="Times New Roman"/>
          <w:b/>
        </w:rPr>
        <w:t xml:space="preserve">support economic diversification and </w:t>
      </w:r>
      <w:r w:rsidRPr="005B4D51">
        <w:rPr>
          <w:rFonts w:eastAsia="Times New Roman"/>
          <w:b/>
        </w:rPr>
        <w:t>reduce poverty.</w:t>
      </w:r>
      <w:r w:rsidRPr="005B4D51">
        <w:rPr>
          <w:rFonts w:eastAsia="Times New Roman"/>
        </w:rPr>
        <w:t xml:space="preserve">  Australia is supporting Solomon Islands </w:t>
      </w:r>
      <w:r w:rsidR="00E86910" w:rsidRPr="005B4D51">
        <w:rPr>
          <w:rFonts w:eastAsia="Times New Roman"/>
        </w:rPr>
        <w:t xml:space="preserve">to </w:t>
      </w:r>
      <w:r w:rsidR="00562A14" w:rsidRPr="005B4D51">
        <w:rPr>
          <w:rFonts w:eastAsia="Times New Roman"/>
        </w:rPr>
        <w:t>foster</w:t>
      </w:r>
      <w:r w:rsidR="00E86910" w:rsidRPr="005B4D51">
        <w:rPr>
          <w:rFonts w:eastAsia="Times New Roman"/>
        </w:rPr>
        <w:t xml:space="preserve"> </w:t>
      </w:r>
      <w:r w:rsidR="00562A14">
        <w:rPr>
          <w:rFonts w:eastAsia="Times New Roman"/>
        </w:rPr>
        <w:t>increased a</w:t>
      </w:r>
      <w:r w:rsidR="00562A14" w:rsidRPr="005B4D51">
        <w:rPr>
          <w:rFonts w:eastAsia="Times New Roman"/>
        </w:rPr>
        <w:t>gricultural</w:t>
      </w:r>
      <w:r w:rsidR="00562A14">
        <w:rPr>
          <w:rFonts w:eastAsia="Times New Roman"/>
        </w:rPr>
        <w:t xml:space="preserve"> incomes</w:t>
      </w:r>
      <w:r w:rsidR="00E86910" w:rsidRPr="005B4D51">
        <w:rPr>
          <w:rFonts w:eastAsia="Times New Roman"/>
        </w:rPr>
        <w:t xml:space="preserve">, </w:t>
      </w:r>
      <w:r w:rsidR="00562A14">
        <w:rPr>
          <w:rFonts w:eastAsia="Times New Roman"/>
        </w:rPr>
        <w:t>scale</w:t>
      </w:r>
      <w:r w:rsidR="00E23A63">
        <w:rPr>
          <w:rFonts w:eastAsia="Times New Roman"/>
        </w:rPr>
        <w:t>-</w:t>
      </w:r>
      <w:r w:rsidR="00562A14">
        <w:rPr>
          <w:rFonts w:eastAsia="Times New Roman"/>
        </w:rPr>
        <w:t>up opportunities for Solomon Islanders to work in Australia through labour mobility schemes</w:t>
      </w:r>
      <w:r w:rsidR="00562A14" w:rsidRPr="005B4D51">
        <w:rPr>
          <w:rFonts w:eastAsia="Times New Roman"/>
        </w:rPr>
        <w:t xml:space="preserve">, and build an </w:t>
      </w:r>
      <w:r w:rsidR="00562A14" w:rsidRPr="00562A14">
        <w:rPr>
          <w:rFonts w:eastAsia="Times New Roman"/>
        </w:rPr>
        <w:t>appropriately</w:t>
      </w:r>
      <w:r w:rsidR="00E86910" w:rsidRPr="005B4D51">
        <w:rPr>
          <w:rFonts w:eastAsia="Times New Roman"/>
        </w:rPr>
        <w:t xml:space="preserve"> skilled workforce through </w:t>
      </w:r>
      <w:r w:rsidR="00562A14" w:rsidRPr="005B4D51">
        <w:rPr>
          <w:rFonts w:eastAsia="Times New Roman"/>
        </w:rPr>
        <w:t xml:space="preserve">tertiary and vocational education. </w:t>
      </w:r>
    </w:p>
    <w:p w:rsidR="00A44190" w:rsidRDefault="0067547D" w:rsidP="000A5A2A">
      <w:pPr>
        <w:rPr>
          <w:lang w:val="en-AU"/>
        </w:rPr>
      </w:pPr>
      <w:r w:rsidRPr="002048EA">
        <w:rPr>
          <w:rFonts w:eastAsia="Times New Roman"/>
          <w:b/>
        </w:rPr>
        <w:t>Our</w:t>
      </w:r>
      <w:r w:rsidR="002254EA" w:rsidRPr="002048EA">
        <w:rPr>
          <w:rFonts w:eastAsia="Times New Roman"/>
          <w:b/>
        </w:rPr>
        <w:t xml:space="preserve"> private sector development program</w:t>
      </w:r>
      <w:r w:rsidRPr="002048EA">
        <w:rPr>
          <w:rFonts w:eastAsia="Times New Roman"/>
          <w:b/>
        </w:rPr>
        <w:t xml:space="preserve">s </w:t>
      </w:r>
      <w:r w:rsidR="00990DAC" w:rsidRPr="002048EA">
        <w:rPr>
          <w:rFonts w:eastAsia="Times New Roman"/>
          <w:b/>
        </w:rPr>
        <w:t xml:space="preserve">increased opportunities to earn income </w:t>
      </w:r>
      <w:r w:rsidRPr="002048EA">
        <w:rPr>
          <w:rFonts w:eastAsia="Times New Roman"/>
          <w:b/>
        </w:rPr>
        <w:t>in the</w:t>
      </w:r>
      <w:r w:rsidR="002254EA" w:rsidRPr="002048EA">
        <w:rPr>
          <w:rFonts w:eastAsia="Times New Roman"/>
          <w:b/>
        </w:rPr>
        <w:t xml:space="preserve"> coconut, coc</w:t>
      </w:r>
      <w:r w:rsidR="00540248">
        <w:rPr>
          <w:rFonts w:eastAsia="Times New Roman"/>
          <w:b/>
        </w:rPr>
        <w:t>o</w:t>
      </w:r>
      <w:r w:rsidR="002254EA" w:rsidRPr="002048EA">
        <w:rPr>
          <w:rFonts w:eastAsia="Times New Roman"/>
          <w:b/>
        </w:rPr>
        <w:t>a and tourism sectors</w:t>
      </w:r>
      <w:r w:rsidRPr="002048EA">
        <w:rPr>
          <w:rFonts w:eastAsia="Times New Roman"/>
        </w:rPr>
        <w:t xml:space="preserve"> (outcome 2A.1)</w:t>
      </w:r>
      <w:r w:rsidR="002254EA" w:rsidRPr="002048EA">
        <w:rPr>
          <w:rFonts w:eastAsia="Times New Roman"/>
        </w:rPr>
        <w:t xml:space="preserve">. </w:t>
      </w:r>
      <w:r w:rsidR="00A44190">
        <w:rPr>
          <w:rFonts w:eastAsia="Times New Roman"/>
        </w:rPr>
        <w:t xml:space="preserve"> </w:t>
      </w:r>
      <w:r w:rsidR="002254EA" w:rsidRPr="002048EA">
        <w:rPr>
          <w:rFonts w:eastAsia="Times New Roman"/>
        </w:rPr>
        <w:t>In 2018-19</w:t>
      </w:r>
      <w:r w:rsidRPr="002048EA">
        <w:rPr>
          <w:rFonts w:eastAsia="Times New Roman"/>
        </w:rPr>
        <w:t xml:space="preserve">, </w:t>
      </w:r>
      <w:r w:rsidRPr="002048EA">
        <w:rPr>
          <w:rFonts w:eastAsia="Times New Roman"/>
          <w:i/>
        </w:rPr>
        <w:t>Strongim Bisnis</w:t>
      </w:r>
      <w:r w:rsidRPr="002048EA">
        <w:rPr>
          <w:rFonts w:eastAsia="Times New Roman"/>
        </w:rPr>
        <w:t xml:space="preserve"> </w:t>
      </w:r>
      <w:r w:rsidR="002254EA" w:rsidRPr="002048EA">
        <w:rPr>
          <w:rFonts w:eastAsia="Times New Roman"/>
        </w:rPr>
        <w:t>initiate</w:t>
      </w:r>
      <w:r w:rsidR="00575681">
        <w:rPr>
          <w:rFonts w:eastAsia="Times New Roman"/>
        </w:rPr>
        <w:t>d</w:t>
      </w:r>
      <w:r w:rsidR="002254EA" w:rsidRPr="002048EA">
        <w:rPr>
          <w:rFonts w:eastAsia="Times New Roman"/>
        </w:rPr>
        <w:t xml:space="preserve"> 31 activities or partnerships valued at over $1.2 million, </w:t>
      </w:r>
      <w:r w:rsidR="00540248">
        <w:rPr>
          <w:rFonts w:eastAsia="Times New Roman"/>
        </w:rPr>
        <w:t>to develop new businesses, foster innovation and accelerate business growth</w:t>
      </w:r>
      <w:r w:rsidR="002254EA" w:rsidRPr="002048EA">
        <w:rPr>
          <w:rFonts w:eastAsia="Times New Roman"/>
        </w:rPr>
        <w:t xml:space="preserve">. </w:t>
      </w:r>
      <w:r w:rsidR="00A44190">
        <w:rPr>
          <w:rFonts w:eastAsia="Times New Roman"/>
        </w:rPr>
        <w:t xml:space="preserve"> Partners committed</w:t>
      </w:r>
      <w:r w:rsidR="00A44190" w:rsidRPr="002048EA">
        <w:rPr>
          <w:rFonts w:eastAsia="Times New Roman"/>
        </w:rPr>
        <w:t xml:space="preserve"> approximately 55 per cent average cost share</w:t>
      </w:r>
      <w:r w:rsidR="00A44190">
        <w:rPr>
          <w:rFonts w:eastAsia="Times New Roman"/>
        </w:rPr>
        <w:t>.</w:t>
      </w:r>
      <w:r w:rsidR="00A44190" w:rsidRPr="002048EA">
        <w:rPr>
          <w:lang w:val="en-AU"/>
        </w:rPr>
        <w:t xml:space="preserve"> </w:t>
      </w:r>
      <w:r w:rsidR="00A44190">
        <w:rPr>
          <w:lang w:val="en-AU"/>
        </w:rPr>
        <w:t xml:space="preserve"> </w:t>
      </w:r>
      <w:r w:rsidRPr="002048EA">
        <w:rPr>
          <w:lang w:val="en-AU"/>
        </w:rPr>
        <w:t>The volume of boutique cocoa exports increased fro</w:t>
      </w:r>
      <w:r w:rsidR="00523C2F" w:rsidRPr="002048EA">
        <w:rPr>
          <w:lang w:val="en-AU"/>
        </w:rPr>
        <w:t>m 40 ton</w:t>
      </w:r>
      <w:r w:rsidR="002048EA" w:rsidRPr="002048EA">
        <w:rPr>
          <w:lang w:val="en-AU"/>
        </w:rPr>
        <w:t>ne</w:t>
      </w:r>
      <w:r w:rsidR="00523C2F" w:rsidRPr="002048EA">
        <w:rPr>
          <w:lang w:val="en-AU"/>
        </w:rPr>
        <w:t>s in 2017</w:t>
      </w:r>
      <w:r w:rsidR="00A44190">
        <w:rPr>
          <w:lang w:val="en-AU"/>
        </w:rPr>
        <w:t>-</w:t>
      </w:r>
      <w:r w:rsidR="00523C2F" w:rsidRPr="002048EA">
        <w:rPr>
          <w:lang w:val="en-AU"/>
        </w:rPr>
        <w:t>18 to 147 ton</w:t>
      </w:r>
      <w:r w:rsidR="002E0470">
        <w:rPr>
          <w:lang w:val="en-AU"/>
        </w:rPr>
        <w:t>s</w:t>
      </w:r>
      <w:r w:rsidR="00A44190">
        <w:rPr>
          <w:lang w:val="en-AU"/>
        </w:rPr>
        <w:t xml:space="preserve"> in 2018-19</w:t>
      </w:r>
      <w:r w:rsidR="002E0470">
        <w:rPr>
          <w:lang w:val="en-AU"/>
        </w:rPr>
        <w:t xml:space="preserve">, exceeding our target. </w:t>
      </w:r>
    </w:p>
    <w:p w:rsidR="00C814D9" w:rsidRDefault="002E0470" w:rsidP="000A5A2A">
      <w:pPr>
        <w:rPr>
          <w:lang w:val="en-AU"/>
        </w:rPr>
      </w:pPr>
      <w:r w:rsidRPr="00FC5C9B">
        <w:rPr>
          <w:b/>
          <w:lang w:val="en-AU"/>
        </w:rPr>
        <w:t>Australia</w:t>
      </w:r>
      <w:r w:rsidR="00FA294B" w:rsidRPr="00FC5C9B">
        <w:rPr>
          <w:b/>
          <w:lang w:val="en-AU"/>
        </w:rPr>
        <w:t xml:space="preserve"> </w:t>
      </w:r>
      <w:r w:rsidR="00FA294B" w:rsidRPr="00FC5C9B">
        <w:rPr>
          <w:rFonts w:ascii="Calibri Light" w:hAnsi="Calibri Light" w:cs="Calibri Light"/>
          <w:b/>
        </w:rPr>
        <w:t xml:space="preserve">supported Solomon Islands to begin detailed analysis to understand the impacts and management pathways for the key export sectors under </w:t>
      </w:r>
      <w:r w:rsidR="00197E62" w:rsidRPr="00FC5C9B">
        <w:rPr>
          <w:rFonts w:ascii="Calibri Light" w:hAnsi="Calibri Light" w:cs="Calibri Light"/>
          <w:b/>
        </w:rPr>
        <w:t>LDC</w:t>
      </w:r>
      <w:r w:rsidR="00FA294B" w:rsidRPr="00FC5C9B">
        <w:rPr>
          <w:rFonts w:ascii="Calibri Light" w:hAnsi="Calibri Light" w:cs="Calibri Light"/>
          <w:b/>
        </w:rPr>
        <w:t xml:space="preserve"> graduation</w:t>
      </w:r>
      <w:r w:rsidR="00FA294B" w:rsidRPr="00802AD4">
        <w:rPr>
          <w:rFonts w:ascii="Calibri Light" w:hAnsi="Calibri Light" w:cs="Calibri Light"/>
        </w:rPr>
        <w:t>.  The analysis will provide an evidence base to assist in the preparation of a strategy to guide transition to graduation</w:t>
      </w:r>
      <w:r w:rsidR="00FA294B">
        <w:rPr>
          <w:rFonts w:ascii="Calibri Light" w:hAnsi="Calibri Light" w:cs="Calibri Light"/>
        </w:rPr>
        <w:t>.</w:t>
      </w:r>
    </w:p>
    <w:p w:rsidR="005D526F" w:rsidRDefault="0067547D" w:rsidP="00CA2357">
      <w:pPr>
        <w:suppressAutoHyphens w:val="0"/>
        <w:autoSpaceDE w:val="0"/>
        <w:autoSpaceDN w:val="0"/>
        <w:adjustRightInd w:val="0"/>
        <w:spacing w:before="0" w:after="0" w:line="240" w:lineRule="auto"/>
      </w:pPr>
      <w:r w:rsidRPr="00C814D9">
        <w:rPr>
          <w:b/>
        </w:rPr>
        <w:t xml:space="preserve">The Rural Development Program (delivered by World Bank) </w:t>
      </w:r>
      <w:r w:rsidR="00210F29">
        <w:rPr>
          <w:b/>
        </w:rPr>
        <w:t xml:space="preserve">benefitted 63,155 people (31,537 women) with improved quality or access to rural infrastructure and services. </w:t>
      </w:r>
      <w:r w:rsidR="00A44190">
        <w:rPr>
          <w:b/>
        </w:rPr>
        <w:t xml:space="preserve"> </w:t>
      </w:r>
      <w:r w:rsidR="00210F29" w:rsidRPr="00CA2357">
        <w:rPr>
          <w:rFonts w:ascii="Calibri Light" w:hAnsi="Calibri Light" w:cs="Calibri Light"/>
        </w:rPr>
        <w:t>Linkages to markets are being strengthened for more than 12,628 people (5,891 women) through</w:t>
      </w:r>
      <w:r w:rsidR="008753B7" w:rsidRPr="00CA2357">
        <w:rPr>
          <w:rFonts w:ascii="Calibri Light" w:hAnsi="Calibri Light" w:cs="Calibri Light"/>
        </w:rPr>
        <w:t xml:space="preserve"> 35</w:t>
      </w:r>
      <w:r w:rsidR="00210F29" w:rsidRPr="00CA2357">
        <w:rPr>
          <w:rFonts w:ascii="Calibri Light" w:hAnsi="Calibri Light" w:cs="Calibri Light"/>
        </w:rPr>
        <w:t xml:space="preserve"> agribusiness partnerships </w:t>
      </w:r>
      <w:r w:rsidR="00A44190">
        <w:rPr>
          <w:rFonts w:ascii="Calibri Light" w:hAnsi="Calibri Light" w:cs="Calibri Light"/>
        </w:rPr>
        <w:t>as they</w:t>
      </w:r>
      <w:r w:rsidR="008753B7" w:rsidRPr="00A3529F">
        <w:rPr>
          <w:rFonts w:ascii="Calibri Light" w:hAnsi="Calibri Light" w:cs="Calibri Light"/>
        </w:rPr>
        <w:t xml:space="preserve"> </w:t>
      </w:r>
      <w:r w:rsidR="00A44190">
        <w:rPr>
          <w:rFonts w:ascii="Calibri Light" w:hAnsi="Calibri Light" w:cs="Calibri Light"/>
        </w:rPr>
        <w:t xml:space="preserve">adopt </w:t>
      </w:r>
      <w:r w:rsidR="008753B7" w:rsidRPr="00A3529F">
        <w:rPr>
          <w:rFonts w:ascii="Calibri Light" w:hAnsi="Calibri Light" w:cs="Calibri Light"/>
        </w:rPr>
        <w:t>improved practices</w:t>
      </w:r>
      <w:r w:rsidR="00CF1BF7">
        <w:rPr>
          <w:rFonts w:ascii="Calibri Light" w:hAnsi="Calibri Light" w:cs="Calibri Light"/>
        </w:rPr>
        <w:t xml:space="preserve"> and increase agricultural production</w:t>
      </w:r>
      <w:r w:rsidR="00A44190" w:rsidRPr="00A3529F">
        <w:rPr>
          <w:rStyle w:val="FootnoteReference"/>
          <w:rFonts w:ascii="Calibri" w:hAnsi="Calibri" w:cs="Calibri"/>
          <w:lang w:val="en-AU"/>
        </w:rPr>
        <w:footnoteReference w:id="10"/>
      </w:r>
      <w:r w:rsidR="00540248">
        <w:rPr>
          <w:rFonts w:ascii="Calibri Light" w:hAnsi="Calibri Light" w:cs="Calibri Light"/>
        </w:rPr>
        <w:t>.</w:t>
      </w:r>
    </w:p>
    <w:p w:rsidR="000A5A2A" w:rsidRPr="002048EA" w:rsidRDefault="00210F29">
      <w:pPr>
        <w:rPr>
          <w:rFonts w:eastAsia="Times New Roman"/>
        </w:rPr>
      </w:pPr>
      <w:r>
        <w:rPr>
          <w:b/>
        </w:rPr>
        <w:t>I</w:t>
      </w:r>
      <w:r w:rsidR="005D526F">
        <w:rPr>
          <w:b/>
        </w:rPr>
        <w:t xml:space="preserve">mpacting progress </w:t>
      </w:r>
      <w:r>
        <w:rPr>
          <w:b/>
        </w:rPr>
        <w:t>towards</w:t>
      </w:r>
      <w:r w:rsidR="005D526F">
        <w:rPr>
          <w:b/>
        </w:rPr>
        <w:t xml:space="preserve"> this objective, </w:t>
      </w:r>
      <w:r w:rsidR="005D526F" w:rsidRPr="00A3529F">
        <w:rPr>
          <w:b/>
        </w:rPr>
        <w:t xml:space="preserve">Solomon Islands is facing the spread of a Coconut Rhinoceros Beetle strain which is threatening </w:t>
      </w:r>
      <w:r w:rsidR="005D526F">
        <w:rPr>
          <w:b/>
        </w:rPr>
        <w:t>the coconut and palm oil industries, as well as local communities’</w:t>
      </w:r>
      <w:r w:rsidR="005D526F" w:rsidRPr="00A3529F">
        <w:rPr>
          <w:b/>
        </w:rPr>
        <w:t xml:space="preserve"> livelihoods.</w:t>
      </w:r>
      <w:r w:rsidR="005D526F">
        <w:t xml:space="preserve">  Australia is </w:t>
      </w:r>
      <w:r w:rsidR="00DB3D63">
        <w:t xml:space="preserve">funding an advisor to the </w:t>
      </w:r>
      <w:r w:rsidR="00DB3D63" w:rsidRPr="002E4CCB">
        <w:t xml:space="preserve">Ministry </w:t>
      </w:r>
      <w:r w:rsidR="00DB3D63">
        <w:t xml:space="preserve">of Agriculture and Livestock to </w:t>
      </w:r>
      <w:r w:rsidR="005D526F">
        <w:t xml:space="preserve">help </w:t>
      </w:r>
      <w:r w:rsidR="00A44190">
        <w:t xml:space="preserve">them </w:t>
      </w:r>
      <w:r w:rsidR="00523C2F" w:rsidRPr="002048EA">
        <w:t xml:space="preserve">coordinate </w:t>
      </w:r>
      <w:r w:rsidR="00A44190">
        <w:t xml:space="preserve">a </w:t>
      </w:r>
      <w:r w:rsidR="00523C2F" w:rsidRPr="002048EA">
        <w:t xml:space="preserve">response to the </w:t>
      </w:r>
      <w:r w:rsidR="002048EA" w:rsidRPr="002048EA">
        <w:t xml:space="preserve">continued </w:t>
      </w:r>
      <w:r w:rsidR="00523C2F" w:rsidRPr="002048EA">
        <w:rPr>
          <w:rFonts w:eastAsia="Times New Roman"/>
        </w:rPr>
        <w:t>bio-</w:t>
      </w:r>
      <w:r w:rsidR="001F6DF4" w:rsidRPr="002048EA">
        <w:rPr>
          <w:rFonts w:eastAsia="Times New Roman"/>
        </w:rPr>
        <w:t>security</w:t>
      </w:r>
      <w:r w:rsidR="00523C2F" w:rsidRPr="002048EA">
        <w:rPr>
          <w:rFonts w:eastAsia="Times New Roman"/>
        </w:rPr>
        <w:t xml:space="preserve"> threat</w:t>
      </w:r>
      <w:r w:rsidR="00A44190">
        <w:rPr>
          <w:rFonts w:eastAsia="Times New Roman"/>
        </w:rPr>
        <w:t xml:space="preserve"> and </w:t>
      </w:r>
      <w:r w:rsidR="00A44190" w:rsidRPr="002048EA">
        <w:t>safeguard coconut industries</w:t>
      </w:r>
      <w:r w:rsidR="00523C2F" w:rsidRPr="002048EA">
        <w:rPr>
          <w:rFonts w:eastAsia="Times New Roman"/>
        </w:rPr>
        <w:t xml:space="preserve">. </w:t>
      </w:r>
    </w:p>
    <w:p w:rsidR="00503D08" w:rsidRPr="002048EA" w:rsidRDefault="00503D08" w:rsidP="00802AD4">
      <w:r w:rsidRPr="002048EA">
        <w:rPr>
          <w:b/>
        </w:rPr>
        <w:t xml:space="preserve">Australia continued to facilitate increased access to quality vocational education (outcome </w:t>
      </w:r>
      <w:r w:rsidR="006C578F" w:rsidRPr="002048EA">
        <w:rPr>
          <w:b/>
        </w:rPr>
        <w:t>2B.2</w:t>
      </w:r>
      <w:r w:rsidRPr="002048EA">
        <w:rPr>
          <w:b/>
        </w:rPr>
        <w:t>), however the progress of the national qualification framework stalled during the period</w:t>
      </w:r>
      <w:r w:rsidRPr="002048EA">
        <w:t xml:space="preserve">. </w:t>
      </w:r>
      <w:r w:rsidR="00A44190">
        <w:t xml:space="preserve"> </w:t>
      </w:r>
      <w:r w:rsidRPr="002048EA">
        <w:t>In 2018, 322 Solomon Islands (176 females) completed courses with the Austral</w:t>
      </w:r>
      <w:r w:rsidR="00EB01FF">
        <w:t xml:space="preserve">ian Pacific Training Coalition </w:t>
      </w:r>
      <w:r w:rsidR="000F7E27">
        <w:t>(APTC)</w:t>
      </w:r>
      <w:r w:rsidR="00A44190">
        <w:t xml:space="preserve"> </w:t>
      </w:r>
      <w:r w:rsidRPr="002048EA">
        <w:t>– exceeding our target of 250</w:t>
      </w:r>
      <w:r w:rsidR="00FA5F7D" w:rsidRPr="002048EA">
        <w:t xml:space="preserve"> – with employers reporting a </w:t>
      </w:r>
      <w:r w:rsidR="00A81120">
        <w:t>97</w:t>
      </w:r>
      <w:r w:rsidR="00FA5F7D" w:rsidRPr="002048EA">
        <w:t xml:space="preserve"> per cent satisfaction rate with graduates. </w:t>
      </w:r>
      <w:r w:rsidR="00A44190">
        <w:t xml:space="preserve"> </w:t>
      </w:r>
      <w:r w:rsidR="001F6DF4" w:rsidRPr="002048EA">
        <w:t>In January 2019, tourism and hospitality graduates were selected for the Solom</w:t>
      </w:r>
      <w:r w:rsidR="002048EA" w:rsidRPr="002048EA">
        <w:t>on</w:t>
      </w:r>
      <w:r w:rsidR="00A44190">
        <w:t xml:space="preserve"> Islands</w:t>
      </w:r>
      <w:r w:rsidR="002048EA" w:rsidRPr="002048EA">
        <w:t>’ Pacific Labour Scheme</w:t>
      </w:r>
      <w:r w:rsidR="001F6DF4" w:rsidRPr="002048EA">
        <w:t xml:space="preserve"> work ready pool</w:t>
      </w:r>
      <w:r w:rsidR="00FA5F7D" w:rsidRPr="002048EA">
        <w:t>, which will provide an additional pathway to employment</w:t>
      </w:r>
      <w:r w:rsidR="001F6DF4" w:rsidRPr="002048EA">
        <w:t>.  Unfortunately</w:t>
      </w:r>
      <w:r w:rsidR="00E23A63">
        <w:t>,</w:t>
      </w:r>
      <w:r w:rsidR="001F6DF4" w:rsidRPr="002048EA">
        <w:t xml:space="preserve"> despite ongoing advocacy by Australia, the Solomon Islands</w:t>
      </w:r>
      <w:r w:rsidR="002048EA" w:rsidRPr="002048EA">
        <w:t xml:space="preserve"> Tertiary Education and </w:t>
      </w:r>
      <w:r w:rsidR="002048EA" w:rsidRPr="00EB01FF">
        <w:t>Skills</w:t>
      </w:r>
      <w:r w:rsidR="00EB01FF" w:rsidRPr="00EB01FF">
        <w:t xml:space="preserve"> </w:t>
      </w:r>
      <w:r w:rsidR="00EB01FF" w:rsidRPr="00EA2364">
        <w:t>qualification framework</w:t>
      </w:r>
      <w:r w:rsidR="002048EA" w:rsidRPr="00EA2364">
        <w:t xml:space="preserve"> </w:t>
      </w:r>
      <w:r w:rsidR="001F6DF4" w:rsidRPr="00EA2364">
        <w:t>did not progress in line with our expectations and was not implemented (our target)</w:t>
      </w:r>
      <w:r w:rsidR="00575681" w:rsidRPr="00EA2364">
        <w:t>, which</w:t>
      </w:r>
      <w:r w:rsidR="00EA2364" w:rsidRPr="00EA2364">
        <w:t xml:space="preserve"> means training providers are currently not regulated</w:t>
      </w:r>
      <w:r w:rsidR="001F6DF4" w:rsidRPr="00EA2364">
        <w:t xml:space="preserve">. </w:t>
      </w:r>
      <w:r w:rsidR="00A44190">
        <w:t xml:space="preserve"> </w:t>
      </w:r>
      <w:r w:rsidR="001F6DF4" w:rsidRPr="00EA2364">
        <w:t>However, the Solomon Islands Government restated its commitment</w:t>
      </w:r>
      <w:r w:rsidR="00CF21DF" w:rsidRPr="00EA2364">
        <w:t xml:space="preserve"> to the important reform</w:t>
      </w:r>
      <w:r w:rsidR="001F6DF4" w:rsidRPr="00EA2364">
        <w:t xml:space="preserve">. </w:t>
      </w:r>
      <w:r w:rsidR="00972228" w:rsidRPr="00EA2364">
        <w:t xml:space="preserve"> Australia is championing disability inclusiveness in the sector through a partnership between the Skills for Economic Growth program and Bethesda Rural Training Centre, a training</w:t>
      </w:r>
      <w:r w:rsidR="00972228" w:rsidRPr="00314F7F">
        <w:t xml:space="preserve"> centre for people with disabilities. </w:t>
      </w:r>
      <w:r w:rsidR="00972228">
        <w:t xml:space="preserve"> </w:t>
      </w:r>
      <w:r w:rsidR="007C06E3">
        <w:t xml:space="preserve">Skills for Economic Growth </w:t>
      </w:r>
      <w:r w:rsidR="00972228" w:rsidRPr="00314F7F">
        <w:t xml:space="preserve">donated tools and equipment, and provided funding towards staff housing. </w:t>
      </w:r>
      <w:r w:rsidR="00972228">
        <w:t xml:space="preserve"> Australia has placed two </w:t>
      </w:r>
      <w:r w:rsidR="00972228" w:rsidRPr="00314F7F">
        <w:t>Australian Volunteers at Bethesda Rural Training Centre</w:t>
      </w:r>
      <w:r w:rsidR="00972228">
        <w:t>.</w:t>
      </w:r>
    </w:p>
    <w:p w:rsidR="006C578F" w:rsidRPr="002048EA" w:rsidRDefault="006C578F" w:rsidP="00802AD4">
      <w:r w:rsidRPr="002048EA">
        <w:rPr>
          <w:rFonts w:eastAsia="Times New Roman"/>
          <w:b/>
        </w:rPr>
        <w:t>Australia’s labour mobility schemes enabled Solomon Islanders to increase their incomes</w:t>
      </w:r>
      <w:r w:rsidRPr="002048EA">
        <w:rPr>
          <w:rFonts w:eastAsia="Times New Roman"/>
        </w:rPr>
        <w:t xml:space="preserve"> (outcome 2B.3).    </w:t>
      </w:r>
      <w:r w:rsidRPr="002048EA">
        <w:t xml:space="preserve">Solomon Islands participation in the Seasonal </w:t>
      </w:r>
      <w:r w:rsidR="002048EA" w:rsidRPr="002048EA">
        <w:t xml:space="preserve">Worker Programme </w:t>
      </w:r>
      <w:r w:rsidRPr="002048EA">
        <w:t xml:space="preserve">grew for the third year running and </w:t>
      </w:r>
      <w:r w:rsidRPr="002048EA">
        <w:rPr>
          <w:rFonts w:eastAsia="Times New Roman"/>
        </w:rPr>
        <w:t>achieved a six-fold increa</w:t>
      </w:r>
      <w:r w:rsidR="002048EA" w:rsidRPr="002048EA">
        <w:rPr>
          <w:rFonts w:eastAsia="Times New Roman"/>
        </w:rPr>
        <w:t>se in the number of Australian</w:t>
      </w:r>
      <w:r w:rsidRPr="002048EA">
        <w:rPr>
          <w:rFonts w:eastAsia="Times New Roman"/>
        </w:rPr>
        <w:t xml:space="preserve"> employers recruiting from Solomon Islands</w:t>
      </w:r>
      <w:r w:rsidR="002048EA" w:rsidRPr="002048EA">
        <w:rPr>
          <w:rFonts w:eastAsia="Times New Roman"/>
        </w:rPr>
        <w:t xml:space="preserve"> under </w:t>
      </w:r>
      <w:r w:rsidR="002048EA" w:rsidRPr="002048EA">
        <w:rPr>
          <w:rFonts w:eastAsia="Times New Roman"/>
        </w:rPr>
        <w:lastRenderedPageBreak/>
        <w:t>the program</w:t>
      </w:r>
      <w:r w:rsidRPr="002048EA">
        <w:rPr>
          <w:rFonts w:eastAsia="Times New Roman"/>
        </w:rPr>
        <w:t>.</w:t>
      </w:r>
      <w:r w:rsidRPr="002048EA">
        <w:t xml:space="preserve"> </w:t>
      </w:r>
      <w:r w:rsidR="00A44190">
        <w:t xml:space="preserve"> </w:t>
      </w:r>
      <w:r w:rsidRPr="002048EA">
        <w:t xml:space="preserve">In </w:t>
      </w:r>
      <w:r w:rsidR="002048EA" w:rsidRPr="002048EA">
        <w:t>2018-19</w:t>
      </w:r>
      <w:r w:rsidRPr="002048EA">
        <w:t>, 31</w:t>
      </w:r>
      <w:r w:rsidR="00723301">
        <w:t>4 (42</w:t>
      </w:r>
      <w:r w:rsidR="00A05D0A">
        <w:t xml:space="preserve"> x</w:t>
      </w:r>
      <w:r w:rsidR="00723301">
        <w:t xml:space="preserve"> female)</w:t>
      </w:r>
      <w:r w:rsidRPr="002048EA">
        <w:t xml:space="preserve"> workers were mobilised </w:t>
      </w:r>
      <w:r w:rsidR="00E23A63">
        <w:t xml:space="preserve">– </w:t>
      </w:r>
      <w:r w:rsidRPr="002048EA">
        <w:t>just</w:t>
      </w:r>
      <w:r w:rsidR="00E23A63">
        <w:t xml:space="preserve"> </w:t>
      </w:r>
      <w:r w:rsidRPr="002048EA">
        <w:t>short of the target of 350 workers</w:t>
      </w:r>
      <w:r w:rsidR="00E23A63">
        <w:t xml:space="preserve"> –</w:t>
      </w:r>
      <w:r w:rsidRPr="002048EA">
        <w:t xml:space="preserve"> resulting</w:t>
      </w:r>
      <w:r w:rsidR="00E23A63">
        <w:t xml:space="preserve"> </w:t>
      </w:r>
      <w:r w:rsidRPr="002048EA">
        <w:t xml:space="preserve">in an estimated contribution to the Solomon Islands economy </w:t>
      </w:r>
      <w:r w:rsidR="00197E62">
        <w:t xml:space="preserve">of </w:t>
      </w:r>
      <w:r w:rsidRPr="002048EA">
        <w:t>$2.6 million.</w:t>
      </w:r>
      <w:r w:rsidR="00540248">
        <w:t xml:space="preserve"> </w:t>
      </w:r>
      <w:r w:rsidR="00A44190">
        <w:t xml:space="preserve"> </w:t>
      </w:r>
      <w:r w:rsidR="00540248">
        <w:t>Female participation continued to grow in relative terms to 13 per</w:t>
      </w:r>
      <w:r w:rsidR="00A07975">
        <w:t xml:space="preserve"> </w:t>
      </w:r>
      <w:r w:rsidR="00540248">
        <w:t>cent in 2018</w:t>
      </w:r>
      <w:r w:rsidR="00A07975">
        <w:t>-</w:t>
      </w:r>
      <w:r w:rsidR="00540248">
        <w:t>19</w:t>
      </w:r>
      <w:r w:rsidR="00493E6F">
        <w:t>,</w:t>
      </w:r>
      <w:r w:rsidR="00540248">
        <w:t xml:space="preserve"> up from </w:t>
      </w:r>
      <w:r w:rsidR="00A07975">
        <w:t>zero in 2016-17</w:t>
      </w:r>
      <w:r w:rsidR="00540248">
        <w:t>.</w:t>
      </w:r>
      <w:r w:rsidR="00493E6F">
        <w:t xml:space="preserve"> </w:t>
      </w:r>
      <w:r w:rsidRPr="002048EA">
        <w:t xml:space="preserve"> In September 2018, Solomon</w:t>
      </w:r>
      <w:r w:rsidR="00493E6F">
        <w:t> </w:t>
      </w:r>
      <w:r w:rsidRPr="002048EA">
        <w:t>Islands joined</w:t>
      </w:r>
      <w:r w:rsidR="002048EA" w:rsidRPr="002048EA">
        <w:t xml:space="preserve"> the Pacific Labour Scheme, and mobilised </w:t>
      </w:r>
      <w:r w:rsidRPr="002048EA">
        <w:t>2</w:t>
      </w:r>
      <w:r w:rsidR="00723301">
        <w:t>0</w:t>
      </w:r>
      <w:r w:rsidRPr="002048EA">
        <w:t xml:space="preserve"> workers </w:t>
      </w:r>
      <w:r w:rsidR="00540248">
        <w:t>(</w:t>
      </w:r>
      <w:r w:rsidR="00723301">
        <w:t>6 x</w:t>
      </w:r>
      <w:r w:rsidR="00540248">
        <w:t xml:space="preserve"> female) </w:t>
      </w:r>
      <w:r w:rsidRPr="002048EA">
        <w:t xml:space="preserve">between January and June 2019. </w:t>
      </w:r>
      <w:r w:rsidR="00493E6F">
        <w:t xml:space="preserve"> </w:t>
      </w:r>
      <w:r w:rsidRPr="002048EA">
        <w:t>In May</w:t>
      </w:r>
      <w:r w:rsidR="002048EA" w:rsidRPr="002048EA">
        <w:t xml:space="preserve"> 2019</w:t>
      </w:r>
      <w:r w:rsidRPr="002048EA">
        <w:t xml:space="preserve">, Prime Minister Morrison announced up to $2.7 million (over three years) to support Solomon Islands to expand participation and maximize labour mobility benefits. </w:t>
      </w:r>
    </w:p>
    <w:p w:rsidR="00503D08" w:rsidRPr="00C814D9" w:rsidRDefault="000A5A2A" w:rsidP="00C814D9">
      <w:pPr>
        <w:rPr>
          <w:rFonts w:eastAsia="Times New Roman"/>
        </w:rPr>
      </w:pPr>
      <w:r w:rsidRPr="00C814D9">
        <w:rPr>
          <w:rFonts w:eastAsia="Times New Roman"/>
          <w:b/>
        </w:rPr>
        <w:t>Targeted infrastructure and women’s empowerment programs improved working conditions for women and provided opportunities to increase earnings</w:t>
      </w:r>
      <w:r w:rsidRPr="00C814D9">
        <w:rPr>
          <w:rFonts w:eastAsia="Times New Roman"/>
        </w:rPr>
        <w:t xml:space="preserve"> (outcome 2B.4). </w:t>
      </w:r>
      <w:r w:rsidR="00493E6F">
        <w:rPr>
          <w:rFonts w:eastAsia="Times New Roman"/>
        </w:rPr>
        <w:t xml:space="preserve"> </w:t>
      </w:r>
      <w:r w:rsidR="00714FB2">
        <w:rPr>
          <w:rFonts w:eastAsia="Times New Roman"/>
        </w:rPr>
        <w:t>The</w:t>
      </w:r>
      <w:r w:rsidR="002254EA" w:rsidRPr="00C814D9">
        <w:rPr>
          <w:rFonts w:eastAsia="Times New Roman"/>
        </w:rPr>
        <w:t xml:space="preserve"> Gizo Market redevelopment project was completed in Western Province</w:t>
      </w:r>
      <w:r w:rsidR="00714FB2">
        <w:rPr>
          <w:rFonts w:eastAsia="Times New Roman"/>
        </w:rPr>
        <w:t xml:space="preserve"> in June 2019</w:t>
      </w:r>
      <w:r w:rsidR="002254EA" w:rsidRPr="00C814D9">
        <w:rPr>
          <w:rFonts w:eastAsia="Times New Roman"/>
        </w:rPr>
        <w:t>, improving market amenities and providing a secure market environment for vendors</w:t>
      </w:r>
      <w:r w:rsidRPr="00C814D9">
        <w:rPr>
          <w:rFonts w:eastAsia="Times New Roman"/>
        </w:rPr>
        <w:t xml:space="preserve"> (mostly women)</w:t>
      </w:r>
      <w:r w:rsidR="002254EA" w:rsidRPr="00C814D9">
        <w:rPr>
          <w:rFonts w:eastAsia="Times New Roman"/>
        </w:rPr>
        <w:t>, residents and visiting tourists.</w:t>
      </w:r>
      <w:r w:rsidR="00493E6F">
        <w:rPr>
          <w:rFonts w:eastAsia="Times New Roman"/>
        </w:rPr>
        <w:t xml:space="preserve"> </w:t>
      </w:r>
      <w:r w:rsidR="002254EA" w:rsidRPr="00C814D9">
        <w:rPr>
          <w:rFonts w:eastAsia="Times New Roman"/>
        </w:rPr>
        <w:t xml:space="preserve"> </w:t>
      </w:r>
      <w:r w:rsidRPr="00C814D9">
        <w:rPr>
          <w:rFonts w:eastAsia="Times New Roman"/>
        </w:rPr>
        <w:t>T</w:t>
      </w:r>
      <w:r w:rsidR="002254EA" w:rsidRPr="00C814D9">
        <w:rPr>
          <w:rFonts w:eastAsia="Times New Roman"/>
        </w:rPr>
        <w:t xml:space="preserve">he inclusion of a new sea wall </w:t>
      </w:r>
      <w:r w:rsidRPr="00C814D9">
        <w:rPr>
          <w:rFonts w:eastAsia="Times New Roman"/>
        </w:rPr>
        <w:t xml:space="preserve">at Gizo </w:t>
      </w:r>
      <w:r w:rsidR="002254EA" w:rsidRPr="00C814D9">
        <w:rPr>
          <w:rFonts w:eastAsia="Times New Roman"/>
        </w:rPr>
        <w:t xml:space="preserve">will help mitigate </w:t>
      </w:r>
      <w:r w:rsidR="00100573" w:rsidRPr="00C814D9">
        <w:rPr>
          <w:rFonts w:eastAsia="Times New Roman"/>
        </w:rPr>
        <w:t xml:space="preserve">market </w:t>
      </w:r>
      <w:r w:rsidR="002254EA" w:rsidRPr="00C814D9">
        <w:rPr>
          <w:rFonts w:eastAsia="Times New Roman"/>
        </w:rPr>
        <w:t>flooding and will reduce the risk of erosion</w:t>
      </w:r>
      <w:r w:rsidRPr="00C814D9">
        <w:rPr>
          <w:rFonts w:eastAsia="Times New Roman"/>
        </w:rPr>
        <w:t>, thus protecting women’s incomes during disasters</w:t>
      </w:r>
      <w:r w:rsidR="002254EA" w:rsidRPr="00C814D9">
        <w:rPr>
          <w:rFonts w:eastAsia="Times New Roman"/>
        </w:rPr>
        <w:t>.</w:t>
      </w:r>
      <w:r w:rsidR="00493E6F">
        <w:rPr>
          <w:rFonts w:eastAsia="Times New Roman"/>
        </w:rPr>
        <w:t xml:space="preserve"> </w:t>
      </w:r>
      <w:r w:rsidR="002254EA" w:rsidRPr="00C814D9">
        <w:rPr>
          <w:rFonts w:eastAsia="Times New Roman"/>
        </w:rPr>
        <w:t xml:space="preserve"> </w:t>
      </w:r>
      <w:r w:rsidR="002048EA" w:rsidRPr="00C814D9">
        <w:rPr>
          <w:rFonts w:eastAsia="Times New Roman"/>
        </w:rPr>
        <w:t>In 2018-</w:t>
      </w:r>
      <w:r w:rsidRPr="00C814D9">
        <w:rPr>
          <w:rFonts w:eastAsia="Times New Roman"/>
        </w:rPr>
        <w:t>19, we delivered training in business or income generation to 1,368</w:t>
      </w:r>
      <w:r w:rsidR="007C06E3">
        <w:rPr>
          <w:rFonts w:eastAsia="Times New Roman"/>
        </w:rPr>
        <w:t> </w:t>
      </w:r>
      <w:r w:rsidR="002038EB">
        <w:rPr>
          <w:rFonts w:eastAsia="Times New Roman"/>
        </w:rPr>
        <w:t>people</w:t>
      </w:r>
      <w:r w:rsidR="00493E6F">
        <w:rPr>
          <w:rFonts w:eastAsia="Times New Roman"/>
        </w:rPr>
        <w:t xml:space="preserve"> </w:t>
      </w:r>
      <w:r w:rsidRPr="00C814D9">
        <w:rPr>
          <w:rFonts w:eastAsia="Times New Roman"/>
        </w:rPr>
        <w:t>exceeding our target of 1,000</w:t>
      </w:r>
      <w:r w:rsidR="00CF21DF" w:rsidRPr="00C814D9">
        <w:rPr>
          <w:rFonts w:eastAsia="Times New Roman"/>
        </w:rPr>
        <w:t xml:space="preserve"> (performance benchmark)</w:t>
      </w:r>
      <w:r w:rsidRPr="00C814D9">
        <w:rPr>
          <w:rFonts w:eastAsia="Times New Roman"/>
        </w:rPr>
        <w:t xml:space="preserve">. </w:t>
      </w:r>
      <w:r w:rsidR="00493E6F">
        <w:rPr>
          <w:rFonts w:eastAsia="Times New Roman"/>
        </w:rPr>
        <w:t xml:space="preserve"> </w:t>
      </w:r>
      <w:r w:rsidRPr="00C814D9">
        <w:rPr>
          <w:rFonts w:eastAsia="Times New Roman"/>
        </w:rPr>
        <w:t>For e</w:t>
      </w:r>
      <w:r w:rsidR="00100573" w:rsidRPr="00C814D9">
        <w:rPr>
          <w:rFonts w:eastAsia="Times New Roman"/>
        </w:rPr>
        <w:t xml:space="preserve">xample, </w:t>
      </w:r>
      <w:r w:rsidRPr="00C814D9">
        <w:rPr>
          <w:rFonts w:eastAsia="Times New Roman"/>
        </w:rPr>
        <w:t>t</w:t>
      </w:r>
      <w:r w:rsidR="002254EA" w:rsidRPr="00C814D9">
        <w:rPr>
          <w:rFonts w:eastAsia="Times New Roman"/>
        </w:rPr>
        <w:t>he UN Women Markets for Change program</w:t>
      </w:r>
      <w:r w:rsidR="00392AB5">
        <w:rPr>
          <w:rFonts w:eastAsia="Times New Roman"/>
        </w:rPr>
        <w:t xml:space="preserve"> </w:t>
      </w:r>
      <w:r w:rsidRPr="00C814D9">
        <w:rPr>
          <w:rFonts w:eastAsia="Times New Roman"/>
        </w:rPr>
        <w:t>(which Australia funds) delivered</w:t>
      </w:r>
      <w:r w:rsidR="002254EA" w:rsidRPr="00C814D9">
        <w:rPr>
          <w:rFonts w:eastAsia="Times New Roman"/>
        </w:rPr>
        <w:t xml:space="preserve"> training to </w:t>
      </w:r>
      <w:r w:rsidR="00392AB5">
        <w:rPr>
          <w:rFonts w:eastAsia="Times New Roman"/>
        </w:rPr>
        <w:t>11</w:t>
      </w:r>
      <w:r w:rsidRPr="00C814D9">
        <w:rPr>
          <w:rFonts w:eastAsia="Times New Roman"/>
        </w:rPr>
        <w:t xml:space="preserve">1 female </w:t>
      </w:r>
      <w:r w:rsidR="002254EA" w:rsidRPr="00C814D9">
        <w:rPr>
          <w:rFonts w:eastAsia="Times New Roman"/>
        </w:rPr>
        <w:t xml:space="preserve">market vendors </w:t>
      </w:r>
      <w:r w:rsidR="00392AB5">
        <w:rPr>
          <w:rFonts w:eastAsia="Times New Roman"/>
        </w:rPr>
        <w:t xml:space="preserve">(and 45 male market vendors) </w:t>
      </w:r>
      <w:r w:rsidR="002254EA" w:rsidRPr="00C814D9">
        <w:rPr>
          <w:rFonts w:eastAsia="Times New Roman"/>
        </w:rPr>
        <w:t>in food hygiene and safety, and business and financial management.</w:t>
      </w:r>
      <w:r w:rsidR="00100573" w:rsidRPr="00C814D9">
        <w:rPr>
          <w:rFonts w:eastAsia="Times New Roman"/>
        </w:rPr>
        <w:t xml:space="preserve"> </w:t>
      </w:r>
      <w:r w:rsidR="00493E6F">
        <w:rPr>
          <w:rFonts w:eastAsia="Times New Roman"/>
        </w:rPr>
        <w:t xml:space="preserve"> </w:t>
      </w:r>
      <w:r w:rsidR="00100573" w:rsidRPr="00C814D9">
        <w:rPr>
          <w:rFonts w:eastAsia="Times New Roman"/>
        </w:rPr>
        <w:t>Our work with the Ministry of Women</w:t>
      </w:r>
      <w:r w:rsidR="00AC5F7A">
        <w:rPr>
          <w:rFonts w:eastAsia="Times New Roman"/>
        </w:rPr>
        <w:t>, Youth, Children and Family Affairs</w:t>
      </w:r>
      <w:r w:rsidR="00503D08" w:rsidRPr="00C814D9">
        <w:rPr>
          <w:rFonts w:eastAsia="Times New Roman"/>
        </w:rPr>
        <w:t xml:space="preserve">, </w:t>
      </w:r>
      <w:r w:rsidR="00503D08" w:rsidRPr="00E60197">
        <w:rPr>
          <w:rFonts w:eastAsia="Times New Roman"/>
          <w:i/>
        </w:rPr>
        <w:t>Strongim Bisnis</w:t>
      </w:r>
      <w:r w:rsidR="00100573" w:rsidRPr="00C814D9">
        <w:rPr>
          <w:rFonts w:eastAsia="Times New Roman"/>
        </w:rPr>
        <w:t xml:space="preserve"> and the Pacif</w:t>
      </w:r>
      <w:r w:rsidR="00C814D9" w:rsidRPr="00C814D9">
        <w:rPr>
          <w:rFonts w:eastAsia="Times New Roman"/>
        </w:rPr>
        <w:t xml:space="preserve">ic Financial Inclusion Program </w:t>
      </w:r>
      <w:r w:rsidR="00100573" w:rsidRPr="00C814D9">
        <w:rPr>
          <w:rFonts w:eastAsia="Times New Roman"/>
        </w:rPr>
        <w:t>increased women’s access to the financial sector</w:t>
      </w:r>
      <w:r w:rsidR="00E23A63">
        <w:rPr>
          <w:rFonts w:eastAsia="Times New Roman"/>
        </w:rPr>
        <w:t>.</w:t>
      </w:r>
      <w:r w:rsidR="00100573" w:rsidRPr="00C814D9">
        <w:rPr>
          <w:rFonts w:eastAsia="Times New Roman"/>
        </w:rPr>
        <w:t xml:space="preserve"> </w:t>
      </w:r>
      <w:r w:rsidR="00E23A63">
        <w:rPr>
          <w:rFonts w:eastAsia="Times New Roman"/>
        </w:rPr>
        <w:t>O</w:t>
      </w:r>
      <w:r w:rsidR="00503D08" w:rsidRPr="00C814D9">
        <w:rPr>
          <w:rFonts w:eastAsia="Times New Roman"/>
        </w:rPr>
        <w:t xml:space="preserve">ur support helped to </w:t>
      </w:r>
      <w:r w:rsidR="00100573" w:rsidRPr="00C814D9">
        <w:rPr>
          <w:rFonts w:eastAsia="Times New Roman"/>
        </w:rPr>
        <w:t>establish</w:t>
      </w:r>
      <w:r w:rsidR="00CF21DF" w:rsidRPr="00C814D9">
        <w:rPr>
          <w:rFonts w:eastAsia="Times New Roman"/>
        </w:rPr>
        <w:t xml:space="preserve"> </w:t>
      </w:r>
      <w:r w:rsidR="00100573" w:rsidRPr="00C814D9">
        <w:rPr>
          <w:rFonts w:eastAsia="Times New Roman"/>
        </w:rPr>
        <w:t xml:space="preserve">two new saving clubs, </w:t>
      </w:r>
      <w:r w:rsidR="00503D08" w:rsidRPr="00C814D9">
        <w:rPr>
          <w:rFonts w:eastAsia="Times New Roman"/>
        </w:rPr>
        <w:t xml:space="preserve">created superannuation accounts for women employed in the informal sector, expanded the </w:t>
      </w:r>
      <w:r w:rsidR="00503D08" w:rsidRPr="00E60197">
        <w:rPr>
          <w:rFonts w:eastAsia="Times New Roman"/>
          <w:i/>
        </w:rPr>
        <w:t>West AreAre Rokotanikeni</w:t>
      </w:r>
      <w:r w:rsidR="00503D08" w:rsidRPr="00C814D9">
        <w:rPr>
          <w:rFonts w:eastAsia="Times New Roman"/>
        </w:rPr>
        <w:t xml:space="preserve"> saving club loan guarantee</w:t>
      </w:r>
      <w:r w:rsidR="00493E6F">
        <w:rPr>
          <w:rFonts w:eastAsia="Times New Roman"/>
        </w:rPr>
        <w:t>,</w:t>
      </w:r>
      <w:r w:rsidR="00503D08" w:rsidRPr="00C814D9">
        <w:rPr>
          <w:rFonts w:eastAsia="Times New Roman"/>
        </w:rPr>
        <w:t xml:space="preserve"> and piloted digital school fee payments for rural citizens. </w:t>
      </w:r>
      <w:r w:rsidR="00E63B4E">
        <w:rPr>
          <w:rFonts w:eastAsia="Times New Roman"/>
        </w:rPr>
        <w:t xml:space="preserve">Fourteen of </w:t>
      </w:r>
      <w:r w:rsidR="00575681">
        <w:rPr>
          <w:rFonts w:eastAsia="Times New Roman"/>
        </w:rPr>
        <w:t xml:space="preserve">17 of the </w:t>
      </w:r>
      <w:r w:rsidR="00E63B4E">
        <w:rPr>
          <w:rFonts w:eastAsia="Times New Roman"/>
        </w:rPr>
        <w:t>Solomon Islands largest employers, each with more than 100 employees,</w:t>
      </w:r>
      <w:r w:rsidR="00CF21DF" w:rsidRPr="00C814D9">
        <w:rPr>
          <w:rFonts w:eastAsia="Times New Roman"/>
        </w:rPr>
        <w:t xml:space="preserve"> </w:t>
      </w:r>
      <w:r w:rsidR="00493E6F">
        <w:rPr>
          <w:rFonts w:eastAsia="Times New Roman"/>
        </w:rPr>
        <w:t>signed up to the</w:t>
      </w:r>
      <w:r w:rsidR="00CF21DF" w:rsidRPr="00C814D9">
        <w:rPr>
          <w:rFonts w:eastAsia="Times New Roman"/>
        </w:rPr>
        <w:t xml:space="preserve"> </w:t>
      </w:r>
      <w:r w:rsidR="00E63B4E">
        <w:rPr>
          <w:rFonts w:eastAsia="Times New Roman"/>
          <w:i/>
        </w:rPr>
        <w:t>W</w:t>
      </w:r>
      <w:r w:rsidR="00CF21DF" w:rsidRPr="00E60197">
        <w:rPr>
          <w:rFonts w:eastAsia="Times New Roman"/>
          <w:i/>
        </w:rPr>
        <w:t xml:space="preserve">aka </w:t>
      </w:r>
      <w:r w:rsidR="00E63B4E">
        <w:rPr>
          <w:rFonts w:eastAsia="Times New Roman"/>
          <w:i/>
        </w:rPr>
        <w:t>M</w:t>
      </w:r>
      <w:r w:rsidR="00CF21DF" w:rsidRPr="00E60197">
        <w:rPr>
          <w:rFonts w:eastAsia="Times New Roman"/>
          <w:i/>
        </w:rPr>
        <w:t xml:space="preserve">ere </w:t>
      </w:r>
      <w:r w:rsidR="00E63B4E">
        <w:rPr>
          <w:rFonts w:eastAsia="Times New Roman"/>
          <w:i/>
        </w:rPr>
        <w:t>C</w:t>
      </w:r>
      <w:r w:rsidR="00CF21DF" w:rsidRPr="00E60197">
        <w:rPr>
          <w:rFonts w:eastAsia="Times New Roman"/>
          <w:i/>
        </w:rPr>
        <w:t>ommitment</w:t>
      </w:r>
      <w:r w:rsidR="00CF21DF" w:rsidRPr="00C814D9">
        <w:rPr>
          <w:rFonts w:eastAsia="Times New Roman"/>
        </w:rPr>
        <w:t xml:space="preserve"> </w:t>
      </w:r>
      <w:r w:rsidR="00CF21DF" w:rsidRPr="00E60197">
        <w:rPr>
          <w:rFonts w:eastAsia="Times New Roman"/>
          <w:i/>
        </w:rPr>
        <w:t xml:space="preserve">to </w:t>
      </w:r>
      <w:r w:rsidR="00E63B4E">
        <w:rPr>
          <w:rFonts w:eastAsia="Times New Roman"/>
          <w:i/>
        </w:rPr>
        <w:t>A</w:t>
      </w:r>
      <w:r w:rsidR="00CF21DF" w:rsidRPr="00E60197">
        <w:rPr>
          <w:rFonts w:eastAsia="Times New Roman"/>
          <w:i/>
        </w:rPr>
        <w:t>ction</w:t>
      </w:r>
      <w:r w:rsidR="00CF21DF" w:rsidRPr="00C814D9">
        <w:rPr>
          <w:rFonts w:eastAsia="Times New Roman"/>
        </w:rPr>
        <w:t>,</w:t>
      </w:r>
      <w:r w:rsidR="00493E6F">
        <w:rPr>
          <w:rFonts w:eastAsia="Times New Roman"/>
        </w:rPr>
        <w:t xml:space="preserve"> a commitment by employers</w:t>
      </w:r>
      <w:r w:rsidR="00CF21DF" w:rsidRPr="00C814D9">
        <w:rPr>
          <w:rFonts w:eastAsia="Times New Roman"/>
        </w:rPr>
        <w:t xml:space="preserve"> </w:t>
      </w:r>
      <w:r w:rsidR="00493E6F" w:rsidRPr="00D63C44">
        <w:t>to promote opportunities and improve working conditions for female employees</w:t>
      </w:r>
      <w:r w:rsidR="00493E6F">
        <w:t xml:space="preserve">.  </w:t>
      </w:r>
      <w:r w:rsidR="00493E6F">
        <w:rPr>
          <w:rFonts w:eastAsia="Times New Roman"/>
        </w:rPr>
        <w:t>O</w:t>
      </w:r>
      <w:r w:rsidR="00CF21DF" w:rsidRPr="00C814D9">
        <w:rPr>
          <w:rFonts w:eastAsia="Times New Roman"/>
        </w:rPr>
        <w:t xml:space="preserve">ver 6,000 employees </w:t>
      </w:r>
      <w:r w:rsidR="00493E6F">
        <w:rPr>
          <w:rFonts w:eastAsia="Times New Roman"/>
        </w:rPr>
        <w:t>are now</w:t>
      </w:r>
      <w:r w:rsidR="00A86D59" w:rsidRPr="00C814D9">
        <w:rPr>
          <w:rFonts w:eastAsia="Times New Roman"/>
        </w:rPr>
        <w:t xml:space="preserve"> covered by new gender equality policies</w:t>
      </w:r>
      <w:r w:rsidR="00E63B4E">
        <w:rPr>
          <w:rFonts w:eastAsia="Times New Roman"/>
        </w:rPr>
        <w:t xml:space="preserve"> and practices</w:t>
      </w:r>
      <w:r w:rsidR="00A86D59" w:rsidRPr="00C814D9">
        <w:rPr>
          <w:rFonts w:eastAsia="Times New Roman"/>
        </w:rPr>
        <w:t>.</w:t>
      </w:r>
      <w:r w:rsidR="00CF21DF" w:rsidRPr="00C814D9">
        <w:rPr>
          <w:rFonts w:eastAsia="Times New Roman"/>
        </w:rPr>
        <w:t xml:space="preserve"> </w:t>
      </w:r>
    </w:p>
    <w:p w:rsidR="00361C10" w:rsidRPr="00FA294B" w:rsidRDefault="00361C10" w:rsidP="00361C10">
      <w:pPr>
        <w:spacing w:before="20" w:after="20" w:line="180" w:lineRule="atLeast"/>
        <w:jc w:val="both"/>
        <w:rPr>
          <w:rFonts w:asciiTheme="majorHAnsi" w:eastAsiaTheme="majorEastAsia" w:hAnsiTheme="majorHAnsi" w:cstheme="majorBidi"/>
          <w:caps/>
          <w:sz w:val="32"/>
          <w:szCs w:val="32"/>
        </w:rPr>
      </w:pPr>
      <w:r w:rsidRPr="00FA294B">
        <w:rPr>
          <w:rFonts w:asciiTheme="majorHAnsi" w:eastAsiaTheme="majorEastAsia" w:hAnsiTheme="majorHAnsi" w:cstheme="majorBidi"/>
          <w:caps/>
          <w:sz w:val="32"/>
          <w:szCs w:val="32"/>
        </w:rPr>
        <w:t>Objective 3: ENHANCING HUMAN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12"/>
        <w:gridCol w:w="1914"/>
        <w:gridCol w:w="1898"/>
        <w:gridCol w:w="1898"/>
      </w:tblGrid>
      <w:tr w:rsidR="00361C10" w:rsidTr="009C6252">
        <w:tc>
          <w:tcPr>
            <w:tcW w:w="2016" w:type="dxa"/>
          </w:tcPr>
          <w:p w:rsidR="00361C10" w:rsidRDefault="00361C10" w:rsidP="009C6252">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A6A50A3" wp14:editId="0BA46CB6">
                  <wp:extent cx="1137600" cy="720000"/>
                  <wp:effectExtent l="0" t="0" r="5715" b="444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12" w:type="dxa"/>
          </w:tcPr>
          <w:p w:rsidR="00361C10" w:rsidRDefault="00361C10" w:rsidP="009C625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DEB4062" wp14:editId="0511C746">
                  <wp:extent cx="612000" cy="61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4" w:type="dxa"/>
          </w:tcPr>
          <w:p w:rsidR="00361C10" w:rsidRDefault="00361C10" w:rsidP="009C625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616697A" wp14:editId="74D924C4">
                  <wp:extent cx="612000" cy="6120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8" w:type="dxa"/>
          </w:tcPr>
          <w:p w:rsidR="00361C10" w:rsidRDefault="00361C10" w:rsidP="009C625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9645CED" wp14:editId="2A4DD554">
                  <wp:extent cx="612000" cy="6120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color w:val="495965" w:themeColor="text2"/>
                <w:sz w:val="38"/>
                <w:szCs w:val="26"/>
                <w:lang w:val="en-GB" w:eastAsia="en-US"/>
              </w:rPr>
              <w:t xml:space="preserve">  </w:t>
            </w:r>
          </w:p>
        </w:tc>
        <w:tc>
          <w:tcPr>
            <w:tcW w:w="1898" w:type="dxa"/>
          </w:tcPr>
          <w:p w:rsidR="00361C10" w:rsidRDefault="00361C10" w:rsidP="009C625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6FDBA35" wp14:editId="4EDD29B1">
                  <wp:extent cx="612000" cy="612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997B77" w:rsidRPr="00562A14" w:rsidRDefault="00997B77" w:rsidP="00997B77">
      <w:pPr>
        <w:rPr>
          <w:rFonts w:eastAsia="Times New Roman"/>
        </w:rPr>
      </w:pPr>
      <w:r w:rsidRPr="00C814D9">
        <w:rPr>
          <w:rFonts w:eastAsia="Times New Roman"/>
          <w:b/>
        </w:rPr>
        <w:t xml:space="preserve">The progress towards this objective </w:t>
      </w:r>
      <w:r w:rsidR="00B069EE" w:rsidRPr="00C814D9">
        <w:rPr>
          <w:rFonts w:eastAsia="Times New Roman"/>
          <w:b/>
        </w:rPr>
        <w:t xml:space="preserve">- more men, women, boys and girls benefit from quality health and basic and vocational education - </w:t>
      </w:r>
      <w:r w:rsidRPr="00C814D9">
        <w:rPr>
          <w:rFonts w:eastAsia="Times New Roman"/>
          <w:b/>
        </w:rPr>
        <w:t xml:space="preserve">was in-line with expectations across four outcomes with 10 of 19 indicators achieved (Annex E) and </w:t>
      </w:r>
      <w:r w:rsidR="00493E6F">
        <w:rPr>
          <w:rFonts w:eastAsia="Times New Roman"/>
          <w:b/>
        </w:rPr>
        <w:t>eight</w:t>
      </w:r>
      <w:r w:rsidRPr="00C814D9">
        <w:rPr>
          <w:rFonts w:eastAsia="Times New Roman"/>
          <w:b/>
        </w:rPr>
        <w:t xml:space="preserve"> partially achieved.</w:t>
      </w:r>
      <w:r w:rsidR="00E00B28">
        <w:rPr>
          <w:rFonts w:eastAsia="Times New Roman"/>
          <w:b/>
        </w:rPr>
        <w:t xml:space="preserve"> </w:t>
      </w:r>
      <w:r w:rsidR="00C41EE8">
        <w:rPr>
          <w:rFonts w:eastAsia="Times New Roman"/>
          <w:b/>
        </w:rPr>
        <w:t xml:space="preserve"> </w:t>
      </w:r>
      <w:r w:rsidR="00EA2364" w:rsidRPr="00EA2364">
        <w:rPr>
          <w:rFonts w:eastAsia="Times New Roman"/>
        </w:rPr>
        <w:t>Further, p</w:t>
      </w:r>
      <w:r w:rsidR="00C41EE8" w:rsidRPr="00EA2364">
        <w:rPr>
          <w:rFonts w:eastAsia="Times New Roman"/>
        </w:rPr>
        <w:t>rogress</w:t>
      </w:r>
      <w:r w:rsidR="00C41EE8">
        <w:rPr>
          <w:rFonts w:eastAsia="Times New Roman"/>
        </w:rPr>
        <w:t xml:space="preserve"> was rated as amber </w:t>
      </w:r>
      <w:r w:rsidR="00EA2364">
        <w:rPr>
          <w:rFonts w:eastAsia="Times New Roman"/>
        </w:rPr>
        <w:t>with</w:t>
      </w:r>
      <w:r w:rsidR="00C41EE8">
        <w:rPr>
          <w:rFonts w:eastAsia="Times New Roman"/>
        </w:rPr>
        <w:t xml:space="preserve"> one of the three</w:t>
      </w:r>
      <w:r w:rsidRPr="00802AD4">
        <w:rPr>
          <w:rFonts w:eastAsia="Times New Roman"/>
        </w:rPr>
        <w:t xml:space="preserve"> performance benchmark</w:t>
      </w:r>
      <w:r w:rsidR="00C41EE8">
        <w:rPr>
          <w:rFonts w:eastAsia="Times New Roman"/>
        </w:rPr>
        <w:t>s for this objective</w:t>
      </w:r>
      <w:r w:rsidRPr="00802AD4">
        <w:rPr>
          <w:rFonts w:eastAsia="Times New Roman"/>
        </w:rPr>
        <w:t xml:space="preserve"> (Annex B)</w:t>
      </w:r>
      <w:r w:rsidR="00C41EE8">
        <w:rPr>
          <w:rFonts w:eastAsia="Times New Roman"/>
        </w:rPr>
        <w:t>,</w:t>
      </w:r>
      <w:r w:rsidRPr="00802AD4">
        <w:rPr>
          <w:rFonts w:eastAsia="Times New Roman"/>
        </w:rPr>
        <w:t xml:space="preserve"> </w:t>
      </w:r>
      <w:r w:rsidR="00C41EE8">
        <w:rPr>
          <w:rFonts w:eastAsia="Times New Roman"/>
        </w:rPr>
        <w:t>relating to</w:t>
      </w:r>
      <w:r w:rsidR="00C41EE8" w:rsidRPr="00802AD4">
        <w:rPr>
          <w:rFonts w:eastAsia="Times New Roman"/>
        </w:rPr>
        <w:t xml:space="preserve"> </w:t>
      </w:r>
      <w:r w:rsidR="00C41EE8">
        <w:rPr>
          <w:rFonts w:eastAsia="Times New Roman"/>
        </w:rPr>
        <w:t xml:space="preserve">the availability of </w:t>
      </w:r>
      <w:r w:rsidRPr="00802AD4">
        <w:rPr>
          <w:rFonts w:eastAsia="Times New Roman"/>
        </w:rPr>
        <w:t xml:space="preserve">medicines at provincial </w:t>
      </w:r>
      <w:r w:rsidR="00C41EE8" w:rsidRPr="00562A14">
        <w:rPr>
          <w:rFonts w:eastAsia="Times New Roman"/>
        </w:rPr>
        <w:t xml:space="preserve">level, </w:t>
      </w:r>
      <w:r w:rsidR="00EA2364" w:rsidRPr="00562A14">
        <w:rPr>
          <w:rFonts w:eastAsia="Times New Roman"/>
        </w:rPr>
        <w:t>partially</w:t>
      </w:r>
      <w:r w:rsidRPr="00562A14">
        <w:rPr>
          <w:rFonts w:eastAsia="Times New Roman"/>
        </w:rPr>
        <w:t xml:space="preserve"> achieved</w:t>
      </w:r>
      <w:r w:rsidR="00203E07" w:rsidRPr="00562A14">
        <w:rPr>
          <w:rFonts w:eastAsia="Times New Roman"/>
        </w:rPr>
        <w:t xml:space="preserve">.  </w:t>
      </w:r>
      <w:r w:rsidR="00C41EE8" w:rsidRPr="00562A14">
        <w:rPr>
          <w:rFonts w:eastAsia="Times New Roman"/>
        </w:rPr>
        <w:t>However, this rating does not reflect progress across the objective as a whole</w:t>
      </w:r>
      <w:r w:rsidRPr="00562A14">
        <w:rPr>
          <w:rFonts w:eastAsia="Times New Roman"/>
        </w:rPr>
        <w:t>.</w:t>
      </w:r>
    </w:p>
    <w:p w:rsidR="00493E6F" w:rsidRPr="00E64953" w:rsidRDefault="00493E6F" w:rsidP="00493E6F">
      <w:r w:rsidRPr="005B4D51">
        <w:rPr>
          <w:b/>
        </w:rPr>
        <w:t>Solomon Islands needs a healthy, educated workforce with skills in the right areas to address inequality, break cycles of poverty and deliver economic growth.</w:t>
      </w:r>
      <w:r w:rsidRPr="005B4D51">
        <w:t xml:space="preserve">  While significant gains have been made, substantial challenges remain.  Australia is addressing these </w:t>
      </w:r>
      <w:r w:rsidR="00562A14">
        <w:t xml:space="preserve">challenges by supporting </w:t>
      </w:r>
      <w:r w:rsidRPr="005B4D51">
        <w:t>long-term, sustainable and structural change to improve the quality of, and accessibility to, these essential social services.</w:t>
      </w:r>
      <w:r>
        <w:t xml:space="preserve"> </w:t>
      </w:r>
    </w:p>
    <w:p w:rsidR="006D3EBA" w:rsidRDefault="00E36C4C">
      <w:pPr>
        <w:autoSpaceDE w:val="0"/>
        <w:autoSpaceDN w:val="0"/>
        <w:adjustRightInd w:val="0"/>
        <w:spacing w:after="0" w:line="240" w:lineRule="auto"/>
      </w:pPr>
      <w:r w:rsidRPr="00C814D9">
        <w:rPr>
          <w:rFonts w:eastAsia="Times New Roman"/>
          <w:b/>
        </w:rPr>
        <w:t>Australia’s budget and advisory support to the Ministry of Education and Human Resource</w:t>
      </w:r>
      <w:r w:rsidR="009A3BC1">
        <w:rPr>
          <w:rFonts w:eastAsia="Times New Roman"/>
          <w:b/>
        </w:rPr>
        <w:t>s</w:t>
      </w:r>
      <w:r w:rsidRPr="00C814D9">
        <w:rPr>
          <w:rFonts w:eastAsia="Times New Roman"/>
          <w:b/>
        </w:rPr>
        <w:t xml:space="preserve"> Development helped more children to complete a basic education and improve l</w:t>
      </w:r>
      <w:r w:rsidR="00E15107" w:rsidRPr="00C814D9">
        <w:rPr>
          <w:rFonts w:eastAsia="Times New Roman"/>
          <w:b/>
        </w:rPr>
        <w:t>earning outcomes (outcome 3.1) with progress measured against 2020 targets set by the partner government.</w:t>
      </w:r>
      <w:r>
        <w:rPr>
          <w:rFonts w:eastAsia="Times New Roman"/>
        </w:rPr>
        <w:t xml:space="preserve"> </w:t>
      </w:r>
      <w:r w:rsidR="00493E6F">
        <w:rPr>
          <w:rFonts w:eastAsia="Times New Roman"/>
        </w:rPr>
        <w:t xml:space="preserve"> </w:t>
      </w:r>
      <w:r w:rsidR="009A3BC1">
        <w:rPr>
          <w:rFonts w:eastAsia="Times New Roman"/>
        </w:rPr>
        <w:t xml:space="preserve">The 2018 Pacific Islands Literacy and Numeracy Assessment </w:t>
      </w:r>
      <w:r>
        <w:rPr>
          <w:rFonts w:eastAsia="Times New Roman"/>
        </w:rPr>
        <w:t xml:space="preserve">found </w:t>
      </w:r>
      <w:r>
        <w:t xml:space="preserve">Solomon Islands students performed well in </w:t>
      </w:r>
      <w:r w:rsidR="009A3BC1">
        <w:t>numeracy</w:t>
      </w:r>
      <w:r w:rsidR="00EB01FF">
        <w:t>, with 97 per cent of grade four</w:t>
      </w:r>
      <w:r>
        <w:t xml:space="preserve"> and 9</w:t>
      </w:r>
      <w:r w:rsidR="00404EDA">
        <w:t>6</w:t>
      </w:r>
      <w:r w:rsidR="00EB01FF">
        <w:t> per cent of grade six</w:t>
      </w:r>
      <w:r>
        <w:t xml:space="preserve"> students meeting or exceeding </w:t>
      </w:r>
      <w:r w:rsidR="00095E3E">
        <w:t>the expected proficiency level</w:t>
      </w:r>
      <w:r>
        <w:t>.  Literacy remains weaker, wi</w:t>
      </w:r>
      <w:r w:rsidR="00EB01FF">
        <w:t>th 54 per cent of grade four and 70 per cent of grade six</w:t>
      </w:r>
      <w:r>
        <w:t xml:space="preserve"> students meeting or exceeding </w:t>
      </w:r>
      <w:r w:rsidR="00404EDA">
        <w:t xml:space="preserve">the expected proficiency level </w:t>
      </w:r>
      <w:r>
        <w:t xml:space="preserve">in 2018.  </w:t>
      </w:r>
      <w:r w:rsidR="006D3EBA">
        <w:t>In 2018</w:t>
      </w:r>
      <w:r w:rsidR="00E23A63">
        <w:t>,</w:t>
      </w:r>
      <w:r w:rsidR="006D3EBA">
        <w:t xml:space="preserve"> Australia’s support assisted Solomon Islands Government to provide </w:t>
      </w:r>
      <w:r w:rsidR="006D3EBA" w:rsidRPr="009340ED">
        <w:t>professional development for 1,183</w:t>
      </w:r>
      <w:r w:rsidR="00C814D9">
        <w:t> </w:t>
      </w:r>
      <w:r w:rsidR="006D3EBA" w:rsidRPr="009340ED">
        <w:t xml:space="preserve">school teachers and leaders (377 women), </w:t>
      </w:r>
      <w:r w:rsidR="006D3EBA">
        <w:t xml:space="preserve">and </w:t>
      </w:r>
      <w:r w:rsidR="006D3EBA" w:rsidRPr="009340ED">
        <w:t>progress curriculum r</w:t>
      </w:r>
      <w:r w:rsidR="006D3EBA">
        <w:t>eform including completion of 8</w:t>
      </w:r>
      <w:r w:rsidR="00C814D9">
        <w:t> </w:t>
      </w:r>
      <w:r w:rsidR="006D3EBA">
        <w:t>of 10 primary and</w:t>
      </w:r>
      <w:r w:rsidR="006D3EBA" w:rsidRPr="009340ED">
        <w:t xml:space="preserve"> 11</w:t>
      </w:r>
      <w:r w:rsidR="006D3EBA">
        <w:t xml:space="preserve"> of </w:t>
      </w:r>
      <w:r w:rsidR="006D3EBA" w:rsidRPr="009340ED">
        <w:t>12 junior secondary syllabi</w:t>
      </w:r>
      <w:r w:rsidR="006D3EBA">
        <w:t xml:space="preserve">.  </w:t>
      </w:r>
      <w:r w:rsidR="006D635A" w:rsidRPr="00320406">
        <w:t xml:space="preserve"> </w:t>
      </w:r>
      <w:r w:rsidR="006D635A">
        <w:t xml:space="preserve"> </w:t>
      </w:r>
    </w:p>
    <w:p w:rsidR="006D635A" w:rsidRDefault="006D3EBA" w:rsidP="006D635A">
      <w:pPr>
        <w:autoSpaceDE w:val="0"/>
        <w:autoSpaceDN w:val="0"/>
        <w:adjustRightInd w:val="0"/>
        <w:spacing w:after="0" w:line="240" w:lineRule="auto"/>
      </w:pPr>
      <w:r w:rsidRPr="00C814D9">
        <w:rPr>
          <w:b/>
        </w:rPr>
        <w:t>With our support the Solomon Islands Government increasingly managed education resourced efficiently and effectively</w:t>
      </w:r>
      <w:r>
        <w:t xml:space="preserve"> (outcome 3.2).</w:t>
      </w:r>
      <w:r w:rsidR="00493E6F">
        <w:t xml:space="preserve"> </w:t>
      </w:r>
      <w:r>
        <w:t xml:space="preserve"> The percentage of national budg</w:t>
      </w:r>
      <w:r w:rsidR="00C814D9">
        <w:t>et directed to education was 32 per cent</w:t>
      </w:r>
      <w:r>
        <w:t xml:space="preserve"> </w:t>
      </w:r>
      <w:r>
        <w:lastRenderedPageBreak/>
        <w:t>(exceeding our target) and the budget allocated per primary student continued to grow (our target) to $793</w:t>
      </w:r>
      <w:r w:rsidR="00C814D9">
        <w:t> </w:t>
      </w:r>
      <w:r>
        <w:t xml:space="preserve">per pupil. </w:t>
      </w:r>
      <w:r w:rsidR="00694F96">
        <w:t xml:space="preserve"> </w:t>
      </w:r>
      <w:r>
        <w:t>Although the recurrent budget ex</w:t>
      </w:r>
      <w:r w:rsidR="00C814D9">
        <w:t>ecution rate fell in 2018 to 86 per cent</w:t>
      </w:r>
      <w:r>
        <w:t xml:space="preserve"> (</w:t>
      </w:r>
      <w:r w:rsidR="00C814D9">
        <w:t>slightly below our target of 90 per cent)</w:t>
      </w:r>
      <w:r>
        <w:t xml:space="preserve">, it remained one of the highest across government.  </w:t>
      </w:r>
      <w:r w:rsidR="006D635A">
        <w:t>Some areas of the program were found to be functioning less well, including support for public financial management, decentralisation and school grants</w:t>
      </w:r>
      <w:r w:rsidR="006D635A" w:rsidRPr="006D3EBA">
        <w:rPr>
          <w:rStyle w:val="FootnoteReference"/>
        </w:rPr>
        <w:footnoteReference w:id="11"/>
      </w:r>
      <w:r w:rsidR="006D635A" w:rsidRPr="006D3EBA">
        <w:t xml:space="preserve">. </w:t>
      </w:r>
      <w:r w:rsidR="00694F96">
        <w:t xml:space="preserve"> </w:t>
      </w:r>
      <w:r w:rsidR="006D635A" w:rsidRPr="00802AD4">
        <w:t>Twenty per cent of Australia’s support for basic education is provided as performance-based funding against a set of agreed indicators</w:t>
      </w:r>
      <w:r w:rsidR="00694F96">
        <w:t xml:space="preserve">. </w:t>
      </w:r>
      <w:r>
        <w:t xml:space="preserve"> </w:t>
      </w:r>
      <w:r w:rsidR="00694F96">
        <w:t>A</w:t>
      </w:r>
      <w:r w:rsidR="006D635A" w:rsidRPr="006D3EBA">
        <w:t xml:space="preserve">n annual independent assessment </w:t>
      </w:r>
      <w:r w:rsidR="006D635A">
        <w:t>recommended 68 per cent of the performance-based funding be released (64 per cent in 2017)</w:t>
      </w:r>
      <w:r>
        <w:t>, reflecting p</w:t>
      </w:r>
      <w:r w:rsidR="00135803">
        <w:t>r</w:t>
      </w:r>
      <w:r w:rsidR="006D635A">
        <w:t xml:space="preserve">ogress on </w:t>
      </w:r>
      <w:r w:rsidR="006D635A" w:rsidRPr="00B05EA2">
        <w:t>increased teacher certification</w:t>
      </w:r>
      <w:r w:rsidR="00694F96">
        <w:t xml:space="preserve"> and </w:t>
      </w:r>
      <w:r w:rsidR="006D635A" w:rsidRPr="00B05EA2">
        <w:t>clear</w:t>
      </w:r>
      <w:r w:rsidR="00694F96">
        <w:t>ance of</w:t>
      </w:r>
      <w:r w:rsidR="006D635A" w:rsidRPr="00B05EA2">
        <w:t xml:space="preserve"> a back-log of teacher appraisals, work planning and procurement. </w:t>
      </w:r>
      <w:r w:rsidR="006D635A">
        <w:t xml:space="preserve">  </w:t>
      </w:r>
    </w:p>
    <w:p w:rsidR="006D635A" w:rsidRDefault="006D635A" w:rsidP="006D635A">
      <w:pPr>
        <w:autoSpaceDE w:val="0"/>
        <w:autoSpaceDN w:val="0"/>
        <w:adjustRightInd w:val="0"/>
        <w:spacing w:after="0" w:line="240" w:lineRule="auto"/>
      </w:pPr>
      <w:r w:rsidRPr="00C814D9">
        <w:rPr>
          <w:b/>
        </w:rPr>
        <w:t>Building on the review of the basic education program and national performance data, Australia’s</w:t>
      </w:r>
      <w:r w:rsidR="00C814D9">
        <w:rPr>
          <w:b/>
        </w:rPr>
        <w:t xml:space="preserve"> future</w:t>
      </w:r>
      <w:r w:rsidRPr="00C814D9">
        <w:rPr>
          <w:b/>
        </w:rPr>
        <w:t xml:space="preserve"> support for basic education in Solomon Islands is being tailored to strengthen its focus on the school and classroom level.</w:t>
      </w:r>
      <w:r w:rsidRPr="00FA5F7D">
        <w:t xml:space="preserve">  Australia, working in collaboration with New Zealand</w:t>
      </w:r>
      <w:r>
        <w:t>, is developing a new design for the next phase of support in basic education.  The focus of the new program</w:t>
      </w:r>
      <w:r w:rsidRPr="009340ED">
        <w:t xml:space="preserve"> is on teacher quality and professional development as the key element in ensuring quality student learning and school management</w:t>
      </w:r>
      <w:r w:rsidR="00FA5F7D">
        <w:t>.</w:t>
      </w:r>
      <w:r w:rsidRPr="004B6164">
        <w:t xml:space="preserve"> </w:t>
      </w:r>
      <w:r>
        <w:t xml:space="preserve">This third phase of Australia’s longstanding support to education in Solomon Islands is on track to be launched in the second half of 2019.  </w:t>
      </w:r>
    </w:p>
    <w:p w:rsidR="00972228" w:rsidRDefault="00972228" w:rsidP="00972228">
      <w:pPr>
        <w:autoSpaceDE w:val="0"/>
        <w:autoSpaceDN w:val="0"/>
        <w:adjustRightInd w:val="0"/>
        <w:spacing w:after="0" w:line="240" w:lineRule="auto"/>
      </w:pPr>
      <w:r>
        <w:rPr>
          <w:b/>
        </w:rPr>
        <w:t xml:space="preserve">An </w:t>
      </w:r>
      <w:r w:rsidRPr="00314F7F">
        <w:rPr>
          <w:b/>
        </w:rPr>
        <w:t>Australian volunteer is supporting the Ministry of Education an</w:t>
      </w:r>
      <w:r>
        <w:rPr>
          <w:b/>
        </w:rPr>
        <w:t xml:space="preserve">d Human Resources Development </w:t>
      </w:r>
      <w:r w:rsidRPr="00314F7F">
        <w:rPr>
          <w:b/>
        </w:rPr>
        <w:t>to develop a policy on disability-inclusive education</w:t>
      </w:r>
      <w:r>
        <w:rPr>
          <w:b/>
        </w:rPr>
        <w:t xml:space="preserve">.  </w:t>
      </w:r>
      <w:r w:rsidRPr="00314F7F">
        <w:t>This includes</w:t>
      </w:r>
      <w:r>
        <w:t xml:space="preserve"> systems to collect statistics on the number of children with disabilities attending school. </w:t>
      </w:r>
      <w:r w:rsidRPr="00314F7F">
        <w:t xml:space="preserve"> </w:t>
      </w:r>
      <w:r>
        <w:t xml:space="preserve">Australia also </w:t>
      </w:r>
      <w:r w:rsidRPr="00314F7F">
        <w:t>supported a Save the Children Ear</w:t>
      </w:r>
      <w:r>
        <w:t xml:space="preserve">ly Children Education program, </w:t>
      </w:r>
      <w:r w:rsidRPr="00314F7F">
        <w:t>Play to Be School Ready,</w:t>
      </w:r>
      <w:r w:rsidR="00694F96">
        <w:t xml:space="preserve"> which</w:t>
      </w:r>
      <w:r w:rsidRPr="00314F7F">
        <w:t xml:space="preserve"> includes a focus on reaching children with disabilities.</w:t>
      </w:r>
    </w:p>
    <w:p w:rsidR="00FA5F7D" w:rsidRDefault="006D635A" w:rsidP="006D635A">
      <w:r w:rsidRPr="00C814D9">
        <w:rPr>
          <w:b/>
        </w:rPr>
        <w:t>Australia</w:t>
      </w:r>
      <w:r w:rsidR="00FA5F7D" w:rsidRPr="00C814D9">
        <w:rPr>
          <w:b/>
        </w:rPr>
        <w:t>’s longstanding scholarships program continued to produce graduates with the</w:t>
      </w:r>
      <w:r w:rsidRPr="00C814D9">
        <w:rPr>
          <w:b/>
        </w:rPr>
        <w:t xml:space="preserve"> </w:t>
      </w:r>
      <w:r w:rsidR="00FA5F7D" w:rsidRPr="00C814D9">
        <w:rPr>
          <w:b/>
        </w:rPr>
        <w:t>skills and knowledge needed to increase national productivity and competitiveness</w:t>
      </w:r>
      <w:r w:rsidR="00FA5F7D" w:rsidRPr="00802AD4">
        <w:t xml:space="preserve"> (outcome 3.3</w:t>
      </w:r>
      <w:r w:rsidR="00FA5F7D">
        <w:t>)</w:t>
      </w:r>
      <w:r w:rsidRPr="00802AD4">
        <w:t>.</w:t>
      </w:r>
      <w:r w:rsidR="00694F96">
        <w:t xml:space="preserve"> </w:t>
      </w:r>
      <w:r w:rsidRPr="00802AD4">
        <w:t xml:space="preserve"> </w:t>
      </w:r>
      <w:r w:rsidRPr="00FA5F7D">
        <w:t>In</w:t>
      </w:r>
      <w:r w:rsidRPr="0090068B">
        <w:t xml:space="preserve"> 2018</w:t>
      </w:r>
      <w:r w:rsidR="00FA5F7D">
        <w:t>,</w:t>
      </w:r>
      <w:r w:rsidRPr="0090068B">
        <w:t xml:space="preserve"> </w:t>
      </w:r>
      <w:r w:rsidR="0085039A">
        <w:t>Australia</w:t>
      </w:r>
      <w:r w:rsidR="0085039A" w:rsidRPr="0090068B">
        <w:t xml:space="preserve"> </w:t>
      </w:r>
      <w:r w:rsidRPr="0090068B">
        <w:t>awarded 38</w:t>
      </w:r>
      <w:r w:rsidR="007C06E3">
        <w:t> </w:t>
      </w:r>
      <w:r w:rsidRPr="0090068B">
        <w:t>new scholarships</w:t>
      </w:r>
      <w:r w:rsidR="00355C15">
        <w:t xml:space="preserve"> (19 females)</w:t>
      </w:r>
      <w:r w:rsidRPr="0090068B">
        <w:t xml:space="preserve"> to students to study at universities in Australia or the Pacific, adding to the more</w:t>
      </w:r>
      <w:r>
        <w:t xml:space="preserve"> than 100 ongoing scholarships. </w:t>
      </w:r>
      <w:r w:rsidR="00694F96">
        <w:t xml:space="preserve"> </w:t>
      </w:r>
      <w:r w:rsidR="00FA5F7D">
        <w:t>The proportion of Australian Award recipients who complete their studie</w:t>
      </w:r>
      <w:r w:rsidR="00C814D9">
        <w:t xml:space="preserve">s exceeded expectations with </w:t>
      </w:r>
      <w:r w:rsidR="00694F96">
        <w:t xml:space="preserve">a </w:t>
      </w:r>
      <w:r w:rsidR="00C814D9">
        <w:t>93 per cent</w:t>
      </w:r>
      <w:r w:rsidR="00FA5F7D">
        <w:t xml:space="preserve"> completion rate in 2018.</w:t>
      </w:r>
    </w:p>
    <w:p w:rsidR="006D635A" w:rsidRPr="00B829C9" w:rsidRDefault="006D635A" w:rsidP="006D635A">
      <w:r w:rsidRPr="00C814D9">
        <w:rPr>
          <w:b/>
        </w:rPr>
        <w:t xml:space="preserve">The performance of Australia’s investment in the health sector </w:t>
      </w:r>
      <w:r w:rsidR="00135803" w:rsidRPr="00C814D9">
        <w:rPr>
          <w:b/>
        </w:rPr>
        <w:t xml:space="preserve">met </w:t>
      </w:r>
      <w:r w:rsidRPr="00C814D9">
        <w:rPr>
          <w:b/>
        </w:rPr>
        <w:t xml:space="preserve">expectations, although </w:t>
      </w:r>
      <w:r w:rsidR="00135803" w:rsidRPr="00C814D9">
        <w:rPr>
          <w:b/>
        </w:rPr>
        <w:t xml:space="preserve">a </w:t>
      </w:r>
      <w:r w:rsidRPr="00C814D9">
        <w:rPr>
          <w:b/>
        </w:rPr>
        <w:t>significant drug shortages highlighted the fragility of the system.</w:t>
      </w:r>
      <w:r w:rsidR="0085039A">
        <w:rPr>
          <w:b/>
        </w:rPr>
        <w:t xml:space="preserve">  </w:t>
      </w:r>
      <w:r w:rsidR="00FA5F7D">
        <w:t xml:space="preserve">Health delivery in targeted areas </w:t>
      </w:r>
      <w:r w:rsidR="00135803">
        <w:t>progressed</w:t>
      </w:r>
      <w:r w:rsidR="00FA5F7D">
        <w:t xml:space="preserve"> across most measures (outcome 3.4)</w:t>
      </w:r>
      <w:r w:rsidR="00B3666E">
        <w:t>.  T</w:t>
      </w:r>
      <w:r w:rsidR="00FA5F7D">
        <w:t xml:space="preserve">he percentage of </w:t>
      </w:r>
      <w:r w:rsidR="00B3666E">
        <w:t xml:space="preserve">the </w:t>
      </w:r>
      <w:r w:rsidR="00FA5F7D">
        <w:t xml:space="preserve">national budget directed to health </w:t>
      </w:r>
      <w:r w:rsidR="00135803">
        <w:t>(13.5</w:t>
      </w:r>
      <w:r w:rsidR="00C814D9">
        <w:t xml:space="preserve"> per cent</w:t>
      </w:r>
      <w:r w:rsidR="00135803">
        <w:t xml:space="preserve">) and </w:t>
      </w:r>
      <w:r w:rsidR="00B3666E">
        <w:t xml:space="preserve">the </w:t>
      </w:r>
      <w:r w:rsidR="00135803">
        <w:t>proportion directed to provincial health services</w:t>
      </w:r>
      <w:r w:rsidR="0085039A">
        <w:t xml:space="preserve"> (38 per cent)</w:t>
      </w:r>
      <w:r w:rsidR="00135803">
        <w:t xml:space="preserve"> </w:t>
      </w:r>
      <w:r w:rsidR="00B3666E">
        <w:t xml:space="preserve">were </w:t>
      </w:r>
      <w:r w:rsidR="00135803">
        <w:t xml:space="preserve">both above </w:t>
      </w:r>
      <w:r w:rsidR="00B3666E">
        <w:t>targeted levels in 2018</w:t>
      </w:r>
      <w:r w:rsidR="00135803">
        <w:t>.</w:t>
      </w:r>
      <w:r w:rsidR="00B3666E">
        <w:t xml:space="preserve">  </w:t>
      </w:r>
      <w:r w:rsidR="00694F96">
        <w:t xml:space="preserve">As in education, </w:t>
      </w:r>
      <w:r w:rsidR="00453BBA">
        <w:t>20</w:t>
      </w:r>
      <w:r w:rsidR="00694F96">
        <w:t xml:space="preserve"> per cent of </w:t>
      </w:r>
      <w:r w:rsidR="00694F96" w:rsidRPr="00802AD4">
        <w:t xml:space="preserve">Australia’s support for </w:t>
      </w:r>
      <w:r w:rsidR="00694F96">
        <w:t xml:space="preserve">health </w:t>
      </w:r>
      <w:r w:rsidR="00694F96" w:rsidRPr="00802AD4">
        <w:t>is provided as performance-based funding against a set of agreed indicators</w:t>
      </w:r>
      <w:r w:rsidR="00694F96">
        <w:t xml:space="preserve">. </w:t>
      </w:r>
      <w:r w:rsidR="00FA5F7D">
        <w:t>A</w:t>
      </w:r>
      <w:r w:rsidR="00FA5F7D" w:rsidRPr="009340ED">
        <w:t>n</w:t>
      </w:r>
      <w:r w:rsidR="00694F96">
        <w:t> </w:t>
      </w:r>
      <w:r w:rsidR="00FA5F7D" w:rsidRPr="009340ED">
        <w:t xml:space="preserve">independent assessment </w:t>
      </w:r>
      <w:r w:rsidR="0085039A">
        <w:t>recommended the payment of</w:t>
      </w:r>
      <w:r w:rsidR="00B3666E" w:rsidRPr="00C814D9">
        <w:t xml:space="preserve"> </w:t>
      </w:r>
      <w:r w:rsidR="00FA5F7D" w:rsidRPr="00C814D9">
        <w:t xml:space="preserve">64 </w:t>
      </w:r>
      <w:r w:rsidR="00FA5F7D">
        <w:t xml:space="preserve">per cent of </w:t>
      </w:r>
      <w:r w:rsidR="00B3666E">
        <w:t xml:space="preserve">the allocated </w:t>
      </w:r>
      <w:r w:rsidR="00FA5F7D">
        <w:t>performance-based funding (65 per cent in 2017)</w:t>
      </w:r>
      <w:r w:rsidR="00FA5F7D">
        <w:rPr>
          <w:rStyle w:val="FootnoteReference"/>
        </w:rPr>
        <w:footnoteReference w:id="12"/>
      </w:r>
      <w:r w:rsidR="00135803">
        <w:t>.</w:t>
      </w:r>
      <w:r w:rsidR="00694F96">
        <w:t xml:space="preserve"> </w:t>
      </w:r>
      <w:r w:rsidR="00135803">
        <w:t xml:space="preserve"> </w:t>
      </w:r>
      <w:r w:rsidR="00FA5F7D">
        <w:t xml:space="preserve">Significant improvements include </w:t>
      </w:r>
      <w:r w:rsidR="00FA5F7D" w:rsidRPr="00B829C9">
        <w:t xml:space="preserve">progressing </w:t>
      </w:r>
      <w:r w:rsidR="00FA5F7D">
        <w:t xml:space="preserve">an </w:t>
      </w:r>
      <w:r w:rsidR="00FA5F7D" w:rsidRPr="00B829C9">
        <w:t>organisational restructure, improved asset management and risk management procedures, and improved production and dissemination of financial reporting.</w:t>
      </w:r>
      <w:r w:rsidR="00FA5F7D">
        <w:t xml:space="preserve">  Indicators o</w:t>
      </w:r>
      <w:r w:rsidR="00FA5F7D" w:rsidRPr="00B829C9">
        <w:t>n child immun</w:t>
      </w:r>
      <w:r w:rsidR="00FA5F7D">
        <w:t xml:space="preserve">isation and contraception rates </w:t>
      </w:r>
      <w:r w:rsidR="00FA5F7D" w:rsidRPr="00B829C9">
        <w:t>improved slightly over the previous year, while skilled birth attendance rates remained stable.</w:t>
      </w:r>
      <w:r w:rsidR="0085039A">
        <w:t xml:space="preserve">  A</w:t>
      </w:r>
      <w:r>
        <w:t xml:space="preserve"> </w:t>
      </w:r>
      <w:r w:rsidRPr="00B829C9">
        <w:t>major dru</w:t>
      </w:r>
      <w:r>
        <w:t xml:space="preserve">g shortage experienced in 2018 </w:t>
      </w:r>
      <w:r w:rsidRPr="00B829C9">
        <w:t xml:space="preserve">significantly impacted on the availability of essential medicines at the </w:t>
      </w:r>
      <w:r>
        <w:t>National Medical Stores</w:t>
      </w:r>
      <w:r w:rsidRPr="00B829C9">
        <w:t xml:space="preserve"> and </w:t>
      </w:r>
      <w:r>
        <w:t>at</w:t>
      </w:r>
      <w:r w:rsidRPr="00B829C9">
        <w:t xml:space="preserve"> frontline health fa</w:t>
      </w:r>
      <w:r>
        <w:t>cilities</w:t>
      </w:r>
      <w:r w:rsidRPr="00AE4E39">
        <w:t>.</w:t>
      </w:r>
      <w:r w:rsidR="00AE4E39" w:rsidRPr="00AE4E39">
        <w:t xml:space="preserve">  </w:t>
      </w:r>
      <w:r w:rsidR="00AE4E39" w:rsidRPr="00A3529F">
        <w:t>The average availability across all provinces was just over half of the essential medical supplies they required in 2018 – consequently the relevant performance benchmark was not achieved. </w:t>
      </w:r>
      <w:r w:rsidR="00AE4E39">
        <w:t xml:space="preserve"> </w:t>
      </w:r>
      <w:r>
        <w:t>Australia provided technical assistance to support the emergency procurement of medical supplies to minimise the impact of the shortage</w:t>
      </w:r>
      <w:r w:rsidR="0085039A">
        <w:t xml:space="preserve">, and is supporting </w:t>
      </w:r>
      <w:r w:rsidR="00B3666E">
        <w:t xml:space="preserve">the Ministry </w:t>
      </w:r>
      <w:r w:rsidR="0085039A">
        <w:t xml:space="preserve">of Health </w:t>
      </w:r>
      <w:r w:rsidR="00B3666E">
        <w:t>to produce and table regular drug stock reports at Executive meetings to avoid recurrence of the drug shortage.</w:t>
      </w:r>
      <w:r w:rsidR="0085039A">
        <w:t xml:space="preserve">  This incident</w:t>
      </w:r>
      <w:r w:rsidR="00B3666E">
        <w:t xml:space="preserve"> highlighted </w:t>
      </w:r>
      <w:r w:rsidR="0085039A">
        <w:t xml:space="preserve">the fragility of Solomon Islands health systems. </w:t>
      </w:r>
    </w:p>
    <w:p w:rsidR="00545E5D" w:rsidRDefault="007B3F51" w:rsidP="001059AF">
      <w:pPr>
        <w:rPr>
          <w:rFonts w:asciiTheme="majorHAnsi" w:eastAsiaTheme="majorEastAsia" w:hAnsiTheme="majorHAnsi" w:cstheme="majorBidi"/>
          <w:caps/>
          <w:sz w:val="38"/>
          <w:szCs w:val="38"/>
        </w:rPr>
      </w:pPr>
      <w:r w:rsidRPr="00C814D9">
        <w:rPr>
          <w:b/>
        </w:rPr>
        <w:t xml:space="preserve">Our budget support continued to help </w:t>
      </w:r>
      <w:r w:rsidR="0085039A">
        <w:rPr>
          <w:b/>
        </w:rPr>
        <w:t>strengthen</w:t>
      </w:r>
      <w:r w:rsidR="0085039A" w:rsidRPr="00C814D9">
        <w:rPr>
          <w:b/>
        </w:rPr>
        <w:t xml:space="preserve"> </w:t>
      </w:r>
      <w:r w:rsidRPr="00C814D9">
        <w:rPr>
          <w:b/>
        </w:rPr>
        <w:t>the Ministry of Health’s ability to deliver health services</w:t>
      </w:r>
      <w:r w:rsidRPr="00802AD4">
        <w:t xml:space="preserve"> (outcome 3.5).</w:t>
      </w:r>
      <w:r w:rsidR="00694F96">
        <w:t xml:space="preserve"> </w:t>
      </w:r>
      <w:r>
        <w:rPr>
          <w:b/>
        </w:rPr>
        <w:t xml:space="preserve"> </w:t>
      </w:r>
      <w:r w:rsidR="006D635A" w:rsidRPr="00B829C9">
        <w:t>Australia’s budget support program funded 45 nurses to complete a Diploma of Nursing at Solomon Islands National University, including specialist training in acute care, primary health care, midwifery and child h</w:t>
      </w:r>
      <w:r w:rsidR="006D635A">
        <w:t xml:space="preserve">ealth. </w:t>
      </w:r>
      <w:r w:rsidR="00694F96">
        <w:t xml:space="preserve"> </w:t>
      </w:r>
      <w:r w:rsidR="006D635A">
        <w:t>Work commenced on construction of the birthing and urban health centre in East Honiara just outside the reporting period</w:t>
      </w:r>
      <w:r w:rsidR="00694F96">
        <w:t xml:space="preserve"> (</w:t>
      </w:r>
      <w:r w:rsidR="006D635A">
        <w:t>July 2019</w:t>
      </w:r>
      <w:r w:rsidR="00694F96">
        <w:t>)</w:t>
      </w:r>
      <w:r w:rsidR="006D635A">
        <w:t xml:space="preserve">.  </w:t>
      </w:r>
      <w:r w:rsidR="006D635A" w:rsidRPr="00B829C9">
        <w:t xml:space="preserve">This centre is intended to relieve the burden on the overcrowded National Referral Hospital by providing high quality services for up to 1,500 low risk births </w:t>
      </w:r>
      <w:r w:rsidR="006D635A" w:rsidRPr="00B829C9">
        <w:lastRenderedPageBreak/>
        <w:t xml:space="preserve">each year, along with </w:t>
      </w:r>
      <w:r w:rsidR="006D635A" w:rsidRPr="00CE18B8">
        <w:t xml:space="preserve">pre- and post-natal care and other primary health care services. </w:t>
      </w:r>
      <w:r w:rsidR="00694F96">
        <w:t xml:space="preserve"> </w:t>
      </w:r>
      <w:r w:rsidR="00CE18B8" w:rsidRPr="00CE18B8">
        <w:t xml:space="preserve">The Ministry </w:t>
      </w:r>
      <w:r w:rsidR="006D635A" w:rsidRPr="00802AD4">
        <w:t>commenced implementatio</w:t>
      </w:r>
      <w:r w:rsidR="00CE18B8">
        <w:t>n</w:t>
      </w:r>
      <w:r w:rsidR="006D635A" w:rsidRPr="00802AD4">
        <w:t xml:space="preserve"> of the Role Delineation Policy</w:t>
      </w:r>
      <w:r w:rsidR="00C814D9">
        <w:t xml:space="preserve"> (in line with </w:t>
      </w:r>
      <w:r w:rsidR="00CE18B8">
        <w:t>our expectations)</w:t>
      </w:r>
      <w:r w:rsidR="006D635A" w:rsidRPr="00802AD4">
        <w:t xml:space="preserve">, </w:t>
      </w:r>
      <w:r w:rsidR="00CE18B8">
        <w:t xml:space="preserve">which </w:t>
      </w:r>
      <w:r w:rsidR="006D635A" w:rsidRPr="00802AD4">
        <w:t>inform</w:t>
      </w:r>
      <w:r w:rsidR="00CE18B8">
        <w:t>ed</w:t>
      </w:r>
      <w:r w:rsidR="006D635A" w:rsidRPr="00802AD4">
        <w:t xml:space="preserve"> the prioritisation of investment in infrastructure, equipment and human resources to achieve universal health coverage in Solomon Islands</w:t>
      </w:r>
      <w:r w:rsidR="00CE18B8">
        <w:t>.</w:t>
      </w:r>
      <w:r w:rsidR="00694F96">
        <w:t xml:space="preserve"> </w:t>
      </w:r>
      <w:r w:rsidR="007C06E3" w:rsidRPr="007C06E3">
        <w:t xml:space="preserve"> </w:t>
      </w:r>
      <w:r w:rsidR="007C06E3" w:rsidRPr="00802AD4">
        <w:t xml:space="preserve">The </w:t>
      </w:r>
      <w:r w:rsidR="007C06E3" w:rsidRPr="007B3F51">
        <w:t>Australian</w:t>
      </w:r>
      <w:r w:rsidR="007C06E3" w:rsidRPr="00B829C9">
        <w:t xml:space="preserve"> Volunteer program</w:t>
      </w:r>
      <w:r w:rsidR="007C06E3">
        <w:t xml:space="preserve"> continued to improve staffing capacity through supervision of </w:t>
      </w:r>
      <w:r w:rsidR="007C06E3" w:rsidRPr="00B829C9">
        <w:t>21 interns</w:t>
      </w:r>
      <w:r w:rsidR="007C06E3">
        <w:t xml:space="preserve"> in 2018</w:t>
      </w:r>
      <w:r w:rsidR="00694F96">
        <w:t xml:space="preserve">.  Since the volunteer assistance began in 2016, </w:t>
      </w:r>
      <w:r w:rsidR="007C06E3" w:rsidRPr="00B829C9">
        <w:t xml:space="preserve">48 </w:t>
      </w:r>
      <w:r w:rsidR="007C06E3">
        <w:t xml:space="preserve">interns </w:t>
      </w:r>
      <w:r w:rsidR="00694F96">
        <w:t xml:space="preserve">have graduated, resulting in a </w:t>
      </w:r>
      <w:r w:rsidR="007C06E3" w:rsidRPr="00B829C9">
        <w:t>three-fold increase in doctors in the provinces.</w:t>
      </w:r>
      <w:r w:rsidR="007C06E3">
        <w:t xml:space="preserve"> </w:t>
      </w:r>
      <w:r w:rsidR="007C06E3" w:rsidRPr="00B829C9">
        <w:t xml:space="preserve"> </w:t>
      </w:r>
    </w:p>
    <w:p w:rsidR="00D47F2F" w:rsidRPr="00FA294B" w:rsidRDefault="00D47F2F" w:rsidP="00D47F2F">
      <w:pPr>
        <w:pStyle w:val="Heading2"/>
        <w:spacing w:before="360" w:line="300" w:lineRule="exact"/>
        <w:rPr>
          <w:szCs w:val="38"/>
        </w:rPr>
      </w:pPr>
      <w:r w:rsidRPr="00FA294B">
        <w:rPr>
          <w:szCs w:val="38"/>
        </w:rPr>
        <w:t>GENDER Equality</w:t>
      </w:r>
    </w:p>
    <w:p w:rsidR="006D635A" w:rsidRPr="00482553" w:rsidRDefault="00182E93" w:rsidP="006D635A">
      <w:pPr>
        <w:rPr>
          <w:b/>
        </w:rPr>
      </w:pPr>
      <w:r>
        <w:rPr>
          <w:b/>
        </w:rPr>
        <w:t>In line with the Foreign Policy White Paper, p</w:t>
      </w:r>
      <w:r w:rsidR="004B400B">
        <w:rPr>
          <w:b/>
        </w:rPr>
        <w:t>rogressing g</w:t>
      </w:r>
      <w:r w:rsidR="005610C9">
        <w:rPr>
          <w:b/>
        </w:rPr>
        <w:t xml:space="preserve">ender equality </w:t>
      </w:r>
      <w:r w:rsidR="004B400B">
        <w:rPr>
          <w:b/>
        </w:rPr>
        <w:t xml:space="preserve">is a core focus </w:t>
      </w:r>
      <w:r w:rsidR="00E23A63">
        <w:rPr>
          <w:b/>
        </w:rPr>
        <w:t>of</w:t>
      </w:r>
      <w:r w:rsidR="004B400B">
        <w:rPr>
          <w:b/>
        </w:rPr>
        <w:t xml:space="preserve"> our work in Solomon Islands</w:t>
      </w:r>
      <w:r w:rsidR="008847DA">
        <w:rPr>
          <w:b/>
        </w:rPr>
        <w:t>, however sustained behaviour change will be a long-term pursuit</w:t>
      </w:r>
      <w:r w:rsidR="006D635A" w:rsidRPr="006D4668">
        <w:rPr>
          <w:b/>
        </w:rPr>
        <w:t>.</w:t>
      </w:r>
      <w:r w:rsidR="008847DA">
        <w:t xml:space="preserve">  </w:t>
      </w:r>
      <w:r w:rsidR="006D635A">
        <w:t xml:space="preserve">In a complex environment, Australia drove forward flagship activities through Pacific Women Shaping Pacific </w:t>
      </w:r>
      <w:r w:rsidR="006D635A" w:rsidRPr="00C814D9">
        <w:t xml:space="preserve">Development, and sought opportunities for advocacy with stakeholders on gender equality.  In </w:t>
      </w:r>
      <w:r w:rsidR="00213A8D" w:rsidRPr="00C814D9">
        <w:t xml:space="preserve">November </w:t>
      </w:r>
      <w:r w:rsidR="006D635A" w:rsidRPr="00C814D9">
        <w:t>2018, then</w:t>
      </w:r>
      <w:r w:rsidR="002036FF">
        <w:t>-</w:t>
      </w:r>
      <w:r w:rsidR="006D635A" w:rsidRPr="00482553">
        <w:t>Prime Minister</w:t>
      </w:r>
      <w:r w:rsidR="006D635A">
        <w:t xml:space="preserve"> of Solomon Islands,</w:t>
      </w:r>
      <w:r w:rsidR="006D635A" w:rsidRPr="00482553">
        <w:t xml:space="preserve"> </w:t>
      </w:r>
      <w:r w:rsidR="006D635A">
        <w:t xml:space="preserve">Rick </w:t>
      </w:r>
      <w:r w:rsidR="006D635A" w:rsidRPr="00482553">
        <w:t>Hou</w:t>
      </w:r>
      <w:r w:rsidR="006D635A">
        <w:t>enipwela,</w:t>
      </w:r>
      <w:r w:rsidR="006D635A" w:rsidRPr="00482553">
        <w:t xml:space="preserve"> and the Australian High Commissioner spoke together on national radio about the importance of ending violence against women, the first time many Solomon Islanders ha</w:t>
      </w:r>
      <w:r w:rsidR="00E23A63">
        <w:t>d</w:t>
      </w:r>
      <w:r w:rsidR="006D635A" w:rsidRPr="00482553">
        <w:t xml:space="preserve"> heard a Prime Minister openly denounce violence against women and its supporting culture.</w:t>
      </w:r>
    </w:p>
    <w:p w:rsidR="006D635A" w:rsidRDefault="006D635A" w:rsidP="006D635A">
      <w:r>
        <w:rPr>
          <w:b/>
          <w:bCs/>
        </w:rPr>
        <w:t xml:space="preserve">Australia’s support for women’s leadership and decision making included a focus on </w:t>
      </w:r>
      <w:r w:rsidR="00694F96">
        <w:rPr>
          <w:b/>
          <w:bCs/>
        </w:rPr>
        <w:t xml:space="preserve">the </w:t>
      </w:r>
      <w:r>
        <w:rPr>
          <w:b/>
          <w:bCs/>
        </w:rPr>
        <w:t xml:space="preserve">Solomon Islands’ 2019 </w:t>
      </w:r>
      <w:r w:rsidR="00694F96">
        <w:rPr>
          <w:b/>
          <w:bCs/>
        </w:rPr>
        <w:t>National General Election</w:t>
      </w:r>
      <w:r>
        <w:rPr>
          <w:b/>
          <w:bCs/>
        </w:rPr>
        <w:t xml:space="preserve">. </w:t>
      </w:r>
      <w:r w:rsidR="00694F96">
        <w:rPr>
          <w:b/>
          <w:bCs/>
        </w:rPr>
        <w:t xml:space="preserve"> </w:t>
      </w:r>
      <w:r w:rsidRPr="00E36103">
        <w:t xml:space="preserve">Australia </w:t>
      </w:r>
      <w:r>
        <w:t>trained</w:t>
      </w:r>
      <w:r w:rsidRPr="00E36103">
        <w:t xml:space="preserve"> </w:t>
      </w:r>
      <w:r w:rsidR="00C814D9">
        <w:t>60</w:t>
      </w:r>
      <w:r w:rsidRPr="00E36103">
        <w:t xml:space="preserve"> potential female national candidates leading up t</w:t>
      </w:r>
      <w:r>
        <w:t xml:space="preserve">o the </w:t>
      </w:r>
      <w:r w:rsidR="00694F96">
        <w:t>National General Election</w:t>
      </w:r>
      <w:r w:rsidRPr="00E36103">
        <w:t>. Training was also provided f</w:t>
      </w:r>
      <w:r>
        <w:t>or provincial women candidates.</w:t>
      </w:r>
      <w:r w:rsidR="00CE2599">
        <w:t xml:space="preserve"> </w:t>
      </w:r>
      <w:r>
        <w:t xml:space="preserve"> The </w:t>
      </w:r>
      <w:r w:rsidR="000F7E27">
        <w:t xml:space="preserve">APTC </w:t>
      </w:r>
      <w:r>
        <w:t xml:space="preserve">conducted training in Team Leadership skills to over fifty women.  A survey and tracer study after two months demonstrated that the training had an immediate positive impact on their careers. </w:t>
      </w:r>
    </w:p>
    <w:p w:rsidR="00CE2599" w:rsidRDefault="005610C9" w:rsidP="004A5C0A">
      <w:r>
        <w:rPr>
          <w:b/>
        </w:rPr>
        <w:t>Australia is supporting the Solomon Islands Government to strengthen response services to</w:t>
      </w:r>
      <w:r w:rsidR="00277593" w:rsidRPr="00A3529F">
        <w:rPr>
          <w:b/>
        </w:rPr>
        <w:t xml:space="preserve"> rural and remo</w:t>
      </w:r>
      <w:r w:rsidR="00182E93">
        <w:rPr>
          <w:b/>
        </w:rPr>
        <w:t>t</w:t>
      </w:r>
      <w:r w:rsidR="00277593" w:rsidRPr="00A3529F">
        <w:rPr>
          <w:b/>
        </w:rPr>
        <w:t>e survivors of violence.</w:t>
      </w:r>
      <w:r w:rsidR="00277593">
        <w:t xml:space="preserve">  </w:t>
      </w:r>
      <w:r>
        <w:t>R</w:t>
      </w:r>
      <w:r w:rsidR="00277593">
        <w:t>u</w:t>
      </w:r>
      <w:r w:rsidR="004A5C0A" w:rsidRPr="00A3529F">
        <w:t>ral and remote female survivors of violence will soon have access to SAFENET and qualified domestic violence counsellors</w:t>
      </w:r>
      <w:r w:rsidR="004A5C0A" w:rsidRPr="00277593">
        <w:rPr>
          <w:b/>
        </w:rPr>
        <w:t>.</w:t>
      </w:r>
      <w:r w:rsidR="004A5C0A">
        <w:rPr>
          <w:b/>
        </w:rPr>
        <w:t xml:space="preserve"> </w:t>
      </w:r>
      <w:r>
        <w:rPr>
          <w:b/>
        </w:rPr>
        <w:t xml:space="preserve"> </w:t>
      </w:r>
      <w:r w:rsidR="004A5C0A">
        <w:t xml:space="preserve">Australia’s </w:t>
      </w:r>
      <w:r>
        <w:t xml:space="preserve">support to </w:t>
      </w:r>
      <w:r w:rsidR="004A5C0A">
        <w:t xml:space="preserve">UN Women, enabled </w:t>
      </w:r>
      <w:r w:rsidR="00EC77F9">
        <w:t xml:space="preserve">the </w:t>
      </w:r>
      <w:r w:rsidR="00EC77F9" w:rsidRPr="00C814D9">
        <w:rPr>
          <w:rFonts w:eastAsia="Times New Roman"/>
        </w:rPr>
        <w:t>Ministry of Women</w:t>
      </w:r>
      <w:r w:rsidR="00EC77F9">
        <w:rPr>
          <w:rFonts w:eastAsia="Times New Roman"/>
        </w:rPr>
        <w:t>, Youth, Children and Family Affairs</w:t>
      </w:r>
      <w:r w:rsidR="00EC77F9">
        <w:t xml:space="preserve"> </w:t>
      </w:r>
      <w:r w:rsidR="004A5C0A">
        <w:t xml:space="preserve">to scope available services and informal referral networks across all nine provinces in 2018-19. </w:t>
      </w:r>
      <w:r w:rsidR="008847DA">
        <w:t xml:space="preserve"> </w:t>
      </w:r>
      <w:r w:rsidR="004A5C0A">
        <w:t xml:space="preserve">Australia will support </w:t>
      </w:r>
      <w:r w:rsidR="00EC77F9">
        <w:t xml:space="preserve">the ministry </w:t>
      </w:r>
      <w:r w:rsidR="004A5C0A">
        <w:t>to roll</w:t>
      </w:r>
      <w:r w:rsidR="00E23A63">
        <w:t xml:space="preserve"> </w:t>
      </w:r>
      <w:r w:rsidR="004A5C0A">
        <w:t xml:space="preserve">out a </w:t>
      </w:r>
      <w:r w:rsidR="00DB3D63">
        <w:t xml:space="preserve">SAFENET </w:t>
      </w:r>
      <w:r w:rsidR="004A5C0A">
        <w:t xml:space="preserve">referral network to </w:t>
      </w:r>
      <w:r w:rsidR="007C06E3">
        <w:t>four</w:t>
      </w:r>
      <w:r w:rsidR="004A5C0A">
        <w:t xml:space="preserve"> </w:t>
      </w:r>
      <w:r w:rsidR="00EC77F9">
        <w:t>p</w:t>
      </w:r>
      <w:r w:rsidR="004A5C0A">
        <w:t>rovinces in 2019-20.</w:t>
      </w:r>
      <w:r w:rsidR="00EC77F9">
        <w:t xml:space="preserve">  </w:t>
      </w:r>
      <w:r w:rsidR="004A5C0A">
        <w:t>The project is on target to finalise Solomon Islands</w:t>
      </w:r>
      <w:r w:rsidR="00EC77F9">
        <w:t>’</w:t>
      </w:r>
      <w:r w:rsidR="004A5C0A">
        <w:t xml:space="preserve"> first National Domestic Violence Counselling Framework and practice standards by the end of 2019-20. </w:t>
      </w:r>
      <w:r w:rsidR="00EC77F9">
        <w:t xml:space="preserve"> </w:t>
      </w:r>
      <w:r w:rsidR="00182E93">
        <w:t xml:space="preserve">As noted earlier, our support helps justice agencies to implement the </w:t>
      </w:r>
      <w:r w:rsidR="00EC77F9">
        <w:t>Family Protection Act</w:t>
      </w:r>
      <w:r w:rsidR="00182E93">
        <w:t xml:space="preserve">. </w:t>
      </w:r>
    </w:p>
    <w:p w:rsidR="006D635A" w:rsidRDefault="006D635A" w:rsidP="006D635A">
      <w:r w:rsidRPr="002777F5">
        <w:rPr>
          <w:b/>
        </w:rPr>
        <w:t xml:space="preserve">Efforts to support women’s economic empowerment </w:t>
      </w:r>
      <w:r>
        <w:rPr>
          <w:b/>
        </w:rPr>
        <w:t>progressed well</w:t>
      </w:r>
      <w:r w:rsidRPr="002777F5">
        <w:rPr>
          <w:b/>
        </w:rPr>
        <w:t xml:space="preserve"> in 2018-19</w:t>
      </w:r>
      <w:r>
        <w:t xml:space="preserve">. </w:t>
      </w:r>
      <w:r w:rsidR="00EC77F9">
        <w:t xml:space="preserve"> </w:t>
      </w:r>
      <w:r w:rsidR="00C814D9" w:rsidRPr="003F2BC0">
        <w:t xml:space="preserve">Australia assisted </w:t>
      </w:r>
      <w:r w:rsidR="00EC77F9">
        <w:t xml:space="preserve">the </w:t>
      </w:r>
      <w:r w:rsidR="00EC77F9" w:rsidRPr="00C814D9">
        <w:rPr>
          <w:rFonts w:eastAsia="Times New Roman"/>
        </w:rPr>
        <w:t>Ministry of Women</w:t>
      </w:r>
      <w:r w:rsidR="00EC77F9">
        <w:rPr>
          <w:rFonts w:eastAsia="Times New Roman"/>
        </w:rPr>
        <w:t>, Youth, Children and Family Affairs</w:t>
      </w:r>
      <w:r w:rsidR="00EC77F9">
        <w:t xml:space="preserve"> </w:t>
      </w:r>
      <w:r w:rsidR="00C814D9" w:rsidRPr="003F2BC0">
        <w:t>to meet their national target of establishing 115</w:t>
      </w:r>
      <w:r w:rsidR="00EC77F9">
        <w:t> </w:t>
      </w:r>
      <w:r w:rsidR="00C814D9" w:rsidRPr="003F2BC0">
        <w:t>women</w:t>
      </w:r>
      <w:r w:rsidR="00E23A63">
        <w:t>’s</w:t>
      </w:r>
      <w:r w:rsidR="00C814D9" w:rsidRPr="003F2BC0">
        <w:t xml:space="preserve"> saving</w:t>
      </w:r>
      <w:r w:rsidR="00E23A63">
        <w:t>s</w:t>
      </w:r>
      <w:r w:rsidR="00C814D9" w:rsidRPr="003F2BC0">
        <w:t xml:space="preserve"> clubs in eight provinces. </w:t>
      </w:r>
      <w:r w:rsidR="00EC77F9">
        <w:t xml:space="preserve"> </w:t>
      </w:r>
      <w:r w:rsidR="00C814D9" w:rsidRPr="003F2BC0">
        <w:t xml:space="preserve">The training equipped rural women and girls with the knowledge and skills to establish savings clubs, including how to record and manage savings, so to save money to meet their family and community needs. </w:t>
      </w:r>
    </w:p>
    <w:p w:rsidR="006D635A" w:rsidRPr="00A3529F" w:rsidRDefault="008847DA" w:rsidP="006D635A">
      <w:pPr>
        <w:rPr>
          <w:b/>
        </w:rPr>
      </w:pPr>
      <w:r w:rsidRPr="00D770A4">
        <w:rPr>
          <w:b/>
        </w:rPr>
        <w:t>Australia, the Solomon Islands Government</w:t>
      </w:r>
      <w:r>
        <w:rPr>
          <w:b/>
        </w:rPr>
        <w:t>,</w:t>
      </w:r>
      <w:r w:rsidRPr="00D770A4">
        <w:rPr>
          <w:b/>
        </w:rPr>
        <w:t xml:space="preserve"> and </w:t>
      </w:r>
      <w:r w:rsidR="00DB3D63">
        <w:rPr>
          <w:b/>
        </w:rPr>
        <w:t>SolRice</w:t>
      </w:r>
      <w:r w:rsidRPr="00D770A4">
        <w:rPr>
          <w:b/>
        </w:rPr>
        <w:t xml:space="preserve"> launched an innovative public private partnership to end violence against women in Solomon Islands.  </w:t>
      </w:r>
      <w:r>
        <w:t>The partnership with private sector partner, SolRice, distributed information on</w:t>
      </w:r>
      <w:r w:rsidR="00DB3D63">
        <w:t xml:space="preserve"> the front of 110,000 large rice bags, reaching households across the country</w:t>
      </w:r>
      <w:r w:rsidR="00EC77F9">
        <w:t>.  Information included where and how to find services, and reminded perpetrators that violence against women, including mar</w:t>
      </w:r>
      <w:r w:rsidR="00E23A63">
        <w:t>ital</w:t>
      </w:r>
      <w:r w:rsidR="00EC77F9">
        <w:t xml:space="preserve"> rape, is now illegal and they could be fined or sent to prison.  </w:t>
      </w:r>
      <w:r w:rsidR="00EC77F9">
        <w:rPr>
          <w:i/>
        </w:rPr>
        <w:t xml:space="preserve">Seif Ples </w:t>
      </w:r>
      <w:r w:rsidR="00EC77F9">
        <w:t xml:space="preserve">reported </w:t>
      </w:r>
      <w:r w:rsidR="00575681">
        <w:t>a large increase in calls</w:t>
      </w:r>
      <w:r w:rsidR="00EC77F9">
        <w:t xml:space="preserve"> (47,089 in 2018-19)</w:t>
      </w:r>
      <w:r w:rsidR="00575681">
        <w:t xml:space="preserve"> </w:t>
      </w:r>
      <w:r w:rsidR="00EC77F9">
        <w:t>as a result of this initiative</w:t>
      </w:r>
      <w:r w:rsidR="00575681">
        <w:t>.</w:t>
      </w:r>
      <w:r w:rsidR="00DB3D63">
        <w:t xml:space="preserve"> </w:t>
      </w:r>
    </w:p>
    <w:p w:rsidR="006D635A" w:rsidRDefault="006D635A" w:rsidP="006D635A">
      <w:r w:rsidRPr="00B30A2D">
        <w:rPr>
          <w:b/>
        </w:rPr>
        <w:t xml:space="preserve">Australia continued to </w:t>
      </w:r>
      <w:r>
        <w:rPr>
          <w:b/>
        </w:rPr>
        <w:t xml:space="preserve">purposefully integrate gender equality into its aid investments. </w:t>
      </w:r>
      <w:r w:rsidR="00EC77F9">
        <w:rPr>
          <w:b/>
        </w:rPr>
        <w:t xml:space="preserve"> </w:t>
      </w:r>
      <w:r>
        <w:t xml:space="preserve">Over 90 per cent of investments were rated ‘satisfactory’ or above on gender through the annual </w:t>
      </w:r>
      <w:r w:rsidRPr="006D4668">
        <w:t xml:space="preserve">quality process, exceeding the target of 80 per cent. </w:t>
      </w:r>
      <w:r w:rsidR="00EC77F9">
        <w:t xml:space="preserve"> </w:t>
      </w:r>
      <w:r w:rsidRPr="006D4668">
        <w:t>Reinvigorating the Honiara High Commission’s Gender Equality Working Group helped a number of investments strengthen work on gender equality approaches.</w:t>
      </w:r>
      <w:r>
        <w:t xml:space="preserve">  </w:t>
      </w:r>
    </w:p>
    <w:p w:rsidR="002A51CA" w:rsidRDefault="002A51CA" w:rsidP="00D47F2F">
      <w:pPr>
        <w:pStyle w:val="Heading2"/>
        <w:spacing w:before="360" w:line="300" w:lineRule="exact"/>
      </w:pPr>
      <w:r>
        <w:t>Mutual obligations</w:t>
      </w:r>
    </w:p>
    <w:p w:rsidR="00E7443B" w:rsidRPr="00A631C0" w:rsidRDefault="00E7443B" w:rsidP="00BE6C6D">
      <w:r w:rsidRPr="00802AD4">
        <w:t xml:space="preserve">Mutual obligations for Solomon Islands, critical to the achievement of </w:t>
      </w:r>
      <w:r w:rsidR="00EC77F9" w:rsidRPr="00802AD4">
        <w:t>A</w:t>
      </w:r>
      <w:r w:rsidR="00EC77F9">
        <w:t>id Investment Plan</w:t>
      </w:r>
      <w:r w:rsidR="00EC77F9" w:rsidRPr="00802AD4">
        <w:t xml:space="preserve"> </w:t>
      </w:r>
      <w:r w:rsidRPr="00802AD4">
        <w:t>objectives, are set out in the 2014</w:t>
      </w:r>
      <w:r w:rsidR="007C06E3">
        <w:noBreakHyphen/>
      </w:r>
      <w:r w:rsidRPr="00802AD4">
        <w:t>15 Aid Investment Plan and 2017 Solomon Islands-Australia Aid Partnership.</w:t>
      </w:r>
      <w:r w:rsidRPr="00A631C0">
        <w:t xml:space="preserve">   </w:t>
      </w:r>
    </w:p>
    <w:p w:rsidR="006D635A" w:rsidRPr="00A631C0" w:rsidRDefault="006D635A" w:rsidP="006D635A">
      <w:r w:rsidRPr="00E60197">
        <w:rPr>
          <w:b/>
        </w:rPr>
        <w:lastRenderedPageBreak/>
        <w:t>Across health, education and transport, performance-based funding from Australia is linked to the provision of funding from Solomon Islands for agreed priorities.</w:t>
      </w:r>
      <w:r w:rsidRPr="00802AD4">
        <w:t xml:space="preserve">  </w:t>
      </w:r>
      <w:r w:rsidRPr="00A631C0">
        <w:t xml:space="preserve">In health, the target for at least 12.5 per cent of domestically sourced revenue to be allocated to the recurrent health budget was met in 2018-19. </w:t>
      </w:r>
      <w:r w:rsidR="00EC77F9">
        <w:t xml:space="preserve"> </w:t>
      </w:r>
      <w:r w:rsidRPr="00A631C0">
        <w:t xml:space="preserve">Australia’s overall </w:t>
      </w:r>
      <w:r w:rsidRPr="00153899">
        <w:t>performance</w:t>
      </w:r>
      <w:r w:rsidR="00B6217E">
        <w:t>-</w:t>
      </w:r>
      <w:r w:rsidRPr="00153899">
        <w:t xml:space="preserve">based funding for health was linked to </w:t>
      </w:r>
      <w:r w:rsidR="00F107F6" w:rsidRPr="00153899">
        <w:t>13</w:t>
      </w:r>
      <w:r w:rsidRPr="00153899">
        <w:t xml:space="preserve"> national-level and </w:t>
      </w:r>
      <w:r w:rsidR="00B6217E">
        <w:t>seven</w:t>
      </w:r>
      <w:r w:rsidR="00A631C0" w:rsidRPr="00153899">
        <w:t xml:space="preserve"> </w:t>
      </w:r>
      <w:r w:rsidRPr="00153899">
        <w:t xml:space="preserve">provincial-level targets, which scored </w:t>
      </w:r>
      <w:r w:rsidR="00EA5F4E" w:rsidRPr="00153899">
        <w:t>an overall 64</w:t>
      </w:r>
      <w:r w:rsidRPr="00153899">
        <w:t xml:space="preserve"> per cent respectively in an independent assessment</w:t>
      </w:r>
      <w:r w:rsidRPr="00153899">
        <w:rPr>
          <w:rStyle w:val="FootnoteReference"/>
        </w:rPr>
        <w:footnoteReference w:id="13"/>
      </w:r>
      <w:r w:rsidRPr="00153899">
        <w:t xml:space="preserve">.  In education, the target for the </w:t>
      </w:r>
      <w:r w:rsidR="007C06E3">
        <w:t>Solomon Islands Government</w:t>
      </w:r>
      <w:r w:rsidR="007C06E3" w:rsidRPr="00153899">
        <w:t xml:space="preserve"> </w:t>
      </w:r>
      <w:r w:rsidRPr="00153899">
        <w:t>education budget was met.  Australia’s overall performance based funding for education was linked to</w:t>
      </w:r>
      <w:r w:rsidR="00EA5F4E" w:rsidRPr="00153899">
        <w:t xml:space="preserve"> </w:t>
      </w:r>
      <w:r w:rsidR="004354C0" w:rsidRPr="00153899">
        <w:t>14</w:t>
      </w:r>
      <w:r w:rsidRPr="00153899">
        <w:t xml:space="preserve"> targets.  </w:t>
      </w:r>
      <w:r w:rsidR="00EA5F4E" w:rsidRPr="00153899">
        <w:t>Overall, 68</w:t>
      </w:r>
      <w:r w:rsidRPr="00153899">
        <w:t xml:space="preserve"> per cent was achieved</w:t>
      </w:r>
      <w:r w:rsidRPr="00153899">
        <w:rPr>
          <w:rStyle w:val="FootnoteReference"/>
        </w:rPr>
        <w:footnoteReference w:id="14"/>
      </w:r>
      <w:r w:rsidRPr="00153899">
        <w:t xml:space="preserve">.  </w:t>
      </w:r>
      <w:r w:rsidR="00E60197" w:rsidRPr="00153899">
        <w:t xml:space="preserve">Although the </w:t>
      </w:r>
      <w:r w:rsidR="007C06E3">
        <w:t>Solomon Islands Government</w:t>
      </w:r>
      <w:r w:rsidR="00E60197" w:rsidRPr="00153899">
        <w:t xml:space="preserve"> contributed SBD51 million</w:t>
      </w:r>
      <w:r w:rsidR="00E60197">
        <w:t xml:space="preserve"> into the National Transport Fund in December 2018 (exceeding its base funding commitment of SBD40 million), it did not meet its higher incentive commitment of SBD65 million.</w:t>
      </w:r>
      <w:r w:rsidR="00EC77F9">
        <w:t xml:space="preserve"> </w:t>
      </w:r>
      <w:r w:rsidR="00E60197">
        <w:t xml:space="preserve"> Therefore Australia did not make an additional $2.5 million performance-based payment.</w:t>
      </w:r>
    </w:p>
    <w:p w:rsidR="00EA5F4E" w:rsidRPr="00A631C0" w:rsidRDefault="00EA5F4E" w:rsidP="00EA5F4E">
      <w:r w:rsidRPr="00E60197">
        <w:rPr>
          <w:b/>
        </w:rPr>
        <w:t xml:space="preserve">The Solomon Islands progressed reform actions agreed as part of the </w:t>
      </w:r>
      <w:r w:rsidR="00E60197" w:rsidRPr="00E60197">
        <w:rPr>
          <w:b/>
        </w:rPr>
        <w:t>Core Economic Working Group</w:t>
      </w:r>
      <w:r w:rsidRPr="00E60197">
        <w:rPr>
          <w:b/>
        </w:rPr>
        <w:t>.</w:t>
      </w:r>
      <w:r w:rsidR="00E60197">
        <w:t xml:space="preserve"> </w:t>
      </w:r>
      <w:r w:rsidR="00EC77F9">
        <w:t xml:space="preserve"> </w:t>
      </w:r>
      <w:r w:rsidR="00E60197">
        <w:t xml:space="preserve">A joint review was </w:t>
      </w:r>
      <w:r w:rsidR="00E60197" w:rsidRPr="00DC069A">
        <w:t xml:space="preserve">undertaken in August 2018 by Australia, </w:t>
      </w:r>
      <w:r w:rsidR="00E23A63">
        <w:t xml:space="preserve">the </w:t>
      </w:r>
      <w:r w:rsidR="00E60197" w:rsidRPr="00DC069A">
        <w:t xml:space="preserve">ADB, </w:t>
      </w:r>
      <w:r w:rsidR="00E23A63">
        <w:t xml:space="preserve">the </w:t>
      </w:r>
      <w:r w:rsidR="00E60197">
        <w:t>European Union</w:t>
      </w:r>
      <w:r w:rsidR="00E60197" w:rsidRPr="00DC069A">
        <w:t xml:space="preserve">, </w:t>
      </w:r>
      <w:r w:rsidR="00E60197">
        <w:t>New Zealand</w:t>
      </w:r>
      <w:r w:rsidR="00E60197" w:rsidRPr="00DC069A">
        <w:t xml:space="preserve"> and the World Bank in conjunction with the </w:t>
      </w:r>
      <w:r w:rsidR="00EC77F9">
        <w:t>Solomon Islands</w:t>
      </w:r>
      <w:r w:rsidR="00EC77F9" w:rsidRPr="00DC069A">
        <w:t xml:space="preserve"> </w:t>
      </w:r>
      <w:r w:rsidR="00EC77F9">
        <w:t>G</w:t>
      </w:r>
      <w:r w:rsidR="00E60197" w:rsidRPr="00DC069A">
        <w:t>overnment</w:t>
      </w:r>
      <w:r w:rsidR="00E60197">
        <w:t>. While t</w:t>
      </w:r>
      <w:r w:rsidR="00E60197" w:rsidRPr="00DC069A">
        <w:t xml:space="preserve">he </w:t>
      </w:r>
      <w:r w:rsidR="00EC77F9" w:rsidRPr="00DC069A">
        <w:t xml:space="preserve">National General Election </w:t>
      </w:r>
      <w:r w:rsidR="00E60197" w:rsidRPr="00DC069A">
        <w:t xml:space="preserve">slowed progress of the </w:t>
      </w:r>
      <w:r w:rsidR="00E60197">
        <w:t>Working Group, it</w:t>
      </w:r>
      <w:r w:rsidR="00E60197" w:rsidRPr="00DC069A">
        <w:t xml:space="preserve"> found that of the 15 reform actions contained within the policy reform matrix, </w:t>
      </w:r>
      <w:r w:rsidR="00E60197">
        <w:t>the Solomon Islands Government</w:t>
      </w:r>
      <w:r w:rsidR="00E60197" w:rsidRPr="00DC069A">
        <w:t xml:space="preserve"> had achieved five,</w:t>
      </w:r>
      <w:r w:rsidR="00EC77F9">
        <w:t xml:space="preserve"> with</w:t>
      </w:r>
      <w:r w:rsidR="00E60197" w:rsidRPr="00DC069A">
        <w:t xml:space="preserve"> a further six on track</w:t>
      </w:r>
      <w:r w:rsidR="00E60197">
        <w:t xml:space="preserve">. </w:t>
      </w:r>
      <w:r w:rsidR="00EC77F9">
        <w:t xml:space="preserve"> </w:t>
      </w:r>
      <w:r w:rsidR="00E60197">
        <w:t>Only</w:t>
      </w:r>
      <w:r w:rsidR="00E60197" w:rsidRPr="00DC069A">
        <w:t xml:space="preserve"> four remained off-track. Further reporting in June 2019 confirmed nine of the 15 actions were achieved.</w:t>
      </w:r>
      <w:r w:rsidR="00E60197" w:rsidRPr="006D635A">
        <w:rPr>
          <w:rFonts w:eastAsia="Times New Roman"/>
          <w:iCs/>
          <w:color w:val="auto"/>
          <w:szCs w:val="17"/>
        </w:rPr>
        <w:t xml:space="preserve"> </w:t>
      </w:r>
      <w:r w:rsidR="00EC77F9">
        <w:rPr>
          <w:rFonts w:eastAsia="Times New Roman"/>
          <w:iCs/>
          <w:color w:val="auto"/>
          <w:szCs w:val="17"/>
        </w:rPr>
        <w:t xml:space="preserve"> </w:t>
      </w:r>
      <w:r w:rsidR="00E60197" w:rsidRPr="006D635A">
        <w:t>As a result of</w:t>
      </w:r>
      <w:r w:rsidR="00E60197">
        <w:t xml:space="preserve"> achievements </w:t>
      </w:r>
      <w:r w:rsidR="00E60197" w:rsidRPr="006D635A">
        <w:t xml:space="preserve">under the policy reform matrix, Australia disbursed $2 million for general budget support. </w:t>
      </w:r>
      <w:r w:rsidRPr="00A631C0">
        <w:t xml:space="preserve"> </w:t>
      </w:r>
    </w:p>
    <w:p w:rsidR="00E60197" w:rsidRPr="00DD5130" w:rsidRDefault="00E60197" w:rsidP="00E60197">
      <w:r w:rsidRPr="00DD5130">
        <w:rPr>
          <w:b/>
        </w:rPr>
        <w:t>Agreed mutual obligations also include public financial management reforms, and progress towards eliminating violence against women</w:t>
      </w:r>
      <w:r w:rsidRPr="00DD5130">
        <w:t>.  Solomon Islands has committed to implementing key p</w:t>
      </w:r>
      <w:r w:rsidR="00EB01FF">
        <w:t xml:space="preserve">ublic financial management </w:t>
      </w:r>
      <w:r w:rsidRPr="00DD5130">
        <w:t xml:space="preserve">reforms, including an updated roadmap, and funding for Family Protection Act implementation. </w:t>
      </w:r>
      <w:r w:rsidR="00EC77F9">
        <w:t xml:space="preserve"> </w:t>
      </w:r>
      <w:r w:rsidRPr="00DD5130">
        <w:t>Solomon Islands and Australia continue to operate under a mutually agreed Joint Statement on Zero Tolerance to Fraud in Solomon Islands.</w:t>
      </w:r>
    </w:p>
    <w:p w:rsidR="006D635A" w:rsidRPr="00985309" w:rsidRDefault="006D635A" w:rsidP="006D635A">
      <w:pPr>
        <w:rPr>
          <w:b/>
        </w:rPr>
      </w:pPr>
      <w:r w:rsidRPr="00985309">
        <w:rPr>
          <w:b/>
        </w:rPr>
        <w:t>While the amount of performance-linked aid Australia provides is small, relative to the overall</w:t>
      </w:r>
      <w:r w:rsidR="00EA5F4E" w:rsidRPr="00985309">
        <w:rPr>
          <w:b/>
        </w:rPr>
        <w:t xml:space="preserve"> budget of the Solomon Islands </w:t>
      </w:r>
      <w:r w:rsidRPr="00985309">
        <w:rPr>
          <w:b/>
        </w:rPr>
        <w:t xml:space="preserve">it provides an important platform for policy dialogue on reform priorities and budget allocations.  </w:t>
      </w:r>
    </w:p>
    <w:p w:rsidR="002A51CA" w:rsidRPr="002A51CA" w:rsidRDefault="002A51CA" w:rsidP="00CF62AE">
      <w:pPr>
        <w:pStyle w:val="Heading2"/>
        <w:spacing w:before="360" w:line="300" w:lineRule="exact"/>
      </w:pPr>
      <w:r w:rsidRPr="002A51CA">
        <w:t xml:space="preserve">Program Quality and Partner Performance </w:t>
      </w:r>
    </w:p>
    <w:p w:rsidR="00F070DC" w:rsidRDefault="002A51CA" w:rsidP="002A51CA">
      <w:pPr>
        <w:rPr>
          <w:sz w:val="32"/>
          <w:szCs w:val="32"/>
          <w:lang w:eastAsia="zh-CN"/>
        </w:rPr>
      </w:pPr>
      <w:r w:rsidRPr="00CF62AE">
        <w:rPr>
          <w:sz w:val="32"/>
          <w:szCs w:val="32"/>
          <w:lang w:eastAsia="zh-CN"/>
        </w:rPr>
        <w:t>Overview</w:t>
      </w:r>
    </w:p>
    <w:p w:rsidR="00EA5F4E" w:rsidRDefault="00EA5F4E" w:rsidP="00EA5F4E">
      <w:r w:rsidRPr="00AD44C4">
        <w:rPr>
          <w:b/>
        </w:rPr>
        <w:t>Australia continued to develop a systematic approach to monitoring and evaluating aid in Solomon Islands.</w:t>
      </w:r>
      <w:r>
        <w:t xml:space="preserve">  Program level performance is assessed annually against a detailed Performance Assessment Framework (PAF) (a summary PAF is presented in Annex E).  Performance evidence is presented and critiqued</w:t>
      </w:r>
      <w:r w:rsidR="00E23A63">
        <w:t>,</w:t>
      </w:r>
      <w:r>
        <w:t xml:space="preserve"> and an agreed rating determined for each Aid Investment Plan objective.  Other key performance processes in 201</w:t>
      </w:r>
      <w:r w:rsidR="00CF6C9B">
        <w:t>8</w:t>
      </w:r>
      <w:r w:rsidR="00E60197">
        <w:noBreakHyphen/>
      </w:r>
      <w:r>
        <w:t>1</w:t>
      </w:r>
      <w:r w:rsidR="00CF6C9B">
        <w:t>9</w:t>
      </w:r>
      <w:r>
        <w:t xml:space="preserve"> included Aid Quality Checks, Partner Performance Assessments and program evaluations</w:t>
      </w:r>
      <w:r w:rsidR="00E23A63">
        <w:t>,</w:t>
      </w:r>
      <w:r>
        <w:t xml:space="preserve"> which informed decisions on consolidation, program planning and design.</w:t>
      </w:r>
    </w:p>
    <w:p w:rsidR="00E60197" w:rsidRPr="00CB5308" w:rsidRDefault="00E60197" w:rsidP="00E60197">
      <w:r w:rsidRPr="00375850">
        <w:rPr>
          <w:b/>
        </w:rPr>
        <w:t>A health check of Australia’s aid program in Solomon Island was conducted in September 2018 by senior DFAT staff.</w:t>
      </w:r>
      <w:r>
        <w:t xml:space="preserve"> </w:t>
      </w:r>
      <w:r w:rsidR="00EC77F9">
        <w:t xml:space="preserve"> </w:t>
      </w:r>
      <w:r>
        <w:t xml:space="preserve">This process </w:t>
      </w:r>
      <w:r w:rsidRPr="00CB5308">
        <w:t xml:space="preserve">confirmed </w:t>
      </w:r>
      <w:r w:rsidR="00E23A63">
        <w:t>Australia</w:t>
      </w:r>
      <w:r w:rsidRPr="00CB5308">
        <w:t xml:space="preserve"> is delivering a highly responsive well performing program</w:t>
      </w:r>
      <w:r>
        <w:t xml:space="preserve"> </w:t>
      </w:r>
      <w:r w:rsidR="00E23A63">
        <w:t>that</w:t>
      </w:r>
      <w:r w:rsidRPr="00CB5308">
        <w:t xml:space="preserve"> continues</w:t>
      </w:r>
      <w:r>
        <w:t xml:space="preserve"> to build on the gains from RAMSI </w:t>
      </w:r>
      <w:r w:rsidRPr="00CB5308">
        <w:t>with an increasing focus on economic growth</w:t>
      </w:r>
      <w:r>
        <w:t xml:space="preserve">. </w:t>
      </w:r>
      <w:r w:rsidR="00EC77F9">
        <w:t xml:space="preserve"> </w:t>
      </w:r>
      <w:r>
        <w:t>The health check outlined</w:t>
      </w:r>
      <w:r w:rsidRPr="00CB5308">
        <w:t xml:space="preserve"> recommendations to address risks and ensure the program cont</w:t>
      </w:r>
      <w:r>
        <w:t xml:space="preserve">inues to deliver strong results, in particular </w:t>
      </w:r>
      <w:r w:rsidRPr="00CB5308">
        <w:t>review</w:t>
      </w:r>
      <w:r>
        <w:t>ing</w:t>
      </w:r>
      <w:r w:rsidRPr="00CB5308">
        <w:t xml:space="preserve"> modalities to ensure </w:t>
      </w:r>
      <w:r w:rsidR="00E23A63">
        <w:t>it</w:t>
      </w:r>
      <w:r w:rsidRPr="00CB5308">
        <w:t xml:space="preserve"> has the necessary resourcing and flexibility to implement the development program and respond to emerging priorities</w:t>
      </w:r>
      <w:r>
        <w:t xml:space="preserve">. </w:t>
      </w:r>
      <w:r w:rsidR="00EC77F9">
        <w:t xml:space="preserve"> </w:t>
      </w:r>
      <w:r w:rsidR="0060389D">
        <w:t>Recommendations on ways of working are informing planning for the new Aid Investment Plan.</w:t>
      </w:r>
    </w:p>
    <w:p w:rsidR="00EA5F4E" w:rsidRPr="00434218" w:rsidRDefault="00E60197" w:rsidP="00EA5F4E">
      <w:pPr>
        <w:rPr>
          <w:color w:val="FF0000"/>
        </w:rPr>
      </w:pPr>
      <w:r w:rsidRPr="00AD44C4">
        <w:rPr>
          <w:b/>
        </w:rPr>
        <w:t xml:space="preserve">The program </w:t>
      </w:r>
      <w:r>
        <w:rPr>
          <w:b/>
        </w:rPr>
        <w:t xml:space="preserve">has </w:t>
      </w:r>
      <w:r w:rsidR="002E0470">
        <w:rPr>
          <w:b/>
        </w:rPr>
        <w:t xml:space="preserve">continued to make </w:t>
      </w:r>
      <w:r>
        <w:rPr>
          <w:b/>
        </w:rPr>
        <w:t>progress in consolidating</w:t>
      </w:r>
      <w:r w:rsidRPr="00AD44C4">
        <w:rPr>
          <w:b/>
        </w:rPr>
        <w:t xml:space="preserve"> investments </w:t>
      </w:r>
      <w:r w:rsidR="004470D1">
        <w:rPr>
          <w:b/>
        </w:rPr>
        <w:t xml:space="preserve">to increase </w:t>
      </w:r>
      <w:r w:rsidR="00E23A63">
        <w:rPr>
          <w:b/>
        </w:rPr>
        <w:t xml:space="preserve">the </w:t>
      </w:r>
      <w:r w:rsidR="004470D1">
        <w:rPr>
          <w:b/>
        </w:rPr>
        <w:t>efficiency of our development spend.</w:t>
      </w:r>
      <w:r>
        <w:t xml:space="preserve"> </w:t>
      </w:r>
      <w:r w:rsidR="00EC77F9">
        <w:t xml:space="preserve"> </w:t>
      </w:r>
      <w:r w:rsidRPr="00E60197">
        <w:t>The</w:t>
      </w:r>
      <w:r w:rsidR="00F5494C" w:rsidRPr="00E60197">
        <w:t xml:space="preserve"> program has consolidated from 29 investments in 2015 to 20 in 2019</w:t>
      </w:r>
      <w:r w:rsidR="00985309" w:rsidRPr="00985309">
        <w:t xml:space="preserve"> </w:t>
      </w:r>
      <w:r w:rsidR="00985309">
        <w:t xml:space="preserve">with </w:t>
      </w:r>
      <w:r w:rsidR="00985309" w:rsidRPr="00E60197">
        <w:t>the a</w:t>
      </w:r>
      <w:r w:rsidR="00985309">
        <w:t>verage investment size increasing</w:t>
      </w:r>
      <w:r w:rsidR="00985309" w:rsidRPr="00E60197">
        <w:t xml:space="preserve"> from $18.5 million to $25.1 million.</w:t>
      </w:r>
      <w:r w:rsidR="002E0470">
        <w:t xml:space="preserve">  </w:t>
      </w:r>
      <w:r w:rsidRPr="00E60197">
        <w:t>I</w:t>
      </w:r>
      <w:r w:rsidR="00434218" w:rsidRPr="00E60197">
        <w:t xml:space="preserve">nvestments in statistics, urban </w:t>
      </w:r>
      <w:r w:rsidR="00434218" w:rsidRPr="00E60197">
        <w:lastRenderedPageBreak/>
        <w:t>water</w:t>
      </w:r>
      <w:r w:rsidR="005015BD" w:rsidRPr="00E60197">
        <w:t xml:space="preserve">, </w:t>
      </w:r>
      <w:r w:rsidR="00434218" w:rsidRPr="00E60197">
        <w:t>urbanisation</w:t>
      </w:r>
      <w:r w:rsidR="005015BD" w:rsidRPr="00E60197">
        <w:t xml:space="preserve"> and labour mobility (transitioning under </w:t>
      </w:r>
      <w:r w:rsidRPr="00E60197">
        <w:t xml:space="preserve">a </w:t>
      </w:r>
      <w:r w:rsidR="005015BD" w:rsidRPr="00E60197">
        <w:t>regional program) are</w:t>
      </w:r>
      <w:r w:rsidR="00434218" w:rsidRPr="00E60197">
        <w:t xml:space="preserve"> in the process of closing</w:t>
      </w:r>
      <w:r w:rsidR="00E23A63">
        <w:t>,</w:t>
      </w:r>
      <w:r w:rsidR="00F5494C" w:rsidRPr="00E60197">
        <w:t xml:space="preserve"> which will reduce the total num</w:t>
      </w:r>
      <w:r w:rsidR="005015BD" w:rsidRPr="00E60197">
        <w:t>ber of investments managed to 16</w:t>
      </w:r>
      <w:r w:rsidR="00F5494C" w:rsidRPr="00E60197">
        <w:t xml:space="preserve"> by </w:t>
      </w:r>
      <w:r w:rsidR="00EC77F9">
        <w:t xml:space="preserve">the </w:t>
      </w:r>
      <w:r w:rsidR="00F5494C" w:rsidRPr="00E60197">
        <w:t xml:space="preserve">end </w:t>
      </w:r>
      <w:r w:rsidR="00EC77F9">
        <w:t xml:space="preserve">of </w:t>
      </w:r>
      <w:r w:rsidR="00F5494C" w:rsidRPr="00E60197">
        <w:t>2019</w:t>
      </w:r>
      <w:r w:rsidR="00434218" w:rsidRPr="00E60197">
        <w:t>.</w:t>
      </w:r>
      <w:r w:rsidR="00EC77F9">
        <w:t xml:space="preserve"> </w:t>
      </w:r>
      <w:r w:rsidR="00434218" w:rsidRPr="00E60197">
        <w:t xml:space="preserve"> </w:t>
      </w:r>
      <w:r w:rsidR="00F5494C" w:rsidRPr="00E60197">
        <w:t xml:space="preserve">In 2018-19, </w:t>
      </w:r>
      <w:r w:rsidR="00434218" w:rsidRPr="00E60197">
        <w:t>three</w:t>
      </w:r>
      <w:r w:rsidR="00F5494C" w:rsidRPr="00E60197">
        <w:t xml:space="preserve"> new investments were created with designs commenced for new education, infrastructure and a resource facility</w:t>
      </w:r>
      <w:r w:rsidR="005015BD" w:rsidRPr="00E60197">
        <w:t xml:space="preserve"> with </w:t>
      </w:r>
      <w:r w:rsidR="00F5494C" w:rsidRPr="00E60197">
        <w:t xml:space="preserve">all </w:t>
      </w:r>
      <w:r w:rsidR="005015BD" w:rsidRPr="00E60197">
        <w:t xml:space="preserve">three to </w:t>
      </w:r>
      <w:r w:rsidR="00F5494C" w:rsidRPr="00E60197">
        <w:t>replace existing investments.</w:t>
      </w:r>
      <w:r w:rsidR="002E0470">
        <w:t xml:space="preserve">  Despite this progress, the program has a high number </w:t>
      </w:r>
      <w:r w:rsidR="00DF78C7">
        <w:t xml:space="preserve">(over 50) </w:t>
      </w:r>
      <w:r w:rsidR="00E23A63">
        <w:t xml:space="preserve">of </w:t>
      </w:r>
      <w:r w:rsidR="002E0470">
        <w:t>small value agreements under $3 million</w:t>
      </w:r>
      <w:r w:rsidR="00DF78C7">
        <w:t xml:space="preserve"> </w:t>
      </w:r>
      <w:r w:rsidR="00E23A63">
        <w:t>that</w:t>
      </w:r>
      <w:r w:rsidR="00DF78C7">
        <w:t xml:space="preserve"> will require ongoing consolidation</w:t>
      </w:r>
      <w:r w:rsidR="002E0470">
        <w:t xml:space="preserve">.  </w:t>
      </w:r>
    </w:p>
    <w:p w:rsidR="00EA5F4E" w:rsidRDefault="00EA5F4E" w:rsidP="00EA5F4E">
      <w:r w:rsidRPr="00437638">
        <w:rPr>
          <w:b/>
        </w:rPr>
        <w:t xml:space="preserve">The DFAT Annual Aid Evaluation Plan identified </w:t>
      </w:r>
      <w:r w:rsidR="0060389D">
        <w:rPr>
          <w:b/>
        </w:rPr>
        <w:t>two</w:t>
      </w:r>
      <w:r w:rsidRPr="00437638">
        <w:rPr>
          <w:b/>
        </w:rPr>
        <w:t xml:space="preserve"> </w:t>
      </w:r>
      <w:r w:rsidR="0060389D">
        <w:rPr>
          <w:b/>
        </w:rPr>
        <w:t>priority evaluation</w:t>
      </w:r>
      <w:r w:rsidR="00E23A63">
        <w:rPr>
          <w:b/>
        </w:rPr>
        <w:t>s</w:t>
      </w:r>
      <w:r w:rsidR="0060389D">
        <w:rPr>
          <w:b/>
        </w:rPr>
        <w:t xml:space="preserve"> for Solomon Islands to be p</w:t>
      </w:r>
      <w:r>
        <w:rPr>
          <w:b/>
        </w:rPr>
        <w:t>ublished in 20</w:t>
      </w:r>
      <w:r w:rsidR="0060389D">
        <w:rPr>
          <w:b/>
        </w:rPr>
        <w:t>18</w:t>
      </w:r>
      <w:r w:rsidRPr="00437638">
        <w:rPr>
          <w:b/>
        </w:rPr>
        <w:t>.</w:t>
      </w:r>
      <w:r>
        <w:t xml:space="preserve"> </w:t>
      </w:r>
      <w:r w:rsidR="00CF6C9B">
        <w:t xml:space="preserve">  </w:t>
      </w:r>
      <w:r w:rsidR="00CF6C9B" w:rsidRPr="00CF6C9B">
        <w:rPr>
          <w:rFonts w:eastAsia="Times New Roman"/>
          <w:iCs/>
          <w:szCs w:val="17"/>
        </w:rPr>
        <w:t>The Solomon Islands Growth Program Mid-Term Review and the</w:t>
      </w:r>
      <w:r w:rsidR="00CF6C9B" w:rsidRPr="00CF6C9B">
        <w:t xml:space="preserve"> </w:t>
      </w:r>
      <w:r w:rsidR="00CF6C9B" w:rsidRPr="00CF6C9B">
        <w:rPr>
          <w:lang w:val="en-AU"/>
        </w:rPr>
        <w:t xml:space="preserve">Solomon Islands Education Sector Program 2 Basic Education </w:t>
      </w:r>
      <w:r w:rsidR="00CF6C9B" w:rsidRPr="00153899">
        <w:rPr>
          <w:lang w:val="en-AU"/>
        </w:rPr>
        <w:t xml:space="preserve">Component Independent Mid-Term Review were published in December 2018 and October 2018 respectively.  The </w:t>
      </w:r>
      <w:r w:rsidRPr="00153899">
        <w:t>Independent Assessment of Performance Linked Funding Indicators for Education and Health were both published in August 2019.  These annual assessments determined performance payments for both sectors and enabled evidence</w:t>
      </w:r>
      <w:r w:rsidR="00453BBA">
        <w:t>-</w:t>
      </w:r>
      <w:r w:rsidRPr="00153899">
        <w:t>based</w:t>
      </w:r>
      <w:r>
        <w:t xml:space="preserve"> discussion</w:t>
      </w:r>
      <w:r w:rsidR="00CF6C9B">
        <w:t xml:space="preserve">. </w:t>
      </w:r>
    </w:p>
    <w:p w:rsidR="00600479" w:rsidRDefault="00600479" w:rsidP="00BE6C6D">
      <w:pPr>
        <w:rPr>
          <w:sz w:val="32"/>
          <w:szCs w:val="32"/>
          <w:lang w:eastAsia="zh-CN"/>
        </w:rPr>
      </w:pPr>
      <w:r w:rsidRPr="006D635A">
        <w:rPr>
          <w:sz w:val="32"/>
          <w:szCs w:val="32"/>
          <w:lang w:eastAsia="zh-CN"/>
        </w:rPr>
        <w:t>Aid Quality Checks (AQCs)</w:t>
      </w:r>
    </w:p>
    <w:p w:rsidR="00F070DC" w:rsidRPr="00E60197" w:rsidRDefault="00F070DC" w:rsidP="00F070DC">
      <w:r w:rsidRPr="00E60197">
        <w:rPr>
          <w:b/>
        </w:rPr>
        <w:t xml:space="preserve">The program conducted AQCs on </w:t>
      </w:r>
      <w:r w:rsidR="00E60197">
        <w:rPr>
          <w:b/>
        </w:rPr>
        <w:t>11</w:t>
      </w:r>
      <w:r w:rsidRPr="00E60197">
        <w:rPr>
          <w:b/>
        </w:rPr>
        <w:t xml:space="preserve"> current investments </w:t>
      </w:r>
      <w:r w:rsidR="00A631C0" w:rsidRPr="00E60197">
        <w:rPr>
          <w:b/>
        </w:rPr>
        <w:t>(</w:t>
      </w:r>
      <w:r w:rsidRPr="00E60197">
        <w:rPr>
          <w:b/>
        </w:rPr>
        <w:t>summarised in Annex D</w:t>
      </w:r>
      <w:r w:rsidR="00A631C0" w:rsidRPr="00E60197">
        <w:rPr>
          <w:b/>
        </w:rPr>
        <w:t>)</w:t>
      </w:r>
      <w:r w:rsidR="00A631C0" w:rsidRPr="00E60197">
        <w:t xml:space="preserve"> and used </w:t>
      </w:r>
      <w:r w:rsidRPr="00E60197">
        <w:t>the annual process as an opportunity for critical reflection on the performance of investments greater than $3</w:t>
      </w:r>
      <w:r w:rsidR="00E60197">
        <w:t> </w:t>
      </w:r>
      <w:r w:rsidRPr="00E60197">
        <w:t>million.  All AQCs were moderated by a DFAT staff-member external to the team to enable consistent assessment of performance.</w:t>
      </w:r>
      <w:r w:rsidR="0031718A" w:rsidRPr="00E60197">
        <w:t xml:space="preserve"> </w:t>
      </w:r>
    </w:p>
    <w:p w:rsidR="0031718A" w:rsidRPr="00E60197" w:rsidRDefault="00A631C0" w:rsidP="00E60197">
      <w:r w:rsidRPr="00E60197">
        <w:rPr>
          <w:b/>
        </w:rPr>
        <w:t xml:space="preserve">The overwhelming majority of investments received a positive rating for effectiveness, with </w:t>
      </w:r>
      <w:r w:rsidR="00122650" w:rsidRPr="00E60197">
        <w:rPr>
          <w:b/>
        </w:rPr>
        <w:t>91</w:t>
      </w:r>
      <w:r w:rsidRPr="00E60197">
        <w:rPr>
          <w:b/>
        </w:rPr>
        <w:t xml:space="preserve"> per</w:t>
      </w:r>
      <w:r w:rsidR="00E60197" w:rsidRPr="00E60197">
        <w:rPr>
          <w:b/>
        </w:rPr>
        <w:t xml:space="preserve"> </w:t>
      </w:r>
      <w:r w:rsidRPr="00E60197">
        <w:rPr>
          <w:b/>
        </w:rPr>
        <w:t>cent of</w:t>
      </w:r>
      <w:r w:rsidR="0031718A" w:rsidRPr="00E60197">
        <w:rPr>
          <w:b/>
        </w:rPr>
        <w:t xml:space="preserve"> investments receiving a score of</w:t>
      </w:r>
      <w:r w:rsidRPr="00E60197">
        <w:rPr>
          <w:b/>
        </w:rPr>
        <w:t xml:space="preserve"> ‘4’ or above.</w:t>
      </w:r>
      <w:r w:rsidRPr="00E60197">
        <w:t xml:space="preserve"> </w:t>
      </w:r>
      <w:r w:rsidR="00453BBA">
        <w:t xml:space="preserve"> </w:t>
      </w:r>
      <w:r w:rsidR="0031718A" w:rsidRPr="00E60197">
        <w:t>T</w:t>
      </w:r>
      <w:r w:rsidRPr="00E60197">
        <w:t xml:space="preserve">he transport program was an </w:t>
      </w:r>
      <w:r w:rsidR="00453BBA" w:rsidRPr="00E60197">
        <w:t>Investment Requiring Improvement</w:t>
      </w:r>
      <w:r w:rsidR="00453BBA">
        <w:t xml:space="preserve"> </w:t>
      </w:r>
      <w:r w:rsidR="00E60197">
        <w:t>in 2017-</w:t>
      </w:r>
      <w:r w:rsidR="0031718A" w:rsidRPr="00E60197">
        <w:t xml:space="preserve">18, however transport maintenance was </w:t>
      </w:r>
      <w:r w:rsidRPr="00E60197">
        <w:t xml:space="preserve">delivered </w:t>
      </w:r>
      <w:r w:rsidR="0031718A" w:rsidRPr="00E60197">
        <w:t>in line with</w:t>
      </w:r>
      <w:r w:rsidRPr="00E60197">
        <w:t xml:space="preserve"> expectations</w:t>
      </w:r>
      <w:r w:rsidR="00E60197">
        <w:t xml:space="preserve"> in 2018-</w:t>
      </w:r>
      <w:r w:rsidR="0031718A" w:rsidRPr="00E60197">
        <w:t xml:space="preserve">19 and the investment’s rating increased to adequate. </w:t>
      </w:r>
      <w:r w:rsidR="00453BBA">
        <w:t xml:space="preserve"> </w:t>
      </w:r>
      <w:r w:rsidR="0031718A" w:rsidRPr="00E60197">
        <w:t>Despite a successful national election, the effectiveness of our democratic governance investment decreased</w:t>
      </w:r>
      <w:r w:rsidR="00E23A63">
        <w:t>,</w:t>
      </w:r>
      <w:r w:rsidR="0031718A" w:rsidRPr="00E60197">
        <w:t xml:space="preserve"> with a fragmented approach not delivering across all outcome areas.</w:t>
      </w:r>
      <w:r w:rsidR="00453BBA">
        <w:t xml:space="preserve"> </w:t>
      </w:r>
      <w:r w:rsidR="0031718A" w:rsidRPr="00E60197">
        <w:t xml:space="preserve"> The decreased effectiveness rating (5 to 4) for the education investment reflected the limited learning achievement evidence at assessment, however, the recent release of </w:t>
      </w:r>
      <w:r w:rsidR="00EB01FF">
        <w:t xml:space="preserve">regional learning assessment </w:t>
      </w:r>
      <w:r w:rsidR="0031718A" w:rsidRPr="00E60197">
        <w:t>results demonstrated strong progress on learning achievement and good progress.</w:t>
      </w:r>
    </w:p>
    <w:p w:rsidR="00122650" w:rsidRPr="00E60197" w:rsidRDefault="00122650" w:rsidP="00E60197">
      <w:r w:rsidRPr="007C3CFE">
        <w:rPr>
          <w:b/>
        </w:rPr>
        <w:t>The efficiency of investments remained stable with 91 per</w:t>
      </w:r>
      <w:r w:rsidR="00E60197" w:rsidRPr="007C3CFE">
        <w:rPr>
          <w:b/>
        </w:rPr>
        <w:t xml:space="preserve"> </w:t>
      </w:r>
      <w:r w:rsidRPr="007C3CFE">
        <w:rPr>
          <w:b/>
        </w:rPr>
        <w:t>cent of investments rated ‘4’ or above.</w:t>
      </w:r>
      <w:r w:rsidRPr="00E60197">
        <w:t xml:space="preserve"> </w:t>
      </w:r>
      <w:r w:rsidR="00453BBA">
        <w:t xml:space="preserve"> </w:t>
      </w:r>
      <w:r w:rsidRPr="00E60197">
        <w:t>The o</w:t>
      </w:r>
      <w:r w:rsidR="007C3CFE">
        <w:t>nly program to improve</w:t>
      </w:r>
      <w:r w:rsidRPr="00E60197">
        <w:t xml:space="preserve"> its efficiency was justice, with difficult</w:t>
      </w:r>
      <w:r w:rsidR="00453BBA">
        <w:t>-</w:t>
      </w:r>
      <w:r w:rsidRPr="00E60197">
        <w:t>to</w:t>
      </w:r>
      <w:r w:rsidR="00453BBA">
        <w:t>-</w:t>
      </w:r>
      <w:r w:rsidRPr="00E60197">
        <w:t>fill advisor roles being ap</w:t>
      </w:r>
      <w:r w:rsidR="00EB01FF">
        <w:t>pointed during 2018</w:t>
      </w:r>
      <w:r w:rsidR="00EB01FF">
        <w:noBreakHyphen/>
      </w:r>
      <w:r w:rsidRPr="00E60197">
        <w:t xml:space="preserve">19. </w:t>
      </w:r>
      <w:r w:rsidR="00453BBA">
        <w:t xml:space="preserve"> </w:t>
      </w:r>
      <w:r w:rsidRPr="00E60197">
        <w:t>The transport program’s efficiency remained less than adequate</w:t>
      </w:r>
      <w:r w:rsidR="007C3CFE">
        <w:t>.</w:t>
      </w:r>
      <w:r w:rsidRPr="00E60197">
        <w:t xml:space="preserve"> </w:t>
      </w:r>
      <w:r w:rsidR="00453BBA">
        <w:t xml:space="preserve"> </w:t>
      </w:r>
      <w:r w:rsidRPr="00E60197">
        <w:t xml:space="preserve">Australia will continue </w:t>
      </w:r>
      <w:r w:rsidR="007C3CFE">
        <w:t>the program</w:t>
      </w:r>
      <w:r w:rsidRPr="00E60197">
        <w:t xml:space="preserve"> to</w:t>
      </w:r>
      <w:r w:rsidR="007C3CFE">
        <w:t xml:space="preserve"> protect existing contributions, but is considering more efficient mechanisms to engage in </w:t>
      </w:r>
      <w:r w:rsidRPr="00E60197">
        <w:t>future transport support.</w:t>
      </w:r>
    </w:p>
    <w:p w:rsidR="00F070DC" w:rsidRPr="00E60197" w:rsidRDefault="00F070DC" w:rsidP="00E60197">
      <w:r w:rsidRPr="007C3CFE">
        <w:rPr>
          <w:b/>
        </w:rPr>
        <w:t>The Solomon Islands progra</w:t>
      </w:r>
      <w:r w:rsidR="007C3CFE" w:rsidRPr="007C3CFE">
        <w:rPr>
          <w:b/>
        </w:rPr>
        <w:t>m exceeded DFAT’s target for 80 per cent</w:t>
      </w:r>
      <w:r w:rsidRPr="007C3CFE">
        <w:rPr>
          <w:b/>
        </w:rPr>
        <w:t xml:space="preserve"> of initiatives to score a ‘4’ or abo</w:t>
      </w:r>
      <w:r w:rsidR="007C3CFE" w:rsidRPr="007C3CFE">
        <w:rPr>
          <w:b/>
        </w:rPr>
        <w:t>ve for gender equality, with 91 per cent</w:t>
      </w:r>
      <w:r w:rsidRPr="007C3CFE">
        <w:rPr>
          <w:b/>
        </w:rPr>
        <w:t xml:space="preserve"> meeting the required standard.</w:t>
      </w:r>
      <w:r w:rsidR="007C3CFE">
        <w:t xml:space="preserve"> </w:t>
      </w:r>
      <w:r w:rsidR="00453BBA">
        <w:t xml:space="preserve"> </w:t>
      </w:r>
      <w:r w:rsidRPr="00E60197">
        <w:t xml:space="preserve">The </w:t>
      </w:r>
      <w:r w:rsidR="00F12BE6" w:rsidRPr="00E60197">
        <w:t xml:space="preserve">gender rating for the urbanisation investment </w:t>
      </w:r>
      <w:r w:rsidR="00122650" w:rsidRPr="00E60197">
        <w:t xml:space="preserve">decreased to poor, primarily due to gender not being </w:t>
      </w:r>
      <w:r w:rsidR="00F12BE6" w:rsidRPr="00E60197">
        <w:t>an objective of the investment. The urbanisation investment will be closed in 2019.</w:t>
      </w:r>
    </w:p>
    <w:p w:rsidR="00600479" w:rsidRDefault="00600479" w:rsidP="00600479">
      <w:pPr>
        <w:rPr>
          <w:sz w:val="32"/>
          <w:szCs w:val="32"/>
          <w:lang w:eastAsia="zh-CN"/>
        </w:rPr>
      </w:pPr>
      <w:r w:rsidRPr="005F574B">
        <w:rPr>
          <w:sz w:val="32"/>
          <w:szCs w:val="32"/>
          <w:lang w:eastAsia="zh-CN"/>
        </w:rPr>
        <w:t>Performance of key delivery partners</w:t>
      </w:r>
    </w:p>
    <w:p w:rsidR="0074617A" w:rsidRDefault="0074617A" w:rsidP="0074617A">
      <w:r w:rsidRPr="00DF78C7">
        <w:rPr>
          <w:b/>
        </w:rPr>
        <w:t>In 2018-19, Australia delivered the majority of its aid through three types of partners</w:t>
      </w:r>
      <w:r>
        <w:t>: the private sector (43</w:t>
      </w:r>
      <w:r w:rsidR="00453BBA">
        <w:t> </w:t>
      </w:r>
      <w:r>
        <w:t xml:space="preserve">per cent), </w:t>
      </w:r>
      <w:r w:rsidR="00453BBA">
        <w:t xml:space="preserve">the </w:t>
      </w:r>
      <w:r>
        <w:t>Solomon Islands</w:t>
      </w:r>
      <w:r w:rsidR="00453BBA">
        <w:t xml:space="preserve"> Government</w:t>
      </w:r>
      <w:r>
        <w:t xml:space="preserve"> (28 per</w:t>
      </w:r>
      <w:r w:rsidR="00A07975">
        <w:t xml:space="preserve"> </w:t>
      </w:r>
      <w:r>
        <w:t>cent), and multilateral organisations (17 per cent)</w:t>
      </w:r>
      <w:r>
        <w:rPr>
          <w:rStyle w:val="FootnoteReference"/>
        </w:rPr>
        <w:footnoteReference w:id="15"/>
      </w:r>
      <w:r>
        <w:t>.  This investment is complemented by investment in non-government organisations through the Australian NGO Cooperation Program and the Australian Humanitarian Partnership.</w:t>
      </w:r>
    </w:p>
    <w:p w:rsidR="00DF78C7" w:rsidRDefault="00DF78C7" w:rsidP="00DF78C7">
      <w:r w:rsidRPr="00DF78C7">
        <w:rPr>
          <w:b/>
        </w:rPr>
        <w:t>In 2018</w:t>
      </w:r>
      <w:r w:rsidR="00453BBA">
        <w:rPr>
          <w:b/>
        </w:rPr>
        <w:t>-</w:t>
      </w:r>
      <w:r w:rsidRPr="00DF78C7">
        <w:rPr>
          <w:b/>
        </w:rPr>
        <w:t>19, ten Partner Performance Assessment (PPAs) were completed to assess the performance of delivery partners for agreements valued over $3 million</w:t>
      </w:r>
      <w:r>
        <w:t xml:space="preserve">. </w:t>
      </w:r>
      <w:r w:rsidR="00453BBA">
        <w:t xml:space="preserve"> </w:t>
      </w:r>
      <w:r>
        <w:t xml:space="preserve">Effective partner </w:t>
      </w:r>
      <w:r w:rsidR="00E66F65">
        <w:t>personnel</w:t>
      </w:r>
      <w:r>
        <w:t xml:space="preserve"> was highly rated with only World Bank and Adam Smith </w:t>
      </w:r>
      <w:r w:rsidR="00E66F65">
        <w:t>personnel</w:t>
      </w:r>
      <w:r>
        <w:t xml:space="preserve"> rated as less than satisfactory.  As per last year’s assessment, collaboration, effective communication and responsiveness to emerging issues was rated positively with 90</w:t>
      </w:r>
      <w:r w:rsidR="00453BBA">
        <w:t> </w:t>
      </w:r>
      <w:r w:rsidR="00B6217E">
        <w:t>per cent</w:t>
      </w:r>
      <w:r>
        <w:t xml:space="preserve"> of partnerships rated positively.  In 2018-19, World Bank was the only partnership rated as less than adequate across more than two criteria reflecting significant issues with </w:t>
      </w:r>
      <w:r w:rsidR="0027449B">
        <w:t xml:space="preserve">the </w:t>
      </w:r>
      <w:r>
        <w:t xml:space="preserve">World Bank’s management of the Tina Hydropower project.  In response, the World Bank has undertaken to improve reporting </w:t>
      </w:r>
      <w:r>
        <w:lastRenderedPageBreak/>
        <w:t xml:space="preserve">standards for the project, including monthly stakeholder meetings. </w:t>
      </w:r>
      <w:r w:rsidR="00453BBA">
        <w:t xml:space="preserve"> </w:t>
      </w:r>
      <w:r>
        <w:t xml:space="preserve">Our partnership with Oxfam was rated less than adequate for impact and value for money, due to </w:t>
      </w:r>
      <w:r w:rsidR="0027449B">
        <w:t xml:space="preserve">the </w:t>
      </w:r>
      <w:r>
        <w:t xml:space="preserve">complex nature of provincial service delivery. </w:t>
      </w:r>
    </w:p>
    <w:p w:rsidR="002A51CA" w:rsidRPr="002A51CA" w:rsidRDefault="002A51CA" w:rsidP="00CF62AE">
      <w:pPr>
        <w:pStyle w:val="Heading2"/>
        <w:spacing w:before="360" w:line="300" w:lineRule="exact"/>
      </w:pPr>
      <w:r w:rsidRPr="002A51CA">
        <w:t>Risks</w:t>
      </w:r>
    </w:p>
    <w:p w:rsidR="00B069EE" w:rsidRDefault="00B069EE" w:rsidP="00E66F65">
      <w:pPr>
        <w:spacing w:before="20" w:after="20" w:line="180" w:lineRule="atLeast"/>
      </w:pPr>
      <w:r w:rsidRPr="00985309">
        <w:rPr>
          <w:b/>
        </w:rPr>
        <w:t xml:space="preserve">Solomon Islands remains a high risk context to deliver development assistance. </w:t>
      </w:r>
      <w:r w:rsidR="00453BBA">
        <w:rPr>
          <w:b/>
        </w:rPr>
        <w:t xml:space="preserve"> </w:t>
      </w:r>
      <w:r w:rsidRPr="00985309">
        <w:t xml:space="preserve">Throughout 2018-19, </w:t>
      </w:r>
      <w:r w:rsidR="008B41C8">
        <w:t>DFAT’s Honiara</w:t>
      </w:r>
      <w:r w:rsidR="008B41C8" w:rsidRPr="00985309">
        <w:t xml:space="preserve"> </w:t>
      </w:r>
      <w:r w:rsidRPr="00985309">
        <w:t xml:space="preserve">leadership continued to have strong oversight of risk through quarterly </w:t>
      </w:r>
      <w:r w:rsidR="00303A95">
        <w:t>P</w:t>
      </w:r>
      <w:r w:rsidRPr="00985309">
        <w:t>ost risk meetings.</w:t>
      </w:r>
      <w:r w:rsidRPr="006C36FF">
        <w:t xml:space="preserve"> </w:t>
      </w:r>
      <w:r w:rsidR="00453BBA">
        <w:t xml:space="preserve"> </w:t>
      </w:r>
      <w:r>
        <w:t>A dedicated risk focal point conducted quarterly spot check on investment risk registers and monitors compliance with aid risk management policies. Key risks are summarised in table 3.</w:t>
      </w:r>
    </w:p>
    <w:p w:rsidR="00C731DB" w:rsidRDefault="002A51CA">
      <w:r w:rsidRPr="008C2F58">
        <w:rPr>
          <w:b/>
          <w:sz w:val="24"/>
        </w:rPr>
        <w:t>Table 3</w:t>
      </w:r>
      <w:r w:rsidR="00332EC9">
        <w:rPr>
          <w:b/>
          <w:sz w:val="24"/>
        </w:rPr>
        <w:t>:</w:t>
      </w:r>
      <w:r w:rsidRPr="008C2F58">
        <w:rPr>
          <w:b/>
          <w:sz w:val="24"/>
        </w:rPr>
        <w:t xml:space="preserve"> Management of Key Risks to Achieving Objectives</w:t>
      </w:r>
    </w:p>
    <w:tbl>
      <w:tblPr>
        <w:tblStyle w:val="APPR"/>
        <w:tblpPr w:leftFromText="180" w:rightFromText="180" w:vertAnchor="text" w:tblpY="1"/>
        <w:tblOverlap w:val="never"/>
        <w:tblW w:w="4923" w:type="pct"/>
        <w:tblBorders>
          <w:top w:val="single" w:sz="4" w:space="0" w:color="000000" w:themeColor="text1"/>
          <w:bottom w:val="single" w:sz="4" w:space="0" w:color="000000" w:themeColor="text1"/>
        </w:tblBorders>
        <w:tblLayout w:type="fixed"/>
        <w:tblLook w:val="0600" w:firstRow="0" w:lastRow="0" w:firstColumn="0" w:lastColumn="0" w:noHBand="1" w:noVBand="1"/>
      </w:tblPr>
      <w:tblGrid>
        <w:gridCol w:w="2266"/>
        <w:gridCol w:w="3688"/>
        <w:gridCol w:w="1701"/>
        <w:gridCol w:w="709"/>
        <w:gridCol w:w="1126"/>
      </w:tblGrid>
      <w:tr w:rsidR="002038EB" w:rsidRPr="00C61187" w:rsidTr="005B4D51">
        <w:trPr>
          <w:trHeight w:val="20"/>
        </w:trPr>
        <w:tc>
          <w:tcPr>
            <w:tcW w:w="2224" w:type="dxa"/>
            <w:hideMark/>
          </w:tcPr>
          <w:p w:rsidR="002038EB" w:rsidRPr="00BE6C6D" w:rsidRDefault="002038EB" w:rsidP="00F92008">
            <w:pPr>
              <w:rPr>
                <w:rFonts w:asciiTheme="minorHAnsi" w:hAnsiTheme="minorHAnsi"/>
                <w:b/>
              </w:rPr>
            </w:pPr>
            <w:r w:rsidRPr="00BE6C6D">
              <w:rPr>
                <w:rFonts w:asciiTheme="minorHAnsi" w:hAnsiTheme="minorHAnsi"/>
                <w:b/>
              </w:rPr>
              <w:t>Key risks</w:t>
            </w:r>
            <w:r>
              <w:rPr>
                <w:rFonts w:asciiTheme="minorHAnsi" w:hAnsiTheme="minorHAnsi"/>
                <w:b/>
              </w:rPr>
              <w:t xml:space="preserve"> (emerging and ongoing)</w:t>
            </w:r>
          </w:p>
        </w:tc>
        <w:tc>
          <w:tcPr>
            <w:tcW w:w="3660" w:type="dxa"/>
          </w:tcPr>
          <w:p w:rsidR="002038EB" w:rsidRPr="00BE6C6D" w:rsidRDefault="002038EB" w:rsidP="00F92008">
            <w:pPr>
              <w:rPr>
                <w:rFonts w:asciiTheme="minorHAnsi" w:hAnsiTheme="minorHAnsi"/>
                <w:b/>
              </w:rPr>
            </w:pPr>
            <w:r w:rsidRPr="00BE6C6D">
              <w:rPr>
                <w:rFonts w:asciiTheme="minorHAnsi" w:hAnsiTheme="minorHAnsi"/>
                <w:b/>
              </w:rPr>
              <w:t>What actions were taken to manage the risks over the past year?</w:t>
            </w:r>
          </w:p>
        </w:tc>
        <w:tc>
          <w:tcPr>
            <w:tcW w:w="1673" w:type="dxa"/>
            <w:shd w:val="clear" w:color="auto" w:fill="auto"/>
          </w:tcPr>
          <w:p w:rsidR="002038EB" w:rsidRPr="00BE6C6D" w:rsidRDefault="002038EB" w:rsidP="00F92008">
            <w:pPr>
              <w:rPr>
                <w:rFonts w:asciiTheme="minorHAnsi" w:hAnsiTheme="minorHAnsi"/>
                <w:b/>
              </w:rPr>
            </w:pPr>
            <w:r w:rsidRPr="006C36FF">
              <w:rPr>
                <w:rFonts w:asciiTheme="minorHAnsi" w:hAnsiTheme="minorHAnsi"/>
                <w:b/>
              </w:rPr>
              <w:t>What further actions will be taken to manage the risks in the coming year?</w:t>
            </w:r>
          </w:p>
        </w:tc>
        <w:tc>
          <w:tcPr>
            <w:tcW w:w="681" w:type="dxa"/>
          </w:tcPr>
          <w:p w:rsidR="002038EB" w:rsidRPr="00BE6C6D" w:rsidRDefault="002038EB" w:rsidP="00F92008">
            <w:pPr>
              <w:rPr>
                <w:rFonts w:asciiTheme="minorHAnsi" w:hAnsiTheme="minorHAnsi"/>
                <w:b/>
              </w:rPr>
            </w:pPr>
            <w:r w:rsidRPr="00BE6C6D">
              <w:rPr>
                <w:rFonts w:asciiTheme="minorHAnsi" w:hAnsiTheme="minorHAnsi"/>
                <w:b/>
              </w:rPr>
              <w:t xml:space="preserve">Risk Rating </w:t>
            </w:r>
          </w:p>
        </w:tc>
        <w:tc>
          <w:tcPr>
            <w:tcW w:w="1084" w:type="dxa"/>
            <w:shd w:val="clear" w:color="auto" w:fill="auto"/>
          </w:tcPr>
          <w:p w:rsidR="002038EB" w:rsidRPr="006C36FF" w:rsidRDefault="002038EB" w:rsidP="00F92008">
            <w:pPr>
              <w:rPr>
                <w:rFonts w:asciiTheme="minorHAnsi" w:hAnsiTheme="minorHAnsi"/>
                <w:b/>
              </w:rPr>
            </w:pPr>
            <w:r w:rsidRPr="006C36FF">
              <w:rPr>
                <w:rFonts w:asciiTheme="minorHAnsi" w:hAnsiTheme="minorHAnsi"/>
                <w:b/>
              </w:rPr>
              <w:t xml:space="preserve">Included in Post’s Risk Register </w:t>
            </w:r>
          </w:p>
        </w:tc>
      </w:tr>
      <w:tr w:rsidR="002038EB" w:rsidRPr="00C61187" w:rsidTr="005B4D51">
        <w:trPr>
          <w:trHeight w:val="20"/>
        </w:trPr>
        <w:tc>
          <w:tcPr>
            <w:tcW w:w="2224" w:type="dxa"/>
            <w:hideMark/>
          </w:tcPr>
          <w:p w:rsidR="002038EB" w:rsidRPr="00F55BB3" w:rsidRDefault="002038EB" w:rsidP="00F92008">
            <w:pPr>
              <w:keepLines/>
              <w:spacing w:before="40" w:after="40" w:line="200" w:lineRule="atLeast"/>
              <w:rPr>
                <w:rFonts w:asciiTheme="minorHAnsi" w:eastAsia="Times New Roman" w:hAnsiTheme="minorHAnsi"/>
                <w:iCs/>
                <w:szCs w:val="17"/>
              </w:rPr>
            </w:pPr>
            <w:r w:rsidRPr="00F55BB3">
              <w:rPr>
                <w:rFonts w:asciiTheme="minorHAnsi" w:eastAsia="Times New Roman" w:hAnsiTheme="minorHAnsi"/>
                <w:iCs/>
                <w:szCs w:val="17"/>
              </w:rPr>
              <w:t>Security environment deteriorates.</w:t>
            </w:r>
          </w:p>
        </w:tc>
        <w:tc>
          <w:tcPr>
            <w:tcW w:w="3660" w:type="dxa"/>
          </w:tcPr>
          <w:p w:rsidR="002038EB" w:rsidRPr="00F55BB3" w:rsidRDefault="002038EB" w:rsidP="008B41C8">
            <w:pPr>
              <w:keepLines/>
              <w:spacing w:before="40" w:after="40" w:line="200" w:lineRule="atLeast"/>
              <w:rPr>
                <w:rFonts w:asciiTheme="minorHAnsi" w:eastAsia="Times New Roman" w:hAnsiTheme="minorHAnsi"/>
                <w:iCs/>
                <w:szCs w:val="17"/>
              </w:rPr>
            </w:pPr>
            <w:r w:rsidRPr="00F55BB3">
              <w:rPr>
                <w:rFonts w:asciiTheme="minorHAnsi" w:eastAsia="Times New Roman" w:hAnsiTheme="minorHAnsi"/>
                <w:iCs/>
                <w:szCs w:val="17"/>
              </w:rPr>
              <w:t>Tested Crisis Action Plan; Short term position recruited to update Post security procedures; Post, including AFP, engages with S</w:t>
            </w:r>
            <w:r>
              <w:rPr>
                <w:rFonts w:asciiTheme="minorHAnsi" w:eastAsia="Times New Roman" w:hAnsiTheme="minorHAnsi"/>
                <w:iCs/>
                <w:szCs w:val="17"/>
              </w:rPr>
              <w:t>olomon Islands Government</w:t>
            </w:r>
            <w:r w:rsidRPr="00F55BB3">
              <w:rPr>
                <w:rFonts w:asciiTheme="minorHAnsi" w:eastAsia="Times New Roman" w:hAnsiTheme="minorHAnsi"/>
                <w:iCs/>
                <w:szCs w:val="17"/>
              </w:rPr>
              <w:t xml:space="preserve"> and other partners to monitor security situation; Post ensures travel advice on Smart Traveller is up to date; Police development and Justice program</w:t>
            </w:r>
            <w:r>
              <w:rPr>
                <w:rFonts w:asciiTheme="minorHAnsi" w:eastAsia="Times New Roman" w:hAnsiTheme="minorHAnsi"/>
                <w:iCs/>
                <w:szCs w:val="17"/>
              </w:rPr>
              <w:t>s; and Defence Cooperation Program.</w:t>
            </w:r>
          </w:p>
        </w:tc>
        <w:tc>
          <w:tcPr>
            <w:tcW w:w="1673" w:type="dxa"/>
          </w:tcPr>
          <w:p w:rsidR="002038EB" w:rsidRPr="00C61187" w:rsidRDefault="002038EB" w:rsidP="00F92008">
            <w:pPr>
              <w:keepLines/>
              <w:spacing w:before="40" w:after="40" w:line="200" w:lineRule="atLeast"/>
              <w:rPr>
                <w:rFonts w:eastAsia="Times New Roman"/>
                <w:iCs/>
                <w:szCs w:val="17"/>
                <w:lang w:eastAsia="en-US"/>
              </w:rPr>
            </w:pPr>
            <w:r w:rsidRPr="002E47AA">
              <w:rPr>
                <w:rFonts w:asciiTheme="minorHAnsi" w:eastAsia="Times New Roman" w:hAnsiTheme="minorHAnsi"/>
                <w:iCs/>
                <w:szCs w:val="17"/>
              </w:rPr>
              <w:t>Update and reissue staff policy circulars (including security advice) by September 2019</w:t>
            </w:r>
          </w:p>
        </w:tc>
        <w:tc>
          <w:tcPr>
            <w:tcW w:w="681" w:type="dxa"/>
          </w:tcPr>
          <w:p w:rsidR="002038EB" w:rsidRPr="00DC069A" w:rsidRDefault="002038EB" w:rsidP="00F92008">
            <w:pPr>
              <w:keepLines/>
              <w:spacing w:before="40" w:after="40" w:line="200" w:lineRule="atLeast"/>
              <w:rPr>
                <w:rFonts w:asciiTheme="minorHAnsi" w:eastAsia="Times New Roman" w:hAnsiTheme="minorHAnsi"/>
                <w:iCs/>
                <w:szCs w:val="17"/>
              </w:rPr>
            </w:pPr>
            <w:r w:rsidRPr="00DC069A">
              <w:rPr>
                <w:rFonts w:asciiTheme="minorHAnsi" w:eastAsia="Times New Roman" w:hAnsiTheme="minorHAnsi"/>
                <w:iCs/>
                <w:szCs w:val="17"/>
              </w:rPr>
              <w:t>High</w:t>
            </w:r>
          </w:p>
        </w:tc>
        <w:tc>
          <w:tcPr>
            <w:tcW w:w="1084" w:type="dxa"/>
          </w:tcPr>
          <w:p w:rsidR="002038EB" w:rsidRPr="00DC069A" w:rsidRDefault="002038EB" w:rsidP="00F92008">
            <w:pPr>
              <w:keepLines/>
              <w:spacing w:before="40" w:after="40" w:line="200" w:lineRule="atLeast"/>
              <w:rPr>
                <w:rFonts w:asciiTheme="minorHAnsi" w:eastAsia="Times New Roman" w:hAnsiTheme="minorHAnsi"/>
                <w:iCs/>
                <w:szCs w:val="17"/>
              </w:rPr>
            </w:pPr>
            <w:r w:rsidRPr="00DC069A">
              <w:rPr>
                <w:rFonts w:asciiTheme="minorHAnsi" w:eastAsia="Times New Roman" w:hAnsiTheme="minorHAnsi"/>
                <w:iCs/>
                <w:szCs w:val="17"/>
              </w:rPr>
              <w:t>Yes</w:t>
            </w:r>
          </w:p>
        </w:tc>
      </w:tr>
      <w:tr w:rsidR="002038EB" w:rsidRPr="00C61187" w:rsidTr="005B4D51">
        <w:trPr>
          <w:trHeight w:val="20"/>
        </w:trPr>
        <w:tc>
          <w:tcPr>
            <w:tcW w:w="2224" w:type="dxa"/>
          </w:tcPr>
          <w:p w:rsidR="002038EB" w:rsidRPr="00F55BB3" w:rsidRDefault="002038EB" w:rsidP="00F92008">
            <w:pPr>
              <w:keepLines/>
              <w:spacing w:before="40" w:after="40" w:line="200" w:lineRule="atLeast"/>
              <w:rPr>
                <w:rFonts w:asciiTheme="minorHAnsi" w:eastAsia="Times New Roman" w:hAnsiTheme="minorHAnsi"/>
                <w:iCs/>
                <w:szCs w:val="17"/>
              </w:rPr>
            </w:pPr>
            <w:r w:rsidRPr="00F55BB3">
              <w:rPr>
                <w:rFonts w:asciiTheme="minorHAnsi" w:eastAsia="Times New Roman" w:hAnsiTheme="minorHAnsi"/>
                <w:iCs/>
                <w:szCs w:val="17"/>
              </w:rPr>
              <w:t xml:space="preserve">Local emergency responders are unable to </w:t>
            </w:r>
            <w:r>
              <w:rPr>
                <w:rFonts w:asciiTheme="minorHAnsi" w:eastAsia="Times New Roman" w:hAnsiTheme="minorHAnsi"/>
                <w:iCs/>
                <w:szCs w:val="17"/>
              </w:rPr>
              <w:t>respond</w:t>
            </w:r>
            <w:r w:rsidRPr="00F55BB3">
              <w:rPr>
                <w:rFonts w:asciiTheme="minorHAnsi" w:eastAsia="Times New Roman" w:hAnsiTheme="minorHAnsi"/>
                <w:iCs/>
                <w:szCs w:val="17"/>
              </w:rPr>
              <w:t xml:space="preserve"> to natural disaster and/or other emergencies.</w:t>
            </w:r>
          </w:p>
        </w:tc>
        <w:tc>
          <w:tcPr>
            <w:tcW w:w="3660" w:type="dxa"/>
          </w:tcPr>
          <w:p w:rsidR="002038EB" w:rsidRPr="00F55BB3" w:rsidRDefault="002038EB" w:rsidP="008B41C8">
            <w:pPr>
              <w:keepLines/>
              <w:spacing w:before="40" w:after="40" w:line="200" w:lineRule="atLeast"/>
              <w:rPr>
                <w:rFonts w:asciiTheme="minorHAnsi" w:eastAsia="Times New Roman" w:hAnsiTheme="minorHAnsi"/>
                <w:iCs/>
                <w:szCs w:val="17"/>
              </w:rPr>
            </w:pPr>
            <w:r w:rsidRPr="00F55BB3">
              <w:rPr>
                <w:rFonts w:asciiTheme="minorHAnsi" w:eastAsia="Times New Roman" w:hAnsiTheme="minorHAnsi"/>
                <w:iCs/>
                <w:szCs w:val="17"/>
              </w:rPr>
              <w:t>Crisis Action Plan</w:t>
            </w:r>
            <w:r>
              <w:rPr>
                <w:rFonts w:asciiTheme="minorHAnsi" w:eastAsia="Times New Roman" w:hAnsiTheme="minorHAnsi"/>
                <w:iCs/>
                <w:szCs w:val="17"/>
              </w:rPr>
              <w:t xml:space="preserve"> (CAP)</w:t>
            </w:r>
            <w:r w:rsidRPr="00F55BB3">
              <w:rPr>
                <w:rFonts w:asciiTheme="minorHAnsi" w:eastAsia="Times New Roman" w:hAnsiTheme="minorHAnsi"/>
                <w:iCs/>
                <w:szCs w:val="17"/>
              </w:rPr>
              <w:t xml:space="preserve"> sets out response to disaster, including Business Continuity Planning;  </w:t>
            </w:r>
            <w:r>
              <w:rPr>
                <w:rFonts w:asciiTheme="minorHAnsi" w:eastAsia="Times New Roman" w:hAnsiTheme="minorHAnsi"/>
                <w:iCs/>
                <w:szCs w:val="17"/>
              </w:rPr>
              <w:t xml:space="preserve">Solomon Islands Section </w:t>
            </w:r>
            <w:r w:rsidRPr="00F55BB3">
              <w:rPr>
                <w:rFonts w:asciiTheme="minorHAnsi" w:eastAsia="Times New Roman" w:hAnsiTheme="minorHAnsi"/>
                <w:iCs/>
                <w:szCs w:val="17"/>
              </w:rPr>
              <w:t xml:space="preserve">to play key role in administering programs in event that a natural disaster means this cannot be done at Post; Expect to be able to draw on central Humanitarian funding and other Pacific bilateral programs to some extent to support funding for disaster response; </w:t>
            </w:r>
            <w:r>
              <w:rPr>
                <w:rFonts w:asciiTheme="minorHAnsi" w:eastAsia="Times New Roman" w:hAnsiTheme="minorHAnsi"/>
                <w:iCs/>
                <w:szCs w:val="17"/>
              </w:rPr>
              <w:t>Post</w:t>
            </w:r>
            <w:r w:rsidRPr="00F55BB3">
              <w:rPr>
                <w:rFonts w:asciiTheme="minorHAnsi" w:eastAsia="Times New Roman" w:hAnsiTheme="minorHAnsi"/>
                <w:iCs/>
                <w:szCs w:val="17"/>
              </w:rPr>
              <w:t xml:space="preserve"> support to </w:t>
            </w:r>
            <w:r>
              <w:rPr>
                <w:rFonts w:asciiTheme="minorHAnsi" w:eastAsia="Times New Roman" w:hAnsiTheme="minorHAnsi"/>
                <w:iCs/>
                <w:szCs w:val="17"/>
              </w:rPr>
              <w:t xml:space="preserve">the </w:t>
            </w:r>
            <w:r w:rsidR="008B41C8">
              <w:rPr>
                <w:rFonts w:asciiTheme="minorHAnsi" w:eastAsia="Times New Roman" w:hAnsiTheme="minorHAnsi"/>
                <w:iCs/>
                <w:szCs w:val="17"/>
              </w:rPr>
              <w:t>NDMO</w:t>
            </w:r>
            <w:r w:rsidRPr="00F55BB3">
              <w:rPr>
                <w:rFonts w:asciiTheme="minorHAnsi" w:eastAsia="Times New Roman" w:hAnsiTheme="minorHAnsi"/>
                <w:iCs/>
                <w:szCs w:val="17"/>
              </w:rPr>
              <w:t xml:space="preserve"> for disaster preparedness; CAP Committee briefing; and </w:t>
            </w:r>
            <w:r>
              <w:rPr>
                <w:rFonts w:asciiTheme="minorHAnsi" w:eastAsia="Times New Roman" w:hAnsiTheme="minorHAnsi"/>
                <w:iCs/>
                <w:szCs w:val="17"/>
              </w:rPr>
              <w:t>Crisis Preparedness Assurance Team (</w:t>
            </w:r>
            <w:r w:rsidRPr="00F55BB3">
              <w:rPr>
                <w:rFonts w:asciiTheme="minorHAnsi" w:eastAsia="Times New Roman" w:hAnsiTheme="minorHAnsi"/>
                <w:iCs/>
                <w:szCs w:val="17"/>
              </w:rPr>
              <w:t>CPAT</w:t>
            </w:r>
            <w:r>
              <w:rPr>
                <w:rFonts w:asciiTheme="minorHAnsi" w:eastAsia="Times New Roman" w:hAnsiTheme="minorHAnsi"/>
                <w:iCs/>
                <w:szCs w:val="17"/>
              </w:rPr>
              <w:t>)</w:t>
            </w:r>
            <w:r w:rsidRPr="00F55BB3">
              <w:rPr>
                <w:rFonts w:asciiTheme="minorHAnsi" w:eastAsia="Times New Roman" w:hAnsiTheme="minorHAnsi"/>
                <w:iCs/>
                <w:szCs w:val="17"/>
              </w:rPr>
              <w:t xml:space="preserve"> testing of CAP (Feb 19);</w:t>
            </w:r>
          </w:p>
        </w:tc>
        <w:tc>
          <w:tcPr>
            <w:tcW w:w="1673" w:type="dxa"/>
          </w:tcPr>
          <w:p w:rsidR="002038EB" w:rsidRPr="002E47AA" w:rsidRDefault="002038EB" w:rsidP="00F92008">
            <w:pPr>
              <w:keepLines/>
              <w:spacing w:before="40" w:after="40" w:line="200" w:lineRule="atLeast"/>
              <w:rPr>
                <w:rFonts w:asciiTheme="minorHAnsi" w:eastAsia="Times New Roman" w:hAnsiTheme="minorHAnsi"/>
                <w:iCs/>
                <w:szCs w:val="17"/>
              </w:rPr>
            </w:pPr>
            <w:r w:rsidRPr="002E47AA">
              <w:rPr>
                <w:rFonts w:asciiTheme="minorHAnsi" w:eastAsia="Times New Roman" w:hAnsiTheme="minorHAnsi"/>
                <w:iCs/>
                <w:szCs w:val="17"/>
              </w:rPr>
              <w:t>Disaster response simulation as part of ‘</w:t>
            </w:r>
            <w:proofErr w:type="spellStart"/>
            <w:r w:rsidRPr="002E47AA">
              <w:rPr>
                <w:rFonts w:asciiTheme="minorHAnsi" w:eastAsia="Times New Roman" w:hAnsiTheme="minorHAnsi"/>
                <w:iCs/>
                <w:szCs w:val="17"/>
              </w:rPr>
              <w:t>Coastwatchers</w:t>
            </w:r>
            <w:proofErr w:type="spellEnd"/>
            <w:r w:rsidRPr="002E47AA">
              <w:rPr>
                <w:rFonts w:asciiTheme="minorHAnsi" w:eastAsia="Times New Roman" w:hAnsiTheme="minorHAnsi"/>
                <w:iCs/>
                <w:szCs w:val="17"/>
              </w:rPr>
              <w:t>’ in Aug/Sep 2019</w:t>
            </w:r>
          </w:p>
        </w:tc>
        <w:tc>
          <w:tcPr>
            <w:tcW w:w="681" w:type="dxa"/>
          </w:tcPr>
          <w:p w:rsidR="002038EB" w:rsidRPr="00DC069A" w:rsidRDefault="002038EB" w:rsidP="00F92008">
            <w:pPr>
              <w:keepLines/>
              <w:spacing w:before="40" w:after="40" w:line="200" w:lineRule="atLeast"/>
              <w:rPr>
                <w:rFonts w:asciiTheme="minorHAnsi" w:eastAsia="Times New Roman" w:hAnsiTheme="minorHAnsi"/>
                <w:iCs/>
                <w:szCs w:val="17"/>
              </w:rPr>
            </w:pPr>
            <w:r w:rsidRPr="00DC069A">
              <w:rPr>
                <w:rFonts w:asciiTheme="minorHAnsi" w:eastAsia="Times New Roman" w:hAnsiTheme="minorHAnsi"/>
                <w:iCs/>
                <w:szCs w:val="17"/>
              </w:rPr>
              <w:t>High</w:t>
            </w:r>
          </w:p>
        </w:tc>
        <w:tc>
          <w:tcPr>
            <w:tcW w:w="1084" w:type="dxa"/>
          </w:tcPr>
          <w:p w:rsidR="002038EB" w:rsidRPr="00DC069A" w:rsidRDefault="002038EB" w:rsidP="00F92008">
            <w:pPr>
              <w:keepLines/>
              <w:spacing w:before="40" w:after="40" w:line="200" w:lineRule="atLeast"/>
              <w:rPr>
                <w:rFonts w:asciiTheme="minorHAnsi" w:eastAsia="Times New Roman" w:hAnsiTheme="minorHAnsi"/>
                <w:iCs/>
                <w:szCs w:val="17"/>
              </w:rPr>
            </w:pPr>
            <w:r w:rsidRPr="00DC069A">
              <w:rPr>
                <w:rFonts w:asciiTheme="minorHAnsi" w:eastAsia="Times New Roman" w:hAnsiTheme="minorHAnsi"/>
                <w:iCs/>
                <w:szCs w:val="17"/>
              </w:rPr>
              <w:t>Yes</w:t>
            </w:r>
          </w:p>
        </w:tc>
      </w:tr>
      <w:tr w:rsidR="002038EB" w:rsidRPr="00C61187" w:rsidTr="005B4D51">
        <w:trPr>
          <w:trHeight w:val="20"/>
        </w:trPr>
        <w:tc>
          <w:tcPr>
            <w:tcW w:w="2224" w:type="dxa"/>
          </w:tcPr>
          <w:p w:rsidR="002038EB" w:rsidRPr="00D154B3" w:rsidRDefault="002038EB" w:rsidP="00F92008">
            <w:pPr>
              <w:keepLines/>
              <w:spacing w:before="40" w:after="40" w:line="200" w:lineRule="atLeast"/>
              <w:rPr>
                <w:rFonts w:eastAsia="Times New Roman"/>
                <w:iCs/>
                <w:szCs w:val="17"/>
              </w:rPr>
            </w:pPr>
            <w:r w:rsidRPr="00F55BB3">
              <w:rPr>
                <w:rFonts w:asciiTheme="minorHAnsi" w:eastAsia="Times New Roman" w:hAnsiTheme="minorHAnsi"/>
                <w:iCs/>
                <w:szCs w:val="17"/>
              </w:rPr>
              <w:t>Actual or attempted sexual exploitation, abuse or harassment</w:t>
            </w:r>
          </w:p>
        </w:tc>
        <w:tc>
          <w:tcPr>
            <w:tcW w:w="3660" w:type="dxa"/>
          </w:tcPr>
          <w:p w:rsidR="002038EB" w:rsidRPr="00F55BB3" w:rsidRDefault="002038EB" w:rsidP="00F92008">
            <w:pPr>
              <w:keepLines/>
              <w:spacing w:before="40" w:after="40" w:line="200" w:lineRule="atLeast"/>
              <w:rPr>
                <w:rFonts w:eastAsia="Times New Roman"/>
                <w:iCs/>
                <w:szCs w:val="17"/>
              </w:rPr>
            </w:pPr>
            <w:r w:rsidRPr="00900625">
              <w:rPr>
                <w:rFonts w:asciiTheme="minorHAnsi" w:eastAsia="Times New Roman" w:hAnsiTheme="minorHAnsi"/>
                <w:iCs/>
                <w:szCs w:val="17"/>
              </w:rPr>
              <w:t>DFAT Preventing Sexual Exploitation Abuse and Harassment (PSEAH) policy; SEAH briefing for consultants/</w:t>
            </w:r>
            <w:r>
              <w:rPr>
                <w:rFonts w:asciiTheme="minorHAnsi" w:eastAsia="Times New Roman" w:hAnsiTheme="minorHAnsi"/>
                <w:iCs/>
                <w:szCs w:val="17"/>
              </w:rPr>
              <w:t>technical assistance</w:t>
            </w:r>
            <w:r w:rsidRPr="00900625">
              <w:rPr>
                <w:rFonts w:asciiTheme="minorHAnsi" w:eastAsia="Times New Roman" w:hAnsiTheme="minorHAnsi"/>
                <w:iCs/>
                <w:szCs w:val="17"/>
              </w:rPr>
              <w:t xml:space="preserve"> working on Rennell response</w:t>
            </w:r>
          </w:p>
        </w:tc>
        <w:tc>
          <w:tcPr>
            <w:tcW w:w="1673" w:type="dxa"/>
          </w:tcPr>
          <w:p w:rsidR="002038EB" w:rsidRPr="002E47AA" w:rsidRDefault="002038EB" w:rsidP="00F92008">
            <w:pPr>
              <w:keepLines/>
              <w:spacing w:before="40" w:after="40" w:line="200" w:lineRule="atLeast"/>
              <w:rPr>
                <w:rFonts w:asciiTheme="minorHAnsi" w:eastAsia="Times New Roman" w:hAnsiTheme="minorHAnsi"/>
                <w:iCs/>
                <w:szCs w:val="17"/>
              </w:rPr>
            </w:pPr>
            <w:r w:rsidRPr="002E47AA">
              <w:rPr>
                <w:rFonts w:asciiTheme="minorHAnsi" w:eastAsia="Times New Roman" w:hAnsiTheme="minorHAnsi"/>
                <w:iCs/>
                <w:szCs w:val="17"/>
              </w:rPr>
              <w:t>Update and reissue staff policy circulars (including PSEAH policy) by September 2019</w:t>
            </w:r>
          </w:p>
        </w:tc>
        <w:tc>
          <w:tcPr>
            <w:tcW w:w="681" w:type="dxa"/>
          </w:tcPr>
          <w:p w:rsidR="002038EB" w:rsidRPr="00DC069A" w:rsidRDefault="002038EB" w:rsidP="00F92008">
            <w:pPr>
              <w:keepLines/>
              <w:spacing w:before="40" w:after="40" w:line="200" w:lineRule="atLeast"/>
              <w:rPr>
                <w:rFonts w:eastAsia="Times New Roman"/>
                <w:iCs/>
                <w:szCs w:val="17"/>
              </w:rPr>
            </w:pPr>
            <w:r>
              <w:rPr>
                <w:rFonts w:eastAsia="Times New Roman"/>
                <w:iCs/>
                <w:szCs w:val="17"/>
              </w:rPr>
              <w:t>High</w:t>
            </w:r>
          </w:p>
        </w:tc>
        <w:tc>
          <w:tcPr>
            <w:tcW w:w="1084" w:type="dxa"/>
          </w:tcPr>
          <w:p w:rsidR="002038EB" w:rsidRPr="00DC069A" w:rsidRDefault="002038EB" w:rsidP="00F92008">
            <w:pPr>
              <w:keepLines/>
              <w:spacing w:before="40" w:after="40" w:line="200" w:lineRule="atLeast"/>
              <w:rPr>
                <w:rFonts w:eastAsia="Times New Roman"/>
                <w:iCs/>
                <w:szCs w:val="17"/>
              </w:rPr>
            </w:pPr>
            <w:r>
              <w:rPr>
                <w:rFonts w:eastAsia="Times New Roman"/>
                <w:iCs/>
                <w:szCs w:val="17"/>
              </w:rPr>
              <w:t>Yes</w:t>
            </w:r>
          </w:p>
        </w:tc>
      </w:tr>
      <w:tr w:rsidR="002038EB" w:rsidRPr="00C61187" w:rsidTr="005B4D51">
        <w:trPr>
          <w:trHeight w:val="20"/>
        </w:trPr>
        <w:tc>
          <w:tcPr>
            <w:tcW w:w="2224" w:type="dxa"/>
          </w:tcPr>
          <w:p w:rsidR="002038EB" w:rsidRPr="003E665A" w:rsidRDefault="002038EB" w:rsidP="00F92008">
            <w:pPr>
              <w:keepLines/>
              <w:spacing w:before="40" w:after="40" w:line="200" w:lineRule="atLeast"/>
              <w:rPr>
                <w:rFonts w:asciiTheme="minorHAnsi" w:eastAsia="Times New Roman" w:hAnsiTheme="minorHAnsi" w:cstheme="minorHAnsi"/>
                <w:iCs/>
                <w:color w:val="auto"/>
                <w:sz w:val="16"/>
                <w:szCs w:val="16"/>
              </w:rPr>
            </w:pPr>
            <w:r w:rsidRPr="002E47AA">
              <w:rPr>
                <w:rFonts w:asciiTheme="minorHAnsi" w:eastAsia="Times New Roman" w:hAnsiTheme="minorHAnsi"/>
                <w:iCs/>
                <w:szCs w:val="17"/>
              </w:rPr>
              <w:t>Opportunistic or planned fraud is committed</w:t>
            </w:r>
          </w:p>
        </w:tc>
        <w:tc>
          <w:tcPr>
            <w:tcW w:w="3660" w:type="dxa"/>
          </w:tcPr>
          <w:p w:rsidR="002038EB" w:rsidRPr="00F55BB3" w:rsidRDefault="002038EB" w:rsidP="008B41C8">
            <w:pPr>
              <w:keepLines/>
              <w:spacing w:before="40" w:after="40" w:line="200" w:lineRule="atLeast"/>
              <w:rPr>
                <w:rFonts w:asciiTheme="minorHAnsi" w:eastAsia="Times New Roman" w:hAnsiTheme="minorHAnsi"/>
                <w:iCs/>
                <w:szCs w:val="17"/>
              </w:rPr>
            </w:pPr>
            <w:r w:rsidRPr="002E47AA">
              <w:rPr>
                <w:rFonts w:asciiTheme="minorHAnsi" w:eastAsia="Times New Roman" w:hAnsiTheme="minorHAnsi"/>
                <w:iCs/>
                <w:szCs w:val="17"/>
              </w:rPr>
              <w:t xml:space="preserve">Dedicated  Fraud Strategy; Australian Financial Advisers undertaking compliance checks for Australian budget support payments; Strong internal controls in place to protect against fraud by staff including separation of duties;  Reimbursement model to budget support to health and education sectors, and contracting commercial accounting firms to audit provincial spending; Joint Statement on Zero Tolerance to Fraud; Implementation of recommendations of Post’s response to the Assessment of National System </w:t>
            </w:r>
            <w:r>
              <w:rPr>
                <w:rFonts w:asciiTheme="minorHAnsi" w:eastAsia="Times New Roman" w:hAnsiTheme="minorHAnsi"/>
                <w:iCs/>
                <w:szCs w:val="17"/>
              </w:rPr>
              <w:t>(</w:t>
            </w:r>
            <w:r w:rsidRPr="002E47AA">
              <w:rPr>
                <w:rFonts w:asciiTheme="minorHAnsi" w:eastAsia="Times New Roman" w:hAnsiTheme="minorHAnsi"/>
                <w:iCs/>
                <w:szCs w:val="17"/>
              </w:rPr>
              <w:t>ANS</w:t>
            </w:r>
            <w:r>
              <w:rPr>
                <w:rFonts w:asciiTheme="minorHAnsi" w:eastAsia="Times New Roman" w:hAnsiTheme="minorHAnsi"/>
                <w:iCs/>
                <w:szCs w:val="17"/>
              </w:rPr>
              <w:t>)</w:t>
            </w:r>
            <w:r w:rsidRPr="002E47AA">
              <w:rPr>
                <w:rFonts w:asciiTheme="minorHAnsi" w:eastAsia="Times New Roman" w:hAnsiTheme="minorHAnsi"/>
                <w:iCs/>
                <w:szCs w:val="17"/>
              </w:rPr>
              <w:t xml:space="preserve"> (including 2017 fiduciary risk assessment update) and sector level assessments for </w:t>
            </w:r>
            <w:r>
              <w:rPr>
                <w:rFonts w:asciiTheme="minorHAnsi" w:eastAsia="Times New Roman" w:hAnsiTheme="minorHAnsi"/>
                <w:iCs/>
                <w:szCs w:val="17"/>
              </w:rPr>
              <w:t>public financial management</w:t>
            </w:r>
            <w:r w:rsidRPr="002E47AA">
              <w:rPr>
                <w:rFonts w:asciiTheme="minorHAnsi" w:eastAsia="Times New Roman" w:hAnsiTheme="minorHAnsi"/>
                <w:iCs/>
                <w:szCs w:val="17"/>
              </w:rPr>
              <w:t xml:space="preserve"> and procurement; Annual fraud training at post; appointment of </w:t>
            </w:r>
            <w:r w:rsidR="008B41C8">
              <w:rPr>
                <w:rFonts w:asciiTheme="minorHAnsi" w:eastAsia="Times New Roman" w:hAnsiTheme="minorHAnsi"/>
                <w:iCs/>
                <w:szCs w:val="17"/>
              </w:rPr>
              <w:t xml:space="preserve">LES </w:t>
            </w:r>
            <w:r>
              <w:rPr>
                <w:rFonts w:asciiTheme="minorHAnsi" w:eastAsia="Times New Roman" w:hAnsiTheme="minorHAnsi"/>
                <w:iCs/>
                <w:szCs w:val="17"/>
              </w:rPr>
              <w:t xml:space="preserve"> </w:t>
            </w:r>
            <w:r w:rsidRPr="002E47AA">
              <w:rPr>
                <w:rFonts w:asciiTheme="minorHAnsi" w:eastAsia="Times New Roman" w:hAnsiTheme="minorHAnsi"/>
                <w:iCs/>
                <w:szCs w:val="17"/>
              </w:rPr>
              <w:t>fraud focal point</w:t>
            </w:r>
            <w:r w:rsidR="00303A95">
              <w:rPr>
                <w:rFonts w:asciiTheme="minorHAnsi" w:eastAsia="Times New Roman" w:hAnsiTheme="minorHAnsi"/>
                <w:iCs/>
                <w:szCs w:val="17"/>
              </w:rPr>
              <w:t>.</w:t>
            </w:r>
          </w:p>
        </w:tc>
        <w:tc>
          <w:tcPr>
            <w:tcW w:w="1673" w:type="dxa"/>
          </w:tcPr>
          <w:p w:rsidR="002038EB" w:rsidRPr="002E47AA" w:rsidRDefault="002038EB" w:rsidP="00F92008">
            <w:pPr>
              <w:keepLines/>
              <w:spacing w:before="40" w:after="40" w:line="200" w:lineRule="atLeast"/>
              <w:rPr>
                <w:rFonts w:asciiTheme="minorHAnsi" w:eastAsia="Times New Roman" w:hAnsiTheme="minorHAnsi"/>
                <w:iCs/>
                <w:szCs w:val="17"/>
              </w:rPr>
            </w:pPr>
            <w:r w:rsidRPr="002E47AA">
              <w:rPr>
                <w:rFonts w:asciiTheme="minorHAnsi" w:eastAsia="Times New Roman" w:hAnsiTheme="minorHAnsi"/>
                <w:iCs/>
                <w:szCs w:val="17"/>
              </w:rPr>
              <w:t>ANS update by November 2019</w:t>
            </w:r>
          </w:p>
        </w:tc>
        <w:tc>
          <w:tcPr>
            <w:tcW w:w="681" w:type="dxa"/>
          </w:tcPr>
          <w:p w:rsidR="002038EB" w:rsidRPr="00DC069A" w:rsidRDefault="002038EB" w:rsidP="00F92008">
            <w:pPr>
              <w:keepLines/>
              <w:spacing w:before="40" w:after="40" w:line="200" w:lineRule="atLeast"/>
              <w:rPr>
                <w:rFonts w:asciiTheme="minorHAnsi" w:eastAsia="Times New Roman" w:hAnsiTheme="minorHAnsi"/>
                <w:iCs/>
                <w:szCs w:val="17"/>
              </w:rPr>
            </w:pPr>
            <w:r w:rsidRPr="00DC069A">
              <w:rPr>
                <w:rFonts w:asciiTheme="minorHAnsi" w:eastAsia="Times New Roman" w:hAnsiTheme="minorHAnsi"/>
                <w:iCs/>
                <w:szCs w:val="17"/>
              </w:rPr>
              <w:t>High</w:t>
            </w:r>
          </w:p>
        </w:tc>
        <w:tc>
          <w:tcPr>
            <w:tcW w:w="1084" w:type="dxa"/>
          </w:tcPr>
          <w:p w:rsidR="002038EB" w:rsidRPr="00DC069A" w:rsidRDefault="002038EB" w:rsidP="00F92008">
            <w:pPr>
              <w:keepLines/>
              <w:spacing w:before="40" w:after="40" w:line="200" w:lineRule="atLeast"/>
              <w:rPr>
                <w:rFonts w:asciiTheme="minorHAnsi" w:eastAsia="Times New Roman" w:hAnsiTheme="minorHAnsi"/>
                <w:iCs/>
                <w:szCs w:val="17"/>
              </w:rPr>
            </w:pPr>
            <w:r w:rsidRPr="00DC069A">
              <w:rPr>
                <w:rFonts w:asciiTheme="minorHAnsi" w:eastAsia="Times New Roman" w:hAnsiTheme="minorHAnsi"/>
                <w:iCs/>
                <w:szCs w:val="17"/>
              </w:rPr>
              <w:t>Yes</w:t>
            </w:r>
          </w:p>
        </w:tc>
      </w:tr>
    </w:tbl>
    <w:p w:rsidR="002A51CA" w:rsidRPr="002A51CA" w:rsidRDefault="002A51CA" w:rsidP="00047FFB">
      <w:pPr>
        <w:pStyle w:val="Heading2"/>
        <w:spacing w:before="360" w:line="300" w:lineRule="exact"/>
      </w:pPr>
      <w:r w:rsidRPr="002A51CA">
        <w:lastRenderedPageBreak/>
        <w:t xml:space="preserve">Management </w:t>
      </w:r>
      <w:r w:rsidR="00AC302F">
        <w:t>actions</w:t>
      </w:r>
      <w:r w:rsidRPr="002A51CA">
        <w:tab/>
      </w:r>
      <w:r w:rsidRPr="002A51CA">
        <w:tab/>
      </w:r>
    </w:p>
    <w:p w:rsidR="00985309" w:rsidRDefault="00F55BB3" w:rsidP="00453BBA">
      <w:pPr>
        <w:spacing w:after="120" w:line="240" w:lineRule="auto"/>
      </w:pPr>
      <w:r w:rsidRPr="00985309">
        <w:rPr>
          <w:b/>
        </w:rPr>
        <w:t>In 201</w:t>
      </w:r>
      <w:r w:rsidR="00742F7E" w:rsidRPr="00985309">
        <w:rPr>
          <w:b/>
        </w:rPr>
        <w:t>8</w:t>
      </w:r>
      <w:r w:rsidRPr="00985309">
        <w:rPr>
          <w:b/>
        </w:rPr>
        <w:t>-1</w:t>
      </w:r>
      <w:r w:rsidR="00742F7E" w:rsidRPr="00985309">
        <w:rPr>
          <w:b/>
        </w:rPr>
        <w:t>9</w:t>
      </w:r>
      <w:r w:rsidRPr="00985309">
        <w:rPr>
          <w:b/>
        </w:rPr>
        <w:t xml:space="preserve">, </w:t>
      </w:r>
      <w:r w:rsidR="00742F7E" w:rsidRPr="00985309">
        <w:rPr>
          <w:b/>
        </w:rPr>
        <w:t xml:space="preserve">four </w:t>
      </w:r>
      <w:r w:rsidRPr="00985309">
        <w:rPr>
          <w:b/>
        </w:rPr>
        <w:t xml:space="preserve">of the five management actions identified in the 2017-18 APPR were fully achieved </w:t>
      </w:r>
      <w:r w:rsidR="00742F7E" w:rsidRPr="00985309">
        <w:rPr>
          <w:b/>
        </w:rPr>
        <w:t>or are on track to be achieved.</w:t>
      </w:r>
      <w:r w:rsidR="00742F7E">
        <w:t xml:space="preserve"> </w:t>
      </w:r>
      <w:r w:rsidR="00C731DB">
        <w:t xml:space="preserve"> </w:t>
      </w:r>
      <w:r w:rsidR="00742F7E">
        <w:t>As detailed in Annex A, the management approach for</w:t>
      </w:r>
      <w:r w:rsidR="0027449B">
        <w:t xml:space="preserve"> the</w:t>
      </w:r>
      <w:r w:rsidR="00742F7E">
        <w:t xml:space="preserve"> transport program shifted and the ‘transition strateg</w:t>
      </w:r>
      <w:r w:rsidR="007C3CFE">
        <w:t>y’ (management response in 2017-</w:t>
      </w:r>
      <w:r w:rsidR="00742F7E">
        <w:t xml:space="preserve">18 APPR) was not implemented. </w:t>
      </w:r>
    </w:p>
    <w:p w:rsidR="00F55BB3" w:rsidRPr="00985309" w:rsidRDefault="00F55BB3" w:rsidP="00453BBA">
      <w:pPr>
        <w:spacing w:after="120" w:line="240" w:lineRule="auto"/>
        <w:rPr>
          <w:b/>
        </w:rPr>
      </w:pPr>
      <w:r w:rsidRPr="00985309">
        <w:rPr>
          <w:b/>
        </w:rPr>
        <w:t>Management actions for the Solomon Islands aid program prioritised for the coming 12 months are:</w:t>
      </w:r>
    </w:p>
    <w:p w:rsidR="00182E93" w:rsidRDefault="00182E93" w:rsidP="00453BBA">
      <w:pPr>
        <w:pStyle w:val="ListParagraph"/>
        <w:numPr>
          <w:ilvl w:val="0"/>
          <w:numId w:val="44"/>
        </w:numPr>
        <w:spacing w:before="120" w:after="120"/>
        <w:contextualSpacing w:val="0"/>
        <w:rPr>
          <w:rFonts w:asciiTheme="minorHAnsi" w:eastAsiaTheme="minorHAnsi" w:hAnsiTheme="minorHAnsi" w:cstheme="minorBidi"/>
          <w:color w:val="495965" w:themeColor="text2"/>
          <w:sz w:val="22"/>
          <w:szCs w:val="22"/>
          <w:lang w:val="en-GB"/>
        </w:rPr>
      </w:pPr>
      <w:r w:rsidRPr="00B53096">
        <w:rPr>
          <w:rFonts w:asciiTheme="minorHAnsi" w:eastAsiaTheme="minorHAnsi" w:hAnsiTheme="minorHAnsi" w:cstheme="minorBidi"/>
          <w:color w:val="495965" w:themeColor="text2"/>
          <w:sz w:val="22"/>
          <w:szCs w:val="22"/>
          <w:lang w:val="en-GB"/>
        </w:rPr>
        <w:t xml:space="preserve">DFAT Canberra and Australian High Commission Honiara will finalise preparation of a new Aid Investment Plan </w:t>
      </w:r>
      <w:r w:rsidR="002B0674">
        <w:rPr>
          <w:rFonts w:asciiTheme="minorHAnsi" w:eastAsiaTheme="minorHAnsi" w:hAnsiTheme="minorHAnsi" w:cstheme="minorBidi"/>
          <w:color w:val="495965" w:themeColor="text2"/>
          <w:sz w:val="22"/>
          <w:szCs w:val="22"/>
          <w:lang w:val="en-GB"/>
        </w:rPr>
        <w:t xml:space="preserve">and Performance Assessment Framework </w:t>
      </w:r>
      <w:r w:rsidRPr="00B53096">
        <w:rPr>
          <w:rFonts w:asciiTheme="minorHAnsi" w:eastAsiaTheme="minorHAnsi" w:hAnsiTheme="minorHAnsi" w:cstheme="minorBidi"/>
          <w:color w:val="495965" w:themeColor="text2"/>
          <w:sz w:val="22"/>
          <w:szCs w:val="22"/>
          <w:lang w:val="en-GB"/>
        </w:rPr>
        <w:t>for Australia’s support to Solomon Islands</w:t>
      </w:r>
      <w:r w:rsidR="002B0674">
        <w:rPr>
          <w:rFonts w:asciiTheme="minorHAnsi" w:eastAsiaTheme="minorHAnsi" w:hAnsiTheme="minorHAnsi" w:cstheme="minorBidi"/>
          <w:color w:val="495965" w:themeColor="text2"/>
          <w:sz w:val="22"/>
          <w:szCs w:val="22"/>
          <w:lang w:val="en-GB"/>
        </w:rPr>
        <w:t xml:space="preserve">. </w:t>
      </w:r>
      <w:r w:rsidRPr="00B53096">
        <w:rPr>
          <w:rFonts w:asciiTheme="minorHAnsi" w:eastAsiaTheme="minorHAnsi" w:hAnsiTheme="minorHAnsi" w:cstheme="minorBidi"/>
          <w:color w:val="495965" w:themeColor="text2"/>
          <w:sz w:val="22"/>
          <w:szCs w:val="22"/>
          <w:lang w:val="en-GB"/>
        </w:rPr>
        <w:t xml:space="preserve"> </w:t>
      </w:r>
    </w:p>
    <w:p w:rsidR="00182E93" w:rsidRPr="00182E93" w:rsidRDefault="00182E93" w:rsidP="00453BBA">
      <w:pPr>
        <w:pStyle w:val="ListParagraph"/>
        <w:numPr>
          <w:ilvl w:val="0"/>
          <w:numId w:val="44"/>
        </w:numPr>
        <w:spacing w:before="120" w:after="120"/>
        <w:contextualSpacing w:val="0"/>
        <w:rPr>
          <w:rFonts w:asciiTheme="minorHAnsi" w:eastAsiaTheme="minorHAnsi" w:hAnsiTheme="minorHAnsi" w:cstheme="minorBidi"/>
          <w:color w:val="495965" w:themeColor="text2"/>
          <w:sz w:val="22"/>
          <w:szCs w:val="22"/>
          <w:lang w:val="en-GB"/>
        </w:rPr>
      </w:pPr>
      <w:r w:rsidRPr="00182E93">
        <w:rPr>
          <w:rFonts w:asciiTheme="minorHAnsi" w:eastAsiaTheme="minorHAnsi" w:hAnsiTheme="minorHAnsi" w:cstheme="minorBidi"/>
          <w:color w:val="495965" w:themeColor="text2"/>
          <w:sz w:val="22"/>
          <w:szCs w:val="22"/>
          <w:lang w:val="en-GB"/>
        </w:rPr>
        <w:t>The Deputy High Commissioner and Development Counsellors will oversee the concept, design and implementation of a suite of aid investments</w:t>
      </w:r>
      <w:r w:rsidR="00594534">
        <w:rPr>
          <w:rFonts w:asciiTheme="minorHAnsi" w:eastAsiaTheme="minorHAnsi" w:hAnsiTheme="minorHAnsi" w:cstheme="minorBidi"/>
          <w:color w:val="495965" w:themeColor="text2"/>
          <w:sz w:val="22"/>
          <w:szCs w:val="22"/>
          <w:lang w:val="en-GB"/>
        </w:rPr>
        <w:t xml:space="preserve"> including in education by December 2019, health by December 2020, a new facility by December 2020 and infrastructure by June 2020</w:t>
      </w:r>
      <w:r w:rsidRPr="00182E93">
        <w:rPr>
          <w:rFonts w:asciiTheme="minorHAnsi" w:eastAsiaTheme="minorHAnsi" w:hAnsiTheme="minorHAnsi" w:cstheme="minorBidi"/>
          <w:color w:val="495965" w:themeColor="text2"/>
          <w:sz w:val="22"/>
          <w:szCs w:val="22"/>
          <w:lang w:val="en-GB"/>
        </w:rPr>
        <w:t xml:space="preserve">. </w:t>
      </w:r>
      <w:r w:rsidR="00C731DB">
        <w:rPr>
          <w:rFonts w:asciiTheme="minorHAnsi" w:eastAsiaTheme="minorHAnsi" w:hAnsiTheme="minorHAnsi" w:cstheme="minorBidi"/>
          <w:color w:val="495965" w:themeColor="text2"/>
          <w:sz w:val="22"/>
          <w:szCs w:val="22"/>
          <w:lang w:val="en-GB"/>
        </w:rPr>
        <w:t xml:space="preserve"> </w:t>
      </w:r>
      <w:r w:rsidRPr="00182E93">
        <w:rPr>
          <w:rFonts w:asciiTheme="minorHAnsi" w:eastAsiaTheme="minorHAnsi" w:hAnsiTheme="minorHAnsi" w:cstheme="minorBidi"/>
          <w:color w:val="495965" w:themeColor="text2"/>
          <w:sz w:val="22"/>
          <w:szCs w:val="22"/>
          <w:lang w:val="en-GB"/>
        </w:rPr>
        <w:t xml:space="preserve">This process will include </w:t>
      </w:r>
      <w:r w:rsidR="00C731DB">
        <w:rPr>
          <w:rFonts w:asciiTheme="minorHAnsi" w:eastAsiaTheme="minorHAnsi" w:hAnsiTheme="minorHAnsi" w:cstheme="minorBidi"/>
          <w:color w:val="495965" w:themeColor="text2"/>
          <w:sz w:val="22"/>
          <w:szCs w:val="22"/>
          <w:lang w:val="en-GB"/>
        </w:rPr>
        <w:t>assessing</w:t>
      </w:r>
      <w:r w:rsidRPr="00182E93">
        <w:rPr>
          <w:rFonts w:asciiTheme="minorHAnsi" w:eastAsiaTheme="minorHAnsi" w:hAnsiTheme="minorHAnsi" w:cstheme="minorBidi"/>
          <w:color w:val="495965" w:themeColor="text2"/>
          <w:sz w:val="22"/>
          <w:szCs w:val="22"/>
          <w:lang w:val="en-GB"/>
        </w:rPr>
        <w:t xml:space="preserve"> using new modalities </w:t>
      </w:r>
      <w:r w:rsidR="00C731DB">
        <w:rPr>
          <w:rFonts w:asciiTheme="minorHAnsi" w:eastAsiaTheme="minorHAnsi" w:hAnsiTheme="minorHAnsi" w:cstheme="minorBidi"/>
          <w:color w:val="495965" w:themeColor="text2"/>
          <w:sz w:val="22"/>
          <w:szCs w:val="22"/>
          <w:lang w:val="en-GB"/>
        </w:rPr>
        <w:t>to</w:t>
      </w:r>
      <w:r w:rsidR="00C731DB" w:rsidRPr="00182E93">
        <w:rPr>
          <w:rFonts w:asciiTheme="minorHAnsi" w:eastAsiaTheme="minorHAnsi" w:hAnsiTheme="minorHAnsi" w:cstheme="minorBidi"/>
          <w:color w:val="495965" w:themeColor="text2"/>
          <w:sz w:val="22"/>
          <w:szCs w:val="22"/>
          <w:lang w:val="en-GB"/>
        </w:rPr>
        <w:t xml:space="preserve"> </w:t>
      </w:r>
      <w:r w:rsidR="002B0674">
        <w:rPr>
          <w:rFonts w:asciiTheme="minorHAnsi" w:eastAsiaTheme="minorHAnsi" w:hAnsiTheme="minorHAnsi" w:cstheme="minorBidi"/>
          <w:color w:val="495965" w:themeColor="text2"/>
          <w:sz w:val="22"/>
          <w:szCs w:val="22"/>
          <w:lang w:val="en-GB"/>
        </w:rPr>
        <w:t>deliver aid</w:t>
      </w:r>
      <w:r w:rsidR="00594534">
        <w:rPr>
          <w:rFonts w:asciiTheme="minorHAnsi" w:eastAsiaTheme="minorHAnsi" w:hAnsiTheme="minorHAnsi" w:cstheme="minorBidi"/>
          <w:color w:val="495965" w:themeColor="text2"/>
          <w:sz w:val="22"/>
          <w:szCs w:val="22"/>
          <w:lang w:val="en-GB"/>
        </w:rPr>
        <w:t>.</w:t>
      </w:r>
    </w:p>
    <w:p w:rsidR="00182E93" w:rsidRPr="00182E93" w:rsidRDefault="00182E93" w:rsidP="00453BBA">
      <w:pPr>
        <w:pStyle w:val="ListParagraph"/>
        <w:numPr>
          <w:ilvl w:val="0"/>
          <w:numId w:val="44"/>
        </w:numPr>
        <w:spacing w:before="120" w:after="120"/>
        <w:contextualSpacing w:val="0"/>
        <w:rPr>
          <w:rFonts w:asciiTheme="minorHAnsi" w:eastAsiaTheme="minorHAnsi" w:hAnsiTheme="minorHAnsi" w:cstheme="minorBidi"/>
          <w:color w:val="495965" w:themeColor="text2"/>
          <w:sz w:val="22"/>
          <w:szCs w:val="22"/>
          <w:lang w:val="en-GB"/>
        </w:rPr>
      </w:pPr>
      <w:r w:rsidRPr="00182E93">
        <w:rPr>
          <w:rFonts w:asciiTheme="minorHAnsi" w:eastAsiaTheme="minorHAnsi" w:hAnsiTheme="minorHAnsi" w:cstheme="minorBidi"/>
          <w:color w:val="495965" w:themeColor="text2"/>
          <w:sz w:val="22"/>
          <w:szCs w:val="22"/>
          <w:lang w:val="en-GB"/>
        </w:rPr>
        <w:t>First Secretary (Aid Performance) will oversee the ongoing use of up to date risk registers with safeguard questions completed across all investments.</w:t>
      </w:r>
    </w:p>
    <w:p w:rsidR="007C3CFE" w:rsidRPr="00182E93" w:rsidRDefault="002B0674" w:rsidP="007B2A3B">
      <w:pPr>
        <w:pStyle w:val="ListParagraph"/>
        <w:numPr>
          <w:ilvl w:val="0"/>
          <w:numId w:val="44"/>
        </w:numPr>
        <w:spacing w:before="120" w:after="120"/>
        <w:contextualSpacing w:val="0"/>
        <w:sectPr w:rsidR="007C3CFE" w:rsidRPr="00182E93" w:rsidSect="00013258">
          <w:type w:val="continuous"/>
          <w:pgSz w:w="11906" w:h="16838" w:code="9"/>
          <w:pgMar w:top="1527" w:right="1134" w:bottom="1134" w:left="1134" w:header="1418" w:footer="567" w:gutter="0"/>
          <w:pgNumType w:start="1"/>
          <w:cols w:space="397"/>
          <w:docGrid w:linePitch="360"/>
        </w:sectPr>
      </w:pPr>
      <w:r>
        <w:rPr>
          <w:rFonts w:asciiTheme="minorHAnsi" w:eastAsiaTheme="minorHAnsi" w:hAnsiTheme="minorHAnsi" w:cstheme="minorBidi"/>
          <w:color w:val="495965" w:themeColor="text2"/>
          <w:sz w:val="22"/>
          <w:szCs w:val="22"/>
          <w:lang w:val="en-GB"/>
        </w:rPr>
        <w:t xml:space="preserve">First Secretary (Governance) will </w:t>
      </w:r>
      <w:r w:rsidR="00182E93" w:rsidRPr="00182E93">
        <w:rPr>
          <w:rFonts w:asciiTheme="minorHAnsi" w:eastAsiaTheme="minorHAnsi" w:hAnsiTheme="minorHAnsi" w:cstheme="minorBidi"/>
          <w:color w:val="495965" w:themeColor="text2"/>
          <w:sz w:val="22"/>
          <w:szCs w:val="22"/>
          <w:lang w:val="en-GB"/>
        </w:rPr>
        <w:t xml:space="preserve">oversee an </w:t>
      </w:r>
      <w:r w:rsidR="00720333">
        <w:rPr>
          <w:rFonts w:asciiTheme="minorHAnsi" w:eastAsiaTheme="minorHAnsi" w:hAnsiTheme="minorHAnsi" w:cstheme="minorBidi"/>
          <w:color w:val="495965" w:themeColor="text2"/>
          <w:sz w:val="22"/>
          <w:szCs w:val="22"/>
          <w:lang w:val="en-GB"/>
        </w:rPr>
        <w:t>Assessment of National Systems</w:t>
      </w:r>
      <w:r w:rsidR="00182E93" w:rsidRPr="00182E93">
        <w:rPr>
          <w:rFonts w:asciiTheme="minorHAnsi" w:eastAsiaTheme="minorHAnsi" w:hAnsiTheme="minorHAnsi" w:cstheme="minorBidi"/>
          <w:color w:val="495965" w:themeColor="text2"/>
          <w:sz w:val="22"/>
          <w:szCs w:val="22"/>
          <w:lang w:val="en-GB"/>
        </w:rPr>
        <w:t xml:space="preserve"> to </w:t>
      </w:r>
      <w:r w:rsidR="007B2A3B">
        <w:rPr>
          <w:rFonts w:asciiTheme="minorHAnsi" w:eastAsiaTheme="minorHAnsi" w:hAnsiTheme="minorHAnsi" w:cstheme="minorBidi"/>
          <w:color w:val="495965" w:themeColor="text2"/>
          <w:sz w:val="22"/>
          <w:szCs w:val="22"/>
          <w:lang w:val="en-GB"/>
        </w:rPr>
        <w:t>support</w:t>
      </w:r>
      <w:r w:rsidR="00182E93" w:rsidRPr="00182E93">
        <w:rPr>
          <w:rFonts w:asciiTheme="minorHAnsi" w:eastAsiaTheme="minorHAnsi" w:hAnsiTheme="minorHAnsi" w:cstheme="minorBidi"/>
          <w:color w:val="495965" w:themeColor="text2"/>
          <w:sz w:val="22"/>
          <w:szCs w:val="22"/>
          <w:lang w:val="en-GB"/>
        </w:rPr>
        <w:t xml:space="preserve"> </w:t>
      </w:r>
      <w:r w:rsidR="00C731DB">
        <w:rPr>
          <w:rFonts w:asciiTheme="minorHAnsi" w:eastAsiaTheme="minorHAnsi" w:hAnsiTheme="minorHAnsi" w:cstheme="minorBidi"/>
          <w:color w:val="495965" w:themeColor="text2"/>
          <w:sz w:val="22"/>
          <w:szCs w:val="22"/>
          <w:lang w:val="en-GB"/>
        </w:rPr>
        <w:t>Australia’s</w:t>
      </w:r>
      <w:r w:rsidR="00C731DB" w:rsidRPr="00182E93">
        <w:rPr>
          <w:rFonts w:asciiTheme="minorHAnsi" w:eastAsiaTheme="minorHAnsi" w:hAnsiTheme="minorHAnsi" w:cstheme="minorBidi"/>
          <w:color w:val="495965" w:themeColor="text2"/>
          <w:sz w:val="22"/>
          <w:szCs w:val="22"/>
          <w:lang w:val="en-GB"/>
        </w:rPr>
        <w:t xml:space="preserve"> </w:t>
      </w:r>
      <w:r w:rsidR="00182E93" w:rsidRPr="00182E93">
        <w:rPr>
          <w:rFonts w:asciiTheme="minorHAnsi" w:eastAsiaTheme="minorHAnsi" w:hAnsiTheme="minorHAnsi" w:cstheme="minorBidi"/>
          <w:color w:val="495965" w:themeColor="text2"/>
          <w:sz w:val="22"/>
          <w:szCs w:val="22"/>
          <w:lang w:val="en-GB"/>
        </w:rPr>
        <w:t>continued use of government systems</w:t>
      </w:r>
      <w:r w:rsidRPr="002B0674">
        <w:rPr>
          <w:rFonts w:asciiTheme="minorHAnsi" w:eastAsiaTheme="minorHAnsi" w:hAnsiTheme="minorHAnsi" w:cstheme="minorBidi"/>
          <w:color w:val="495965" w:themeColor="text2"/>
          <w:sz w:val="22"/>
          <w:szCs w:val="22"/>
          <w:lang w:val="en-GB"/>
        </w:rPr>
        <w:t xml:space="preserve"> </w:t>
      </w:r>
      <w:r w:rsidRPr="00182E93">
        <w:rPr>
          <w:rFonts w:asciiTheme="minorHAnsi" w:eastAsiaTheme="minorHAnsi" w:hAnsiTheme="minorHAnsi" w:cstheme="minorBidi"/>
          <w:color w:val="495965" w:themeColor="text2"/>
          <w:sz w:val="22"/>
          <w:szCs w:val="22"/>
          <w:lang w:val="en-GB"/>
        </w:rPr>
        <w:t>in Solomon Islands</w:t>
      </w:r>
      <w:r w:rsidR="00182E93" w:rsidRPr="00182E93">
        <w:rPr>
          <w:rFonts w:asciiTheme="minorHAnsi" w:eastAsiaTheme="minorHAnsi" w:hAnsiTheme="minorHAnsi" w:cstheme="minorBidi"/>
          <w:color w:val="495965" w:themeColor="text2"/>
          <w:sz w:val="22"/>
          <w:szCs w:val="22"/>
          <w:lang w:val="en-GB"/>
        </w:rPr>
        <w:t xml:space="preserve">, including general and sector budget support programs. </w:t>
      </w:r>
      <w:r w:rsidR="00C731DB">
        <w:rPr>
          <w:rFonts w:asciiTheme="minorHAnsi" w:eastAsiaTheme="minorHAnsi" w:hAnsiTheme="minorHAnsi" w:cstheme="minorBidi"/>
          <w:color w:val="495965" w:themeColor="text2"/>
          <w:sz w:val="22"/>
          <w:szCs w:val="22"/>
          <w:lang w:val="en-GB"/>
        </w:rPr>
        <w:t xml:space="preserve"> </w:t>
      </w:r>
      <w:r w:rsidR="007B2A3B">
        <w:rPr>
          <w:rFonts w:asciiTheme="minorHAnsi" w:eastAsiaTheme="minorHAnsi" w:hAnsiTheme="minorHAnsi" w:cstheme="minorBidi"/>
          <w:color w:val="495965" w:themeColor="text2"/>
          <w:sz w:val="22"/>
          <w:szCs w:val="22"/>
          <w:lang w:val="en-GB"/>
        </w:rPr>
        <w:t xml:space="preserve">This will be </w:t>
      </w:r>
      <w:r w:rsidR="00182E93" w:rsidRPr="00182E93">
        <w:rPr>
          <w:rFonts w:asciiTheme="minorHAnsi" w:eastAsiaTheme="minorHAnsi" w:hAnsiTheme="minorHAnsi" w:cstheme="minorBidi"/>
          <w:color w:val="495965" w:themeColor="text2"/>
          <w:sz w:val="22"/>
          <w:szCs w:val="22"/>
          <w:lang w:val="en-GB"/>
        </w:rPr>
        <w:t xml:space="preserve">completed by </w:t>
      </w:r>
      <w:r w:rsidR="00DC2B77">
        <w:rPr>
          <w:rFonts w:asciiTheme="minorHAnsi" w:eastAsiaTheme="minorHAnsi" w:hAnsiTheme="minorHAnsi" w:cstheme="minorBidi"/>
          <w:color w:val="495965" w:themeColor="text2"/>
          <w:sz w:val="22"/>
          <w:szCs w:val="22"/>
          <w:lang w:val="en-GB"/>
        </w:rPr>
        <w:t>June 2020</w:t>
      </w:r>
      <w:r w:rsidR="00C731DB" w:rsidRPr="00E03158">
        <w:rPr>
          <w:rFonts w:asciiTheme="minorHAnsi" w:eastAsiaTheme="minorHAnsi" w:hAnsiTheme="minorHAnsi" w:cstheme="minorBidi"/>
          <w:color w:val="495965" w:themeColor="text2"/>
          <w:sz w:val="22"/>
          <w:szCs w:val="22"/>
          <w:lang w:val="en-GB"/>
        </w:rPr>
        <w:t xml:space="preserve">.  </w:t>
      </w:r>
    </w:p>
    <w:p w:rsidR="00013258" w:rsidRDefault="00400B0F" w:rsidP="00072850">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lastRenderedPageBreak/>
        <w:t xml:space="preserve">Annex A - Progress in Addressing Management </w:t>
      </w:r>
      <w:r w:rsidR="00AC302F" w:rsidRPr="008821C2">
        <w:rPr>
          <w:rFonts w:asciiTheme="majorHAnsi" w:hAnsiTheme="majorHAnsi" w:cstheme="majorHAnsi"/>
        </w:rPr>
        <w:t>action</w:t>
      </w:r>
      <w:r w:rsidR="00072850">
        <w:rPr>
          <w:rFonts w:asciiTheme="majorHAnsi" w:hAnsiTheme="majorHAnsi" w:cstheme="majorHAnsi"/>
        </w:rPr>
        <w:t>S</w:t>
      </w:r>
    </w:p>
    <w:tbl>
      <w:tblPr>
        <w:tblStyle w:val="APPR"/>
        <w:tblpPr w:leftFromText="180" w:rightFromText="180" w:vertAnchor="text" w:tblpY="1"/>
        <w:tblW w:w="5000" w:type="pct"/>
        <w:tblLayout w:type="fixed"/>
        <w:tblLook w:val="0000" w:firstRow="0" w:lastRow="0" w:firstColumn="0" w:lastColumn="0" w:noHBand="0" w:noVBand="0"/>
      </w:tblPr>
      <w:tblGrid>
        <w:gridCol w:w="5670"/>
        <w:gridCol w:w="993"/>
        <w:gridCol w:w="7797"/>
      </w:tblGrid>
      <w:tr w:rsidR="00072850" w:rsidRPr="00C61187" w:rsidTr="00072850">
        <w:trPr>
          <w:cnfStyle w:val="000000010000" w:firstRow="0" w:lastRow="0" w:firstColumn="0" w:lastColumn="0" w:oddVBand="0" w:evenVBand="0" w:oddHBand="0" w:evenHBand="1" w:firstRowFirstColumn="0" w:firstRowLastColumn="0" w:lastRowFirstColumn="0" w:lastRowLastColumn="0"/>
        </w:trPr>
        <w:tc>
          <w:tcPr>
            <w:tcW w:w="5628" w:type="dxa"/>
          </w:tcPr>
          <w:p w:rsidR="00072850" w:rsidRPr="00880004" w:rsidRDefault="00072850" w:rsidP="0007285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Pr>
                <w:rFonts w:asciiTheme="minorHAnsi" w:eastAsia="Times New Roman" w:hAnsiTheme="minorHAnsi"/>
                <w:b/>
                <w:iCs/>
                <w:szCs w:val="17"/>
                <w:lang w:eastAsia="en-US"/>
              </w:rPr>
              <w:t>7-18</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65" w:type="dxa"/>
          </w:tcPr>
          <w:p w:rsidR="00072850" w:rsidRPr="00880004" w:rsidRDefault="00072850" w:rsidP="00CB7A28">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7755" w:type="dxa"/>
          </w:tcPr>
          <w:p w:rsidR="00072850" w:rsidRPr="00880004" w:rsidRDefault="00072850" w:rsidP="00CB7A2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Pr>
                <w:rFonts w:asciiTheme="minorHAnsi" w:eastAsia="Times New Roman" w:hAnsiTheme="minorHAnsi"/>
                <w:b/>
                <w:iCs/>
                <w:szCs w:val="17"/>
                <w:lang w:eastAsia="en-US"/>
              </w:rPr>
              <w:t>8</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9</w:t>
            </w:r>
          </w:p>
        </w:tc>
      </w:tr>
      <w:tr w:rsidR="007C3CFE" w:rsidRPr="00C61187" w:rsidTr="00C23887">
        <w:trPr>
          <w:cnfStyle w:val="000000010000" w:firstRow="0" w:lastRow="0" w:firstColumn="0" w:lastColumn="0" w:oddVBand="0" w:evenVBand="0" w:oddHBand="0" w:evenHBand="1" w:firstRowFirstColumn="0" w:firstRowLastColumn="0" w:lastRowFirstColumn="0" w:lastRowLastColumn="0"/>
        </w:trPr>
        <w:tc>
          <w:tcPr>
            <w:tcW w:w="5628" w:type="dxa"/>
          </w:tcPr>
          <w:p w:rsidR="007C3CFE" w:rsidRPr="00545E5D" w:rsidRDefault="007C3CFE" w:rsidP="007C3CFE">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First Secretary, Infrastructure, will work with the Ministry of Infrastructure Development and ADB to devise and implement a new approach to Australia’s support for transport by February 2019.</w:t>
            </w:r>
          </w:p>
        </w:tc>
        <w:tc>
          <w:tcPr>
            <w:tcW w:w="965" w:type="dxa"/>
            <w:shd w:val="clear" w:color="auto" w:fill="E36C0A"/>
          </w:tcPr>
          <w:p w:rsidR="007C3CFE" w:rsidRPr="00880004" w:rsidRDefault="007C3CFE" w:rsidP="007C3CFE">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 achieved</w:t>
            </w:r>
          </w:p>
        </w:tc>
        <w:tc>
          <w:tcPr>
            <w:tcW w:w="7755" w:type="dxa"/>
          </w:tcPr>
          <w:p w:rsidR="007C3CFE" w:rsidRPr="00545E5D" w:rsidRDefault="007C3CFE" w:rsidP="007C3CFE">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In late 2017, Post outlined a restructure of the transport program's delivery that would increase ADB's accountability for the program's performance; resource the ADB and Ministry of Infrastructure Development to manage the program more efficiently and effectively; and enable Australia to refocus our role in the sector away from recurrent budget support to the Solomon Island Government for maintenance and rehabilitation, in favour of targeted investments in growth-enhancing infrastructure development projects through the multilateral development banks.</w:t>
            </w:r>
          </w:p>
          <w:p w:rsidR="007C3CFE" w:rsidRPr="00545E5D" w:rsidRDefault="007C3CFE" w:rsidP="007C3CFE">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 xml:space="preserve">However, there remain some concerns with this approach, due to the reduced level of fiduciary checks ADB undertakes on National Transport Fund procurements, and their limited in-country presence. As a result, Post has had to abandon the transition strategy, and will focus on how elements of this program, and lessons learned from it, can be incorporated into the new infrastructure design in 2019-2020.       </w:t>
            </w:r>
          </w:p>
        </w:tc>
      </w:tr>
      <w:tr w:rsidR="007C3CFE" w:rsidRPr="00C61187" w:rsidTr="00072850">
        <w:trPr>
          <w:cnfStyle w:val="000000010000" w:firstRow="0" w:lastRow="0" w:firstColumn="0" w:lastColumn="0" w:oddVBand="0" w:evenVBand="0" w:oddHBand="0" w:evenHBand="1" w:firstRowFirstColumn="0" w:firstRowLastColumn="0" w:lastRowFirstColumn="0" w:lastRowLastColumn="0"/>
        </w:trPr>
        <w:tc>
          <w:tcPr>
            <w:tcW w:w="5628" w:type="dxa"/>
          </w:tcPr>
          <w:p w:rsidR="007C3CFE" w:rsidRPr="00545E5D" w:rsidRDefault="007C3CFE" w:rsidP="007C3CFE">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Second Secretary, Development (Economic Growth), will monitor implementation of work to improve cash-based incomes reporting to the Counsellor, Economic Cooperation quarterly and the aid management meeting bi-annually to monitor the collective impact of activities</w:t>
            </w:r>
          </w:p>
        </w:tc>
        <w:tc>
          <w:tcPr>
            <w:tcW w:w="965" w:type="dxa"/>
            <w:shd w:val="clear" w:color="auto" w:fill="72AF2F"/>
          </w:tcPr>
          <w:p w:rsidR="007C3CFE" w:rsidRPr="00880004" w:rsidRDefault="007C3CFE" w:rsidP="007C3CFE">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r>
              <w:rPr>
                <w:rFonts w:asciiTheme="minorHAnsi" w:eastAsia="Times New Roman" w:hAnsiTheme="minorHAnsi"/>
                <w:iCs/>
                <w:color w:val="FFFFFF" w:themeColor="background1"/>
                <w:szCs w:val="17"/>
                <w:lang w:eastAsia="en-US"/>
              </w:rPr>
              <w:t xml:space="preserve"> - ongoing</w:t>
            </w:r>
            <w:r w:rsidRPr="00880004">
              <w:rPr>
                <w:rFonts w:eastAsia="Times New Roman"/>
                <w:iCs/>
                <w:color w:val="FFFFFF" w:themeColor="background1"/>
                <w:szCs w:val="17"/>
              </w:rPr>
              <w:fldChar w:fldCharType="begin"/>
            </w:r>
            <w:r w:rsidRPr="00880004">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80004">
              <w:rPr>
                <w:rFonts w:eastAsia="Times New Roman"/>
                <w:iCs/>
                <w:color w:val="FFFFFF" w:themeColor="background1"/>
                <w:szCs w:val="17"/>
              </w:rPr>
              <w:fldChar w:fldCharType="end"/>
            </w:r>
          </w:p>
        </w:tc>
        <w:tc>
          <w:tcPr>
            <w:tcW w:w="7755" w:type="dxa"/>
          </w:tcPr>
          <w:p w:rsidR="007C3CFE" w:rsidRPr="00545E5D" w:rsidRDefault="007C3CFE" w:rsidP="007C3CFE">
            <w:pPr>
              <w:spacing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 xml:space="preserve">Second Secretary met Counsellor on a quarterly basis to report on implementation of work to improve cash-based incomes. The Solomon Islands Growth Program Mid Term Review (2018) highlighted the challenges associated with measuring this indicator. As a result, monitoring progress and impact of improved cash-based income has focused on measuring the number of men and women trained in income generating skills and the number of households engaged in partnerships with commercial enterprises. In 2018 </w:t>
            </w:r>
            <w:r w:rsidRPr="00545E5D">
              <w:rPr>
                <w:rFonts w:asciiTheme="minorHAnsi" w:eastAsia="Times New Roman" w:hAnsiTheme="minorHAnsi"/>
                <w:i/>
                <w:iCs/>
                <w:sz w:val="16"/>
                <w:szCs w:val="16"/>
                <w:lang w:eastAsia="en-US"/>
              </w:rPr>
              <w:t>Strongim Bisnis</w:t>
            </w:r>
            <w:r w:rsidRPr="00545E5D">
              <w:rPr>
                <w:rFonts w:asciiTheme="minorHAnsi" w:eastAsia="Times New Roman" w:hAnsiTheme="minorHAnsi"/>
                <w:iCs/>
                <w:sz w:val="16"/>
                <w:szCs w:val="16"/>
                <w:lang w:eastAsia="en-US"/>
              </w:rPr>
              <w:t xml:space="preserve"> provided monthly updates to keep post regularly informed on progress and collective impact of activities.</w:t>
            </w:r>
          </w:p>
        </w:tc>
      </w:tr>
      <w:tr w:rsidR="007C3CFE" w:rsidRPr="00C61187" w:rsidTr="00072850">
        <w:trPr>
          <w:cnfStyle w:val="000000010000" w:firstRow="0" w:lastRow="0" w:firstColumn="0" w:lastColumn="0" w:oddVBand="0" w:evenVBand="0" w:oddHBand="0" w:evenHBand="1" w:firstRowFirstColumn="0" w:firstRowLastColumn="0" w:lastRowFirstColumn="0" w:lastRowLastColumn="0"/>
        </w:trPr>
        <w:tc>
          <w:tcPr>
            <w:tcW w:w="5628" w:type="dxa"/>
          </w:tcPr>
          <w:p w:rsidR="007C3CFE" w:rsidRPr="00545E5D" w:rsidRDefault="007C3CFE" w:rsidP="007C3CFE">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To improve accountability and senior leadership oversight of Gender equality mainstreaming across the program, Second Secretary, Gender over 2018-19 will: reinvigorate the Gender Equality Working Group; provide a quarterly update at the Aid Management Meeting; and actively pursue gender training opportunities for staff with Canberra.</w:t>
            </w:r>
          </w:p>
        </w:tc>
        <w:tc>
          <w:tcPr>
            <w:tcW w:w="965" w:type="dxa"/>
            <w:shd w:val="clear" w:color="auto" w:fill="72AF2F"/>
          </w:tcPr>
          <w:p w:rsidR="007C3CFE" w:rsidRPr="00880004" w:rsidRDefault="007C3CFE" w:rsidP="007C3CFE">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7755" w:type="dxa"/>
          </w:tcPr>
          <w:p w:rsidR="007C3CFE" w:rsidRPr="00545E5D" w:rsidRDefault="007C3CFE" w:rsidP="007C3CFE">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 xml:space="preserve">The </w:t>
            </w:r>
            <w:r w:rsidR="00F92008">
              <w:rPr>
                <w:rFonts w:asciiTheme="minorHAnsi" w:eastAsia="Times New Roman" w:hAnsiTheme="minorHAnsi"/>
                <w:iCs/>
                <w:sz w:val="16"/>
                <w:szCs w:val="16"/>
                <w:lang w:eastAsia="en-US"/>
              </w:rPr>
              <w:t>Head of Mission</w:t>
            </w:r>
            <w:r w:rsidRPr="00545E5D">
              <w:rPr>
                <w:rFonts w:asciiTheme="minorHAnsi" w:eastAsia="Times New Roman" w:hAnsiTheme="minorHAnsi"/>
                <w:iCs/>
                <w:sz w:val="16"/>
                <w:szCs w:val="16"/>
                <w:lang w:eastAsia="en-US"/>
              </w:rPr>
              <w:t xml:space="preserve">-chaired Gender Equality Working Group was reinvigorated in 2019 and met twice, in February and April. It was attended by </w:t>
            </w:r>
            <w:r w:rsidR="00F92008">
              <w:rPr>
                <w:rFonts w:asciiTheme="minorHAnsi" w:eastAsia="Times New Roman" w:hAnsiTheme="minorHAnsi"/>
                <w:iCs/>
                <w:sz w:val="16"/>
                <w:szCs w:val="16"/>
                <w:lang w:eastAsia="en-US"/>
              </w:rPr>
              <w:t xml:space="preserve">all agencies at Post. </w:t>
            </w:r>
            <w:r w:rsidRPr="00545E5D">
              <w:rPr>
                <w:rFonts w:asciiTheme="minorHAnsi" w:eastAsia="Times New Roman" w:hAnsiTheme="minorHAnsi"/>
                <w:iCs/>
                <w:sz w:val="16"/>
                <w:szCs w:val="16"/>
                <w:lang w:eastAsia="en-US"/>
              </w:rPr>
              <w:t xml:space="preserve"> </w:t>
            </w:r>
          </w:p>
          <w:p w:rsidR="007C3CFE" w:rsidRPr="00545E5D" w:rsidRDefault="007C3CFE" w:rsidP="007C3CFE">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Two team members attended Gender Equality training in Suva in March 2019. The Department developed a new Gender Equality Training Package, which will be rolled out in Canberra in June. It will be mandatory for all Honiara A-Based and LES staff once available at Post.</w:t>
            </w:r>
          </w:p>
        </w:tc>
      </w:tr>
      <w:tr w:rsidR="007C3CFE" w:rsidRPr="00C61187" w:rsidTr="00072850">
        <w:trPr>
          <w:cnfStyle w:val="000000010000" w:firstRow="0" w:lastRow="0" w:firstColumn="0" w:lastColumn="0" w:oddVBand="0" w:evenVBand="0" w:oddHBand="0" w:evenHBand="1" w:firstRowFirstColumn="0" w:firstRowLastColumn="0" w:lastRowFirstColumn="0" w:lastRowLastColumn="0"/>
        </w:trPr>
        <w:tc>
          <w:tcPr>
            <w:tcW w:w="5628" w:type="dxa"/>
          </w:tcPr>
          <w:p w:rsidR="007C3CFE" w:rsidRPr="00545E5D" w:rsidRDefault="007C3CFE" w:rsidP="005B4D51">
            <w:pPr>
              <w:keepLines/>
              <w:spacing w:before="40" w:after="40"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The Democratic Governance team will continue to work closely with the Solomon Islands Electoral Commission ahead of the 2019 national elections to ensure the elections are technically sound. We will continue to work with the A</w:t>
            </w:r>
            <w:r w:rsidR="00F92008">
              <w:rPr>
                <w:rFonts w:asciiTheme="minorHAnsi" w:eastAsia="Times New Roman" w:hAnsiTheme="minorHAnsi"/>
                <w:iCs/>
                <w:sz w:val="16"/>
                <w:szCs w:val="16"/>
                <w:lang w:eastAsia="en-US"/>
              </w:rPr>
              <w:t>ustralian Electoral Commission</w:t>
            </w:r>
            <w:r w:rsidRPr="00545E5D">
              <w:rPr>
                <w:rFonts w:asciiTheme="minorHAnsi" w:eastAsia="Times New Roman" w:hAnsiTheme="minorHAnsi"/>
                <w:iCs/>
                <w:sz w:val="16"/>
                <w:szCs w:val="16"/>
                <w:lang w:eastAsia="en-US"/>
              </w:rPr>
              <w:t xml:space="preserve"> to ensure training is conducted through the Solomon Islands Electoral Commission, and to support female candidates. Following the elections, Post will commence a redesign of our electoral support to ensure appropriate modalities are used to effectively and efficiently achieve results, and </w:t>
            </w:r>
            <w:r w:rsidR="00F92008">
              <w:rPr>
                <w:rFonts w:asciiTheme="minorHAnsi" w:eastAsia="Times New Roman" w:hAnsiTheme="minorHAnsi"/>
                <w:iCs/>
                <w:sz w:val="16"/>
                <w:szCs w:val="16"/>
                <w:lang w:eastAsia="en-US"/>
              </w:rPr>
              <w:t>the Office of Development Effectiveness</w:t>
            </w:r>
            <w:r w:rsidRPr="00545E5D">
              <w:rPr>
                <w:rFonts w:asciiTheme="minorHAnsi" w:eastAsia="Times New Roman" w:hAnsiTheme="minorHAnsi"/>
                <w:iCs/>
                <w:sz w:val="16"/>
                <w:szCs w:val="16"/>
                <w:lang w:eastAsia="en-US"/>
              </w:rPr>
              <w:t xml:space="preserve"> evaluation recommendations are fully implemented.</w:t>
            </w:r>
          </w:p>
        </w:tc>
        <w:tc>
          <w:tcPr>
            <w:tcW w:w="965" w:type="dxa"/>
            <w:shd w:val="clear" w:color="auto" w:fill="72AF2F"/>
          </w:tcPr>
          <w:p w:rsidR="007C3CFE" w:rsidRPr="00880004" w:rsidRDefault="007C3CFE" w:rsidP="007C3CFE">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r>
              <w:rPr>
                <w:rFonts w:asciiTheme="minorHAnsi" w:eastAsia="Times New Roman" w:hAnsiTheme="minorHAnsi"/>
                <w:iCs/>
                <w:color w:val="FFFFFF" w:themeColor="background1"/>
                <w:szCs w:val="17"/>
                <w:lang w:eastAsia="en-US"/>
              </w:rPr>
              <w:t xml:space="preserve"> - ongoing</w:t>
            </w:r>
          </w:p>
        </w:tc>
        <w:tc>
          <w:tcPr>
            <w:tcW w:w="7755" w:type="dxa"/>
          </w:tcPr>
          <w:p w:rsidR="007C3CFE" w:rsidRPr="00545E5D" w:rsidRDefault="007C3CFE" w:rsidP="007C3CFE">
            <w:pPr>
              <w:keepLines/>
              <w:spacing w:before="40" w:after="40" w:line="200" w:lineRule="atLeast"/>
              <w:rPr>
                <w:rFonts w:eastAsia="Times New Roman"/>
                <w:iCs/>
                <w:color w:val="000000" w:themeColor="text1"/>
                <w:sz w:val="16"/>
                <w:szCs w:val="16"/>
                <w:highlight w:val="yellow"/>
              </w:rPr>
            </w:pPr>
            <w:r w:rsidRPr="00545E5D">
              <w:rPr>
                <w:rFonts w:asciiTheme="minorHAnsi" w:eastAsia="Times New Roman" w:hAnsiTheme="minorHAnsi"/>
                <w:iCs/>
                <w:sz w:val="16"/>
                <w:szCs w:val="16"/>
                <w:lang w:eastAsia="en-US"/>
              </w:rPr>
              <w:t xml:space="preserve">The </w:t>
            </w:r>
            <w:r w:rsidR="00F92008" w:rsidRPr="00545E5D">
              <w:rPr>
                <w:rFonts w:asciiTheme="minorHAnsi" w:eastAsia="Times New Roman" w:hAnsiTheme="minorHAnsi"/>
                <w:iCs/>
                <w:sz w:val="16"/>
                <w:szCs w:val="16"/>
                <w:lang w:eastAsia="en-US"/>
              </w:rPr>
              <w:t xml:space="preserve">National General Election </w:t>
            </w:r>
            <w:r w:rsidRPr="00545E5D">
              <w:rPr>
                <w:rFonts w:asciiTheme="minorHAnsi" w:eastAsia="Times New Roman" w:hAnsiTheme="minorHAnsi"/>
                <w:iCs/>
                <w:sz w:val="16"/>
                <w:szCs w:val="16"/>
                <w:lang w:eastAsia="en-US"/>
              </w:rPr>
              <w:t>held on 3 April 2019 was successful. The Democratic Governance program continued its multilateral and bilateral capacity support to the Solomon Islands Electoral Commission leading up to the national general elections. Program advisors and implementing partners maintained strong relationships and provided core support to capacity activities. The Australian Electoral Commission successfully provided election training for all election managers and officials on time. Positive feedback was received on training delivery, with a possible twinning program a possibility in the future. The Electoral Act 2018 passed with strong technical support from the program. Post has commenced the redesign of electoral support.</w:t>
            </w:r>
          </w:p>
        </w:tc>
      </w:tr>
      <w:tr w:rsidR="007C3CFE" w:rsidRPr="00C61187" w:rsidTr="00802AD4">
        <w:trPr>
          <w:cnfStyle w:val="000000010000" w:firstRow="0" w:lastRow="0" w:firstColumn="0" w:lastColumn="0" w:oddVBand="0" w:evenVBand="0" w:oddHBand="0" w:evenHBand="1" w:firstRowFirstColumn="0" w:firstRowLastColumn="0" w:lastRowFirstColumn="0" w:lastRowLastColumn="0"/>
        </w:trPr>
        <w:tc>
          <w:tcPr>
            <w:tcW w:w="5628" w:type="dxa"/>
          </w:tcPr>
          <w:p w:rsidR="007C3CFE" w:rsidRPr="00545E5D" w:rsidRDefault="007C3CFE" w:rsidP="007C3CFE">
            <w:pPr>
              <w:spacing w:line="240" w:lineRule="auto"/>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DFAT Canberra and Australian High Commission Honiara will lead the ongoing preparation of a new plan for Australia’s support to Solomon Islands by June 2019. The Deputy High Commissioner will lead local consultations with Solomon Islands Government, development partners and civil society on a new Aid Investment Plan by February 2019.</w:t>
            </w:r>
          </w:p>
        </w:tc>
        <w:tc>
          <w:tcPr>
            <w:tcW w:w="965" w:type="dxa"/>
            <w:shd w:val="clear" w:color="auto" w:fill="7FB64D" w:themeFill="accent3" w:themeFillShade="BF"/>
          </w:tcPr>
          <w:p w:rsidR="007C3CFE" w:rsidRPr="00880004" w:rsidRDefault="007C3CFE" w:rsidP="007C3CFE">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r>
              <w:rPr>
                <w:rFonts w:asciiTheme="minorHAnsi" w:eastAsia="Times New Roman" w:hAnsiTheme="minorHAnsi"/>
                <w:iCs/>
                <w:color w:val="FFFFFF" w:themeColor="background1"/>
                <w:szCs w:val="17"/>
                <w:lang w:eastAsia="en-US"/>
              </w:rPr>
              <w:t xml:space="preserve"> - ongoing</w:t>
            </w:r>
          </w:p>
        </w:tc>
        <w:tc>
          <w:tcPr>
            <w:tcW w:w="7755" w:type="dxa"/>
          </w:tcPr>
          <w:p w:rsidR="007C3CFE" w:rsidRPr="00545E5D" w:rsidRDefault="007C3CFE" w:rsidP="007C3CFE">
            <w:pPr>
              <w:keepLines/>
              <w:spacing w:before="40" w:after="40" w:line="200" w:lineRule="atLeast"/>
              <w:rPr>
                <w:rFonts w:asciiTheme="minorHAnsi" w:eastAsia="Times New Roman" w:hAnsiTheme="minorHAnsi"/>
                <w:iCs/>
                <w:color w:val="409F68" w:themeColor="accent6"/>
                <w:sz w:val="16"/>
                <w:szCs w:val="16"/>
                <w:lang w:eastAsia="en-US"/>
              </w:rPr>
            </w:pPr>
            <w:r w:rsidRPr="00545E5D">
              <w:rPr>
                <w:rFonts w:asciiTheme="minorHAnsi" w:eastAsia="Times New Roman" w:hAnsiTheme="minorHAnsi"/>
                <w:iCs/>
                <w:sz w:val="16"/>
                <w:szCs w:val="16"/>
                <w:lang w:eastAsia="en-US"/>
              </w:rPr>
              <w:t xml:space="preserve">In November 2018, the current Solomon Islands Aid Investment Plan was extended to October 2019. However, preparations for the new plan continued in 2018-19 including through an independent literature review of the development context completed in December 2018. </w:t>
            </w:r>
            <w:r w:rsidRPr="00545E5D">
              <w:rPr>
                <w:sz w:val="16"/>
                <w:szCs w:val="16"/>
              </w:rPr>
              <w:t xml:space="preserve"> </w:t>
            </w:r>
            <w:r w:rsidRPr="00545E5D">
              <w:rPr>
                <w:rFonts w:asciiTheme="minorHAnsi" w:eastAsia="Times New Roman" w:hAnsiTheme="minorHAnsi"/>
                <w:iCs/>
                <w:sz w:val="16"/>
                <w:szCs w:val="16"/>
                <w:lang w:eastAsia="en-US"/>
              </w:rPr>
              <w:t>Performance benchmarks for 2019-20 will be included in the new plan to be published in late 2019.</w:t>
            </w:r>
          </w:p>
        </w:tc>
      </w:tr>
    </w:tbl>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sz w:val="16"/>
          <w:szCs w:val="14"/>
        </w:rPr>
        <w:t xml:space="preserve">Note: </w:t>
      </w:r>
      <w:r w:rsidR="00C23887">
        <w:rPr>
          <w:rFonts w:eastAsia="Times New Roman"/>
          <w:b/>
          <w:sz w:val="16"/>
          <w:szCs w:val="14"/>
        </w:rPr>
        <w:t xml:space="preserve"> </w:t>
      </w: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r w:rsidR="00C23887">
        <w:rPr>
          <w:rFonts w:eastAsia="Times New Roman"/>
          <w:b/>
          <w:sz w:val="16"/>
          <w:szCs w:val="14"/>
        </w:rPr>
        <w:t xml:space="preserve"> </w:t>
      </w:r>
      <w:r w:rsidRPr="00C23887">
        <w:rPr>
          <w:rFonts w:eastAsia="Times New Roman"/>
          <w:b/>
          <w:color w:val="E36C0A"/>
          <w:sz w:val="16"/>
          <w:szCs w:val="14"/>
          <w:shd w:val="clear" w:color="auto" w:fill="E36C0A"/>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033AB7" w:rsidRPr="008821C2" w:rsidRDefault="002A51CA" w:rsidP="008821C2">
      <w:pPr>
        <w:pStyle w:val="Subtitle"/>
        <w:numPr>
          <w:ilvl w:val="0"/>
          <w:numId w:val="0"/>
        </w:numPr>
        <w:spacing w:before="360" w:after="120" w:line="300" w:lineRule="exact"/>
        <w:rPr>
          <w:rFonts w:asciiTheme="majorHAnsi" w:hAnsiTheme="majorHAnsi" w:cstheme="majorHAnsi"/>
        </w:rPr>
      </w:pPr>
      <w:r w:rsidRPr="008821C2">
        <w:rPr>
          <w:rFonts w:asciiTheme="majorHAnsi" w:eastAsia="Times New Roman" w:hAnsiTheme="majorHAnsi" w:cstheme="majorHAnsi"/>
          <w:sz w:val="21"/>
        </w:rPr>
        <w:lastRenderedPageBreak/>
        <w:t xml:space="preserve"> </w:t>
      </w:r>
      <w:r w:rsidR="00400B0F" w:rsidRPr="008821C2">
        <w:rPr>
          <w:rFonts w:asciiTheme="majorHAnsi" w:hAnsiTheme="majorHAnsi" w:cstheme="majorHAnsi"/>
        </w:rPr>
        <w:t xml:space="preserve">Annex B </w:t>
      </w:r>
      <w:r w:rsidR="00033AB7" w:rsidRPr="008821C2">
        <w:rPr>
          <w:rFonts w:asciiTheme="majorHAnsi" w:hAnsiTheme="majorHAnsi" w:cstheme="majorHAnsi"/>
        </w:rPr>
        <w:t>–</w:t>
      </w:r>
      <w:r w:rsidR="00400B0F" w:rsidRPr="008821C2">
        <w:rPr>
          <w:rFonts w:asciiTheme="majorHAnsi" w:hAnsiTheme="majorHAnsi" w:cstheme="majorHAnsi"/>
        </w:rPr>
        <w:t xml:space="preserve"> </w:t>
      </w:r>
      <w:r w:rsidR="00033AB7" w:rsidRPr="008821C2">
        <w:rPr>
          <w:rFonts w:asciiTheme="majorHAnsi" w:hAnsiTheme="majorHAnsi" w:cstheme="majorHAnsi"/>
        </w:rPr>
        <w:t>PERFORMANCE BENCHMARKS</w:t>
      </w:r>
    </w:p>
    <w:p w:rsidR="008821C2" w:rsidRPr="00F8189A" w:rsidRDefault="008821C2" w:rsidP="008821C2">
      <w:pPr>
        <w:rPr>
          <w:rFonts w:eastAsia="Times New Roman" w:cstheme="minorHAnsi"/>
          <w:sz w:val="32"/>
          <w:szCs w:val="32"/>
        </w:rPr>
      </w:pPr>
      <w:r>
        <w:rPr>
          <w:rFonts w:eastAsia="Times New Roman" w:cstheme="minorHAnsi"/>
          <w:sz w:val="32"/>
          <w:szCs w:val="32"/>
        </w:rPr>
        <w:t>1</w:t>
      </w:r>
      <w:r w:rsidR="00472722">
        <w:rPr>
          <w:rFonts w:eastAsia="Times New Roman" w:cstheme="minorHAnsi"/>
          <w:sz w:val="32"/>
          <w:szCs w:val="32"/>
        </w:rPr>
        <w:t>.</w:t>
      </w:r>
      <w:r>
        <w:rPr>
          <w:rFonts w:eastAsia="Times New Roman" w:cstheme="minorHAnsi"/>
          <w:sz w:val="32"/>
          <w:szCs w:val="32"/>
        </w:rPr>
        <w:t xml:space="preserve"> </w:t>
      </w:r>
      <w:r w:rsidRPr="00F8189A">
        <w:rPr>
          <w:rFonts w:eastAsia="Times New Roman" w:cstheme="minorHAnsi"/>
          <w:sz w:val="32"/>
          <w:szCs w:val="32"/>
        </w:rPr>
        <w:t>Progress towards Performance Benchmarks in 2018-19</w:t>
      </w:r>
    </w:p>
    <w:tbl>
      <w:tblPr>
        <w:tblStyle w:val="DFATTable"/>
        <w:tblW w:w="5000" w:type="pct"/>
        <w:tblLook w:val="04A0" w:firstRow="1" w:lastRow="0" w:firstColumn="1" w:lastColumn="0" w:noHBand="0" w:noVBand="1"/>
      </w:tblPr>
      <w:tblGrid>
        <w:gridCol w:w="2126"/>
        <w:gridCol w:w="2160"/>
        <w:gridCol w:w="960"/>
        <w:gridCol w:w="9214"/>
      </w:tblGrid>
      <w:tr w:rsidR="008821C2" w:rsidRPr="00C92524" w:rsidTr="005B4D51">
        <w:trPr>
          <w:tblHeader/>
        </w:trPr>
        <w:tc>
          <w:tcPr>
            <w:tcW w:w="735" w:type="pct"/>
            <w:tcMar>
              <w:top w:w="57" w:type="dxa"/>
              <w:bottom w:w="57" w:type="dxa"/>
            </w:tcMar>
          </w:tcPr>
          <w:p w:rsidR="008821C2" w:rsidRPr="00C92524" w:rsidRDefault="008821C2" w:rsidP="001E0245">
            <w:pPr>
              <w:keepLines/>
              <w:spacing w:before="80" w:after="80" w:line="200" w:lineRule="atLeast"/>
              <w:rPr>
                <w:rFonts w:asciiTheme="minorHAnsi" w:eastAsia="Times New Roman" w:hAnsiTheme="minorHAnsi"/>
                <w:b/>
                <w:iCs/>
                <w:szCs w:val="17"/>
                <w:lang w:eastAsia="en-US"/>
              </w:rPr>
            </w:pPr>
            <w:r w:rsidRPr="00C92524">
              <w:rPr>
                <w:rFonts w:asciiTheme="minorHAnsi" w:eastAsia="Times New Roman" w:hAnsiTheme="minorHAnsi"/>
                <w:b/>
                <w:iCs/>
                <w:szCs w:val="17"/>
                <w:lang w:eastAsia="en-US"/>
              </w:rPr>
              <w:t>Aid objective</w:t>
            </w:r>
          </w:p>
        </w:tc>
        <w:tc>
          <w:tcPr>
            <w:tcW w:w="747" w:type="pct"/>
          </w:tcPr>
          <w:p w:rsidR="008821C2" w:rsidRPr="00C92524" w:rsidRDefault="008821C2" w:rsidP="001E0245">
            <w:pPr>
              <w:keepLines/>
              <w:spacing w:before="80" w:after="80" w:line="200" w:lineRule="atLeast"/>
              <w:rPr>
                <w:rFonts w:asciiTheme="minorHAnsi" w:eastAsia="Times New Roman" w:hAnsiTheme="minorHAnsi"/>
                <w:b/>
                <w:iCs/>
                <w:szCs w:val="17"/>
                <w:lang w:eastAsia="en-US"/>
              </w:rPr>
            </w:pPr>
            <w:r w:rsidRPr="00C92524">
              <w:rPr>
                <w:rFonts w:asciiTheme="minorHAnsi" w:eastAsia="Times New Roman" w:hAnsiTheme="minorHAnsi"/>
                <w:b/>
                <w:iCs/>
                <w:szCs w:val="17"/>
                <w:lang w:eastAsia="en-US"/>
              </w:rPr>
              <w:t xml:space="preserve">Performance Benchmark </w:t>
            </w:r>
          </w:p>
        </w:tc>
        <w:tc>
          <w:tcPr>
            <w:tcW w:w="332" w:type="pct"/>
          </w:tcPr>
          <w:p w:rsidR="008821C2" w:rsidRPr="00C92524" w:rsidRDefault="008821C2" w:rsidP="001E0245">
            <w:pPr>
              <w:keepLines/>
              <w:spacing w:before="80" w:after="80" w:line="200" w:lineRule="atLeast"/>
              <w:jc w:val="center"/>
              <w:rPr>
                <w:rFonts w:asciiTheme="minorHAnsi" w:eastAsia="Times New Roman" w:hAnsiTheme="minorHAnsi"/>
                <w:b/>
                <w:iCs/>
                <w:szCs w:val="17"/>
                <w:lang w:eastAsia="en-US"/>
              </w:rPr>
            </w:pPr>
            <w:r w:rsidRPr="00C92524">
              <w:rPr>
                <w:rFonts w:asciiTheme="minorHAnsi" w:eastAsia="Times New Roman" w:hAnsiTheme="minorHAnsi"/>
                <w:b/>
                <w:iCs/>
                <w:szCs w:val="17"/>
                <w:lang w:eastAsia="en-US"/>
              </w:rPr>
              <w:t>Rating</w:t>
            </w:r>
          </w:p>
        </w:tc>
        <w:tc>
          <w:tcPr>
            <w:tcW w:w="3186" w:type="pct"/>
          </w:tcPr>
          <w:p w:rsidR="008821C2" w:rsidRPr="00C92524" w:rsidRDefault="008821C2" w:rsidP="003E2BE7">
            <w:pPr>
              <w:keepLines/>
              <w:spacing w:before="80" w:after="80" w:line="200" w:lineRule="atLeast"/>
              <w:jc w:val="center"/>
              <w:rPr>
                <w:rFonts w:asciiTheme="minorHAnsi" w:eastAsia="Times New Roman" w:hAnsiTheme="minorHAnsi"/>
                <w:b/>
                <w:iCs/>
                <w:szCs w:val="17"/>
                <w:lang w:eastAsia="en-US"/>
              </w:rPr>
            </w:pPr>
            <w:r w:rsidRPr="00C92524">
              <w:rPr>
                <w:rFonts w:asciiTheme="minorHAnsi" w:eastAsia="Times New Roman" w:hAnsiTheme="minorHAnsi"/>
                <w:b/>
                <w:iCs/>
                <w:szCs w:val="17"/>
                <w:lang w:eastAsia="en-US"/>
              </w:rPr>
              <w:t>Progress in 201</w:t>
            </w:r>
            <w:r w:rsidR="003E2BE7" w:rsidRPr="00C92524">
              <w:rPr>
                <w:rFonts w:asciiTheme="minorHAnsi" w:eastAsia="Times New Roman" w:hAnsiTheme="minorHAnsi"/>
                <w:b/>
                <w:iCs/>
                <w:szCs w:val="17"/>
                <w:lang w:eastAsia="en-US"/>
              </w:rPr>
              <w:t>8-19</w:t>
            </w:r>
          </w:p>
        </w:tc>
      </w:tr>
      <w:tr w:rsidR="00860A43" w:rsidRPr="00C92524" w:rsidTr="005B4D51">
        <w:tc>
          <w:tcPr>
            <w:tcW w:w="735" w:type="pct"/>
            <w:tcMar>
              <w:top w:w="57" w:type="dxa"/>
              <w:bottom w:w="57" w:type="dxa"/>
            </w:tcMar>
          </w:tcPr>
          <w:p w:rsidR="00860A43" w:rsidRPr="00545E5D" w:rsidRDefault="00860A43" w:rsidP="00860A43">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b/>
                <w:iCs/>
                <w:sz w:val="16"/>
                <w:szCs w:val="16"/>
                <w:lang w:eastAsia="en-US"/>
              </w:rPr>
              <w:t>Stability</w:t>
            </w:r>
            <w:r w:rsidRPr="00545E5D">
              <w:rPr>
                <w:rFonts w:asciiTheme="minorHAnsi" w:eastAsia="Times New Roman" w:hAnsiTheme="minorHAnsi"/>
                <w:iCs/>
                <w:sz w:val="16"/>
                <w:szCs w:val="16"/>
                <w:lang w:eastAsia="en-US"/>
              </w:rPr>
              <w:t xml:space="preserve"> - Number of police and other law and justice officials trained  </w:t>
            </w:r>
          </w:p>
        </w:tc>
        <w:tc>
          <w:tcPr>
            <w:tcW w:w="747" w:type="pct"/>
          </w:tcPr>
          <w:p w:rsidR="00860A43" w:rsidRPr="00545E5D" w:rsidRDefault="00860A43" w:rsidP="00860A43">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800</w:t>
            </w:r>
          </w:p>
        </w:tc>
        <w:tc>
          <w:tcPr>
            <w:tcW w:w="332" w:type="pct"/>
            <w:shd w:val="clear" w:color="auto" w:fill="E36C0A"/>
          </w:tcPr>
          <w:p w:rsidR="00860A43" w:rsidRPr="00545E5D" w:rsidRDefault="001F7EE9" w:rsidP="008D5CAB">
            <w:pPr>
              <w:keepLines/>
              <w:spacing w:before="40" w:after="40" w:line="200" w:lineRule="atLeast"/>
              <w:rPr>
                <w:rFonts w:ascii="Franklin Gothic Book" w:hAnsi="Franklin Gothic Book"/>
                <w:sz w:val="16"/>
                <w:szCs w:val="16"/>
              </w:rPr>
            </w:pPr>
            <w:r>
              <w:rPr>
                <w:rFonts w:asciiTheme="minorHAnsi" w:eastAsia="Times New Roman" w:hAnsiTheme="minorHAnsi"/>
                <w:iCs/>
                <w:color w:val="FFFFFF" w:themeColor="background1"/>
                <w:sz w:val="16"/>
                <w:szCs w:val="16"/>
                <w:lang w:eastAsia="en-US"/>
              </w:rPr>
              <w:t>Partially achieved</w:t>
            </w:r>
          </w:p>
        </w:tc>
        <w:tc>
          <w:tcPr>
            <w:tcW w:w="3186" w:type="pct"/>
            <w:shd w:val="clear" w:color="auto" w:fill="auto"/>
          </w:tcPr>
          <w:p w:rsidR="00860A43" w:rsidRPr="00545E5D" w:rsidRDefault="001F7EE9" w:rsidP="00900625">
            <w:pPr>
              <w:keepLines/>
              <w:spacing w:before="40" w:after="40" w:line="200" w:lineRule="atLeast"/>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 xml:space="preserve">Total trained: 677. </w:t>
            </w:r>
            <w:r w:rsidR="008D5CAB" w:rsidRPr="008D5CAB">
              <w:rPr>
                <w:rFonts w:asciiTheme="minorHAnsi" w:eastAsia="Times New Roman" w:hAnsiTheme="minorHAnsi"/>
                <w:iCs/>
                <w:sz w:val="16"/>
                <w:szCs w:val="16"/>
                <w:lang w:eastAsia="en-US"/>
              </w:rPr>
              <w:t>Th</w:t>
            </w:r>
            <w:r w:rsidR="008D5CAB">
              <w:rPr>
                <w:rFonts w:asciiTheme="minorHAnsi" w:eastAsia="Times New Roman" w:hAnsiTheme="minorHAnsi"/>
                <w:iCs/>
                <w:sz w:val="16"/>
                <w:szCs w:val="16"/>
                <w:lang w:eastAsia="en-US"/>
              </w:rPr>
              <w:t>e</w:t>
            </w:r>
            <w:r w:rsidR="008D5CAB" w:rsidRPr="008D5CAB">
              <w:rPr>
                <w:rFonts w:asciiTheme="minorHAnsi" w:eastAsia="Times New Roman" w:hAnsiTheme="minorHAnsi"/>
                <w:iCs/>
                <w:sz w:val="16"/>
                <w:szCs w:val="16"/>
                <w:lang w:eastAsia="en-US"/>
              </w:rPr>
              <w:t xml:space="preserve"> number of law and justice officials trained was less than what was forecasted due to unforeseen circumstances out of the Program’s control. A change in leadership in one of the main Agencies (Attorney General’s Chambers) m</w:t>
            </w:r>
            <w:r w:rsidR="008D5CAB">
              <w:rPr>
                <w:rFonts w:asciiTheme="minorHAnsi" w:eastAsia="Times New Roman" w:hAnsiTheme="minorHAnsi"/>
                <w:iCs/>
                <w:sz w:val="16"/>
                <w:szCs w:val="16"/>
                <w:lang w:eastAsia="en-US"/>
              </w:rPr>
              <w:t xml:space="preserve">eant new training was requested, affecting </w:t>
            </w:r>
            <w:r w:rsidR="008D5CAB" w:rsidRPr="008D5CAB">
              <w:rPr>
                <w:rFonts w:asciiTheme="minorHAnsi" w:eastAsia="Times New Roman" w:hAnsiTheme="minorHAnsi"/>
                <w:iCs/>
                <w:sz w:val="16"/>
                <w:szCs w:val="16"/>
                <w:lang w:eastAsia="en-US"/>
              </w:rPr>
              <w:t>a number of Training Sessions pre-scheduled that had to be were cancelled</w:t>
            </w:r>
            <w:r w:rsidR="008D5CAB">
              <w:rPr>
                <w:rFonts w:asciiTheme="minorHAnsi" w:eastAsia="Times New Roman" w:hAnsiTheme="minorHAnsi"/>
                <w:iCs/>
                <w:sz w:val="16"/>
                <w:szCs w:val="16"/>
                <w:lang w:eastAsia="en-US"/>
              </w:rPr>
              <w:t>.</w:t>
            </w:r>
            <w:r w:rsidR="008D5CAB" w:rsidRPr="008D5CAB">
              <w:rPr>
                <w:rFonts w:asciiTheme="minorHAnsi" w:eastAsia="Times New Roman" w:hAnsiTheme="minorHAnsi"/>
                <w:iCs/>
                <w:sz w:val="16"/>
                <w:szCs w:val="16"/>
                <w:lang w:eastAsia="en-US"/>
              </w:rPr>
              <w:t xml:space="preserve"> An integrated training program</w:t>
            </w:r>
            <w:r w:rsidR="008D5CAB">
              <w:rPr>
                <w:rFonts w:asciiTheme="minorHAnsi" w:eastAsia="Times New Roman" w:hAnsiTheme="minorHAnsi"/>
                <w:iCs/>
                <w:sz w:val="16"/>
                <w:szCs w:val="16"/>
                <w:lang w:eastAsia="en-US"/>
              </w:rPr>
              <w:t xml:space="preserve"> for the </w:t>
            </w:r>
            <w:r w:rsidR="008D5CAB" w:rsidRPr="008D5CAB">
              <w:rPr>
                <w:rFonts w:asciiTheme="minorHAnsi" w:eastAsia="Times New Roman" w:hAnsiTheme="minorHAnsi"/>
                <w:iCs/>
                <w:sz w:val="16"/>
                <w:szCs w:val="16"/>
                <w:lang w:eastAsia="en-US"/>
              </w:rPr>
              <w:t>Correc</w:t>
            </w:r>
            <w:r w:rsidR="008D5CAB">
              <w:rPr>
                <w:rFonts w:asciiTheme="minorHAnsi" w:eastAsia="Times New Roman" w:hAnsiTheme="minorHAnsi"/>
                <w:iCs/>
                <w:sz w:val="16"/>
                <w:szCs w:val="16"/>
                <w:lang w:eastAsia="en-US"/>
              </w:rPr>
              <w:t>tional Services Solomon Islands also</w:t>
            </w:r>
            <w:r w:rsidR="008D5CAB" w:rsidRPr="008D5CAB">
              <w:rPr>
                <w:rFonts w:asciiTheme="minorHAnsi" w:eastAsia="Times New Roman" w:hAnsiTheme="minorHAnsi"/>
                <w:iCs/>
                <w:sz w:val="16"/>
                <w:szCs w:val="16"/>
                <w:lang w:eastAsia="en-US"/>
              </w:rPr>
              <w:t xml:space="preserve"> meant less officials were undertaking training. </w:t>
            </w:r>
          </w:p>
        </w:tc>
      </w:tr>
      <w:tr w:rsidR="00860A43" w:rsidRPr="00C92524" w:rsidTr="005B4D51">
        <w:tc>
          <w:tcPr>
            <w:tcW w:w="735" w:type="pct"/>
            <w:tcMar>
              <w:top w:w="57" w:type="dxa"/>
              <w:bottom w:w="57" w:type="dxa"/>
            </w:tcMar>
          </w:tcPr>
          <w:p w:rsidR="00860A43" w:rsidRPr="00545E5D" w:rsidRDefault="00860A43" w:rsidP="00860A43">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Courts and justice agencies are better able to deliver their core functions</w:t>
            </w:r>
          </w:p>
        </w:tc>
        <w:tc>
          <w:tcPr>
            <w:tcW w:w="747" w:type="pct"/>
          </w:tcPr>
          <w:p w:rsidR="00860A43" w:rsidRPr="00545E5D" w:rsidRDefault="00860A43" w:rsidP="00860A43">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650 cases heard and disposed of in the Magistrates Court</w:t>
            </w:r>
          </w:p>
        </w:tc>
        <w:tc>
          <w:tcPr>
            <w:tcW w:w="332" w:type="pct"/>
            <w:shd w:val="clear" w:color="auto" w:fill="7FB64D" w:themeFill="accent3" w:themeFillShade="BF"/>
          </w:tcPr>
          <w:p w:rsidR="00860A43" w:rsidRPr="005B4D51" w:rsidRDefault="00CC13F8" w:rsidP="00860A43">
            <w:pPr>
              <w:rPr>
                <w:rFonts w:asciiTheme="minorHAnsi" w:hAnsiTheme="minorHAnsi" w:cstheme="minorHAnsi"/>
                <w:sz w:val="16"/>
                <w:szCs w:val="16"/>
              </w:rPr>
            </w:pPr>
            <w:r w:rsidRPr="005B4D51">
              <w:rPr>
                <w:rFonts w:asciiTheme="minorHAnsi" w:hAnsiTheme="minorHAnsi" w:cstheme="minorHAnsi"/>
                <w:color w:val="FFFFFF" w:themeColor="background1"/>
                <w:sz w:val="16"/>
                <w:szCs w:val="16"/>
              </w:rPr>
              <w:t>Achieved</w:t>
            </w:r>
          </w:p>
        </w:tc>
        <w:tc>
          <w:tcPr>
            <w:tcW w:w="3186" w:type="pct"/>
            <w:shd w:val="clear" w:color="auto" w:fill="auto"/>
          </w:tcPr>
          <w:p w:rsidR="00860A43" w:rsidRPr="00545E5D" w:rsidRDefault="004B3733" w:rsidP="00575681">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 xml:space="preserve">The number of cases heard and disposed from the Magistrate Courts has increased from </w:t>
            </w:r>
            <w:r w:rsidR="00043475">
              <w:rPr>
                <w:rFonts w:asciiTheme="minorHAnsi" w:eastAsia="Times New Roman" w:hAnsiTheme="minorHAnsi"/>
                <w:iCs/>
                <w:sz w:val="16"/>
                <w:szCs w:val="16"/>
                <w:lang w:eastAsia="en-US"/>
              </w:rPr>
              <w:t xml:space="preserve">650 </w:t>
            </w:r>
            <w:r w:rsidRPr="00545E5D">
              <w:rPr>
                <w:rFonts w:asciiTheme="minorHAnsi" w:eastAsia="Times New Roman" w:hAnsiTheme="minorHAnsi"/>
                <w:iCs/>
                <w:sz w:val="16"/>
                <w:szCs w:val="16"/>
                <w:lang w:eastAsia="en-US"/>
              </w:rPr>
              <w:t xml:space="preserve">to </w:t>
            </w:r>
            <w:r w:rsidR="00575681">
              <w:rPr>
                <w:rFonts w:asciiTheme="minorHAnsi" w:eastAsia="Times New Roman" w:hAnsiTheme="minorHAnsi"/>
                <w:iCs/>
                <w:sz w:val="16"/>
                <w:szCs w:val="16"/>
                <w:lang w:eastAsia="en-US"/>
              </w:rPr>
              <w:t>1,013</w:t>
            </w:r>
            <w:r w:rsidRPr="00545E5D">
              <w:rPr>
                <w:rFonts w:asciiTheme="minorHAnsi" w:eastAsia="Times New Roman" w:hAnsiTheme="minorHAnsi"/>
                <w:iCs/>
                <w:sz w:val="16"/>
                <w:szCs w:val="16"/>
                <w:lang w:eastAsia="en-US"/>
              </w:rPr>
              <w:t xml:space="preserve"> </w:t>
            </w:r>
            <w:r w:rsidR="00575681">
              <w:rPr>
                <w:rFonts w:asciiTheme="minorHAnsi" w:eastAsia="Times New Roman" w:hAnsiTheme="minorHAnsi"/>
                <w:iCs/>
                <w:sz w:val="16"/>
                <w:szCs w:val="16"/>
                <w:lang w:eastAsia="en-US"/>
              </w:rPr>
              <w:t xml:space="preserve">(excluded </w:t>
            </w:r>
            <w:proofErr w:type="spellStart"/>
            <w:r w:rsidR="00575681">
              <w:rPr>
                <w:rFonts w:asciiTheme="minorHAnsi" w:eastAsia="Times New Roman" w:hAnsiTheme="minorHAnsi"/>
                <w:iCs/>
                <w:sz w:val="16"/>
                <w:szCs w:val="16"/>
                <w:lang w:eastAsia="en-US"/>
              </w:rPr>
              <w:t>Lata</w:t>
            </w:r>
            <w:proofErr w:type="spellEnd"/>
            <w:r w:rsidR="00575681">
              <w:rPr>
                <w:rFonts w:asciiTheme="minorHAnsi" w:eastAsia="Times New Roman" w:hAnsiTheme="minorHAnsi"/>
                <w:iCs/>
                <w:sz w:val="16"/>
                <w:szCs w:val="16"/>
                <w:lang w:eastAsia="en-US"/>
              </w:rPr>
              <w:t xml:space="preserve"> and </w:t>
            </w:r>
            <w:proofErr w:type="spellStart"/>
            <w:r w:rsidR="00575681">
              <w:rPr>
                <w:rFonts w:asciiTheme="minorHAnsi" w:eastAsia="Times New Roman" w:hAnsiTheme="minorHAnsi"/>
                <w:iCs/>
                <w:sz w:val="16"/>
                <w:szCs w:val="16"/>
                <w:lang w:eastAsia="en-US"/>
              </w:rPr>
              <w:t>Kirakira</w:t>
            </w:r>
            <w:proofErr w:type="spellEnd"/>
            <w:r w:rsidR="00575681">
              <w:rPr>
                <w:rFonts w:asciiTheme="minorHAnsi" w:eastAsia="Times New Roman" w:hAnsiTheme="minorHAnsi"/>
                <w:iCs/>
                <w:sz w:val="16"/>
                <w:szCs w:val="16"/>
                <w:lang w:eastAsia="en-US"/>
              </w:rPr>
              <w:t xml:space="preserve">) </w:t>
            </w:r>
            <w:r w:rsidRPr="00545E5D">
              <w:rPr>
                <w:rFonts w:asciiTheme="minorHAnsi" w:eastAsia="Times New Roman" w:hAnsiTheme="minorHAnsi"/>
                <w:iCs/>
                <w:sz w:val="16"/>
                <w:szCs w:val="16"/>
                <w:lang w:eastAsia="en-US"/>
              </w:rPr>
              <w:t>in the last ye</w:t>
            </w:r>
            <w:r w:rsidR="007C3CFE" w:rsidRPr="00545E5D">
              <w:rPr>
                <w:rFonts w:asciiTheme="minorHAnsi" w:eastAsia="Times New Roman" w:hAnsiTheme="minorHAnsi"/>
                <w:iCs/>
                <w:sz w:val="16"/>
                <w:szCs w:val="16"/>
                <w:lang w:eastAsia="en-US"/>
              </w:rPr>
              <w:t xml:space="preserve">ar, reflecting an increase of </w:t>
            </w:r>
            <w:r w:rsidR="00575681">
              <w:rPr>
                <w:rFonts w:asciiTheme="minorHAnsi" w:eastAsia="Times New Roman" w:hAnsiTheme="minorHAnsi"/>
                <w:iCs/>
                <w:sz w:val="16"/>
                <w:szCs w:val="16"/>
                <w:lang w:eastAsia="en-US"/>
              </w:rPr>
              <w:t>363</w:t>
            </w:r>
            <w:r w:rsidR="00043475">
              <w:rPr>
                <w:rFonts w:asciiTheme="minorHAnsi" w:eastAsia="Times New Roman" w:hAnsiTheme="minorHAnsi"/>
                <w:iCs/>
                <w:sz w:val="16"/>
                <w:szCs w:val="16"/>
                <w:lang w:eastAsia="en-US"/>
              </w:rPr>
              <w:t xml:space="preserve"> cases. </w:t>
            </w:r>
          </w:p>
        </w:tc>
      </w:tr>
      <w:tr w:rsidR="00860A43" w:rsidRPr="00C92524" w:rsidTr="005B4D51">
        <w:tc>
          <w:tcPr>
            <w:tcW w:w="735" w:type="pct"/>
            <w:tcMar>
              <w:top w:w="57" w:type="dxa"/>
              <w:bottom w:w="57" w:type="dxa"/>
            </w:tcMar>
          </w:tcPr>
          <w:p w:rsidR="00860A43" w:rsidRPr="00545E5D" w:rsidRDefault="00860A43" w:rsidP="00860A43">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b/>
                <w:iCs/>
                <w:sz w:val="16"/>
                <w:szCs w:val="16"/>
                <w:lang w:eastAsia="en-US"/>
              </w:rPr>
              <w:t>Economic Growth</w:t>
            </w:r>
            <w:r w:rsidRPr="00545E5D">
              <w:rPr>
                <w:rFonts w:asciiTheme="minorHAnsi" w:eastAsia="Times New Roman" w:hAnsiTheme="minorHAnsi"/>
                <w:iCs/>
                <w:sz w:val="16"/>
                <w:szCs w:val="16"/>
                <w:lang w:eastAsia="en-US"/>
              </w:rPr>
              <w:t xml:space="preserve"> - Women able to gain business or income-generating skills</w:t>
            </w:r>
          </w:p>
        </w:tc>
        <w:tc>
          <w:tcPr>
            <w:tcW w:w="747" w:type="pct"/>
          </w:tcPr>
          <w:p w:rsidR="00860A43" w:rsidRPr="00545E5D" w:rsidRDefault="003200F9" w:rsidP="00860A43">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1,000</w:t>
            </w:r>
            <w:r w:rsidR="00860A43" w:rsidRPr="00545E5D">
              <w:rPr>
                <w:rFonts w:asciiTheme="minorHAnsi" w:eastAsia="Times New Roman" w:hAnsiTheme="minorHAnsi"/>
                <w:iCs/>
                <w:sz w:val="16"/>
                <w:szCs w:val="16"/>
                <w:lang w:eastAsia="en-US"/>
              </w:rPr>
              <w:t xml:space="preserve"> women are trained in business or income-generating skills</w:t>
            </w:r>
          </w:p>
        </w:tc>
        <w:tc>
          <w:tcPr>
            <w:tcW w:w="332" w:type="pct"/>
            <w:tcBorders>
              <w:bottom w:val="nil"/>
            </w:tcBorders>
            <w:shd w:val="clear" w:color="auto" w:fill="7FB64D" w:themeFill="accent3" w:themeFillShade="BF"/>
          </w:tcPr>
          <w:p w:rsidR="00860A43" w:rsidRPr="005B4D51" w:rsidRDefault="003200F9" w:rsidP="003200F9">
            <w:pPr>
              <w:rPr>
                <w:rFonts w:asciiTheme="minorHAnsi" w:hAnsiTheme="minorHAnsi" w:cstheme="minorHAnsi"/>
                <w:sz w:val="16"/>
                <w:szCs w:val="16"/>
              </w:rPr>
            </w:pPr>
            <w:r w:rsidRPr="005B4D51">
              <w:rPr>
                <w:rFonts w:asciiTheme="minorHAnsi" w:hAnsiTheme="minorHAnsi" w:cstheme="minorHAnsi"/>
                <w:color w:val="FFFFFF" w:themeColor="background1"/>
                <w:sz w:val="16"/>
                <w:szCs w:val="16"/>
              </w:rPr>
              <w:t>Achieved</w:t>
            </w:r>
          </w:p>
        </w:tc>
        <w:tc>
          <w:tcPr>
            <w:tcW w:w="3186" w:type="pct"/>
            <w:tcBorders>
              <w:bottom w:val="nil"/>
            </w:tcBorders>
            <w:shd w:val="clear" w:color="auto" w:fill="auto"/>
          </w:tcPr>
          <w:p w:rsidR="007F17A0" w:rsidRPr="00545E5D" w:rsidRDefault="00CC13F8" w:rsidP="007F17A0">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1</w:t>
            </w:r>
            <w:r w:rsidR="0000067C" w:rsidRPr="00545E5D">
              <w:rPr>
                <w:rFonts w:asciiTheme="minorHAnsi" w:eastAsia="Times New Roman" w:hAnsiTheme="minorHAnsi"/>
                <w:iCs/>
                <w:sz w:val="16"/>
                <w:szCs w:val="16"/>
                <w:lang w:eastAsia="en-US"/>
              </w:rPr>
              <w:t>,3</w:t>
            </w:r>
            <w:r w:rsidR="00F22A7D">
              <w:rPr>
                <w:rFonts w:asciiTheme="minorHAnsi" w:eastAsia="Times New Roman" w:hAnsiTheme="minorHAnsi"/>
                <w:iCs/>
                <w:sz w:val="16"/>
                <w:szCs w:val="16"/>
                <w:lang w:eastAsia="en-US"/>
              </w:rPr>
              <w:t>35</w:t>
            </w:r>
            <w:r w:rsidRPr="00545E5D">
              <w:rPr>
                <w:rFonts w:asciiTheme="minorHAnsi" w:eastAsia="Times New Roman" w:hAnsiTheme="minorHAnsi"/>
                <w:iCs/>
                <w:sz w:val="16"/>
                <w:szCs w:val="16"/>
                <w:lang w:eastAsia="en-US"/>
              </w:rPr>
              <w:t xml:space="preserve"> women trained in business or</w:t>
            </w:r>
            <w:r w:rsidR="004B109B" w:rsidRPr="00545E5D">
              <w:rPr>
                <w:rFonts w:asciiTheme="minorHAnsi" w:eastAsia="Times New Roman" w:hAnsiTheme="minorHAnsi"/>
                <w:iCs/>
                <w:sz w:val="16"/>
                <w:szCs w:val="16"/>
                <w:lang w:eastAsia="en-US"/>
              </w:rPr>
              <w:t xml:space="preserve"> income-generating skills: Y@W</w:t>
            </w:r>
            <w:r w:rsidRPr="00545E5D">
              <w:rPr>
                <w:rFonts w:asciiTheme="minorHAnsi" w:eastAsia="Times New Roman" w:hAnsiTheme="minorHAnsi"/>
                <w:iCs/>
                <w:sz w:val="16"/>
                <w:szCs w:val="16"/>
                <w:lang w:eastAsia="en-US"/>
              </w:rPr>
              <w:t xml:space="preserve"> (298), APTC (</w:t>
            </w:r>
            <w:r w:rsidR="00D27C4D" w:rsidRPr="00545E5D">
              <w:rPr>
                <w:rFonts w:asciiTheme="minorHAnsi" w:eastAsia="Times New Roman" w:hAnsiTheme="minorHAnsi"/>
                <w:iCs/>
                <w:sz w:val="16"/>
                <w:szCs w:val="16"/>
                <w:lang w:eastAsia="en-US"/>
              </w:rPr>
              <w:t>176</w:t>
            </w:r>
            <w:r w:rsidRPr="00545E5D">
              <w:rPr>
                <w:rFonts w:asciiTheme="minorHAnsi" w:eastAsia="Times New Roman" w:hAnsiTheme="minorHAnsi"/>
                <w:iCs/>
                <w:sz w:val="16"/>
                <w:szCs w:val="16"/>
                <w:lang w:eastAsia="en-US"/>
              </w:rPr>
              <w:t>),</w:t>
            </w:r>
            <w:r w:rsidR="00D27C4D" w:rsidRPr="00545E5D">
              <w:rPr>
                <w:rFonts w:asciiTheme="minorHAnsi" w:eastAsia="Times New Roman" w:hAnsiTheme="minorHAnsi"/>
                <w:iCs/>
                <w:sz w:val="16"/>
                <w:szCs w:val="16"/>
                <w:lang w:eastAsia="en-US"/>
              </w:rPr>
              <w:t xml:space="preserve"> SIWIBA (315), Markets4Change (61</w:t>
            </w:r>
            <w:r w:rsidRPr="00545E5D">
              <w:rPr>
                <w:rFonts w:asciiTheme="minorHAnsi" w:eastAsia="Times New Roman" w:hAnsiTheme="minorHAnsi"/>
                <w:iCs/>
                <w:sz w:val="16"/>
                <w:szCs w:val="16"/>
                <w:lang w:eastAsia="en-US"/>
              </w:rPr>
              <w:t>),</w:t>
            </w:r>
            <w:r w:rsidR="00F22A7D">
              <w:rPr>
                <w:rFonts w:asciiTheme="minorHAnsi" w:eastAsia="Times New Roman" w:hAnsiTheme="minorHAnsi"/>
                <w:iCs/>
                <w:sz w:val="16"/>
                <w:szCs w:val="16"/>
                <w:lang w:eastAsia="en-US"/>
              </w:rPr>
              <w:t xml:space="preserve"> and</w:t>
            </w:r>
            <w:r w:rsidRPr="00545E5D">
              <w:rPr>
                <w:rFonts w:asciiTheme="minorHAnsi" w:eastAsia="Times New Roman" w:hAnsiTheme="minorHAnsi"/>
                <w:iCs/>
                <w:sz w:val="16"/>
                <w:szCs w:val="16"/>
                <w:lang w:eastAsia="en-US"/>
              </w:rPr>
              <w:t xml:space="preserve"> </w:t>
            </w:r>
            <w:r w:rsidRPr="00545E5D">
              <w:rPr>
                <w:rFonts w:asciiTheme="minorHAnsi" w:eastAsia="Times New Roman" w:hAnsiTheme="minorHAnsi"/>
                <w:i/>
                <w:iCs/>
                <w:sz w:val="16"/>
                <w:szCs w:val="16"/>
                <w:lang w:eastAsia="en-US"/>
              </w:rPr>
              <w:t>Strongim Bisnis</w:t>
            </w:r>
            <w:r w:rsidRPr="00545E5D">
              <w:rPr>
                <w:rFonts w:asciiTheme="minorHAnsi" w:eastAsia="Times New Roman" w:hAnsiTheme="minorHAnsi"/>
                <w:iCs/>
                <w:sz w:val="16"/>
                <w:szCs w:val="16"/>
                <w:lang w:eastAsia="en-US"/>
              </w:rPr>
              <w:t xml:space="preserve"> (485)</w:t>
            </w:r>
            <w:r w:rsidR="00F22A7D">
              <w:rPr>
                <w:rFonts w:asciiTheme="minorHAnsi" w:eastAsia="Times New Roman" w:hAnsiTheme="minorHAnsi"/>
                <w:iCs/>
                <w:sz w:val="16"/>
                <w:szCs w:val="16"/>
                <w:lang w:eastAsia="en-US"/>
              </w:rPr>
              <w:t>.</w:t>
            </w:r>
          </w:p>
          <w:p w:rsidR="00860A43" w:rsidRPr="00545E5D" w:rsidRDefault="00860A43" w:rsidP="00860A43">
            <w:pPr>
              <w:keepLines/>
              <w:spacing w:before="40" w:after="40" w:line="200" w:lineRule="atLeast"/>
              <w:rPr>
                <w:rFonts w:asciiTheme="minorHAnsi" w:eastAsia="Times New Roman" w:hAnsiTheme="minorHAnsi"/>
                <w:iCs/>
                <w:sz w:val="16"/>
                <w:szCs w:val="16"/>
                <w:lang w:eastAsia="en-US"/>
              </w:rPr>
            </w:pPr>
          </w:p>
        </w:tc>
      </w:tr>
      <w:tr w:rsidR="00F30628" w:rsidRPr="00C92524" w:rsidTr="005B4D51">
        <w:tc>
          <w:tcPr>
            <w:tcW w:w="735" w:type="pct"/>
            <w:tcMar>
              <w:top w:w="57" w:type="dxa"/>
              <w:bottom w:w="57" w:type="dxa"/>
            </w:tcMar>
          </w:tcPr>
          <w:p w:rsidR="00F30628" w:rsidRPr="00545E5D" w:rsidRDefault="00F30628" w:rsidP="00F30628">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Improved transport infrastructure to support increased economic activity</w:t>
            </w:r>
          </w:p>
        </w:tc>
        <w:tc>
          <w:tcPr>
            <w:tcW w:w="747" w:type="pct"/>
          </w:tcPr>
          <w:p w:rsidR="00F30628" w:rsidRPr="00545E5D" w:rsidRDefault="00F30628" w:rsidP="00F30628">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800km of roads rehabilitated or maintained</w:t>
            </w:r>
          </w:p>
        </w:tc>
        <w:tc>
          <w:tcPr>
            <w:tcW w:w="332" w:type="pct"/>
            <w:tcBorders>
              <w:top w:val="nil"/>
              <w:bottom w:val="nil"/>
            </w:tcBorders>
            <w:shd w:val="clear" w:color="auto" w:fill="7FB64D" w:themeFill="accent3" w:themeFillShade="BF"/>
          </w:tcPr>
          <w:p w:rsidR="00F30628" w:rsidRPr="005B4D51" w:rsidRDefault="00CC13F8" w:rsidP="00F30628">
            <w:pPr>
              <w:rPr>
                <w:rFonts w:asciiTheme="minorHAnsi" w:hAnsiTheme="minorHAnsi" w:cstheme="minorHAnsi"/>
                <w:sz w:val="16"/>
                <w:szCs w:val="16"/>
              </w:rPr>
            </w:pPr>
            <w:r w:rsidRPr="005B4D51">
              <w:rPr>
                <w:rFonts w:asciiTheme="minorHAnsi" w:hAnsiTheme="minorHAnsi" w:cstheme="minorHAnsi"/>
                <w:color w:val="FFFFFF" w:themeColor="background1"/>
                <w:sz w:val="16"/>
                <w:szCs w:val="16"/>
              </w:rPr>
              <w:t>Achieved</w:t>
            </w:r>
          </w:p>
        </w:tc>
        <w:tc>
          <w:tcPr>
            <w:tcW w:w="3186" w:type="pct"/>
            <w:tcBorders>
              <w:top w:val="nil"/>
              <w:bottom w:val="nil"/>
            </w:tcBorders>
            <w:shd w:val="clear" w:color="auto" w:fill="auto"/>
          </w:tcPr>
          <w:p w:rsidR="00F30628" w:rsidRPr="00545E5D" w:rsidRDefault="00CC13F8" w:rsidP="00CC13F8">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1,067</w:t>
            </w:r>
            <w:r w:rsidR="00377162" w:rsidRPr="00545E5D">
              <w:rPr>
                <w:rFonts w:asciiTheme="minorHAnsi" w:eastAsia="Times New Roman" w:hAnsiTheme="minorHAnsi"/>
                <w:iCs/>
                <w:sz w:val="16"/>
                <w:szCs w:val="16"/>
                <w:lang w:eastAsia="en-US"/>
              </w:rPr>
              <w:t xml:space="preserve"> km </w:t>
            </w:r>
            <w:r w:rsidRPr="00545E5D">
              <w:rPr>
                <w:rFonts w:asciiTheme="minorHAnsi" w:eastAsia="Times New Roman" w:hAnsiTheme="minorHAnsi"/>
                <w:iCs/>
                <w:sz w:val="16"/>
                <w:szCs w:val="16"/>
                <w:lang w:eastAsia="en-US"/>
              </w:rPr>
              <w:t xml:space="preserve">of roads were maintained or </w:t>
            </w:r>
            <w:r w:rsidR="00377162" w:rsidRPr="00545E5D">
              <w:rPr>
                <w:rFonts w:asciiTheme="minorHAnsi" w:eastAsia="Times New Roman" w:hAnsiTheme="minorHAnsi"/>
                <w:iCs/>
                <w:sz w:val="16"/>
                <w:szCs w:val="16"/>
                <w:lang w:eastAsia="en-US"/>
              </w:rPr>
              <w:t>rehabilitated in 2018</w:t>
            </w:r>
            <w:r w:rsidRPr="00545E5D">
              <w:rPr>
                <w:rFonts w:asciiTheme="minorHAnsi" w:eastAsia="Times New Roman" w:hAnsiTheme="minorHAnsi"/>
                <w:iCs/>
                <w:sz w:val="16"/>
                <w:szCs w:val="16"/>
                <w:lang w:eastAsia="en-US"/>
              </w:rPr>
              <w:t xml:space="preserve">. </w:t>
            </w:r>
          </w:p>
        </w:tc>
      </w:tr>
      <w:tr w:rsidR="00860A43" w:rsidRPr="00C92524" w:rsidTr="005B4D51">
        <w:tc>
          <w:tcPr>
            <w:tcW w:w="735" w:type="pct"/>
            <w:tcMar>
              <w:top w:w="57" w:type="dxa"/>
              <w:bottom w:w="57" w:type="dxa"/>
            </w:tcMar>
          </w:tcPr>
          <w:p w:rsidR="00860A43" w:rsidRPr="00545E5D" w:rsidRDefault="00860A43" w:rsidP="00860A43">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Improved environment for private sector investment, economic growth and trade.</w:t>
            </w:r>
          </w:p>
        </w:tc>
        <w:tc>
          <w:tcPr>
            <w:tcW w:w="747" w:type="pct"/>
          </w:tcPr>
          <w:p w:rsidR="00860A43" w:rsidRPr="00545E5D" w:rsidRDefault="00860A43" w:rsidP="00C92524">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 xml:space="preserve">50% of Core Economic Working Group Economic actions achieved for </w:t>
            </w:r>
            <w:r w:rsidR="00F92008">
              <w:rPr>
                <w:rFonts w:asciiTheme="minorHAnsi" w:eastAsia="Times New Roman" w:hAnsiTheme="minorHAnsi"/>
                <w:iCs/>
                <w:sz w:val="16"/>
                <w:szCs w:val="16"/>
                <w:lang w:eastAsia="en-US"/>
              </w:rPr>
              <w:t>20</w:t>
            </w:r>
            <w:r w:rsidRPr="00545E5D">
              <w:rPr>
                <w:rFonts w:asciiTheme="minorHAnsi" w:eastAsia="Times New Roman" w:hAnsiTheme="minorHAnsi"/>
                <w:iCs/>
                <w:sz w:val="16"/>
                <w:szCs w:val="16"/>
                <w:lang w:eastAsia="en-US"/>
              </w:rPr>
              <w:t>18-19</w:t>
            </w:r>
          </w:p>
        </w:tc>
        <w:tc>
          <w:tcPr>
            <w:tcW w:w="332" w:type="pct"/>
            <w:tcBorders>
              <w:top w:val="nil"/>
            </w:tcBorders>
            <w:shd w:val="clear" w:color="auto" w:fill="7FB64D" w:themeFill="accent3" w:themeFillShade="BF"/>
          </w:tcPr>
          <w:p w:rsidR="00860A43" w:rsidRPr="005B4D51" w:rsidRDefault="00A310B9" w:rsidP="00860A43">
            <w:pPr>
              <w:rPr>
                <w:rFonts w:asciiTheme="minorHAnsi" w:hAnsiTheme="minorHAnsi" w:cstheme="minorHAnsi"/>
                <w:sz w:val="16"/>
                <w:szCs w:val="16"/>
              </w:rPr>
            </w:pPr>
            <w:r w:rsidRPr="005B4D51">
              <w:rPr>
                <w:rFonts w:asciiTheme="minorHAnsi" w:hAnsiTheme="minorHAnsi" w:cstheme="minorHAnsi"/>
                <w:color w:val="FFFFFF" w:themeColor="background1"/>
                <w:sz w:val="16"/>
                <w:szCs w:val="16"/>
              </w:rPr>
              <w:t>A</w:t>
            </w:r>
            <w:r w:rsidR="00494262" w:rsidRPr="005B4D51">
              <w:rPr>
                <w:rFonts w:asciiTheme="minorHAnsi" w:hAnsiTheme="minorHAnsi" w:cstheme="minorHAnsi"/>
                <w:color w:val="FFFFFF" w:themeColor="background1"/>
                <w:sz w:val="16"/>
                <w:szCs w:val="16"/>
              </w:rPr>
              <w:t>chieved</w:t>
            </w:r>
          </w:p>
        </w:tc>
        <w:tc>
          <w:tcPr>
            <w:tcW w:w="3186" w:type="pct"/>
            <w:tcBorders>
              <w:top w:val="nil"/>
            </w:tcBorders>
            <w:shd w:val="clear" w:color="auto" w:fill="auto"/>
          </w:tcPr>
          <w:p w:rsidR="00860A43" w:rsidRPr="00545E5D" w:rsidRDefault="007C3CFE" w:rsidP="004B109B">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60 per cent</w:t>
            </w:r>
            <w:r w:rsidR="00256A5A" w:rsidRPr="00545E5D">
              <w:rPr>
                <w:rFonts w:asciiTheme="minorHAnsi" w:eastAsia="Times New Roman" w:hAnsiTheme="minorHAnsi"/>
                <w:iCs/>
                <w:sz w:val="16"/>
                <w:szCs w:val="16"/>
                <w:lang w:eastAsia="en-US"/>
              </w:rPr>
              <w:t xml:space="preserve"> - </w:t>
            </w:r>
            <w:r w:rsidR="00377162" w:rsidRPr="00545E5D">
              <w:rPr>
                <w:rFonts w:asciiTheme="minorHAnsi" w:eastAsia="Times New Roman" w:hAnsiTheme="minorHAnsi"/>
                <w:iCs/>
                <w:sz w:val="16"/>
                <w:szCs w:val="16"/>
                <w:lang w:eastAsia="en-US"/>
              </w:rPr>
              <w:t>Ni</w:t>
            </w:r>
            <w:r w:rsidR="00494262" w:rsidRPr="00545E5D">
              <w:rPr>
                <w:rFonts w:asciiTheme="minorHAnsi" w:eastAsia="Times New Roman" w:hAnsiTheme="minorHAnsi"/>
                <w:iCs/>
                <w:sz w:val="16"/>
                <w:szCs w:val="16"/>
                <w:lang w:eastAsia="en-US"/>
              </w:rPr>
              <w:t xml:space="preserve">ne of the 15 actions </w:t>
            </w:r>
            <w:r w:rsidR="004B109B" w:rsidRPr="00545E5D">
              <w:rPr>
                <w:rFonts w:asciiTheme="minorHAnsi" w:eastAsia="Times New Roman" w:hAnsiTheme="minorHAnsi"/>
                <w:iCs/>
                <w:sz w:val="16"/>
                <w:szCs w:val="16"/>
                <w:lang w:eastAsia="en-US"/>
              </w:rPr>
              <w:t>were</w:t>
            </w:r>
            <w:r w:rsidR="00494262" w:rsidRPr="00545E5D">
              <w:rPr>
                <w:rFonts w:asciiTheme="minorHAnsi" w:eastAsia="Times New Roman" w:hAnsiTheme="minorHAnsi"/>
                <w:iCs/>
                <w:sz w:val="16"/>
                <w:szCs w:val="16"/>
                <w:lang w:eastAsia="en-US"/>
              </w:rPr>
              <w:t xml:space="preserve"> achieved</w:t>
            </w:r>
            <w:r w:rsidR="004B109B" w:rsidRPr="00545E5D">
              <w:rPr>
                <w:rFonts w:asciiTheme="minorHAnsi" w:eastAsia="Times New Roman" w:hAnsiTheme="minorHAnsi"/>
                <w:iCs/>
                <w:sz w:val="16"/>
                <w:szCs w:val="16"/>
                <w:lang w:eastAsia="en-US"/>
              </w:rPr>
              <w:t xml:space="preserve"> by June 2019</w:t>
            </w:r>
            <w:r w:rsidR="00494262" w:rsidRPr="00545E5D">
              <w:rPr>
                <w:rFonts w:asciiTheme="minorHAnsi" w:eastAsia="Times New Roman" w:hAnsiTheme="minorHAnsi"/>
                <w:iCs/>
                <w:sz w:val="16"/>
                <w:szCs w:val="16"/>
                <w:lang w:eastAsia="en-US"/>
              </w:rPr>
              <w:t xml:space="preserve">. </w:t>
            </w:r>
          </w:p>
        </w:tc>
      </w:tr>
      <w:tr w:rsidR="00B829C9" w:rsidRPr="00C92524" w:rsidTr="005B4D51">
        <w:tc>
          <w:tcPr>
            <w:tcW w:w="735" w:type="pct"/>
            <w:tcMar>
              <w:top w:w="57" w:type="dxa"/>
              <w:bottom w:w="57" w:type="dxa"/>
            </w:tcMar>
          </w:tcPr>
          <w:p w:rsidR="00B829C9" w:rsidRPr="00545E5D" w:rsidRDefault="00B829C9" w:rsidP="00B829C9">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b/>
                <w:iCs/>
                <w:sz w:val="16"/>
                <w:szCs w:val="16"/>
                <w:lang w:eastAsia="en-US"/>
              </w:rPr>
              <w:t>Human Development</w:t>
            </w:r>
            <w:r w:rsidRPr="00545E5D">
              <w:rPr>
                <w:rFonts w:asciiTheme="minorHAnsi" w:eastAsia="Times New Roman" w:hAnsiTheme="minorHAnsi"/>
                <w:iCs/>
                <w:sz w:val="16"/>
                <w:szCs w:val="16"/>
                <w:lang w:eastAsia="en-US"/>
              </w:rPr>
              <w:t xml:space="preserve">  - Improved functioning of health system</w:t>
            </w:r>
          </w:p>
        </w:tc>
        <w:tc>
          <w:tcPr>
            <w:tcW w:w="747" w:type="pct"/>
            <w:shd w:val="clear" w:color="auto" w:fill="auto"/>
          </w:tcPr>
          <w:p w:rsidR="00B829C9" w:rsidRPr="00545E5D" w:rsidRDefault="003200F9" w:rsidP="00CC13F8">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Availability of critical and essential medicines (provincial level) is 94%</w:t>
            </w:r>
          </w:p>
        </w:tc>
        <w:tc>
          <w:tcPr>
            <w:tcW w:w="332" w:type="pct"/>
            <w:shd w:val="clear" w:color="auto" w:fill="FF0000"/>
          </w:tcPr>
          <w:p w:rsidR="00B829C9" w:rsidRPr="00E548E6" w:rsidRDefault="008006FE" w:rsidP="00B829C9">
            <w:pPr>
              <w:rPr>
                <w:color w:val="FFFFFF" w:themeColor="background1"/>
                <w:sz w:val="16"/>
                <w:szCs w:val="16"/>
                <w:highlight w:val="red"/>
              </w:rPr>
            </w:pPr>
            <w:r>
              <w:rPr>
                <w:rFonts w:asciiTheme="minorHAnsi" w:eastAsia="Times New Roman" w:hAnsiTheme="minorHAnsi"/>
                <w:iCs/>
                <w:color w:val="FFFFFF" w:themeColor="background1"/>
                <w:sz w:val="16"/>
                <w:szCs w:val="16"/>
                <w:lang w:eastAsia="en-US"/>
              </w:rPr>
              <w:t>Not achieved</w:t>
            </w:r>
          </w:p>
        </w:tc>
        <w:tc>
          <w:tcPr>
            <w:tcW w:w="3186" w:type="pct"/>
            <w:shd w:val="clear" w:color="auto" w:fill="auto"/>
          </w:tcPr>
          <w:p w:rsidR="00B829C9" w:rsidRPr="001059AF" w:rsidRDefault="003200F9" w:rsidP="00FC5C9B">
            <w:pPr>
              <w:keepLines/>
              <w:spacing w:before="40" w:after="40" w:line="200" w:lineRule="atLeast"/>
              <w:rPr>
                <w:rFonts w:asciiTheme="minorHAnsi" w:eastAsia="Times New Roman" w:hAnsiTheme="minorHAnsi"/>
                <w:iCs/>
                <w:sz w:val="16"/>
                <w:szCs w:val="16"/>
                <w:lang w:eastAsia="en-US"/>
              </w:rPr>
            </w:pPr>
            <w:r w:rsidRPr="001059AF">
              <w:rPr>
                <w:rFonts w:asciiTheme="minorHAnsi" w:eastAsia="Times New Roman" w:hAnsiTheme="minorHAnsi"/>
                <w:iCs/>
                <w:sz w:val="16"/>
                <w:szCs w:val="16"/>
                <w:lang w:eastAsia="en-US"/>
              </w:rPr>
              <w:t xml:space="preserve">Availability of essential medicines at provincial medical stores was </w:t>
            </w:r>
            <w:r w:rsidR="005D526F" w:rsidRPr="001059AF">
              <w:rPr>
                <w:rFonts w:asciiTheme="minorHAnsi" w:eastAsia="Times New Roman" w:hAnsiTheme="minorHAnsi"/>
                <w:iCs/>
                <w:sz w:val="16"/>
                <w:szCs w:val="16"/>
                <w:lang w:eastAsia="en-US"/>
              </w:rPr>
              <w:t xml:space="preserve">55 </w:t>
            </w:r>
            <w:r w:rsidR="007C3CFE" w:rsidRPr="001059AF">
              <w:rPr>
                <w:rFonts w:asciiTheme="minorHAnsi" w:eastAsia="Times New Roman" w:hAnsiTheme="minorHAnsi"/>
                <w:iCs/>
                <w:sz w:val="16"/>
                <w:szCs w:val="16"/>
                <w:lang w:eastAsia="en-US"/>
              </w:rPr>
              <w:t>per cent</w:t>
            </w:r>
            <w:r w:rsidRPr="001059AF">
              <w:rPr>
                <w:rFonts w:asciiTheme="minorHAnsi" w:eastAsia="Times New Roman" w:hAnsiTheme="minorHAnsi"/>
                <w:iCs/>
                <w:sz w:val="16"/>
                <w:szCs w:val="16"/>
                <w:lang w:eastAsia="en-US"/>
              </w:rPr>
              <w:t xml:space="preserve"> in 2018. This was due to </w:t>
            </w:r>
            <w:r w:rsidR="003F74F1" w:rsidRPr="001059AF">
              <w:rPr>
                <w:rFonts w:asciiTheme="minorHAnsi" w:eastAsia="Times New Roman" w:hAnsiTheme="minorHAnsi"/>
                <w:iCs/>
                <w:sz w:val="16"/>
                <w:szCs w:val="16"/>
                <w:lang w:eastAsia="en-US"/>
              </w:rPr>
              <w:t xml:space="preserve">a severe national drug shortage, </w:t>
            </w:r>
            <w:r w:rsidR="00E548E6">
              <w:rPr>
                <w:rFonts w:asciiTheme="minorHAnsi" w:eastAsia="Times New Roman" w:hAnsiTheme="minorHAnsi"/>
                <w:iCs/>
                <w:sz w:val="16"/>
                <w:szCs w:val="16"/>
                <w:lang w:eastAsia="en-US"/>
              </w:rPr>
              <w:t>due to</w:t>
            </w:r>
            <w:r w:rsidR="003F74F1" w:rsidRPr="001059AF">
              <w:rPr>
                <w:rFonts w:asciiTheme="minorHAnsi" w:eastAsia="Times New Roman" w:hAnsiTheme="minorHAnsi"/>
                <w:iCs/>
                <w:sz w:val="16"/>
                <w:szCs w:val="16"/>
                <w:lang w:eastAsia="en-US"/>
              </w:rPr>
              <w:t xml:space="preserve"> delay</w:t>
            </w:r>
            <w:r w:rsidR="00E548E6">
              <w:rPr>
                <w:rFonts w:asciiTheme="minorHAnsi" w:eastAsia="Times New Roman" w:hAnsiTheme="minorHAnsi"/>
                <w:iCs/>
                <w:sz w:val="16"/>
                <w:szCs w:val="16"/>
                <w:lang w:eastAsia="en-US"/>
              </w:rPr>
              <w:t>s</w:t>
            </w:r>
            <w:r w:rsidR="003F74F1" w:rsidRPr="001059AF">
              <w:rPr>
                <w:rFonts w:asciiTheme="minorHAnsi" w:eastAsia="Times New Roman" w:hAnsiTheme="minorHAnsi"/>
                <w:iCs/>
                <w:sz w:val="16"/>
                <w:szCs w:val="16"/>
                <w:lang w:eastAsia="en-US"/>
              </w:rPr>
              <w:t xml:space="preserve"> in the procurement of the annual drug and medical supply order. This </w:t>
            </w:r>
            <w:r w:rsidR="00056974" w:rsidRPr="001059AF">
              <w:rPr>
                <w:rFonts w:asciiTheme="minorHAnsi" w:eastAsia="Times New Roman" w:hAnsiTheme="minorHAnsi"/>
                <w:iCs/>
                <w:sz w:val="16"/>
                <w:szCs w:val="16"/>
                <w:lang w:eastAsia="en-US"/>
              </w:rPr>
              <w:t>led to</w:t>
            </w:r>
            <w:r w:rsidR="003F74F1" w:rsidRPr="001059AF">
              <w:rPr>
                <w:rFonts w:asciiTheme="minorHAnsi" w:eastAsia="Times New Roman" w:hAnsiTheme="minorHAnsi"/>
                <w:iCs/>
                <w:sz w:val="16"/>
                <w:szCs w:val="16"/>
                <w:lang w:eastAsia="en-US"/>
              </w:rPr>
              <w:t xml:space="preserve"> a sharp decline in this indicator from an average of </w:t>
            </w:r>
            <w:r w:rsidR="000E229A" w:rsidRPr="001059AF">
              <w:rPr>
                <w:rFonts w:asciiTheme="minorHAnsi" w:eastAsia="Times New Roman" w:hAnsiTheme="minorHAnsi"/>
                <w:iCs/>
                <w:sz w:val="16"/>
                <w:szCs w:val="16"/>
                <w:lang w:eastAsia="en-US"/>
              </w:rPr>
              <w:t>89</w:t>
            </w:r>
            <w:r w:rsidR="007C3CFE" w:rsidRPr="001059AF">
              <w:rPr>
                <w:rFonts w:asciiTheme="minorHAnsi" w:eastAsia="Times New Roman" w:hAnsiTheme="minorHAnsi"/>
                <w:iCs/>
                <w:sz w:val="16"/>
                <w:szCs w:val="16"/>
                <w:lang w:eastAsia="en-US"/>
              </w:rPr>
              <w:t xml:space="preserve"> per cent</w:t>
            </w:r>
            <w:r w:rsidR="003F74F1" w:rsidRPr="001059AF">
              <w:rPr>
                <w:rFonts w:asciiTheme="minorHAnsi" w:eastAsia="Times New Roman" w:hAnsiTheme="minorHAnsi"/>
                <w:iCs/>
                <w:sz w:val="16"/>
                <w:szCs w:val="16"/>
                <w:lang w:eastAsia="en-US"/>
              </w:rPr>
              <w:t xml:space="preserve"> across the previous three years. </w:t>
            </w:r>
            <w:r w:rsidR="005D526F" w:rsidRPr="001059AF">
              <w:rPr>
                <w:rFonts w:asciiTheme="minorHAnsi" w:eastAsia="Times New Roman" w:hAnsiTheme="minorHAnsi"/>
                <w:iCs/>
                <w:sz w:val="16"/>
                <w:szCs w:val="16"/>
                <w:lang w:eastAsia="en-US"/>
              </w:rPr>
              <w:t xml:space="preserve">  Australia provided urgent </w:t>
            </w:r>
            <w:r w:rsidR="008006FE">
              <w:rPr>
                <w:rFonts w:asciiTheme="minorHAnsi" w:eastAsia="Times New Roman" w:hAnsiTheme="minorHAnsi"/>
                <w:iCs/>
                <w:sz w:val="16"/>
                <w:szCs w:val="16"/>
                <w:lang w:eastAsia="en-US"/>
              </w:rPr>
              <w:t>technical assistance</w:t>
            </w:r>
            <w:r w:rsidR="005D526F" w:rsidRPr="001059AF">
              <w:rPr>
                <w:rFonts w:asciiTheme="minorHAnsi" w:eastAsia="Times New Roman" w:hAnsiTheme="minorHAnsi"/>
                <w:iCs/>
                <w:sz w:val="16"/>
                <w:szCs w:val="16"/>
                <w:lang w:eastAsia="en-US"/>
              </w:rPr>
              <w:t xml:space="preserve"> to support the emergency procurement of medical supplies to minimise the impact, and is supporting the ministry to table regular drug stock reports to avoid recurrence.</w:t>
            </w:r>
            <w:r w:rsidR="005D526F" w:rsidRPr="001059AF">
              <w:rPr>
                <w:rFonts w:eastAsia="Times New Roman"/>
                <w:iCs/>
                <w:sz w:val="16"/>
                <w:szCs w:val="16"/>
              </w:rPr>
              <w:t xml:space="preserve"> </w:t>
            </w:r>
          </w:p>
        </w:tc>
      </w:tr>
      <w:tr w:rsidR="00B829C9" w:rsidRPr="00C92524" w:rsidTr="005B4D51">
        <w:tc>
          <w:tcPr>
            <w:tcW w:w="735" w:type="pct"/>
            <w:tcMar>
              <w:top w:w="57" w:type="dxa"/>
              <w:bottom w:w="57" w:type="dxa"/>
            </w:tcMar>
          </w:tcPr>
          <w:p w:rsidR="00B829C9" w:rsidRPr="00545E5D" w:rsidRDefault="00B829C9" w:rsidP="00B829C9">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Year 4 literacy and numeracy rates - SISTA</w:t>
            </w:r>
          </w:p>
        </w:tc>
        <w:tc>
          <w:tcPr>
            <w:tcW w:w="747" w:type="pct"/>
            <w:shd w:val="clear" w:color="auto" w:fill="auto"/>
          </w:tcPr>
          <w:p w:rsidR="00B829C9" w:rsidRPr="00545E5D" w:rsidRDefault="003200F9" w:rsidP="00F92008">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 xml:space="preserve">Progress toward </w:t>
            </w:r>
            <w:r w:rsidR="00F92008">
              <w:rPr>
                <w:rFonts w:asciiTheme="minorHAnsi" w:eastAsia="Times New Roman" w:hAnsiTheme="minorHAnsi"/>
                <w:iCs/>
                <w:sz w:val="16"/>
                <w:szCs w:val="16"/>
                <w:lang w:eastAsia="en-US"/>
              </w:rPr>
              <w:t>Solomon Island’s</w:t>
            </w:r>
            <w:r w:rsidR="00F92008" w:rsidRPr="00545E5D">
              <w:rPr>
                <w:rFonts w:asciiTheme="minorHAnsi" w:eastAsia="Times New Roman" w:hAnsiTheme="minorHAnsi"/>
                <w:iCs/>
                <w:sz w:val="16"/>
                <w:szCs w:val="16"/>
                <w:lang w:eastAsia="en-US"/>
              </w:rPr>
              <w:t xml:space="preserve"> </w:t>
            </w:r>
            <w:r w:rsidRPr="00545E5D">
              <w:rPr>
                <w:rFonts w:asciiTheme="minorHAnsi" w:eastAsia="Times New Roman" w:hAnsiTheme="minorHAnsi"/>
                <w:iCs/>
                <w:sz w:val="16"/>
                <w:szCs w:val="16"/>
                <w:lang w:eastAsia="en-US"/>
              </w:rPr>
              <w:t>2020 target of 85%, from 75.6% (2015 result for reading)</w:t>
            </w:r>
          </w:p>
        </w:tc>
        <w:tc>
          <w:tcPr>
            <w:tcW w:w="332" w:type="pct"/>
            <w:shd w:val="clear" w:color="auto" w:fill="7FB64D" w:themeFill="accent3" w:themeFillShade="BF"/>
          </w:tcPr>
          <w:p w:rsidR="00B829C9" w:rsidRPr="00545E5D" w:rsidRDefault="00742F7E">
            <w:pPr>
              <w:rPr>
                <w:sz w:val="16"/>
                <w:szCs w:val="16"/>
              </w:rPr>
            </w:pPr>
            <w:r w:rsidRPr="00545E5D">
              <w:rPr>
                <w:rFonts w:asciiTheme="minorHAnsi" w:eastAsia="Times New Roman" w:hAnsiTheme="minorHAnsi"/>
                <w:iCs/>
                <w:color w:val="FFFFFF" w:themeColor="background1"/>
                <w:sz w:val="16"/>
                <w:szCs w:val="16"/>
                <w:lang w:eastAsia="en-US"/>
              </w:rPr>
              <w:t>Achieved - ongoing</w:t>
            </w:r>
          </w:p>
        </w:tc>
        <w:tc>
          <w:tcPr>
            <w:tcW w:w="3186" w:type="pct"/>
            <w:shd w:val="clear" w:color="auto" w:fill="auto"/>
          </w:tcPr>
          <w:p w:rsidR="00B829C9" w:rsidRPr="00545E5D" w:rsidRDefault="00525A41" w:rsidP="00900625">
            <w:pPr>
              <w:keepLines/>
              <w:spacing w:before="40" w:after="40" w:line="200" w:lineRule="atLeast"/>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 xml:space="preserve">The SISTA instrument was changed in 2017 making comparison with </w:t>
            </w:r>
            <w:r w:rsidR="00EA7BFA">
              <w:rPr>
                <w:rFonts w:asciiTheme="minorHAnsi" w:eastAsia="Times New Roman" w:hAnsiTheme="minorHAnsi"/>
                <w:iCs/>
                <w:sz w:val="16"/>
                <w:szCs w:val="16"/>
                <w:lang w:eastAsia="en-US"/>
              </w:rPr>
              <w:t xml:space="preserve">previous results </w:t>
            </w:r>
            <w:r>
              <w:rPr>
                <w:rFonts w:asciiTheme="minorHAnsi" w:eastAsia="Times New Roman" w:hAnsiTheme="minorHAnsi"/>
                <w:iCs/>
                <w:sz w:val="16"/>
                <w:szCs w:val="16"/>
                <w:lang w:eastAsia="en-US"/>
              </w:rPr>
              <w:t>difficult. However, the Pacific Islands Li</w:t>
            </w:r>
            <w:r w:rsidR="00900625">
              <w:rPr>
                <w:rFonts w:asciiTheme="minorHAnsi" w:eastAsia="Times New Roman" w:hAnsiTheme="minorHAnsi"/>
                <w:iCs/>
                <w:sz w:val="16"/>
                <w:szCs w:val="16"/>
                <w:lang w:eastAsia="en-US"/>
              </w:rPr>
              <w:t>teracy and Numeracy Assessment</w:t>
            </w:r>
            <w:r>
              <w:rPr>
                <w:rFonts w:asciiTheme="minorHAnsi" w:eastAsia="Times New Roman" w:hAnsiTheme="minorHAnsi"/>
                <w:iCs/>
                <w:sz w:val="16"/>
                <w:szCs w:val="16"/>
                <w:lang w:eastAsia="en-US"/>
              </w:rPr>
              <w:t xml:space="preserve"> shows the percentage of grade </w:t>
            </w:r>
            <w:r w:rsidR="006D2A20">
              <w:rPr>
                <w:rFonts w:asciiTheme="minorHAnsi" w:eastAsia="Times New Roman" w:hAnsiTheme="minorHAnsi"/>
                <w:iCs/>
                <w:sz w:val="16"/>
                <w:szCs w:val="16"/>
                <w:lang w:eastAsia="en-US"/>
              </w:rPr>
              <w:t>four</w:t>
            </w:r>
            <w:r>
              <w:rPr>
                <w:rFonts w:asciiTheme="minorHAnsi" w:eastAsia="Times New Roman" w:hAnsiTheme="minorHAnsi"/>
                <w:iCs/>
                <w:sz w:val="16"/>
                <w:szCs w:val="16"/>
                <w:lang w:eastAsia="en-US"/>
              </w:rPr>
              <w:t xml:space="preserve"> students meeting the expected </w:t>
            </w:r>
            <w:r w:rsidR="00EA7BFA">
              <w:rPr>
                <w:rFonts w:asciiTheme="minorHAnsi" w:eastAsia="Times New Roman" w:hAnsiTheme="minorHAnsi"/>
                <w:iCs/>
                <w:sz w:val="16"/>
                <w:szCs w:val="16"/>
                <w:lang w:eastAsia="en-US"/>
              </w:rPr>
              <w:t xml:space="preserve">literacy standard </w:t>
            </w:r>
            <w:r>
              <w:rPr>
                <w:rFonts w:asciiTheme="minorHAnsi" w:eastAsia="Times New Roman" w:hAnsiTheme="minorHAnsi"/>
                <w:iCs/>
                <w:sz w:val="16"/>
                <w:szCs w:val="16"/>
                <w:lang w:eastAsia="en-US"/>
              </w:rPr>
              <w:t>increased from 50.5</w:t>
            </w:r>
            <w:r w:rsidR="006D2A20">
              <w:rPr>
                <w:rFonts w:asciiTheme="minorHAnsi" w:eastAsia="Times New Roman" w:hAnsiTheme="minorHAnsi"/>
                <w:iCs/>
                <w:sz w:val="16"/>
                <w:szCs w:val="16"/>
                <w:lang w:eastAsia="en-US"/>
              </w:rPr>
              <w:t xml:space="preserve"> per cent</w:t>
            </w:r>
            <w:r>
              <w:rPr>
                <w:rFonts w:asciiTheme="minorHAnsi" w:eastAsia="Times New Roman" w:hAnsiTheme="minorHAnsi"/>
                <w:iCs/>
                <w:sz w:val="16"/>
                <w:szCs w:val="16"/>
                <w:lang w:eastAsia="en-US"/>
              </w:rPr>
              <w:t xml:space="preserve"> in 2012 to 54.3</w:t>
            </w:r>
            <w:r w:rsidR="006D2A20">
              <w:rPr>
                <w:rFonts w:asciiTheme="minorHAnsi" w:eastAsia="Times New Roman" w:hAnsiTheme="minorHAnsi"/>
                <w:iCs/>
                <w:sz w:val="16"/>
                <w:szCs w:val="16"/>
                <w:lang w:eastAsia="en-US"/>
              </w:rPr>
              <w:t xml:space="preserve"> per cent</w:t>
            </w:r>
            <w:r>
              <w:rPr>
                <w:rFonts w:asciiTheme="minorHAnsi" w:eastAsia="Times New Roman" w:hAnsiTheme="minorHAnsi"/>
                <w:iCs/>
                <w:sz w:val="16"/>
                <w:szCs w:val="16"/>
                <w:lang w:eastAsia="en-US"/>
              </w:rPr>
              <w:t xml:space="preserve"> in 2018 and the</w:t>
            </w:r>
            <w:r w:rsidR="00EA7BFA">
              <w:rPr>
                <w:rFonts w:asciiTheme="minorHAnsi" w:eastAsia="Times New Roman" w:hAnsiTheme="minorHAnsi"/>
                <w:iCs/>
                <w:sz w:val="16"/>
                <w:szCs w:val="16"/>
                <w:lang w:eastAsia="en-US"/>
              </w:rPr>
              <w:t xml:space="preserve"> percentage of grade </w:t>
            </w:r>
            <w:r w:rsidR="006D2A20">
              <w:rPr>
                <w:rFonts w:asciiTheme="minorHAnsi" w:eastAsia="Times New Roman" w:hAnsiTheme="minorHAnsi"/>
                <w:iCs/>
                <w:sz w:val="16"/>
                <w:szCs w:val="16"/>
                <w:lang w:eastAsia="en-US"/>
              </w:rPr>
              <w:t>four</w:t>
            </w:r>
            <w:r w:rsidR="00EA7BFA">
              <w:rPr>
                <w:rFonts w:asciiTheme="minorHAnsi" w:eastAsia="Times New Roman" w:hAnsiTheme="minorHAnsi"/>
                <w:iCs/>
                <w:sz w:val="16"/>
                <w:szCs w:val="16"/>
                <w:lang w:eastAsia="en-US"/>
              </w:rPr>
              <w:t xml:space="preserve"> students meeting the expected numeracy standard increased from 91.6</w:t>
            </w:r>
            <w:r w:rsidR="005D526F">
              <w:rPr>
                <w:rFonts w:asciiTheme="minorHAnsi" w:eastAsia="Times New Roman" w:hAnsiTheme="minorHAnsi"/>
                <w:iCs/>
                <w:sz w:val="16"/>
                <w:szCs w:val="16"/>
                <w:lang w:eastAsia="en-US"/>
              </w:rPr>
              <w:t xml:space="preserve"> </w:t>
            </w:r>
            <w:r w:rsidR="006D2A20">
              <w:rPr>
                <w:rFonts w:asciiTheme="minorHAnsi" w:eastAsia="Times New Roman" w:hAnsiTheme="minorHAnsi"/>
                <w:iCs/>
                <w:sz w:val="16"/>
                <w:szCs w:val="16"/>
                <w:lang w:eastAsia="en-US"/>
              </w:rPr>
              <w:t>per cent</w:t>
            </w:r>
            <w:r w:rsidR="00EA7BFA">
              <w:rPr>
                <w:rFonts w:asciiTheme="minorHAnsi" w:eastAsia="Times New Roman" w:hAnsiTheme="minorHAnsi"/>
                <w:iCs/>
                <w:sz w:val="16"/>
                <w:szCs w:val="16"/>
                <w:lang w:eastAsia="en-US"/>
              </w:rPr>
              <w:t xml:space="preserve"> in 2012 to 96.7</w:t>
            </w:r>
            <w:r w:rsidR="006D2A20">
              <w:rPr>
                <w:rFonts w:asciiTheme="minorHAnsi" w:eastAsia="Times New Roman" w:hAnsiTheme="minorHAnsi"/>
                <w:iCs/>
                <w:sz w:val="16"/>
                <w:szCs w:val="16"/>
                <w:lang w:eastAsia="en-US"/>
              </w:rPr>
              <w:t xml:space="preserve"> per cent</w:t>
            </w:r>
            <w:r w:rsidR="00EA7BFA">
              <w:rPr>
                <w:rFonts w:asciiTheme="minorHAnsi" w:eastAsia="Times New Roman" w:hAnsiTheme="minorHAnsi"/>
                <w:iCs/>
                <w:sz w:val="16"/>
                <w:szCs w:val="16"/>
                <w:lang w:eastAsia="en-US"/>
              </w:rPr>
              <w:t xml:space="preserve"> in 2018</w:t>
            </w:r>
            <w:r w:rsidR="00E163B2" w:rsidRPr="00545E5D">
              <w:rPr>
                <w:rFonts w:asciiTheme="minorHAnsi" w:eastAsia="Times New Roman" w:hAnsiTheme="minorHAnsi"/>
                <w:iCs/>
                <w:sz w:val="16"/>
                <w:szCs w:val="16"/>
                <w:lang w:eastAsia="en-US"/>
              </w:rPr>
              <w:t>.</w:t>
            </w:r>
            <w:r w:rsidR="00E163B2" w:rsidRPr="00545E5D">
              <w:rPr>
                <w:rFonts w:eastAsia="Times New Roman"/>
                <w:iCs/>
                <w:sz w:val="16"/>
                <w:szCs w:val="16"/>
                <w:highlight w:val="yellow"/>
              </w:rPr>
              <w:t xml:space="preserve"> </w:t>
            </w:r>
          </w:p>
        </w:tc>
      </w:tr>
      <w:tr w:rsidR="00B829C9" w:rsidRPr="00C92524" w:rsidTr="005B4D51">
        <w:tc>
          <w:tcPr>
            <w:tcW w:w="735" w:type="pct"/>
            <w:tcMar>
              <w:top w:w="57" w:type="dxa"/>
              <w:bottom w:w="57" w:type="dxa"/>
            </w:tcMar>
          </w:tcPr>
          <w:p w:rsidR="00B829C9" w:rsidRPr="00545E5D" w:rsidRDefault="00B829C9" w:rsidP="00AC5079">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 xml:space="preserve">Increase in percentage of teachers </w:t>
            </w:r>
            <w:r w:rsidR="00AC5079" w:rsidRPr="00545E5D">
              <w:rPr>
                <w:rFonts w:asciiTheme="minorHAnsi" w:eastAsia="Times New Roman" w:hAnsiTheme="minorHAnsi"/>
                <w:iCs/>
                <w:sz w:val="16"/>
                <w:szCs w:val="16"/>
                <w:lang w:eastAsia="en-US"/>
              </w:rPr>
              <w:t>certified</w:t>
            </w:r>
          </w:p>
        </w:tc>
        <w:tc>
          <w:tcPr>
            <w:tcW w:w="747" w:type="pct"/>
          </w:tcPr>
          <w:p w:rsidR="00B829C9" w:rsidRPr="00545E5D" w:rsidRDefault="00AC5079" w:rsidP="00B829C9">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Progress toward target 85% of primary teachers certified in 2020</w:t>
            </w:r>
          </w:p>
        </w:tc>
        <w:tc>
          <w:tcPr>
            <w:tcW w:w="332" w:type="pct"/>
            <w:shd w:val="clear" w:color="auto" w:fill="7FB64D" w:themeFill="accent3" w:themeFillShade="BF"/>
          </w:tcPr>
          <w:p w:rsidR="00B829C9" w:rsidRPr="00545E5D" w:rsidRDefault="004B109B" w:rsidP="00B829C9">
            <w:pPr>
              <w:rPr>
                <w:sz w:val="16"/>
                <w:szCs w:val="16"/>
              </w:rPr>
            </w:pPr>
            <w:r w:rsidRPr="005B4D51">
              <w:rPr>
                <w:rFonts w:asciiTheme="minorHAnsi" w:eastAsia="Times New Roman" w:hAnsiTheme="minorHAnsi"/>
                <w:iCs/>
                <w:color w:val="FFFFFF" w:themeColor="background1"/>
                <w:sz w:val="16"/>
                <w:szCs w:val="16"/>
              </w:rPr>
              <w:t>Achieved</w:t>
            </w:r>
            <w:r w:rsidR="00F5494C" w:rsidRPr="005B4D51">
              <w:rPr>
                <w:rFonts w:asciiTheme="minorHAnsi" w:eastAsia="Times New Roman" w:hAnsiTheme="minorHAnsi"/>
                <w:iCs/>
                <w:color w:val="FFFFFF" w:themeColor="background1"/>
                <w:sz w:val="16"/>
                <w:szCs w:val="16"/>
              </w:rPr>
              <w:t xml:space="preserve"> - ongoing</w:t>
            </w:r>
          </w:p>
        </w:tc>
        <w:tc>
          <w:tcPr>
            <w:tcW w:w="3186" w:type="pct"/>
            <w:shd w:val="clear" w:color="auto" w:fill="auto"/>
          </w:tcPr>
          <w:p w:rsidR="00B829C9" w:rsidRPr="00545E5D" w:rsidRDefault="007C3CFE" w:rsidP="006D2A20">
            <w:pPr>
              <w:keepLines/>
              <w:spacing w:before="40" w:after="40" w:line="200" w:lineRule="atLeast"/>
              <w:rPr>
                <w:rFonts w:asciiTheme="minorHAnsi" w:eastAsia="Times New Roman" w:hAnsiTheme="minorHAnsi"/>
                <w:iCs/>
                <w:sz w:val="16"/>
                <w:szCs w:val="16"/>
                <w:lang w:eastAsia="en-US"/>
              </w:rPr>
            </w:pPr>
            <w:r w:rsidRPr="00545E5D">
              <w:rPr>
                <w:rFonts w:asciiTheme="minorHAnsi" w:eastAsia="Times New Roman" w:hAnsiTheme="minorHAnsi"/>
                <w:iCs/>
                <w:sz w:val="16"/>
                <w:szCs w:val="16"/>
                <w:lang w:eastAsia="en-US"/>
              </w:rPr>
              <w:t>7</w:t>
            </w:r>
            <w:r w:rsidR="00525A41">
              <w:rPr>
                <w:rFonts w:asciiTheme="minorHAnsi" w:eastAsia="Times New Roman" w:hAnsiTheme="minorHAnsi"/>
                <w:iCs/>
                <w:sz w:val="16"/>
                <w:szCs w:val="16"/>
                <w:lang w:eastAsia="en-US"/>
              </w:rPr>
              <w:t>4</w:t>
            </w:r>
            <w:r w:rsidRPr="00545E5D">
              <w:rPr>
                <w:rFonts w:asciiTheme="minorHAnsi" w:eastAsia="Times New Roman" w:hAnsiTheme="minorHAnsi"/>
                <w:iCs/>
                <w:sz w:val="16"/>
                <w:szCs w:val="16"/>
                <w:lang w:eastAsia="en-US"/>
              </w:rPr>
              <w:t>.</w:t>
            </w:r>
            <w:r w:rsidR="00525A41">
              <w:rPr>
                <w:rFonts w:asciiTheme="minorHAnsi" w:eastAsia="Times New Roman" w:hAnsiTheme="minorHAnsi"/>
                <w:iCs/>
                <w:sz w:val="16"/>
                <w:szCs w:val="16"/>
                <w:lang w:eastAsia="en-US"/>
              </w:rPr>
              <w:t>2</w:t>
            </w:r>
            <w:r w:rsidRPr="00545E5D">
              <w:rPr>
                <w:rFonts w:asciiTheme="minorHAnsi" w:eastAsia="Times New Roman" w:hAnsiTheme="minorHAnsi"/>
                <w:iCs/>
                <w:sz w:val="16"/>
                <w:szCs w:val="16"/>
                <w:lang w:eastAsia="en-US"/>
              </w:rPr>
              <w:t xml:space="preserve"> per cent</w:t>
            </w:r>
            <w:r w:rsidR="00AC5079" w:rsidRPr="00545E5D">
              <w:rPr>
                <w:rFonts w:asciiTheme="minorHAnsi" w:eastAsia="Times New Roman" w:hAnsiTheme="minorHAnsi"/>
                <w:iCs/>
                <w:sz w:val="16"/>
                <w:szCs w:val="16"/>
                <w:lang w:eastAsia="en-US"/>
              </w:rPr>
              <w:t xml:space="preserve"> of primary teachers were certified i</w:t>
            </w:r>
            <w:r w:rsidRPr="00545E5D">
              <w:rPr>
                <w:rFonts w:asciiTheme="minorHAnsi" w:eastAsia="Times New Roman" w:hAnsiTheme="minorHAnsi"/>
                <w:iCs/>
                <w:sz w:val="16"/>
                <w:szCs w:val="16"/>
                <w:lang w:eastAsia="en-US"/>
              </w:rPr>
              <w:t xml:space="preserve">n 2018, </w:t>
            </w:r>
            <w:r w:rsidR="00525A41">
              <w:rPr>
                <w:rFonts w:asciiTheme="minorHAnsi" w:eastAsia="Times New Roman" w:hAnsiTheme="minorHAnsi"/>
                <w:iCs/>
                <w:sz w:val="16"/>
                <w:szCs w:val="16"/>
                <w:lang w:eastAsia="en-US"/>
              </w:rPr>
              <w:t xml:space="preserve">up from </w:t>
            </w:r>
            <w:r w:rsidRPr="00545E5D">
              <w:rPr>
                <w:rFonts w:asciiTheme="minorHAnsi" w:eastAsia="Times New Roman" w:hAnsiTheme="minorHAnsi"/>
                <w:iCs/>
                <w:sz w:val="16"/>
                <w:szCs w:val="16"/>
                <w:lang w:eastAsia="en-US"/>
              </w:rPr>
              <w:t>72.2 per cent</w:t>
            </w:r>
            <w:r w:rsidR="00AC5079" w:rsidRPr="00545E5D">
              <w:rPr>
                <w:rFonts w:asciiTheme="minorHAnsi" w:eastAsia="Times New Roman" w:hAnsiTheme="minorHAnsi"/>
                <w:iCs/>
                <w:sz w:val="16"/>
                <w:szCs w:val="16"/>
                <w:lang w:eastAsia="en-US"/>
              </w:rPr>
              <w:t xml:space="preserve"> in 2017</w:t>
            </w:r>
            <w:r w:rsidR="00525A41">
              <w:rPr>
                <w:rFonts w:asciiTheme="minorHAnsi" w:eastAsia="Times New Roman" w:hAnsiTheme="minorHAnsi"/>
                <w:iCs/>
                <w:sz w:val="16"/>
                <w:szCs w:val="16"/>
                <w:lang w:eastAsia="en-US"/>
              </w:rPr>
              <w:t xml:space="preserve"> and 65.6</w:t>
            </w:r>
            <w:r w:rsidR="006D2A20">
              <w:rPr>
                <w:rFonts w:asciiTheme="minorHAnsi" w:eastAsia="Times New Roman" w:hAnsiTheme="minorHAnsi"/>
                <w:iCs/>
                <w:sz w:val="16"/>
                <w:szCs w:val="16"/>
                <w:lang w:eastAsia="en-US"/>
              </w:rPr>
              <w:t xml:space="preserve"> per cent</w:t>
            </w:r>
            <w:r w:rsidR="00525A41">
              <w:rPr>
                <w:rFonts w:asciiTheme="minorHAnsi" w:eastAsia="Times New Roman" w:hAnsiTheme="minorHAnsi"/>
                <w:iCs/>
                <w:sz w:val="16"/>
                <w:szCs w:val="16"/>
                <w:lang w:eastAsia="en-US"/>
              </w:rPr>
              <w:t xml:space="preserve"> in 2016. The </w:t>
            </w:r>
            <w:r w:rsidR="006D2A20">
              <w:rPr>
                <w:rFonts w:asciiTheme="minorHAnsi" w:eastAsia="Times New Roman" w:hAnsiTheme="minorHAnsi"/>
                <w:iCs/>
                <w:sz w:val="16"/>
                <w:szCs w:val="16"/>
                <w:lang w:eastAsia="en-US"/>
              </w:rPr>
              <w:t xml:space="preserve">target of </w:t>
            </w:r>
            <w:r w:rsidR="00525A41">
              <w:rPr>
                <w:rFonts w:asciiTheme="minorHAnsi" w:eastAsia="Times New Roman" w:hAnsiTheme="minorHAnsi"/>
                <w:iCs/>
                <w:sz w:val="16"/>
                <w:szCs w:val="16"/>
                <w:lang w:eastAsia="en-US"/>
              </w:rPr>
              <w:t>85</w:t>
            </w:r>
            <w:r w:rsidR="006D2A20">
              <w:rPr>
                <w:rFonts w:asciiTheme="minorHAnsi" w:eastAsia="Times New Roman" w:hAnsiTheme="minorHAnsi"/>
                <w:iCs/>
                <w:sz w:val="16"/>
                <w:szCs w:val="16"/>
                <w:lang w:eastAsia="en-US"/>
              </w:rPr>
              <w:t xml:space="preserve"> per cent</w:t>
            </w:r>
            <w:r w:rsidR="00525A41">
              <w:rPr>
                <w:rFonts w:asciiTheme="minorHAnsi" w:eastAsia="Times New Roman" w:hAnsiTheme="minorHAnsi"/>
                <w:iCs/>
                <w:sz w:val="16"/>
                <w:szCs w:val="16"/>
                <w:lang w:eastAsia="en-US"/>
              </w:rPr>
              <w:t xml:space="preserve"> </w:t>
            </w:r>
            <w:r w:rsidR="006D2A20">
              <w:rPr>
                <w:rFonts w:asciiTheme="minorHAnsi" w:eastAsia="Times New Roman" w:hAnsiTheme="minorHAnsi"/>
                <w:iCs/>
                <w:sz w:val="16"/>
                <w:szCs w:val="16"/>
                <w:lang w:eastAsia="en-US"/>
              </w:rPr>
              <w:t>for 2020</w:t>
            </w:r>
            <w:r w:rsidR="00525A41">
              <w:rPr>
                <w:rFonts w:asciiTheme="minorHAnsi" w:eastAsia="Times New Roman" w:hAnsiTheme="minorHAnsi"/>
                <w:iCs/>
                <w:sz w:val="16"/>
                <w:szCs w:val="16"/>
                <w:lang w:eastAsia="en-US"/>
              </w:rPr>
              <w:t xml:space="preserve"> is acknowledged as being an ambitious one.</w:t>
            </w:r>
          </w:p>
        </w:tc>
      </w:tr>
    </w:tbl>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r w:rsidR="00C92524">
        <w:rPr>
          <w:rFonts w:eastAsia="Times New Roman"/>
          <w:b/>
          <w:sz w:val="16"/>
          <w:szCs w:val="14"/>
        </w:rPr>
        <w:t xml:space="preserve"> </w:t>
      </w: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400B0F" w:rsidRPr="00027C45" w:rsidRDefault="00400B0F" w:rsidP="008821C2">
      <w:pPr>
        <w:suppressAutoHyphens w:val="0"/>
        <w:spacing w:before="360" w:after="120" w:line="300" w:lineRule="exact"/>
        <w:rPr>
          <w:rFonts w:asciiTheme="majorHAnsi" w:hAnsiTheme="majorHAnsi" w:cstheme="majorHAnsi"/>
          <w:color w:val="FF0000"/>
          <w:sz w:val="38"/>
          <w:szCs w:val="38"/>
        </w:rPr>
      </w:pPr>
      <w:r>
        <w:rPr>
          <w:rFonts w:ascii="Franklin Gothic Book" w:eastAsia="Times New Roman" w:hAnsi="Franklin Gothic Book"/>
          <w:sz w:val="21"/>
        </w:rPr>
        <w:br w:type="page"/>
      </w:r>
      <w:r w:rsidRPr="008821C2">
        <w:rPr>
          <w:rFonts w:asciiTheme="majorHAnsi" w:hAnsiTheme="majorHAnsi" w:cstheme="majorHAnsi"/>
          <w:sz w:val="38"/>
          <w:szCs w:val="38"/>
        </w:rPr>
        <w:lastRenderedPageBreak/>
        <w:t>Annex C - Evaluation Planning</w:t>
      </w:r>
      <w:r w:rsidR="00027C45">
        <w:rPr>
          <w:rFonts w:asciiTheme="majorHAnsi" w:hAnsiTheme="majorHAnsi" w:cstheme="majorHAnsi"/>
          <w:sz w:val="38"/>
          <w:szCs w:val="38"/>
        </w:rPr>
        <w:t xml:space="preserve"> </w:t>
      </w:r>
    </w:p>
    <w:p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1</w:t>
      </w:r>
      <w:r w:rsidR="00EE55A0">
        <w:rPr>
          <w:rFonts w:eastAsiaTheme="majorEastAsia" w:cstheme="minorHAnsi"/>
          <w:caps/>
          <w:sz w:val="36"/>
          <w:szCs w:val="36"/>
        </w:rPr>
        <w:t>.</w:t>
      </w:r>
      <w:r w:rsidRPr="00EF26B5">
        <w:rPr>
          <w:rFonts w:eastAsiaTheme="majorEastAsia" w:cstheme="minorHAnsi"/>
          <w:caps/>
          <w:sz w:val="36"/>
          <w:szCs w:val="36"/>
        </w:rPr>
        <w:t xml:space="preserve"> List of evaluations completed in the reporting period </w:t>
      </w:r>
    </w:p>
    <w:tbl>
      <w:tblPr>
        <w:tblStyle w:val="APPR"/>
        <w:tblW w:w="14311" w:type="dxa"/>
        <w:tblLayout w:type="fixed"/>
        <w:tblLook w:val="04A0" w:firstRow="1" w:lastRow="0" w:firstColumn="1" w:lastColumn="0" w:noHBand="0" w:noVBand="1"/>
      </w:tblPr>
      <w:tblGrid>
        <w:gridCol w:w="3105"/>
        <w:gridCol w:w="3697"/>
        <w:gridCol w:w="1425"/>
        <w:gridCol w:w="1980"/>
        <w:gridCol w:w="1698"/>
        <w:gridCol w:w="2406"/>
      </w:tblGrid>
      <w:tr w:rsidR="008821C2" w:rsidRPr="009C6252" w:rsidTr="00C92524">
        <w:trPr>
          <w:cnfStyle w:val="100000000000" w:firstRow="1" w:lastRow="0" w:firstColumn="0" w:lastColumn="0" w:oddVBand="0" w:evenVBand="0" w:oddHBand="0" w:evenHBand="0" w:firstRowFirstColumn="0" w:firstRowLastColumn="0" w:lastRowFirstColumn="0" w:lastRowLastColumn="0"/>
          <w:trHeight w:val="642"/>
        </w:trPr>
        <w:tc>
          <w:tcPr>
            <w:tcW w:w="3063" w:type="dxa"/>
            <w:tcBorders>
              <w:top w:val="none" w:sz="0" w:space="0" w:color="auto"/>
              <w:bottom w:val="none" w:sz="0" w:space="0" w:color="auto"/>
            </w:tcBorders>
            <w:shd w:val="clear" w:color="auto" w:fill="auto"/>
          </w:tcPr>
          <w:p w:rsidR="008821C2" w:rsidRPr="009C6252" w:rsidRDefault="008821C2" w:rsidP="001E0245">
            <w:pPr>
              <w:keepLines/>
              <w:spacing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 xml:space="preserve">Investment number and name </w:t>
            </w:r>
          </w:p>
          <w:p w:rsidR="000335C5" w:rsidRPr="009C6252" w:rsidRDefault="008821C2" w:rsidP="001E0245">
            <w:pPr>
              <w:keepLines/>
              <w:spacing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 xml:space="preserve">(if applicable) </w:t>
            </w:r>
          </w:p>
        </w:tc>
        <w:tc>
          <w:tcPr>
            <w:tcW w:w="3669" w:type="dxa"/>
            <w:tcBorders>
              <w:top w:val="none" w:sz="0" w:space="0" w:color="auto"/>
              <w:bottom w:val="none" w:sz="0" w:space="0" w:color="auto"/>
            </w:tcBorders>
            <w:shd w:val="clear" w:color="auto" w:fill="auto"/>
          </w:tcPr>
          <w:p w:rsidR="00027C45" w:rsidRPr="007E6900" w:rsidRDefault="007E6900" w:rsidP="009C6252">
            <w:pPr>
              <w:keepLines/>
              <w:spacing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shd w:val="clear" w:color="auto" w:fill="auto"/>
          </w:tcPr>
          <w:p w:rsidR="00027C45" w:rsidRPr="009C6252" w:rsidRDefault="008821C2" w:rsidP="001E0245">
            <w:pPr>
              <w:keepLines/>
              <w:spacing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 xml:space="preserve">Date </w:t>
            </w:r>
          </w:p>
          <w:p w:rsidR="000335C5" w:rsidRPr="009C6252" w:rsidRDefault="008821C2" w:rsidP="007E6900">
            <w:pPr>
              <w:keepLines/>
              <w:spacing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completed</w:t>
            </w:r>
          </w:p>
        </w:tc>
        <w:tc>
          <w:tcPr>
            <w:tcW w:w="1952" w:type="dxa"/>
            <w:tcBorders>
              <w:top w:val="none" w:sz="0" w:space="0" w:color="auto"/>
              <w:bottom w:val="none" w:sz="0" w:space="0" w:color="auto"/>
            </w:tcBorders>
          </w:tcPr>
          <w:p w:rsidR="008821C2" w:rsidRPr="009C6252" w:rsidRDefault="008821C2" w:rsidP="001E0245">
            <w:pPr>
              <w:keepLines/>
              <w:spacing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Date Evaluation report Uploaded into AidWorks</w:t>
            </w:r>
          </w:p>
        </w:tc>
        <w:tc>
          <w:tcPr>
            <w:tcW w:w="1670" w:type="dxa"/>
            <w:tcBorders>
              <w:top w:val="none" w:sz="0" w:space="0" w:color="auto"/>
              <w:bottom w:val="none" w:sz="0" w:space="0" w:color="auto"/>
            </w:tcBorders>
          </w:tcPr>
          <w:p w:rsidR="008821C2" w:rsidRPr="009C6252" w:rsidRDefault="008821C2" w:rsidP="001E0245">
            <w:pPr>
              <w:keepLines/>
              <w:spacing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Date Management response uploaded into AidWorks</w:t>
            </w:r>
          </w:p>
        </w:tc>
        <w:tc>
          <w:tcPr>
            <w:tcW w:w="2364" w:type="dxa"/>
            <w:tcBorders>
              <w:top w:val="none" w:sz="0" w:space="0" w:color="auto"/>
              <w:bottom w:val="none" w:sz="0" w:space="0" w:color="auto"/>
            </w:tcBorders>
          </w:tcPr>
          <w:p w:rsidR="008821C2" w:rsidRPr="009C6252" w:rsidRDefault="008821C2" w:rsidP="001E0245">
            <w:pPr>
              <w:keepLines/>
              <w:spacing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Published on website</w:t>
            </w:r>
          </w:p>
        </w:tc>
      </w:tr>
      <w:tr w:rsidR="00D43560" w:rsidRPr="003B5EE5" w:rsidTr="00C92524">
        <w:trPr>
          <w:cnfStyle w:val="100000000000" w:firstRow="1" w:lastRow="0" w:firstColumn="0" w:lastColumn="0" w:oddVBand="0" w:evenVBand="0" w:oddHBand="0" w:evenHBand="0" w:firstRowFirstColumn="0" w:firstRowLastColumn="0" w:lastRowFirstColumn="0" w:lastRowLastColumn="0"/>
        </w:trPr>
        <w:tc>
          <w:tcPr>
            <w:tcW w:w="3063" w:type="dxa"/>
            <w:tcBorders>
              <w:bottom w:val="none" w:sz="0" w:space="0" w:color="auto"/>
            </w:tcBorders>
          </w:tcPr>
          <w:p w:rsidR="00D43560" w:rsidRPr="009C6252" w:rsidRDefault="00D43560" w:rsidP="00D43560">
            <w:pPr>
              <w:keepLines/>
              <w:spacing w:line="200" w:lineRule="atLeast"/>
              <w:rPr>
                <w:rFonts w:asciiTheme="minorHAnsi" w:eastAsia="Times New Roman" w:hAnsiTheme="minorHAnsi"/>
                <w:b w:val="0"/>
                <w:iCs/>
                <w:szCs w:val="17"/>
                <w:lang w:eastAsia="en-US"/>
              </w:rPr>
            </w:pPr>
            <w:r w:rsidRPr="009C6252">
              <w:rPr>
                <w:rFonts w:asciiTheme="minorHAnsi" w:eastAsia="Times New Roman" w:hAnsiTheme="minorHAnsi"/>
                <w:b w:val="0"/>
                <w:iCs/>
                <w:szCs w:val="17"/>
                <w:lang w:eastAsia="en-US"/>
              </w:rPr>
              <w:t xml:space="preserve">INL596 – Solomon Islands Growth Program Mid-Term Review  </w:t>
            </w:r>
          </w:p>
        </w:tc>
        <w:tc>
          <w:tcPr>
            <w:tcW w:w="3669" w:type="dxa"/>
            <w:tcBorders>
              <w:bottom w:val="none" w:sz="0" w:space="0" w:color="auto"/>
            </w:tcBorders>
          </w:tcPr>
          <w:p w:rsidR="00D43560" w:rsidRPr="009C6252" w:rsidRDefault="00D43560" w:rsidP="00D43560">
            <w:pPr>
              <w:keepLines/>
              <w:spacing w:line="200" w:lineRule="atLeast"/>
              <w:rPr>
                <w:rFonts w:asciiTheme="minorHAnsi" w:eastAsia="Times New Roman" w:hAnsiTheme="minorHAnsi"/>
                <w:b w:val="0"/>
                <w:iCs/>
                <w:szCs w:val="17"/>
                <w:lang w:eastAsia="en-US"/>
              </w:rPr>
            </w:pPr>
            <w:r w:rsidRPr="009C6252">
              <w:rPr>
                <w:rFonts w:asciiTheme="minorHAnsi" w:eastAsia="Times New Roman" w:hAnsiTheme="minorHAnsi"/>
                <w:b w:val="0"/>
                <w:iCs/>
                <w:szCs w:val="17"/>
                <w:lang w:eastAsia="en-US"/>
              </w:rPr>
              <w:t xml:space="preserve">Solomon Islands Growth Program Mid-Term                  Review  </w:t>
            </w:r>
          </w:p>
        </w:tc>
        <w:tc>
          <w:tcPr>
            <w:tcW w:w="1397" w:type="dxa"/>
            <w:tcBorders>
              <w:bottom w:val="none" w:sz="0" w:space="0" w:color="auto"/>
            </w:tcBorders>
            <w:shd w:val="clear" w:color="auto" w:fill="auto"/>
          </w:tcPr>
          <w:p w:rsidR="00D43560" w:rsidRDefault="00D43560" w:rsidP="00DD23EC">
            <w:pPr>
              <w:rPr>
                <w:rFonts w:asciiTheme="minorHAnsi" w:eastAsia="Times New Roman" w:hAnsiTheme="minorHAnsi"/>
                <w:b w:val="0"/>
                <w:iCs/>
                <w:szCs w:val="17"/>
                <w:lang w:eastAsia="en-US"/>
              </w:rPr>
            </w:pPr>
          </w:p>
          <w:p w:rsidR="00DB1079" w:rsidRPr="00D43560" w:rsidRDefault="00DB1079" w:rsidP="00DD23EC">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20/12/</w:t>
            </w:r>
            <w:r w:rsidR="00A310B9">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18</w:t>
            </w:r>
          </w:p>
        </w:tc>
        <w:tc>
          <w:tcPr>
            <w:tcW w:w="1952" w:type="dxa"/>
            <w:tcBorders>
              <w:bottom w:val="none" w:sz="0" w:space="0" w:color="auto"/>
            </w:tcBorders>
            <w:shd w:val="clear" w:color="auto" w:fill="auto"/>
          </w:tcPr>
          <w:p w:rsidR="00D43560" w:rsidRDefault="00D43560" w:rsidP="00D43560">
            <w:pPr>
              <w:rPr>
                <w:rFonts w:asciiTheme="minorHAnsi" w:eastAsia="Times New Roman" w:hAnsiTheme="minorHAnsi"/>
                <w:b w:val="0"/>
                <w:iCs/>
                <w:szCs w:val="17"/>
                <w:lang w:eastAsia="en-US"/>
              </w:rPr>
            </w:pPr>
          </w:p>
          <w:p w:rsidR="00DB1079" w:rsidRDefault="00DB1079" w:rsidP="00D43560">
            <w:r>
              <w:rPr>
                <w:rFonts w:asciiTheme="minorHAnsi" w:eastAsia="Times New Roman" w:hAnsiTheme="minorHAnsi"/>
                <w:b w:val="0"/>
                <w:iCs/>
                <w:szCs w:val="17"/>
                <w:lang w:eastAsia="en-US"/>
              </w:rPr>
              <w:t>5/03/</w:t>
            </w:r>
            <w:r w:rsidR="00A310B9">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19</w:t>
            </w:r>
          </w:p>
        </w:tc>
        <w:tc>
          <w:tcPr>
            <w:tcW w:w="1670" w:type="dxa"/>
            <w:tcBorders>
              <w:bottom w:val="none" w:sz="0" w:space="0" w:color="auto"/>
            </w:tcBorders>
            <w:shd w:val="clear" w:color="auto" w:fill="auto"/>
          </w:tcPr>
          <w:p w:rsidR="00D43560" w:rsidRDefault="00D43560" w:rsidP="00D43560">
            <w:pPr>
              <w:rPr>
                <w:rFonts w:asciiTheme="minorHAnsi" w:eastAsia="Times New Roman" w:hAnsiTheme="minorHAnsi"/>
                <w:b w:val="0"/>
                <w:iCs/>
                <w:szCs w:val="17"/>
                <w:lang w:eastAsia="en-US"/>
              </w:rPr>
            </w:pPr>
          </w:p>
          <w:p w:rsidR="00DB1079" w:rsidRDefault="00DB1079" w:rsidP="00D43560">
            <w:r>
              <w:rPr>
                <w:rFonts w:asciiTheme="minorHAnsi" w:eastAsia="Times New Roman" w:hAnsiTheme="minorHAnsi"/>
                <w:b w:val="0"/>
                <w:iCs/>
                <w:szCs w:val="17"/>
                <w:lang w:eastAsia="en-US"/>
              </w:rPr>
              <w:t>5/03/</w:t>
            </w:r>
            <w:r w:rsidR="00A310B9">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19</w:t>
            </w:r>
          </w:p>
        </w:tc>
        <w:tc>
          <w:tcPr>
            <w:tcW w:w="2364" w:type="dxa"/>
            <w:tcBorders>
              <w:bottom w:val="none" w:sz="0" w:space="0" w:color="auto"/>
            </w:tcBorders>
            <w:shd w:val="clear" w:color="auto" w:fill="auto"/>
          </w:tcPr>
          <w:p w:rsidR="00D43560" w:rsidRDefault="00D43560" w:rsidP="00D43560">
            <w:pPr>
              <w:rPr>
                <w:rFonts w:asciiTheme="minorHAnsi" w:eastAsia="Times New Roman" w:hAnsiTheme="minorHAnsi"/>
                <w:b w:val="0"/>
                <w:iCs/>
                <w:szCs w:val="17"/>
                <w:lang w:eastAsia="en-US"/>
              </w:rPr>
            </w:pPr>
          </w:p>
          <w:p w:rsidR="00DB1079" w:rsidRDefault="00DB1079" w:rsidP="00D43560">
            <w:r>
              <w:rPr>
                <w:rFonts w:asciiTheme="minorHAnsi" w:eastAsia="Times New Roman" w:hAnsiTheme="minorHAnsi"/>
                <w:b w:val="0"/>
                <w:iCs/>
                <w:szCs w:val="17"/>
                <w:lang w:eastAsia="en-US"/>
              </w:rPr>
              <w:t>24/12/</w:t>
            </w:r>
            <w:r w:rsidR="00A310B9">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19 and 18/1/</w:t>
            </w:r>
            <w:r w:rsidR="00A310B9">
              <w:rPr>
                <w:rFonts w:asciiTheme="minorHAnsi" w:eastAsia="Times New Roman" w:hAnsiTheme="minorHAnsi"/>
                <w:b w:val="0"/>
                <w:iCs/>
                <w:szCs w:val="17"/>
                <w:lang w:eastAsia="en-US"/>
              </w:rPr>
              <w:t>20</w:t>
            </w:r>
            <w:r>
              <w:rPr>
                <w:rFonts w:asciiTheme="minorHAnsi" w:eastAsia="Times New Roman" w:hAnsiTheme="minorHAnsi"/>
                <w:b w:val="0"/>
                <w:iCs/>
                <w:szCs w:val="17"/>
                <w:lang w:eastAsia="en-US"/>
              </w:rPr>
              <w:t>19</w:t>
            </w:r>
          </w:p>
        </w:tc>
      </w:tr>
      <w:tr w:rsidR="00F22A7D" w:rsidRPr="003B5EE5" w:rsidTr="00C92524">
        <w:trPr>
          <w:cnfStyle w:val="100000000000" w:firstRow="1" w:lastRow="0" w:firstColumn="0" w:lastColumn="0" w:oddVBand="0" w:evenVBand="0" w:oddHBand="0" w:evenHBand="0" w:firstRowFirstColumn="0" w:firstRowLastColumn="0" w:lastRowFirstColumn="0" w:lastRowLastColumn="0"/>
        </w:trPr>
        <w:tc>
          <w:tcPr>
            <w:tcW w:w="3063" w:type="dxa"/>
          </w:tcPr>
          <w:p w:rsidR="00F22A7D" w:rsidRPr="009C6252" w:rsidRDefault="00F22A7D" w:rsidP="00DD23EC">
            <w:pPr>
              <w:keepLines/>
              <w:spacing w:line="200" w:lineRule="atLeast"/>
              <w:rPr>
                <w:rFonts w:eastAsia="Times New Roman"/>
                <w:iCs/>
                <w:szCs w:val="17"/>
              </w:rPr>
            </w:pPr>
            <w:r w:rsidRPr="009C6252">
              <w:rPr>
                <w:rFonts w:asciiTheme="minorHAnsi" w:eastAsia="Times New Roman" w:hAnsiTheme="minorHAnsi"/>
                <w:b w:val="0"/>
                <w:iCs/>
                <w:szCs w:val="17"/>
                <w:lang w:eastAsia="en-US"/>
              </w:rPr>
              <w:t>INL129 - Education Sector Program 2</w:t>
            </w:r>
          </w:p>
        </w:tc>
        <w:tc>
          <w:tcPr>
            <w:tcW w:w="3669" w:type="dxa"/>
          </w:tcPr>
          <w:p w:rsidR="00F22A7D" w:rsidRPr="00005D6F" w:rsidRDefault="00F22A7D" w:rsidP="00DD23EC">
            <w:pPr>
              <w:keepLines/>
              <w:spacing w:line="200" w:lineRule="atLeast"/>
              <w:rPr>
                <w:rFonts w:asciiTheme="minorHAnsi" w:eastAsia="Times New Roman" w:hAnsiTheme="minorHAnsi"/>
                <w:b w:val="0"/>
                <w:iCs/>
                <w:szCs w:val="17"/>
                <w:lang w:eastAsia="en-US"/>
              </w:rPr>
            </w:pPr>
            <w:r w:rsidRPr="00005D6F">
              <w:rPr>
                <w:rFonts w:asciiTheme="minorHAnsi" w:eastAsia="Times New Roman" w:hAnsiTheme="minorHAnsi"/>
                <w:b w:val="0"/>
                <w:iCs/>
                <w:szCs w:val="17"/>
                <w:lang w:eastAsia="en-US"/>
              </w:rPr>
              <w:t>M</w:t>
            </w:r>
            <w:r w:rsidR="00F92008">
              <w:rPr>
                <w:rFonts w:asciiTheme="minorHAnsi" w:eastAsia="Times New Roman" w:hAnsiTheme="minorHAnsi"/>
                <w:b w:val="0"/>
                <w:iCs/>
                <w:szCs w:val="17"/>
                <w:lang w:eastAsia="en-US"/>
              </w:rPr>
              <w:t xml:space="preserve">id Term Review </w:t>
            </w:r>
            <w:r w:rsidRPr="00005D6F">
              <w:rPr>
                <w:rFonts w:asciiTheme="minorHAnsi" w:eastAsia="Times New Roman" w:hAnsiTheme="minorHAnsi"/>
                <w:b w:val="0"/>
                <w:iCs/>
                <w:szCs w:val="17"/>
                <w:lang w:eastAsia="en-US"/>
              </w:rPr>
              <w:t xml:space="preserve"> of Skills for Economic Growth</w:t>
            </w:r>
          </w:p>
        </w:tc>
        <w:tc>
          <w:tcPr>
            <w:tcW w:w="1397" w:type="dxa"/>
            <w:shd w:val="clear" w:color="auto" w:fill="auto"/>
          </w:tcPr>
          <w:p w:rsidR="00F22A7D" w:rsidRPr="00005D6F" w:rsidRDefault="00005D6F" w:rsidP="00DD23EC">
            <w:pPr>
              <w:rPr>
                <w:rFonts w:asciiTheme="minorHAnsi" w:eastAsia="Times New Roman" w:hAnsiTheme="minorHAnsi"/>
                <w:b w:val="0"/>
                <w:iCs/>
                <w:szCs w:val="17"/>
                <w:lang w:eastAsia="en-US"/>
              </w:rPr>
            </w:pPr>
            <w:r w:rsidRPr="00005D6F">
              <w:rPr>
                <w:rFonts w:asciiTheme="minorHAnsi" w:eastAsia="Times New Roman" w:hAnsiTheme="minorHAnsi"/>
                <w:b w:val="0"/>
                <w:iCs/>
                <w:szCs w:val="17"/>
                <w:lang w:eastAsia="en-US"/>
              </w:rPr>
              <w:t>January 2019</w:t>
            </w:r>
          </w:p>
        </w:tc>
        <w:tc>
          <w:tcPr>
            <w:tcW w:w="1952" w:type="dxa"/>
            <w:shd w:val="clear" w:color="auto" w:fill="auto"/>
          </w:tcPr>
          <w:p w:rsidR="00F22A7D" w:rsidRPr="00005D6F" w:rsidRDefault="00005D6F" w:rsidP="002D2CDF">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8/4/2019</w:t>
            </w:r>
          </w:p>
        </w:tc>
        <w:tc>
          <w:tcPr>
            <w:tcW w:w="1670" w:type="dxa"/>
            <w:shd w:val="clear" w:color="auto" w:fill="auto"/>
          </w:tcPr>
          <w:p w:rsidR="00F22A7D" w:rsidRPr="00005D6F" w:rsidRDefault="00005D6F" w:rsidP="002D2CDF">
            <w:pP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8/4/2019</w:t>
            </w:r>
          </w:p>
        </w:tc>
        <w:tc>
          <w:tcPr>
            <w:tcW w:w="2364" w:type="dxa"/>
            <w:shd w:val="clear" w:color="auto" w:fill="auto"/>
          </w:tcPr>
          <w:p w:rsidR="00F22A7D" w:rsidRPr="00005D6F" w:rsidRDefault="00005D6F" w:rsidP="002D2CDF">
            <w:pPr>
              <w:rPr>
                <w:rFonts w:asciiTheme="minorHAnsi" w:eastAsia="Times New Roman" w:hAnsiTheme="minorHAnsi"/>
                <w:b w:val="0"/>
                <w:iCs/>
                <w:szCs w:val="17"/>
                <w:lang w:eastAsia="en-US"/>
              </w:rPr>
            </w:pPr>
            <w:r w:rsidRPr="00005D6F">
              <w:rPr>
                <w:rFonts w:asciiTheme="minorHAnsi" w:eastAsia="Times New Roman" w:hAnsiTheme="minorHAnsi"/>
                <w:b w:val="0"/>
                <w:iCs/>
                <w:szCs w:val="17"/>
                <w:lang w:eastAsia="en-US"/>
              </w:rPr>
              <w:t>24 May 2019</w:t>
            </w:r>
          </w:p>
        </w:tc>
      </w:tr>
      <w:tr w:rsidR="00DD23EC" w:rsidRPr="003B5EE5" w:rsidTr="00C92524">
        <w:trPr>
          <w:cnfStyle w:val="100000000000" w:firstRow="1" w:lastRow="0" w:firstColumn="0" w:lastColumn="0" w:oddVBand="0" w:evenVBand="0" w:oddHBand="0" w:evenHBand="0" w:firstRowFirstColumn="0" w:firstRowLastColumn="0" w:lastRowFirstColumn="0" w:lastRowLastColumn="0"/>
        </w:trPr>
        <w:tc>
          <w:tcPr>
            <w:tcW w:w="3063" w:type="dxa"/>
            <w:tcBorders>
              <w:bottom w:val="none" w:sz="0" w:space="0" w:color="auto"/>
            </w:tcBorders>
          </w:tcPr>
          <w:p w:rsidR="00DD23EC" w:rsidRPr="009C6252" w:rsidRDefault="00DD23EC" w:rsidP="00DD23EC">
            <w:pPr>
              <w:keepLines/>
              <w:spacing w:line="200" w:lineRule="atLeast"/>
              <w:rPr>
                <w:rFonts w:asciiTheme="minorHAnsi" w:eastAsia="Times New Roman" w:hAnsiTheme="minorHAnsi"/>
                <w:b w:val="0"/>
                <w:iCs/>
                <w:szCs w:val="17"/>
                <w:lang w:eastAsia="en-US"/>
              </w:rPr>
            </w:pPr>
            <w:r w:rsidRPr="009C6252">
              <w:rPr>
                <w:rFonts w:asciiTheme="minorHAnsi" w:eastAsia="Times New Roman" w:hAnsiTheme="minorHAnsi"/>
                <w:b w:val="0"/>
                <w:iCs/>
                <w:szCs w:val="17"/>
                <w:lang w:eastAsia="en-US"/>
              </w:rPr>
              <w:t>INL129 - Education Sector Program 2</w:t>
            </w:r>
          </w:p>
        </w:tc>
        <w:tc>
          <w:tcPr>
            <w:tcW w:w="3669" w:type="dxa"/>
            <w:tcBorders>
              <w:bottom w:val="none" w:sz="0" w:space="0" w:color="auto"/>
            </w:tcBorders>
          </w:tcPr>
          <w:p w:rsidR="00DD23EC" w:rsidRPr="009C6252" w:rsidRDefault="00DD23EC" w:rsidP="00DD23EC">
            <w:pPr>
              <w:keepLines/>
              <w:spacing w:line="200" w:lineRule="atLeast"/>
              <w:rPr>
                <w:rFonts w:asciiTheme="minorHAnsi" w:eastAsia="Times New Roman" w:hAnsiTheme="minorHAnsi"/>
                <w:b w:val="0"/>
                <w:iCs/>
                <w:szCs w:val="17"/>
                <w:lang w:eastAsia="en-US"/>
              </w:rPr>
            </w:pPr>
            <w:r w:rsidRPr="009C6252">
              <w:rPr>
                <w:rFonts w:asciiTheme="minorHAnsi" w:eastAsia="Times New Roman" w:hAnsiTheme="minorHAnsi"/>
                <w:b w:val="0"/>
                <w:iCs/>
                <w:szCs w:val="17"/>
                <w:lang w:eastAsia="en-US"/>
              </w:rPr>
              <w:t>Mid-</w:t>
            </w:r>
            <w:r w:rsidR="00F92008">
              <w:rPr>
                <w:rFonts w:asciiTheme="minorHAnsi" w:eastAsia="Times New Roman" w:hAnsiTheme="minorHAnsi"/>
                <w:b w:val="0"/>
                <w:iCs/>
                <w:szCs w:val="17"/>
                <w:lang w:eastAsia="en-US"/>
              </w:rPr>
              <w:t>T</w:t>
            </w:r>
            <w:r w:rsidRPr="009C6252">
              <w:rPr>
                <w:rFonts w:asciiTheme="minorHAnsi" w:eastAsia="Times New Roman" w:hAnsiTheme="minorHAnsi"/>
                <w:b w:val="0"/>
                <w:iCs/>
                <w:szCs w:val="17"/>
                <w:lang w:eastAsia="en-US"/>
              </w:rPr>
              <w:t>erm Review of Australia’s Support to Basic Education</w:t>
            </w:r>
          </w:p>
        </w:tc>
        <w:tc>
          <w:tcPr>
            <w:tcW w:w="1397" w:type="dxa"/>
            <w:tcBorders>
              <w:bottom w:val="none" w:sz="0" w:space="0" w:color="auto"/>
            </w:tcBorders>
            <w:shd w:val="clear" w:color="auto" w:fill="auto"/>
          </w:tcPr>
          <w:p w:rsidR="00DD23EC" w:rsidRDefault="002D2CDF" w:rsidP="00DD23EC">
            <w:r>
              <w:rPr>
                <w:rFonts w:asciiTheme="minorHAnsi" w:eastAsia="Times New Roman" w:hAnsiTheme="minorHAnsi"/>
                <w:b w:val="0"/>
                <w:iCs/>
                <w:szCs w:val="17"/>
                <w:lang w:eastAsia="en-US"/>
              </w:rPr>
              <w:t>01/10/2018</w:t>
            </w:r>
          </w:p>
        </w:tc>
        <w:tc>
          <w:tcPr>
            <w:tcW w:w="1952" w:type="dxa"/>
            <w:tcBorders>
              <w:bottom w:val="none" w:sz="0" w:space="0" w:color="auto"/>
            </w:tcBorders>
            <w:shd w:val="clear" w:color="auto" w:fill="auto"/>
          </w:tcPr>
          <w:p w:rsidR="00DD23EC" w:rsidRDefault="002D2CDF" w:rsidP="002D2CDF">
            <w:r>
              <w:rPr>
                <w:rFonts w:asciiTheme="minorHAnsi" w:eastAsia="Times New Roman" w:hAnsiTheme="minorHAnsi"/>
                <w:b w:val="0"/>
                <w:iCs/>
                <w:szCs w:val="17"/>
                <w:lang w:eastAsia="en-US"/>
              </w:rPr>
              <w:t>07/03/2019</w:t>
            </w:r>
          </w:p>
        </w:tc>
        <w:tc>
          <w:tcPr>
            <w:tcW w:w="1670" w:type="dxa"/>
            <w:tcBorders>
              <w:bottom w:val="none" w:sz="0" w:space="0" w:color="auto"/>
            </w:tcBorders>
            <w:shd w:val="clear" w:color="auto" w:fill="auto"/>
          </w:tcPr>
          <w:p w:rsidR="00DD23EC" w:rsidRDefault="002D2CDF" w:rsidP="002D2CDF">
            <w:r>
              <w:rPr>
                <w:rFonts w:asciiTheme="minorHAnsi" w:eastAsia="Times New Roman" w:hAnsiTheme="minorHAnsi"/>
                <w:b w:val="0"/>
                <w:iCs/>
                <w:szCs w:val="17"/>
                <w:lang w:eastAsia="en-US"/>
              </w:rPr>
              <w:t>04/07/2019</w:t>
            </w:r>
          </w:p>
        </w:tc>
        <w:tc>
          <w:tcPr>
            <w:tcW w:w="2364" w:type="dxa"/>
            <w:tcBorders>
              <w:bottom w:val="none" w:sz="0" w:space="0" w:color="auto"/>
            </w:tcBorders>
            <w:shd w:val="clear" w:color="auto" w:fill="auto"/>
          </w:tcPr>
          <w:p w:rsidR="00DD23EC" w:rsidRDefault="00CF6C9B" w:rsidP="002D2CDF">
            <w:r>
              <w:rPr>
                <w:rFonts w:asciiTheme="minorHAnsi" w:eastAsia="Times New Roman" w:hAnsiTheme="minorHAnsi"/>
                <w:b w:val="0"/>
                <w:iCs/>
                <w:szCs w:val="17"/>
                <w:lang w:eastAsia="en-US"/>
              </w:rPr>
              <w:t>11/12/2018</w:t>
            </w:r>
          </w:p>
        </w:tc>
      </w:tr>
      <w:tr w:rsidR="00DD23EC" w:rsidRPr="003B5EE5" w:rsidTr="00C92524">
        <w:trPr>
          <w:cnfStyle w:val="100000000000" w:firstRow="1" w:lastRow="0" w:firstColumn="0" w:lastColumn="0" w:oddVBand="0" w:evenVBand="0" w:oddHBand="0" w:evenHBand="0" w:firstRowFirstColumn="0" w:firstRowLastColumn="0" w:lastRowFirstColumn="0" w:lastRowLastColumn="0"/>
        </w:trPr>
        <w:tc>
          <w:tcPr>
            <w:tcW w:w="3063" w:type="dxa"/>
            <w:tcBorders>
              <w:bottom w:val="none" w:sz="0" w:space="0" w:color="auto"/>
            </w:tcBorders>
          </w:tcPr>
          <w:p w:rsidR="00DD23EC" w:rsidRPr="009C6252" w:rsidRDefault="00DD23EC" w:rsidP="00DD23EC">
            <w:pPr>
              <w:keepLines/>
              <w:spacing w:line="200" w:lineRule="atLeast"/>
              <w:rPr>
                <w:rFonts w:asciiTheme="minorHAnsi" w:eastAsia="Times New Roman" w:hAnsiTheme="minorHAnsi"/>
                <w:b w:val="0"/>
                <w:iCs/>
                <w:szCs w:val="17"/>
                <w:lang w:eastAsia="en-US"/>
              </w:rPr>
            </w:pPr>
            <w:r w:rsidRPr="009C6252">
              <w:rPr>
                <w:rFonts w:asciiTheme="minorHAnsi" w:eastAsia="Times New Roman" w:hAnsiTheme="minorHAnsi"/>
                <w:b w:val="0"/>
                <w:iCs/>
                <w:szCs w:val="17"/>
                <w:lang w:eastAsia="en-US"/>
              </w:rPr>
              <w:t>INL129 - Education Sector Program 2</w:t>
            </w:r>
          </w:p>
        </w:tc>
        <w:tc>
          <w:tcPr>
            <w:tcW w:w="3669" w:type="dxa"/>
            <w:tcBorders>
              <w:bottom w:val="none" w:sz="0" w:space="0" w:color="auto"/>
            </w:tcBorders>
          </w:tcPr>
          <w:p w:rsidR="00DD23EC" w:rsidRPr="009C6252" w:rsidRDefault="00DD23EC" w:rsidP="00DD23EC">
            <w:pPr>
              <w:keepLines/>
              <w:spacing w:line="200" w:lineRule="atLeast"/>
              <w:rPr>
                <w:rFonts w:asciiTheme="minorHAnsi" w:eastAsia="Times New Roman" w:hAnsiTheme="minorHAnsi"/>
                <w:b w:val="0"/>
                <w:iCs/>
                <w:szCs w:val="17"/>
                <w:lang w:eastAsia="en-US"/>
              </w:rPr>
            </w:pPr>
            <w:r w:rsidRPr="009C6252">
              <w:rPr>
                <w:rFonts w:asciiTheme="minorHAnsi" w:eastAsia="Times New Roman" w:hAnsiTheme="minorHAnsi"/>
                <w:b w:val="0"/>
                <w:iCs/>
                <w:szCs w:val="17"/>
              </w:rPr>
              <w:t>201</w:t>
            </w:r>
            <w:r w:rsidR="0069043C">
              <w:rPr>
                <w:rFonts w:asciiTheme="minorHAnsi" w:eastAsia="Times New Roman" w:hAnsiTheme="minorHAnsi"/>
                <w:b w:val="0"/>
                <w:iCs/>
                <w:szCs w:val="17"/>
              </w:rPr>
              <w:t>8</w:t>
            </w:r>
            <w:r w:rsidRPr="009C6252">
              <w:rPr>
                <w:rFonts w:asciiTheme="minorHAnsi" w:eastAsia="Times New Roman" w:hAnsiTheme="minorHAnsi"/>
                <w:b w:val="0"/>
                <w:iCs/>
                <w:szCs w:val="17"/>
              </w:rPr>
              <w:t xml:space="preserve"> Independent assessment of Performance Linked Funding  indicators</w:t>
            </w:r>
          </w:p>
        </w:tc>
        <w:tc>
          <w:tcPr>
            <w:tcW w:w="1397" w:type="dxa"/>
            <w:tcBorders>
              <w:bottom w:val="none" w:sz="0" w:space="0" w:color="auto"/>
            </w:tcBorders>
            <w:shd w:val="clear" w:color="auto" w:fill="auto"/>
          </w:tcPr>
          <w:p w:rsidR="00DD23EC" w:rsidRDefault="003655AA" w:rsidP="002D2CDF">
            <w:r>
              <w:rPr>
                <w:rFonts w:asciiTheme="minorHAnsi" w:eastAsia="Times New Roman" w:hAnsiTheme="minorHAnsi"/>
                <w:b w:val="0"/>
                <w:iCs/>
                <w:szCs w:val="17"/>
                <w:lang w:eastAsia="en-US"/>
              </w:rPr>
              <w:t>26/6/2019</w:t>
            </w:r>
          </w:p>
        </w:tc>
        <w:tc>
          <w:tcPr>
            <w:tcW w:w="1952" w:type="dxa"/>
            <w:tcBorders>
              <w:bottom w:val="none" w:sz="0" w:space="0" w:color="auto"/>
            </w:tcBorders>
            <w:shd w:val="clear" w:color="auto" w:fill="auto"/>
          </w:tcPr>
          <w:p w:rsidR="00DD23EC" w:rsidRDefault="003655AA" w:rsidP="002D2CDF">
            <w:r>
              <w:rPr>
                <w:rFonts w:asciiTheme="minorHAnsi" w:eastAsia="Times New Roman" w:hAnsiTheme="minorHAnsi"/>
                <w:b w:val="0"/>
                <w:iCs/>
                <w:szCs w:val="17"/>
                <w:lang w:eastAsia="en-US"/>
              </w:rPr>
              <w:t>12/8/2019</w:t>
            </w:r>
          </w:p>
        </w:tc>
        <w:tc>
          <w:tcPr>
            <w:tcW w:w="1670" w:type="dxa"/>
            <w:tcBorders>
              <w:bottom w:val="none" w:sz="0" w:space="0" w:color="auto"/>
            </w:tcBorders>
            <w:shd w:val="clear" w:color="auto" w:fill="auto"/>
          </w:tcPr>
          <w:p w:rsidR="00DD23EC" w:rsidRDefault="003655AA" w:rsidP="002D2CDF">
            <w:r>
              <w:rPr>
                <w:rFonts w:asciiTheme="minorHAnsi" w:eastAsia="Times New Roman" w:hAnsiTheme="minorHAnsi"/>
                <w:b w:val="0"/>
                <w:iCs/>
                <w:szCs w:val="17"/>
                <w:lang w:eastAsia="en-US"/>
              </w:rPr>
              <w:t>August 2019</w:t>
            </w:r>
          </w:p>
        </w:tc>
        <w:tc>
          <w:tcPr>
            <w:tcW w:w="2364" w:type="dxa"/>
            <w:tcBorders>
              <w:bottom w:val="none" w:sz="0" w:space="0" w:color="auto"/>
            </w:tcBorders>
            <w:shd w:val="clear" w:color="auto" w:fill="auto"/>
          </w:tcPr>
          <w:p w:rsidR="00DD23EC" w:rsidRDefault="003655AA" w:rsidP="002D2CDF">
            <w:r>
              <w:rPr>
                <w:rFonts w:asciiTheme="minorHAnsi" w:eastAsia="Times New Roman" w:hAnsiTheme="minorHAnsi"/>
                <w:b w:val="0"/>
                <w:iCs/>
                <w:szCs w:val="17"/>
                <w:lang w:eastAsia="en-US"/>
              </w:rPr>
              <w:t>August 2019</w:t>
            </w:r>
          </w:p>
        </w:tc>
      </w:tr>
      <w:tr w:rsidR="00476113" w:rsidRPr="003B5EE5" w:rsidTr="00C92524">
        <w:trPr>
          <w:cnfStyle w:val="100000000000" w:firstRow="1" w:lastRow="0" w:firstColumn="0" w:lastColumn="0" w:oddVBand="0" w:evenVBand="0" w:oddHBand="0" w:evenHBand="0" w:firstRowFirstColumn="0" w:firstRowLastColumn="0" w:lastRowFirstColumn="0" w:lastRowLastColumn="0"/>
        </w:trPr>
        <w:tc>
          <w:tcPr>
            <w:tcW w:w="3063" w:type="dxa"/>
          </w:tcPr>
          <w:p w:rsidR="00476113" w:rsidRPr="00476113" w:rsidRDefault="00476113" w:rsidP="00DD23EC">
            <w:pPr>
              <w:keepLines/>
              <w:spacing w:line="200" w:lineRule="atLeast"/>
              <w:rPr>
                <w:rFonts w:asciiTheme="minorHAnsi" w:eastAsia="Times New Roman" w:hAnsiTheme="minorHAnsi"/>
                <w:b w:val="0"/>
                <w:iCs/>
                <w:szCs w:val="17"/>
              </w:rPr>
            </w:pPr>
            <w:r w:rsidRPr="00476113">
              <w:rPr>
                <w:rFonts w:asciiTheme="minorHAnsi" w:eastAsia="Times New Roman" w:hAnsiTheme="minorHAnsi"/>
                <w:b w:val="0"/>
                <w:iCs/>
                <w:szCs w:val="17"/>
              </w:rPr>
              <w:t>INL121 – Health Sector Support Program 3</w:t>
            </w:r>
          </w:p>
        </w:tc>
        <w:tc>
          <w:tcPr>
            <w:tcW w:w="3669" w:type="dxa"/>
          </w:tcPr>
          <w:p w:rsidR="00476113" w:rsidRPr="00476113" w:rsidRDefault="00476113" w:rsidP="00DD23EC">
            <w:pPr>
              <w:keepLines/>
              <w:spacing w:line="200" w:lineRule="atLeast"/>
              <w:rPr>
                <w:rFonts w:asciiTheme="minorHAnsi" w:eastAsia="Times New Roman" w:hAnsiTheme="minorHAnsi"/>
                <w:b w:val="0"/>
                <w:iCs/>
                <w:szCs w:val="17"/>
              </w:rPr>
            </w:pPr>
            <w:r w:rsidRPr="009C6252">
              <w:rPr>
                <w:rFonts w:asciiTheme="minorHAnsi" w:eastAsia="Times New Roman" w:hAnsiTheme="minorHAnsi"/>
                <w:b w:val="0"/>
                <w:iCs/>
                <w:szCs w:val="17"/>
              </w:rPr>
              <w:t>201</w:t>
            </w:r>
            <w:r>
              <w:rPr>
                <w:rFonts w:asciiTheme="minorHAnsi" w:eastAsia="Times New Roman" w:hAnsiTheme="minorHAnsi"/>
                <w:b w:val="0"/>
                <w:iCs/>
                <w:szCs w:val="17"/>
              </w:rPr>
              <w:t>8</w:t>
            </w:r>
            <w:r w:rsidRPr="009C6252">
              <w:rPr>
                <w:rFonts w:asciiTheme="minorHAnsi" w:eastAsia="Times New Roman" w:hAnsiTheme="minorHAnsi"/>
                <w:b w:val="0"/>
                <w:iCs/>
                <w:szCs w:val="17"/>
              </w:rPr>
              <w:t xml:space="preserve"> Independent assessment of Performance Linked Funding indicators</w:t>
            </w:r>
          </w:p>
        </w:tc>
        <w:tc>
          <w:tcPr>
            <w:tcW w:w="1397" w:type="dxa"/>
            <w:shd w:val="clear" w:color="auto" w:fill="auto"/>
          </w:tcPr>
          <w:p w:rsidR="00476113" w:rsidRPr="00476113" w:rsidRDefault="00476113" w:rsidP="002D2CDF">
            <w:pPr>
              <w:rPr>
                <w:rFonts w:asciiTheme="minorHAnsi" w:eastAsia="Times New Roman" w:hAnsiTheme="minorHAnsi"/>
                <w:b w:val="0"/>
                <w:iCs/>
                <w:szCs w:val="17"/>
              </w:rPr>
            </w:pPr>
            <w:r w:rsidRPr="00476113">
              <w:rPr>
                <w:rFonts w:asciiTheme="minorHAnsi" w:eastAsia="Times New Roman" w:hAnsiTheme="minorHAnsi"/>
                <w:b w:val="0"/>
                <w:iCs/>
                <w:szCs w:val="17"/>
              </w:rPr>
              <w:t>May 2019</w:t>
            </w:r>
          </w:p>
        </w:tc>
        <w:tc>
          <w:tcPr>
            <w:tcW w:w="1952" w:type="dxa"/>
            <w:shd w:val="clear" w:color="auto" w:fill="auto"/>
          </w:tcPr>
          <w:p w:rsidR="00476113" w:rsidRPr="00476113" w:rsidRDefault="00476113" w:rsidP="002D2CDF">
            <w:pPr>
              <w:rPr>
                <w:rFonts w:asciiTheme="minorHAnsi" w:eastAsia="Times New Roman" w:hAnsiTheme="minorHAnsi"/>
                <w:b w:val="0"/>
                <w:iCs/>
                <w:szCs w:val="17"/>
              </w:rPr>
            </w:pPr>
            <w:r w:rsidRPr="00476113">
              <w:rPr>
                <w:rFonts w:asciiTheme="minorHAnsi" w:eastAsia="Times New Roman" w:hAnsiTheme="minorHAnsi"/>
                <w:b w:val="0"/>
                <w:iCs/>
                <w:szCs w:val="17"/>
              </w:rPr>
              <w:t>August 2019</w:t>
            </w:r>
          </w:p>
        </w:tc>
        <w:tc>
          <w:tcPr>
            <w:tcW w:w="1670" w:type="dxa"/>
            <w:shd w:val="clear" w:color="auto" w:fill="auto"/>
          </w:tcPr>
          <w:p w:rsidR="00476113" w:rsidRPr="00476113" w:rsidDel="00476113" w:rsidRDefault="00476113" w:rsidP="002D2CDF">
            <w:pPr>
              <w:rPr>
                <w:rFonts w:asciiTheme="minorHAnsi" w:eastAsia="Times New Roman" w:hAnsiTheme="minorHAnsi"/>
                <w:b w:val="0"/>
                <w:iCs/>
                <w:szCs w:val="17"/>
              </w:rPr>
            </w:pPr>
            <w:r w:rsidRPr="00476113">
              <w:rPr>
                <w:rFonts w:asciiTheme="minorHAnsi" w:eastAsia="Times New Roman" w:hAnsiTheme="minorHAnsi"/>
                <w:b w:val="0"/>
                <w:iCs/>
                <w:szCs w:val="17"/>
              </w:rPr>
              <w:t>August 2019</w:t>
            </w:r>
          </w:p>
        </w:tc>
        <w:tc>
          <w:tcPr>
            <w:tcW w:w="2364" w:type="dxa"/>
            <w:shd w:val="clear" w:color="auto" w:fill="auto"/>
          </w:tcPr>
          <w:p w:rsidR="00476113" w:rsidRPr="00476113" w:rsidDel="00476113" w:rsidRDefault="00476113" w:rsidP="002D2CDF">
            <w:pPr>
              <w:rPr>
                <w:rFonts w:asciiTheme="minorHAnsi" w:eastAsia="Times New Roman" w:hAnsiTheme="minorHAnsi"/>
                <w:b w:val="0"/>
                <w:iCs/>
                <w:szCs w:val="17"/>
              </w:rPr>
            </w:pPr>
            <w:r w:rsidRPr="00476113">
              <w:rPr>
                <w:rFonts w:asciiTheme="minorHAnsi" w:eastAsia="Times New Roman" w:hAnsiTheme="minorHAnsi"/>
                <w:b w:val="0"/>
                <w:iCs/>
                <w:szCs w:val="17"/>
              </w:rPr>
              <w:t>August 2019</w:t>
            </w:r>
          </w:p>
        </w:tc>
      </w:tr>
      <w:tr w:rsidR="00DD23EC" w:rsidRPr="003B5EE5" w:rsidTr="0000067C">
        <w:trPr>
          <w:cnfStyle w:val="100000000000" w:firstRow="1" w:lastRow="0" w:firstColumn="0" w:lastColumn="0" w:oddVBand="0" w:evenVBand="0" w:oddHBand="0" w:evenHBand="0" w:firstRowFirstColumn="0" w:firstRowLastColumn="0" w:lastRowFirstColumn="0" w:lastRowLastColumn="0"/>
        </w:trPr>
        <w:tc>
          <w:tcPr>
            <w:tcW w:w="3063" w:type="dxa"/>
            <w:tcBorders>
              <w:bottom w:val="none" w:sz="0" w:space="0" w:color="auto"/>
            </w:tcBorders>
          </w:tcPr>
          <w:p w:rsidR="00DD23EC" w:rsidRPr="009C6252" w:rsidRDefault="009340ED" w:rsidP="00DD23EC">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Activity 15A357</w:t>
            </w:r>
            <w:r w:rsidR="00DD23EC" w:rsidRPr="009C6252">
              <w:rPr>
                <w:rFonts w:asciiTheme="minorHAnsi" w:eastAsia="Times New Roman" w:hAnsiTheme="minorHAnsi"/>
                <w:b w:val="0"/>
                <w:iCs/>
                <w:szCs w:val="17"/>
                <w:lang w:eastAsia="en-US"/>
              </w:rPr>
              <w:t xml:space="preserve"> under INL129 Education Sector Program 2</w:t>
            </w:r>
          </w:p>
        </w:tc>
        <w:tc>
          <w:tcPr>
            <w:tcW w:w="3669" w:type="dxa"/>
            <w:tcBorders>
              <w:bottom w:val="none" w:sz="0" w:space="0" w:color="auto"/>
            </w:tcBorders>
            <w:shd w:val="clear" w:color="auto" w:fill="F8F8F8"/>
          </w:tcPr>
          <w:p w:rsidR="00DD23EC" w:rsidRPr="009C6252" w:rsidRDefault="00DD23EC" w:rsidP="00DD23EC">
            <w:pPr>
              <w:keepLines/>
              <w:spacing w:line="200" w:lineRule="atLeast"/>
              <w:rPr>
                <w:rFonts w:asciiTheme="minorHAnsi" w:eastAsia="Times New Roman" w:hAnsiTheme="minorHAnsi"/>
                <w:b w:val="0"/>
                <w:iCs/>
                <w:szCs w:val="17"/>
              </w:rPr>
            </w:pPr>
            <w:r w:rsidRPr="009C6252">
              <w:rPr>
                <w:rFonts w:asciiTheme="minorHAnsi" w:eastAsia="Times New Roman" w:hAnsiTheme="minorHAnsi"/>
                <w:b w:val="0"/>
                <w:iCs/>
                <w:szCs w:val="17"/>
              </w:rPr>
              <w:t xml:space="preserve">Review of the Skills for Economic Growth </w:t>
            </w:r>
            <w:r w:rsidR="00F92008">
              <w:rPr>
                <w:rFonts w:asciiTheme="minorHAnsi" w:eastAsia="Times New Roman" w:hAnsiTheme="minorHAnsi"/>
                <w:b w:val="0"/>
                <w:iCs/>
                <w:szCs w:val="17"/>
              </w:rPr>
              <w:t>P</w:t>
            </w:r>
            <w:r w:rsidRPr="009C6252">
              <w:rPr>
                <w:rFonts w:asciiTheme="minorHAnsi" w:eastAsia="Times New Roman" w:hAnsiTheme="minorHAnsi"/>
                <w:b w:val="0"/>
                <w:iCs/>
                <w:szCs w:val="17"/>
              </w:rPr>
              <w:t>rogram</w:t>
            </w:r>
          </w:p>
        </w:tc>
        <w:tc>
          <w:tcPr>
            <w:tcW w:w="1397" w:type="dxa"/>
            <w:tcBorders>
              <w:bottom w:val="none" w:sz="0" w:space="0" w:color="auto"/>
            </w:tcBorders>
            <w:shd w:val="clear" w:color="auto" w:fill="F8F8F8"/>
          </w:tcPr>
          <w:p w:rsidR="00DD23EC" w:rsidRDefault="00EC1763" w:rsidP="00DD23EC">
            <w:r>
              <w:rPr>
                <w:rFonts w:asciiTheme="minorHAnsi" w:eastAsia="Times New Roman" w:hAnsiTheme="minorHAnsi"/>
                <w:b w:val="0"/>
                <w:iCs/>
                <w:szCs w:val="17"/>
                <w:lang w:eastAsia="en-US"/>
              </w:rPr>
              <w:t>30/1/2019</w:t>
            </w:r>
          </w:p>
        </w:tc>
        <w:tc>
          <w:tcPr>
            <w:tcW w:w="1952" w:type="dxa"/>
            <w:tcBorders>
              <w:bottom w:val="none" w:sz="0" w:space="0" w:color="auto"/>
            </w:tcBorders>
            <w:shd w:val="clear" w:color="auto" w:fill="F8F8F8"/>
          </w:tcPr>
          <w:p w:rsidR="00DD23EC" w:rsidRDefault="007F17A0" w:rsidP="00DD23EC">
            <w:r>
              <w:rPr>
                <w:rFonts w:asciiTheme="minorHAnsi" w:eastAsia="Times New Roman" w:hAnsiTheme="minorHAnsi"/>
                <w:b w:val="0"/>
                <w:iCs/>
                <w:szCs w:val="17"/>
                <w:lang w:eastAsia="en-US"/>
              </w:rPr>
              <w:t>08/04/2019</w:t>
            </w:r>
          </w:p>
        </w:tc>
        <w:tc>
          <w:tcPr>
            <w:tcW w:w="1670" w:type="dxa"/>
            <w:tcBorders>
              <w:bottom w:val="none" w:sz="0" w:space="0" w:color="auto"/>
            </w:tcBorders>
            <w:shd w:val="clear" w:color="auto" w:fill="F8F8F8"/>
          </w:tcPr>
          <w:p w:rsidR="00DD23EC" w:rsidRDefault="007F17A0" w:rsidP="00DD23EC">
            <w:r>
              <w:rPr>
                <w:rFonts w:asciiTheme="minorHAnsi" w:eastAsia="Times New Roman" w:hAnsiTheme="minorHAnsi"/>
                <w:b w:val="0"/>
                <w:iCs/>
                <w:szCs w:val="17"/>
                <w:lang w:eastAsia="en-US"/>
              </w:rPr>
              <w:t>8/04/2019</w:t>
            </w:r>
          </w:p>
        </w:tc>
        <w:tc>
          <w:tcPr>
            <w:tcW w:w="2364" w:type="dxa"/>
            <w:tcBorders>
              <w:bottom w:val="none" w:sz="0" w:space="0" w:color="auto"/>
            </w:tcBorders>
            <w:shd w:val="clear" w:color="auto" w:fill="F8F8F8"/>
          </w:tcPr>
          <w:p w:rsidR="00DD23EC" w:rsidRDefault="00C46E7D" w:rsidP="00DD23EC">
            <w:r>
              <w:rPr>
                <w:rFonts w:asciiTheme="minorHAnsi" w:eastAsia="Times New Roman" w:hAnsiTheme="minorHAnsi"/>
                <w:b w:val="0"/>
                <w:iCs/>
                <w:szCs w:val="17"/>
                <w:lang w:eastAsia="en-US"/>
              </w:rPr>
              <w:t>25/05</w:t>
            </w:r>
            <w:r w:rsidR="00106272">
              <w:rPr>
                <w:rFonts w:asciiTheme="minorHAnsi" w:eastAsia="Times New Roman" w:hAnsiTheme="minorHAnsi"/>
                <w:b w:val="0"/>
                <w:iCs/>
                <w:szCs w:val="17"/>
                <w:lang w:eastAsia="en-US"/>
              </w:rPr>
              <w:t>/2019</w:t>
            </w:r>
          </w:p>
        </w:tc>
      </w:tr>
      <w:tr w:rsidR="008821C2" w:rsidRPr="003B5EE5" w:rsidTr="00C92524">
        <w:trPr>
          <w:cnfStyle w:val="100000000000" w:firstRow="1" w:lastRow="0" w:firstColumn="0" w:lastColumn="0" w:oddVBand="0" w:evenVBand="0" w:oddHBand="0" w:evenHBand="0" w:firstRowFirstColumn="0" w:firstRowLastColumn="0" w:lastRowFirstColumn="0" w:lastRowLastColumn="0"/>
        </w:trPr>
        <w:tc>
          <w:tcPr>
            <w:tcW w:w="3063" w:type="dxa"/>
            <w:tcBorders>
              <w:bottom w:val="none" w:sz="0" w:space="0" w:color="auto"/>
            </w:tcBorders>
          </w:tcPr>
          <w:p w:rsidR="008821C2" w:rsidRPr="009C6252" w:rsidRDefault="008821C2" w:rsidP="001E0245">
            <w:pPr>
              <w:keepLines/>
              <w:spacing w:before="40" w:after="40" w:line="200" w:lineRule="atLeast"/>
              <w:rPr>
                <w:rFonts w:asciiTheme="minorHAnsi" w:eastAsia="Times New Roman" w:hAnsiTheme="minorHAnsi"/>
                <w:b w:val="0"/>
                <w:iCs/>
                <w:color w:val="FF0000"/>
                <w:szCs w:val="17"/>
                <w:lang w:eastAsia="en-US"/>
              </w:rPr>
            </w:pPr>
          </w:p>
        </w:tc>
        <w:tc>
          <w:tcPr>
            <w:tcW w:w="3669" w:type="dxa"/>
            <w:tcBorders>
              <w:bottom w:val="none" w:sz="0" w:space="0" w:color="auto"/>
            </w:tcBorders>
          </w:tcPr>
          <w:p w:rsidR="008821C2" w:rsidRPr="009C6252" w:rsidRDefault="008821C2" w:rsidP="001E0245">
            <w:pPr>
              <w:keepLines/>
              <w:spacing w:before="40" w:after="40" w:line="200" w:lineRule="atLeast"/>
              <w:rPr>
                <w:rFonts w:asciiTheme="minorHAnsi" w:eastAsia="Times New Roman" w:hAnsiTheme="minorHAnsi"/>
                <w:b w:val="0"/>
                <w:iCs/>
                <w:color w:val="FF0000"/>
                <w:szCs w:val="17"/>
                <w:lang w:eastAsia="en-US"/>
              </w:rPr>
            </w:pPr>
          </w:p>
        </w:tc>
        <w:tc>
          <w:tcPr>
            <w:tcW w:w="1397" w:type="dxa"/>
            <w:tcBorders>
              <w:bottom w:val="none" w:sz="0" w:space="0" w:color="auto"/>
            </w:tcBorders>
          </w:tcPr>
          <w:p w:rsidR="008821C2" w:rsidRPr="009C6252" w:rsidRDefault="008821C2" w:rsidP="001E0245">
            <w:pPr>
              <w:keepLines/>
              <w:spacing w:before="40" w:after="40" w:line="200" w:lineRule="atLeast"/>
              <w:rPr>
                <w:rFonts w:asciiTheme="minorHAnsi" w:eastAsia="Times New Roman" w:hAnsiTheme="minorHAnsi"/>
                <w:b w:val="0"/>
                <w:iCs/>
                <w:color w:val="FF0000"/>
                <w:szCs w:val="17"/>
                <w:lang w:eastAsia="en-US"/>
              </w:rPr>
            </w:pPr>
          </w:p>
        </w:tc>
        <w:tc>
          <w:tcPr>
            <w:tcW w:w="1952" w:type="dxa"/>
            <w:tcBorders>
              <w:bottom w:val="none" w:sz="0" w:space="0" w:color="auto"/>
            </w:tcBorders>
          </w:tcPr>
          <w:p w:rsidR="008821C2" w:rsidRPr="009C6252" w:rsidRDefault="008821C2" w:rsidP="001E0245">
            <w:pPr>
              <w:keepLines/>
              <w:spacing w:before="40" w:after="40" w:line="200" w:lineRule="atLeast"/>
              <w:rPr>
                <w:rFonts w:asciiTheme="minorHAnsi" w:eastAsia="Times New Roman" w:hAnsiTheme="minorHAnsi"/>
                <w:b w:val="0"/>
                <w:iCs/>
                <w:color w:val="FF0000"/>
                <w:szCs w:val="17"/>
                <w:lang w:eastAsia="en-US"/>
              </w:rPr>
            </w:pPr>
          </w:p>
        </w:tc>
        <w:tc>
          <w:tcPr>
            <w:tcW w:w="1670" w:type="dxa"/>
            <w:tcBorders>
              <w:bottom w:val="none" w:sz="0" w:space="0" w:color="auto"/>
            </w:tcBorders>
          </w:tcPr>
          <w:p w:rsidR="008821C2" w:rsidRPr="009C6252" w:rsidRDefault="008821C2" w:rsidP="001E0245">
            <w:pPr>
              <w:keepLines/>
              <w:spacing w:before="40" w:after="40" w:line="200" w:lineRule="atLeast"/>
              <w:rPr>
                <w:rFonts w:asciiTheme="minorHAnsi" w:eastAsia="Times New Roman" w:hAnsiTheme="minorHAnsi"/>
                <w:b w:val="0"/>
                <w:iCs/>
                <w:color w:val="FF0000"/>
                <w:szCs w:val="17"/>
                <w:lang w:eastAsia="en-US"/>
              </w:rPr>
            </w:pPr>
          </w:p>
        </w:tc>
        <w:tc>
          <w:tcPr>
            <w:tcW w:w="2364" w:type="dxa"/>
            <w:tcBorders>
              <w:bottom w:val="none" w:sz="0" w:space="0" w:color="auto"/>
            </w:tcBorders>
          </w:tcPr>
          <w:p w:rsidR="008821C2" w:rsidRPr="00085E5F" w:rsidRDefault="008821C2" w:rsidP="001E0245">
            <w:pPr>
              <w:keepLines/>
              <w:spacing w:before="40" w:after="40" w:line="200" w:lineRule="atLeast"/>
              <w:rPr>
                <w:rFonts w:asciiTheme="minorHAnsi" w:eastAsia="Times New Roman" w:hAnsiTheme="minorHAnsi"/>
                <w:b w:val="0"/>
                <w:iCs/>
                <w:color w:val="FF0000"/>
                <w:szCs w:val="17"/>
                <w:lang w:eastAsia="en-US"/>
              </w:rPr>
            </w:pPr>
          </w:p>
        </w:tc>
      </w:tr>
    </w:tbl>
    <w:p w:rsidR="00027C45" w:rsidRDefault="00027C45" w:rsidP="008821C2">
      <w:pPr>
        <w:spacing w:before="360"/>
        <w:rPr>
          <w:rFonts w:eastAsiaTheme="majorEastAsia" w:cstheme="minorHAnsi"/>
          <w:caps/>
          <w:sz w:val="36"/>
          <w:szCs w:val="36"/>
        </w:rPr>
      </w:pPr>
    </w:p>
    <w:p w:rsidR="007E6900" w:rsidRDefault="007E6900">
      <w:pPr>
        <w:suppressAutoHyphens w:val="0"/>
        <w:spacing w:before="0" w:after="120" w:line="440" w:lineRule="atLeast"/>
        <w:rPr>
          <w:rFonts w:eastAsiaTheme="majorEastAsia" w:cstheme="minorHAnsi"/>
          <w:caps/>
          <w:sz w:val="36"/>
          <w:szCs w:val="36"/>
        </w:rPr>
      </w:pPr>
      <w:r>
        <w:rPr>
          <w:rFonts w:eastAsiaTheme="majorEastAsia" w:cstheme="minorHAnsi"/>
          <w:caps/>
          <w:sz w:val="36"/>
          <w:szCs w:val="36"/>
        </w:rPr>
        <w:br w:type="page"/>
      </w:r>
    </w:p>
    <w:p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lastRenderedPageBreak/>
        <w:t>2</w:t>
      </w:r>
      <w:r w:rsidR="00EE55A0">
        <w:rPr>
          <w:rFonts w:eastAsiaTheme="majorEastAsia" w:cstheme="minorHAnsi"/>
          <w:caps/>
          <w:sz w:val="36"/>
          <w:szCs w:val="36"/>
        </w:rPr>
        <w:t>.</w:t>
      </w:r>
      <w:r w:rsidRPr="00EF26B5">
        <w:rPr>
          <w:rFonts w:eastAsiaTheme="majorEastAsia" w:cstheme="minorHAnsi"/>
          <w:caps/>
          <w:sz w:val="36"/>
          <w:szCs w:val="36"/>
        </w:rPr>
        <w:t xml:space="preserve"> 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8821C2" w:rsidRPr="00C61187" w:rsidTr="001E0245">
        <w:tc>
          <w:tcPr>
            <w:tcW w:w="2444" w:type="dxa"/>
          </w:tcPr>
          <w:p w:rsidR="008821C2" w:rsidRPr="00812509" w:rsidRDefault="008821C2" w:rsidP="001E024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8821C2" w:rsidRPr="00812509" w:rsidRDefault="008821C2" w:rsidP="001E024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8821C2" w:rsidRPr="00812509" w:rsidRDefault="008821C2" w:rsidP="001E024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8821C2" w:rsidRPr="00812509" w:rsidRDefault="008821C2" w:rsidP="001E024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8821C2" w:rsidRPr="00812509" w:rsidRDefault="008821C2" w:rsidP="001E024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8821C2" w:rsidRPr="00812509" w:rsidRDefault="008821C2" w:rsidP="001E024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7E6900" w:rsidRPr="00C61187" w:rsidTr="009340ED">
        <w:tc>
          <w:tcPr>
            <w:tcW w:w="2444" w:type="dxa"/>
            <w:shd w:val="clear" w:color="auto" w:fill="auto"/>
          </w:tcPr>
          <w:p w:rsidR="007E6900" w:rsidRPr="007E6900" w:rsidRDefault="00F06CE1" w:rsidP="00F06CE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Review (2017-19) and development of new Pacific Women  Solomon Islands Country Plan (2019-2022)</w:t>
            </w:r>
          </w:p>
        </w:tc>
        <w:tc>
          <w:tcPr>
            <w:tcW w:w="2356" w:type="dxa"/>
            <w:shd w:val="clear" w:color="auto" w:fill="auto"/>
          </w:tcPr>
          <w:p w:rsidR="007E6900" w:rsidRPr="009340ED" w:rsidRDefault="001507DD"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INK688 Addressing Gender Equality in the Solomon Islands</w:t>
            </w:r>
          </w:p>
        </w:tc>
        <w:tc>
          <w:tcPr>
            <w:tcW w:w="2042" w:type="dxa"/>
            <w:shd w:val="clear" w:color="auto" w:fill="auto"/>
          </w:tcPr>
          <w:p w:rsidR="007E6900" w:rsidRPr="009340ED" w:rsidRDefault="001507DD"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August 2019</w:t>
            </w:r>
          </w:p>
        </w:tc>
        <w:tc>
          <w:tcPr>
            <w:tcW w:w="2208" w:type="dxa"/>
            <w:shd w:val="clear" w:color="auto" w:fill="auto"/>
          </w:tcPr>
          <w:p w:rsidR="007E6900" w:rsidRPr="009340ED" w:rsidRDefault="001507DD" w:rsidP="004C0C28">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September 2019</w:t>
            </w:r>
            <w:r w:rsidR="00A310B9" w:rsidRPr="009340ED">
              <w:rPr>
                <w:rFonts w:asciiTheme="minorHAnsi" w:eastAsia="Times New Roman" w:hAnsiTheme="minorHAnsi"/>
                <w:iCs/>
                <w:szCs w:val="17"/>
                <w:lang w:eastAsia="en-US"/>
              </w:rPr>
              <w:t xml:space="preserve"> </w:t>
            </w:r>
          </w:p>
        </w:tc>
        <w:tc>
          <w:tcPr>
            <w:tcW w:w="2325" w:type="dxa"/>
            <w:shd w:val="clear" w:color="auto" w:fill="auto"/>
          </w:tcPr>
          <w:p w:rsidR="007E6900" w:rsidRPr="009340ED" w:rsidRDefault="001507DD" w:rsidP="001507DD">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 xml:space="preserve">To review progress and effectiveness of the Pacific Women Solomon Islands Country Plan and develop a new Country Plan (2019-2022) </w:t>
            </w:r>
          </w:p>
        </w:tc>
        <w:tc>
          <w:tcPr>
            <w:tcW w:w="2740" w:type="dxa"/>
            <w:shd w:val="clear" w:color="auto" w:fill="auto"/>
          </w:tcPr>
          <w:p w:rsidR="007E6900" w:rsidRPr="009340ED" w:rsidRDefault="001507DD" w:rsidP="001507DD">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 xml:space="preserve">Joint with Pacific Women, DFAT Canberra, DFAT Post and a consultant engaged by Pacific Women. </w:t>
            </w:r>
          </w:p>
        </w:tc>
      </w:tr>
      <w:tr w:rsidR="00DD23EC" w:rsidRPr="00C61187" w:rsidTr="009340ED">
        <w:tc>
          <w:tcPr>
            <w:tcW w:w="2444" w:type="dxa"/>
            <w:shd w:val="clear" w:color="auto" w:fill="auto"/>
          </w:tcPr>
          <w:p w:rsidR="00DD23EC" w:rsidRPr="009340ED" w:rsidRDefault="002D2CDF" w:rsidP="009340E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Independent Assessment </w:t>
            </w:r>
            <w:r w:rsidR="004354C0">
              <w:rPr>
                <w:rFonts w:asciiTheme="minorHAnsi" w:eastAsia="Times New Roman" w:hAnsiTheme="minorHAnsi"/>
                <w:iCs/>
                <w:szCs w:val="17"/>
                <w:lang w:eastAsia="en-US"/>
              </w:rPr>
              <w:t>of</w:t>
            </w:r>
            <w:r>
              <w:rPr>
                <w:rFonts w:asciiTheme="minorHAnsi" w:eastAsia="Times New Roman" w:hAnsiTheme="minorHAnsi"/>
                <w:iCs/>
                <w:szCs w:val="17"/>
                <w:lang w:eastAsia="en-US"/>
              </w:rPr>
              <w:t xml:space="preserve"> </w:t>
            </w:r>
            <w:r w:rsidR="00F92008" w:rsidRPr="00F92008">
              <w:rPr>
                <w:rFonts w:asciiTheme="minorHAnsi" w:eastAsia="Times New Roman" w:hAnsiTheme="minorHAnsi"/>
                <w:iCs/>
                <w:szCs w:val="17"/>
                <w:lang w:eastAsia="en-US"/>
              </w:rPr>
              <w:t>Ministry of Education and Human Resources Development</w:t>
            </w:r>
            <w:r w:rsidR="00F92008">
              <w:rPr>
                <w:rFonts w:asciiTheme="minorHAnsi" w:eastAsia="Times New Roman" w:hAnsiTheme="minorHAnsi"/>
                <w:iCs/>
                <w:szCs w:val="17"/>
                <w:lang w:eastAsia="en-US"/>
              </w:rPr>
              <w:t>’s</w:t>
            </w:r>
            <w:r>
              <w:rPr>
                <w:rFonts w:asciiTheme="minorHAnsi" w:eastAsia="Times New Roman" w:hAnsiTheme="minorHAnsi"/>
                <w:iCs/>
                <w:szCs w:val="17"/>
                <w:lang w:eastAsia="en-US"/>
              </w:rPr>
              <w:t xml:space="preserve"> Performance in 2019</w:t>
            </w:r>
          </w:p>
        </w:tc>
        <w:tc>
          <w:tcPr>
            <w:tcW w:w="2356" w:type="dxa"/>
            <w:shd w:val="clear" w:color="auto" w:fill="auto"/>
          </w:tcPr>
          <w:p w:rsidR="00DD23EC" w:rsidRPr="009340ED" w:rsidRDefault="002D2CDF"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INN112 Education Sector Program 3</w:t>
            </w:r>
          </w:p>
        </w:tc>
        <w:tc>
          <w:tcPr>
            <w:tcW w:w="2042" w:type="dxa"/>
            <w:shd w:val="clear" w:color="auto" w:fill="auto"/>
          </w:tcPr>
          <w:p w:rsidR="00DD23EC" w:rsidRPr="009340ED" w:rsidRDefault="002D2CDF"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June 2020</w:t>
            </w:r>
          </w:p>
        </w:tc>
        <w:tc>
          <w:tcPr>
            <w:tcW w:w="2208" w:type="dxa"/>
            <w:shd w:val="clear" w:color="auto" w:fill="auto"/>
          </w:tcPr>
          <w:p w:rsidR="00DD23EC" w:rsidRPr="009340ED" w:rsidRDefault="002D2CDF"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August 2020</w:t>
            </w:r>
          </w:p>
        </w:tc>
        <w:tc>
          <w:tcPr>
            <w:tcW w:w="2325" w:type="dxa"/>
            <w:shd w:val="clear" w:color="auto" w:fill="auto"/>
          </w:tcPr>
          <w:p w:rsidR="00DD23EC" w:rsidRPr="009340ED" w:rsidRDefault="00C947AB" w:rsidP="005B4D51">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Mid-year review/</w:t>
            </w:r>
            <w:r w:rsidR="002D2CDF" w:rsidRPr="009340ED">
              <w:rPr>
                <w:rFonts w:asciiTheme="minorHAnsi" w:eastAsia="Times New Roman" w:hAnsiTheme="minorHAnsi"/>
                <w:iCs/>
                <w:szCs w:val="17"/>
                <w:lang w:eastAsia="en-US"/>
              </w:rPr>
              <w:t>assess</w:t>
            </w:r>
            <w:r w:rsidRPr="009340ED">
              <w:rPr>
                <w:rFonts w:asciiTheme="minorHAnsi" w:eastAsia="Times New Roman" w:hAnsiTheme="minorHAnsi"/>
                <w:iCs/>
                <w:szCs w:val="17"/>
                <w:lang w:eastAsia="en-US"/>
              </w:rPr>
              <w:t>ment of</w:t>
            </w:r>
            <w:r w:rsidR="002D2CDF" w:rsidRPr="009340ED">
              <w:rPr>
                <w:rFonts w:asciiTheme="minorHAnsi" w:eastAsia="Times New Roman" w:hAnsiTheme="minorHAnsi"/>
                <w:iCs/>
                <w:szCs w:val="17"/>
                <w:lang w:eastAsia="en-US"/>
              </w:rPr>
              <w:t xml:space="preserve"> performance against </w:t>
            </w:r>
            <w:r w:rsidRPr="009340ED">
              <w:rPr>
                <w:rFonts w:asciiTheme="minorHAnsi" w:eastAsia="Times New Roman" w:hAnsiTheme="minorHAnsi"/>
                <w:iCs/>
                <w:szCs w:val="17"/>
                <w:lang w:eastAsia="en-US"/>
              </w:rPr>
              <w:t xml:space="preserve">agreed </w:t>
            </w:r>
            <w:r w:rsidR="002D2CDF" w:rsidRPr="009340ED">
              <w:rPr>
                <w:rFonts w:asciiTheme="minorHAnsi" w:eastAsia="Times New Roman" w:hAnsiTheme="minorHAnsi"/>
                <w:iCs/>
                <w:szCs w:val="17"/>
                <w:lang w:eastAsia="en-US"/>
              </w:rPr>
              <w:t>PLA targets/indicators for 2019.</w:t>
            </w:r>
          </w:p>
        </w:tc>
        <w:tc>
          <w:tcPr>
            <w:tcW w:w="2740" w:type="dxa"/>
            <w:shd w:val="clear" w:color="auto" w:fill="auto"/>
          </w:tcPr>
          <w:p w:rsidR="00DD23EC" w:rsidRPr="009340ED" w:rsidRDefault="00C947AB"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DFAT</w:t>
            </w:r>
            <w:r w:rsidR="00F92008">
              <w:rPr>
                <w:rFonts w:asciiTheme="minorHAnsi" w:eastAsia="Times New Roman" w:hAnsiTheme="minorHAnsi"/>
                <w:iCs/>
                <w:szCs w:val="17"/>
                <w:lang w:eastAsia="en-US"/>
              </w:rPr>
              <w:t>-</w:t>
            </w:r>
            <w:r w:rsidRPr="009340ED">
              <w:rPr>
                <w:rFonts w:asciiTheme="minorHAnsi" w:eastAsia="Times New Roman" w:hAnsiTheme="minorHAnsi"/>
                <w:iCs/>
                <w:szCs w:val="17"/>
                <w:lang w:eastAsia="en-US"/>
              </w:rPr>
              <w:t>Led</w:t>
            </w:r>
          </w:p>
        </w:tc>
      </w:tr>
      <w:tr w:rsidR="00B373AE" w:rsidRPr="00C61187" w:rsidTr="009340ED">
        <w:tc>
          <w:tcPr>
            <w:tcW w:w="2444" w:type="dxa"/>
            <w:shd w:val="clear" w:color="auto" w:fill="auto"/>
          </w:tcPr>
          <w:p w:rsidR="00B373AE" w:rsidRPr="009340ED" w:rsidRDefault="00B373AE" w:rsidP="00DD23EC">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 xml:space="preserve">Mid-Term </w:t>
            </w:r>
            <w:r w:rsidR="00F92008">
              <w:rPr>
                <w:rFonts w:asciiTheme="minorHAnsi" w:eastAsia="Times New Roman" w:hAnsiTheme="minorHAnsi"/>
                <w:iCs/>
                <w:szCs w:val="17"/>
                <w:lang w:eastAsia="en-US"/>
              </w:rPr>
              <w:t>R</w:t>
            </w:r>
            <w:r w:rsidRPr="009340ED">
              <w:rPr>
                <w:rFonts w:asciiTheme="minorHAnsi" w:eastAsia="Times New Roman" w:hAnsiTheme="minorHAnsi"/>
                <w:iCs/>
                <w:szCs w:val="17"/>
                <w:lang w:eastAsia="en-US"/>
              </w:rPr>
              <w:t>eview of the Solomon Islands Governance Program</w:t>
            </w:r>
          </w:p>
        </w:tc>
        <w:tc>
          <w:tcPr>
            <w:tcW w:w="2356" w:type="dxa"/>
            <w:shd w:val="clear" w:color="auto" w:fill="auto"/>
          </w:tcPr>
          <w:p w:rsidR="00B373AE" w:rsidRPr="009340ED" w:rsidRDefault="00B373AE"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INL941 – Solomon Islands Governance Program 2017-2021</w:t>
            </w:r>
          </w:p>
        </w:tc>
        <w:tc>
          <w:tcPr>
            <w:tcW w:w="2042" w:type="dxa"/>
            <w:shd w:val="clear" w:color="auto" w:fill="auto"/>
          </w:tcPr>
          <w:p w:rsidR="00B373AE" w:rsidRPr="009340ED" w:rsidRDefault="00DC2B77" w:rsidP="001E024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w:t>
            </w:r>
            <w:r w:rsidRPr="009340ED">
              <w:rPr>
                <w:rFonts w:asciiTheme="minorHAnsi" w:eastAsia="Times New Roman" w:hAnsiTheme="minorHAnsi"/>
                <w:iCs/>
                <w:szCs w:val="17"/>
                <w:lang w:eastAsia="en-US"/>
              </w:rPr>
              <w:t xml:space="preserve"> </w:t>
            </w:r>
            <w:r w:rsidR="00B373AE" w:rsidRPr="009340ED">
              <w:rPr>
                <w:rFonts w:asciiTheme="minorHAnsi" w:eastAsia="Times New Roman" w:hAnsiTheme="minorHAnsi"/>
                <w:iCs/>
                <w:szCs w:val="17"/>
                <w:lang w:eastAsia="en-US"/>
              </w:rPr>
              <w:t>2019</w:t>
            </w:r>
          </w:p>
        </w:tc>
        <w:tc>
          <w:tcPr>
            <w:tcW w:w="2208" w:type="dxa"/>
            <w:shd w:val="clear" w:color="auto" w:fill="auto"/>
          </w:tcPr>
          <w:p w:rsidR="00B373AE" w:rsidRPr="009340ED" w:rsidRDefault="00B373AE"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January 20</w:t>
            </w:r>
            <w:r w:rsidR="00DC2B77">
              <w:rPr>
                <w:rFonts w:asciiTheme="minorHAnsi" w:eastAsia="Times New Roman" w:hAnsiTheme="minorHAnsi"/>
                <w:iCs/>
                <w:szCs w:val="17"/>
                <w:lang w:eastAsia="en-US"/>
              </w:rPr>
              <w:t>20</w:t>
            </w:r>
          </w:p>
        </w:tc>
        <w:tc>
          <w:tcPr>
            <w:tcW w:w="2325" w:type="dxa"/>
            <w:shd w:val="clear" w:color="auto" w:fill="auto"/>
          </w:tcPr>
          <w:p w:rsidR="00B373AE" w:rsidRPr="009340ED" w:rsidRDefault="00B373AE"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 xml:space="preserve">Mid-Term </w:t>
            </w:r>
            <w:r w:rsidR="00F92008">
              <w:rPr>
                <w:rFonts w:asciiTheme="minorHAnsi" w:eastAsia="Times New Roman" w:hAnsiTheme="minorHAnsi"/>
                <w:iCs/>
                <w:szCs w:val="17"/>
                <w:lang w:eastAsia="en-US"/>
              </w:rPr>
              <w:t>R</w:t>
            </w:r>
            <w:r w:rsidRPr="009340ED">
              <w:rPr>
                <w:rFonts w:asciiTheme="minorHAnsi" w:eastAsia="Times New Roman" w:hAnsiTheme="minorHAnsi"/>
                <w:iCs/>
                <w:szCs w:val="17"/>
                <w:lang w:eastAsia="en-US"/>
              </w:rPr>
              <w:t>eview of the Solomon Islands Governance Program</w:t>
            </w:r>
          </w:p>
        </w:tc>
        <w:tc>
          <w:tcPr>
            <w:tcW w:w="2740" w:type="dxa"/>
            <w:shd w:val="clear" w:color="auto" w:fill="auto"/>
          </w:tcPr>
          <w:p w:rsidR="00B373AE" w:rsidRPr="009340ED" w:rsidRDefault="00B373AE" w:rsidP="001E0245">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DFAT</w:t>
            </w:r>
            <w:r w:rsidR="00F92008">
              <w:rPr>
                <w:rFonts w:asciiTheme="minorHAnsi" w:eastAsia="Times New Roman" w:hAnsiTheme="minorHAnsi"/>
                <w:iCs/>
                <w:szCs w:val="17"/>
                <w:lang w:eastAsia="en-US"/>
              </w:rPr>
              <w:t>-</w:t>
            </w:r>
            <w:r w:rsidRPr="009340ED">
              <w:rPr>
                <w:rFonts w:asciiTheme="minorHAnsi" w:eastAsia="Times New Roman" w:hAnsiTheme="minorHAnsi"/>
                <w:iCs/>
                <w:szCs w:val="17"/>
                <w:lang w:eastAsia="en-US"/>
              </w:rPr>
              <w:t>Led</w:t>
            </w:r>
          </w:p>
        </w:tc>
      </w:tr>
      <w:tr w:rsidR="00B04829" w:rsidRPr="00C61187" w:rsidTr="009340ED">
        <w:tc>
          <w:tcPr>
            <w:tcW w:w="2444" w:type="dxa"/>
            <w:shd w:val="clear" w:color="auto" w:fill="auto"/>
          </w:tcPr>
          <w:p w:rsidR="00B04829" w:rsidRPr="009340ED" w:rsidRDefault="00B04829" w:rsidP="00B04829">
            <w:pPr>
              <w:keepLines/>
              <w:spacing w:before="40" w:after="40"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 xml:space="preserve">Mid-Term </w:t>
            </w:r>
            <w:r w:rsidR="00F92008">
              <w:rPr>
                <w:rFonts w:asciiTheme="minorHAnsi" w:eastAsia="Times New Roman" w:hAnsiTheme="minorHAnsi"/>
                <w:iCs/>
                <w:szCs w:val="17"/>
                <w:lang w:eastAsia="en-US"/>
              </w:rPr>
              <w:t>R</w:t>
            </w:r>
            <w:r w:rsidRPr="009C6252">
              <w:rPr>
                <w:rFonts w:asciiTheme="minorHAnsi" w:eastAsia="Times New Roman" w:hAnsiTheme="minorHAnsi"/>
                <w:iCs/>
                <w:szCs w:val="17"/>
                <w:lang w:eastAsia="en-US"/>
              </w:rPr>
              <w:t>eview of the Solomon Islands Justice Program</w:t>
            </w:r>
          </w:p>
        </w:tc>
        <w:tc>
          <w:tcPr>
            <w:tcW w:w="2356" w:type="dxa"/>
            <w:shd w:val="clear" w:color="auto" w:fill="auto"/>
          </w:tcPr>
          <w:p w:rsidR="00B04829" w:rsidRPr="009340ED" w:rsidRDefault="00B04829" w:rsidP="00B04829">
            <w:pPr>
              <w:keepLines/>
              <w:spacing w:before="40" w:after="40"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INL942 – Solomon Islands Justice Program (2017-2021)</w:t>
            </w:r>
          </w:p>
        </w:tc>
        <w:tc>
          <w:tcPr>
            <w:tcW w:w="2042" w:type="dxa"/>
            <w:shd w:val="clear" w:color="auto" w:fill="auto"/>
          </w:tcPr>
          <w:p w:rsidR="00B04829" w:rsidRPr="009340ED" w:rsidRDefault="00DC2B77" w:rsidP="00B0482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w:t>
            </w:r>
            <w:r w:rsidRPr="009340ED">
              <w:rPr>
                <w:rFonts w:asciiTheme="minorHAnsi" w:eastAsia="Times New Roman" w:hAnsiTheme="minorHAnsi"/>
                <w:iCs/>
                <w:szCs w:val="17"/>
                <w:lang w:eastAsia="en-US"/>
              </w:rPr>
              <w:t xml:space="preserve"> </w:t>
            </w:r>
            <w:r w:rsidR="00B04829" w:rsidRPr="009340ED">
              <w:rPr>
                <w:rFonts w:asciiTheme="minorHAnsi" w:eastAsia="Times New Roman" w:hAnsiTheme="minorHAnsi"/>
                <w:iCs/>
                <w:szCs w:val="17"/>
                <w:lang w:eastAsia="en-US"/>
              </w:rPr>
              <w:t>2019</w:t>
            </w:r>
          </w:p>
        </w:tc>
        <w:tc>
          <w:tcPr>
            <w:tcW w:w="2208" w:type="dxa"/>
            <w:shd w:val="clear" w:color="auto" w:fill="auto"/>
          </w:tcPr>
          <w:p w:rsidR="00B04829" w:rsidRPr="009340ED" w:rsidRDefault="00B04829" w:rsidP="009340ED">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January 20</w:t>
            </w:r>
            <w:r w:rsidR="00DC2B77">
              <w:rPr>
                <w:rFonts w:asciiTheme="minorHAnsi" w:eastAsia="Times New Roman" w:hAnsiTheme="minorHAnsi"/>
                <w:iCs/>
                <w:szCs w:val="17"/>
                <w:lang w:eastAsia="en-US"/>
              </w:rPr>
              <w:t>20</w:t>
            </w:r>
          </w:p>
        </w:tc>
        <w:tc>
          <w:tcPr>
            <w:tcW w:w="2325" w:type="dxa"/>
            <w:shd w:val="clear" w:color="auto" w:fill="auto"/>
          </w:tcPr>
          <w:p w:rsidR="00B04829" w:rsidRPr="009340ED" w:rsidRDefault="00B04829" w:rsidP="00B04829">
            <w:pPr>
              <w:keepLines/>
              <w:spacing w:before="40" w:after="40" w:line="200" w:lineRule="atLeast"/>
              <w:rPr>
                <w:rFonts w:asciiTheme="minorHAnsi" w:eastAsia="Times New Roman" w:hAnsiTheme="minorHAnsi"/>
                <w:iCs/>
                <w:szCs w:val="17"/>
                <w:lang w:eastAsia="en-US"/>
              </w:rPr>
            </w:pPr>
            <w:r w:rsidRPr="009C6252">
              <w:rPr>
                <w:rFonts w:asciiTheme="minorHAnsi" w:eastAsia="Times New Roman" w:hAnsiTheme="minorHAnsi"/>
                <w:iCs/>
                <w:szCs w:val="17"/>
                <w:lang w:eastAsia="en-US"/>
              </w:rPr>
              <w:t xml:space="preserve">Mid-Term </w:t>
            </w:r>
            <w:r w:rsidR="00F92008">
              <w:rPr>
                <w:rFonts w:asciiTheme="minorHAnsi" w:eastAsia="Times New Roman" w:hAnsiTheme="minorHAnsi"/>
                <w:iCs/>
                <w:szCs w:val="17"/>
                <w:lang w:eastAsia="en-US"/>
              </w:rPr>
              <w:t>R</w:t>
            </w:r>
            <w:r w:rsidRPr="009C6252">
              <w:rPr>
                <w:rFonts w:asciiTheme="minorHAnsi" w:eastAsia="Times New Roman" w:hAnsiTheme="minorHAnsi"/>
                <w:iCs/>
                <w:szCs w:val="17"/>
                <w:lang w:eastAsia="en-US"/>
              </w:rPr>
              <w:t>eview of the Solomon Islands Justice Program</w:t>
            </w:r>
          </w:p>
        </w:tc>
        <w:tc>
          <w:tcPr>
            <w:tcW w:w="2740" w:type="dxa"/>
            <w:shd w:val="clear" w:color="auto" w:fill="auto"/>
          </w:tcPr>
          <w:p w:rsidR="00B04829" w:rsidRPr="009340ED" w:rsidRDefault="00B04829" w:rsidP="00B04829">
            <w:pPr>
              <w:keepLines/>
              <w:spacing w:before="40" w:after="40" w:line="200" w:lineRule="atLeast"/>
              <w:rPr>
                <w:rFonts w:asciiTheme="minorHAnsi" w:eastAsia="Times New Roman" w:hAnsiTheme="minorHAnsi"/>
                <w:iCs/>
                <w:szCs w:val="17"/>
                <w:lang w:eastAsia="en-US"/>
              </w:rPr>
            </w:pPr>
            <w:r w:rsidRPr="009340ED">
              <w:rPr>
                <w:rFonts w:asciiTheme="minorHAnsi" w:eastAsia="Times New Roman" w:hAnsiTheme="minorHAnsi"/>
                <w:iCs/>
                <w:szCs w:val="17"/>
                <w:lang w:eastAsia="en-US"/>
              </w:rPr>
              <w:t>DFAT</w:t>
            </w:r>
            <w:r w:rsidR="00F92008">
              <w:rPr>
                <w:rFonts w:asciiTheme="minorHAnsi" w:eastAsia="Times New Roman" w:hAnsiTheme="minorHAnsi"/>
                <w:iCs/>
                <w:szCs w:val="17"/>
                <w:lang w:eastAsia="en-US"/>
              </w:rPr>
              <w:t>-</w:t>
            </w:r>
            <w:r w:rsidRPr="009340ED">
              <w:rPr>
                <w:rFonts w:asciiTheme="minorHAnsi" w:eastAsia="Times New Roman" w:hAnsiTheme="minorHAnsi"/>
                <w:iCs/>
                <w:szCs w:val="17"/>
                <w:lang w:eastAsia="en-US"/>
              </w:rPr>
              <w:t>Led</w:t>
            </w:r>
          </w:p>
        </w:tc>
      </w:tr>
      <w:tr w:rsidR="00B04829" w:rsidRPr="00C61187" w:rsidTr="001E0245">
        <w:tc>
          <w:tcPr>
            <w:tcW w:w="2444" w:type="dxa"/>
          </w:tcPr>
          <w:p w:rsidR="00B04829" w:rsidRPr="00085E5F" w:rsidRDefault="00B04829" w:rsidP="00B04829">
            <w:pPr>
              <w:keepLines/>
              <w:spacing w:before="40" w:after="40" w:line="200" w:lineRule="atLeast"/>
              <w:rPr>
                <w:rFonts w:asciiTheme="minorHAnsi" w:eastAsia="Times New Roman" w:hAnsiTheme="minorHAnsi"/>
                <w:iCs/>
                <w:color w:val="FF0000"/>
                <w:szCs w:val="17"/>
                <w:lang w:eastAsia="en-US"/>
              </w:rPr>
            </w:pPr>
          </w:p>
        </w:tc>
        <w:tc>
          <w:tcPr>
            <w:tcW w:w="2356" w:type="dxa"/>
          </w:tcPr>
          <w:p w:rsidR="00B04829" w:rsidRPr="00085E5F" w:rsidRDefault="00B04829" w:rsidP="00B04829">
            <w:pPr>
              <w:keepLines/>
              <w:spacing w:before="40" w:after="40" w:line="200" w:lineRule="atLeast"/>
              <w:rPr>
                <w:rFonts w:asciiTheme="minorHAnsi" w:eastAsia="Times New Roman" w:hAnsiTheme="minorHAnsi"/>
                <w:iCs/>
                <w:color w:val="FF0000"/>
                <w:szCs w:val="17"/>
                <w:lang w:eastAsia="en-US"/>
              </w:rPr>
            </w:pPr>
          </w:p>
        </w:tc>
        <w:tc>
          <w:tcPr>
            <w:tcW w:w="2042" w:type="dxa"/>
          </w:tcPr>
          <w:p w:rsidR="00B04829" w:rsidRPr="00085E5F" w:rsidRDefault="00B04829" w:rsidP="00B04829">
            <w:pPr>
              <w:keepLines/>
              <w:spacing w:before="40" w:after="40" w:line="200" w:lineRule="atLeast"/>
              <w:rPr>
                <w:rFonts w:asciiTheme="minorHAnsi" w:eastAsia="Times New Roman" w:hAnsiTheme="minorHAnsi"/>
                <w:iCs/>
                <w:color w:val="FF0000"/>
                <w:szCs w:val="17"/>
                <w:lang w:eastAsia="en-US"/>
              </w:rPr>
            </w:pPr>
          </w:p>
        </w:tc>
        <w:tc>
          <w:tcPr>
            <w:tcW w:w="2208" w:type="dxa"/>
          </w:tcPr>
          <w:p w:rsidR="00B04829" w:rsidRPr="00085E5F" w:rsidRDefault="00B04829" w:rsidP="00B04829">
            <w:pPr>
              <w:keepLines/>
              <w:spacing w:before="40" w:after="40" w:line="200" w:lineRule="atLeast"/>
              <w:rPr>
                <w:rFonts w:asciiTheme="minorHAnsi" w:eastAsia="Times New Roman" w:hAnsiTheme="minorHAnsi"/>
                <w:iCs/>
                <w:color w:val="FF0000"/>
                <w:szCs w:val="17"/>
                <w:lang w:eastAsia="en-US"/>
              </w:rPr>
            </w:pPr>
          </w:p>
        </w:tc>
        <w:tc>
          <w:tcPr>
            <w:tcW w:w="2325" w:type="dxa"/>
          </w:tcPr>
          <w:p w:rsidR="00B04829" w:rsidRPr="00085E5F" w:rsidRDefault="00B04829" w:rsidP="00B04829">
            <w:pPr>
              <w:keepLines/>
              <w:spacing w:before="40" w:after="40" w:line="200" w:lineRule="atLeast"/>
              <w:rPr>
                <w:rFonts w:asciiTheme="minorHAnsi" w:eastAsia="Times New Roman" w:hAnsiTheme="minorHAnsi"/>
                <w:iCs/>
                <w:color w:val="FF0000"/>
                <w:szCs w:val="17"/>
                <w:lang w:eastAsia="en-US"/>
              </w:rPr>
            </w:pPr>
          </w:p>
        </w:tc>
        <w:tc>
          <w:tcPr>
            <w:tcW w:w="2740" w:type="dxa"/>
          </w:tcPr>
          <w:p w:rsidR="00B04829" w:rsidRPr="00085E5F" w:rsidRDefault="00B04829" w:rsidP="00B04829">
            <w:pPr>
              <w:keepLines/>
              <w:spacing w:before="40" w:after="40" w:line="200" w:lineRule="atLeast"/>
              <w:rPr>
                <w:rFonts w:asciiTheme="minorHAnsi" w:eastAsia="Times New Roman" w:hAnsiTheme="minorHAnsi"/>
                <w:iCs/>
                <w:color w:val="FF0000"/>
                <w:szCs w:val="17"/>
                <w:lang w:eastAsia="en-US"/>
              </w:rPr>
            </w:pPr>
          </w:p>
        </w:tc>
      </w:tr>
    </w:tbl>
    <w:p w:rsidR="008E08A0" w:rsidRDefault="00400B0F" w:rsidP="008E08A0">
      <w:pPr>
        <w:keepNext/>
        <w:tabs>
          <w:tab w:val="left" w:pos="1560"/>
        </w:tabs>
        <w:spacing w:before="360" w:after="120" w:line="300" w:lineRule="exact"/>
        <w:outlineLvl w:val="1"/>
        <w:rPr>
          <w:rFonts w:asciiTheme="majorHAnsi" w:eastAsiaTheme="majorEastAsia" w:hAnsiTheme="majorHAnsi" w:cstheme="majorHAnsi"/>
          <w:bCs/>
          <w:iCs/>
          <w:caps/>
          <w:color w:val="FF0000"/>
          <w:spacing w:val="-10"/>
          <w:kern w:val="28"/>
          <w:sz w:val="38"/>
          <w:szCs w:val="24"/>
        </w:rPr>
      </w:pPr>
      <w:r w:rsidRPr="00901B73">
        <w:rPr>
          <w:rFonts w:asciiTheme="majorHAnsi" w:eastAsiaTheme="majorEastAsia" w:hAnsiTheme="majorHAnsi" w:cstheme="majorHAnsi"/>
          <w:bCs/>
          <w:iCs/>
          <w:caps/>
          <w:spacing w:val="-10"/>
          <w:kern w:val="28"/>
          <w:sz w:val="38"/>
          <w:szCs w:val="24"/>
        </w:rPr>
        <w:lastRenderedPageBreak/>
        <w:t>Annex D - Aid Quality Check ratings</w:t>
      </w:r>
    </w:p>
    <w:tbl>
      <w:tblPr>
        <w:tblStyle w:val="APPR"/>
        <w:tblW w:w="4792" w:type="pct"/>
        <w:tblLook w:val="0000" w:firstRow="0" w:lastRow="0" w:firstColumn="0" w:lastColumn="0" w:noHBand="0" w:noVBand="0"/>
      </w:tblPr>
      <w:tblGrid>
        <w:gridCol w:w="5662"/>
        <w:gridCol w:w="1580"/>
        <w:gridCol w:w="1164"/>
        <w:gridCol w:w="890"/>
        <w:gridCol w:w="890"/>
        <w:gridCol w:w="890"/>
        <w:gridCol w:w="890"/>
        <w:gridCol w:w="1003"/>
        <w:gridCol w:w="889"/>
      </w:tblGrid>
      <w:tr w:rsidR="00BD01E4" w:rsidRPr="00812509" w:rsidTr="00F55BB3">
        <w:trPr>
          <w:cnfStyle w:val="000000010000" w:firstRow="0" w:lastRow="0" w:firstColumn="0" w:lastColumn="0" w:oddVBand="0" w:evenVBand="0" w:oddHBand="0" w:evenHBand="1" w:firstRowFirstColumn="0" w:firstRowLastColumn="0" w:lastRowFirstColumn="0" w:lastRowLastColumn="0"/>
          <w:trHeight w:val="1080"/>
        </w:trPr>
        <w:tc>
          <w:tcPr>
            <w:tcW w:w="2028" w:type="pct"/>
            <w:tcBorders>
              <w:left w:val="none" w:sz="0" w:space="0" w:color="auto"/>
              <w:right w:val="none" w:sz="0" w:space="0" w:color="auto"/>
              <w:tl2br w:val="none" w:sz="0" w:space="0" w:color="auto"/>
              <w:tr2bl w:val="none" w:sz="0" w:space="0" w:color="auto"/>
            </w:tcBorders>
          </w:tcPr>
          <w:p w:rsidR="00BD01E4" w:rsidRPr="00812509" w:rsidRDefault="00BD01E4" w:rsidP="002F2DC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716608" behindDoc="0" locked="0" layoutInCell="1" allowOverlap="1" wp14:anchorId="15954C1C" wp14:editId="1B959BBA">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60" w:type="pct"/>
            <w:tcBorders>
              <w:left w:val="none" w:sz="0" w:space="0" w:color="auto"/>
              <w:right w:val="none" w:sz="0" w:space="0" w:color="auto"/>
              <w:tl2br w:val="none" w:sz="0" w:space="0" w:color="auto"/>
              <w:tr2bl w:val="none" w:sz="0" w:space="0" w:color="auto"/>
            </w:tcBorders>
          </w:tcPr>
          <w:p w:rsidR="00BD01E4" w:rsidRPr="00812509" w:rsidRDefault="00BD01E4" w:rsidP="00BD01E4">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0" w:type="pct"/>
            <w:tcBorders>
              <w:left w:val="none" w:sz="0" w:space="0" w:color="auto"/>
              <w:right w:val="none" w:sz="0" w:space="0" w:color="auto"/>
              <w:tl2br w:val="none" w:sz="0" w:space="0" w:color="auto"/>
              <w:tr2bl w:val="none" w:sz="0" w:space="0" w:color="auto"/>
            </w:tcBorders>
          </w:tcPr>
          <w:p w:rsidR="00BD01E4" w:rsidRPr="00812509" w:rsidRDefault="00BD01E4" w:rsidP="00BD01E4">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1" w:type="pct"/>
            <w:tcBorders>
              <w:left w:val="none" w:sz="0" w:space="0" w:color="auto"/>
              <w:right w:val="none" w:sz="0" w:space="0" w:color="auto"/>
              <w:tl2br w:val="none" w:sz="0" w:space="0" w:color="auto"/>
              <w:tr2bl w:val="none" w:sz="0" w:space="0" w:color="auto"/>
            </w:tcBorders>
            <w:textDirection w:val="btLr"/>
          </w:tcPr>
          <w:p w:rsidR="00BD01E4" w:rsidRPr="00CB7A28" w:rsidRDefault="00BD01E4" w:rsidP="00BD01E4">
            <w:pPr>
              <w:keepLines/>
              <w:spacing w:before="80" w:after="80" w:line="200" w:lineRule="atLeast"/>
              <w:rPr>
                <w:rFonts w:eastAsia="Times New Roman"/>
                <w:b/>
                <w:iCs/>
                <w:sz w:val="16"/>
                <w:szCs w:val="16"/>
              </w:rPr>
            </w:pPr>
            <w:r w:rsidRPr="00CB7A28">
              <w:rPr>
                <w:rFonts w:asciiTheme="minorHAnsi" w:eastAsia="Times New Roman" w:hAnsiTheme="minorHAnsi"/>
                <w:b/>
                <w:iCs/>
                <w:sz w:val="16"/>
                <w:szCs w:val="16"/>
                <w:lang w:eastAsia="en-US"/>
              </w:rPr>
              <w:t>Effectiveness</w:t>
            </w:r>
          </w:p>
        </w:tc>
        <w:tc>
          <w:tcPr>
            <w:tcW w:w="311" w:type="pct"/>
            <w:tcBorders>
              <w:left w:val="none" w:sz="0" w:space="0" w:color="auto"/>
              <w:right w:val="none" w:sz="0" w:space="0" w:color="auto"/>
              <w:tl2br w:val="none" w:sz="0" w:space="0" w:color="auto"/>
              <w:tr2bl w:val="none" w:sz="0" w:space="0" w:color="auto"/>
            </w:tcBorders>
            <w:textDirection w:val="btLr"/>
          </w:tcPr>
          <w:p w:rsidR="00BD01E4" w:rsidRPr="00CB7A28" w:rsidRDefault="00BD01E4" w:rsidP="00BD01E4">
            <w:pPr>
              <w:keepLines/>
              <w:spacing w:before="80" w:after="80" w:line="200" w:lineRule="atLeast"/>
              <w:rPr>
                <w:rFonts w:eastAsia="Times New Roman"/>
                <w:b/>
                <w:iCs/>
                <w:sz w:val="16"/>
                <w:szCs w:val="16"/>
              </w:rPr>
            </w:pPr>
            <w:r w:rsidRPr="00CB7A28">
              <w:rPr>
                <w:rFonts w:asciiTheme="minorHAnsi" w:eastAsia="Times New Roman" w:hAnsiTheme="minorHAnsi"/>
                <w:b/>
                <w:iCs/>
                <w:sz w:val="16"/>
                <w:szCs w:val="16"/>
                <w:lang w:eastAsia="en-US"/>
              </w:rPr>
              <w:t>Efficiency</w:t>
            </w:r>
          </w:p>
        </w:tc>
        <w:tc>
          <w:tcPr>
            <w:tcW w:w="311" w:type="pct"/>
            <w:tcBorders>
              <w:left w:val="none" w:sz="0" w:space="0" w:color="auto"/>
              <w:right w:val="none" w:sz="0" w:space="0" w:color="auto"/>
              <w:tl2br w:val="none" w:sz="0" w:space="0" w:color="auto"/>
              <w:tr2bl w:val="none" w:sz="0" w:space="0" w:color="auto"/>
            </w:tcBorders>
            <w:textDirection w:val="btLr"/>
          </w:tcPr>
          <w:p w:rsidR="00BD01E4" w:rsidRPr="00CB7A28" w:rsidRDefault="00BD01E4" w:rsidP="00BD01E4">
            <w:pPr>
              <w:keepLines/>
              <w:spacing w:before="80" w:after="80" w:line="200" w:lineRule="atLeast"/>
              <w:rPr>
                <w:rFonts w:eastAsia="Times New Roman"/>
                <w:b/>
                <w:iCs/>
                <w:sz w:val="16"/>
                <w:szCs w:val="16"/>
              </w:rPr>
            </w:pPr>
            <w:r w:rsidRPr="00CB7A28">
              <w:rPr>
                <w:rFonts w:asciiTheme="minorHAnsi" w:eastAsia="Times New Roman" w:hAnsiTheme="minorHAnsi"/>
                <w:b/>
                <w:iCs/>
                <w:sz w:val="16"/>
                <w:szCs w:val="16"/>
                <w:lang w:eastAsia="en-US"/>
              </w:rPr>
              <w:t>Gender equality</w:t>
            </w:r>
          </w:p>
        </w:tc>
        <w:tc>
          <w:tcPr>
            <w:tcW w:w="311" w:type="pct"/>
            <w:tcBorders>
              <w:left w:val="none" w:sz="0" w:space="0" w:color="auto"/>
              <w:right w:val="none" w:sz="0" w:space="0" w:color="auto"/>
              <w:tl2br w:val="none" w:sz="0" w:space="0" w:color="auto"/>
              <w:tr2bl w:val="none" w:sz="0" w:space="0" w:color="auto"/>
            </w:tcBorders>
            <w:textDirection w:val="btLr"/>
          </w:tcPr>
          <w:p w:rsidR="00BD01E4" w:rsidRPr="00CB7A28" w:rsidRDefault="00BD01E4" w:rsidP="00BD01E4">
            <w:pPr>
              <w:keepLines/>
              <w:spacing w:before="80" w:after="80" w:line="200" w:lineRule="atLeast"/>
              <w:rPr>
                <w:rFonts w:asciiTheme="minorHAnsi" w:eastAsia="Times New Roman" w:hAnsiTheme="minorHAnsi"/>
                <w:b/>
                <w:iCs/>
                <w:sz w:val="16"/>
                <w:szCs w:val="16"/>
                <w:lang w:eastAsia="en-US"/>
              </w:rPr>
            </w:pPr>
            <w:r w:rsidRPr="00CB7A28">
              <w:rPr>
                <w:rFonts w:asciiTheme="minorHAnsi" w:eastAsia="Times New Roman" w:hAnsiTheme="minorHAnsi"/>
                <w:b/>
                <w:iCs/>
                <w:sz w:val="16"/>
                <w:szCs w:val="16"/>
                <w:lang w:eastAsia="en-US"/>
              </w:rPr>
              <w:t>Relevance</w:t>
            </w:r>
          </w:p>
        </w:tc>
        <w:tc>
          <w:tcPr>
            <w:tcW w:w="352" w:type="pct"/>
            <w:tcBorders>
              <w:left w:val="none" w:sz="0" w:space="0" w:color="auto"/>
              <w:right w:val="none" w:sz="0" w:space="0" w:color="auto"/>
              <w:tl2br w:val="none" w:sz="0" w:space="0" w:color="auto"/>
              <w:tr2bl w:val="none" w:sz="0" w:space="0" w:color="auto"/>
            </w:tcBorders>
            <w:textDirection w:val="btLr"/>
          </w:tcPr>
          <w:p w:rsidR="00BD01E4" w:rsidRPr="00CB7A28" w:rsidRDefault="00BD01E4" w:rsidP="00CB7A28">
            <w:pPr>
              <w:keepLines/>
              <w:spacing w:before="80" w:after="80" w:line="200" w:lineRule="atLeast"/>
              <w:rPr>
                <w:rFonts w:asciiTheme="minorHAnsi" w:eastAsia="Times New Roman" w:hAnsiTheme="minorHAnsi"/>
                <w:b/>
                <w:iCs/>
                <w:sz w:val="16"/>
                <w:szCs w:val="16"/>
                <w:lang w:eastAsia="en-US"/>
              </w:rPr>
            </w:pPr>
            <w:r w:rsidRPr="00CB7A28">
              <w:rPr>
                <w:rFonts w:asciiTheme="minorHAnsi" w:eastAsia="Times New Roman" w:hAnsiTheme="minorHAnsi"/>
                <w:b/>
                <w:iCs/>
                <w:sz w:val="16"/>
                <w:szCs w:val="16"/>
                <w:lang w:eastAsia="en-US"/>
              </w:rPr>
              <w:t xml:space="preserve">Monitoring and </w:t>
            </w:r>
            <w:r w:rsidR="00CB7A28" w:rsidRPr="00CB7A28">
              <w:rPr>
                <w:rFonts w:asciiTheme="minorHAnsi" w:eastAsia="Times New Roman" w:hAnsiTheme="minorHAnsi"/>
                <w:b/>
                <w:iCs/>
                <w:sz w:val="16"/>
                <w:szCs w:val="16"/>
                <w:lang w:eastAsia="en-US"/>
              </w:rPr>
              <w:t>E</w:t>
            </w:r>
            <w:r w:rsidRPr="00CB7A28">
              <w:rPr>
                <w:rFonts w:asciiTheme="minorHAnsi" w:eastAsia="Times New Roman" w:hAnsiTheme="minorHAnsi"/>
                <w:b/>
                <w:iCs/>
                <w:sz w:val="16"/>
                <w:szCs w:val="16"/>
                <w:lang w:eastAsia="en-US"/>
              </w:rPr>
              <w:t>valuation</w:t>
            </w:r>
          </w:p>
        </w:tc>
        <w:tc>
          <w:tcPr>
            <w:tcW w:w="306" w:type="pct"/>
            <w:tcBorders>
              <w:left w:val="none" w:sz="0" w:space="0" w:color="auto"/>
              <w:right w:val="none" w:sz="0" w:space="0" w:color="auto"/>
              <w:tl2br w:val="none" w:sz="0" w:space="0" w:color="auto"/>
              <w:tr2bl w:val="none" w:sz="0" w:space="0" w:color="auto"/>
            </w:tcBorders>
            <w:textDirection w:val="btLr"/>
          </w:tcPr>
          <w:p w:rsidR="00BD01E4" w:rsidRPr="00CB7A28" w:rsidRDefault="00BD01E4" w:rsidP="00BD01E4">
            <w:pPr>
              <w:keepLines/>
              <w:spacing w:before="80" w:after="80" w:line="200" w:lineRule="atLeast"/>
              <w:rPr>
                <w:rFonts w:asciiTheme="minorHAnsi" w:eastAsia="Times New Roman" w:hAnsiTheme="minorHAnsi"/>
                <w:b/>
                <w:iCs/>
                <w:sz w:val="16"/>
                <w:szCs w:val="16"/>
                <w:lang w:eastAsia="en-US"/>
              </w:rPr>
            </w:pPr>
            <w:r w:rsidRPr="00CB7A28">
              <w:rPr>
                <w:rFonts w:asciiTheme="minorHAnsi" w:eastAsia="Times New Roman" w:hAnsiTheme="minorHAnsi"/>
                <w:b/>
                <w:iCs/>
                <w:sz w:val="16"/>
                <w:szCs w:val="16"/>
                <w:lang w:eastAsia="en-US"/>
              </w:rPr>
              <w:t>Sustainability</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BD01E4" w:rsidRPr="0078317D" w:rsidRDefault="00BD01E4" w:rsidP="00BD01E4">
            <w:pPr>
              <w:keepLines/>
              <w:spacing w:before="40" w:after="40" w:line="200" w:lineRule="atLeast"/>
              <w:rPr>
                <w:rFonts w:asciiTheme="minorHAnsi" w:eastAsia="Times New Roman" w:hAnsiTheme="minorHAnsi" w:cstheme="minorHAnsi"/>
                <w:b/>
                <w:iCs/>
                <w:szCs w:val="17"/>
                <w:lang w:eastAsia="en-US"/>
              </w:rPr>
            </w:pPr>
            <w:r w:rsidRPr="0078317D">
              <w:rPr>
                <w:rFonts w:asciiTheme="minorHAnsi" w:eastAsia="Times New Roman" w:hAnsiTheme="minorHAnsi" w:cstheme="minorHAnsi"/>
                <w:b/>
                <w:iCs/>
                <w:szCs w:val="17"/>
                <w:lang w:eastAsia="en-US"/>
              </w:rPr>
              <w:t>Rural Development Program</w:t>
            </w:r>
          </w:p>
        </w:tc>
        <w:tc>
          <w:tcPr>
            <w:tcW w:w="560" w:type="pct"/>
          </w:tcPr>
          <w:p w:rsidR="00BD01E4" w:rsidRPr="00CB7A28" w:rsidRDefault="00CB7A28" w:rsidP="00CB7A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$32,157,341</w:t>
            </w:r>
          </w:p>
        </w:tc>
        <w:tc>
          <w:tcPr>
            <w:tcW w:w="410" w:type="pct"/>
          </w:tcPr>
          <w:p w:rsidR="00BD01E4" w:rsidRPr="00812509" w:rsidRDefault="00BD01E4" w:rsidP="00BD01E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4</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4</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4</w:t>
            </w:r>
          </w:p>
        </w:tc>
        <w:tc>
          <w:tcPr>
            <w:tcW w:w="311" w:type="pct"/>
            <w:shd w:val="clear" w:color="auto" w:fill="FFFFFF" w:themeFill="background1"/>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w:t>
            </w:r>
          </w:p>
        </w:tc>
        <w:tc>
          <w:tcPr>
            <w:tcW w:w="352" w:type="pct"/>
            <w:shd w:val="clear" w:color="auto" w:fill="FFFFFF" w:themeFill="background1"/>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w:t>
            </w:r>
          </w:p>
        </w:tc>
        <w:tc>
          <w:tcPr>
            <w:tcW w:w="306" w:type="pct"/>
            <w:shd w:val="clear" w:color="auto" w:fill="FFFFFF" w:themeFill="background1"/>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BD01E4" w:rsidRPr="008553FE" w:rsidRDefault="00BD01E4" w:rsidP="00BD01E4">
            <w:pPr>
              <w:keepLines/>
              <w:spacing w:before="40" w:after="40" w:line="200" w:lineRule="atLeast"/>
              <w:rPr>
                <w:rFonts w:asciiTheme="minorHAnsi" w:eastAsia="Times New Roman" w:hAnsiTheme="minorHAnsi" w:cstheme="minorHAnsi"/>
                <w:iCs/>
                <w:szCs w:val="17"/>
                <w:lang w:eastAsia="en-US"/>
              </w:rPr>
            </w:pPr>
          </w:p>
        </w:tc>
        <w:tc>
          <w:tcPr>
            <w:tcW w:w="560" w:type="pct"/>
          </w:tcPr>
          <w:p w:rsidR="00BD01E4" w:rsidRPr="00812509" w:rsidRDefault="00CB7A28" w:rsidP="00BD01E4">
            <w:pPr>
              <w:keepLines/>
              <w:spacing w:before="40" w:after="40" w:line="200" w:lineRule="atLeast"/>
              <w:rPr>
                <w:rFonts w:asciiTheme="minorHAnsi" w:eastAsia="Times New Roman" w:hAnsiTheme="minorHAnsi"/>
                <w:iCs/>
                <w:szCs w:val="17"/>
                <w:lang w:eastAsia="en-US"/>
              </w:rPr>
            </w:pPr>
            <w:r w:rsidRPr="00433FBF">
              <w:rPr>
                <w:rFonts w:asciiTheme="minorHAnsi" w:eastAsia="Times New Roman" w:hAnsiTheme="minorHAnsi" w:cstheme="minorHAnsi"/>
                <w:iCs/>
                <w:szCs w:val="17"/>
              </w:rPr>
              <w:t>2007-2021</w:t>
            </w:r>
          </w:p>
        </w:tc>
        <w:tc>
          <w:tcPr>
            <w:tcW w:w="410" w:type="pct"/>
          </w:tcPr>
          <w:p w:rsidR="00BD01E4" w:rsidRPr="00812509" w:rsidRDefault="00BD01E4" w:rsidP="00BD01E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4</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4</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4</w:t>
            </w:r>
          </w:p>
        </w:tc>
        <w:tc>
          <w:tcPr>
            <w:tcW w:w="311" w:type="pct"/>
            <w:shd w:val="clear" w:color="auto" w:fill="92D050"/>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sidRPr="0078317D">
              <w:rPr>
                <w:rFonts w:asciiTheme="minorHAnsi" w:eastAsia="Times New Roman" w:hAnsiTheme="minorHAnsi" w:cstheme="minorHAnsi"/>
                <w:iCs/>
                <w:szCs w:val="17"/>
                <w:lang w:eastAsia="en-US"/>
              </w:rPr>
              <w:t>5</w:t>
            </w:r>
          </w:p>
        </w:tc>
        <w:tc>
          <w:tcPr>
            <w:tcW w:w="352" w:type="pct"/>
            <w:shd w:val="clear" w:color="auto" w:fill="FFFF00"/>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sidRPr="0078317D">
              <w:rPr>
                <w:rFonts w:asciiTheme="minorHAnsi" w:eastAsia="Times New Roman" w:hAnsiTheme="minorHAnsi" w:cstheme="minorHAnsi"/>
                <w:iCs/>
                <w:szCs w:val="17"/>
                <w:lang w:eastAsia="en-US"/>
              </w:rPr>
              <w:t>4</w:t>
            </w:r>
          </w:p>
        </w:tc>
        <w:tc>
          <w:tcPr>
            <w:tcW w:w="306" w:type="pct"/>
            <w:shd w:val="clear" w:color="auto" w:fill="FFFF00"/>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sidRPr="0078317D">
              <w:rPr>
                <w:rFonts w:asciiTheme="minorHAnsi" w:eastAsia="Times New Roman" w:hAnsiTheme="minorHAnsi" w:cstheme="minorHAnsi"/>
                <w:iCs/>
                <w:szCs w:val="17"/>
                <w:lang w:eastAsia="en-US"/>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BD01E4" w:rsidRPr="008553FE" w:rsidRDefault="00BD01E4" w:rsidP="00CB7A28">
            <w:pPr>
              <w:keepLines/>
              <w:spacing w:before="40" w:after="40" w:line="200" w:lineRule="atLeast"/>
              <w:rPr>
                <w:rFonts w:asciiTheme="minorHAnsi" w:eastAsia="Times New Roman" w:hAnsiTheme="minorHAnsi" w:cstheme="minorHAnsi"/>
                <w:iCs/>
                <w:szCs w:val="17"/>
                <w:lang w:eastAsia="en-US"/>
              </w:rPr>
            </w:pPr>
            <w:r w:rsidRPr="002A0E14">
              <w:rPr>
                <w:rFonts w:asciiTheme="minorHAnsi" w:eastAsia="Times New Roman" w:hAnsiTheme="minorHAnsi" w:cstheme="minorHAnsi"/>
                <w:b/>
                <w:iCs/>
                <w:szCs w:val="17"/>
                <w:lang w:eastAsia="en-US"/>
              </w:rPr>
              <w:t>Addressing Gender Equality</w:t>
            </w:r>
            <w:r w:rsidR="00CB7A28">
              <w:rPr>
                <w:rFonts w:asciiTheme="minorHAnsi" w:eastAsia="Times New Roman" w:hAnsiTheme="minorHAnsi" w:cstheme="minorHAnsi"/>
                <w:b/>
                <w:iCs/>
                <w:szCs w:val="17"/>
                <w:lang w:eastAsia="en-US"/>
              </w:rPr>
              <w:t xml:space="preserve"> </w:t>
            </w:r>
            <w:r w:rsidRPr="002A0E14">
              <w:rPr>
                <w:rFonts w:asciiTheme="minorHAnsi" w:eastAsia="Times New Roman" w:hAnsiTheme="minorHAnsi" w:cstheme="minorHAnsi"/>
                <w:b/>
                <w:iCs/>
                <w:szCs w:val="17"/>
                <w:lang w:eastAsia="en-US"/>
              </w:rPr>
              <w:t>In Solomon Islands</w:t>
            </w:r>
          </w:p>
        </w:tc>
        <w:tc>
          <w:tcPr>
            <w:tcW w:w="560" w:type="pct"/>
          </w:tcPr>
          <w:p w:rsidR="00BD01E4" w:rsidRPr="00E3002B" w:rsidRDefault="00BD01E4" w:rsidP="00CB7A28">
            <w:pPr>
              <w:keepLines/>
              <w:spacing w:before="40" w:after="40" w:line="200" w:lineRule="atLeast"/>
              <w:rPr>
                <w:rFonts w:asciiTheme="minorHAnsi" w:eastAsia="Times New Roman" w:hAnsiTheme="minorHAnsi" w:cstheme="minorHAnsi"/>
                <w:iCs/>
                <w:szCs w:val="17"/>
              </w:rPr>
            </w:pPr>
            <w:r w:rsidRPr="00433FBF">
              <w:rPr>
                <w:rFonts w:asciiTheme="minorHAnsi" w:eastAsia="Times New Roman" w:hAnsiTheme="minorHAnsi" w:cstheme="minorHAnsi"/>
                <w:iCs/>
                <w:szCs w:val="17"/>
              </w:rPr>
              <w:t>$</w:t>
            </w:r>
            <w:r w:rsidR="00CB7A28">
              <w:rPr>
                <w:rFonts w:asciiTheme="minorHAnsi" w:eastAsia="Times New Roman" w:hAnsiTheme="minorHAnsi" w:cstheme="minorHAnsi"/>
                <w:iCs/>
                <w:szCs w:val="17"/>
              </w:rPr>
              <w:t>31,898,278</w:t>
            </w:r>
          </w:p>
        </w:tc>
        <w:tc>
          <w:tcPr>
            <w:tcW w:w="410" w:type="pct"/>
          </w:tcPr>
          <w:p w:rsidR="00BD01E4" w:rsidRPr="00812509" w:rsidRDefault="00BD01E4" w:rsidP="00BD01E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lang w:eastAsia="en-US"/>
              </w:rPr>
              <w:t>4</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lang w:eastAsia="en-US"/>
              </w:rPr>
              <w:t>4</w:t>
            </w:r>
          </w:p>
        </w:tc>
        <w:tc>
          <w:tcPr>
            <w:tcW w:w="311" w:type="pct"/>
            <w:shd w:val="clear" w:color="auto" w:fill="92D050"/>
          </w:tcPr>
          <w:p w:rsidR="00BD01E4" w:rsidRPr="0078317D" w:rsidRDefault="00BD01E4"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lang w:eastAsia="en-US"/>
              </w:rPr>
              <w:t>5</w:t>
            </w:r>
          </w:p>
        </w:tc>
        <w:tc>
          <w:tcPr>
            <w:tcW w:w="311" w:type="pct"/>
            <w:shd w:val="clear" w:color="auto" w:fill="FFFFFF" w:themeFill="background1"/>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w:t>
            </w:r>
          </w:p>
        </w:tc>
        <w:tc>
          <w:tcPr>
            <w:tcW w:w="352" w:type="pct"/>
            <w:shd w:val="clear" w:color="auto" w:fill="FFFFFF" w:themeFill="background1"/>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w:t>
            </w:r>
          </w:p>
        </w:tc>
        <w:tc>
          <w:tcPr>
            <w:tcW w:w="306" w:type="pct"/>
            <w:shd w:val="clear" w:color="auto" w:fill="FFFFFF" w:themeFill="background1"/>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BD01E4" w:rsidRPr="008553FE" w:rsidRDefault="00BD01E4" w:rsidP="00BD01E4">
            <w:pPr>
              <w:keepLines/>
              <w:spacing w:before="40" w:after="40" w:line="200" w:lineRule="atLeast"/>
              <w:rPr>
                <w:rFonts w:asciiTheme="minorHAnsi" w:eastAsia="Times New Roman" w:hAnsiTheme="minorHAnsi" w:cstheme="minorHAnsi"/>
                <w:iCs/>
                <w:szCs w:val="17"/>
                <w:lang w:eastAsia="en-US"/>
              </w:rPr>
            </w:pPr>
          </w:p>
        </w:tc>
        <w:tc>
          <w:tcPr>
            <w:tcW w:w="560" w:type="pct"/>
          </w:tcPr>
          <w:p w:rsidR="00BD01E4" w:rsidRPr="00E3002B" w:rsidRDefault="00CB7A28" w:rsidP="00BD01E4">
            <w:pPr>
              <w:keepLines/>
              <w:spacing w:before="40" w:after="40" w:line="200" w:lineRule="atLeast"/>
              <w:rPr>
                <w:rFonts w:asciiTheme="minorHAnsi" w:eastAsia="Times New Roman" w:hAnsiTheme="minorHAnsi" w:cstheme="minorHAnsi"/>
                <w:iCs/>
                <w:szCs w:val="17"/>
                <w:lang w:eastAsia="en-US"/>
              </w:rPr>
            </w:pPr>
            <w:r w:rsidRPr="00E3002B">
              <w:rPr>
                <w:rFonts w:asciiTheme="minorHAnsi" w:eastAsia="Times New Roman" w:hAnsiTheme="minorHAnsi" w:cstheme="minorHAnsi"/>
                <w:iCs/>
                <w:szCs w:val="17"/>
              </w:rPr>
              <w:t>2012-2022</w:t>
            </w:r>
          </w:p>
        </w:tc>
        <w:tc>
          <w:tcPr>
            <w:tcW w:w="410" w:type="pct"/>
          </w:tcPr>
          <w:p w:rsidR="00BD01E4" w:rsidRPr="00812509" w:rsidRDefault="00BD01E4" w:rsidP="00BD01E4">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1" w:type="pct"/>
            <w:shd w:val="clear" w:color="auto" w:fill="92D05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5</w:t>
            </w:r>
          </w:p>
        </w:tc>
        <w:tc>
          <w:tcPr>
            <w:tcW w:w="311" w:type="pct"/>
            <w:shd w:val="clear" w:color="auto" w:fill="FFFF0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4</w:t>
            </w:r>
          </w:p>
        </w:tc>
        <w:tc>
          <w:tcPr>
            <w:tcW w:w="311" w:type="pct"/>
            <w:shd w:val="clear" w:color="auto" w:fill="92D050"/>
          </w:tcPr>
          <w:p w:rsidR="00BD01E4" w:rsidRPr="0078317D" w:rsidRDefault="00BD01E4"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lang w:eastAsia="en-US"/>
              </w:rPr>
              <w:t>5</w:t>
            </w:r>
          </w:p>
        </w:tc>
        <w:tc>
          <w:tcPr>
            <w:tcW w:w="311" w:type="pct"/>
            <w:shd w:val="clear" w:color="auto" w:fill="92D050"/>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sidRPr="0078317D">
              <w:rPr>
                <w:rFonts w:asciiTheme="minorHAnsi" w:eastAsia="Times New Roman" w:hAnsiTheme="minorHAnsi" w:cstheme="minorHAnsi"/>
                <w:iCs/>
                <w:szCs w:val="17"/>
                <w:lang w:eastAsia="en-US"/>
              </w:rPr>
              <w:t>5</w:t>
            </w:r>
          </w:p>
        </w:tc>
        <w:tc>
          <w:tcPr>
            <w:tcW w:w="352" w:type="pct"/>
            <w:shd w:val="clear" w:color="auto" w:fill="FFFF00"/>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sidRPr="0078317D">
              <w:rPr>
                <w:rFonts w:asciiTheme="minorHAnsi" w:eastAsia="Times New Roman" w:hAnsiTheme="minorHAnsi" w:cstheme="minorHAnsi"/>
                <w:iCs/>
                <w:szCs w:val="17"/>
                <w:lang w:eastAsia="en-US"/>
              </w:rPr>
              <w:t>4</w:t>
            </w:r>
          </w:p>
        </w:tc>
        <w:tc>
          <w:tcPr>
            <w:tcW w:w="306" w:type="pct"/>
            <w:shd w:val="clear" w:color="auto" w:fill="FFFF00"/>
            <w:noWrap/>
          </w:tcPr>
          <w:p w:rsidR="00BD01E4" w:rsidRPr="0078317D" w:rsidRDefault="00BD01E4" w:rsidP="00BD01E4">
            <w:pPr>
              <w:keepLines/>
              <w:spacing w:before="40" w:after="40" w:line="200" w:lineRule="atLeast"/>
              <w:jc w:val="center"/>
              <w:rPr>
                <w:rFonts w:asciiTheme="minorHAnsi" w:eastAsia="Times New Roman" w:hAnsiTheme="minorHAnsi" w:cstheme="minorHAnsi"/>
                <w:iCs/>
                <w:szCs w:val="17"/>
                <w:lang w:eastAsia="en-US"/>
              </w:rPr>
            </w:pPr>
            <w:r w:rsidRPr="0078317D">
              <w:rPr>
                <w:rFonts w:asciiTheme="minorHAnsi" w:eastAsia="Times New Roman" w:hAnsiTheme="minorHAnsi" w:cstheme="minorHAnsi"/>
                <w:iCs/>
                <w:szCs w:val="17"/>
                <w:lang w:eastAsia="en-US"/>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CB7A28" w:rsidRPr="002A0E14" w:rsidRDefault="00CB7A28" w:rsidP="00BD01E4">
            <w:pPr>
              <w:keepLines/>
              <w:spacing w:before="40" w:after="40" w:line="200" w:lineRule="atLeast"/>
              <w:rPr>
                <w:rFonts w:asciiTheme="minorHAnsi" w:eastAsia="Times New Roman" w:hAnsiTheme="minorHAnsi" w:cstheme="minorHAnsi"/>
                <w:b/>
                <w:iCs/>
                <w:szCs w:val="17"/>
              </w:rPr>
            </w:pPr>
            <w:r w:rsidRPr="002A0E14">
              <w:rPr>
                <w:rFonts w:asciiTheme="minorHAnsi" w:eastAsia="Times New Roman" w:hAnsiTheme="minorHAnsi" w:cstheme="minorHAnsi"/>
                <w:b/>
                <w:iCs/>
                <w:szCs w:val="17"/>
              </w:rPr>
              <w:t>Managing Urbanisation</w:t>
            </w: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$3,807,895</w:t>
            </w:r>
          </w:p>
        </w:tc>
        <w:tc>
          <w:tcPr>
            <w:tcW w:w="410" w:type="pct"/>
          </w:tcPr>
          <w:p w:rsidR="00CB7A28" w:rsidRPr="001E0245" w:rsidRDefault="00CB7A28" w:rsidP="00BD01E4">
            <w:pPr>
              <w:keepLines/>
              <w:spacing w:before="40" w:after="40" w:line="200" w:lineRule="atLeast"/>
              <w:rPr>
                <w:rFonts w:asciiTheme="minorHAnsi" w:eastAsia="Times New Roman" w:hAnsiTheme="minorHAnsi" w:cstheme="minorHAnsi"/>
                <w:iCs/>
                <w:szCs w:val="17"/>
              </w:rPr>
            </w:pPr>
            <w:r w:rsidRPr="001E0245">
              <w:rPr>
                <w:rFonts w:asciiTheme="minorHAnsi" w:eastAsia="Times New Roman" w:hAnsiTheme="minorHAnsi" w:cstheme="minorHAnsi"/>
                <w:iCs/>
                <w:szCs w:val="17"/>
              </w:rPr>
              <w:t>2019 AQC</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5</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5</w:t>
            </w:r>
          </w:p>
        </w:tc>
        <w:tc>
          <w:tcPr>
            <w:tcW w:w="311" w:type="pct"/>
            <w:shd w:val="clear" w:color="auto" w:fill="FF0000"/>
          </w:tcPr>
          <w:p w:rsidR="00CB7A28" w:rsidRPr="0078317D"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2</w:t>
            </w:r>
          </w:p>
        </w:tc>
        <w:tc>
          <w:tcPr>
            <w:tcW w:w="311"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52"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06"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CB7A28" w:rsidRPr="008553FE" w:rsidRDefault="00CB7A28" w:rsidP="00BD01E4">
            <w:pPr>
              <w:keepLines/>
              <w:spacing w:before="40" w:after="40" w:line="200" w:lineRule="atLeast"/>
              <w:rPr>
                <w:rFonts w:asciiTheme="minorHAnsi" w:eastAsia="Times New Roman" w:hAnsiTheme="minorHAnsi" w:cstheme="minorHAnsi"/>
                <w:iCs/>
                <w:szCs w:val="17"/>
              </w:rPr>
            </w:pP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2013-2019</w:t>
            </w:r>
          </w:p>
        </w:tc>
        <w:tc>
          <w:tcPr>
            <w:tcW w:w="410" w:type="pct"/>
          </w:tcPr>
          <w:p w:rsidR="00CB7A28" w:rsidRPr="001E0245" w:rsidRDefault="00CB7A28" w:rsidP="00BD01E4">
            <w:pPr>
              <w:keepLines/>
              <w:spacing w:before="40" w:after="40" w:line="200" w:lineRule="atLeast"/>
              <w:rPr>
                <w:rFonts w:asciiTheme="minorHAnsi" w:eastAsia="Times New Roman" w:hAnsiTheme="minorHAnsi" w:cstheme="minorHAnsi"/>
                <w:iCs/>
                <w:szCs w:val="17"/>
              </w:rPr>
            </w:pPr>
            <w:r w:rsidRPr="001E0245">
              <w:rPr>
                <w:rFonts w:asciiTheme="minorHAnsi" w:eastAsia="Times New Roman" w:hAnsiTheme="minorHAnsi" w:cstheme="minorHAnsi"/>
                <w:iCs/>
                <w:szCs w:val="17"/>
              </w:rPr>
              <w:t>2018 AQC</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E36C0A"/>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3</w:t>
            </w:r>
          </w:p>
        </w:tc>
        <w:tc>
          <w:tcPr>
            <w:tcW w:w="311"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52" w:type="pct"/>
            <w:shd w:val="clear" w:color="auto" w:fill="E36C0A"/>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3</w:t>
            </w:r>
          </w:p>
        </w:tc>
        <w:tc>
          <w:tcPr>
            <w:tcW w:w="306"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CB7A28" w:rsidRPr="00685A0E" w:rsidRDefault="00CB7A28" w:rsidP="00BD01E4">
            <w:pPr>
              <w:keepLines/>
              <w:spacing w:before="40" w:after="40" w:line="200" w:lineRule="atLeast"/>
              <w:rPr>
                <w:rFonts w:asciiTheme="minorHAnsi" w:eastAsia="Times New Roman" w:hAnsiTheme="minorHAnsi" w:cstheme="minorHAnsi"/>
                <w:b/>
                <w:iCs/>
                <w:szCs w:val="17"/>
              </w:rPr>
            </w:pPr>
            <w:r w:rsidRPr="00685A0E">
              <w:rPr>
                <w:rFonts w:asciiTheme="minorHAnsi" w:eastAsia="Times New Roman" w:hAnsiTheme="minorHAnsi" w:cstheme="minorHAnsi"/>
                <w:b/>
                <w:iCs/>
                <w:szCs w:val="17"/>
              </w:rPr>
              <w:t>Health Sector Support Program - Phase 3</w:t>
            </w: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$72,967,752</w:t>
            </w:r>
          </w:p>
        </w:tc>
        <w:tc>
          <w:tcPr>
            <w:tcW w:w="410" w:type="pct"/>
          </w:tcPr>
          <w:p w:rsidR="00CB7A28" w:rsidRPr="001E0245" w:rsidRDefault="00CB7A28" w:rsidP="00BD01E4">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52"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06"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CB7A28" w:rsidRPr="008553FE" w:rsidRDefault="00CB7A28" w:rsidP="00BD01E4">
            <w:pPr>
              <w:keepLines/>
              <w:spacing w:before="40" w:after="40" w:line="200" w:lineRule="atLeast"/>
              <w:rPr>
                <w:rFonts w:asciiTheme="minorHAnsi" w:eastAsia="Times New Roman" w:hAnsiTheme="minorHAnsi" w:cstheme="minorHAnsi"/>
                <w:iCs/>
                <w:szCs w:val="17"/>
              </w:rPr>
            </w:pP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2016-2020</w:t>
            </w:r>
          </w:p>
        </w:tc>
        <w:tc>
          <w:tcPr>
            <w:tcW w:w="410" w:type="pct"/>
          </w:tcPr>
          <w:p w:rsidR="00CB7A28" w:rsidRPr="001E0245" w:rsidRDefault="00CB7A28" w:rsidP="00BD01E4">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2018 AQC</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52" w:type="pct"/>
            <w:shd w:val="clear" w:color="auto" w:fill="FFFF0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4</w:t>
            </w:r>
          </w:p>
        </w:tc>
        <w:tc>
          <w:tcPr>
            <w:tcW w:w="306" w:type="pct"/>
            <w:shd w:val="clear" w:color="auto" w:fill="FFFF0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CB7A28" w:rsidRPr="00F518EE" w:rsidRDefault="00CB7A28" w:rsidP="00BD01E4">
            <w:pPr>
              <w:keepLines/>
              <w:spacing w:before="40" w:after="40" w:line="200" w:lineRule="atLeast"/>
              <w:rPr>
                <w:rFonts w:asciiTheme="minorHAnsi" w:eastAsia="Times New Roman" w:hAnsiTheme="minorHAnsi" w:cstheme="minorHAnsi"/>
                <w:b/>
                <w:iCs/>
                <w:szCs w:val="17"/>
              </w:rPr>
            </w:pPr>
            <w:r w:rsidRPr="00F518EE">
              <w:rPr>
                <w:rFonts w:asciiTheme="minorHAnsi" w:eastAsia="Times New Roman" w:hAnsiTheme="minorHAnsi" w:cstheme="minorHAnsi"/>
                <w:b/>
                <w:iCs/>
                <w:szCs w:val="17"/>
              </w:rPr>
              <w:t>SI Resource Facility &amp; Program Enabling</w:t>
            </w: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$40,595,108</w:t>
            </w:r>
          </w:p>
        </w:tc>
        <w:tc>
          <w:tcPr>
            <w:tcW w:w="410" w:type="pct"/>
          </w:tcPr>
          <w:p w:rsidR="00CB7A28" w:rsidRPr="001E0245" w:rsidRDefault="00CB7A28" w:rsidP="00BD01E4">
            <w:pPr>
              <w:keepLines/>
              <w:spacing w:before="40" w:after="40" w:line="200" w:lineRule="atLeast"/>
              <w:rPr>
                <w:rFonts w:asciiTheme="minorHAnsi" w:eastAsia="Times New Roman" w:hAnsiTheme="minorHAnsi" w:cstheme="minorHAnsi"/>
                <w:iCs/>
                <w:szCs w:val="17"/>
              </w:rPr>
            </w:pPr>
            <w:r w:rsidRPr="001E0245">
              <w:rPr>
                <w:rFonts w:asciiTheme="minorHAnsi" w:eastAsia="Times New Roman" w:hAnsiTheme="minorHAnsi" w:cstheme="minorHAnsi"/>
                <w:iCs/>
                <w:szCs w:val="17"/>
              </w:rPr>
              <w:t>2019 AQC</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92D05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5</w:t>
            </w:r>
          </w:p>
        </w:tc>
        <w:tc>
          <w:tcPr>
            <w:tcW w:w="311"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52"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06"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CB7A28" w:rsidRPr="008553FE" w:rsidRDefault="00CB7A28" w:rsidP="00BD01E4">
            <w:pPr>
              <w:keepLines/>
              <w:spacing w:before="40" w:after="40" w:line="200" w:lineRule="atLeast"/>
              <w:rPr>
                <w:rFonts w:asciiTheme="minorHAnsi" w:eastAsia="Times New Roman" w:hAnsiTheme="minorHAnsi" w:cstheme="minorHAnsi"/>
                <w:iCs/>
                <w:szCs w:val="17"/>
              </w:rPr>
            </w:pP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2015-2020</w:t>
            </w:r>
          </w:p>
        </w:tc>
        <w:tc>
          <w:tcPr>
            <w:tcW w:w="410" w:type="pct"/>
          </w:tcPr>
          <w:p w:rsidR="00CB7A28" w:rsidRPr="001E0245" w:rsidRDefault="00CB7A28" w:rsidP="00BD01E4">
            <w:pPr>
              <w:keepLines/>
              <w:spacing w:before="40" w:after="40" w:line="200" w:lineRule="atLeast"/>
              <w:rPr>
                <w:rFonts w:asciiTheme="minorHAnsi" w:eastAsia="Times New Roman" w:hAnsiTheme="minorHAnsi" w:cstheme="minorHAnsi"/>
                <w:iCs/>
                <w:szCs w:val="17"/>
              </w:rPr>
            </w:pPr>
            <w:r w:rsidRPr="001E0245">
              <w:rPr>
                <w:rFonts w:asciiTheme="minorHAnsi" w:eastAsia="Times New Roman" w:hAnsiTheme="minorHAnsi" w:cstheme="minorHAnsi"/>
                <w:iCs/>
                <w:szCs w:val="17"/>
              </w:rPr>
              <w:t>2018 AQC</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52"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06" w:type="pct"/>
            <w:shd w:val="clear" w:color="auto" w:fill="FFFF0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CB7A28" w:rsidRPr="000C5685" w:rsidRDefault="00CB7A28" w:rsidP="00BD01E4">
            <w:pPr>
              <w:keepLines/>
              <w:spacing w:before="40" w:after="40" w:line="200" w:lineRule="atLeast"/>
              <w:rPr>
                <w:rFonts w:asciiTheme="minorHAnsi" w:eastAsia="Times New Roman" w:hAnsiTheme="minorHAnsi" w:cstheme="minorHAnsi"/>
                <w:b/>
                <w:iCs/>
                <w:szCs w:val="17"/>
              </w:rPr>
            </w:pPr>
            <w:r w:rsidRPr="000C5685">
              <w:rPr>
                <w:rFonts w:asciiTheme="minorHAnsi" w:eastAsia="Times New Roman" w:hAnsiTheme="minorHAnsi" w:cstheme="minorHAnsi"/>
                <w:b/>
                <w:iCs/>
                <w:szCs w:val="17"/>
              </w:rPr>
              <w:t>SI Transport Sector Based Approach Phase 2</w:t>
            </w: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$49,435,503</w:t>
            </w:r>
          </w:p>
        </w:tc>
        <w:tc>
          <w:tcPr>
            <w:tcW w:w="410" w:type="pct"/>
          </w:tcPr>
          <w:p w:rsidR="00CB7A28" w:rsidRPr="00915931" w:rsidRDefault="00CB7A28" w:rsidP="00BD01E4">
            <w:pPr>
              <w:keepLines/>
              <w:spacing w:before="40" w:after="40" w:line="200" w:lineRule="atLeast"/>
              <w:rPr>
                <w:rFonts w:asciiTheme="minorHAnsi" w:eastAsia="Times New Roman" w:hAnsiTheme="minorHAnsi" w:cstheme="minorHAnsi"/>
                <w:iCs/>
                <w:szCs w:val="17"/>
              </w:rPr>
            </w:pPr>
            <w:r w:rsidRPr="00915931">
              <w:rPr>
                <w:rFonts w:asciiTheme="minorHAnsi" w:eastAsia="Times New Roman" w:hAnsiTheme="minorHAnsi" w:cstheme="minorHAnsi"/>
                <w:iCs/>
                <w:szCs w:val="17"/>
              </w:rPr>
              <w:t>2019 AQC</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E36C0A"/>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3</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52"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06"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CB7A28" w:rsidRPr="008553FE" w:rsidRDefault="00CB7A28" w:rsidP="00BD01E4">
            <w:pPr>
              <w:keepLines/>
              <w:spacing w:before="40" w:after="40" w:line="200" w:lineRule="atLeast"/>
              <w:rPr>
                <w:rFonts w:asciiTheme="minorHAnsi" w:eastAsia="Times New Roman" w:hAnsiTheme="minorHAnsi" w:cstheme="minorHAnsi"/>
                <w:iCs/>
                <w:szCs w:val="17"/>
              </w:rPr>
            </w:pP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2016-2021</w:t>
            </w:r>
          </w:p>
        </w:tc>
        <w:tc>
          <w:tcPr>
            <w:tcW w:w="410" w:type="pct"/>
          </w:tcPr>
          <w:p w:rsidR="00CB7A28" w:rsidRPr="00915931" w:rsidRDefault="00CB7A28" w:rsidP="00BD01E4">
            <w:pPr>
              <w:keepLines/>
              <w:spacing w:before="40" w:after="40" w:line="200" w:lineRule="atLeast"/>
              <w:rPr>
                <w:rFonts w:asciiTheme="minorHAnsi" w:eastAsia="Times New Roman" w:hAnsiTheme="minorHAnsi" w:cstheme="minorHAnsi"/>
                <w:iCs/>
                <w:szCs w:val="17"/>
              </w:rPr>
            </w:pPr>
            <w:r w:rsidRPr="00915931">
              <w:rPr>
                <w:rFonts w:asciiTheme="minorHAnsi" w:eastAsia="Times New Roman" w:hAnsiTheme="minorHAnsi" w:cstheme="minorHAnsi"/>
                <w:iCs/>
                <w:szCs w:val="17"/>
              </w:rPr>
              <w:t>2018 AQC</w:t>
            </w:r>
          </w:p>
        </w:tc>
        <w:tc>
          <w:tcPr>
            <w:tcW w:w="311" w:type="pct"/>
            <w:shd w:val="clear" w:color="auto" w:fill="E36C0A"/>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3</w:t>
            </w:r>
          </w:p>
        </w:tc>
        <w:tc>
          <w:tcPr>
            <w:tcW w:w="311" w:type="pct"/>
            <w:shd w:val="clear" w:color="auto" w:fill="E36C0A"/>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3</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4</w:t>
            </w:r>
          </w:p>
        </w:tc>
        <w:tc>
          <w:tcPr>
            <w:tcW w:w="352"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06" w:type="pct"/>
            <w:shd w:val="clear" w:color="auto" w:fill="FFFF0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CB7A28" w:rsidRPr="005567ED" w:rsidRDefault="00CB7A28" w:rsidP="00BD01E4">
            <w:pPr>
              <w:keepLines/>
              <w:spacing w:before="40" w:after="40" w:line="200" w:lineRule="atLeast"/>
              <w:rPr>
                <w:rFonts w:asciiTheme="minorHAnsi" w:eastAsia="Times New Roman" w:hAnsiTheme="minorHAnsi" w:cstheme="minorHAnsi"/>
                <w:b/>
                <w:iCs/>
                <w:szCs w:val="17"/>
              </w:rPr>
            </w:pPr>
            <w:r w:rsidRPr="005567ED">
              <w:rPr>
                <w:rFonts w:asciiTheme="minorHAnsi" w:eastAsia="Times New Roman" w:hAnsiTheme="minorHAnsi" w:cstheme="minorHAnsi"/>
                <w:b/>
                <w:iCs/>
                <w:szCs w:val="17"/>
              </w:rPr>
              <w:t>Education Sector Program 2</w:t>
            </w: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$62,229,334</w:t>
            </w:r>
          </w:p>
        </w:tc>
        <w:tc>
          <w:tcPr>
            <w:tcW w:w="410" w:type="pct"/>
          </w:tcPr>
          <w:p w:rsidR="00CB7A28" w:rsidRPr="00915931" w:rsidRDefault="00CB7A28" w:rsidP="00BD01E4">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92D05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5</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52"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06"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CB7A28" w:rsidRPr="008553FE" w:rsidRDefault="00CB7A28" w:rsidP="00BD01E4">
            <w:pPr>
              <w:keepLines/>
              <w:spacing w:before="40" w:after="40" w:line="200" w:lineRule="atLeast"/>
              <w:rPr>
                <w:rFonts w:asciiTheme="minorHAnsi" w:eastAsia="Times New Roman" w:hAnsiTheme="minorHAnsi" w:cstheme="minorHAnsi"/>
                <w:iCs/>
                <w:szCs w:val="17"/>
              </w:rPr>
            </w:pP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2015-2020</w:t>
            </w:r>
          </w:p>
        </w:tc>
        <w:tc>
          <w:tcPr>
            <w:tcW w:w="410" w:type="pct"/>
          </w:tcPr>
          <w:p w:rsidR="00CB7A28" w:rsidRPr="00915931" w:rsidRDefault="00CB7A28" w:rsidP="00BD01E4">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2018 AQC</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92D05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52"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06"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val="restart"/>
          </w:tcPr>
          <w:p w:rsidR="00CB7A28" w:rsidRPr="00983C50" w:rsidRDefault="00CB7A28" w:rsidP="00BD01E4">
            <w:pPr>
              <w:keepLines/>
              <w:spacing w:before="40" w:after="40" w:line="200" w:lineRule="atLeast"/>
              <w:rPr>
                <w:rFonts w:asciiTheme="minorHAnsi" w:eastAsia="Times New Roman" w:hAnsiTheme="minorHAnsi" w:cstheme="minorHAnsi"/>
                <w:b/>
                <w:iCs/>
                <w:szCs w:val="17"/>
              </w:rPr>
            </w:pPr>
            <w:r w:rsidRPr="00983C50">
              <w:rPr>
                <w:rFonts w:asciiTheme="minorHAnsi" w:eastAsia="Times New Roman" w:hAnsiTheme="minorHAnsi" w:cstheme="minorHAnsi"/>
                <w:b/>
                <w:iCs/>
                <w:szCs w:val="17"/>
              </w:rPr>
              <w:t>SI Growth program</w:t>
            </w: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$58,164,077</w:t>
            </w:r>
          </w:p>
        </w:tc>
        <w:tc>
          <w:tcPr>
            <w:tcW w:w="410" w:type="pct"/>
          </w:tcPr>
          <w:p w:rsidR="00CB7A28" w:rsidRPr="00915931" w:rsidRDefault="00CB7A28" w:rsidP="00BD01E4">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Default="00CB7A28" w:rsidP="00BD01E4">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52"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c>
          <w:tcPr>
            <w:tcW w:w="306" w:type="pct"/>
            <w:shd w:val="clear" w:color="auto" w:fill="FFFFFF" w:themeFill="background1"/>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vMerge/>
          </w:tcPr>
          <w:p w:rsidR="00CB7A28" w:rsidRPr="008553FE" w:rsidRDefault="00CB7A28" w:rsidP="00BD01E4">
            <w:pPr>
              <w:keepLines/>
              <w:spacing w:before="40" w:after="40" w:line="200" w:lineRule="atLeast"/>
              <w:rPr>
                <w:rFonts w:asciiTheme="minorHAnsi" w:eastAsia="Times New Roman" w:hAnsiTheme="minorHAnsi" w:cstheme="minorHAnsi"/>
                <w:iCs/>
                <w:szCs w:val="17"/>
              </w:rPr>
            </w:pPr>
          </w:p>
        </w:tc>
        <w:tc>
          <w:tcPr>
            <w:tcW w:w="560" w:type="pct"/>
          </w:tcPr>
          <w:p w:rsidR="00CB7A28" w:rsidRPr="00E3002B" w:rsidRDefault="00CB7A28" w:rsidP="00BD01E4">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2016-2020</w:t>
            </w:r>
          </w:p>
        </w:tc>
        <w:tc>
          <w:tcPr>
            <w:tcW w:w="410" w:type="pct"/>
          </w:tcPr>
          <w:p w:rsidR="00CB7A28" w:rsidRPr="00915931" w:rsidRDefault="00CB7A28" w:rsidP="00BD01E4">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2018 AQC</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BD01E4">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5</w:t>
            </w:r>
          </w:p>
        </w:tc>
        <w:tc>
          <w:tcPr>
            <w:tcW w:w="352" w:type="pct"/>
            <w:shd w:val="clear" w:color="auto" w:fill="FFFF0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4</w:t>
            </w:r>
          </w:p>
        </w:tc>
        <w:tc>
          <w:tcPr>
            <w:tcW w:w="306" w:type="pct"/>
            <w:shd w:val="clear" w:color="auto" w:fill="FFFF00"/>
            <w:noWrap/>
          </w:tcPr>
          <w:p w:rsidR="00CB7A28" w:rsidRPr="0078317D" w:rsidRDefault="00CB7A28" w:rsidP="00BD01E4">
            <w:pPr>
              <w:keepLines/>
              <w:spacing w:before="40" w:after="40" w:line="200" w:lineRule="atLeast"/>
              <w:jc w:val="center"/>
              <w:rPr>
                <w:rFonts w:asciiTheme="minorHAnsi" w:eastAsia="Times New Roman" w:hAnsiTheme="minorHAnsi" w:cstheme="minorHAnsi"/>
                <w:iCs/>
                <w:szCs w:val="17"/>
              </w:rPr>
            </w:pPr>
            <w:r w:rsidRPr="0078317D">
              <w:rPr>
                <w:rFonts w:asciiTheme="minorHAnsi" w:eastAsia="Times New Roman" w:hAnsiTheme="minorHAnsi" w:cstheme="minorHAnsi"/>
                <w:iCs/>
                <w:szCs w:val="17"/>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tcPr>
          <w:p w:rsidR="00CB7A28" w:rsidRPr="008553FE" w:rsidRDefault="00CB7A28" w:rsidP="00CB7A28">
            <w:pPr>
              <w:keepLines/>
              <w:spacing w:before="40" w:after="40" w:line="200" w:lineRule="atLeast"/>
              <w:rPr>
                <w:rFonts w:eastAsia="Times New Roman" w:cstheme="minorHAnsi"/>
                <w:iCs/>
                <w:szCs w:val="17"/>
              </w:rPr>
            </w:pPr>
            <w:r w:rsidRPr="00983C50">
              <w:rPr>
                <w:rFonts w:asciiTheme="minorHAnsi" w:eastAsia="Times New Roman" w:hAnsiTheme="minorHAnsi" w:cstheme="minorHAnsi"/>
                <w:b/>
                <w:iCs/>
                <w:szCs w:val="17"/>
              </w:rPr>
              <w:t>SI Governance Program 2017-2021</w:t>
            </w:r>
          </w:p>
        </w:tc>
        <w:tc>
          <w:tcPr>
            <w:tcW w:w="560" w:type="pct"/>
          </w:tcPr>
          <w:p w:rsidR="00CB7A28" w:rsidRPr="00E3002B" w:rsidRDefault="00CB7A28" w:rsidP="00CB7A28">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$30,986,379</w:t>
            </w:r>
          </w:p>
        </w:tc>
        <w:tc>
          <w:tcPr>
            <w:tcW w:w="410" w:type="pct"/>
          </w:tcPr>
          <w:p w:rsidR="00CB7A28" w:rsidRDefault="00CB7A28" w:rsidP="00CB7A28">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2019 AQC</w:t>
            </w:r>
          </w:p>
        </w:tc>
        <w:tc>
          <w:tcPr>
            <w:tcW w:w="311" w:type="pct"/>
            <w:shd w:val="clear" w:color="auto" w:fill="92D05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5</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c>
          <w:tcPr>
            <w:tcW w:w="352"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c>
          <w:tcPr>
            <w:tcW w:w="306"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tcPr>
          <w:p w:rsidR="00CB7A28" w:rsidRPr="008553FE" w:rsidRDefault="00CB7A28" w:rsidP="00CB7A28">
            <w:pPr>
              <w:keepLines/>
              <w:spacing w:before="40" w:after="40" w:line="200" w:lineRule="atLeast"/>
              <w:rPr>
                <w:rFonts w:eastAsia="Times New Roman" w:cstheme="minorHAnsi"/>
                <w:iCs/>
                <w:szCs w:val="17"/>
              </w:rPr>
            </w:pPr>
          </w:p>
        </w:tc>
        <w:tc>
          <w:tcPr>
            <w:tcW w:w="560" w:type="pct"/>
          </w:tcPr>
          <w:p w:rsidR="00CB7A28" w:rsidRPr="00E3002B" w:rsidRDefault="00CB7A28" w:rsidP="00CB7A28">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2017-2021</w:t>
            </w:r>
          </w:p>
        </w:tc>
        <w:tc>
          <w:tcPr>
            <w:tcW w:w="410" w:type="pct"/>
          </w:tcPr>
          <w:p w:rsidR="00CB7A28" w:rsidRDefault="00CB7A28" w:rsidP="00CB7A28">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2018 AQC</w:t>
            </w:r>
          </w:p>
        </w:tc>
        <w:tc>
          <w:tcPr>
            <w:tcW w:w="311" w:type="pct"/>
            <w:shd w:val="clear" w:color="auto" w:fill="92D05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52" w:type="pct"/>
            <w:shd w:val="clear" w:color="auto" w:fill="FFFF00"/>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06" w:type="pct"/>
            <w:shd w:val="clear" w:color="auto" w:fill="FFFF00"/>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tcPr>
          <w:p w:rsidR="00CB7A28" w:rsidRPr="008553FE" w:rsidRDefault="00CB7A28" w:rsidP="00CB7A28">
            <w:pPr>
              <w:keepLines/>
              <w:spacing w:before="40" w:after="40" w:line="200" w:lineRule="atLeast"/>
              <w:rPr>
                <w:rFonts w:eastAsia="Times New Roman" w:cstheme="minorHAnsi"/>
                <w:iCs/>
                <w:szCs w:val="17"/>
              </w:rPr>
            </w:pPr>
            <w:r w:rsidRPr="00F06480">
              <w:rPr>
                <w:rFonts w:asciiTheme="minorHAnsi" w:eastAsia="Times New Roman" w:hAnsiTheme="minorHAnsi" w:cstheme="minorHAnsi"/>
                <w:b/>
                <w:iCs/>
                <w:szCs w:val="17"/>
              </w:rPr>
              <w:t>SI Justice program 2017-2021</w:t>
            </w:r>
          </w:p>
        </w:tc>
        <w:tc>
          <w:tcPr>
            <w:tcW w:w="560" w:type="pct"/>
          </w:tcPr>
          <w:p w:rsidR="00CB7A28" w:rsidRPr="00E3002B" w:rsidRDefault="00CB7A28" w:rsidP="00CB7A28">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$31,035,530</w:t>
            </w:r>
          </w:p>
        </w:tc>
        <w:tc>
          <w:tcPr>
            <w:tcW w:w="410" w:type="pct"/>
          </w:tcPr>
          <w:p w:rsidR="00CB7A28" w:rsidRDefault="00CB7A28" w:rsidP="00CB7A28">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2019 AQC</w:t>
            </w:r>
          </w:p>
        </w:tc>
        <w:tc>
          <w:tcPr>
            <w:tcW w:w="311" w:type="pct"/>
            <w:shd w:val="clear" w:color="auto" w:fill="92D05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5</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c>
          <w:tcPr>
            <w:tcW w:w="352"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c>
          <w:tcPr>
            <w:tcW w:w="306"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tcPr>
          <w:p w:rsidR="00CB7A28" w:rsidRPr="008553FE" w:rsidRDefault="00CB7A28" w:rsidP="00CB7A28">
            <w:pPr>
              <w:keepLines/>
              <w:spacing w:before="40" w:after="40" w:line="200" w:lineRule="atLeast"/>
              <w:rPr>
                <w:rFonts w:eastAsia="Times New Roman" w:cstheme="minorHAnsi"/>
                <w:iCs/>
                <w:szCs w:val="17"/>
              </w:rPr>
            </w:pPr>
          </w:p>
        </w:tc>
        <w:tc>
          <w:tcPr>
            <w:tcW w:w="560" w:type="pct"/>
          </w:tcPr>
          <w:p w:rsidR="00CB7A28" w:rsidRPr="00E3002B" w:rsidRDefault="00CB7A28" w:rsidP="00CB7A28">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2017-2021</w:t>
            </w:r>
          </w:p>
        </w:tc>
        <w:tc>
          <w:tcPr>
            <w:tcW w:w="410" w:type="pct"/>
          </w:tcPr>
          <w:p w:rsidR="00CB7A28" w:rsidRDefault="00CB7A28" w:rsidP="00CB7A28">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2018 AQC</w:t>
            </w:r>
          </w:p>
        </w:tc>
        <w:tc>
          <w:tcPr>
            <w:tcW w:w="311" w:type="pct"/>
            <w:shd w:val="clear" w:color="auto" w:fill="92D05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11" w:type="pct"/>
            <w:shd w:val="clear" w:color="auto" w:fill="E36C0A"/>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3</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52" w:type="pct"/>
            <w:shd w:val="clear" w:color="auto" w:fill="FFFF00"/>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06" w:type="pct"/>
            <w:shd w:val="clear" w:color="auto" w:fill="FFFF00"/>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tcPr>
          <w:p w:rsidR="00CB7A28" w:rsidRPr="008553FE" w:rsidRDefault="00CB7A28" w:rsidP="00CB7A28">
            <w:pPr>
              <w:keepLines/>
              <w:spacing w:before="40" w:after="40" w:line="200" w:lineRule="atLeast"/>
              <w:rPr>
                <w:rFonts w:eastAsia="Times New Roman" w:cstheme="minorHAnsi"/>
                <w:iCs/>
                <w:szCs w:val="17"/>
              </w:rPr>
            </w:pPr>
            <w:r w:rsidRPr="00F06480">
              <w:rPr>
                <w:rFonts w:asciiTheme="minorHAnsi" w:eastAsia="Times New Roman" w:hAnsiTheme="minorHAnsi" w:cstheme="minorHAnsi"/>
                <w:b/>
                <w:iCs/>
                <w:szCs w:val="17"/>
              </w:rPr>
              <w:t>SI Democratic Governance Phase 2</w:t>
            </w:r>
          </w:p>
        </w:tc>
        <w:tc>
          <w:tcPr>
            <w:tcW w:w="560" w:type="pct"/>
          </w:tcPr>
          <w:p w:rsidR="00CB7A28" w:rsidRPr="00E3002B" w:rsidRDefault="00CB7A28" w:rsidP="00CB7A28">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$8,295,871</w:t>
            </w:r>
          </w:p>
        </w:tc>
        <w:tc>
          <w:tcPr>
            <w:tcW w:w="410" w:type="pct"/>
          </w:tcPr>
          <w:p w:rsidR="00CB7A28" w:rsidRDefault="00CB7A28" w:rsidP="00CB7A28">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2019 AQC</w:t>
            </w:r>
          </w:p>
        </w:tc>
        <w:tc>
          <w:tcPr>
            <w:tcW w:w="311" w:type="pct"/>
            <w:shd w:val="clear" w:color="auto" w:fill="E36C0A"/>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3</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4</w:t>
            </w:r>
          </w:p>
        </w:tc>
        <w:tc>
          <w:tcPr>
            <w:tcW w:w="311"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c>
          <w:tcPr>
            <w:tcW w:w="352"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c>
          <w:tcPr>
            <w:tcW w:w="306" w:type="pct"/>
            <w:shd w:val="clear" w:color="auto" w:fill="auto"/>
            <w:noWrap/>
          </w:tcPr>
          <w:p w:rsidR="00CB7A28" w:rsidRPr="0078317D" w:rsidRDefault="00CB7A28" w:rsidP="00CB7A28">
            <w:pPr>
              <w:keepLines/>
              <w:spacing w:before="40" w:after="40" w:line="200" w:lineRule="atLeast"/>
              <w:jc w:val="center"/>
              <w:rPr>
                <w:rFonts w:eastAsia="Times New Roman" w:cstheme="minorHAnsi"/>
                <w:iCs/>
                <w:szCs w:val="17"/>
              </w:rPr>
            </w:pPr>
            <w:r>
              <w:rPr>
                <w:rFonts w:asciiTheme="minorHAnsi" w:eastAsia="Times New Roman" w:hAnsiTheme="minorHAnsi" w:cstheme="minorHAnsi"/>
                <w:iCs/>
                <w:szCs w:val="17"/>
              </w:rPr>
              <w:t>-</w:t>
            </w:r>
          </w:p>
        </w:tc>
      </w:tr>
      <w:tr w:rsidR="00974223" w:rsidRPr="00812509" w:rsidTr="00F55BB3">
        <w:trPr>
          <w:cnfStyle w:val="000000010000" w:firstRow="0" w:lastRow="0" w:firstColumn="0" w:lastColumn="0" w:oddVBand="0" w:evenVBand="0" w:oddHBand="0" w:evenHBand="1" w:firstRowFirstColumn="0" w:firstRowLastColumn="0" w:lastRowFirstColumn="0" w:lastRowLastColumn="0"/>
          <w:trHeight w:val="284"/>
        </w:trPr>
        <w:tc>
          <w:tcPr>
            <w:tcW w:w="2028" w:type="pct"/>
          </w:tcPr>
          <w:p w:rsidR="00CB7A28" w:rsidRPr="00F06480" w:rsidRDefault="00CB7A28" w:rsidP="00CB7A28">
            <w:pPr>
              <w:keepLines/>
              <w:spacing w:before="40" w:after="40" w:line="200" w:lineRule="atLeast"/>
              <w:rPr>
                <w:rFonts w:eastAsia="Times New Roman" w:cstheme="minorHAnsi"/>
                <w:b/>
                <w:iCs/>
                <w:szCs w:val="17"/>
              </w:rPr>
            </w:pPr>
          </w:p>
        </w:tc>
        <w:tc>
          <w:tcPr>
            <w:tcW w:w="560" w:type="pct"/>
          </w:tcPr>
          <w:p w:rsidR="00CB7A28" w:rsidRPr="00E3002B" w:rsidRDefault="00CB7A28" w:rsidP="00CB7A28">
            <w:pPr>
              <w:keepLines/>
              <w:spacing w:before="40" w:after="40" w:line="200" w:lineRule="atLeast"/>
              <w:rPr>
                <w:rFonts w:eastAsia="Times New Roman" w:cstheme="minorHAnsi"/>
                <w:iCs/>
                <w:szCs w:val="17"/>
              </w:rPr>
            </w:pPr>
            <w:r w:rsidRPr="00E3002B">
              <w:rPr>
                <w:rFonts w:asciiTheme="minorHAnsi" w:eastAsia="Times New Roman" w:hAnsiTheme="minorHAnsi" w:cstheme="minorHAnsi"/>
                <w:iCs/>
                <w:szCs w:val="17"/>
              </w:rPr>
              <w:t>2017-2019</w:t>
            </w:r>
          </w:p>
        </w:tc>
        <w:tc>
          <w:tcPr>
            <w:tcW w:w="410" w:type="pct"/>
          </w:tcPr>
          <w:p w:rsidR="00CB7A28" w:rsidRDefault="00CB7A28" w:rsidP="00CB7A28">
            <w:pPr>
              <w:keepLines/>
              <w:spacing w:before="40" w:after="40" w:line="200" w:lineRule="atLeast"/>
              <w:rPr>
                <w:rFonts w:eastAsia="Times New Roman" w:cstheme="minorHAnsi"/>
                <w:iCs/>
                <w:szCs w:val="17"/>
              </w:rPr>
            </w:pPr>
            <w:r>
              <w:rPr>
                <w:rFonts w:asciiTheme="minorHAnsi" w:eastAsia="Times New Roman" w:hAnsiTheme="minorHAnsi" w:cstheme="minorHAnsi"/>
                <w:iCs/>
                <w:szCs w:val="17"/>
              </w:rPr>
              <w:t>2018 AQC</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FFFF00"/>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4</w:t>
            </w:r>
          </w:p>
        </w:tc>
        <w:tc>
          <w:tcPr>
            <w:tcW w:w="311" w:type="pct"/>
            <w:shd w:val="clear" w:color="auto" w:fill="92D050"/>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5</w:t>
            </w:r>
          </w:p>
        </w:tc>
        <w:tc>
          <w:tcPr>
            <w:tcW w:w="352" w:type="pct"/>
            <w:shd w:val="clear" w:color="auto" w:fill="E36C0A"/>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3</w:t>
            </w:r>
          </w:p>
        </w:tc>
        <w:tc>
          <w:tcPr>
            <w:tcW w:w="306" w:type="pct"/>
            <w:shd w:val="clear" w:color="auto" w:fill="E36C0A"/>
            <w:noWrap/>
          </w:tcPr>
          <w:p w:rsidR="00CB7A28" w:rsidRPr="0078317D" w:rsidRDefault="00CB7A28" w:rsidP="00CB7A28">
            <w:pPr>
              <w:keepLines/>
              <w:spacing w:before="40" w:after="40" w:line="200" w:lineRule="atLeast"/>
              <w:jc w:val="center"/>
              <w:rPr>
                <w:rFonts w:eastAsia="Times New Roman" w:cstheme="minorHAnsi"/>
                <w:iCs/>
                <w:szCs w:val="17"/>
              </w:rPr>
            </w:pPr>
            <w:r w:rsidRPr="0078317D">
              <w:rPr>
                <w:rFonts w:asciiTheme="minorHAnsi" w:eastAsia="Times New Roman" w:hAnsiTheme="minorHAnsi" w:cstheme="minorHAnsi"/>
                <w:iCs/>
                <w:szCs w:val="17"/>
              </w:rPr>
              <w:t>3</w:t>
            </w:r>
          </w:p>
        </w:tc>
      </w:tr>
    </w:tbl>
    <w:p w:rsidR="00C05D5C" w:rsidRPr="00812509" w:rsidRDefault="00F55BB3" w:rsidP="00F55BB3">
      <w:pPr>
        <w:spacing w:before="20" w:after="20" w:line="180" w:lineRule="atLeast"/>
        <w:jc w:val="both"/>
        <w:rPr>
          <w:sz w:val="24"/>
        </w:rPr>
      </w:pPr>
      <w:r>
        <w:rPr>
          <w:rFonts w:eastAsia="Times New Roman"/>
          <w:b/>
          <w:sz w:val="16"/>
          <w:szCs w:val="14"/>
        </w:rPr>
        <w:t xml:space="preserve">Satisfactory: </w:t>
      </w:r>
      <w:r w:rsidR="00C05D5C" w:rsidRPr="00812509">
        <w:rPr>
          <w:rFonts w:eastAsia="Times New Roman"/>
          <w:b/>
          <w:color w:val="72AF2F"/>
          <w:sz w:val="16"/>
          <w:szCs w:val="14"/>
        </w:rPr>
        <w:sym w:font="Webdings" w:char="F067"/>
      </w:r>
      <w:r w:rsidR="00C05D5C" w:rsidRPr="00812509">
        <w:rPr>
          <w:rFonts w:eastAsia="Times New Roman"/>
          <w:b/>
          <w:sz w:val="16"/>
          <w:szCs w:val="14"/>
        </w:rPr>
        <w:t xml:space="preserve"> 6 = Very good; satisfies criteria in all areas.  </w:t>
      </w:r>
      <w:r w:rsidR="00C05D5C" w:rsidRPr="00812509">
        <w:rPr>
          <w:rFonts w:eastAsia="Times New Roman"/>
          <w:b/>
          <w:color w:val="72AF2F"/>
          <w:sz w:val="16"/>
          <w:szCs w:val="14"/>
        </w:rPr>
        <w:sym w:font="Webdings" w:char="F067"/>
      </w:r>
      <w:r w:rsidR="00C05D5C" w:rsidRPr="00812509">
        <w:rPr>
          <w:rFonts w:eastAsia="Times New Roman"/>
          <w:b/>
          <w:sz w:val="16"/>
          <w:szCs w:val="14"/>
        </w:rPr>
        <w:t xml:space="preserve"> 5 = Good; satisfies criteria in almost all areas.</w:t>
      </w:r>
      <w:r>
        <w:rPr>
          <w:rFonts w:eastAsia="Times New Roman"/>
          <w:b/>
          <w:sz w:val="16"/>
          <w:szCs w:val="14"/>
        </w:rPr>
        <w:t xml:space="preserve"> </w:t>
      </w:r>
      <w:r w:rsidR="00C05D5C" w:rsidRPr="00812509">
        <w:rPr>
          <w:rFonts w:eastAsia="Times New Roman"/>
          <w:b/>
          <w:color w:val="FFFF00"/>
          <w:sz w:val="16"/>
          <w:szCs w:val="14"/>
        </w:rPr>
        <w:sym w:font="Webdings" w:char="F067"/>
      </w:r>
      <w:r w:rsidR="00C05D5C" w:rsidRPr="00812509">
        <w:rPr>
          <w:rFonts w:eastAsia="Times New Roman"/>
          <w:b/>
          <w:sz w:val="16"/>
          <w:szCs w:val="14"/>
        </w:rPr>
        <w:t xml:space="preserve"> 4 = Adequate; on balance, satisfies criteria; does not fail in any major area.</w:t>
      </w:r>
      <w:r>
        <w:rPr>
          <w:rFonts w:eastAsia="Times New Roman"/>
          <w:b/>
          <w:sz w:val="16"/>
          <w:szCs w:val="14"/>
        </w:rPr>
        <w:t xml:space="preserve"> </w:t>
      </w:r>
      <w:r w:rsidR="00C05D5C" w:rsidRPr="00812509">
        <w:rPr>
          <w:rFonts w:eastAsia="Times New Roman"/>
          <w:b/>
          <w:sz w:val="16"/>
          <w:szCs w:val="14"/>
        </w:rPr>
        <w:t>Les</w:t>
      </w:r>
      <w:r>
        <w:rPr>
          <w:rFonts w:eastAsia="Times New Roman"/>
          <w:b/>
          <w:sz w:val="16"/>
          <w:szCs w:val="14"/>
        </w:rPr>
        <w:t>s than satisfactory:</w:t>
      </w:r>
      <w:r w:rsidR="00C05D5C" w:rsidRPr="00812509">
        <w:rPr>
          <w:rFonts w:eastAsia="Times New Roman"/>
          <w:b/>
          <w:color w:val="E36C0A"/>
          <w:sz w:val="16"/>
          <w:szCs w:val="14"/>
        </w:rPr>
        <w:t xml:space="preserve"> </w:t>
      </w:r>
      <w:r w:rsidR="00C05D5C" w:rsidRPr="00812509">
        <w:rPr>
          <w:rFonts w:eastAsia="Times New Roman"/>
          <w:b/>
          <w:sz w:val="16"/>
          <w:szCs w:val="14"/>
        </w:rPr>
        <w:t>3 = Less than adequate; on balance does not satisfy criteria and/or fails in at least one major area.</w:t>
      </w:r>
      <w:r>
        <w:rPr>
          <w:rFonts w:eastAsia="Times New Roman"/>
          <w:b/>
          <w:sz w:val="16"/>
          <w:szCs w:val="14"/>
        </w:rPr>
        <w:t xml:space="preserve"> </w:t>
      </w:r>
      <w:r w:rsidR="00C05D5C" w:rsidRPr="00812509">
        <w:rPr>
          <w:rFonts w:eastAsia="Times New Roman"/>
          <w:b/>
          <w:color w:val="FF0000"/>
          <w:sz w:val="16"/>
          <w:szCs w:val="14"/>
        </w:rPr>
        <w:sym w:font="Webdings" w:char="F067"/>
      </w:r>
      <w:r w:rsidR="00C05D5C" w:rsidRPr="00812509">
        <w:rPr>
          <w:rFonts w:eastAsia="Times New Roman"/>
          <w:b/>
          <w:sz w:val="16"/>
          <w:szCs w:val="14"/>
        </w:rPr>
        <w:t xml:space="preserve"> 2 = Poor; does not satisfy criteria in major areas.  </w:t>
      </w:r>
      <w:r w:rsidR="00C05D5C" w:rsidRPr="00812509">
        <w:rPr>
          <w:rFonts w:eastAsia="Times New Roman"/>
          <w:b/>
          <w:color w:val="FF0000"/>
          <w:sz w:val="16"/>
          <w:szCs w:val="14"/>
        </w:rPr>
        <w:sym w:font="Webdings" w:char="F067"/>
      </w:r>
      <w:r w:rsidR="00C05D5C" w:rsidRPr="00812509">
        <w:rPr>
          <w:rFonts w:eastAsia="Times New Roman"/>
          <w:b/>
          <w:sz w:val="16"/>
          <w:szCs w:val="14"/>
        </w:rPr>
        <w:t xml:space="preserve"> 1 = Very poor; does not satisfy criteria in many major area.</w:t>
      </w:r>
    </w:p>
    <w:p w:rsidR="00C05D5C" w:rsidRPr="00EF26B5" w:rsidRDefault="00C05D5C" w:rsidP="00330F43">
      <w:pPr>
        <w:suppressAutoHyphens w:val="0"/>
        <w:spacing w:before="0" w:after="120" w:line="440" w:lineRule="atLeast"/>
        <w:rPr>
          <w:rFonts w:asciiTheme="majorHAnsi" w:hAnsiTheme="majorHAnsi" w:cstheme="majorHAnsi"/>
          <w:bCs/>
          <w:iCs/>
          <w:caps/>
        </w:rPr>
      </w:pPr>
      <w:r>
        <w:rPr>
          <w:rFonts w:asciiTheme="majorHAnsi" w:eastAsiaTheme="majorEastAsia" w:hAnsiTheme="majorHAnsi" w:cstheme="majorBidi"/>
          <w:caps/>
          <w:sz w:val="38"/>
          <w:szCs w:val="26"/>
        </w:rPr>
        <w:br w:type="page"/>
      </w:r>
      <w:r w:rsidRPr="00CB7A28">
        <w:rPr>
          <w:rFonts w:asciiTheme="majorHAnsi" w:eastAsiaTheme="majorEastAsia" w:hAnsiTheme="majorHAnsi" w:cstheme="majorHAnsi"/>
          <w:bCs/>
          <w:iCs/>
          <w:caps/>
          <w:spacing w:val="-10"/>
          <w:kern w:val="28"/>
          <w:sz w:val="38"/>
          <w:szCs w:val="24"/>
        </w:rPr>
        <w:lastRenderedPageBreak/>
        <w:t>Annex E – Performance Assessment Framework</w:t>
      </w:r>
    </w:p>
    <w:p w:rsidR="00CA7DD8" w:rsidRDefault="00CA7DD8" w:rsidP="00784031"/>
    <w:tbl>
      <w:tblPr>
        <w:tblW w:w="15031" w:type="dxa"/>
        <w:tblLook w:val="04A0" w:firstRow="1" w:lastRow="0" w:firstColumn="1" w:lastColumn="0" w:noHBand="0" w:noVBand="1"/>
      </w:tblPr>
      <w:tblGrid>
        <w:gridCol w:w="1729"/>
        <w:gridCol w:w="2205"/>
        <w:gridCol w:w="1210"/>
        <w:gridCol w:w="1246"/>
        <w:gridCol w:w="1240"/>
        <w:gridCol w:w="48"/>
        <w:gridCol w:w="1361"/>
        <w:gridCol w:w="1401"/>
        <w:gridCol w:w="1199"/>
        <w:gridCol w:w="1256"/>
        <w:gridCol w:w="2136"/>
      </w:tblGrid>
      <w:tr w:rsidR="002A589C" w:rsidRPr="00CF1044" w:rsidTr="005B4D51">
        <w:trPr>
          <w:trHeight w:val="450"/>
        </w:trPr>
        <w:tc>
          <w:tcPr>
            <w:tcW w:w="15031" w:type="dxa"/>
            <w:gridSpan w:val="11"/>
            <w:tcBorders>
              <w:top w:val="single" w:sz="4" w:space="0" w:color="1F4E78"/>
              <w:left w:val="single" w:sz="4" w:space="0" w:color="1F4E78"/>
              <w:bottom w:val="single" w:sz="4" w:space="0" w:color="1F4E78"/>
              <w:right w:val="nil"/>
            </w:tcBorders>
            <w:shd w:val="clear" w:color="auto" w:fill="7FB64D" w:themeFill="accent3" w:themeFillShade="BF"/>
          </w:tcPr>
          <w:p w:rsidR="002A589C" w:rsidRPr="00CF1044" w:rsidRDefault="002A589C" w:rsidP="001E0245">
            <w:pPr>
              <w:suppressAutoHyphens w:val="0"/>
              <w:spacing w:before="0" w:after="0" w:line="240" w:lineRule="auto"/>
              <w:jc w:val="center"/>
              <w:rPr>
                <w:rFonts w:ascii="Calibri" w:eastAsia="Times New Roman" w:hAnsi="Calibri" w:cs="Times New Roman"/>
                <w:b/>
                <w:bCs/>
                <w:i/>
                <w:iCs/>
                <w:color w:val="FFFFFF"/>
                <w:sz w:val="18"/>
                <w:szCs w:val="18"/>
                <w:lang w:val="en-AU" w:eastAsia="en-AU"/>
              </w:rPr>
            </w:pPr>
            <w:bookmarkStart w:id="1" w:name="RANGE!A1:I80"/>
            <w:r w:rsidRPr="00CF1044">
              <w:rPr>
                <w:rFonts w:ascii="Calibri" w:eastAsia="Times New Roman" w:hAnsi="Calibri" w:cs="Times New Roman"/>
                <w:b/>
                <w:bCs/>
                <w:i/>
                <w:iCs/>
                <w:color w:val="FFFFFF"/>
                <w:sz w:val="18"/>
                <w:szCs w:val="18"/>
                <w:lang w:val="en-AU" w:eastAsia="en-AU"/>
              </w:rPr>
              <w:t>AIP Objective 1: Supporting stability - Solomon Islanders increasingly recognise and participate in a legitimate state, free from conflict and economically stable</w:t>
            </w:r>
            <w:bookmarkEnd w:id="1"/>
          </w:p>
        </w:tc>
      </w:tr>
      <w:tr w:rsidR="009F0B64" w:rsidRPr="00CF1044" w:rsidTr="005B4D51">
        <w:trPr>
          <w:trHeight w:val="1035"/>
        </w:trPr>
        <w:tc>
          <w:tcPr>
            <w:tcW w:w="1729"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2A589C" w:rsidRPr="00CF1044"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p>
        </w:tc>
        <w:tc>
          <w:tcPr>
            <w:tcW w:w="2205" w:type="dxa"/>
            <w:tcBorders>
              <w:top w:val="nil"/>
              <w:left w:val="nil"/>
              <w:bottom w:val="single" w:sz="4" w:space="0" w:color="auto"/>
              <w:right w:val="single" w:sz="4" w:space="0" w:color="1F4E78"/>
            </w:tcBorders>
            <w:shd w:val="clear" w:color="auto" w:fill="CDE2B9" w:themeFill="accent3" w:themeFillTint="99"/>
            <w:vAlign w:val="center"/>
            <w:hideMark/>
          </w:tcPr>
          <w:p w:rsidR="002A589C" w:rsidRPr="00CF1044"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Indicator</w:t>
            </w:r>
            <w:r w:rsidRPr="00CF1044">
              <w:rPr>
                <w:rFonts w:ascii="Calibri" w:eastAsia="Times New Roman" w:hAnsi="Calibri" w:cs="Times New Roman"/>
                <w:b/>
                <w:bCs/>
                <w:color w:val="000000"/>
                <w:sz w:val="18"/>
                <w:szCs w:val="18"/>
                <w:lang w:val="en-AU" w:eastAsia="en-AU"/>
              </w:rPr>
              <w:t xml:space="preserve"> </w:t>
            </w:r>
          </w:p>
        </w:tc>
        <w:tc>
          <w:tcPr>
            <w:tcW w:w="1210" w:type="dxa"/>
            <w:tcBorders>
              <w:top w:val="nil"/>
              <w:left w:val="nil"/>
              <w:bottom w:val="single" w:sz="4" w:space="0" w:color="auto"/>
              <w:right w:val="single" w:sz="4" w:space="0" w:color="1F4E78"/>
            </w:tcBorders>
            <w:shd w:val="clear" w:color="auto" w:fill="CDE2B9" w:themeFill="accent3" w:themeFillTint="99"/>
            <w:vAlign w:val="center"/>
            <w:hideMark/>
          </w:tcPr>
          <w:p w:rsidR="002A589C" w:rsidRPr="00CF1044"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Baseline (2015/16)</w:t>
            </w:r>
          </w:p>
        </w:tc>
        <w:tc>
          <w:tcPr>
            <w:tcW w:w="1246" w:type="dxa"/>
            <w:tcBorders>
              <w:top w:val="nil"/>
              <w:left w:val="nil"/>
              <w:bottom w:val="single" w:sz="4" w:space="0" w:color="auto"/>
              <w:right w:val="single" w:sz="4" w:space="0" w:color="1F4E78"/>
            </w:tcBorders>
            <w:shd w:val="clear" w:color="auto" w:fill="CDE2B9" w:themeFill="accent3" w:themeFillTint="99"/>
            <w:vAlign w:val="center"/>
            <w:hideMark/>
          </w:tcPr>
          <w:p w:rsidR="002A589C" w:rsidRPr="00CF1044"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2016/17</w:t>
            </w:r>
            <w:r w:rsidR="00163C4B">
              <w:rPr>
                <w:rFonts w:ascii="Calibri" w:eastAsia="Times New Roman" w:hAnsi="Calibri" w:cs="Times New Roman"/>
                <w:b/>
                <w:bCs/>
                <w:color w:val="000000"/>
                <w:sz w:val="18"/>
                <w:szCs w:val="18"/>
                <w:lang w:val="en-AU" w:eastAsia="en-AU"/>
              </w:rPr>
              <w:t xml:space="preserve"> result</w:t>
            </w:r>
            <w:r w:rsidRPr="00CF1044">
              <w:rPr>
                <w:rFonts w:ascii="Calibri" w:eastAsia="Times New Roman" w:hAnsi="Calibri" w:cs="Times New Roman"/>
                <w:b/>
                <w:bCs/>
                <w:color w:val="000000"/>
                <w:sz w:val="18"/>
                <w:szCs w:val="18"/>
                <w:lang w:val="en-AU" w:eastAsia="en-AU"/>
              </w:rPr>
              <w:t xml:space="preserve"> </w:t>
            </w:r>
          </w:p>
        </w:tc>
        <w:tc>
          <w:tcPr>
            <w:tcW w:w="1288" w:type="dxa"/>
            <w:gridSpan w:val="2"/>
            <w:tcBorders>
              <w:top w:val="nil"/>
              <w:left w:val="nil"/>
              <w:bottom w:val="single" w:sz="4" w:space="0" w:color="auto"/>
              <w:right w:val="nil"/>
            </w:tcBorders>
            <w:shd w:val="clear" w:color="auto" w:fill="CDE2B9" w:themeFill="accent3" w:themeFillTint="99"/>
            <w:vAlign w:val="center"/>
            <w:hideMark/>
          </w:tcPr>
          <w:p w:rsidR="002A589C" w:rsidRPr="00CF1044" w:rsidRDefault="002A589C" w:rsidP="00BC0AB3">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2017/18 </w:t>
            </w:r>
            <w:r>
              <w:rPr>
                <w:rFonts w:ascii="Calibri" w:eastAsia="Times New Roman" w:hAnsi="Calibri" w:cs="Times New Roman"/>
                <w:b/>
                <w:bCs/>
                <w:color w:val="000000"/>
                <w:sz w:val="18"/>
                <w:szCs w:val="18"/>
                <w:lang w:val="en-AU" w:eastAsia="en-AU"/>
              </w:rPr>
              <w:t>result</w:t>
            </w:r>
          </w:p>
        </w:tc>
        <w:tc>
          <w:tcPr>
            <w:tcW w:w="1361" w:type="dxa"/>
            <w:tcBorders>
              <w:top w:val="nil"/>
              <w:left w:val="single" w:sz="4" w:space="0" w:color="1F4E78"/>
              <w:bottom w:val="single" w:sz="4" w:space="0" w:color="auto"/>
              <w:right w:val="single" w:sz="4" w:space="0" w:color="1F4E78"/>
            </w:tcBorders>
            <w:shd w:val="clear" w:color="auto" w:fill="ACD08C" w:themeFill="accent3"/>
            <w:vAlign w:val="center"/>
            <w:hideMark/>
          </w:tcPr>
          <w:p w:rsidR="002A589C" w:rsidRPr="00CF1044" w:rsidRDefault="002A589C" w:rsidP="00433FB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w:t>
            </w:r>
            <w:r>
              <w:rPr>
                <w:rFonts w:ascii="Calibri" w:eastAsia="Times New Roman" w:hAnsi="Calibri" w:cs="Times New Roman"/>
                <w:b/>
                <w:bCs/>
                <w:color w:val="000000"/>
                <w:sz w:val="18"/>
                <w:szCs w:val="18"/>
                <w:lang w:val="en-AU" w:eastAsia="en-AU"/>
              </w:rPr>
              <w:t>8</w:t>
            </w:r>
            <w:r w:rsidRPr="00CF1044">
              <w:rPr>
                <w:rFonts w:ascii="Calibri" w:eastAsia="Times New Roman" w:hAnsi="Calibri" w:cs="Times New Roman"/>
                <w:b/>
                <w:bCs/>
                <w:color w:val="000000"/>
                <w:sz w:val="18"/>
                <w:szCs w:val="18"/>
                <w:lang w:val="en-AU" w:eastAsia="en-AU"/>
              </w:rPr>
              <w:t>/1</w:t>
            </w:r>
            <w:r>
              <w:rPr>
                <w:rFonts w:ascii="Calibri" w:eastAsia="Times New Roman" w:hAnsi="Calibri" w:cs="Times New Roman"/>
                <w:b/>
                <w:bCs/>
                <w:color w:val="000000"/>
                <w:sz w:val="18"/>
                <w:szCs w:val="18"/>
                <w:lang w:val="en-AU" w:eastAsia="en-AU"/>
              </w:rPr>
              <w:t>9</w:t>
            </w:r>
            <w:r w:rsidRPr="00CF1044">
              <w:rPr>
                <w:rFonts w:ascii="Calibri" w:eastAsia="Times New Roman" w:hAnsi="Calibri" w:cs="Times New Roman"/>
                <w:b/>
                <w:bCs/>
                <w:color w:val="000000"/>
                <w:sz w:val="18"/>
                <w:szCs w:val="18"/>
                <w:lang w:val="en-AU" w:eastAsia="en-AU"/>
              </w:rPr>
              <w:t xml:space="preserve"> </w:t>
            </w:r>
            <w:r>
              <w:rPr>
                <w:rFonts w:ascii="Calibri" w:eastAsia="Times New Roman" w:hAnsi="Calibri" w:cs="Times New Roman"/>
                <w:b/>
                <w:bCs/>
                <w:color w:val="000000"/>
                <w:sz w:val="18"/>
                <w:szCs w:val="18"/>
                <w:lang w:val="en-AU" w:eastAsia="en-AU"/>
              </w:rPr>
              <w:t>target</w:t>
            </w:r>
          </w:p>
        </w:tc>
        <w:tc>
          <w:tcPr>
            <w:tcW w:w="1401" w:type="dxa"/>
            <w:tcBorders>
              <w:top w:val="nil"/>
              <w:left w:val="nil"/>
              <w:bottom w:val="single" w:sz="4" w:space="0" w:color="auto"/>
              <w:right w:val="single" w:sz="4" w:space="0" w:color="auto"/>
            </w:tcBorders>
            <w:shd w:val="clear" w:color="auto" w:fill="ACD08C" w:themeFill="accent3"/>
            <w:vAlign w:val="center"/>
            <w:hideMark/>
          </w:tcPr>
          <w:p w:rsidR="002A589C" w:rsidRPr="00CF1044" w:rsidRDefault="002A589C" w:rsidP="00433FB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w:t>
            </w:r>
            <w:r>
              <w:rPr>
                <w:rFonts w:ascii="Calibri" w:eastAsia="Times New Roman" w:hAnsi="Calibri" w:cs="Times New Roman"/>
                <w:b/>
                <w:bCs/>
                <w:color w:val="000000"/>
                <w:sz w:val="18"/>
                <w:szCs w:val="18"/>
                <w:lang w:val="en-AU" w:eastAsia="en-AU"/>
              </w:rPr>
              <w:t>018/19 result</w:t>
            </w:r>
          </w:p>
        </w:tc>
        <w:tc>
          <w:tcPr>
            <w:tcW w:w="1199" w:type="dxa"/>
            <w:tcBorders>
              <w:top w:val="single" w:sz="4" w:space="0" w:color="auto"/>
              <w:left w:val="single" w:sz="4" w:space="0" w:color="auto"/>
              <w:bottom w:val="single" w:sz="4" w:space="0" w:color="auto"/>
              <w:right w:val="single" w:sz="4" w:space="0" w:color="auto"/>
            </w:tcBorders>
            <w:shd w:val="clear" w:color="auto" w:fill="CDE2B9" w:themeFill="accent3" w:themeFillTint="99"/>
          </w:tcPr>
          <w:p w:rsidR="002A589C"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p>
          <w:p w:rsidR="002A589C"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p>
          <w:p w:rsidR="002A589C" w:rsidRPr="00CF1044"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2019/20 Target</w:t>
            </w:r>
          </w:p>
        </w:tc>
        <w:tc>
          <w:tcPr>
            <w:tcW w:w="1256" w:type="dxa"/>
            <w:tcBorders>
              <w:top w:val="single" w:sz="4" w:space="0" w:color="auto"/>
              <w:left w:val="single" w:sz="4" w:space="0" w:color="auto"/>
              <w:bottom w:val="single" w:sz="4" w:space="0" w:color="auto"/>
              <w:right w:val="single" w:sz="4" w:space="0" w:color="auto"/>
            </w:tcBorders>
            <w:shd w:val="clear" w:color="auto" w:fill="CDE2B9" w:themeFill="accent3" w:themeFillTint="99"/>
            <w:vAlign w:val="center"/>
            <w:hideMark/>
          </w:tcPr>
          <w:p w:rsidR="002A589C" w:rsidRPr="00CF1044"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DFAT investments contributing to outcome </w:t>
            </w:r>
          </w:p>
        </w:tc>
        <w:tc>
          <w:tcPr>
            <w:tcW w:w="2136" w:type="dxa"/>
            <w:tcBorders>
              <w:top w:val="nil"/>
              <w:left w:val="single" w:sz="4" w:space="0" w:color="auto"/>
              <w:bottom w:val="single" w:sz="4" w:space="0" w:color="auto"/>
              <w:right w:val="single" w:sz="4" w:space="0" w:color="1F4E78"/>
            </w:tcBorders>
            <w:shd w:val="clear" w:color="auto" w:fill="CDE2B9" w:themeFill="accent3" w:themeFillTint="99"/>
            <w:vAlign w:val="center"/>
            <w:hideMark/>
          </w:tcPr>
          <w:p w:rsidR="002A589C" w:rsidRPr="00CF1044" w:rsidRDefault="002A589C" w:rsidP="001E024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Data collection method</w:t>
            </w:r>
          </w:p>
        </w:tc>
      </w:tr>
      <w:tr w:rsidR="002A589C" w:rsidRPr="00CF1044" w:rsidTr="005B4D51">
        <w:trPr>
          <w:trHeight w:val="420"/>
        </w:trPr>
        <w:tc>
          <w:tcPr>
            <w:tcW w:w="15031" w:type="dxa"/>
            <w:gridSpan w:val="11"/>
            <w:tcBorders>
              <w:top w:val="single" w:sz="4" w:space="0" w:color="auto"/>
              <w:left w:val="single" w:sz="4" w:space="0" w:color="auto"/>
              <w:bottom w:val="single" w:sz="4" w:space="0" w:color="auto"/>
              <w:right w:val="single" w:sz="4" w:space="0" w:color="auto"/>
            </w:tcBorders>
            <w:shd w:val="clear" w:color="auto" w:fill="DDECD0" w:themeFill="accent3" w:themeFillTint="66"/>
          </w:tcPr>
          <w:p w:rsidR="002A589C" w:rsidRPr="00CF1044" w:rsidRDefault="002A589C" w:rsidP="002A589C">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Solomon Islanders' have greater access to an effective justice system</w:t>
            </w:r>
          </w:p>
        </w:tc>
      </w:tr>
      <w:tr w:rsidR="009F0B64" w:rsidRPr="00CF1044" w:rsidTr="005B4D51">
        <w:trPr>
          <w:trHeight w:val="720"/>
        </w:trPr>
        <w:tc>
          <w:tcPr>
            <w:tcW w:w="1729" w:type="dxa"/>
            <w:vMerge w:val="restart"/>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205" w:type="dxa"/>
            <w:tcBorders>
              <w:top w:val="nil"/>
              <w:left w:val="nil"/>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Percentage of people satisfied with the way in which disputes are settled</w:t>
            </w:r>
          </w:p>
        </w:tc>
        <w:tc>
          <w:tcPr>
            <w:tcW w:w="1210"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46"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88"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64772" w:rsidRPr="00BC0AB3" w:rsidRDefault="00264772" w:rsidP="00264772">
            <w:pPr>
              <w:suppressAutoHyphens w:val="0"/>
              <w:spacing w:before="0" w:after="0" w:line="240" w:lineRule="auto"/>
              <w:rPr>
                <w:rFonts w:ascii="Calibri" w:eastAsia="Times New Roman" w:hAnsi="Calibri" w:cs="Times New Roman"/>
                <w:bCs/>
                <w:color w:val="000000"/>
                <w:sz w:val="18"/>
                <w:szCs w:val="18"/>
                <w:lang w:val="en-AU" w:eastAsia="en-AU"/>
              </w:rPr>
            </w:pPr>
            <w:r w:rsidRPr="00BC0AB3">
              <w:rPr>
                <w:rFonts w:ascii="Calibri" w:eastAsia="Times New Roman" w:hAnsi="Calibri" w:cs="Times New Roman"/>
                <w:bCs/>
                <w:color w:val="000000"/>
                <w:sz w:val="18"/>
                <w:szCs w:val="18"/>
                <w:lang w:val="en-AU" w:eastAsia="en-AU"/>
              </w:rPr>
              <w:t>66%</w:t>
            </w:r>
          </w:p>
        </w:tc>
        <w:tc>
          <w:tcPr>
            <w:tcW w:w="1361"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01"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72.6%</w:t>
            </w:r>
          </w:p>
        </w:tc>
        <w:tc>
          <w:tcPr>
            <w:tcW w:w="1199"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auto"/>
                <w:sz w:val="18"/>
                <w:szCs w:val="18"/>
                <w:lang w:val="en-AU" w:eastAsia="en-AU"/>
              </w:rPr>
              <w:t>Justice</w:t>
            </w:r>
          </w:p>
        </w:tc>
        <w:tc>
          <w:tcPr>
            <w:tcW w:w="2136" w:type="dxa"/>
            <w:tcBorders>
              <w:top w:val="nil"/>
              <w:left w:val="nil"/>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 xml:space="preserve">Solomon Islands </w:t>
            </w:r>
            <w:r w:rsidR="00DB7C62">
              <w:rPr>
                <w:rFonts w:ascii="Calibri" w:eastAsia="Times New Roman" w:hAnsi="Calibri" w:cs="Times New Roman"/>
                <w:color w:val="000000"/>
                <w:sz w:val="18"/>
                <w:szCs w:val="18"/>
                <w:lang w:val="en-AU" w:eastAsia="en-AU"/>
              </w:rPr>
              <w:t xml:space="preserve">(SI) </w:t>
            </w:r>
            <w:r>
              <w:rPr>
                <w:rFonts w:ascii="Calibri" w:eastAsia="Times New Roman" w:hAnsi="Calibri" w:cs="Times New Roman"/>
                <w:color w:val="000000"/>
                <w:sz w:val="18"/>
                <w:szCs w:val="18"/>
                <w:lang w:val="en-AU" w:eastAsia="en-AU"/>
              </w:rPr>
              <w:t>Access to Justice Study 2019</w:t>
            </w:r>
          </w:p>
        </w:tc>
      </w:tr>
      <w:tr w:rsidR="009F0B64" w:rsidRPr="00CF1044" w:rsidTr="005B4D51">
        <w:trPr>
          <w:trHeight w:val="1080"/>
        </w:trPr>
        <w:tc>
          <w:tcPr>
            <w:tcW w:w="1729" w:type="dxa"/>
            <w:vMerge/>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205" w:type="dxa"/>
            <w:tcBorders>
              <w:top w:val="nil"/>
              <w:left w:val="nil"/>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FF0000"/>
                <w:sz w:val="18"/>
                <w:szCs w:val="18"/>
                <w:lang w:val="en-AU" w:eastAsia="en-AU"/>
              </w:rPr>
            </w:pPr>
            <w:r w:rsidRPr="00CF1044">
              <w:rPr>
                <w:rFonts w:ascii="Calibri" w:eastAsia="Times New Roman" w:hAnsi="Calibri" w:cs="Times New Roman"/>
                <w:color w:val="auto"/>
                <w:sz w:val="18"/>
                <w:szCs w:val="18"/>
                <w:lang w:val="en-AU" w:eastAsia="en-AU"/>
              </w:rPr>
              <w:t>Percentage of people happy with the national government's handling of key issues related to basic services and justice</w:t>
            </w:r>
          </w:p>
        </w:tc>
        <w:tc>
          <w:tcPr>
            <w:tcW w:w="1210"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46"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88"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64772" w:rsidRPr="00BC0AB3" w:rsidRDefault="00264772" w:rsidP="00264772">
            <w:pPr>
              <w:suppressAutoHyphens w:val="0"/>
              <w:spacing w:before="0" w:after="0" w:line="240" w:lineRule="auto"/>
              <w:rPr>
                <w:rFonts w:ascii="Calibri" w:eastAsia="Times New Roman" w:hAnsi="Calibri" w:cs="Times New Roman"/>
                <w:bCs/>
                <w:color w:val="000000"/>
                <w:sz w:val="18"/>
                <w:szCs w:val="18"/>
                <w:lang w:val="en-AU" w:eastAsia="en-AU"/>
              </w:rPr>
            </w:pPr>
            <w:r w:rsidRPr="00BC0AB3">
              <w:rPr>
                <w:rFonts w:ascii="Calibri" w:eastAsia="Times New Roman" w:hAnsi="Calibri" w:cs="Times New Roman"/>
                <w:bCs/>
                <w:color w:val="000000"/>
                <w:sz w:val="18"/>
                <w:szCs w:val="18"/>
                <w:lang w:val="en-AU" w:eastAsia="en-AU"/>
              </w:rPr>
              <w:t>60%</w:t>
            </w:r>
          </w:p>
        </w:tc>
        <w:tc>
          <w:tcPr>
            <w:tcW w:w="1361"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01" w:type="dxa"/>
            <w:tcBorders>
              <w:top w:val="nil"/>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64.7%</w:t>
            </w:r>
            <w:r w:rsidRPr="00CF1044">
              <w:rPr>
                <w:rFonts w:ascii="Calibri" w:eastAsia="Times New Roman" w:hAnsi="Calibri" w:cs="Times New Roman"/>
                <w:color w:val="000000"/>
                <w:sz w:val="18"/>
                <w:szCs w:val="18"/>
                <w:lang w:val="en-AU" w:eastAsia="en-AU"/>
              </w:rPr>
              <w:t> </w:t>
            </w:r>
          </w:p>
        </w:tc>
        <w:tc>
          <w:tcPr>
            <w:tcW w:w="1199"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auto"/>
                <w:sz w:val="18"/>
                <w:szCs w:val="18"/>
                <w:lang w:val="en-AU" w:eastAsia="en-AU"/>
              </w:rPr>
              <w:t>Justice</w:t>
            </w:r>
          </w:p>
        </w:tc>
        <w:tc>
          <w:tcPr>
            <w:tcW w:w="2136" w:type="dxa"/>
            <w:tcBorders>
              <w:top w:val="nil"/>
              <w:left w:val="nil"/>
              <w:bottom w:val="single" w:sz="4" w:space="0" w:color="auto"/>
              <w:right w:val="single" w:sz="4" w:space="0" w:color="auto"/>
            </w:tcBorders>
            <w:shd w:val="clear" w:color="auto" w:fill="EEF5E7" w:themeFill="accent3" w:themeFillTint="33"/>
            <w:hideMark/>
          </w:tcPr>
          <w:p w:rsidR="00264772" w:rsidRPr="00CF1044" w:rsidRDefault="00DB7C6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SI</w:t>
            </w:r>
            <w:r w:rsidR="00264772">
              <w:rPr>
                <w:rFonts w:ascii="Calibri" w:eastAsia="Times New Roman" w:hAnsi="Calibri" w:cs="Times New Roman"/>
                <w:color w:val="000000"/>
                <w:sz w:val="18"/>
                <w:szCs w:val="18"/>
                <w:lang w:val="en-AU" w:eastAsia="en-AU"/>
              </w:rPr>
              <w:t xml:space="preserve"> Access to Justice Study 2019</w:t>
            </w:r>
          </w:p>
        </w:tc>
      </w:tr>
      <w:tr w:rsidR="009F0B64" w:rsidRPr="00CF1044" w:rsidTr="005B4D51">
        <w:trPr>
          <w:trHeight w:val="885"/>
        </w:trPr>
        <w:tc>
          <w:tcPr>
            <w:tcW w:w="1729" w:type="dxa"/>
            <w:vMerge w:val="restart"/>
            <w:tcBorders>
              <w:top w:val="nil"/>
              <w:left w:val="single" w:sz="4" w:space="0" w:color="auto"/>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Outcome </w:t>
            </w:r>
            <w:r>
              <w:rPr>
                <w:rFonts w:ascii="Calibri" w:eastAsia="Times New Roman" w:hAnsi="Calibri" w:cs="Times New Roman"/>
                <w:b/>
                <w:bCs/>
                <w:color w:val="000000"/>
                <w:sz w:val="18"/>
                <w:szCs w:val="18"/>
                <w:lang w:val="en-AU" w:eastAsia="en-AU"/>
              </w:rPr>
              <w:t>1.</w:t>
            </w:r>
            <w:r w:rsidRPr="00CF1044">
              <w:rPr>
                <w:rFonts w:ascii="Calibri" w:eastAsia="Times New Roman" w:hAnsi="Calibri" w:cs="Times New Roman"/>
                <w:b/>
                <w:bCs/>
                <w:color w:val="000000"/>
                <w:sz w:val="18"/>
                <w:szCs w:val="18"/>
                <w:lang w:val="en-AU" w:eastAsia="en-AU"/>
              </w:rPr>
              <w:t xml:space="preserve">1: </w:t>
            </w:r>
            <w:r w:rsidRPr="00CF1044">
              <w:rPr>
                <w:rFonts w:ascii="Calibri" w:eastAsia="Times New Roman" w:hAnsi="Calibri" w:cs="Times New Roman"/>
                <w:color w:val="000000"/>
                <w:sz w:val="18"/>
                <w:szCs w:val="18"/>
                <w:lang w:val="en-AU" w:eastAsia="en-AU"/>
              </w:rPr>
              <w:t>Increasing access to justice and improved system efficiency (with a focus on reducing violence against women)</w:t>
            </w:r>
          </w:p>
        </w:tc>
        <w:tc>
          <w:tcPr>
            <w:tcW w:w="2205" w:type="dxa"/>
            <w:tcBorders>
              <w:top w:val="nil"/>
              <w:left w:val="nil"/>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 Number of criminal cases disposed of in Magistrates Court*</w:t>
            </w:r>
          </w:p>
        </w:tc>
        <w:tc>
          <w:tcPr>
            <w:tcW w:w="1210" w:type="dxa"/>
            <w:tcBorders>
              <w:top w:val="nil"/>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831C43">
              <w:rPr>
                <w:rFonts w:ascii="Calibri" w:eastAsia="Times New Roman" w:hAnsi="Calibri" w:cs="Times New Roman"/>
                <w:color w:val="auto"/>
                <w:sz w:val="18"/>
                <w:szCs w:val="18"/>
                <w:lang w:val="en-AU" w:eastAsia="en-AU"/>
              </w:rPr>
              <w:t>707</w:t>
            </w:r>
          </w:p>
        </w:tc>
        <w:tc>
          <w:tcPr>
            <w:tcW w:w="1246" w:type="dxa"/>
            <w:tcBorders>
              <w:top w:val="nil"/>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831C43">
              <w:rPr>
                <w:rFonts w:ascii="Calibri" w:eastAsia="Times New Roman" w:hAnsi="Calibri" w:cs="Times New Roman"/>
                <w:color w:val="auto"/>
                <w:sz w:val="18"/>
                <w:szCs w:val="18"/>
                <w:lang w:val="en-AU" w:eastAsia="en-AU"/>
              </w:rPr>
              <w:t>628</w:t>
            </w:r>
          </w:p>
        </w:tc>
        <w:tc>
          <w:tcPr>
            <w:tcW w:w="1288" w:type="dxa"/>
            <w:gridSpan w:val="2"/>
            <w:tcBorders>
              <w:top w:val="nil"/>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831C43">
              <w:rPr>
                <w:rFonts w:ascii="Calibri" w:eastAsia="Times New Roman" w:hAnsi="Calibri" w:cs="Times New Roman"/>
                <w:color w:val="auto"/>
                <w:sz w:val="18"/>
                <w:szCs w:val="18"/>
                <w:lang w:val="en-AU" w:eastAsia="en-AU"/>
              </w:rPr>
              <w:t>885</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831C43">
              <w:rPr>
                <w:rFonts w:ascii="Calibri" w:eastAsia="Times New Roman" w:hAnsi="Calibri" w:cs="Times New Roman"/>
                <w:color w:val="auto"/>
                <w:sz w:val="18"/>
                <w:szCs w:val="18"/>
                <w:lang w:val="en-AU" w:eastAsia="en-AU"/>
              </w:rPr>
              <w:t>650</w:t>
            </w:r>
          </w:p>
        </w:tc>
        <w:tc>
          <w:tcPr>
            <w:tcW w:w="1401" w:type="dxa"/>
            <w:tcBorders>
              <w:top w:val="nil"/>
              <w:left w:val="nil"/>
              <w:bottom w:val="single" w:sz="4" w:space="0" w:color="auto"/>
              <w:right w:val="single" w:sz="4" w:space="0" w:color="auto"/>
            </w:tcBorders>
            <w:shd w:val="clear" w:color="auto" w:fill="auto"/>
            <w:vAlign w:val="center"/>
          </w:tcPr>
          <w:p w:rsidR="00264772" w:rsidRPr="00831C43" w:rsidRDefault="00575681">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1,013 (excludes </w:t>
            </w:r>
            <w:proofErr w:type="spellStart"/>
            <w:r>
              <w:rPr>
                <w:rFonts w:ascii="Calibri" w:eastAsia="Times New Roman" w:hAnsi="Calibri" w:cs="Times New Roman"/>
                <w:color w:val="auto"/>
                <w:sz w:val="18"/>
                <w:szCs w:val="18"/>
                <w:lang w:val="en-AU" w:eastAsia="en-AU"/>
              </w:rPr>
              <w:t>Lata</w:t>
            </w:r>
            <w:proofErr w:type="spellEnd"/>
            <w:r>
              <w:rPr>
                <w:rFonts w:ascii="Calibri" w:eastAsia="Times New Roman" w:hAnsi="Calibri" w:cs="Times New Roman"/>
                <w:color w:val="auto"/>
                <w:sz w:val="18"/>
                <w:szCs w:val="18"/>
                <w:lang w:val="en-AU" w:eastAsia="en-AU"/>
              </w:rPr>
              <w:t>/</w:t>
            </w:r>
            <w:proofErr w:type="spellStart"/>
            <w:r>
              <w:rPr>
                <w:rFonts w:ascii="Calibri" w:eastAsia="Times New Roman" w:hAnsi="Calibri" w:cs="Times New Roman"/>
                <w:color w:val="auto"/>
                <w:sz w:val="18"/>
                <w:szCs w:val="18"/>
                <w:lang w:val="en-AU" w:eastAsia="en-AU"/>
              </w:rPr>
              <w:t>Kirakira</w:t>
            </w:r>
            <w:proofErr w:type="spellEnd"/>
            <w:r>
              <w:rPr>
                <w:rFonts w:ascii="Calibri" w:eastAsia="Times New Roman" w:hAnsi="Calibri" w:cs="Times New Roman"/>
                <w:color w:val="auto"/>
                <w:sz w:val="18"/>
                <w:szCs w:val="18"/>
                <w:lang w:val="en-AU" w:eastAsia="en-AU"/>
              </w:rPr>
              <w:t>)</w:t>
            </w:r>
          </w:p>
        </w:tc>
        <w:tc>
          <w:tcPr>
            <w:tcW w:w="1199" w:type="dxa"/>
            <w:tcBorders>
              <w:top w:val="single" w:sz="4" w:space="0" w:color="auto"/>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64772" w:rsidRPr="00831C43"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831C43">
              <w:rPr>
                <w:rFonts w:ascii="Calibri" w:eastAsia="Times New Roman" w:hAnsi="Calibri" w:cs="Times New Roman"/>
                <w:color w:val="auto"/>
                <w:sz w:val="18"/>
                <w:szCs w:val="18"/>
                <w:lang w:val="en-AU" w:eastAsia="en-AU"/>
              </w:rPr>
              <w:t>Justice</w:t>
            </w:r>
          </w:p>
        </w:tc>
        <w:tc>
          <w:tcPr>
            <w:tcW w:w="2136" w:type="dxa"/>
            <w:tcBorders>
              <w:top w:val="nil"/>
              <w:left w:val="nil"/>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 Information Management System</w:t>
            </w:r>
          </w:p>
        </w:tc>
      </w:tr>
      <w:tr w:rsidR="009F0B64" w:rsidRPr="00CF1044" w:rsidTr="005B4D51">
        <w:trPr>
          <w:trHeight w:val="930"/>
        </w:trPr>
        <w:tc>
          <w:tcPr>
            <w:tcW w:w="1729" w:type="dxa"/>
            <w:vMerge/>
            <w:tcBorders>
              <w:top w:val="nil"/>
              <w:left w:val="single" w:sz="4" w:space="0" w:color="auto"/>
              <w:bottom w:val="single" w:sz="4" w:space="0" w:color="auto"/>
              <w:right w:val="single" w:sz="4" w:space="0" w:color="auto"/>
            </w:tcBorders>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nil"/>
              <w:left w:val="nil"/>
              <w:bottom w:val="nil"/>
              <w:right w:val="nil"/>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 Number of Provincial Court circuits by the Magistrates Court</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25</w:t>
            </w:r>
          </w:p>
        </w:tc>
        <w:tc>
          <w:tcPr>
            <w:tcW w:w="1246" w:type="dxa"/>
            <w:tcBorders>
              <w:top w:val="nil"/>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21</w:t>
            </w:r>
          </w:p>
        </w:tc>
        <w:tc>
          <w:tcPr>
            <w:tcW w:w="1288" w:type="dxa"/>
            <w:gridSpan w:val="2"/>
            <w:tcBorders>
              <w:top w:val="nil"/>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12</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20</w:t>
            </w:r>
          </w:p>
        </w:tc>
        <w:tc>
          <w:tcPr>
            <w:tcW w:w="1401" w:type="dxa"/>
            <w:tcBorders>
              <w:top w:val="nil"/>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60</w:t>
            </w:r>
          </w:p>
        </w:tc>
        <w:tc>
          <w:tcPr>
            <w:tcW w:w="1199" w:type="dxa"/>
            <w:tcBorders>
              <w:top w:val="single" w:sz="4" w:space="0" w:color="auto"/>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auto"/>
                <w:sz w:val="18"/>
                <w:szCs w:val="18"/>
                <w:lang w:val="en-AU" w:eastAsia="en-AU"/>
              </w:rPr>
              <w:t>70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Justice</w:t>
            </w:r>
          </w:p>
        </w:tc>
        <w:tc>
          <w:tcPr>
            <w:tcW w:w="2136" w:type="dxa"/>
            <w:tcBorders>
              <w:top w:val="nil"/>
              <w:left w:val="nil"/>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 Information Management System</w:t>
            </w:r>
          </w:p>
        </w:tc>
      </w:tr>
      <w:tr w:rsidR="009F0B64" w:rsidRPr="00CF1044" w:rsidTr="005B4D51">
        <w:trPr>
          <w:trHeight w:val="1245"/>
        </w:trPr>
        <w:tc>
          <w:tcPr>
            <w:tcW w:w="1729" w:type="dxa"/>
            <w:vMerge/>
            <w:tcBorders>
              <w:top w:val="nil"/>
              <w:left w:val="single" w:sz="4" w:space="0" w:color="auto"/>
              <w:bottom w:val="single" w:sz="4" w:space="0" w:color="auto"/>
              <w:right w:val="single" w:sz="4" w:space="0" w:color="auto"/>
            </w:tcBorders>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F8F8F8"/>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1.3 Number of Protection Orders</w:t>
            </w:r>
            <w:r>
              <w:rPr>
                <w:rFonts w:ascii="Calibri" w:eastAsia="Times New Roman" w:hAnsi="Calibri" w:cs="Times New Roman"/>
                <w:color w:val="000000"/>
                <w:sz w:val="18"/>
                <w:szCs w:val="18"/>
                <w:lang w:val="en-AU" w:eastAsia="en-AU"/>
              </w:rPr>
              <w:t xml:space="preserve"> (POs)</w:t>
            </w:r>
            <w:r w:rsidRPr="00CF1044">
              <w:rPr>
                <w:rFonts w:ascii="Calibri" w:eastAsia="Times New Roman" w:hAnsi="Calibri" w:cs="Times New Roman"/>
                <w:color w:val="000000"/>
                <w:sz w:val="18"/>
                <w:szCs w:val="18"/>
                <w:lang w:val="en-AU" w:eastAsia="en-AU"/>
              </w:rPr>
              <w:t xml:space="preserve"> issued by the courts, in line with the 2015 Family Protection Act (to address violence against women and girls)</w:t>
            </w:r>
          </w:p>
        </w:tc>
        <w:tc>
          <w:tcPr>
            <w:tcW w:w="1210" w:type="dxa"/>
            <w:tcBorders>
              <w:top w:val="nil"/>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0</w:t>
            </w:r>
          </w:p>
        </w:tc>
        <w:tc>
          <w:tcPr>
            <w:tcW w:w="1246" w:type="dxa"/>
            <w:tcBorders>
              <w:top w:val="nil"/>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39</w:t>
            </w:r>
          </w:p>
        </w:tc>
        <w:tc>
          <w:tcPr>
            <w:tcW w:w="1288" w:type="dxa"/>
            <w:gridSpan w:val="2"/>
            <w:tcBorders>
              <w:top w:val="nil"/>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26</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POs issued</w:t>
            </w:r>
          </w:p>
        </w:tc>
        <w:tc>
          <w:tcPr>
            <w:tcW w:w="1401" w:type="dxa"/>
            <w:tcBorders>
              <w:top w:val="nil"/>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15</w:t>
            </w:r>
          </w:p>
        </w:tc>
        <w:tc>
          <w:tcPr>
            <w:tcW w:w="1199" w:type="dxa"/>
            <w:tcBorders>
              <w:top w:val="single" w:sz="4" w:space="0" w:color="auto"/>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auto"/>
                <w:sz w:val="18"/>
                <w:szCs w:val="18"/>
                <w:lang w:val="en-AU" w:eastAsia="en-AU"/>
              </w:rPr>
              <w:t>20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Justice, Policing</w:t>
            </w:r>
          </w:p>
        </w:tc>
        <w:tc>
          <w:tcPr>
            <w:tcW w:w="2136" w:type="dxa"/>
            <w:tcBorders>
              <w:top w:val="nil"/>
              <w:left w:val="nil"/>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 Information Management System</w:t>
            </w:r>
          </w:p>
        </w:tc>
      </w:tr>
      <w:tr w:rsidR="009F0B64" w:rsidRPr="00CF1044" w:rsidTr="005B4D51">
        <w:trPr>
          <w:trHeight w:val="765"/>
        </w:trPr>
        <w:tc>
          <w:tcPr>
            <w:tcW w:w="1729" w:type="dxa"/>
            <w:vMerge/>
            <w:tcBorders>
              <w:top w:val="nil"/>
              <w:left w:val="single" w:sz="4" w:space="0" w:color="auto"/>
              <w:bottom w:val="single" w:sz="4" w:space="0" w:color="auto"/>
              <w:right w:val="single" w:sz="4" w:space="0" w:color="auto"/>
            </w:tcBorders>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1.4 </w:t>
            </w:r>
            <w:r w:rsidR="00F92008">
              <w:rPr>
                <w:rFonts w:ascii="Calibri" w:eastAsia="Times New Roman" w:hAnsi="Calibri" w:cs="Times New Roman"/>
                <w:color w:val="000000"/>
                <w:sz w:val="18"/>
                <w:szCs w:val="18"/>
                <w:lang w:val="en-AU" w:eastAsia="en-AU"/>
              </w:rPr>
              <w:t>Number</w:t>
            </w:r>
            <w:r w:rsidRPr="00CF1044">
              <w:rPr>
                <w:rFonts w:ascii="Calibri" w:eastAsia="Times New Roman" w:hAnsi="Calibri" w:cs="Times New Roman"/>
                <w:color w:val="000000"/>
                <w:sz w:val="18"/>
                <w:szCs w:val="18"/>
                <w:lang w:val="en-AU" w:eastAsia="en-AU"/>
              </w:rPr>
              <w:t xml:space="preserve"> of </w:t>
            </w:r>
            <w:r w:rsidR="00F92008">
              <w:rPr>
                <w:rFonts w:ascii="Calibri" w:eastAsia="Times New Roman" w:hAnsi="Calibri" w:cs="Times New Roman"/>
                <w:color w:val="000000"/>
                <w:sz w:val="18"/>
                <w:szCs w:val="18"/>
                <w:lang w:val="en-AU" w:eastAsia="en-AU"/>
              </w:rPr>
              <w:t>p</w:t>
            </w:r>
            <w:r w:rsidRPr="00CF1044">
              <w:rPr>
                <w:rFonts w:ascii="Calibri" w:eastAsia="Times New Roman" w:hAnsi="Calibri" w:cs="Times New Roman"/>
                <w:color w:val="000000"/>
                <w:sz w:val="18"/>
                <w:szCs w:val="18"/>
                <w:lang w:val="en-AU" w:eastAsia="en-AU"/>
              </w:rPr>
              <w:t>olice and other law and justice officials trained*</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1408</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1393</w:t>
            </w: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934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800</w:t>
            </w:r>
          </w:p>
        </w:tc>
        <w:tc>
          <w:tcPr>
            <w:tcW w:w="1401" w:type="dxa"/>
            <w:tcBorders>
              <w:top w:val="single" w:sz="4" w:space="0" w:color="auto"/>
              <w:left w:val="nil"/>
              <w:bottom w:val="single" w:sz="4" w:space="0" w:color="auto"/>
              <w:right w:val="single" w:sz="4" w:space="0" w:color="auto"/>
            </w:tcBorders>
            <w:shd w:val="clear" w:color="auto" w:fill="auto"/>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677</w:t>
            </w:r>
          </w:p>
        </w:tc>
        <w:tc>
          <w:tcPr>
            <w:tcW w:w="1199" w:type="dxa"/>
            <w:tcBorders>
              <w:top w:val="single" w:sz="4" w:space="0" w:color="auto"/>
              <w:left w:val="nil"/>
              <w:bottom w:val="single" w:sz="4" w:space="0" w:color="auto"/>
              <w:right w:val="single" w:sz="4" w:space="0" w:color="auto"/>
            </w:tcBorders>
            <w:vAlign w:val="center"/>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auto"/>
                <w:sz w:val="18"/>
                <w:szCs w:val="18"/>
                <w:lang w:val="en-AU" w:eastAsia="en-AU"/>
              </w:rPr>
              <w:t>900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64772" w:rsidRPr="00831C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831C43">
              <w:rPr>
                <w:rFonts w:ascii="Calibri" w:eastAsia="Times New Roman" w:hAnsi="Calibri" w:cs="Times New Roman"/>
                <w:color w:val="000000"/>
                <w:sz w:val="18"/>
                <w:szCs w:val="18"/>
                <w:lang w:val="en-AU" w:eastAsia="en-AU"/>
              </w:rPr>
              <w:t>Justice, Policing</w:t>
            </w:r>
          </w:p>
        </w:tc>
        <w:tc>
          <w:tcPr>
            <w:tcW w:w="2136" w:type="dxa"/>
            <w:tcBorders>
              <w:top w:val="single" w:sz="4" w:space="0" w:color="auto"/>
              <w:left w:val="nil"/>
              <w:bottom w:val="single" w:sz="4" w:space="0" w:color="auto"/>
              <w:right w:val="single" w:sz="4" w:space="0" w:color="auto"/>
            </w:tcBorders>
            <w:shd w:val="clear" w:color="auto" w:fill="auto"/>
            <w:hideMark/>
          </w:tcPr>
          <w:p w:rsidR="00771743"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Project reports + </w:t>
            </w:r>
            <w:r>
              <w:rPr>
                <w:rFonts w:ascii="Calibri" w:eastAsia="Times New Roman" w:hAnsi="Calibri" w:cs="Times New Roman"/>
                <w:color w:val="000000"/>
                <w:sz w:val="18"/>
                <w:szCs w:val="18"/>
                <w:lang w:val="en-AU" w:eastAsia="en-AU"/>
              </w:rPr>
              <w:t>Justice &amp; Governance M</w:t>
            </w:r>
            <w:r w:rsidR="009F0B64">
              <w:rPr>
                <w:rFonts w:ascii="Calibri" w:eastAsia="Times New Roman" w:hAnsi="Calibri" w:cs="Times New Roman"/>
                <w:color w:val="000000"/>
                <w:sz w:val="18"/>
                <w:szCs w:val="18"/>
                <w:lang w:val="en-AU" w:eastAsia="en-AU"/>
              </w:rPr>
              <w:t>onitoring,  Evaluation and Learning (M</w:t>
            </w:r>
            <w:r>
              <w:rPr>
                <w:rFonts w:ascii="Calibri" w:eastAsia="Times New Roman" w:hAnsi="Calibri" w:cs="Times New Roman"/>
                <w:color w:val="000000"/>
                <w:sz w:val="18"/>
                <w:szCs w:val="18"/>
                <w:lang w:val="en-AU" w:eastAsia="en-AU"/>
              </w:rPr>
              <w:t>EL</w:t>
            </w:r>
            <w:r w:rsidR="009F0B64">
              <w:rPr>
                <w:rFonts w:ascii="Calibri" w:eastAsia="Times New Roman" w:hAnsi="Calibri" w:cs="Times New Roman"/>
                <w:color w:val="000000"/>
                <w:sz w:val="18"/>
                <w:szCs w:val="18"/>
                <w:lang w:val="en-AU" w:eastAsia="en-AU"/>
              </w:rPr>
              <w:t>)</w:t>
            </w:r>
            <w:r>
              <w:rPr>
                <w:rFonts w:ascii="Calibri" w:eastAsia="Times New Roman" w:hAnsi="Calibri" w:cs="Times New Roman"/>
                <w:color w:val="000000"/>
                <w:sz w:val="18"/>
                <w:szCs w:val="18"/>
                <w:lang w:val="en-AU" w:eastAsia="en-AU"/>
              </w:rPr>
              <w:t xml:space="preserve"> Unit &amp; AFP</w:t>
            </w:r>
          </w:p>
          <w:p w:rsidR="00771743" w:rsidRPr="00CF1044" w:rsidRDefault="00771743" w:rsidP="00264772">
            <w:pPr>
              <w:suppressAutoHyphens w:val="0"/>
              <w:spacing w:before="0" w:after="0" w:line="240" w:lineRule="auto"/>
              <w:rPr>
                <w:rFonts w:ascii="Calibri" w:eastAsia="Times New Roman" w:hAnsi="Calibri" w:cs="Times New Roman"/>
                <w:color w:val="000000"/>
                <w:sz w:val="18"/>
                <w:szCs w:val="18"/>
                <w:lang w:val="en-AU" w:eastAsia="en-AU"/>
              </w:rPr>
            </w:pPr>
          </w:p>
        </w:tc>
      </w:tr>
      <w:tr w:rsidR="00264772" w:rsidRPr="00CF1044" w:rsidTr="005B4D51">
        <w:trPr>
          <w:trHeight w:val="450"/>
        </w:trPr>
        <w:tc>
          <w:tcPr>
            <w:tcW w:w="15031" w:type="dxa"/>
            <w:gridSpan w:val="11"/>
            <w:tcBorders>
              <w:top w:val="single" w:sz="4" w:space="0" w:color="auto"/>
              <w:left w:val="single" w:sz="4" w:space="0" w:color="auto"/>
              <w:bottom w:val="single" w:sz="4" w:space="0" w:color="auto"/>
              <w:right w:val="single" w:sz="4" w:space="0" w:color="auto"/>
            </w:tcBorders>
            <w:shd w:val="clear" w:color="auto" w:fill="DDECD0" w:themeFill="accent3" w:themeFillTint="66"/>
          </w:tcPr>
          <w:p w:rsidR="00264772" w:rsidRPr="00CF1044" w:rsidRDefault="00264772" w:rsidP="0026477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lastRenderedPageBreak/>
              <w:t>Sub-objective:  Solomon Islands has more efficient and effective public financial management and a reliable, transparent and efficiently administered budget</w:t>
            </w:r>
          </w:p>
        </w:tc>
      </w:tr>
      <w:tr w:rsidR="009F0B64" w:rsidRPr="00CF1044" w:rsidTr="005B4D51">
        <w:trPr>
          <w:trHeight w:val="975"/>
        </w:trPr>
        <w:tc>
          <w:tcPr>
            <w:tcW w:w="1729" w:type="dxa"/>
            <w:vMerge w:val="restart"/>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205" w:type="dxa"/>
            <w:tcBorders>
              <w:top w:val="single" w:sz="4" w:space="0" w:color="auto"/>
              <w:left w:val="nil"/>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Debt to GDP ratio</w:t>
            </w:r>
          </w:p>
        </w:tc>
        <w:tc>
          <w:tcPr>
            <w:tcW w:w="1210"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w:t>
            </w:r>
          </w:p>
        </w:tc>
        <w:tc>
          <w:tcPr>
            <w:tcW w:w="124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w:t>
            </w:r>
          </w:p>
        </w:tc>
        <w:tc>
          <w:tcPr>
            <w:tcW w:w="1288"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w:t>
            </w:r>
          </w:p>
        </w:tc>
        <w:tc>
          <w:tcPr>
            <w:tcW w:w="1361"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Remains &lt; debt ceiling (currently 35% of GDP) </w:t>
            </w:r>
          </w:p>
        </w:tc>
        <w:tc>
          <w:tcPr>
            <w:tcW w:w="1401"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000000"/>
                <w:sz w:val="18"/>
                <w:szCs w:val="18"/>
                <w:lang w:val="en-AU" w:eastAsia="en-AU"/>
              </w:rPr>
              <w:t>11%</w:t>
            </w:r>
          </w:p>
        </w:tc>
        <w:tc>
          <w:tcPr>
            <w:tcW w:w="1199"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64772" w:rsidRPr="00A3529F" w:rsidRDefault="00264772" w:rsidP="00A3529F">
            <w:pPr>
              <w:suppressAutoHyphens w:val="0"/>
              <w:spacing w:before="0" w:after="0" w:line="240" w:lineRule="auto"/>
              <w:rPr>
                <w:rFonts w:ascii="Calibri" w:eastAsia="Times New Roman" w:hAnsi="Calibri" w:cs="Times New Roman"/>
                <w:color w:val="auto"/>
                <w:sz w:val="18"/>
                <w:szCs w:val="18"/>
                <w:lang w:val="en-AU" w:eastAsia="en-AU"/>
              </w:rPr>
            </w:pPr>
          </w:p>
        </w:tc>
        <w:tc>
          <w:tcPr>
            <w:tcW w:w="213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DB7C6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 xml:space="preserve">Central Bank of </w:t>
            </w:r>
            <w:r w:rsidR="00DB7C62">
              <w:rPr>
                <w:rFonts w:ascii="Calibri" w:eastAsia="Times New Roman" w:hAnsi="Calibri" w:cs="Times New Roman"/>
                <w:color w:val="000000"/>
                <w:sz w:val="18"/>
                <w:szCs w:val="18"/>
                <w:lang w:val="en-AU" w:eastAsia="en-AU"/>
              </w:rPr>
              <w:t xml:space="preserve">SI </w:t>
            </w:r>
            <w:r>
              <w:rPr>
                <w:rFonts w:ascii="Calibri" w:eastAsia="Times New Roman" w:hAnsi="Calibri" w:cs="Times New Roman"/>
                <w:color w:val="000000"/>
                <w:sz w:val="18"/>
                <w:szCs w:val="18"/>
                <w:lang w:val="en-AU" w:eastAsia="en-AU"/>
              </w:rPr>
              <w:t>Annual report</w:t>
            </w:r>
          </w:p>
        </w:tc>
      </w:tr>
      <w:tr w:rsidR="009F0B64" w:rsidRPr="00CF1044" w:rsidTr="005B4D51">
        <w:trPr>
          <w:trHeight w:val="1200"/>
        </w:trPr>
        <w:tc>
          <w:tcPr>
            <w:tcW w:w="1729" w:type="dxa"/>
            <w:vMerge/>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w:t>
            </w:r>
            <w:r w:rsidR="009F0B64">
              <w:rPr>
                <w:rFonts w:ascii="Calibri" w:eastAsia="Times New Roman" w:hAnsi="Calibri" w:cs="Times New Roman"/>
                <w:color w:val="000000"/>
                <w:sz w:val="18"/>
                <w:szCs w:val="18"/>
                <w:lang w:val="en-AU" w:eastAsia="en-AU"/>
              </w:rPr>
              <w:t>ublic Financial Management (P</w:t>
            </w:r>
            <w:r w:rsidRPr="00CF1044">
              <w:rPr>
                <w:rFonts w:ascii="Calibri" w:eastAsia="Times New Roman" w:hAnsi="Calibri" w:cs="Times New Roman"/>
                <w:color w:val="000000"/>
                <w:sz w:val="18"/>
                <w:szCs w:val="18"/>
                <w:lang w:val="en-AU" w:eastAsia="en-AU"/>
              </w:rPr>
              <w:t>FM</w:t>
            </w:r>
            <w:r w:rsidR="009F0B64">
              <w:rPr>
                <w:rFonts w:ascii="Calibri" w:eastAsia="Times New Roman" w:hAnsi="Calibri" w:cs="Times New Roman"/>
                <w:color w:val="000000"/>
                <w:sz w:val="18"/>
                <w:szCs w:val="18"/>
                <w:lang w:val="en-AU" w:eastAsia="en-AU"/>
              </w:rPr>
              <w:t>)</w:t>
            </w:r>
            <w:r w:rsidRPr="00CF1044">
              <w:rPr>
                <w:rFonts w:ascii="Calibri" w:eastAsia="Times New Roman" w:hAnsi="Calibri" w:cs="Times New Roman"/>
                <w:color w:val="000000"/>
                <w:sz w:val="18"/>
                <w:szCs w:val="18"/>
                <w:lang w:val="en-AU" w:eastAsia="en-AU"/>
              </w:rPr>
              <w:t xml:space="preserve"> improvements at the central level are having a demonstrable impact at changing line ministry practices</w:t>
            </w:r>
          </w:p>
        </w:tc>
        <w:tc>
          <w:tcPr>
            <w:tcW w:w="1210"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4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88"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CF1044"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361"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Information collected shows positive PFM improvement  line ministry </w:t>
            </w:r>
          </w:p>
        </w:tc>
        <w:tc>
          <w:tcPr>
            <w:tcW w:w="1401"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CF1044" w:rsidRDefault="00264772" w:rsidP="00771743">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Recruit</w:t>
            </w:r>
            <w:r w:rsidR="00771743">
              <w:rPr>
                <w:rFonts w:ascii="Calibri" w:eastAsia="Times New Roman" w:hAnsi="Calibri" w:cs="Times New Roman"/>
                <w:color w:val="000000"/>
                <w:sz w:val="18"/>
                <w:szCs w:val="18"/>
                <w:lang w:val="en-AU" w:eastAsia="en-AU"/>
              </w:rPr>
              <w:t xml:space="preserve">ed </w:t>
            </w:r>
            <w:r>
              <w:rPr>
                <w:rFonts w:ascii="Calibri" w:eastAsia="Times New Roman" w:hAnsi="Calibri" w:cs="Times New Roman"/>
                <w:color w:val="000000"/>
                <w:sz w:val="18"/>
                <w:szCs w:val="18"/>
                <w:lang w:val="en-AU" w:eastAsia="en-AU"/>
              </w:rPr>
              <w:t xml:space="preserve">Accountant General improved financial processes within </w:t>
            </w:r>
            <w:r w:rsidR="009F0B64">
              <w:rPr>
                <w:rFonts w:ascii="Calibri" w:eastAsia="Times New Roman" w:hAnsi="Calibri" w:cs="Times New Roman"/>
                <w:color w:val="000000"/>
                <w:sz w:val="18"/>
                <w:szCs w:val="18"/>
                <w:lang w:val="en-AU" w:eastAsia="en-AU"/>
              </w:rPr>
              <w:t>Ministry of Finance and Treasury</w:t>
            </w:r>
            <w:r>
              <w:rPr>
                <w:rFonts w:ascii="Calibri" w:eastAsia="Times New Roman" w:hAnsi="Calibri" w:cs="Times New Roman"/>
                <w:color w:val="000000"/>
                <w:sz w:val="18"/>
                <w:szCs w:val="18"/>
                <w:lang w:val="en-AU" w:eastAsia="en-AU"/>
              </w:rPr>
              <w:t xml:space="preserve"> </w:t>
            </w:r>
          </w:p>
        </w:tc>
        <w:tc>
          <w:tcPr>
            <w:tcW w:w="1199"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Default="00264772" w:rsidP="0026477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64772" w:rsidRPr="00A3529F" w:rsidRDefault="00264772" w:rsidP="00F4475C">
            <w:pPr>
              <w:suppressAutoHyphens w:val="0"/>
              <w:spacing w:before="0" w:after="0" w:line="240" w:lineRule="auto"/>
              <w:rPr>
                <w:rFonts w:ascii="Calibri" w:eastAsia="Times New Roman" w:hAnsi="Calibri" w:cs="Times New Roman"/>
                <w:color w:val="auto"/>
                <w:sz w:val="18"/>
                <w:szCs w:val="18"/>
                <w:lang w:val="en-AU" w:eastAsia="en-AU"/>
              </w:rPr>
            </w:pPr>
            <w:r w:rsidRPr="00A3529F">
              <w:rPr>
                <w:rFonts w:ascii="Calibri" w:eastAsia="Times New Roman" w:hAnsi="Calibri" w:cs="Times New Roman"/>
                <w:color w:val="auto"/>
                <w:sz w:val="18"/>
                <w:szCs w:val="18"/>
                <w:lang w:val="en-AU" w:eastAsia="en-AU"/>
              </w:rPr>
              <w:t>Governance</w:t>
            </w:r>
          </w:p>
        </w:tc>
        <w:tc>
          <w:tcPr>
            <w:tcW w:w="213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Governance MEL Unit through semi-structured interviews with </w:t>
            </w:r>
            <w:r w:rsidR="009F0B64">
              <w:rPr>
                <w:rFonts w:ascii="Calibri" w:eastAsia="Times New Roman" w:hAnsi="Calibri" w:cs="Times New Roman"/>
                <w:color w:val="000000"/>
                <w:sz w:val="18"/>
                <w:szCs w:val="18"/>
                <w:lang w:val="en-AU" w:eastAsia="en-AU"/>
              </w:rPr>
              <w:t>Solomon Islands Government (</w:t>
            </w:r>
            <w:r w:rsidRPr="00CF1044">
              <w:rPr>
                <w:rFonts w:ascii="Calibri" w:eastAsia="Times New Roman" w:hAnsi="Calibri" w:cs="Times New Roman"/>
                <w:color w:val="000000"/>
                <w:sz w:val="18"/>
                <w:szCs w:val="18"/>
                <w:lang w:val="en-AU" w:eastAsia="en-AU"/>
              </w:rPr>
              <w:t>SIG</w:t>
            </w:r>
            <w:r w:rsidR="009F0B64">
              <w:rPr>
                <w:rFonts w:ascii="Calibri" w:eastAsia="Times New Roman" w:hAnsi="Calibri" w:cs="Times New Roman"/>
                <w:color w:val="000000"/>
                <w:sz w:val="18"/>
                <w:szCs w:val="18"/>
                <w:lang w:val="en-AU" w:eastAsia="en-AU"/>
              </w:rPr>
              <w:t>)</w:t>
            </w:r>
            <w:r>
              <w:rPr>
                <w:rFonts w:ascii="Calibri" w:eastAsia="Times New Roman" w:hAnsi="Calibri" w:cs="Times New Roman"/>
                <w:color w:val="000000"/>
                <w:sz w:val="18"/>
                <w:szCs w:val="18"/>
                <w:lang w:val="en-AU" w:eastAsia="en-AU"/>
              </w:rPr>
              <w:t xml:space="preserve"> and ANS and Fiduciary Risk Review update</w:t>
            </w:r>
          </w:p>
        </w:tc>
      </w:tr>
      <w:tr w:rsidR="009F0B64" w:rsidRPr="00CF1044" w:rsidTr="005B4D51">
        <w:trPr>
          <w:trHeight w:val="840"/>
        </w:trPr>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1</w:t>
            </w:r>
            <w:r>
              <w:rPr>
                <w:rFonts w:ascii="Calibri" w:eastAsia="Times New Roman" w:hAnsi="Calibri" w:cs="Times New Roman"/>
                <w:b/>
                <w:bCs/>
                <w:color w:val="000000"/>
                <w:sz w:val="18"/>
                <w:szCs w:val="18"/>
                <w:lang w:val="en-AU" w:eastAsia="en-AU"/>
              </w:rPr>
              <w:t>.2</w:t>
            </w:r>
            <w:r w:rsidRPr="00CF1044">
              <w:rPr>
                <w:rFonts w:ascii="Calibri" w:eastAsia="Times New Roman" w:hAnsi="Calibri" w:cs="Times New Roman"/>
                <w:b/>
                <w:bCs/>
                <w:color w:val="000000"/>
                <w:sz w:val="18"/>
                <w:szCs w:val="18"/>
                <w:lang w:val="en-AU" w:eastAsia="en-AU"/>
              </w:rPr>
              <w:t>:</w:t>
            </w:r>
            <w:r w:rsidRPr="00CF1044">
              <w:rPr>
                <w:rFonts w:ascii="Calibri" w:eastAsia="Times New Roman" w:hAnsi="Calibri" w:cs="Times New Roman"/>
                <w:color w:val="000000"/>
                <w:sz w:val="18"/>
                <w:szCs w:val="18"/>
                <w:lang w:val="en-AU" w:eastAsia="en-AU"/>
              </w:rPr>
              <w:t xml:space="preserve">  A credible and transparent fiscal strategy, budget and public financial management</w:t>
            </w:r>
          </w:p>
        </w:tc>
        <w:tc>
          <w:tcPr>
            <w:tcW w:w="2205" w:type="dxa"/>
            <w:tcBorders>
              <w:top w:val="single" w:sz="4" w:space="0" w:color="auto"/>
              <w:left w:val="nil"/>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 Percent</w:t>
            </w:r>
            <w:r w:rsidR="00DB7C62">
              <w:rPr>
                <w:rFonts w:ascii="Calibri" w:eastAsia="Times New Roman" w:hAnsi="Calibri" w:cs="Times New Roman"/>
                <w:color w:val="000000"/>
                <w:sz w:val="18"/>
                <w:szCs w:val="18"/>
                <w:lang w:val="en-AU" w:eastAsia="en-AU"/>
              </w:rPr>
              <w:t>age</w:t>
            </w:r>
            <w:r w:rsidRPr="00CF1044">
              <w:rPr>
                <w:rFonts w:ascii="Calibri" w:eastAsia="Times New Roman" w:hAnsi="Calibri" w:cs="Times New Roman"/>
                <w:color w:val="000000"/>
                <w:sz w:val="18"/>
                <w:szCs w:val="18"/>
                <w:lang w:val="en-AU" w:eastAsia="en-AU"/>
              </w:rPr>
              <w:t xml:space="preserve"> of Core Economic Working Group Reforms programs actions achieved*</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361" w:type="dxa"/>
            <w:tcBorders>
              <w:top w:val="single" w:sz="4" w:space="0" w:color="auto"/>
              <w:left w:val="nil"/>
              <w:bottom w:val="single" w:sz="4" w:space="0" w:color="auto"/>
              <w:right w:val="single" w:sz="4" w:space="0" w:color="auto"/>
            </w:tcBorders>
            <w:shd w:val="clear" w:color="auto" w:fill="auto"/>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50%</w:t>
            </w:r>
          </w:p>
        </w:tc>
        <w:tc>
          <w:tcPr>
            <w:tcW w:w="1401" w:type="dxa"/>
            <w:tcBorders>
              <w:top w:val="single" w:sz="4" w:space="0" w:color="auto"/>
              <w:left w:val="nil"/>
              <w:bottom w:val="single" w:sz="4" w:space="0" w:color="auto"/>
              <w:right w:val="single" w:sz="4" w:space="0" w:color="auto"/>
            </w:tcBorders>
            <w:shd w:val="clear" w:color="auto" w:fill="F8F8F8"/>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60%</w:t>
            </w:r>
          </w:p>
        </w:tc>
        <w:tc>
          <w:tcPr>
            <w:tcW w:w="1199" w:type="dxa"/>
            <w:tcBorders>
              <w:top w:val="single" w:sz="4" w:space="0" w:color="auto"/>
              <w:left w:val="nil"/>
              <w:bottom w:val="single" w:sz="4" w:space="0" w:color="auto"/>
              <w:right w:val="single" w:sz="4" w:space="0" w:color="auto"/>
            </w:tcBorders>
            <w:shd w:val="clear" w:color="auto" w:fill="F8F8F8"/>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100%</w:t>
            </w:r>
          </w:p>
        </w:tc>
        <w:tc>
          <w:tcPr>
            <w:tcW w:w="1256" w:type="dxa"/>
            <w:tcBorders>
              <w:top w:val="single" w:sz="4" w:space="0" w:color="auto"/>
              <w:left w:val="single" w:sz="4" w:space="0" w:color="auto"/>
              <w:bottom w:val="single" w:sz="4" w:space="0" w:color="auto"/>
              <w:right w:val="single" w:sz="4" w:space="0" w:color="auto"/>
            </w:tcBorders>
            <w:shd w:val="clear" w:color="auto" w:fill="F8F8F8"/>
            <w:hideMark/>
          </w:tcPr>
          <w:p w:rsidR="00264772" w:rsidRPr="00CF1044" w:rsidRDefault="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Economic Policy</w:t>
            </w:r>
          </w:p>
        </w:tc>
        <w:tc>
          <w:tcPr>
            <w:tcW w:w="2136" w:type="dxa"/>
            <w:tcBorders>
              <w:top w:val="single" w:sz="4" w:space="0" w:color="auto"/>
              <w:left w:val="nil"/>
              <w:bottom w:val="single" w:sz="4" w:space="0" w:color="auto"/>
              <w:right w:val="single" w:sz="4" w:space="0" w:color="auto"/>
            </w:tcBorders>
            <w:shd w:val="clear" w:color="auto" w:fill="F8F8F8"/>
            <w:hideMark/>
          </w:tcPr>
          <w:p w:rsidR="00264772" w:rsidRPr="00CF1044" w:rsidRDefault="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Ministry of Finance and Treasury</w:t>
            </w:r>
          </w:p>
        </w:tc>
      </w:tr>
      <w:tr w:rsidR="009F0B64" w:rsidRPr="00CF1044" w:rsidTr="00AA262C">
        <w:trPr>
          <w:trHeight w:val="1035"/>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264772" w:rsidRPr="00CF1044" w:rsidRDefault="00264772" w:rsidP="00AA262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 Aggregate revenue turn out compared to approved budget (PEFA</w:t>
            </w:r>
            <w:r w:rsidR="00AA262C">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indicator P1.1 - Budget reliability)</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112% (2015)</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102% (2016)</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99</w:t>
            </w:r>
            <w:r w:rsidRPr="00CF1044">
              <w:rPr>
                <w:rFonts w:ascii="Calibri" w:eastAsia="Times New Roman" w:hAnsi="Calibri" w:cs="Times New Roman"/>
                <w:color w:val="000000"/>
                <w:sz w:val="18"/>
                <w:szCs w:val="18"/>
                <w:lang w:val="en-AU" w:eastAsia="en-AU"/>
              </w:rPr>
              <w:t>% (2017)</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90-110%</w:t>
            </w:r>
          </w:p>
        </w:tc>
        <w:tc>
          <w:tcPr>
            <w:tcW w:w="1401" w:type="dxa"/>
            <w:tcBorders>
              <w:top w:val="single" w:sz="4" w:space="0" w:color="auto"/>
              <w:left w:val="single" w:sz="4" w:space="0" w:color="auto"/>
              <w:bottom w:val="single" w:sz="4" w:space="0" w:color="auto"/>
              <w:right w:val="single" w:sz="4" w:space="0" w:color="auto"/>
            </w:tcBorders>
            <w:shd w:val="clear" w:color="auto" w:fill="F8F8F8"/>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110</w:t>
            </w:r>
          </w:p>
        </w:tc>
        <w:tc>
          <w:tcPr>
            <w:tcW w:w="1199" w:type="dxa"/>
            <w:tcBorders>
              <w:top w:val="single" w:sz="4" w:space="0" w:color="auto"/>
              <w:left w:val="single" w:sz="4" w:space="0" w:color="auto"/>
              <w:bottom w:val="single" w:sz="4" w:space="0" w:color="auto"/>
              <w:right w:val="single" w:sz="4" w:space="0" w:color="auto"/>
            </w:tcBorders>
            <w:shd w:val="clear" w:color="auto" w:fill="F8F8F8"/>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90-110%</w:t>
            </w:r>
          </w:p>
        </w:tc>
        <w:tc>
          <w:tcPr>
            <w:tcW w:w="1256" w:type="dxa"/>
            <w:tcBorders>
              <w:top w:val="single" w:sz="4" w:space="0" w:color="auto"/>
              <w:left w:val="single" w:sz="4" w:space="0" w:color="auto"/>
              <w:bottom w:val="single" w:sz="4" w:space="0" w:color="auto"/>
              <w:right w:val="single" w:sz="4" w:space="0" w:color="auto"/>
            </w:tcBorders>
            <w:shd w:val="clear" w:color="auto" w:fill="F8F8F8"/>
            <w:hideMark/>
          </w:tcPr>
          <w:p w:rsidR="00264772" w:rsidRPr="00CF1044" w:rsidRDefault="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Governance</w:t>
            </w:r>
          </w:p>
        </w:tc>
        <w:tc>
          <w:tcPr>
            <w:tcW w:w="2136" w:type="dxa"/>
            <w:tcBorders>
              <w:top w:val="single" w:sz="4" w:space="0" w:color="auto"/>
              <w:left w:val="single" w:sz="4" w:space="0" w:color="auto"/>
              <w:bottom w:val="single" w:sz="4" w:space="0" w:color="auto"/>
              <w:right w:val="single" w:sz="4" w:space="0" w:color="auto"/>
            </w:tcBorders>
            <w:shd w:val="clear" w:color="auto" w:fill="F8F8F8"/>
            <w:hideMark/>
          </w:tcPr>
          <w:p w:rsidR="00264772" w:rsidRDefault="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SIG</w:t>
            </w:r>
          </w:p>
          <w:p w:rsidR="00AA262C" w:rsidRDefault="00AA262C">
            <w:pPr>
              <w:suppressAutoHyphens w:val="0"/>
              <w:spacing w:before="0" w:after="0" w:line="240" w:lineRule="auto"/>
              <w:rPr>
                <w:rFonts w:ascii="Calibri" w:eastAsia="Times New Roman" w:hAnsi="Calibri" w:cs="Times New Roman"/>
                <w:color w:val="000000"/>
                <w:sz w:val="18"/>
                <w:szCs w:val="18"/>
                <w:lang w:val="en-AU" w:eastAsia="en-AU"/>
              </w:rPr>
            </w:pPr>
          </w:p>
          <w:p w:rsidR="00AA262C" w:rsidRPr="00CF1044" w:rsidRDefault="00AA262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w:t>
            </w:r>
            <w:r>
              <w:rPr>
                <w:rFonts w:ascii="Calibri" w:eastAsia="Times New Roman" w:hAnsi="Calibri" w:cs="Times New Roman"/>
                <w:color w:val="000000"/>
                <w:sz w:val="18"/>
                <w:szCs w:val="18"/>
                <w:lang w:val="en-AU" w:eastAsia="en-AU"/>
              </w:rPr>
              <w:t xml:space="preserve">ublic </w:t>
            </w:r>
            <w:r w:rsidRPr="00CF1044">
              <w:rPr>
                <w:rFonts w:ascii="Calibri" w:eastAsia="Times New Roman" w:hAnsi="Calibri" w:cs="Times New Roman"/>
                <w:color w:val="000000"/>
                <w:sz w:val="18"/>
                <w:szCs w:val="18"/>
                <w:lang w:val="en-AU" w:eastAsia="en-AU"/>
              </w:rPr>
              <w:t>E</w:t>
            </w:r>
            <w:r>
              <w:rPr>
                <w:rFonts w:ascii="Calibri" w:eastAsia="Times New Roman" w:hAnsi="Calibri" w:cs="Times New Roman"/>
                <w:color w:val="000000"/>
                <w:sz w:val="18"/>
                <w:szCs w:val="18"/>
                <w:lang w:val="en-AU" w:eastAsia="en-AU"/>
              </w:rPr>
              <w:t xml:space="preserve">xpenditure &amp; </w:t>
            </w:r>
            <w:r w:rsidRPr="00CF1044">
              <w:rPr>
                <w:rFonts w:ascii="Calibri" w:eastAsia="Times New Roman" w:hAnsi="Calibri" w:cs="Times New Roman"/>
                <w:color w:val="000000"/>
                <w:sz w:val="18"/>
                <w:szCs w:val="18"/>
                <w:lang w:val="en-AU" w:eastAsia="en-AU"/>
              </w:rPr>
              <w:t>F</w:t>
            </w:r>
            <w:r>
              <w:rPr>
                <w:rFonts w:ascii="Calibri" w:eastAsia="Times New Roman" w:hAnsi="Calibri" w:cs="Times New Roman"/>
                <w:color w:val="000000"/>
                <w:sz w:val="18"/>
                <w:szCs w:val="18"/>
                <w:lang w:val="en-AU" w:eastAsia="en-AU"/>
              </w:rPr>
              <w:t xml:space="preserve">inancial </w:t>
            </w:r>
            <w:r w:rsidRPr="00CF1044">
              <w:rPr>
                <w:rFonts w:ascii="Calibri" w:eastAsia="Times New Roman" w:hAnsi="Calibri" w:cs="Times New Roman"/>
                <w:color w:val="000000"/>
                <w:sz w:val="18"/>
                <w:szCs w:val="18"/>
                <w:lang w:val="en-AU" w:eastAsia="en-AU"/>
              </w:rPr>
              <w:t>A</w:t>
            </w:r>
            <w:r>
              <w:rPr>
                <w:rFonts w:ascii="Calibri" w:eastAsia="Times New Roman" w:hAnsi="Calibri" w:cs="Times New Roman"/>
                <w:color w:val="000000"/>
                <w:sz w:val="18"/>
                <w:szCs w:val="18"/>
                <w:lang w:val="en-AU" w:eastAsia="en-AU"/>
              </w:rPr>
              <w:t>ccountability (PEFA)</w:t>
            </w:r>
          </w:p>
        </w:tc>
      </w:tr>
      <w:tr w:rsidR="009F0B64" w:rsidRPr="00CF1044" w:rsidTr="005B4D51">
        <w:trPr>
          <w:trHeight w:val="1065"/>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1.3 Report of the Public Accounts Committee inquiry into budgets published (Linked to PEFA indicator P1.5 - Budget transparency)</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401" w:type="dxa"/>
            <w:tcBorders>
              <w:top w:val="single" w:sz="4" w:space="0" w:color="auto"/>
              <w:left w:val="single" w:sz="4" w:space="0" w:color="auto"/>
              <w:bottom w:val="single" w:sz="4" w:space="0" w:color="auto"/>
              <w:right w:val="single" w:sz="4" w:space="0" w:color="auto"/>
            </w:tcBorders>
            <w:shd w:val="clear" w:color="auto" w:fill="F8F8F8"/>
            <w:vAlign w:val="center"/>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000000"/>
                <w:sz w:val="18"/>
                <w:szCs w:val="18"/>
                <w:lang w:val="en-AU" w:eastAsia="en-AU"/>
              </w:rPr>
              <w:t xml:space="preserve">Yes </w:t>
            </w:r>
          </w:p>
        </w:tc>
        <w:tc>
          <w:tcPr>
            <w:tcW w:w="1199" w:type="dxa"/>
            <w:tcBorders>
              <w:top w:val="single" w:sz="4" w:space="0" w:color="auto"/>
              <w:left w:val="single" w:sz="4" w:space="0" w:color="auto"/>
              <w:bottom w:val="single" w:sz="4" w:space="0" w:color="auto"/>
              <w:right w:val="single" w:sz="4" w:space="0" w:color="auto"/>
            </w:tcBorders>
            <w:shd w:val="clear" w:color="auto" w:fill="F8F8F8"/>
            <w:vAlign w:val="center"/>
          </w:tcPr>
          <w:p w:rsidR="00264772" w:rsidRPr="00CF1044" w:rsidRDefault="00264772" w:rsidP="0026477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Yes</w:t>
            </w:r>
          </w:p>
        </w:tc>
        <w:tc>
          <w:tcPr>
            <w:tcW w:w="1256" w:type="dxa"/>
            <w:tcBorders>
              <w:top w:val="single" w:sz="4" w:space="0" w:color="auto"/>
              <w:left w:val="single" w:sz="4" w:space="0" w:color="auto"/>
              <w:bottom w:val="single" w:sz="4" w:space="0" w:color="auto"/>
              <w:right w:val="single" w:sz="4" w:space="0" w:color="auto"/>
            </w:tcBorders>
            <w:shd w:val="clear" w:color="auto" w:fill="F8F8F8"/>
            <w:hideMark/>
          </w:tcPr>
          <w:p w:rsidR="00264772" w:rsidRPr="00CF1044" w:rsidRDefault="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Governance</w:t>
            </w:r>
          </w:p>
        </w:tc>
        <w:tc>
          <w:tcPr>
            <w:tcW w:w="2136" w:type="dxa"/>
            <w:tcBorders>
              <w:top w:val="single" w:sz="4" w:space="0" w:color="auto"/>
              <w:left w:val="single" w:sz="4" w:space="0" w:color="auto"/>
              <w:bottom w:val="single" w:sz="4" w:space="0" w:color="auto"/>
              <w:right w:val="single" w:sz="4" w:space="0" w:color="auto"/>
            </w:tcBorders>
            <w:shd w:val="clear" w:color="auto" w:fill="F8F8F8"/>
            <w:hideMark/>
          </w:tcPr>
          <w:p w:rsidR="00264772" w:rsidRPr="00CF1044" w:rsidRDefault="00811DC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auto"/>
                <w:sz w:val="18"/>
                <w:szCs w:val="18"/>
                <w:lang w:val="en-AU" w:eastAsia="en-AU"/>
              </w:rPr>
              <w:t>Department of Foreign Affairs and Trade (DFAT)</w:t>
            </w:r>
            <w:r w:rsidR="00264772">
              <w:rPr>
                <w:rFonts w:ascii="Calibri" w:eastAsia="Times New Roman" w:hAnsi="Calibri" w:cs="Times New Roman"/>
                <w:color w:val="000000"/>
                <w:sz w:val="18"/>
                <w:szCs w:val="18"/>
                <w:lang w:val="en-AU" w:eastAsia="en-AU"/>
              </w:rPr>
              <w:t>/SIG</w:t>
            </w:r>
          </w:p>
        </w:tc>
      </w:tr>
      <w:tr w:rsidR="00264772" w:rsidRPr="00CF1044" w:rsidTr="005B4D51">
        <w:trPr>
          <w:trHeight w:val="450"/>
        </w:trPr>
        <w:tc>
          <w:tcPr>
            <w:tcW w:w="15031" w:type="dxa"/>
            <w:gridSpan w:val="11"/>
            <w:tcBorders>
              <w:top w:val="single" w:sz="4" w:space="0" w:color="auto"/>
              <w:left w:val="single" w:sz="4" w:space="0" w:color="auto"/>
              <w:bottom w:val="single" w:sz="4" w:space="0" w:color="auto"/>
              <w:right w:val="single" w:sz="4" w:space="0" w:color="auto"/>
            </w:tcBorders>
            <w:shd w:val="clear" w:color="auto" w:fill="DDECD0" w:themeFill="accent3" w:themeFillTint="66"/>
          </w:tcPr>
          <w:p w:rsidR="00264772" w:rsidRPr="00CF1044" w:rsidRDefault="00264772" w:rsidP="0026477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Reduction in gender-based violence in pilot areas, and greater access to services for victims</w:t>
            </w:r>
          </w:p>
        </w:tc>
      </w:tr>
      <w:tr w:rsidR="009F0B64" w:rsidRPr="00CF1044" w:rsidTr="005B4D51">
        <w:trPr>
          <w:trHeight w:val="840"/>
        </w:trPr>
        <w:tc>
          <w:tcPr>
            <w:tcW w:w="1729" w:type="dxa"/>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Sentinel indicators</w:t>
            </w:r>
          </w:p>
        </w:tc>
        <w:tc>
          <w:tcPr>
            <w:tcW w:w="2205" w:type="dxa"/>
            <w:tcBorders>
              <w:top w:val="single" w:sz="4" w:space="0" w:color="auto"/>
              <w:left w:val="nil"/>
              <w:bottom w:val="single" w:sz="4" w:space="0" w:color="auto"/>
              <w:right w:val="single" w:sz="4" w:space="0" w:color="auto"/>
            </w:tcBorders>
            <w:shd w:val="clear" w:color="auto" w:fill="EEF5E7" w:themeFill="accent3" w:themeFillTint="33"/>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Proportion of people in targeted communities who consider family violence unacceptable</w:t>
            </w:r>
          </w:p>
        </w:tc>
        <w:tc>
          <w:tcPr>
            <w:tcW w:w="1210"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50%</w:t>
            </w:r>
          </w:p>
        </w:tc>
        <w:tc>
          <w:tcPr>
            <w:tcW w:w="124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82%</w:t>
            </w:r>
          </w:p>
        </w:tc>
        <w:tc>
          <w:tcPr>
            <w:tcW w:w="1288"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CF1044" w:rsidRDefault="00F50CF0" w:rsidP="0026477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361"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401"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64772" w:rsidRPr="00CF1044" w:rsidRDefault="00F50CF0" w:rsidP="00F50CF0">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 </w:t>
            </w:r>
            <w:r w:rsidR="00264772">
              <w:rPr>
                <w:rFonts w:ascii="Calibri" w:eastAsia="Times New Roman" w:hAnsi="Calibri" w:cs="Times New Roman"/>
                <w:color w:val="auto"/>
                <w:sz w:val="18"/>
                <w:szCs w:val="18"/>
                <w:lang w:val="en-AU" w:eastAsia="en-AU"/>
              </w:rPr>
              <w:t xml:space="preserve"> </w:t>
            </w:r>
          </w:p>
        </w:tc>
        <w:tc>
          <w:tcPr>
            <w:tcW w:w="1199" w:type="dxa"/>
            <w:tcBorders>
              <w:top w:val="single" w:sz="4" w:space="0" w:color="auto"/>
              <w:left w:val="nil"/>
              <w:bottom w:val="single" w:sz="4" w:space="0" w:color="auto"/>
              <w:right w:val="single" w:sz="4" w:space="0" w:color="auto"/>
            </w:tcBorders>
            <w:shd w:val="clear" w:color="auto" w:fill="EEF5E7" w:themeFill="accent3" w:themeFillTint="33"/>
          </w:tcPr>
          <w:p w:rsidR="00264772" w:rsidRPr="00CF1044" w:rsidRDefault="00264772" w:rsidP="00264772">
            <w:pPr>
              <w:suppressAutoHyphens w:val="0"/>
              <w:spacing w:before="0" w:after="0" w:line="240" w:lineRule="auto"/>
              <w:jc w:val="center"/>
              <w:rPr>
                <w:rFonts w:ascii="Calibri" w:eastAsia="Times New Roman" w:hAnsi="Calibri" w:cs="Times New Roman"/>
                <w:color w:val="auto"/>
                <w:sz w:val="18"/>
                <w:szCs w:val="18"/>
                <w:lang w:val="en-AU" w:eastAsia="en-AU"/>
              </w:rPr>
            </w:pP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64772" w:rsidRPr="00CF1044" w:rsidRDefault="00264772"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Gender</w:t>
            </w:r>
          </w:p>
        </w:tc>
        <w:tc>
          <w:tcPr>
            <w:tcW w:w="2136" w:type="dxa"/>
            <w:tcBorders>
              <w:top w:val="single" w:sz="4" w:space="0" w:color="auto"/>
              <w:left w:val="nil"/>
              <w:bottom w:val="single" w:sz="4" w:space="0" w:color="auto"/>
              <w:right w:val="single" w:sz="4" w:space="0" w:color="auto"/>
            </w:tcBorders>
            <w:shd w:val="clear" w:color="auto" w:fill="EEF5E7" w:themeFill="accent3" w:themeFillTint="33"/>
            <w:hideMark/>
          </w:tcPr>
          <w:p w:rsidR="00264772" w:rsidRPr="00EE5FA9" w:rsidRDefault="00264772" w:rsidP="00264772">
            <w:pPr>
              <w:suppressAutoHyphens w:val="0"/>
              <w:spacing w:before="0" w:after="0" w:line="240" w:lineRule="auto"/>
              <w:rPr>
                <w:rFonts w:ascii="Calibri" w:eastAsia="Times New Roman" w:hAnsi="Calibri" w:cs="Times New Roman"/>
                <w:bCs/>
                <w:color w:val="auto"/>
                <w:sz w:val="18"/>
                <w:szCs w:val="18"/>
                <w:lang w:val="en-AU" w:eastAsia="en-AU"/>
              </w:rPr>
            </w:pPr>
            <w:r w:rsidRPr="00EE5FA9">
              <w:rPr>
                <w:rFonts w:ascii="Calibri" w:eastAsia="Times New Roman" w:hAnsi="Calibri" w:cs="Times New Roman"/>
                <w:bCs/>
                <w:color w:val="auto"/>
                <w:sz w:val="18"/>
                <w:szCs w:val="18"/>
                <w:lang w:val="en-AU" w:eastAsia="en-AU"/>
              </w:rPr>
              <w:t xml:space="preserve">Program reporting </w:t>
            </w:r>
          </w:p>
        </w:tc>
      </w:tr>
      <w:tr w:rsidR="009F0B64" w:rsidRPr="00CF1044" w:rsidTr="005B4D51">
        <w:trPr>
          <w:trHeight w:val="70"/>
        </w:trPr>
        <w:tc>
          <w:tcPr>
            <w:tcW w:w="1729" w:type="dxa"/>
            <w:vMerge w:val="restart"/>
            <w:tcBorders>
              <w:top w:val="single" w:sz="4" w:space="0" w:color="auto"/>
              <w:left w:val="single" w:sz="4" w:space="0" w:color="auto"/>
              <w:bottom w:val="single" w:sz="4" w:space="0" w:color="auto"/>
              <w:right w:val="single" w:sz="4" w:space="0" w:color="auto"/>
            </w:tcBorders>
            <w:shd w:val="clear" w:color="auto" w:fill="F8F8F8"/>
            <w:hideMark/>
          </w:tcPr>
          <w:p w:rsidR="009F0B64" w:rsidRPr="00CF1044" w:rsidRDefault="009F0B64"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t>Outcome 1</w:t>
            </w:r>
            <w:r>
              <w:rPr>
                <w:rFonts w:ascii="Calibri" w:eastAsia="Times New Roman" w:hAnsi="Calibri" w:cs="Times New Roman"/>
                <w:b/>
                <w:bCs/>
                <w:color w:val="auto"/>
                <w:sz w:val="18"/>
                <w:szCs w:val="18"/>
                <w:lang w:val="en-AU" w:eastAsia="en-AU"/>
              </w:rPr>
              <w:t>.3</w:t>
            </w:r>
            <w:r w:rsidRPr="00CF1044">
              <w:rPr>
                <w:rFonts w:ascii="Calibri" w:eastAsia="Times New Roman" w:hAnsi="Calibri" w:cs="Times New Roman"/>
                <w:b/>
                <w:bCs/>
                <w:color w:val="auto"/>
                <w:sz w:val="18"/>
                <w:szCs w:val="18"/>
                <w:lang w:val="en-AU" w:eastAsia="en-AU"/>
              </w:rPr>
              <w:t xml:space="preserve">: </w:t>
            </w:r>
            <w:r w:rsidRPr="00CF1044">
              <w:rPr>
                <w:rFonts w:ascii="Calibri" w:eastAsia="Times New Roman" w:hAnsi="Calibri" w:cs="Times New Roman"/>
                <w:color w:val="auto"/>
                <w:sz w:val="18"/>
                <w:szCs w:val="18"/>
                <w:lang w:val="en-AU" w:eastAsia="en-AU"/>
              </w:rPr>
              <w:t xml:space="preserve"> Increased reporting </w:t>
            </w:r>
            <w:r w:rsidRPr="00CF1044">
              <w:rPr>
                <w:rFonts w:ascii="Calibri" w:eastAsia="Times New Roman" w:hAnsi="Calibri" w:cs="Times New Roman"/>
                <w:color w:val="auto"/>
                <w:sz w:val="18"/>
                <w:szCs w:val="18"/>
                <w:lang w:val="en-AU" w:eastAsia="en-AU"/>
              </w:rPr>
              <w:lastRenderedPageBreak/>
              <w:t>of  violence against women</w:t>
            </w:r>
          </w:p>
        </w:tc>
        <w:tc>
          <w:tcPr>
            <w:tcW w:w="2205" w:type="dxa"/>
            <w:tcBorders>
              <w:top w:val="single" w:sz="4" w:space="0" w:color="auto"/>
              <w:left w:val="nil"/>
              <w:bottom w:val="single" w:sz="4" w:space="0" w:color="auto"/>
              <w:right w:val="single" w:sz="4" w:space="0" w:color="auto"/>
            </w:tcBorders>
            <w:shd w:val="clear" w:color="auto" w:fill="auto"/>
            <w:hideMark/>
          </w:tcPr>
          <w:p w:rsidR="009F0B64" w:rsidRPr="00CF1044" w:rsidRDefault="009F0B64"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lastRenderedPageBreak/>
              <w:t>1.1  Family violence 100 (police incident reports) reports lodged</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F0B64" w:rsidRPr="00CF1044" w:rsidRDefault="009F0B64"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844</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9F0B64" w:rsidRPr="00874B3F" w:rsidRDefault="009F0B64" w:rsidP="00264772">
            <w:pPr>
              <w:pStyle w:val="ListParagraph"/>
              <w:numPr>
                <w:ilvl w:val="0"/>
                <w:numId w:val="38"/>
              </w:numPr>
              <w:rPr>
                <w:rFonts w:ascii="Calibri" w:hAnsi="Calibri"/>
                <w:sz w:val="18"/>
                <w:szCs w:val="18"/>
                <w:lang w:eastAsia="en-AU"/>
              </w:rPr>
            </w:pP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9F0B64" w:rsidRPr="00CF1044" w:rsidRDefault="009F0B64" w:rsidP="0026477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1221</w:t>
            </w:r>
          </w:p>
        </w:tc>
        <w:tc>
          <w:tcPr>
            <w:tcW w:w="1361" w:type="dxa"/>
            <w:tcBorders>
              <w:top w:val="single" w:sz="4" w:space="0" w:color="auto"/>
              <w:left w:val="nil"/>
              <w:bottom w:val="single" w:sz="4" w:space="0" w:color="auto"/>
              <w:right w:val="single" w:sz="4" w:space="0" w:color="auto"/>
            </w:tcBorders>
            <w:shd w:val="clear" w:color="auto" w:fill="auto"/>
            <w:vAlign w:val="center"/>
          </w:tcPr>
          <w:p w:rsidR="009F0B64" w:rsidRPr="00CF1044" w:rsidRDefault="009F0B64" w:rsidP="0026477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FV</w:t>
            </w:r>
            <w:r w:rsidRPr="00CF1044">
              <w:rPr>
                <w:rFonts w:ascii="Calibri" w:eastAsia="Times New Roman" w:hAnsi="Calibri" w:cs="Times New Roman"/>
                <w:color w:val="auto"/>
                <w:sz w:val="18"/>
                <w:szCs w:val="18"/>
                <w:lang w:val="en-AU" w:eastAsia="en-AU"/>
              </w:rPr>
              <w:t xml:space="preserve"> 100s issued</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F0B64" w:rsidRPr="00CF1044" w:rsidRDefault="009F0B64" w:rsidP="0026477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n/a</w:t>
            </w:r>
          </w:p>
        </w:tc>
        <w:tc>
          <w:tcPr>
            <w:tcW w:w="1199" w:type="dxa"/>
            <w:tcBorders>
              <w:top w:val="single" w:sz="4" w:space="0" w:color="auto"/>
              <w:left w:val="nil"/>
              <w:bottom w:val="single" w:sz="4" w:space="0" w:color="auto"/>
              <w:right w:val="single" w:sz="4" w:space="0" w:color="auto"/>
            </w:tcBorders>
          </w:tcPr>
          <w:p w:rsidR="009F0B64" w:rsidRDefault="009F0B64">
            <w:pPr>
              <w:suppressAutoHyphens w:val="0"/>
              <w:spacing w:before="0" w:after="0" w:line="240" w:lineRule="auto"/>
              <w:rPr>
                <w:rFonts w:ascii="Calibri" w:eastAsia="Times New Roman" w:hAnsi="Calibri" w:cs="Times New Roman"/>
                <w:color w:val="auto"/>
                <w:sz w:val="18"/>
                <w:szCs w:val="18"/>
                <w:lang w:val="en-AU" w:eastAsia="en-AU"/>
              </w:rPr>
            </w:pPr>
          </w:p>
          <w:p w:rsidR="009F0B64" w:rsidRPr="00CF1044" w:rsidRDefault="009F0B64">
            <w:pPr>
              <w:suppressAutoHyphens w:val="0"/>
              <w:spacing w:before="0" w:after="0" w:line="240" w:lineRule="auto"/>
              <w:rPr>
                <w:rFonts w:ascii="Calibri" w:eastAsia="Times New Roman" w:hAnsi="Calibri" w:cs="Times New Roman"/>
                <w:color w:val="auto"/>
                <w:sz w:val="18"/>
                <w:szCs w:val="18"/>
                <w:lang w:val="en-AU" w:eastAsia="en-AU"/>
              </w:rPr>
            </w:pPr>
            <w:r w:rsidRPr="00A3529F">
              <w:rPr>
                <w:rFonts w:ascii="Calibri" w:eastAsia="Times New Roman" w:hAnsi="Calibri" w:cs="Times New Roman"/>
                <w:color w:val="auto"/>
                <w:sz w:val="18"/>
                <w:szCs w:val="18"/>
                <w:lang w:val="en-AU" w:eastAsia="en-AU"/>
              </w:rPr>
              <w:t xml:space="preserve">New indicator </w:t>
            </w:r>
            <w:r>
              <w:rPr>
                <w:rFonts w:ascii="Calibri" w:eastAsia="Times New Roman" w:hAnsi="Calibri" w:cs="Times New Roman"/>
                <w:color w:val="auto"/>
                <w:sz w:val="18"/>
                <w:szCs w:val="18"/>
                <w:lang w:val="en-AU" w:eastAsia="en-AU"/>
              </w:rPr>
              <w:t xml:space="preserve">to </w:t>
            </w:r>
            <w:r>
              <w:rPr>
                <w:rFonts w:ascii="Calibri" w:eastAsia="Times New Roman" w:hAnsi="Calibri" w:cs="Times New Roman"/>
                <w:color w:val="auto"/>
                <w:sz w:val="18"/>
                <w:szCs w:val="18"/>
                <w:lang w:val="en-AU" w:eastAsia="en-AU"/>
              </w:rPr>
              <w:lastRenderedPageBreak/>
              <w:t>be developed</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9F0B64" w:rsidRPr="00CF1044" w:rsidRDefault="009F0B64" w:rsidP="0026477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lastRenderedPageBreak/>
              <w:t>Justice</w:t>
            </w:r>
          </w:p>
        </w:tc>
        <w:tc>
          <w:tcPr>
            <w:tcW w:w="2136" w:type="dxa"/>
            <w:tcBorders>
              <w:top w:val="single" w:sz="4" w:space="0" w:color="auto"/>
              <w:left w:val="nil"/>
              <w:bottom w:val="single" w:sz="4" w:space="0" w:color="auto"/>
              <w:right w:val="single" w:sz="4" w:space="0" w:color="auto"/>
            </w:tcBorders>
            <w:shd w:val="clear" w:color="auto" w:fill="auto"/>
            <w:hideMark/>
          </w:tcPr>
          <w:p w:rsidR="009F0B64" w:rsidRPr="00CF1044" w:rsidRDefault="009F0B64">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RSIPF</w:t>
            </w:r>
            <w:r>
              <w:rPr>
                <w:rFonts w:ascii="Calibri" w:eastAsia="Times New Roman" w:hAnsi="Calibri" w:cs="Times New Roman"/>
                <w:color w:val="auto"/>
                <w:sz w:val="18"/>
                <w:szCs w:val="18"/>
                <w:lang w:val="en-AU" w:eastAsia="en-AU"/>
              </w:rPr>
              <w:t xml:space="preserve"> – Note:  RSIPF</w:t>
            </w:r>
            <w:r w:rsidRPr="00977DCF">
              <w:rPr>
                <w:rFonts w:ascii="Calibri" w:eastAsia="Times New Roman" w:hAnsi="Calibri" w:cs="Times New Roman"/>
                <w:color w:val="auto"/>
                <w:sz w:val="18"/>
                <w:szCs w:val="18"/>
                <w:lang w:val="en-AU" w:eastAsia="en-AU"/>
              </w:rPr>
              <w:t xml:space="preserve"> </w:t>
            </w:r>
            <w:r>
              <w:rPr>
                <w:rFonts w:ascii="Calibri" w:eastAsia="Times New Roman" w:hAnsi="Calibri" w:cs="Times New Roman"/>
                <w:color w:val="auto"/>
                <w:sz w:val="18"/>
                <w:szCs w:val="18"/>
                <w:lang w:val="en-AU" w:eastAsia="en-AU"/>
              </w:rPr>
              <w:t>has</w:t>
            </w:r>
            <w:r w:rsidRPr="00977DCF">
              <w:rPr>
                <w:rFonts w:ascii="Calibri" w:eastAsia="Times New Roman" w:hAnsi="Calibri" w:cs="Times New Roman"/>
                <w:color w:val="auto"/>
                <w:sz w:val="18"/>
                <w:szCs w:val="18"/>
                <w:lang w:val="en-AU" w:eastAsia="en-AU"/>
              </w:rPr>
              <w:t xml:space="preserve"> indicated FV100 Forms are</w:t>
            </w:r>
            <w:r>
              <w:rPr>
                <w:rFonts w:ascii="Calibri" w:eastAsia="Times New Roman" w:hAnsi="Calibri" w:cs="Times New Roman"/>
                <w:color w:val="auto"/>
                <w:sz w:val="18"/>
                <w:szCs w:val="18"/>
                <w:lang w:val="en-AU" w:eastAsia="en-AU"/>
              </w:rPr>
              <w:t xml:space="preserve"> not being completed </w:t>
            </w:r>
            <w:r>
              <w:rPr>
                <w:rFonts w:ascii="Calibri" w:eastAsia="Times New Roman" w:hAnsi="Calibri" w:cs="Times New Roman"/>
                <w:color w:val="auto"/>
                <w:sz w:val="18"/>
                <w:szCs w:val="18"/>
                <w:lang w:val="en-AU" w:eastAsia="en-AU"/>
              </w:rPr>
              <w:lastRenderedPageBreak/>
              <w:t>and therefore not an accurate assessment</w:t>
            </w:r>
          </w:p>
        </w:tc>
      </w:tr>
      <w:tr w:rsidR="009F0B64" w:rsidRPr="00CF1044" w:rsidTr="005B4D51">
        <w:trPr>
          <w:trHeight w:val="45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9F0B64" w:rsidRPr="00CF1044" w:rsidRDefault="009F0B64" w:rsidP="00831C43">
            <w:pPr>
              <w:suppressAutoHyphens w:val="0"/>
              <w:spacing w:before="0" w:after="0" w:line="240" w:lineRule="auto"/>
              <w:rPr>
                <w:rFonts w:ascii="Calibri" w:eastAsia="Times New Roman" w:hAnsi="Calibri" w:cs="Times New Roman"/>
                <w:color w:val="auto"/>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auto"/>
            <w:hideMark/>
          </w:tcPr>
          <w:p w:rsidR="009F0B64" w:rsidRPr="00CF1044" w:rsidRDefault="009F0B64" w:rsidP="00831C43">
            <w:pPr>
              <w:suppressAutoHyphens w:val="0"/>
              <w:spacing w:before="0" w:after="24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1.2 </w:t>
            </w:r>
            <w:r>
              <w:rPr>
                <w:rFonts w:ascii="Calibri" w:eastAsia="Times New Roman" w:hAnsi="Calibri" w:cs="Times New Roman"/>
                <w:color w:val="auto"/>
                <w:sz w:val="18"/>
                <w:szCs w:val="18"/>
                <w:lang w:val="en-AU" w:eastAsia="en-AU"/>
              </w:rPr>
              <w:t xml:space="preserve">Number of </w:t>
            </w:r>
            <w:r w:rsidRPr="00CF1044">
              <w:rPr>
                <w:rFonts w:ascii="Calibri" w:eastAsia="Times New Roman" w:hAnsi="Calibri" w:cs="Times New Roman"/>
                <w:color w:val="auto"/>
                <w:sz w:val="18"/>
                <w:szCs w:val="18"/>
                <w:lang w:val="en-AU" w:eastAsia="en-AU"/>
              </w:rPr>
              <w:t xml:space="preserve"> women calling Seif Ples hotline</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F0B64" w:rsidRPr="00CF1044" w:rsidRDefault="009F0B64"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251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9F0B64" w:rsidRPr="00CF1044" w:rsidRDefault="009F0B64"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616</w:t>
            </w:r>
          </w:p>
        </w:tc>
        <w:tc>
          <w:tcPr>
            <w:tcW w:w="1240" w:type="dxa"/>
            <w:tcBorders>
              <w:top w:val="single" w:sz="4" w:space="0" w:color="auto"/>
              <w:left w:val="nil"/>
              <w:bottom w:val="single" w:sz="4" w:space="0" w:color="auto"/>
              <w:right w:val="single" w:sz="4" w:space="0" w:color="auto"/>
            </w:tcBorders>
            <w:shd w:val="clear" w:color="auto" w:fill="auto"/>
            <w:vAlign w:val="center"/>
          </w:tcPr>
          <w:p w:rsidR="009F0B64" w:rsidRPr="00CF1044" w:rsidRDefault="009F0B64"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407</w:t>
            </w: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9F0B64" w:rsidRPr="00CF1044" w:rsidRDefault="009F0B64"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500</w:t>
            </w:r>
          </w:p>
        </w:tc>
        <w:tc>
          <w:tcPr>
            <w:tcW w:w="1401" w:type="dxa"/>
            <w:tcBorders>
              <w:top w:val="single" w:sz="4" w:space="0" w:color="auto"/>
              <w:left w:val="nil"/>
              <w:bottom w:val="single" w:sz="4" w:space="0" w:color="auto"/>
              <w:right w:val="single" w:sz="4" w:space="0" w:color="auto"/>
            </w:tcBorders>
            <w:shd w:val="clear" w:color="auto" w:fill="F8F8F8"/>
            <w:vAlign w:val="center"/>
          </w:tcPr>
          <w:p w:rsidR="009F0B64" w:rsidRPr="00CF1044" w:rsidRDefault="009F0B64" w:rsidP="00350C55">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n/a</w:t>
            </w:r>
          </w:p>
        </w:tc>
        <w:tc>
          <w:tcPr>
            <w:tcW w:w="1199" w:type="dxa"/>
            <w:tcBorders>
              <w:top w:val="single" w:sz="4" w:space="0" w:color="auto"/>
              <w:left w:val="nil"/>
              <w:bottom w:val="single" w:sz="4" w:space="0" w:color="auto"/>
              <w:right w:val="single" w:sz="4" w:space="0" w:color="auto"/>
            </w:tcBorders>
            <w:vAlign w:val="center"/>
          </w:tcPr>
          <w:p w:rsidR="009F0B64" w:rsidRPr="00CF1044" w:rsidRDefault="009F0B64" w:rsidP="00977DCF">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47,089</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9F0B64" w:rsidRPr="00CF1044" w:rsidRDefault="009F0B64" w:rsidP="00831C43">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w:t>
            </w:r>
          </w:p>
        </w:tc>
        <w:tc>
          <w:tcPr>
            <w:tcW w:w="2136" w:type="dxa"/>
            <w:tcBorders>
              <w:top w:val="single" w:sz="4" w:space="0" w:color="auto"/>
              <w:left w:val="nil"/>
              <w:bottom w:val="single" w:sz="4" w:space="0" w:color="auto"/>
              <w:right w:val="single" w:sz="4" w:space="0" w:color="auto"/>
            </w:tcBorders>
            <w:shd w:val="clear" w:color="auto" w:fill="auto"/>
            <w:hideMark/>
          </w:tcPr>
          <w:p w:rsidR="009F0B64" w:rsidRPr="00CF1044" w:rsidRDefault="009F0B64" w:rsidP="00831C43">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Program reporting</w:t>
            </w:r>
          </w:p>
        </w:tc>
      </w:tr>
      <w:tr w:rsidR="009F0B64" w:rsidRPr="00CF1044" w:rsidTr="005B4D51">
        <w:trPr>
          <w:trHeight w:val="780"/>
        </w:trPr>
        <w:tc>
          <w:tcPr>
            <w:tcW w:w="1729" w:type="dxa"/>
            <w:vMerge w:val="restart"/>
            <w:tcBorders>
              <w:top w:val="single" w:sz="4" w:space="0" w:color="auto"/>
              <w:left w:val="single" w:sz="4" w:space="0" w:color="auto"/>
              <w:bottom w:val="single" w:sz="4" w:space="0" w:color="auto"/>
              <w:right w:val="single" w:sz="4" w:space="0" w:color="auto"/>
            </w:tcBorders>
            <w:shd w:val="clear" w:color="auto" w:fill="F8F8F8"/>
            <w:hideMark/>
          </w:tcPr>
          <w:p w:rsidR="002A589C" w:rsidRPr="00CF1044" w:rsidRDefault="002A589C" w:rsidP="00831C43">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t xml:space="preserve">Outcome </w:t>
            </w:r>
            <w:r w:rsidR="003D4472">
              <w:rPr>
                <w:rFonts w:ascii="Calibri" w:eastAsia="Times New Roman" w:hAnsi="Calibri" w:cs="Times New Roman"/>
                <w:b/>
                <w:bCs/>
                <w:color w:val="auto"/>
                <w:sz w:val="18"/>
                <w:szCs w:val="18"/>
                <w:lang w:val="en-AU" w:eastAsia="en-AU"/>
              </w:rPr>
              <w:t>1.4</w:t>
            </w:r>
            <w:r w:rsidRPr="00CF1044">
              <w:rPr>
                <w:rFonts w:ascii="Calibri" w:eastAsia="Times New Roman" w:hAnsi="Calibri" w:cs="Times New Roman"/>
                <w:b/>
                <w:bCs/>
                <w:color w:val="auto"/>
                <w:sz w:val="18"/>
                <w:szCs w:val="18"/>
                <w:lang w:val="en-AU" w:eastAsia="en-AU"/>
              </w:rPr>
              <w:t xml:space="preserve">: </w:t>
            </w:r>
            <w:r w:rsidRPr="00CF1044">
              <w:rPr>
                <w:rFonts w:ascii="Calibri" w:eastAsia="Times New Roman" w:hAnsi="Calibri" w:cs="Times New Roman"/>
                <w:color w:val="auto"/>
                <w:sz w:val="18"/>
                <w:szCs w:val="18"/>
                <w:lang w:val="en-AU" w:eastAsia="en-AU"/>
              </w:rPr>
              <w:t xml:space="preserve"> Survivors of gender-based violence can access high quality services</w:t>
            </w:r>
          </w:p>
        </w:tc>
        <w:tc>
          <w:tcPr>
            <w:tcW w:w="2205"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E631C9">
            <w:pPr>
              <w:suppressAutoHyphens w:val="0"/>
              <w:spacing w:before="0" w:after="24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2.1 </w:t>
            </w:r>
            <w:r w:rsidR="009F0B64">
              <w:rPr>
                <w:rFonts w:ascii="Calibri" w:eastAsia="Times New Roman" w:hAnsi="Calibri" w:cs="Times New Roman"/>
                <w:color w:val="auto"/>
                <w:sz w:val="18"/>
                <w:szCs w:val="18"/>
                <w:lang w:val="en-AU" w:eastAsia="en-AU"/>
              </w:rPr>
              <w:t xml:space="preserve">Number of </w:t>
            </w:r>
            <w:r w:rsidRPr="00CF1044">
              <w:rPr>
                <w:rFonts w:ascii="Calibri" w:eastAsia="Times New Roman" w:hAnsi="Calibri" w:cs="Times New Roman"/>
                <w:color w:val="auto"/>
                <w:sz w:val="18"/>
                <w:szCs w:val="18"/>
                <w:lang w:val="en-AU" w:eastAsia="en-AU"/>
              </w:rPr>
              <w:t xml:space="preserve"> women survivors </w:t>
            </w:r>
            <w:r>
              <w:rPr>
                <w:rFonts w:ascii="Calibri" w:eastAsia="Times New Roman" w:hAnsi="Calibri" w:cs="Times New Roman"/>
                <w:color w:val="auto"/>
                <w:sz w:val="18"/>
                <w:szCs w:val="18"/>
                <w:lang w:val="en-AU" w:eastAsia="en-AU"/>
              </w:rPr>
              <w:t xml:space="preserve">of violence receiving services </w:t>
            </w:r>
            <w:r w:rsidRPr="00CF1044">
              <w:rPr>
                <w:rFonts w:ascii="Calibri" w:eastAsia="Times New Roman" w:hAnsi="Calibri" w:cs="Times New Roman"/>
                <w:color w:val="auto"/>
                <w:sz w:val="18"/>
                <w:szCs w:val="18"/>
                <w:lang w:val="en-AU" w:eastAsia="en-AU"/>
              </w:rPr>
              <w:t>such as counselling (Aggregate Development</w:t>
            </w:r>
            <w:r w:rsidR="00DE489B">
              <w:rPr>
                <w:rFonts w:ascii="Calibri" w:eastAsia="Times New Roman" w:hAnsi="Calibri" w:cs="Times New Roman"/>
                <w:color w:val="auto"/>
                <w:sz w:val="18"/>
                <w:szCs w:val="18"/>
                <w:lang w:val="en-AU" w:eastAsia="en-AU"/>
              </w:rPr>
              <w:t xml:space="preserve"> Result</w:t>
            </w:r>
            <w:r w:rsidRPr="00CF1044">
              <w:rPr>
                <w:rFonts w:ascii="Calibri" w:eastAsia="Times New Roman" w:hAnsi="Calibri" w:cs="Times New Roman"/>
                <w:color w:val="auto"/>
                <w:sz w:val="18"/>
                <w:szCs w:val="18"/>
                <w:lang w:val="en-AU" w:eastAsia="en-AU"/>
              </w:rPr>
              <w:t>)</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297</w:t>
            </w:r>
          </w:p>
        </w:tc>
        <w:tc>
          <w:tcPr>
            <w:tcW w:w="1240" w:type="dxa"/>
            <w:tcBorders>
              <w:top w:val="single" w:sz="4" w:space="0" w:color="auto"/>
              <w:left w:val="nil"/>
              <w:bottom w:val="single" w:sz="4" w:space="0" w:color="auto"/>
              <w:right w:val="single" w:sz="4" w:space="0" w:color="auto"/>
            </w:tcBorders>
            <w:shd w:val="clear" w:color="auto" w:fill="auto"/>
            <w:vAlign w:val="center"/>
          </w:tcPr>
          <w:p w:rsidR="002A589C" w:rsidRPr="00771743" w:rsidRDefault="002A589C" w:rsidP="00771743">
            <w:pPr>
              <w:rPr>
                <w:rFonts w:ascii="Calibri" w:hAnsi="Calibri"/>
                <w:sz w:val="18"/>
                <w:szCs w:val="18"/>
                <w:lang w:eastAsia="en-AU"/>
              </w:rPr>
            </w:pPr>
            <w:r w:rsidRPr="00771743">
              <w:rPr>
                <w:rFonts w:ascii="Calibri" w:hAnsi="Calibri"/>
                <w:sz w:val="18"/>
                <w:szCs w:val="18"/>
                <w:lang w:eastAsia="en-AU"/>
              </w:rPr>
              <w:t>381</w:t>
            </w: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2A589C" w:rsidRPr="00CF1044" w:rsidRDefault="002A589C" w:rsidP="009F0B64">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Increase </w:t>
            </w:r>
            <w:r w:rsidR="009F0B64">
              <w:rPr>
                <w:rFonts w:ascii="Calibri" w:eastAsia="Times New Roman" w:hAnsi="Calibri" w:cs="Times New Roman"/>
                <w:color w:val="auto"/>
                <w:sz w:val="18"/>
                <w:szCs w:val="18"/>
                <w:lang w:val="en-AU" w:eastAsia="en-AU"/>
              </w:rPr>
              <w:t>year-on-year</w:t>
            </w:r>
          </w:p>
        </w:tc>
        <w:tc>
          <w:tcPr>
            <w:tcW w:w="1401" w:type="dxa"/>
            <w:tcBorders>
              <w:top w:val="single" w:sz="4" w:space="0" w:color="auto"/>
              <w:left w:val="nil"/>
              <w:bottom w:val="single" w:sz="4" w:space="0" w:color="auto"/>
              <w:right w:val="single" w:sz="4" w:space="0" w:color="auto"/>
            </w:tcBorders>
            <w:shd w:val="clear" w:color="auto" w:fill="F8F8F8"/>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919</w:t>
            </w:r>
          </w:p>
        </w:tc>
        <w:tc>
          <w:tcPr>
            <w:tcW w:w="1199" w:type="dxa"/>
            <w:tcBorders>
              <w:top w:val="single" w:sz="4" w:space="0" w:color="auto"/>
              <w:left w:val="nil"/>
              <w:bottom w:val="single" w:sz="4" w:space="0" w:color="auto"/>
              <w:right w:val="single" w:sz="4" w:space="0" w:color="auto"/>
            </w:tcBorders>
            <w:vAlign w:val="center"/>
          </w:tcPr>
          <w:p w:rsidR="002A589C" w:rsidRPr="00CF1044" w:rsidRDefault="00855D34" w:rsidP="009F0B64">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Increase </w:t>
            </w:r>
            <w:r w:rsidR="009F0B64">
              <w:rPr>
                <w:rFonts w:ascii="Calibri" w:eastAsia="Times New Roman" w:hAnsi="Calibri" w:cs="Times New Roman"/>
                <w:color w:val="auto"/>
                <w:sz w:val="18"/>
                <w:szCs w:val="18"/>
                <w:lang w:val="en-AU" w:eastAsia="en-AU"/>
              </w:rPr>
              <w:t>year-on-year</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831C43">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Gender</w:t>
            </w:r>
          </w:p>
        </w:tc>
        <w:tc>
          <w:tcPr>
            <w:tcW w:w="2136"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831C43">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Program reporting </w:t>
            </w:r>
          </w:p>
        </w:tc>
      </w:tr>
      <w:tr w:rsidR="009F0B64" w:rsidRPr="00CF1044" w:rsidTr="005B4D51">
        <w:trPr>
          <w:trHeight w:val="780"/>
        </w:trPr>
        <w:tc>
          <w:tcPr>
            <w:tcW w:w="1729"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2A589C" w:rsidRPr="00CF1044" w:rsidRDefault="002A589C" w:rsidP="00831C43">
            <w:pPr>
              <w:suppressAutoHyphens w:val="0"/>
              <w:spacing w:before="0" w:after="0" w:line="240" w:lineRule="auto"/>
              <w:rPr>
                <w:rFonts w:ascii="Calibri" w:eastAsia="Times New Roman" w:hAnsi="Calibri" w:cs="Times New Roman"/>
                <w:color w:val="auto"/>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121EA4">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2.2  Numbers of women</w:t>
            </w:r>
            <w:r>
              <w:rPr>
                <w:rFonts w:ascii="Calibri" w:eastAsia="Times New Roman" w:hAnsi="Calibri" w:cs="Times New Roman"/>
                <w:color w:val="auto"/>
                <w:sz w:val="18"/>
                <w:szCs w:val="18"/>
                <w:lang w:val="en-AU" w:eastAsia="en-AU"/>
              </w:rPr>
              <w:t xml:space="preserve"> </w:t>
            </w:r>
            <w:r w:rsidRPr="00CF1044">
              <w:rPr>
                <w:rFonts w:ascii="Calibri" w:eastAsia="Times New Roman" w:hAnsi="Calibri" w:cs="Times New Roman"/>
                <w:color w:val="auto"/>
                <w:sz w:val="18"/>
                <w:szCs w:val="18"/>
                <w:lang w:val="en-AU" w:eastAsia="en-AU"/>
              </w:rPr>
              <w:t xml:space="preserve">survivors of violence who receive case management through the </w:t>
            </w:r>
            <w:r w:rsidR="00121EA4">
              <w:rPr>
                <w:rFonts w:ascii="Calibri" w:eastAsia="Times New Roman" w:hAnsi="Calibri" w:cs="Times New Roman"/>
                <w:color w:val="auto"/>
                <w:sz w:val="18"/>
                <w:szCs w:val="18"/>
                <w:lang w:val="en-AU" w:eastAsia="en-AU"/>
              </w:rPr>
              <w:t>SAFENET</w:t>
            </w:r>
            <w:r w:rsidR="00121EA4" w:rsidRPr="00CF1044">
              <w:rPr>
                <w:rFonts w:ascii="Calibri" w:eastAsia="Times New Roman" w:hAnsi="Calibri" w:cs="Times New Roman"/>
                <w:color w:val="auto"/>
                <w:sz w:val="18"/>
                <w:szCs w:val="18"/>
                <w:lang w:val="en-AU" w:eastAsia="en-AU"/>
              </w:rPr>
              <w:t xml:space="preserve"> </w:t>
            </w:r>
            <w:r w:rsidRPr="00CF1044">
              <w:rPr>
                <w:rFonts w:ascii="Calibri" w:eastAsia="Times New Roman" w:hAnsi="Calibri" w:cs="Times New Roman"/>
                <w:color w:val="auto"/>
                <w:sz w:val="18"/>
                <w:szCs w:val="18"/>
                <w:lang w:val="en-AU" w:eastAsia="en-AU"/>
              </w:rPr>
              <w:t>referral system</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w:t>
            </w:r>
          </w:p>
        </w:tc>
        <w:tc>
          <w:tcPr>
            <w:tcW w:w="1240" w:type="dxa"/>
            <w:tcBorders>
              <w:top w:val="single" w:sz="4" w:space="0" w:color="auto"/>
              <w:left w:val="nil"/>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117</w:t>
            </w: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2A589C" w:rsidRPr="00CF1044" w:rsidRDefault="005E65BF"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Increase </w:t>
            </w:r>
            <w:r w:rsidR="009F0B64">
              <w:rPr>
                <w:rFonts w:ascii="Calibri" w:eastAsia="Times New Roman" w:hAnsi="Calibri" w:cs="Times New Roman"/>
                <w:color w:val="auto"/>
                <w:sz w:val="18"/>
                <w:szCs w:val="18"/>
                <w:lang w:val="en-AU" w:eastAsia="en-AU"/>
              </w:rPr>
              <w:t>year-on-year</w:t>
            </w:r>
          </w:p>
        </w:tc>
        <w:tc>
          <w:tcPr>
            <w:tcW w:w="1401" w:type="dxa"/>
            <w:tcBorders>
              <w:top w:val="single" w:sz="4" w:space="0" w:color="auto"/>
              <w:left w:val="nil"/>
              <w:bottom w:val="single" w:sz="4" w:space="0" w:color="auto"/>
              <w:right w:val="single" w:sz="4" w:space="0" w:color="auto"/>
            </w:tcBorders>
            <w:shd w:val="clear" w:color="auto" w:fill="F8F8F8"/>
            <w:vAlign w:val="center"/>
          </w:tcPr>
          <w:p w:rsidR="002A589C"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235</w:t>
            </w:r>
          </w:p>
          <w:p w:rsidR="004C0C28" w:rsidRPr="00CF1044" w:rsidRDefault="004C0C28" w:rsidP="004C0C28">
            <w:pPr>
              <w:suppressAutoHyphens w:val="0"/>
              <w:spacing w:before="0" w:after="0" w:line="240" w:lineRule="auto"/>
              <w:rPr>
                <w:rFonts w:ascii="Calibri" w:eastAsia="Times New Roman" w:hAnsi="Calibri" w:cs="Times New Roman"/>
                <w:color w:val="auto"/>
                <w:sz w:val="18"/>
                <w:szCs w:val="18"/>
                <w:lang w:val="en-AU" w:eastAsia="en-AU"/>
              </w:rPr>
            </w:pPr>
          </w:p>
        </w:tc>
        <w:tc>
          <w:tcPr>
            <w:tcW w:w="1199" w:type="dxa"/>
            <w:tcBorders>
              <w:top w:val="single" w:sz="4" w:space="0" w:color="auto"/>
              <w:left w:val="nil"/>
              <w:bottom w:val="single" w:sz="4" w:space="0" w:color="auto"/>
              <w:right w:val="single" w:sz="4" w:space="0" w:color="auto"/>
            </w:tcBorders>
            <w:vAlign w:val="center"/>
          </w:tcPr>
          <w:p w:rsidR="002A589C" w:rsidRPr="00CF1044" w:rsidRDefault="00855D34" w:rsidP="009F0B64">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Increase </w:t>
            </w:r>
            <w:r w:rsidR="009F0B64">
              <w:rPr>
                <w:rFonts w:ascii="Calibri" w:eastAsia="Times New Roman" w:hAnsi="Calibri" w:cs="Times New Roman"/>
                <w:color w:val="auto"/>
                <w:sz w:val="18"/>
                <w:szCs w:val="18"/>
                <w:lang w:val="en-AU" w:eastAsia="en-AU"/>
              </w:rPr>
              <w:t>year-on-year</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831C43">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Gender</w:t>
            </w:r>
          </w:p>
        </w:tc>
        <w:tc>
          <w:tcPr>
            <w:tcW w:w="2136" w:type="dxa"/>
            <w:tcBorders>
              <w:top w:val="single" w:sz="4" w:space="0" w:color="auto"/>
              <w:left w:val="nil"/>
              <w:bottom w:val="single" w:sz="4" w:space="0" w:color="auto"/>
              <w:right w:val="single" w:sz="4" w:space="0" w:color="auto"/>
            </w:tcBorders>
            <w:shd w:val="clear" w:color="auto" w:fill="auto"/>
            <w:hideMark/>
          </w:tcPr>
          <w:p w:rsidR="002A589C" w:rsidRPr="00CF1044" w:rsidRDefault="00121EA4" w:rsidP="00121EA4">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Ministry of Women, Youth, Children and Family Affairs, </w:t>
            </w:r>
            <w:r w:rsidR="002A589C" w:rsidRPr="00CF1044">
              <w:rPr>
                <w:rFonts w:ascii="Calibri" w:eastAsia="Times New Roman" w:hAnsi="Calibri" w:cs="Times New Roman"/>
                <w:color w:val="auto"/>
                <w:sz w:val="18"/>
                <w:szCs w:val="18"/>
                <w:lang w:val="en-AU" w:eastAsia="en-AU"/>
              </w:rPr>
              <w:t>Program Reporting</w:t>
            </w:r>
          </w:p>
        </w:tc>
      </w:tr>
      <w:tr w:rsidR="00607098" w:rsidRPr="00CF1044" w:rsidTr="005B4D51">
        <w:trPr>
          <w:trHeight w:val="465"/>
        </w:trPr>
        <w:tc>
          <w:tcPr>
            <w:tcW w:w="15031" w:type="dxa"/>
            <w:gridSpan w:val="11"/>
            <w:tcBorders>
              <w:top w:val="single" w:sz="4" w:space="0" w:color="auto"/>
              <w:left w:val="single" w:sz="4" w:space="0" w:color="auto"/>
              <w:bottom w:val="single" w:sz="4" w:space="0" w:color="auto"/>
              <w:right w:val="single" w:sz="4" w:space="0" w:color="auto"/>
            </w:tcBorders>
            <w:shd w:val="clear" w:color="auto" w:fill="DDECD0" w:themeFill="accent3" w:themeFillTint="66"/>
          </w:tcPr>
          <w:p w:rsidR="00607098" w:rsidRDefault="00607098" w:rsidP="004C0C28">
            <w:pPr>
              <w:suppressAutoHyphens w:val="0"/>
              <w:spacing w:before="0" w:after="0" w:line="240" w:lineRule="auto"/>
              <w:jc w:val="center"/>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Sub-objective: Women have expanded opportunities to effectively influence and lead in decision-making</w:t>
            </w:r>
          </w:p>
          <w:p w:rsidR="00607098" w:rsidRPr="00CF1044" w:rsidRDefault="00607098" w:rsidP="005B4D51">
            <w:pPr>
              <w:spacing w:before="0" w:after="0"/>
              <w:rPr>
                <w:rFonts w:ascii="Calibri" w:eastAsia="Times New Roman" w:hAnsi="Calibri" w:cs="Times New Roman"/>
                <w:b/>
                <w:bCs/>
                <w:color w:val="auto"/>
                <w:sz w:val="18"/>
                <w:szCs w:val="18"/>
                <w:lang w:val="en-AU" w:eastAsia="en-AU"/>
              </w:rPr>
            </w:pPr>
          </w:p>
        </w:tc>
      </w:tr>
      <w:tr w:rsidR="009F0B64" w:rsidRPr="00CF1044" w:rsidTr="005B4D51">
        <w:trPr>
          <w:trHeight w:val="480"/>
        </w:trPr>
        <w:tc>
          <w:tcPr>
            <w:tcW w:w="1729" w:type="dxa"/>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831C43">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Sentinel indicators</w:t>
            </w:r>
          </w:p>
        </w:tc>
        <w:tc>
          <w:tcPr>
            <w:tcW w:w="2205"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831C43">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Number of women in Parliament (National + Provincial levels)</w:t>
            </w:r>
          </w:p>
        </w:tc>
        <w:tc>
          <w:tcPr>
            <w:tcW w:w="1210"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24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 (1,4)</w:t>
            </w:r>
          </w:p>
        </w:tc>
        <w:tc>
          <w:tcPr>
            <w:tcW w:w="1240"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color w:val="auto"/>
                <w:sz w:val="18"/>
                <w:szCs w:val="18"/>
                <w:lang w:val="en-AU" w:eastAsia="en-AU"/>
              </w:rPr>
              <w:t>6 (2,4)</w:t>
            </w:r>
          </w:p>
        </w:tc>
        <w:tc>
          <w:tcPr>
            <w:tcW w:w="1409"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National - 4                          Provincial - 20%</w:t>
            </w:r>
          </w:p>
        </w:tc>
        <w:tc>
          <w:tcPr>
            <w:tcW w:w="1401"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51476F">
              <w:rPr>
                <w:rFonts w:ascii="Calibri" w:eastAsia="Times New Roman" w:hAnsi="Calibri" w:cs="Times New Roman"/>
                <w:color w:val="auto"/>
                <w:sz w:val="18"/>
                <w:szCs w:val="18"/>
                <w:lang w:val="en-AU" w:eastAsia="en-AU"/>
              </w:rPr>
              <w:t>National - 2 Provincial 5 (as of 12 July, 4%</w:t>
            </w:r>
          </w:p>
        </w:tc>
        <w:tc>
          <w:tcPr>
            <w:tcW w:w="1199"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831C43">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213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CF1044" w:rsidRDefault="002A589C" w:rsidP="00831C43">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 </w:t>
            </w:r>
          </w:p>
        </w:tc>
      </w:tr>
      <w:tr w:rsidR="009F0B64" w:rsidRPr="00CF1044" w:rsidTr="005B4D51">
        <w:trPr>
          <w:trHeight w:val="1965"/>
        </w:trPr>
        <w:tc>
          <w:tcPr>
            <w:tcW w:w="1729" w:type="dxa"/>
            <w:vMerge w:val="restart"/>
            <w:tcBorders>
              <w:top w:val="single" w:sz="4" w:space="0" w:color="auto"/>
              <w:left w:val="single" w:sz="4" w:space="0" w:color="auto"/>
              <w:bottom w:val="single" w:sz="4" w:space="0" w:color="auto"/>
              <w:right w:val="single" w:sz="4" w:space="0" w:color="auto"/>
            </w:tcBorders>
            <w:shd w:val="clear" w:color="auto" w:fill="F8F8F8"/>
            <w:hideMark/>
          </w:tcPr>
          <w:p w:rsidR="002A589C" w:rsidRPr="00D012B2" w:rsidRDefault="002A589C" w:rsidP="00430305">
            <w:pPr>
              <w:suppressAutoHyphens w:val="0"/>
              <w:spacing w:before="0" w:after="0" w:line="240" w:lineRule="auto"/>
              <w:rPr>
                <w:rFonts w:ascii="Calibri" w:eastAsia="Times New Roman" w:hAnsi="Calibri" w:cs="Times New Roman"/>
                <w:color w:val="auto"/>
                <w:sz w:val="18"/>
                <w:szCs w:val="18"/>
                <w:lang w:val="en-AU" w:eastAsia="en-AU"/>
              </w:rPr>
            </w:pPr>
            <w:r w:rsidRPr="00D012B2">
              <w:rPr>
                <w:rFonts w:ascii="Calibri" w:eastAsia="Times New Roman" w:hAnsi="Calibri" w:cs="Times New Roman"/>
                <w:b/>
                <w:bCs/>
                <w:color w:val="auto"/>
                <w:sz w:val="18"/>
                <w:szCs w:val="18"/>
                <w:lang w:val="en-AU" w:eastAsia="en-AU"/>
              </w:rPr>
              <w:t>Outcome 1</w:t>
            </w:r>
            <w:r w:rsidR="003D4472">
              <w:rPr>
                <w:rFonts w:ascii="Calibri" w:eastAsia="Times New Roman" w:hAnsi="Calibri" w:cs="Times New Roman"/>
                <w:b/>
                <w:bCs/>
                <w:color w:val="auto"/>
                <w:sz w:val="18"/>
                <w:szCs w:val="18"/>
                <w:lang w:val="en-AU" w:eastAsia="en-AU"/>
              </w:rPr>
              <w:t>.5</w:t>
            </w:r>
            <w:r w:rsidRPr="00D012B2">
              <w:rPr>
                <w:rFonts w:ascii="Calibri" w:eastAsia="Times New Roman" w:hAnsi="Calibri" w:cs="Times New Roman"/>
                <w:b/>
                <w:bCs/>
                <w:color w:val="auto"/>
                <w:sz w:val="18"/>
                <w:szCs w:val="18"/>
                <w:lang w:val="en-AU" w:eastAsia="en-AU"/>
              </w:rPr>
              <w:t xml:space="preserve">: </w:t>
            </w:r>
            <w:r w:rsidRPr="00D012B2">
              <w:rPr>
                <w:rFonts w:ascii="Calibri" w:eastAsia="Times New Roman" w:hAnsi="Calibri" w:cs="Times New Roman"/>
                <w:color w:val="auto"/>
                <w:sz w:val="18"/>
                <w:szCs w:val="18"/>
                <w:lang w:val="en-AU" w:eastAsia="en-AU"/>
              </w:rPr>
              <w:t xml:space="preserve"> Increased women's leadership and electoral participation</w:t>
            </w:r>
          </w:p>
        </w:tc>
        <w:tc>
          <w:tcPr>
            <w:tcW w:w="2205" w:type="dxa"/>
            <w:tcBorders>
              <w:top w:val="single" w:sz="4" w:space="0" w:color="auto"/>
              <w:left w:val="nil"/>
              <w:bottom w:val="single" w:sz="4" w:space="0" w:color="auto"/>
              <w:right w:val="single" w:sz="4" w:space="0" w:color="auto"/>
            </w:tcBorders>
            <w:shd w:val="clear" w:color="auto" w:fill="F8F8F8"/>
            <w:hideMark/>
          </w:tcPr>
          <w:p w:rsidR="002A589C" w:rsidRPr="00D012B2" w:rsidRDefault="002A589C" w:rsidP="00430305">
            <w:pPr>
              <w:suppressAutoHyphens w:val="0"/>
              <w:spacing w:before="0" w:after="0" w:line="240" w:lineRule="auto"/>
              <w:rPr>
                <w:rFonts w:ascii="Calibri" w:eastAsia="Times New Roman" w:hAnsi="Calibri" w:cs="Times New Roman"/>
                <w:color w:val="auto"/>
                <w:sz w:val="18"/>
                <w:szCs w:val="18"/>
                <w:lang w:val="en-AU" w:eastAsia="en-AU"/>
              </w:rPr>
            </w:pPr>
            <w:r w:rsidRPr="00D012B2">
              <w:rPr>
                <w:rFonts w:ascii="Calibri" w:eastAsia="Times New Roman" w:hAnsi="Calibri" w:cs="Times New Roman"/>
                <w:color w:val="auto"/>
                <w:sz w:val="18"/>
                <w:szCs w:val="18"/>
                <w:lang w:val="en-AU" w:eastAsia="en-AU"/>
              </w:rPr>
              <w:t xml:space="preserve">1.1 Supporting female candidates in provincial and national parliament </w:t>
            </w:r>
          </w:p>
        </w:tc>
        <w:tc>
          <w:tcPr>
            <w:tcW w:w="1210" w:type="dxa"/>
            <w:tcBorders>
              <w:top w:val="single" w:sz="4" w:space="0" w:color="auto"/>
              <w:left w:val="nil"/>
              <w:bottom w:val="single" w:sz="4" w:space="0" w:color="auto"/>
              <w:right w:val="single" w:sz="4" w:space="0" w:color="auto"/>
            </w:tcBorders>
            <w:shd w:val="clear" w:color="auto" w:fill="F8F8F8"/>
            <w:hideMark/>
          </w:tcPr>
          <w:p w:rsidR="002A589C" w:rsidRPr="00CF1044" w:rsidRDefault="002A589C" w:rsidP="00DB7C6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 and 26 female candidates contested the 2010 and 2014 National General Elections respectively</w:t>
            </w:r>
          </w:p>
        </w:tc>
        <w:tc>
          <w:tcPr>
            <w:tcW w:w="1246"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DB7C6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UNDP Pacific Parliamentary Effectiveness Initiative trained 29 participants</w:t>
            </w:r>
          </w:p>
        </w:tc>
        <w:tc>
          <w:tcPr>
            <w:tcW w:w="1240" w:type="dxa"/>
            <w:tcBorders>
              <w:top w:val="single" w:sz="4" w:space="0" w:color="auto"/>
              <w:left w:val="nil"/>
              <w:bottom w:val="single" w:sz="4" w:space="0" w:color="auto"/>
              <w:right w:val="single" w:sz="4" w:space="0" w:color="auto"/>
            </w:tcBorders>
            <w:shd w:val="clear" w:color="auto" w:fill="auto"/>
          </w:tcPr>
          <w:p w:rsidR="002A589C" w:rsidRPr="00CF1044" w:rsidRDefault="002A589C" w:rsidP="00DB7C6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Training provided for 60 aspiring political candidates - </w:t>
            </w:r>
          </w:p>
        </w:tc>
        <w:tc>
          <w:tcPr>
            <w:tcW w:w="1409" w:type="dxa"/>
            <w:gridSpan w:val="2"/>
            <w:tcBorders>
              <w:top w:val="single" w:sz="4" w:space="0" w:color="auto"/>
              <w:left w:val="nil"/>
              <w:bottom w:val="single" w:sz="4" w:space="0" w:color="auto"/>
              <w:right w:val="single" w:sz="4" w:space="0" w:color="auto"/>
            </w:tcBorders>
            <w:shd w:val="clear" w:color="auto" w:fill="auto"/>
          </w:tcPr>
          <w:p w:rsidR="002A589C" w:rsidRDefault="002A589C" w:rsidP="00DB7C6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National - 4                          Provincial - 20%</w:t>
            </w:r>
          </w:p>
          <w:p w:rsidR="002A589C" w:rsidRPr="00056974" w:rsidRDefault="002A589C" w:rsidP="00DB7C62">
            <w:pPr>
              <w:rPr>
                <w:rFonts w:ascii="Calibri" w:eastAsia="Times New Roman" w:hAnsi="Calibri" w:cs="Times New Roman"/>
                <w:sz w:val="18"/>
                <w:szCs w:val="18"/>
                <w:lang w:val="en-AU" w:eastAsia="en-AU"/>
              </w:rPr>
            </w:pPr>
            <w:r>
              <w:rPr>
                <w:rFonts w:ascii="Calibri" w:eastAsia="Times New Roman" w:hAnsi="Calibri" w:cs="Times New Roman"/>
                <w:color w:val="auto"/>
                <w:sz w:val="18"/>
                <w:szCs w:val="18"/>
                <w:lang w:val="en-AU" w:eastAsia="en-AU"/>
              </w:rPr>
              <w:t>Trained 60 women intended candidates. More than 26 women candidates contested.</w:t>
            </w:r>
          </w:p>
        </w:tc>
        <w:tc>
          <w:tcPr>
            <w:tcW w:w="1401" w:type="dxa"/>
            <w:tcBorders>
              <w:top w:val="single" w:sz="4" w:space="0" w:color="auto"/>
              <w:left w:val="nil"/>
              <w:bottom w:val="single" w:sz="4" w:space="0" w:color="auto"/>
              <w:right w:val="single" w:sz="4" w:space="0" w:color="auto"/>
            </w:tcBorders>
            <w:shd w:val="clear" w:color="auto" w:fill="EEF5E7" w:themeFill="accent3" w:themeFillTint="33"/>
          </w:tcPr>
          <w:p w:rsidR="002A589C" w:rsidRPr="00CF1044" w:rsidRDefault="002A589C" w:rsidP="00DB7C6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60 potential </w:t>
            </w:r>
            <w:r w:rsidR="004C0C28">
              <w:rPr>
                <w:rFonts w:ascii="Calibri" w:eastAsia="Times New Roman" w:hAnsi="Calibri" w:cs="Times New Roman"/>
                <w:color w:val="auto"/>
                <w:sz w:val="18"/>
                <w:szCs w:val="18"/>
                <w:lang w:val="en-AU" w:eastAsia="en-AU"/>
              </w:rPr>
              <w:t>women candidates trained (in 18</w:t>
            </w:r>
            <w:r w:rsidR="004C0C28">
              <w:rPr>
                <w:rFonts w:ascii="Calibri" w:eastAsia="Times New Roman" w:hAnsi="Calibri" w:cs="Times New Roman"/>
                <w:color w:val="auto"/>
                <w:sz w:val="18"/>
                <w:szCs w:val="18"/>
                <w:lang w:val="en-AU" w:eastAsia="en-AU"/>
              </w:rPr>
              <w:noBreakHyphen/>
            </w:r>
            <w:r>
              <w:rPr>
                <w:rFonts w:ascii="Calibri" w:eastAsia="Times New Roman" w:hAnsi="Calibri" w:cs="Times New Roman"/>
                <w:color w:val="auto"/>
                <w:sz w:val="18"/>
                <w:szCs w:val="18"/>
                <w:lang w:val="en-AU" w:eastAsia="en-AU"/>
              </w:rPr>
              <w:t>19). 26</w:t>
            </w:r>
            <w:r w:rsidR="004C0C28">
              <w:rPr>
                <w:rFonts w:ascii="Calibri" w:eastAsia="Times New Roman" w:hAnsi="Calibri" w:cs="Times New Roman"/>
                <w:color w:val="auto"/>
                <w:sz w:val="18"/>
                <w:szCs w:val="18"/>
                <w:lang w:val="en-AU" w:eastAsia="en-AU"/>
              </w:rPr>
              <w:t> </w:t>
            </w:r>
            <w:r>
              <w:rPr>
                <w:rFonts w:ascii="Calibri" w:eastAsia="Times New Roman" w:hAnsi="Calibri" w:cs="Times New Roman"/>
                <w:color w:val="auto"/>
                <w:sz w:val="18"/>
                <w:szCs w:val="18"/>
                <w:lang w:val="en-AU" w:eastAsia="en-AU"/>
              </w:rPr>
              <w:t>women candidates contested (15</w:t>
            </w:r>
            <w:r w:rsidR="004C0C28">
              <w:rPr>
                <w:rFonts w:ascii="Calibri" w:eastAsia="Times New Roman" w:hAnsi="Calibri" w:cs="Times New Roman"/>
                <w:color w:val="auto"/>
                <w:sz w:val="18"/>
                <w:szCs w:val="18"/>
                <w:lang w:val="en-AU" w:eastAsia="en-AU"/>
              </w:rPr>
              <w:t> </w:t>
            </w:r>
            <w:r>
              <w:rPr>
                <w:rFonts w:ascii="Calibri" w:eastAsia="Times New Roman" w:hAnsi="Calibri" w:cs="Times New Roman"/>
                <w:color w:val="auto"/>
                <w:sz w:val="18"/>
                <w:szCs w:val="18"/>
                <w:lang w:val="en-AU" w:eastAsia="en-AU"/>
              </w:rPr>
              <w:t>supported through training)</w:t>
            </w:r>
          </w:p>
        </w:tc>
        <w:tc>
          <w:tcPr>
            <w:tcW w:w="1199" w:type="dxa"/>
            <w:tcBorders>
              <w:top w:val="single" w:sz="4" w:space="0" w:color="auto"/>
              <w:left w:val="nil"/>
              <w:bottom w:val="single" w:sz="4" w:space="0" w:color="auto"/>
              <w:right w:val="single" w:sz="4" w:space="0" w:color="auto"/>
            </w:tcBorders>
          </w:tcPr>
          <w:p w:rsidR="00122ACF" w:rsidRDefault="00122ACF" w:rsidP="00DB7C6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w:t>
            </w:r>
            <w:r w:rsidR="00AA262C">
              <w:rPr>
                <w:rFonts w:ascii="Calibri" w:eastAsia="Times New Roman" w:hAnsi="Calibri" w:cs="Times New Roman"/>
                <w:color w:val="auto"/>
                <w:sz w:val="18"/>
                <w:szCs w:val="18"/>
                <w:lang w:val="en-AU" w:eastAsia="en-AU"/>
              </w:rPr>
              <w:t>/</w:t>
            </w:r>
            <w:r>
              <w:rPr>
                <w:rFonts w:ascii="Calibri" w:eastAsia="Times New Roman" w:hAnsi="Calibri" w:cs="Times New Roman"/>
                <w:color w:val="auto"/>
                <w:sz w:val="18"/>
                <w:szCs w:val="18"/>
                <w:lang w:val="en-AU" w:eastAsia="en-AU"/>
              </w:rPr>
              <w:t>A</w:t>
            </w:r>
          </w:p>
          <w:p w:rsidR="00122ACF" w:rsidRPr="000F2942" w:rsidRDefault="00122ACF" w:rsidP="00DB7C6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Investment ends Dec 2019. Considering Independent Evaluation to inform investment level design update.</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F22A7D" w:rsidP="00DB7C6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Democratic Governance</w:t>
            </w:r>
          </w:p>
        </w:tc>
        <w:tc>
          <w:tcPr>
            <w:tcW w:w="2136" w:type="dxa"/>
            <w:tcBorders>
              <w:top w:val="single" w:sz="4" w:space="0" w:color="auto"/>
              <w:left w:val="nil"/>
              <w:bottom w:val="single" w:sz="4" w:space="0" w:color="auto"/>
              <w:right w:val="single" w:sz="4" w:space="0" w:color="auto"/>
            </w:tcBorders>
            <w:shd w:val="clear" w:color="auto" w:fill="auto"/>
            <w:hideMark/>
          </w:tcPr>
          <w:p w:rsidR="002A589C" w:rsidRPr="00CF1044" w:rsidRDefault="009F0B64" w:rsidP="00DB7C62">
            <w:pPr>
              <w:suppressAutoHyphens w:val="0"/>
              <w:spacing w:before="0" w:after="0" w:line="240" w:lineRule="auto"/>
              <w:rPr>
                <w:rFonts w:ascii="Calibri" w:eastAsia="Times New Roman" w:hAnsi="Calibri" w:cs="Times New Roman"/>
                <w:color w:val="auto"/>
                <w:sz w:val="18"/>
                <w:szCs w:val="18"/>
                <w:lang w:val="en-AU" w:eastAsia="en-AU"/>
              </w:rPr>
            </w:pPr>
            <w:r w:rsidRPr="00AA262C">
              <w:rPr>
                <w:rFonts w:ascii="Calibri" w:eastAsia="Times New Roman" w:hAnsi="Calibri" w:cs="Times New Roman"/>
                <w:color w:val="auto"/>
                <w:sz w:val="18"/>
                <w:szCs w:val="18"/>
                <w:lang w:val="en-AU" w:eastAsia="en-AU"/>
              </w:rPr>
              <w:t>Strengthening the Electoral Cycle in the Solomon Islands Project</w:t>
            </w:r>
          </w:p>
        </w:tc>
      </w:tr>
      <w:tr w:rsidR="009F0B64" w:rsidRPr="00CF1044" w:rsidTr="005B4D51">
        <w:trPr>
          <w:trHeight w:val="825"/>
        </w:trPr>
        <w:tc>
          <w:tcPr>
            <w:tcW w:w="1729"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2A589C" w:rsidRPr="00D012B2" w:rsidRDefault="002A589C" w:rsidP="00430305">
            <w:pPr>
              <w:suppressAutoHyphens w:val="0"/>
              <w:spacing w:before="0" w:after="0" w:line="240" w:lineRule="auto"/>
              <w:rPr>
                <w:rFonts w:ascii="Calibri" w:eastAsia="Times New Roman" w:hAnsi="Calibri" w:cs="Times New Roman"/>
                <w:color w:val="auto"/>
                <w:sz w:val="18"/>
                <w:szCs w:val="18"/>
                <w:lang w:val="en-AU" w:eastAsia="en-AU"/>
              </w:rPr>
            </w:pPr>
          </w:p>
        </w:tc>
        <w:tc>
          <w:tcPr>
            <w:tcW w:w="2205" w:type="dxa"/>
            <w:tcBorders>
              <w:top w:val="single" w:sz="4" w:space="0" w:color="auto"/>
              <w:left w:val="single" w:sz="4" w:space="0" w:color="auto"/>
              <w:bottom w:val="single" w:sz="4" w:space="0" w:color="auto"/>
              <w:right w:val="single" w:sz="4" w:space="0" w:color="auto"/>
            </w:tcBorders>
            <w:shd w:val="clear" w:color="auto" w:fill="F8F8F8"/>
            <w:hideMark/>
          </w:tcPr>
          <w:p w:rsidR="002A589C" w:rsidRDefault="002A589C" w:rsidP="00430305">
            <w:pPr>
              <w:suppressAutoHyphens w:val="0"/>
              <w:spacing w:before="0" w:after="0" w:line="240" w:lineRule="auto"/>
              <w:rPr>
                <w:rFonts w:ascii="Calibri" w:eastAsia="Times New Roman" w:hAnsi="Calibri" w:cs="Times New Roman"/>
                <w:color w:val="auto"/>
                <w:sz w:val="18"/>
                <w:szCs w:val="18"/>
                <w:lang w:val="en-AU" w:eastAsia="en-AU"/>
              </w:rPr>
            </w:pPr>
            <w:r w:rsidRPr="00D012B2">
              <w:rPr>
                <w:rFonts w:ascii="Calibri" w:eastAsia="Times New Roman" w:hAnsi="Calibri" w:cs="Times New Roman"/>
                <w:color w:val="auto"/>
                <w:sz w:val="18"/>
                <w:szCs w:val="18"/>
                <w:lang w:val="en-AU" w:eastAsia="en-AU"/>
              </w:rPr>
              <w:t>1.2  Increased number of women in public service decision making roles (</w:t>
            </w:r>
            <w:r w:rsidR="00AA262C">
              <w:rPr>
                <w:rFonts w:ascii="Calibri" w:eastAsia="Times New Roman" w:hAnsi="Calibri" w:cs="Times New Roman"/>
                <w:color w:val="auto"/>
                <w:sz w:val="18"/>
                <w:szCs w:val="18"/>
                <w:lang w:val="en-AU" w:eastAsia="en-AU"/>
              </w:rPr>
              <w:t>public service</w:t>
            </w:r>
            <w:r w:rsidRPr="00D012B2">
              <w:rPr>
                <w:rFonts w:ascii="Calibri" w:eastAsia="Times New Roman" w:hAnsi="Calibri" w:cs="Times New Roman"/>
                <w:color w:val="auto"/>
                <w:sz w:val="18"/>
                <w:szCs w:val="18"/>
                <w:lang w:val="en-AU" w:eastAsia="en-AU"/>
              </w:rPr>
              <w:t xml:space="preserve"> Levels S1 - S5)</w:t>
            </w:r>
          </w:p>
          <w:p w:rsidR="00900625" w:rsidRPr="00D012B2" w:rsidRDefault="00900625" w:rsidP="00430305">
            <w:pPr>
              <w:suppressAutoHyphens w:val="0"/>
              <w:spacing w:before="0" w:after="0" w:line="240" w:lineRule="auto"/>
              <w:rPr>
                <w:rFonts w:ascii="Calibri" w:eastAsia="Times New Roman" w:hAnsi="Calibri" w:cs="Times New Roman"/>
                <w:color w:val="auto"/>
                <w:sz w:val="18"/>
                <w:szCs w:val="18"/>
                <w:lang w:val="en-AU" w:eastAsia="en-A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27</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28</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Increase </w:t>
            </w:r>
            <w:r w:rsidR="000F2942">
              <w:rPr>
                <w:rFonts w:ascii="Calibri" w:eastAsia="Times New Roman" w:hAnsi="Calibri" w:cs="Times New Roman"/>
                <w:color w:val="auto"/>
                <w:sz w:val="18"/>
                <w:szCs w:val="18"/>
                <w:lang w:val="en-AU" w:eastAsia="en-AU"/>
              </w:rPr>
              <w:t>year on</w:t>
            </w:r>
            <w:r>
              <w:rPr>
                <w:rFonts w:ascii="Calibri" w:eastAsia="Times New Roman" w:hAnsi="Calibri" w:cs="Times New Roman"/>
                <w:color w:val="auto"/>
                <w:sz w:val="18"/>
                <w:szCs w:val="18"/>
                <w:lang w:val="en-AU" w:eastAsia="en-AU"/>
              </w:rPr>
              <w:t xml:space="preserve"> year</w:t>
            </w:r>
          </w:p>
        </w:tc>
        <w:tc>
          <w:tcPr>
            <w:tcW w:w="1401" w:type="dxa"/>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33</w:t>
            </w:r>
          </w:p>
        </w:tc>
        <w:tc>
          <w:tcPr>
            <w:tcW w:w="1199" w:type="dxa"/>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CF1044"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Increase </w:t>
            </w:r>
            <w:r>
              <w:rPr>
                <w:rFonts w:ascii="Calibri" w:eastAsia="Times New Roman" w:hAnsi="Calibri" w:cs="Times New Roman"/>
                <w:color w:val="auto"/>
                <w:sz w:val="18"/>
                <w:szCs w:val="18"/>
                <w:lang w:val="en-AU" w:eastAsia="en-AU"/>
              </w:rPr>
              <w:t>year on year</w:t>
            </w:r>
          </w:p>
        </w:tc>
        <w:tc>
          <w:tcPr>
            <w:tcW w:w="125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A589C" w:rsidRPr="00CF1044"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Governance</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27449B" w:rsidRDefault="002A589C">
            <w:pPr>
              <w:suppressAutoHyphens w:val="0"/>
              <w:spacing w:before="0" w:after="0" w:line="240" w:lineRule="auto"/>
              <w:rPr>
                <w:rFonts w:ascii="Calibri" w:eastAsia="Times New Roman" w:hAnsi="Calibri" w:cs="Times New Roman"/>
                <w:color w:val="auto"/>
                <w:sz w:val="18"/>
                <w:szCs w:val="18"/>
                <w:lang w:val="en-AU" w:eastAsia="en-AU"/>
              </w:rPr>
            </w:pPr>
            <w:r w:rsidRPr="0027449B">
              <w:rPr>
                <w:rFonts w:ascii="Calibri" w:eastAsia="Times New Roman" w:hAnsi="Calibri" w:cs="Times New Roman"/>
                <w:color w:val="auto"/>
                <w:sz w:val="18"/>
                <w:szCs w:val="18"/>
                <w:lang w:val="en-AU" w:eastAsia="en-AU"/>
              </w:rPr>
              <w:t>Data from HRMIS</w:t>
            </w:r>
          </w:p>
        </w:tc>
      </w:tr>
      <w:tr w:rsidR="00607098" w:rsidRPr="00CF1044" w:rsidTr="005B4D51">
        <w:trPr>
          <w:trHeight w:val="450"/>
        </w:trPr>
        <w:tc>
          <w:tcPr>
            <w:tcW w:w="15031" w:type="dxa"/>
            <w:gridSpan w:val="11"/>
            <w:tcBorders>
              <w:top w:val="single" w:sz="4" w:space="0" w:color="auto"/>
              <w:left w:val="single" w:sz="4" w:space="0" w:color="auto"/>
              <w:bottom w:val="single" w:sz="4" w:space="0" w:color="auto"/>
              <w:right w:val="single" w:sz="4" w:space="0" w:color="auto"/>
            </w:tcBorders>
            <w:shd w:val="clear" w:color="auto" w:fill="DDECD0" w:themeFill="accent3" w:themeFillTint="66"/>
          </w:tcPr>
          <w:p w:rsidR="00607098" w:rsidRPr="0027449B" w:rsidRDefault="00607098" w:rsidP="004C0C28">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27449B">
              <w:rPr>
                <w:rFonts w:ascii="Calibri" w:eastAsia="Times New Roman" w:hAnsi="Calibri" w:cs="Times New Roman"/>
                <w:b/>
                <w:bCs/>
                <w:color w:val="000000"/>
                <w:sz w:val="18"/>
                <w:szCs w:val="18"/>
                <w:lang w:val="en-AU" w:eastAsia="en-AU"/>
              </w:rPr>
              <w:t>Sub-objective: Solomon Islands has a free and fair election</w:t>
            </w:r>
          </w:p>
        </w:tc>
      </w:tr>
      <w:tr w:rsidR="009F0B64" w:rsidRPr="00CF1044" w:rsidTr="005B4D51">
        <w:trPr>
          <w:trHeight w:val="675"/>
        </w:trPr>
        <w:tc>
          <w:tcPr>
            <w:tcW w:w="1729" w:type="dxa"/>
            <w:vMerge w:val="restart"/>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430305">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lastRenderedPageBreak/>
              <w:t>Sentinel indicators</w:t>
            </w:r>
          </w:p>
        </w:tc>
        <w:tc>
          <w:tcPr>
            <w:tcW w:w="2205"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Freedom and legality of March 2019 national elections</w:t>
            </w:r>
          </w:p>
        </w:tc>
        <w:tc>
          <w:tcPr>
            <w:tcW w:w="1210"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46"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40" w:type="dxa"/>
            <w:tcBorders>
              <w:top w:val="single" w:sz="4" w:space="0" w:color="auto"/>
              <w:left w:val="nil"/>
              <w:bottom w:val="single" w:sz="4" w:space="0" w:color="auto"/>
              <w:right w:val="single" w:sz="4" w:space="0" w:color="auto"/>
            </w:tcBorders>
            <w:shd w:val="clear" w:color="auto" w:fill="EEF5E7" w:themeFill="accent3" w:themeFillTint="33"/>
          </w:tcPr>
          <w:p w:rsidR="002A589C" w:rsidRPr="00CF1044" w:rsidRDefault="002A589C"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09" w:type="dxa"/>
            <w:gridSpan w:val="2"/>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color w:val="000000"/>
                <w:sz w:val="18"/>
                <w:szCs w:val="18"/>
                <w:lang w:val="en-AU" w:eastAsia="en-AU"/>
              </w:rPr>
              <w:t>Free and fair election in 2019</w:t>
            </w:r>
          </w:p>
        </w:tc>
        <w:tc>
          <w:tcPr>
            <w:tcW w:w="1401"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Free and fair election in 2019</w:t>
            </w:r>
          </w:p>
        </w:tc>
        <w:tc>
          <w:tcPr>
            <w:tcW w:w="1199" w:type="dxa"/>
            <w:tcBorders>
              <w:top w:val="single" w:sz="4" w:space="0" w:color="auto"/>
              <w:left w:val="nil"/>
              <w:bottom w:val="single" w:sz="4" w:space="0" w:color="auto"/>
              <w:right w:val="single" w:sz="4" w:space="0" w:color="auto"/>
            </w:tcBorders>
            <w:shd w:val="clear" w:color="auto" w:fill="EEF5E7" w:themeFill="accent3" w:themeFillTint="33"/>
          </w:tcPr>
          <w:p w:rsidR="002A589C" w:rsidRPr="00CF1044" w:rsidRDefault="002A589C" w:rsidP="00DB7C62">
            <w:pPr>
              <w:suppressAutoHyphens w:val="0"/>
              <w:spacing w:before="0" w:after="0" w:line="240" w:lineRule="auto"/>
              <w:rPr>
                <w:rFonts w:ascii="Calibri" w:eastAsia="Times New Roman" w:hAnsi="Calibri" w:cs="Times New Roman"/>
                <w:color w:val="FF0000"/>
                <w:sz w:val="18"/>
                <w:szCs w:val="18"/>
                <w:lang w:val="en-AU" w:eastAsia="en-AU"/>
              </w:rPr>
            </w:pP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color w:val="FF0000"/>
                <w:sz w:val="18"/>
                <w:szCs w:val="18"/>
                <w:lang w:val="en-AU" w:eastAsia="en-AU"/>
              </w:rPr>
            </w:pPr>
            <w:r w:rsidRPr="00CF1044">
              <w:rPr>
                <w:rFonts w:ascii="Calibri" w:eastAsia="Times New Roman" w:hAnsi="Calibri" w:cs="Times New Roman"/>
                <w:color w:val="FF0000"/>
                <w:sz w:val="18"/>
                <w:szCs w:val="18"/>
                <w:lang w:val="en-AU" w:eastAsia="en-AU"/>
              </w:rPr>
              <w:t> </w:t>
            </w:r>
          </w:p>
        </w:tc>
        <w:tc>
          <w:tcPr>
            <w:tcW w:w="2136"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27449B" w:rsidRDefault="009F0B64"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27449B">
              <w:rPr>
                <w:rFonts w:ascii="Calibri" w:eastAsia="Times New Roman" w:hAnsi="Calibri" w:cs="Times New Roman"/>
                <w:color w:val="auto"/>
                <w:sz w:val="18"/>
                <w:szCs w:val="18"/>
                <w:lang w:val="en-AU" w:eastAsia="en-AU"/>
              </w:rPr>
              <w:t>Australian National University</w:t>
            </w:r>
            <w:r w:rsidR="002A589C" w:rsidRPr="008B41C8">
              <w:rPr>
                <w:rFonts w:ascii="Calibri" w:eastAsia="Times New Roman" w:hAnsi="Calibri" w:cs="Times New Roman"/>
                <w:color w:val="auto"/>
                <w:sz w:val="18"/>
                <w:szCs w:val="18"/>
                <w:lang w:val="en-AU" w:eastAsia="en-AU"/>
              </w:rPr>
              <w:t>, S</w:t>
            </w:r>
            <w:r w:rsidRPr="006808DE">
              <w:rPr>
                <w:rFonts w:ascii="Calibri" w:eastAsia="Times New Roman" w:hAnsi="Calibri" w:cs="Times New Roman"/>
                <w:color w:val="auto"/>
                <w:sz w:val="18"/>
                <w:szCs w:val="18"/>
                <w:lang w:val="en-AU" w:eastAsia="en-AU"/>
              </w:rPr>
              <w:t xml:space="preserve">olomon Islands Electoral </w:t>
            </w:r>
            <w:r w:rsidR="002A589C" w:rsidRPr="006808DE">
              <w:rPr>
                <w:rFonts w:ascii="Calibri" w:eastAsia="Times New Roman" w:hAnsi="Calibri" w:cs="Times New Roman"/>
                <w:color w:val="auto"/>
                <w:sz w:val="18"/>
                <w:szCs w:val="18"/>
                <w:lang w:val="en-AU" w:eastAsia="en-AU"/>
              </w:rPr>
              <w:t>C</w:t>
            </w:r>
            <w:r w:rsidRPr="006808DE">
              <w:rPr>
                <w:rFonts w:ascii="Calibri" w:eastAsia="Times New Roman" w:hAnsi="Calibri" w:cs="Times New Roman"/>
                <w:color w:val="auto"/>
                <w:sz w:val="18"/>
                <w:szCs w:val="18"/>
                <w:lang w:val="en-AU" w:eastAsia="en-AU"/>
              </w:rPr>
              <w:t>ommission</w:t>
            </w:r>
            <w:r w:rsidR="002A589C" w:rsidRPr="006808DE">
              <w:rPr>
                <w:rFonts w:ascii="Calibri" w:eastAsia="Times New Roman" w:hAnsi="Calibri" w:cs="Times New Roman"/>
                <w:color w:val="auto"/>
                <w:sz w:val="18"/>
                <w:szCs w:val="18"/>
                <w:lang w:val="en-AU" w:eastAsia="en-AU"/>
              </w:rPr>
              <w:t>, P</w:t>
            </w:r>
            <w:r w:rsidRPr="006808DE">
              <w:rPr>
                <w:rFonts w:ascii="Calibri" w:eastAsia="Times New Roman" w:hAnsi="Calibri" w:cs="Times New Roman"/>
                <w:color w:val="auto"/>
                <w:sz w:val="18"/>
                <w:szCs w:val="18"/>
                <w:lang w:val="en-AU" w:eastAsia="en-AU"/>
              </w:rPr>
              <w:t>acific Islands Forum Secretariat, Commonwealth Secretariat</w:t>
            </w:r>
            <w:r w:rsidR="002A589C" w:rsidRPr="006808DE">
              <w:rPr>
                <w:rFonts w:ascii="Calibri" w:eastAsia="Times New Roman" w:hAnsi="Calibri" w:cs="Times New Roman"/>
                <w:color w:val="auto"/>
                <w:sz w:val="18"/>
                <w:szCs w:val="18"/>
                <w:lang w:val="en-AU" w:eastAsia="en-AU"/>
              </w:rPr>
              <w:t xml:space="preserve"> and </w:t>
            </w:r>
            <w:r w:rsidR="002A589C" w:rsidRPr="005B4D51">
              <w:rPr>
                <w:rFonts w:ascii="Calibri" w:eastAsia="Times New Roman" w:hAnsi="Calibri" w:cs="Times New Roman"/>
                <w:color w:val="auto"/>
                <w:sz w:val="18"/>
                <w:szCs w:val="18"/>
                <w:lang w:val="en-AU" w:eastAsia="en-AU"/>
              </w:rPr>
              <w:t>MSG</w:t>
            </w:r>
            <w:r w:rsidR="002A589C" w:rsidRPr="0027449B">
              <w:rPr>
                <w:rFonts w:ascii="Calibri" w:eastAsia="Times New Roman" w:hAnsi="Calibri" w:cs="Times New Roman"/>
                <w:color w:val="auto"/>
                <w:sz w:val="18"/>
                <w:szCs w:val="18"/>
                <w:lang w:val="en-AU" w:eastAsia="en-AU"/>
              </w:rPr>
              <w:t xml:space="preserve"> observer reports</w:t>
            </w:r>
          </w:p>
        </w:tc>
      </w:tr>
      <w:tr w:rsidR="009F0B64" w:rsidRPr="00CF1044" w:rsidTr="005B4D51">
        <w:trPr>
          <w:trHeight w:val="1440"/>
        </w:trPr>
        <w:tc>
          <w:tcPr>
            <w:tcW w:w="1729" w:type="dxa"/>
            <w:vMerge/>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430305">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Electoral reforms in place</w:t>
            </w:r>
          </w:p>
        </w:tc>
        <w:tc>
          <w:tcPr>
            <w:tcW w:w="1210"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46"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240" w:type="dxa"/>
            <w:tcBorders>
              <w:top w:val="single" w:sz="4" w:space="0" w:color="auto"/>
              <w:left w:val="nil"/>
              <w:bottom w:val="single" w:sz="4" w:space="0" w:color="auto"/>
              <w:right w:val="single" w:sz="4" w:space="0" w:color="auto"/>
            </w:tcBorders>
            <w:shd w:val="clear" w:color="auto" w:fill="EEF5E7" w:themeFill="accent3" w:themeFillTint="33"/>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Electoral reform bill passed (August '18).  Electoral bill  under debate.</w:t>
            </w:r>
          </w:p>
        </w:tc>
        <w:tc>
          <w:tcPr>
            <w:tcW w:w="1409" w:type="dxa"/>
            <w:gridSpan w:val="2"/>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p>
        </w:tc>
        <w:tc>
          <w:tcPr>
            <w:tcW w:w="1401"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07797C">
              <w:rPr>
                <w:rFonts w:ascii="Calibri" w:eastAsia="Times New Roman" w:hAnsi="Calibri" w:cs="Times New Roman"/>
                <w:color w:val="000000"/>
                <w:sz w:val="18"/>
                <w:szCs w:val="18"/>
                <w:lang w:val="en-AU" w:eastAsia="en-AU"/>
              </w:rPr>
              <w:t>Electoral Act 2018 Passed in August 2018</w:t>
            </w:r>
          </w:p>
        </w:tc>
        <w:tc>
          <w:tcPr>
            <w:tcW w:w="1199" w:type="dxa"/>
            <w:tcBorders>
              <w:top w:val="single" w:sz="4" w:space="0" w:color="auto"/>
              <w:left w:val="nil"/>
              <w:bottom w:val="single" w:sz="4" w:space="0" w:color="auto"/>
              <w:right w:val="single" w:sz="4" w:space="0" w:color="auto"/>
            </w:tcBorders>
            <w:shd w:val="clear" w:color="auto" w:fill="EEF5E7" w:themeFill="accent3" w:themeFillTint="33"/>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Democratic Governance </w:t>
            </w:r>
          </w:p>
        </w:tc>
        <w:tc>
          <w:tcPr>
            <w:tcW w:w="2136"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DB7C6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w:t>
            </w:r>
          </w:p>
        </w:tc>
      </w:tr>
      <w:tr w:rsidR="009F0B64" w:rsidRPr="00CF1044" w:rsidTr="005B4D51">
        <w:trPr>
          <w:trHeight w:val="1065"/>
        </w:trPr>
        <w:tc>
          <w:tcPr>
            <w:tcW w:w="1729"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1</w:t>
            </w:r>
            <w:r w:rsidR="003D4472">
              <w:rPr>
                <w:rFonts w:ascii="Calibri" w:eastAsia="Times New Roman" w:hAnsi="Calibri" w:cs="Times New Roman"/>
                <w:b/>
                <w:bCs/>
                <w:color w:val="000000"/>
                <w:sz w:val="18"/>
                <w:szCs w:val="18"/>
                <w:lang w:val="en-AU" w:eastAsia="en-AU"/>
              </w:rPr>
              <w:t>.6</w:t>
            </w:r>
            <w:r w:rsidRPr="00CF1044">
              <w:rPr>
                <w:rFonts w:ascii="Calibri" w:eastAsia="Times New Roman" w:hAnsi="Calibri" w:cs="Times New Roman"/>
                <w:b/>
                <w:bCs/>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 xml:space="preserve"> Solomon Islands has an electoral process that is technically sound</w:t>
            </w:r>
          </w:p>
        </w:tc>
        <w:tc>
          <w:tcPr>
            <w:tcW w:w="2205"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430305">
            <w:pPr>
              <w:suppressAutoHyphens w:val="0"/>
              <w:spacing w:before="0" w:after="24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 Voter registration system is accurate / sustainable and inclusive voter registration system adopted</w:t>
            </w:r>
          </w:p>
        </w:tc>
        <w:tc>
          <w:tcPr>
            <w:tcW w:w="1210"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w:t>
            </w:r>
          </w:p>
        </w:tc>
        <w:tc>
          <w:tcPr>
            <w:tcW w:w="1246"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w:t>
            </w:r>
          </w:p>
        </w:tc>
        <w:tc>
          <w:tcPr>
            <w:tcW w:w="1240"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w:t>
            </w:r>
          </w:p>
        </w:tc>
        <w:tc>
          <w:tcPr>
            <w:tcW w:w="1409" w:type="dxa"/>
            <w:gridSpan w:val="2"/>
            <w:tcBorders>
              <w:top w:val="single" w:sz="4" w:space="0" w:color="auto"/>
              <w:left w:val="nil"/>
              <w:bottom w:val="single" w:sz="4" w:space="0" w:color="auto"/>
              <w:right w:val="single" w:sz="4" w:space="0" w:color="auto"/>
            </w:tcBorders>
            <w:shd w:val="clear" w:color="auto" w:fill="auto"/>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 and sustainable</w:t>
            </w:r>
          </w:p>
        </w:tc>
        <w:tc>
          <w:tcPr>
            <w:tcW w:w="1401"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DB7C6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Inclusivity and sustainability markedly improved</w:t>
            </w:r>
            <w:r w:rsidR="00264772">
              <w:rPr>
                <w:rFonts w:ascii="Calibri" w:eastAsia="Times New Roman" w:hAnsi="Calibri" w:cs="Times New Roman"/>
                <w:color w:val="000000"/>
                <w:sz w:val="18"/>
                <w:szCs w:val="18"/>
                <w:lang w:val="en-AU" w:eastAsia="en-AU"/>
              </w:rPr>
              <w:t xml:space="preserve"> </w:t>
            </w:r>
          </w:p>
        </w:tc>
        <w:tc>
          <w:tcPr>
            <w:tcW w:w="1199" w:type="dxa"/>
            <w:tcBorders>
              <w:top w:val="single" w:sz="4" w:space="0" w:color="auto"/>
              <w:left w:val="nil"/>
              <w:bottom w:val="single" w:sz="4" w:space="0" w:color="auto"/>
              <w:right w:val="single" w:sz="4" w:space="0" w:color="auto"/>
            </w:tcBorders>
          </w:tcPr>
          <w:p w:rsidR="00122ACF" w:rsidRPr="00CF1044" w:rsidRDefault="00122ACF">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w:t>
            </w:r>
            <w:r w:rsidR="00AA262C">
              <w:rPr>
                <w:rFonts w:ascii="Calibri" w:eastAsia="Times New Roman" w:hAnsi="Calibri" w:cs="Times New Roman"/>
                <w:color w:val="auto"/>
                <w:sz w:val="18"/>
                <w:szCs w:val="18"/>
                <w:lang w:val="en-AU" w:eastAsia="en-AU"/>
              </w:rPr>
              <w:t>/A</w:t>
            </w:r>
            <w:r w:rsidR="00264772">
              <w:rPr>
                <w:rFonts w:ascii="Calibri" w:eastAsia="Times New Roman" w:hAnsi="Calibri" w:cs="Times New Roman"/>
                <w:color w:val="auto"/>
                <w:sz w:val="18"/>
                <w:szCs w:val="18"/>
                <w:lang w:val="en-AU" w:eastAsia="en-AU"/>
              </w:rPr>
              <w:t xml:space="preserve"> – current investment </w:t>
            </w:r>
            <w:r>
              <w:rPr>
                <w:rFonts w:ascii="Calibri" w:eastAsia="Times New Roman" w:hAnsi="Calibri" w:cs="Times New Roman"/>
                <w:color w:val="auto"/>
                <w:sz w:val="18"/>
                <w:szCs w:val="18"/>
                <w:lang w:val="en-AU" w:eastAsia="en-AU"/>
              </w:rPr>
              <w:t>ends Dec</w:t>
            </w:r>
            <w:r w:rsidR="00DB7C62">
              <w:rPr>
                <w:rFonts w:ascii="Calibri" w:eastAsia="Times New Roman" w:hAnsi="Calibri" w:cs="Times New Roman"/>
                <w:color w:val="auto"/>
                <w:sz w:val="18"/>
                <w:szCs w:val="18"/>
                <w:lang w:val="en-AU" w:eastAsia="en-AU"/>
              </w:rPr>
              <w:t>ember</w:t>
            </w:r>
            <w:r>
              <w:rPr>
                <w:rFonts w:ascii="Calibri" w:eastAsia="Times New Roman" w:hAnsi="Calibri" w:cs="Times New Roman"/>
                <w:color w:val="auto"/>
                <w:sz w:val="18"/>
                <w:szCs w:val="18"/>
                <w:lang w:val="en-AU" w:eastAsia="en-AU"/>
              </w:rPr>
              <w:t xml:space="preserve"> 2019. </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DB7C6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Democratic Governance </w:t>
            </w:r>
          </w:p>
        </w:tc>
        <w:tc>
          <w:tcPr>
            <w:tcW w:w="2136" w:type="dxa"/>
            <w:tcBorders>
              <w:top w:val="single" w:sz="4" w:space="0" w:color="auto"/>
              <w:left w:val="nil"/>
              <w:bottom w:val="single" w:sz="4" w:space="0" w:color="auto"/>
              <w:right w:val="single" w:sz="4" w:space="0" w:color="auto"/>
            </w:tcBorders>
            <w:shd w:val="clear" w:color="auto" w:fill="auto"/>
            <w:hideMark/>
          </w:tcPr>
          <w:p w:rsidR="002A589C" w:rsidRPr="00CF1044" w:rsidRDefault="00811DC2" w:rsidP="00DB7C6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DFAT</w:t>
            </w:r>
          </w:p>
        </w:tc>
      </w:tr>
    </w:tbl>
    <w:p w:rsidR="00AA262C" w:rsidRDefault="00AA262C">
      <w:r>
        <w:br w:type="page"/>
      </w:r>
    </w:p>
    <w:tbl>
      <w:tblPr>
        <w:tblW w:w="15031" w:type="dxa"/>
        <w:tblLook w:val="04A0" w:firstRow="1" w:lastRow="0" w:firstColumn="1" w:lastColumn="0" w:noHBand="0" w:noVBand="1"/>
      </w:tblPr>
      <w:tblGrid>
        <w:gridCol w:w="1696"/>
        <w:gridCol w:w="28"/>
        <w:gridCol w:w="1915"/>
        <w:gridCol w:w="20"/>
        <w:gridCol w:w="1134"/>
        <w:gridCol w:w="46"/>
        <w:gridCol w:w="1230"/>
        <w:gridCol w:w="17"/>
        <w:gridCol w:w="1358"/>
        <w:gridCol w:w="22"/>
        <w:gridCol w:w="1389"/>
        <w:gridCol w:w="28"/>
        <w:gridCol w:w="1373"/>
        <w:gridCol w:w="45"/>
        <w:gridCol w:w="1138"/>
        <w:gridCol w:w="23"/>
        <w:gridCol w:w="1435"/>
        <w:gridCol w:w="2126"/>
        <w:gridCol w:w="8"/>
      </w:tblGrid>
      <w:tr w:rsidR="002A589C" w:rsidRPr="00CF1044" w:rsidTr="005B4D51">
        <w:trPr>
          <w:trHeight w:val="885"/>
        </w:trPr>
        <w:tc>
          <w:tcPr>
            <w:tcW w:w="15031" w:type="dxa"/>
            <w:gridSpan w:val="19"/>
            <w:tcBorders>
              <w:top w:val="single" w:sz="4" w:space="0" w:color="auto"/>
              <w:left w:val="single" w:sz="4" w:space="0" w:color="auto"/>
              <w:bottom w:val="single" w:sz="4" w:space="0" w:color="auto"/>
              <w:right w:val="single" w:sz="4" w:space="0" w:color="auto"/>
            </w:tcBorders>
            <w:shd w:val="clear" w:color="auto" w:fill="7FB64D" w:themeFill="accent3" w:themeFillShade="BF"/>
          </w:tcPr>
          <w:p w:rsidR="002A589C" w:rsidRDefault="002A589C" w:rsidP="004C0C28">
            <w:pPr>
              <w:suppressAutoHyphens w:val="0"/>
              <w:spacing w:before="0" w:after="0" w:line="240" w:lineRule="auto"/>
              <w:jc w:val="center"/>
              <w:rPr>
                <w:rFonts w:ascii="Calibri" w:eastAsia="Times New Roman" w:hAnsi="Calibri" w:cs="Times New Roman"/>
                <w:b/>
                <w:bCs/>
                <w:i/>
                <w:iCs/>
                <w:color w:val="FFFFFF"/>
                <w:sz w:val="18"/>
                <w:szCs w:val="18"/>
                <w:lang w:val="en-AU" w:eastAsia="en-AU"/>
              </w:rPr>
            </w:pPr>
          </w:p>
          <w:p w:rsidR="002A589C" w:rsidRPr="00CF1044" w:rsidRDefault="002A589C" w:rsidP="004C0C28">
            <w:pPr>
              <w:suppressAutoHyphens w:val="0"/>
              <w:spacing w:before="0" w:after="0" w:line="240" w:lineRule="auto"/>
              <w:jc w:val="center"/>
              <w:rPr>
                <w:rFonts w:ascii="Calibri" w:eastAsia="Times New Roman" w:hAnsi="Calibri" w:cs="Times New Roman"/>
                <w:b/>
                <w:bCs/>
                <w:i/>
                <w:iCs/>
                <w:color w:val="FFFFFF"/>
                <w:sz w:val="18"/>
                <w:szCs w:val="18"/>
                <w:lang w:val="en-AU" w:eastAsia="en-AU"/>
              </w:rPr>
            </w:pPr>
            <w:r w:rsidRPr="00CF1044">
              <w:rPr>
                <w:rFonts w:ascii="Calibri" w:eastAsia="Times New Roman" w:hAnsi="Calibri" w:cs="Times New Roman"/>
                <w:b/>
                <w:bCs/>
                <w:i/>
                <w:iCs/>
                <w:color w:val="FFFFFF"/>
                <w:sz w:val="18"/>
                <w:szCs w:val="18"/>
                <w:lang w:val="en-AU" w:eastAsia="en-AU"/>
              </w:rPr>
              <w:t>AIP Objective 2</w:t>
            </w:r>
            <w:r w:rsidR="008223AE">
              <w:rPr>
                <w:rFonts w:ascii="Calibri" w:eastAsia="Times New Roman" w:hAnsi="Calibri" w:cs="Times New Roman"/>
                <w:b/>
                <w:bCs/>
                <w:i/>
                <w:iCs/>
                <w:color w:val="FFFFFF"/>
                <w:sz w:val="18"/>
                <w:szCs w:val="18"/>
                <w:lang w:val="en-AU" w:eastAsia="en-AU"/>
              </w:rPr>
              <w:t>A</w:t>
            </w:r>
            <w:r w:rsidRPr="00CF1044">
              <w:rPr>
                <w:rFonts w:ascii="Calibri" w:eastAsia="Times New Roman" w:hAnsi="Calibri" w:cs="Times New Roman"/>
                <w:b/>
                <w:bCs/>
                <w:i/>
                <w:iCs/>
                <w:color w:val="FFFFFF"/>
                <w:sz w:val="18"/>
                <w:szCs w:val="18"/>
                <w:lang w:val="en-AU" w:eastAsia="en-AU"/>
              </w:rPr>
              <w:t>: Enabling economic growth - SI economic operating environment is more attractive to business &amp; men and women are able to earn a cash income</w:t>
            </w:r>
          </w:p>
        </w:tc>
      </w:tr>
      <w:tr w:rsidR="005B4D51" w:rsidRPr="00CF1044" w:rsidTr="005B4D51">
        <w:trPr>
          <w:trHeight w:val="1035"/>
        </w:trPr>
        <w:tc>
          <w:tcPr>
            <w:tcW w:w="1729" w:type="dxa"/>
            <w:gridSpan w:val="2"/>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p>
        </w:tc>
        <w:tc>
          <w:tcPr>
            <w:tcW w:w="2205" w:type="dxa"/>
            <w:tcBorders>
              <w:top w:val="nil"/>
              <w:left w:val="nil"/>
              <w:bottom w:val="single" w:sz="4" w:space="0" w:color="auto"/>
              <w:right w:val="single" w:sz="4" w:space="0" w:color="1F4E78"/>
            </w:tcBorders>
            <w:shd w:val="clear" w:color="auto" w:fill="CDE2B9" w:themeFill="accent3" w:themeFillTint="99"/>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Indicator</w:t>
            </w:r>
            <w:r w:rsidRPr="00CF1044">
              <w:rPr>
                <w:rFonts w:ascii="Calibri" w:eastAsia="Times New Roman" w:hAnsi="Calibri" w:cs="Times New Roman"/>
                <w:b/>
                <w:bCs/>
                <w:color w:val="000000"/>
                <w:sz w:val="18"/>
                <w:szCs w:val="18"/>
                <w:lang w:val="en-AU" w:eastAsia="en-AU"/>
              </w:rPr>
              <w:t xml:space="preserve"> </w:t>
            </w:r>
          </w:p>
        </w:tc>
        <w:tc>
          <w:tcPr>
            <w:tcW w:w="1210" w:type="dxa"/>
            <w:gridSpan w:val="3"/>
            <w:tcBorders>
              <w:top w:val="nil"/>
              <w:left w:val="nil"/>
              <w:bottom w:val="single" w:sz="4" w:space="0" w:color="auto"/>
              <w:right w:val="single" w:sz="4" w:space="0" w:color="1F4E78"/>
            </w:tcBorders>
            <w:shd w:val="clear" w:color="auto" w:fill="CDE2B9" w:themeFill="accent3" w:themeFillTint="99"/>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Baseline (2015/16)</w:t>
            </w:r>
          </w:p>
        </w:tc>
        <w:tc>
          <w:tcPr>
            <w:tcW w:w="1246" w:type="dxa"/>
            <w:gridSpan w:val="2"/>
            <w:tcBorders>
              <w:top w:val="nil"/>
              <w:left w:val="nil"/>
              <w:bottom w:val="single" w:sz="4" w:space="0" w:color="auto"/>
              <w:right w:val="single" w:sz="4" w:space="0" w:color="1F4E78"/>
            </w:tcBorders>
            <w:shd w:val="clear" w:color="auto" w:fill="CDE2B9" w:themeFill="accent3" w:themeFillTint="99"/>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2016/17 </w:t>
            </w:r>
          </w:p>
        </w:tc>
        <w:tc>
          <w:tcPr>
            <w:tcW w:w="1240" w:type="dxa"/>
            <w:tcBorders>
              <w:top w:val="nil"/>
              <w:left w:val="nil"/>
              <w:bottom w:val="single" w:sz="4" w:space="0" w:color="auto"/>
              <w:right w:val="nil"/>
            </w:tcBorders>
            <w:shd w:val="clear" w:color="auto" w:fill="CDE2B9" w:themeFill="accent3" w:themeFillTint="99"/>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2017/18 </w:t>
            </w:r>
            <w:r>
              <w:rPr>
                <w:rFonts w:ascii="Calibri" w:eastAsia="Times New Roman" w:hAnsi="Calibri" w:cs="Times New Roman"/>
                <w:b/>
                <w:bCs/>
                <w:color w:val="000000"/>
                <w:sz w:val="18"/>
                <w:szCs w:val="18"/>
                <w:lang w:val="en-AU" w:eastAsia="en-AU"/>
              </w:rPr>
              <w:t>result</w:t>
            </w:r>
          </w:p>
        </w:tc>
        <w:tc>
          <w:tcPr>
            <w:tcW w:w="1409" w:type="dxa"/>
            <w:gridSpan w:val="2"/>
            <w:tcBorders>
              <w:top w:val="nil"/>
              <w:left w:val="single" w:sz="4" w:space="0" w:color="1F4E78"/>
              <w:bottom w:val="single" w:sz="4" w:space="0" w:color="auto"/>
              <w:right w:val="single" w:sz="4" w:space="0" w:color="1F4E78"/>
            </w:tcBorders>
            <w:shd w:val="clear" w:color="auto" w:fill="ACD08C" w:themeFill="accent3"/>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w:t>
            </w:r>
            <w:r>
              <w:rPr>
                <w:rFonts w:ascii="Calibri" w:eastAsia="Times New Roman" w:hAnsi="Calibri" w:cs="Times New Roman"/>
                <w:b/>
                <w:bCs/>
                <w:color w:val="000000"/>
                <w:sz w:val="18"/>
                <w:szCs w:val="18"/>
                <w:lang w:val="en-AU" w:eastAsia="en-AU"/>
              </w:rPr>
              <w:t>8</w:t>
            </w:r>
            <w:r w:rsidRPr="00CF1044">
              <w:rPr>
                <w:rFonts w:ascii="Calibri" w:eastAsia="Times New Roman" w:hAnsi="Calibri" w:cs="Times New Roman"/>
                <w:b/>
                <w:bCs/>
                <w:color w:val="000000"/>
                <w:sz w:val="18"/>
                <w:szCs w:val="18"/>
                <w:lang w:val="en-AU" w:eastAsia="en-AU"/>
              </w:rPr>
              <w:t>/1</w:t>
            </w:r>
            <w:r>
              <w:rPr>
                <w:rFonts w:ascii="Calibri" w:eastAsia="Times New Roman" w:hAnsi="Calibri" w:cs="Times New Roman"/>
                <w:b/>
                <w:bCs/>
                <w:color w:val="000000"/>
                <w:sz w:val="18"/>
                <w:szCs w:val="18"/>
                <w:lang w:val="en-AU" w:eastAsia="en-AU"/>
              </w:rPr>
              <w:t>9 target</w:t>
            </w:r>
          </w:p>
        </w:tc>
        <w:tc>
          <w:tcPr>
            <w:tcW w:w="1401" w:type="dxa"/>
            <w:gridSpan w:val="2"/>
            <w:tcBorders>
              <w:top w:val="nil"/>
              <w:left w:val="nil"/>
              <w:bottom w:val="single" w:sz="4" w:space="0" w:color="auto"/>
              <w:right w:val="single" w:sz="4" w:space="0" w:color="auto"/>
            </w:tcBorders>
            <w:shd w:val="clear" w:color="auto" w:fill="ACD08C" w:themeFill="accent3"/>
            <w:vAlign w:val="center"/>
            <w:hideMark/>
          </w:tcPr>
          <w:p w:rsidR="002A589C" w:rsidRPr="00CF1044" w:rsidRDefault="002A589C" w:rsidP="004C0C28">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2018/19 </w:t>
            </w:r>
            <w:r>
              <w:rPr>
                <w:rFonts w:ascii="Calibri" w:eastAsia="Times New Roman" w:hAnsi="Calibri" w:cs="Times New Roman"/>
                <w:b/>
                <w:bCs/>
                <w:color w:val="000000"/>
                <w:sz w:val="18"/>
                <w:szCs w:val="18"/>
                <w:lang w:val="en-AU" w:eastAsia="en-AU"/>
              </w:rPr>
              <w:t>result</w:t>
            </w:r>
          </w:p>
        </w:tc>
        <w:tc>
          <w:tcPr>
            <w:tcW w:w="1199" w:type="dxa"/>
            <w:gridSpan w:val="3"/>
            <w:tcBorders>
              <w:top w:val="single" w:sz="4" w:space="0" w:color="auto"/>
              <w:left w:val="single" w:sz="4" w:space="0" w:color="auto"/>
              <w:bottom w:val="single" w:sz="4" w:space="0" w:color="auto"/>
              <w:right w:val="single" w:sz="4" w:space="0" w:color="auto"/>
            </w:tcBorders>
            <w:shd w:val="clear" w:color="auto" w:fill="CDE2B9" w:themeFill="accent3" w:themeFillTint="99"/>
          </w:tcPr>
          <w:p w:rsidR="002A589C"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p>
          <w:p w:rsidR="002A589C"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p>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2019/20 Target</w:t>
            </w:r>
          </w:p>
        </w:tc>
        <w:tc>
          <w:tcPr>
            <w:tcW w:w="1256" w:type="dxa"/>
            <w:tcBorders>
              <w:top w:val="single" w:sz="4" w:space="0" w:color="auto"/>
              <w:left w:val="single" w:sz="4" w:space="0" w:color="auto"/>
              <w:bottom w:val="single" w:sz="4" w:space="0" w:color="auto"/>
              <w:right w:val="single" w:sz="4" w:space="0" w:color="auto"/>
            </w:tcBorders>
            <w:shd w:val="clear" w:color="auto" w:fill="CDE2B9" w:themeFill="accent3" w:themeFillTint="99"/>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DFAT investments contributing to outcome </w:t>
            </w:r>
          </w:p>
        </w:tc>
        <w:tc>
          <w:tcPr>
            <w:tcW w:w="2136" w:type="dxa"/>
            <w:gridSpan w:val="2"/>
            <w:tcBorders>
              <w:top w:val="nil"/>
              <w:left w:val="single" w:sz="4" w:space="0" w:color="auto"/>
              <w:bottom w:val="single" w:sz="4" w:space="0" w:color="auto"/>
              <w:right w:val="single" w:sz="4" w:space="0" w:color="1F4E78"/>
            </w:tcBorders>
            <w:shd w:val="clear" w:color="auto" w:fill="CDE2B9" w:themeFill="accent3" w:themeFillTint="99"/>
            <w:vAlign w:val="center"/>
            <w:hideMark/>
          </w:tcPr>
          <w:p w:rsidR="002A589C" w:rsidRPr="00CF1044" w:rsidRDefault="002A589C" w:rsidP="0043030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Data collection method</w:t>
            </w:r>
          </w:p>
        </w:tc>
      </w:tr>
      <w:tr w:rsidR="00607098" w:rsidRPr="00CF1044" w:rsidTr="005B4D51">
        <w:trPr>
          <w:trHeight w:val="240"/>
        </w:trPr>
        <w:tc>
          <w:tcPr>
            <w:tcW w:w="15031" w:type="dxa"/>
            <w:gridSpan w:val="19"/>
            <w:tcBorders>
              <w:top w:val="single" w:sz="4" w:space="0" w:color="auto"/>
              <w:left w:val="single" w:sz="4" w:space="0" w:color="auto"/>
              <w:bottom w:val="single" w:sz="4" w:space="0" w:color="auto"/>
              <w:right w:val="single" w:sz="4" w:space="0" w:color="auto"/>
            </w:tcBorders>
            <w:shd w:val="clear" w:color="auto" w:fill="DDECD0" w:themeFill="accent3" w:themeFillTint="66"/>
          </w:tcPr>
          <w:p w:rsidR="00607098" w:rsidRPr="00CF1044" w:rsidRDefault="00607098" w:rsidP="004C0C28">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Solomon Islands' operating environment is more attractive to business</w:t>
            </w:r>
          </w:p>
        </w:tc>
      </w:tr>
      <w:tr w:rsidR="009F0B64" w:rsidRPr="00CF1044" w:rsidTr="005B4D51">
        <w:trPr>
          <w:trHeight w:val="675"/>
        </w:trPr>
        <w:tc>
          <w:tcPr>
            <w:tcW w:w="1729" w:type="dxa"/>
            <w:gridSpan w:val="2"/>
            <w:vMerge w:val="restart"/>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430305">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205"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Ease of doing business in Solomon Islands</w:t>
            </w:r>
          </w:p>
        </w:tc>
        <w:tc>
          <w:tcPr>
            <w:tcW w:w="1210" w:type="dxa"/>
            <w:gridSpan w:val="3"/>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105 of 190 economies </w:t>
            </w:r>
          </w:p>
        </w:tc>
        <w:tc>
          <w:tcPr>
            <w:tcW w:w="1246"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104 of 190 economies</w:t>
            </w:r>
          </w:p>
        </w:tc>
        <w:tc>
          <w:tcPr>
            <w:tcW w:w="1240"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116 of 190 economies </w:t>
            </w:r>
          </w:p>
        </w:tc>
        <w:tc>
          <w:tcPr>
            <w:tcW w:w="1409"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01"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115</w:t>
            </w:r>
          </w:p>
        </w:tc>
        <w:tc>
          <w:tcPr>
            <w:tcW w:w="1199" w:type="dxa"/>
            <w:gridSpan w:val="3"/>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CF1044" w:rsidRDefault="00264772"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w:t>
            </w: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CF1044" w:rsidRDefault="002A589C" w:rsidP="00430305">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2136" w:type="dxa"/>
            <w:gridSpan w:val="2"/>
            <w:tcBorders>
              <w:top w:val="single" w:sz="4" w:space="0" w:color="auto"/>
              <w:left w:val="nil"/>
              <w:bottom w:val="single" w:sz="4" w:space="0" w:color="auto"/>
              <w:right w:val="single" w:sz="4" w:space="0" w:color="auto"/>
            </w:tcBorders>
            <w:shd w:val="clear" w:color="auto" w:fill="EEF5E7" w:themeFill="accent3" w:themeFillTint="33"/>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World Bank</w:t>
            </w:r>
          </w:p>
        </w:tc>
      </w:tr>
      <w:tr w:rsidR="009F0B64" w:rsidRPr="00CF1044" w:rsidTr="005B4D51">
        <w:trPr>
          <w:trHeight w:val="720"/>
        </w:trPr>
        <w:tc>
          <w:tcPr>
            <w:tcW w:w="1729" w:type="dxa"/>
            <w:gridSpan w:val="2"/>
            <w:vMerge/>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430305">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205"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CF1044" w:rsidRDefault="002A589C" w:rsidP="0026477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Businesses who feel business experience with government has improved over past year</w:t>
            </w:r>
          </w:p>
        </w:tc>
        <w:tc>
          <w:tcPr>
            <w:tcW w:w="1210" w:type="dxa"/>
            <w:gridSpan w:val="3"/>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240" w:type="dxa"/>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23%</w:t>
            </w:r>
          </w:p>
        </w:tc>
        <w:tc>
          <w:tcPr>
            <w:tcW w:w="1409" w:type="dxa"/>
            <w:gridSpan w:val="2"/>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01" w:type="dxa"/>
            <w:gridSpan w:val="2"/>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tcPr>
          <w:p w:rsidR="002A589C"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p>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N/A</w:t>
            </w:r>
          </w:p>
        </w:tc>
        <w:tc>
          <w:tcPr>
            <w:tcW w:w="1199" w:type="dxa"/>
            <w:gridSpan w:val="3"/>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tcPr>
          <w:p w:rsidR="002A589C" w:rsidRPr="00CF1044" w:rsidRDefault="00264772"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w:t>
            </w:r>
          </w:p>
        </w:tc>
        <w:tc>
          <w:tcPr>
            <w:tcW w:w="1256"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CF1044" w:rsidRDefault="002A589C" w:rsidP="00430305">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2136" w:type="dxa"/>
            <w:gridSpan w:val="2"/>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CF1044" w:rsidRDefault="00DB7C62" w:rsidP="00430305">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 xml:space="preserve">Solomon Islands Chamber of Commerce and Industry </w:t>
            </w:r>
            <w:r w:rsidR="002A589C" w:rsidRPr="00CF1044">
              <w:rPr>
                <w:rFonts w:ascii="Calibri" w:eastAsia="Times New Roman" w:hAnsi="Calibri" w:cs="Times New Roman"/>
                <w:color w:val="000000"/>
                <w:sz w:val="18"/>
                <w:szCs w:val="18"/>
                <w:lang w:val="en-AU" w:eastAsia="en-AU"/>
              </w:rPr>
              <w:t>survey</w:t>
            </w:r>
          </w:p>
        </w:tc>
      </w:tr>
      <w:tr w:rsidR="009F0B64" w:rsidRPr="00CF1044" w:rsidTr="005B4D51">
        <w:trPr>
          <w:trHeight w:val="720"/>
        </w:trPr>
        <w:tc>
          <w:tcPr>
            <w:tcW w:w="17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Outcome </w:t>
            </w:r>
            <w:r w:rsidR="008223AE">
              <w:rPr>
                <w:rFonts w:ascii="Calibri" w:eastAsia="Times New Roman" w:hAnsi="Calibri" w:cs="Times New Roman"/>
                <w:b/>
                <w:bCs/>
                <w:color w:val="000000"/>
                <w:sz w:val="18"/>
                <w:szCs w:val="18"/>
                <w:lang w:val="en-AU" w:eastAsia="en-AU"/>
              </w:rPr>
              <w:t>2A.</w:t>
            </w:r>
            <w:r w:rsidRPr="00CF1044">
              <w:rPr>
                <w:rFonts w:ascii="Calibri" w:eastAsia="Times New Roman" w:hAnsi="Calibri" w:cs="Times New Roman"/>
                <w:b/>
                <w:bCs/>
                <w:color w:val="000000"/>
                <w:sz w:val="18"/>
                <w:szCs w:val="18"/>
                <w:lang w:val="en-AU" w:eastAsia="en-AU"/>
              </w:rPr>
              <w:t>1:</w:t>
            </w:r>
            <w:r w:rsidRPr="00CF1044">
              <w:rPr>
                <w:rFonts w:ascii="Calibri" w:eastAsia="Times New Roman" w:hAnsi="Calibri" w:cs="Times New Roman"/>
                <w:color w:val="000000"/>
                <w:sz w:val="18"/>
                <w:szCs w:val="18"/>
                <w:lang w:val="en-AU" w:eastAsia="en-AU"/>
              </w:rPr>
              <w:t xml:space="preserve"> Improved road infrastructure in target locations (N</w:t>
            </w:r>
            <w:r w:rsidR="009F0B64">
              <w:rPr>
                <w:rFonts w:ascii="Calibri" w:eastAsia="Times New Roman" w:hAnsi="Calibri" w:cs="Times New Roman"/>
                <w:color w:val="000000"/>
                <w:sz w:val="18"/>
                <w:szCs w:val="18"/>
                <w:lang w:val="en-AU" w:eastAsia="en-AU"/>
              </w:rPr>
              <w:t>ational Transport Fund (NTF)</w:t>
            </w:r>
            <w:r w:rsidRPr="00CF1044">
              <w:rPr>
                <w:rFonts w:ascii="Calibri" w:eastAsia="Times New Roman" w:hAnsi="Calibri" w:cs="Times New Roman"/>
                <w:color w:val="000000"/>
                <w:sz w:val="18"/>
                <w:szCs w:val="18"/>
                <w:lang w:val="en-AU" w:eastAsia="en-AU"/>
              </w:rPr>
              <w:t xml:space="preserve"> + East Guadalcanal Road and bridges)</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1.1 Roads rehabilitated or maintained through NTF contracts* </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887km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992km</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692km</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800km</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89C" w:rsidRPr="009340ED"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AE5C4D">
              <w:rPr>
                <w:rFonts w:ascii="Calibri" w:eastAsia="Times New Roman" w:hAnsi="Calibri" w:cs="Times New Roman"/>
                <w:color w:val="000000"/>
                <w:sz w:val="18"/>
                <w:szCs w:val="18"/>
                <w:lang w:val="en-AU" w:eastAsia="en-AU"/>
              </w:rPr>
              <w:t>1,067 km</w:t>
            </w:r>
          </w:p>
        </w:tc>
        <w:tc>
          <w:tcPr>
            <w:tcW w:w="1199" w:type="dxa"/>
            <w:gridSpan w:val="3"/>
            <w:tcBorders>
              <w:top w:val="single" w:sz="4" w:space="0" w:color="auto"/>
              <w:left w:val="single" w:sz="4" w:space="0" w:color="auto"/>
              <w:bottom w:val="single" w:sz="4" w:space="0" w:color="auto"/>
              <w:right w:val="single" w:sz="4" w:space="0" w:color="auto"/>
            </w:tcBorders>
            <w:vAlign w:val="center"/>
          </w:tcPr>
          <w:p w:rsidR="002A589C" w:rsidRPr="00CF1044" w:rsidRDefault="00264772" w:rsidP="000F294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auto"/>
                <w:sz w:val="18"/>
                <w:szCs w:val="18"/>
                <w:lang w:val="en-AU" w:eastAsia="en-AU"/>
              </w:rPr>
              <w:t>800km</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Transport Sector-Based Approach Phase 2</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DB7C62" w:rsidP="00430305">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Ministry of Infrastructure Development (MID)</w:t>
            </w:r>
            <w:r w:rsidRPr="00CF1044">
              <w:rPr>
                <w:rFonts w:ascii="Calibri" w:eastAsia="Times New Roman" w:hAnsi="Calibri" w:cs="Times New Roman"/>
                <w:color w:val="000000"/>
                <w:sz w:val="18"/>
                <w:szCs w:val="18"/>
                <w:lang w:val="en-AU" w:eastAsia="en-AU"/>
              </w:rPr>
              <w:t xml:space="preserve"> </w:t>
            </w:r>
            <w:r w:rsidR="002A589C" w:rsidRPr="00CF1044">
              <w:rPr>
                <w:rFonts w:ascii="Calibri" w:eastAsia="Times New Roman" w:hAnsi="Calibri" w:cs="Times New Roman"/>
                <w:color w:val="000000"/>
                <w:sz w:val="18"/>
                <w:szCs w:val="18"/>
                <w:lang w:val="en-AU" w:eastAsia="en-AU"/>
              </w:rPr>
              <w:t>reporting</w:t>
            </w:r>
          </w:p>
        </w:tc>
      </w:tr>
      <w:tr w:rsidR="009F0B64" w:rsidRPr="00CF1044" w:rsidTr="005B4D51">
        <w:trPr>
          <w:trHeight w:val="795"/>
        </w:trPr>
        <w:tc>
          <w:tcPr>
            <w:tcW w:w="1729" w:type="dxa"/>
            <w:gridSpan w:val="2"/>
            <w:vMerge/>
            <w:tcBorders>
              <w:top w:val="single" w:sz="4" w:space="0" w:color="auto"/>
              <w:left w:val="single" w:sz="4" w:space="0" w:color="auto"/>
              <w:bottom w:val="single" w:sz="4" w:space="0" w:color="auto"/>
              <w:right w:val="single" w:sz="4" w:space="0" w:color="auto"/>
            </w:tcBorders>
            <w:vAlign w:val="center"/>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 Value of contracts let through the NTF</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SBD 39 million</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SBD 13 million</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SBD 21 million</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401"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SBD 20 million</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CF1044" w:rsidRDefault="00264772" w:rsidP="00A3529F">
            <w:pPr>
              <w:suppressAutoHyphens w:val="0"/>
              <w:spacing w:before="0" w:after="0" w:line="240" w:lineRule="auto"/>
              <w:jc w:val="center"/>
              <w:rPr>
                <w:rFonts w:ascii="Calibri" w:eastAsia="Times New Roman" w:hAnsi="Calibri" w:cs="Times New Roman"/>
                <w:color w:val="000000"/>
                <w:sz w:val="18"/>
                <w:szCs w:val="18"/>
                <w:lang w:val="en-AU" w:eastAsia="en-AU"/>
              </w:rPr>
            </w:pPr>
            <w:r>
              <w:rPr>
                <w:rFonts w:ascii="Calibri" w:eastAsia="Times New Roman" w:hAnsi="Calibri" w:cs="Times New Roman"/>
                <w:color w:val="auto"/>
                <w:sz w:val="18"/>
                <w:szCs w:val="18"/>
                <w:lang w:val="en-AU" w:eastAsia="en-AU"/>
              </w:rPr>
              <w:t>NA</w:t>
            </w:r>
          </w:p>
        </w:tc>
        <w:tc>
          <w:tcPr>
            <w:tcW w:w="1256" w:type="dxa"/>
            <w:tcBorders>
              <w:top w:val="single" w:sz="4" w:space="0" w:color="auto"/>
              <w:left w:val="single" w:sz="4" w:space="0" w:color="auto"/>
              <w:bottom w:val="single" w:sz="4" w:space="0" w:color="auto"/>
              <w:right w:val="single" w:sz="4" w:space="0" w:color="auto"/>
            </w:tcBorders>
            <w:shd w:val="clear" w:color="auto" w:fill="F8F8F8"/>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Transport Sector-Based Approach Phase 2</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4303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MID reporting</w:t>
            </w:r>
          </w:p>
        </w:tc>
      </w:tr>
      <w:tr w:rsidR="009F0B64" w:rsidRPr="00CF1044" w:rsidTr="005B4D51">
        <w:trPr>
          <w:trHeight w:val="1515"/>
        </w:trPr>
        <w:tc>
          <w:tcPr>
            <w:tcW w:w="17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1.3 Progress against work</w:t>
            </w:r>
            <w:r>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plan for the construction of two Guadalcanal bridges</w:t>
            </w:r>
          </w:p>
        </w:tc>
        <w:tc>
          <w:tcPr>
            <w:tcW w:w="1210" w:type="dxa"/>
            <w:gridSpan w:val="3"/>
            <w:tcBorders>
              <w:top w:val="single" w:sz="4" w:space="0" w:color="auto"/>
              <w:left w:val="nil"/>
              <w:bottom w:val="single" w:sz="4" w:space="0" w:color="auto"/>
              <w:right w:val="single" w:sz="4" w:space="0" w:color="auto"/>
            </w:tcBorders>
            <w:shd w:val="clear" w:color="auto" w:fill="auto"/>
            <w:hideMark/>
          </w:tcPr>
          <w:p w:rsidR="002A589C" w:rsidRPr="00CF1044" w:rsidRDefault="002A589C" w:rsidP="00AA262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*B1: Scoping study completed; construction contract signed. </w:t>
            </w:r>
          </w:p>
        </w:tc>
        <w:tc>
          <w:tcPr>
            <w:tcW w:w="1240" w:type="dxa"/>
            <w:tcBorders>
              <w:top w:val="single" w:sz="4" w:space="0" w:color="auto"/>
              <w:left w:val="nil"/>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*B1: Design &amp; procurement complete.  Construction started.</w:t>
            </w:r>
            <w:r w:rsidRPr="00CF1044">
              <w:rPr>
                <w:rFonts w:ascii="Calibri" w:eastAsia="Times New Roman" w:hAnsi="Calibri" w:cs="Times New Roman"/>
                <w:color w:val="000000"/>
                <w:sz w:val="18"/>
                <w:szCs w:val="18"/>
                <w:lang w:val="en-AU" w:eastAsia="en-AU"/>
              </w:rPr>
              <w:br/>
              <w:t xml:space="preserve">*B2: Design complete.   </w:t>
            </w:r>
          </w:p>
        </w:tc>
        <w:tc>
          <w:tcPr>
            <w:tcW w:w="1409" w:type="dxa"/>
            <w:gridSpan w:val="2"/>
            <w:tcBorders>
              <w:top w:val="single" w:sz="4" w:space="0" w:color="auto"/>
              <w:left w:val="nil"/>
              <w:bottom w:val="single" w:sz="4" w:space="0" w:color="auto"/>
              <w:right w:val="single" w:sz="4" w:space="0" w:color="auto"/>
            </w:tcBorders>
            <w:shd w:val="clear" w:color="auto" w:fill="F8F8F8"/>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 B1 Bridge construction complete Oct 2018. </w:t>
            </w:r>
            <w:r w:rsidRPr="00CF1044">
              <w:rPr>
                <w:rFonts w:ascii="Calibri" w:eastAsia="Times New Roman" w:hAnsi="Calibri" w:cs="Times New Roman"/>
                <w:color w:val="000000"/>
                <w:sz w:val="18"/>
                <w:szCs w:val="18"/>
                <w:lang w:val="en-AU" w:eastAsia="en-AU"/>
              </w:rPr>
              <w:br/>
              <w:t>*B2: Bridge construction started early 2019 (revised).</w:t>
            </w:r>
          </w:p>
        </w:tc>
        <w:tc>
          <w:tcPr>
            <w:tcW w:w="1401" w:type="dxa"/>
            <w:gridSpan w:val="2"/>
            <w:tcBorders>
              <w:top w:val="single" w:sz="4" w:space="0" w:color="auto"/>
              <w:left w:val="nil"/>
              <w:bottom w:val="single" w:sz="4" w:space="0" w:color="auto"/>
              <w:right w:val="single" w:sz="4" w:space="0" w:color="auto"/>
            </w:tcBorders>
            <w:shd w:val="clear" w:color="auto" w:fill="F8F8F8"/>
            <w:hideMark/>
          </w:tcPr>
          <w:p w:rsidR="002A589C" w:rsidRPr="00CF1044" w:rsidRDefault="00766F85">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 B1 Bridge construction</w:t>
            </w:r>
            <w:r w:rsidR="002A589C" w:rsidRPr="009340ED">
              <w:rPr>
                <w:rFonts w:ascii="Calibri" w:eastAsia="Times New Roman" w:hAnsi="Calibri" w:cs="Times New Roman"/>
                <w:color w:val="000000"/>
                <w:sz w:val="18"/>
                <w:szCs w:val="18"/>
                <w:lang w:val="en-AU" w:eastAsia="en-AU"/>
              </w:rPr>
              <w:t xml:space="preserve"> completed </w:t>
            </w:r>
            <w:r>
              <w:rPr>
                <w:rFonts w:ascii="Calibri" w:eastAsia="Times New Roman" w:hAnsi="Calibri" w:cs="Times New Roman"/>
                <w:color w:val="000000"/>
                <w:sz w:val="18"/>
                <w:szCs w:val="18"/>
                <w:lang w:val="en-AU" w:eastAsia="en-AU"/>
              </w:rPr>
              <w:t>Oct</w:t>
            </w:r>
            <w:r w:rsidR="002A589C" w:rsidRPr="009340ED">
              <w:rPr>
                <w:rFonts w:ascii="Calibri" w:eastAsia="Times New Roman" w:hAnsi="Calibri" w:cs="Times New Roman"/>
                <w:color w:val="000000"/>
                <w:sz w:val="18"/>
                <w:szCs w:val="18"/>
                <w:lang w:val="en-AU" w:eastAsia="en-AU"/>
              </w:rPr>
              <w:t xml:space="preserve"> 2018. Bridge 2 (</w:t>
            </w:r>
            <w:proofErr w:type="spellStart"/>
            <w:r w:rsidR="002A589C" w:rsidRPr="009340ED">
              <w:rPr>
                <w:rFonts w:ascii="Calibri" w:eastAsia="Times New Roman" w:hAnsi="Calibri" w:cs="Times New Roman"/>
                <w:color w:val="000000"/>
                <w:sz w:val="18"/>
                <w:szCs w:val="18"/>
                <w:lang w:val="en-AU" w:eastAsia="en-AU"/>
              </w:rPr>
              <w:t>Mongga</w:t>
            </w:r>
            <w:proofErr w:type="spellEnd"/>
            <w:r w:rsidR="002A589C" w:rsidRPr="009340ED">
              <w:rPr>
                <w:rFonts w:ascii="Calibri" w:eastAsia="Times New Roman" w:hAnsi="Calibri" w:cs="Times New Roman"/>
                <w:color w:val="000000"/>
                <w:sz w:val="18"/>
                <w:szCs w:val="18"/>
                <w:lang w:val="en-AU" w:eastAsia="en-AU"/>
              </w:rPr>
              <w:t xml:space="preserve"> Bridge) construction is out on tender. </w:t>
            </w:r>
          </w:p>
        </w:tc>
        <w:tc>
          <w:tcPr>
            <w:tcW w:w="1199" w:type="dxa"/>
            <w:gridSpan w:val="3"/>
            <w:tcBorders>
              <w:top w:val="single" w:sz="4" w:space="0" w:color="auto"/>
              <w:left w:val="nil"/>
              <w:bottom w:val="single" w:sz="4" w:space="0" w:color="auto"/>
              <w:right w:val="single" w:sz="4" w:space="0" w:color="auto"/>
            </w:tcBorders>
            <w:shd w:val="clear" w:color="auto" w:fill="F8F8F8"/>
          </w:tcPr>
          <w:p w:rsidR="002A589C" w:rsidRPr="00CF1044" w:rsidRDefault="005D526F">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*B2: Bridge construction s</w:t>
            </w:r>
            <w:r>
              <w:rPr>
                <w:rFonts w:ascii="Calibri" w:eastAsia="Times New Roman" w:hAnsi="Calibri" w:cs="Times New Roman"/>
                <w:color w:val="000000"/>
                <w:sz w:val="18"/>
                <w:szCs w:val="18"/>
                <w:lang w:val="en-AU" w:eastAsia="en-AU"/>
              </w:rPr>
              <w:t>tarted late 2019</w:t>
            </w:r>
            <w:r w:rsidRPr="00CF1044">
              <w:rPr>
                <w:rFonts w:ascii="Calibri" w:eastAsia="Times New Roman" w:hAnsi="Calibri" w:cs="Times New Roman"/>
                <w:color w:val="000000"/>
                <w:sz w:val="18"/>
                <w:szCs w:val="18"/>
                <w:lang w:val="en-AU" w:eastAsia="en-AU"/>
              </w:rPr>
              <w:t xml:space="preserve"> (revised).</w:t>
            </w:r>
          </w:p>
        </w:tc>
        <w:tc>
          <w:tcPr>
            <w:tcW w:w="1256" w:type="dxa"/>
            <w:tcBorders>
              <w:top w:val="single" w:sz="4" w:space="0" w:color="auto"/>
              <w:left w:val="single" w:sz="4" w:space="0" w:color="auto"/>
              <w:bottom w:val="single" w:sz="4" w:space="0" w:color="auto"/>
              <w:right w:val="single" w:sz="4" w:space="0" w:color="auto"/>
            </w:tcBorders>
            <w:shd w:val="clear" w:color="auto" w:fill="F8F8F8"/>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Growth Program</w:t>
            </w:r>
          </w:p>
        </w:tc>
        <w:tc>
          <w:tcPr>
            <w:tcW w:w="2136" w:type="dxa"/>
            <w:gridSpan w:val="2"/>
            <w:tcBorders>
              <w:top w:val="single" w:sz="4" w:space="0" w:color="auto"/>
              <w:left w:val="nil"/>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MID reporting</w:t>
            </w:r>
          </w:p>
        </w:tc>
      </w:tr>
      <w:tr w:rsidR="009F0B64" w:rsidRPr="00CF1044" w:rsidTr="005B4D51">
        <w:trPr>
          <w:trHeight w:val="1515"/>
        </w:trPr>
        <w:tc>
          <w:tcPr>
            <w:tcW w:w="1729" w:type="dxa"/>
            <w:gridSpan w:val="2"/>
            <w:vMerge/>
            <w:tcBorders>
              <w:top w:val="single" w:sz="4" w:space="0" w:color="auto"/>
              <w:left w:val="single" w:sz="4" w:space="0" w:color="auto"/>
              <w:bottom w:val="single" w:sz="4" w:space="0" w:color="auto"/>
              <w:right w:val="single" w:sz="4" w:space="0" w:color="auto"/>
            </w:tcBorders>
            <w:vAlign w:val="center"/>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p>
        </w:tc>
        <w:tc>
          <w:tcPr>
            <w:tcW w:w="2205" w:type="dxa"/>
            <w:tcBorders>
              <w:top w:val="single" w:sz="4" w:space="0" w:color="auto"/>
              <w:left w:val="nil"/>
              <w:bottom w:val="single" w:sz="4" w:space="0" w:color="auto"/>
              <w:right w:val="single" w:sz="4" w:space="0" w:color="auto"/>
            </w:tcBorders>
            <w:shd w:val="clear" w:color="auto" w:fill="auto"/>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1.4 Percentage of people employed by contractors for labour-based road works that are women</w:t>
            </w:r>
          </w:p>
        </w:tc>
        <w:tc>
          <w:tcPr>
            <w:tcW w:w="1210" w:type="dxa"/>
            <w:gridSpan w:val="3"/>
            <w:tcBorders>
              <w:top w:val="single" w:sz="4" w:space="0" w:color="auto"/>
              <w:left w:val="nil"/>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60%</w:t>
            </w:r>
          </w:p>
        </w:tc>
        <w:tc>
          <w:tcPr>
            <w:tcW w:w="1246" w:type="dxa"/>
            <w:gridSpan w:val="2"/>
            <w:tcBorders>
              <w:top w:val="single" w:sz="4" w:space="0" w:color="auto"/>
              <w:left w:val="nil"/>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46%</w:t>
            </w:r>
          </w:p>
        </w:tc>
        <w:tc>
          <w:tcPr>
            <w:tcW w:w="1240" w:type="dxa"/>
            <w:tcBorders>
              <w:top w:val="single" w:sz="4" w:space="0" w:color="auto"/>
              <w:left w:val="nil"/>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40%</w:t>
            </w: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40%</w:t>
            </w:r>
          </w:p>
        </w:tc>
        <w:tc>
          <w:tcPr>
            <w:tcW w:w="1401" w:type="dxa"/>
            <w:gridSpan w:val="2"/>
            <w:tcBorders>
              <w:top w:val="single" w:sz="4" w:space="0" w:color="auto"/>
              <w:left w:val="nil"/>
              <w:bottom w:val="single" w:sz="4" w:space="0" w:color="auto"/>
              <w:right w:val="single" w:sz="4" w:space="0" w:color="auto"/>
            </w:tcBorders>
            <w:shd w:val="clear" w:color="auto" w:fill="auto"/>
            <w:vAlign w:val="center"/>
          </w:tcPr>
          <w:p w:rsidR="002A589C" w:rsidRPr="00CF1044" w:rsidRDefault="0012501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No longer tracked – labour based contract phasing out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2A589C" w:rsidRPr="00CF1044" w:rsidRDefault="0012501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n/a</w:t>
            </w:r>
          </w:p>
        </w:tc>
        <w:tc>
          <w:tcPr>
            <w:tcW w:w="1256" w:type="dxa"/>
            <w:tcBorders>
              <w:top w:val="single" w:sz="4" w:space="0" w:color="auto"/>
              <w:left w:val="single" w:sz="4" w:space="0" w:color="auto"/>
              <w:bottom w:val="single" w:sz="4" w:space="0" w:color="auto"/>
              <w:right w:val="single" w:sz="4" w:space="0" w:color="auto"/>
            </w:tcBorders>
            <w:shd w:val="clear" w:color="auto" w:fill="F8F8F8"/>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Transport Sector-Based Approach Phase 2</w:t>
            </w:r>
          </w:p>
        </w:tc>
        <w:tc>
          <w:tcPr>
            <w:tcW w:w="2136" w:type="dxa"/>
            <w:gridSpan w:val="2"/>
            <w:tcBorders>
              <w:top w:val="single" w:sz="4" w:space="0" w:color="auto"/>
              <w:left w:val="nil"/>
              <w:bottom w:val="single" w:sz="4" w:space="0" w:color="auto"/>
              <w:right w:val="single" w:sz="4" w:space="0" w:color="auto"/>
            </w:tcBorders>
            <w:shd w:val="clear" w:color="auto" w:fill="auto"/>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MID reporting</w:t>
            </w:r>
          </w:p>
        </w:tc>
      </w:tr>
      <w:tr w:rsidR="009F0B64" w:rsidRPr="00CF1044" w:rsidTr="005B4D51">
        <w:trPr>
          <w:trHeight w:val="1590"/>
        </w:trPr>
        <w:tc>
          <w:tcPr>
            <w:tcW w:w="1729" w:type="dxa"/>
            <w:gridSpan w:val="2"/>
            <w:tcBorders>
              <w:top w:val="nil"/>
              <w:left w:val="single" w:sz="4" w:space="0" w:color="auto"/>
              <w:bottom w:val="single" w:sz="4" w:space="0" w:color="auto"/>
              <w:right w:val="single" w:sz="4" w:space="0" w:color="auto"/>
            </w:tcBorders>
            <w:shd w:val="clear" w:color="auto" w:fill="auto"/>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lastRenderedPageBreak/>
              <w:t>Outcome 2</w:t>
            </w:r>
            <w:r w:rsidR="008223AE">
              <w:rPr>
                <w:rFonts w:ascii="Calibri" w:eastAsia="Times New Roman" w:hAnsi="Calibri" w:cs="Times New Roman"/>
                <w:b/>
                <w:bCs/>
                <w:color w:val="000000"/>
                <w:sz w:val="18"/>
                <w:szCs w:val="18"/>
                <w:lang w:val="en-AU" w:eastAsia="en-AU"/>
              </w:rPr>
              <w:t>A.2</w:t>
            </w:r>
            <w:r w:rsidRPr="00CF1044">
              <w:rPr>
                <w:rFonts w:ascii="Calibri" w:eastAsia="Times New Roman" w:hAnsi="Calibri" w:cs="Times New Roman"/>
                <w:b/>
                <w:bCs/>
                <w:color w:val="000000"/>
                <w:sz w:val="18"/>
                <w:szCs w:val="18"/>
                <w:lang w:val="en-AU" w:eastAsia="en-AU"/>
              </w:rPr>
              <w:t>:</w:t>
            </w:r>
            <w:r w:rsidRPr="00CF1044">
              <w:rPr>
                <w:rFonts w:ascii="Calibri" w:eastAsia="Times New Roman" w:hAnsi="Calibri" w:cs="Times New Roman"/>
                <w:color w:val="000000"/>
                <w:sz w:val="18"/>
                <w:szCs w:val="18"/>
                <w:lang w:val="en-AU" w:eastAsia="en-AU"/>
              </w:rPr>
              <w:t xml:space="preserve"> Reduced energy costs for commerce through improved energy supply (Tina River) </w:t>
            </w:r>
          </w:p>
        </w:tc>
        <w:tc>
          <w:tcPr>
            <w:tcW w:w="2205" w:type="dxa"/>
            <w:tcBorders>
              <w:top w:val="nil"/>
              <w:left w:val="nil"/>
              <w:bottom w:val="single" w:sz="4" w:space="0" w:color="auto"/>
              <w:right w:val="single" w:sz="4" w:space="0" w:color="auto"/>
            </w:tcBorders>
            <w:shd w:val="clear" w:color="auto" w:fill="auto"/>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2.1 Progress against work</w:t>
            </w:r>
            <w:r>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plan for the construction of the Tina River hydropower station</w:t>
            </w:r>
          </w:p>
        </w:tc>
        <w:tc>
          <w:tcPr>
            <w:tcW w:w="1210" w:type="dxa"/>
            <w:gridSpan w:val="3"/>
            <w:tcBorders>
              <w:top w:val="nil"/>
              <w:left w:val="nil"/>
              <w:bottom w:val="single" w:sz="4" w:space="0" w:color="auto"/>
              <w:right w:val="single" w:sz="4" w:space="0" w:color="auto"/>
            </w:tcBorders>
            <w:shd w:val="clear" w:color="auto" w:fill="auto"/>
            <w:hideMark/>
          </w:tcPr>
          <w:p w:rsidR="002A589C" w:rsidRPr="00CF1044" w:rsidRDefault="002A589C" w:rsidP="00AA262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246" w:type="dxa"/>
            <w:gridSpan w:val="2"/>
            <w:tcBorders>
              <w:top w:val="nil"/>
              <w:left w:val="nil"/>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240" w:type="dxa"/>
            <w:tcBorders>
              <w:top w:val="nil"/>
              <w:left w:val="nil"/>
              <w:bottom w:val="single" w:sz="4" w:space="0" w:color="auto"/>
              <w:right w:val="single" w:sz="4" w:space="0" w:color="auto"/>
            </w:tcBorders>
            <w:shd w:val="clear" w:color="auto" w:fill="auto"/>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 Financing secured from 5/6 partners.  Good progress on commercial negotiations.   </w:t>
            </w:r>
          </w:p>
        </w:tc>
        <w:tc>
          <w:tcPr>
            <w:tcW w:w="1409" w:type="dxa"/>
            <w:gridSpan w:val="2"/>
            <w:tcBorders>
              <w:top w:val="nil"/>
              <w:left w:val="nil"/>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Commercial agreements signed; Access r</w:t>
            </w:r>
            <w:r w:rsidR="00DB7C62">
              <w:rPr>
                <w:rFonts w:ascii="Calibri" w:eastAsia="Times New Roman" w:hAnsi="Calibri" w:cs="Times New Roman"/>
                <w:color w:val="000000"/>
                <w:sz w:val="18"/>
                <w:szCs w:val="18"/>
                <w:lang w:val="en-AU" w:eastAsia="en-AU"/>
              </w:rPr>
              <w:t>oa</w:t>
            </w:r>
            <w:r w:rsidRPr="00CF1044">
              <w:rPr>
                <w:rFonts w:ascii="Calibri" w:eastAsia="Times New Roman" w:hAnsi="Calibri" w:cs="Times New Roman"/>
                <w:color w:val="000000"/>
                <w:sz w:val="18"/>
                <w:szCs w:val="18"/>
                <w:lang w:val="en-AU" w:eastAsia="en-AU"/>
              </w:rPr>
              <w:t xml:space="preserve">d construction started (revised) </w:t>
            </w:r>
          </w:p>
        </w:tc>
        <w:tc>
          <w:tcPr>
            <w:tcW w:w="1401" w:type="dxa"/>
            <w:gridSpan w:val="2"/>
            <w:tcBorders>
              <w:top w:val="nil"/>
              <w:left w:val="nil"/>
              <w:bottom w:val="single" w:sz="4" w:space="0" w:color="auto"/>
              <w:right w:val="single" w:sz="4" w:space="0" w:color="auto"/>
            </w:tcBorders>
            <w:shd w:val="clear" w:color="auto" w:fill="auto"/>
          </w:tcPr>
          <w:p w:rsidR="002A589C" w:rsidRPr="00CF1044" w:rsidRDefault="00730E7A">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Commercial agreement signed in Dec 2018. During negotiations it was determined date for constructio</w:t>
            </w:r>
            <w:r w:rsidR="004C0C28">
              <w:rPr>
                <w:rFonts w:ascii="Calibri" w:eastAsia="Times New Roman" w:hAnsi="Calibri" w:cs="Times New Roman"/>
                <w:color w:val="000000"/>
                <w:sz w:val="18"/>
                <w:szCs w:val="18"/>
                <w:lang w:val="en-AU" w:eastAsia="en-AU"/>
              </w:rPr>
              <w:t xml:space="preserve">n of road would not start in </w:t>
            </w:r>
            <w:r w:rsidR="00DB7C62">
              <w:rPr>
                <w:rFonts w:ascii="Calibri" w:eastAsia="Times New Roman" w:hAnsi="Calibri" w:cs="Times New Roman"/>
                <w:color w:val="000000"/>
                <w:sz w:val="18"/>
                <w:szCs w:val="18"/>
                <w:lang w:val="en-AU" w:eastAsia="en-AU"/>
              </w:rPr>
              <w:t>20</w:t>
            </w:r>
            <w:r w:rsidR="004C0C28">
              <w:rPr>
                <w:rFonts w:ascii="Calibri" w:eastAsia="Times New Roman" w:hAnsi="Calibri" w:cs="Times New Roman"/>
                <w:color w:val="000000"/>
                <w:sz w:val="18"/>
                <w:szCs w:val="18"/>
                <w:lang w:val="en-AU" w:eastAsia="en-AU"/>
              </w:rPr>
              <w:t>18-</w:t>
            </w:r>
            <w:r>
              <w:rPr>
                <w:rFonts w:ascii="Calibri" w:eastAsia="Times New Roman" w:hAnsi="Calibri" w:cs="Times New Roman"/>
                <w:color w:val="000000"/>
                <w:sz w:val="18"/>
                <w:szCs w:val="18"/>
                <w:lang w:val="en-AU" w:eastAsia="en-AU"/>
              </w:rPr>
              <w:t>19</w:t>
            </w:r>
          </w:p>
        </w:tc>
        <w:tc>
          <w:tcPr>
            <w:tcW w:w="1199" w:type="dxa"/>
            <w:gridSpan w:val="3"/>
            <w:tcBorders>
              <w:top w:val="single" w:sz="4" w:space="0" w:color="auto"/>
              <w:left w:val="nil"/>
              <w:bottom w:val="single" w:sz="4" w:space="0" w:color="auto"/>
              <w:right w:val="single" w:sz="4" w:space="0" w:color="auto"/>
            </w:tcBorders>
            <w:shd w:val="clear" w:color="auto" w:fill="auto"/>
          </w:tcPr>
          <w:p w:rsidR="002A589C" w:rsidRPr="00CF1044" w:rsidRDefault="00730E7A">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Access road construction started</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Growth Program</w:t>
            </w:r>
          </w:p>
        </w:tc>
        <w:tc>
          <w:tcPr>
            <w:tcW w:w="2136" w:type="dxa"/>
            <w:gridSpan w:val="2"/>
            <w:tcBorders>
              <w:top w:val="nil"/>
              <w:left w:val="nil"/>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World Bank</w:t>
            </w:r>
          </w:p>
        </w:tc>
      </w:tr>
      <w:tr w:rsidR="009F0B64" w:rsidRPr="00CF1044" w:rsidTr="005B4D51">
        <w:trPr>
          <w:trHeight w:val="1290"/>
        </w:trPr>
        <w:tc>
          <w:tcPr>
            <w:tcW w:w="1729"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Outcome </w:t>
            </w:r>
            <w:r w:rsidR="008223AE">
              <w:rPr>
                <w:rFonts w:ascii="Calibri" w:eastAsia="Times New Roman" w:hAnsi="Calibri" w:cs="Times New Roman"/>
                <w:b/>
                <w:bCs/>
                <w:color w:val="000000"/>
                <w:sz w:val="18"/>
                <w:szCs w:val="18"/>
                <w:lang w:val="en-AU" w:eastAsia="en-AU"/>
              </w:rPr>
              <w:t>2A.</w:t>
            </w:r>
            <w:r w:rsidRPr="00CF1044">
              <w:rPr>
                <w:rFonts w:ascii="Calibri" w:eastAsia="Times New Roman" w:hAnsi="Calibri" w:cs="Times New Roman"/>
                <w:b/>
                <w:bCs/>
                <w:color w:val="000000"/>
                <w:sz w:val="18"/>
                <w:szCs w:val="18"/>
                <w:lang w:val="en-AU" w:eastAsia="en-AU"/>
              </w:rPr>
              <w:t>3:</w:t>
            </w:r>
            <w:r w:rsidRPr="00CF1044">
              <w:rPr>
                <w:rFonts w:ascii="Calibri" w:eastAsia="Times New Roman" w:hAnsi="Calibri" w:cs="Times New Roman"/>
                <w:color w:val="000000"/>
                <w:sz w:val="18"/>
                <w:szCs w:val="18"/>
                <w:lang w:val="en-AU" w:eastAsia="en-AU"/>
              </w:rPr>
              <w:t xml:space="preserve"> </w:t>
            </w:r>
            <w:r w:rsidRPr="00D012B2">
              <w:rPr>
                <w:rFonts w:ascii="Calibri" w:eastAsia="Times New Roman" w:hAnsi="Calibri" w:cs="Times New Roman"/>
                <w:color w:val="000000"/>
                <w:sz w:val="18"/>
                <w:szCs w:val="18"/>
                <w:lang w:val="en-AU" w:eastAsia="en-AU"/>
              </w:rPr>
              <w:t>Improved internet connectivity by 2020  through installation of a submarine telecommunications  cable system</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3.1 Progress against work</w:t>
            </w:r>
            <w:r>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 xml:space="preserve">plan for the construction of the Coral Sea </w:t>
            </w:r>
            <w:r>
              <w:rPr>
                <w:rFonts w:ascii="Calibri" w:eastAsia="Times New Roman" w:hAnsi="Calibri" w:cs="Times New Roman"/>
                <w:color w:val="000000"/>
                <w:sz w:val="18"/>
                <w:szCs w:val="18"/>
                <w:lang w:val="en-AU" w:eastAsia="en-AU"/>
              </w:rPr>
              <w:t>Cable System and Solomon Islands Domestic Network</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AA262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A589C" w:rsidRPr="00D012B2"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D012B2">
              <w:rPr>
                <w:rFonts w:ascii="Calibri" w:hAnsi="Calibri"/>
                <w:color w:val="000000"/>
                <w:sz w:val="18"/>
                <w:szCs w:val="18"/>
              </w:rPr>
              <w:t>* Scoping study completed; construction contract signed.</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D012B2"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D012B2">
              <w:rPr>
                <w:rFonts w:ascii="Calibri" w:hAnsi="Calibri"/>
                <w:color w:val="000000"/>
                <w:sz w:val="18"/>
                <w:szCs w:val="18"/>
              </w:rPr>
              <w:t>*Marine survey completed and cable manufactured</w:t>
            </w:r>
            <w:r>
              <w:rPr>
                <w:rFonts w:ascii="Calibri" w:hAnsi="Calibri"/>
                <w:color w:val="000000"/>
                <w:sz w:val="18"/>
                <w:szCs w:val="18"/>
              </w:rPr>
              <w:t xml:space="preserve"> (July 2019)</w:t>
            </w:r>
            <w:r w:rsidRPr="00D012B2">
              <w:rPr>
                <w:rFonts w:ascii="Calibri" w:hAnsi="Calibri"/>
                <w:color w:val="000000"/>
                <w:sz w:val="18"/>
                <w:szCs w:val="18"/>
              </w:rPr>
              <w:t xml:space="preserve">. </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tcPr>
          <w:p w:rsidR="002A589C" w:rsidRPr="0069043C" w:rsidRDefault="00730E7A">
            <w:pPr>
              <w:suppressAutoHyphens w:val="0"/>
              <w:spacing w:before="0" w:after="0" w:line="240" w:lineRule="auto"/>
              <w:rPr>
                <w:rFonts w:ascii="Calibri" w:eastAsia="Times New Roman" w:hAnsi="Calibri" w:cs="Times New Roman"/>
                <w:color w:val="000000"/>
                <w:sz w:val="18"/>
                <w:szCs w:val="18"/>
                <w:lang w:val="en-AU" w:eastAsia="en-AU"/>
              </w:rPr>
            </w:pPr>
            <w:r w:rsidRPr="0069043C">
              <w:rPr>
                <w:rFonts w:ascii="Calibri" w:eastAsia="Times New Roman" w:hAnsi="Calibri" w:cs="Times New Roman"/>
                <w:color w:val="000000"/>
                <w:sz w:val="18"/>
                <w:szCs w:val="18"/>
                <w:lang w:val="en-AU" w:eastAsia="en-AU"/>
              </w:rPr>
              <w:t>Marine survey completed. Cable manufactured</w:t>
            </w:r>
            <w:r w:rsidR="00DB7C62">
              <w:rPr>
                <w:rFonts w:ascii="Calibri" w:eastAsia="Times New Roman" w:hAnsi="Calibri" w:cs="Times New Roman"/>
                <w:color w:val="000000"/>
                <w:sz w:val="18"/>
                <w:szCs w:val="18"/>
                <w:lang w:val="en-AU" w:eastAsia="en-AU"/>
              </w:rPr>
              <w:t>.</w:t>
            </w:r>
          </w:p>
        </w:tc>
        <w:tc>
          <w:tcPr>
            <w:tcW w:w="1199" w:type="dxa"/>
            <w:gridSpan w:val="3"/>
            <w:tcBorders>
              <w:top w:val="single" w:sz="4" w:space="0" w:color="auto"/>
              <w:left w:val="single" w:sz="4" w:space="0" w:color="auto"/>
              <w:bottom w:val="single" w:sz="4" w:space="0" w:color="auto"/>
              <w:right w:val="single" w:sz="4" w:space="0" w:color="auto"/>
            </w:tcBorders>
            <w:shd w:val="clear" w:color="auto" w:fill="auto"/>
          </w:tcPr>
          <w:p w:rsidR="002A589C" w:rsidRPr="0069043C" w:rsidRDefault="000F2942">
            <w:pPr>
              <w:suppressAutoHyphens w:val="0"/>
              <w:spacing w:before="0" w:after="0" w:line="240" w:lineRule="auto"/>
              <w:rPr>
                <w:rFonts w:ascii="Calibri" w:eastAsia="Times New Roman" w:hAnsi="Calibri" w:cs="Times New Roman"/>
                <w:color w:val="000000"/>
                <w:sz w:val="18"/>
                <w:szCs w:val="18"/>
                <w:lang w:val="en-AU" w:eastAsia="en-AU"/>
              </w:rPr>
            </w:pPr>
            <w:r w:rsidRPr="0069043C">
              <w:rPr>
                <w:rFonts w:ascii="Calibri" w:eastAsia="Times New Roman" w:hAnsi="Calibri" w:cs="Times New Roman"/>
                <w:color w:val="000000"/>
                <w:sz w:val="18"/>
                <w:szCs w:val="18"/>
                <w:lang w:val="en-AU" w:eastAsia="en-AU"/>
              </w:rPr>
              <w:t>Cable operational by Dec</w:t>
            </w:r>
            <w:r w:rsidR="00DB7C62">
              <w:rPr>
                <w:rFonts w:ascii="Calibri" w:eastAsia="Times New Roman" w:hAnsi="Calibri" w:cs="Times New Roman"/>
                <w:color w:val="000000"/>
                <w:sz w:val="18"/>
                <w:szCs w:val="18"/>
                <w:lang w:val="en-AU" w:eastAsia="en-AU"/>
              </w:rPr>
              <w:t>ember</w:t>
            </w:r>
            <w:r w:rsidRPr="0069043C">
              <w:rPr>
                <w:rFonts w:ascii="Calibri" w:eastAsia="Times New Roman" w:hAnsi="Calibri" w:cs="Times New Roman"/>
                <w:color w:val="000000"/>
                <w:sz w:val="18"/>
                <w:szCs w:val="18"/>
                <w:lang w:val="en-AU" w:eastAsia="en-AU"/>
              </w:rPr>
              <w:t xml:space="preserve"> 2019</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Growth Program</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DFAT reporting</w:t>
            </w:r>
          </w:p>
        </w:tc>
      </w:tr>
      <w:tr w:rsidR="009F0B64" w:rsidRPr="00CF1044" w:rsidTr="005B4D51">
        <w:trPr>
          <w:trHeight w:val="1560"/>
        </w:trPr>
        <w:tc>
          <w:tcPr>
            <w:tcW w:w="1729"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Outcome </w:t>
            </w:r>
            <w:r w:rsidR="008223AE">
              <w:rPr>
                <w:rFonts w:ascii="Calibri" w:eastAsia="Times New Roman" w:hAnsi="Calibri" w:cs="Times New Roman"/>
                <w:b/>
                <w:bCs/>
                <w:color w:val="000000"/>
                <w:sz w:val="18"/>
                <w:szCs w:val="18"/>
                <w:lang w:val="en-AU" w:eastAsia="en-AU"/>
              </w:rPr>
              <w:t>2A.</w:t>
            </w:r>
            <w:r w:rsidRPr="00CF1044">
              <w:rPr>
                <w:rFonts w:ascii="Calibri" w:eastAsia="Times New Roman" w:hAnsi="Calibri" w:cs="Times New Roman"/>
                <w:b/>
                <w:bCs/>
                <w:color w:val="000000"/>
                <w:sz w:val="18"/>
                <w:szCs w:val="18"/>
                <w:lang w:val="en-AU" w:eastAsia="en-AU"/>
              </w:rPr>
              <w:t>4</w:t>
            </w:r>
            <w:r w:rsidRPr="00CF1044">
              <w:rPr>
                <w:rFonts w:ascii="Calibri" w:eastAsia="Times New Roman" w:hAnsi="Calibri" w:cs="Times New Roman"/>
                <w:color w:val="000000"/>
                <w:sz w:val="18"/>
                <w:szCs w:val="18"/>
                <w:lang w:val="en-AU" w:eastAsia="en-AU"/>
              </w:rPr>
              <w:t>: Solomon Islands Chamber of Commerce and Industry (SICCI) is an effective advocate to the Government on business policy reform</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90062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4.1 Number of Government-Business Advisory Committee meetings held between SICCI and </w:t>
            </w:r>
            <w:r w:rsidR="00900625">
              <w:rPr>
                <w:rFonts w:ascii="Calibri" w:eastAsia="Times New Roman" w:hAnsi="Calibri" w:cs="Times New Roman"/>
                <w:color w:val="000000"/>
                <w:sz w:val="18"/>
                <w:szCs w:val="18"/>
                <w:lang w:val="en-AU" w:eastAsia="en-AU"/>
              </w:rPr>
              <w:t>Solomon Islands Government</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3  (↓due to election)</w:t>
            </w:r>
          </w:p>
        </w:tc>
        <w:tc>
          <w:tcPr>
            <w:tcW w:w="1401"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CF1044"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5</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CF1044" w:rsidRDefault="00EA4098" w:rsidP="000F2942">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auto"/>
                <w:sz w:val="18"/>
                <w:szCs w:val="18"/>
                <w:lang w:val="en-AU" w:eastAsia="en-AU"/>
              </w:rPr>
              <w:t>4</w:t>
            </w:r>
          </w:p>
        </w:tc>
        <w:tc>
          <w:tcPr>
            <w:tcW w:w="1256" w:type="dxa"/>
            <w:tcBorders>
              <w:top w:val="single" w:sz="4" w:space="0" w:color="auto"/>
              <w:left w:val="single" w:sz="4" w:space="0" w:color="auto"/>
              <w:bottom w:val="single" w:sz="4" w:space="0" w:color="auto"/>
              <w:right w:val="single" w:sz="4" w:space="0" w:color="auto"/>
            </w:tcBorders>
            <w:shd w:val="clear" w:color="auto" w:fill="F8F8F8"/>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SI Governance/ Economic </w:t>
            </w:r>
            <w:r w:rsidR="00DB7C62">
              <w:rPr>
                <w:rFonts w:ascii="Calibri" w:eastAsia="Times New Roman" w:hAnsi="Calibri" w:cs="Times New Roman"/>
                <w:color w:val="000000"/>
                <w:sz w:val="18"/>
                <w:szCs w:val="18"/>
                <w:lang w:val="en-AU" w:eastAsia="en-AU"/>
              </w:rPr>
              <w:t>R</w:t>
            </w:r>
            <w:r w:rsidRPr="00CF1044">
              <w:rPr>
                <w:rFonts w:ascii="Calibri" w:eastAsia="Times New Roman" w:hAnsi="Calibri" w:cs="Times New Roman"/>
                <w:color w:val="000000"/>
                <w:sz w:val="18"/>
                <w:szCs w:val="18"/>
                <w:lang w:val="en-AU" w:eastAsia="en-AU"/>
              </w:rPr>
              <w:t xml:space="preserve">eform </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CF1044" w:rsidRDefault="002A589C" w:rsidP="00F92669">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r w:rsidR="00607098" w:rsidRPr="00FE458E" w:rsidTr="005B4D51">
        <w:trPr>
          <w:gridAfter w:val="1"/>
          <w:wAfter w:w="10" w:type="dxa"/>
          <w:trHeight w:val="465"/>
        </w:trPr>
        <w:tc>
          <w:tcPr>
            <w:tcW w:w="15021" w:type="dxa"/>
            <w:gridSpan w:val="18"/>
            <w:tcBorders>
              <w:top w:val="single" w:sz="4" w:space="0" w:color="auto"/>
              <w:left w:val="single" w:sz="4" w:space="0" w:color="auto"/>
              <w:bottom w:val="single" w:sz="4" w:space="0" w:color="auto"/>
              <w:right w:val="single" w:sz="4" w:space="0" w:color="auto"/>
            </w:tcBorders>
            <w:shd w:val="clear" w:color="auto" w:fill="DDECD0" w:themeFill="accent3" w:themeFillTint="66"/>
          </w:tcPr>
          <w:p w:rsidR="00607098" w:rsidRPr="00FE458E" w:rsidRDefault="00607098" w:rsidP="00607098">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Sub-objective: More men and women are able to earn a cash-based income</w:t>
            </w:r>
          </w:p>
        </w:tc>
      </w:tr>
      <w:tr w:rsidR="005B4D51" w:rsidRPr="00FE458E" w:rsidTr="0027449B">
        <w:trPr>
          <w:gridAfter w:val="1"/>
          <w:wAfter w:w="10" w:type="dxa"/>
          <w:trHeight w:val="810"/>
        </w:trPr>
        <w:tc>
          <w:tcPr>
            <w:tcW w:w="1696" w:type="dxa"/>
            <w:vMerge w:val="restart"/>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2A589C" w:rsidRPr="00FE458E" w:rsidRDefault="002A589C" w:rsidP="00FE458E">
            <w:pPr>
              <w:suppressAutoHyphens w:val="0"/>
              <w:spacing w:before="0" w:after="0" w:line="240" w:lineRule="auto"/>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Sentinel indicators</w:t>
            </w:r>
          </w:p>
        </w:tc>
        <w:tc>
          <w:tcPr>
            <w:tcW w:w="2268" w:type="dxa"/>
            <w:gridSpan w:val="3"/>
            <w:tcBorders>
              <w:top w:val="nil"/>
              <w:left w:val="nil"/>
              <w:bottom w:val="single" w:sz="4" w:space="0" w:color="auto"/>
              <w:right w:val="single" w:sz="4" w:space="0" w:color="auto"/>
            </w:tcBorders>
            <w:shd w:val="clear" w:color="auto" w:fill="EEF5E7" w:themeFill="accent3" w:themeFillTint="33"/>
            <w:hideMark/>
          </w:tcPr>
          <w:p w:rsidR="002A589C" w:rsidRPr="00FE458E" w:rsidRDefault="002A589C" w:rsidP="00AA262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Active membership of the National Provident Fund (proxy for</w:t>
            </w:r>
            <w:r w:rsidR="00AA262C">
              <w:rPr>
                <w:rFonts w:ascii="Calibri" w:eastAsia="Times New Roman" w:hAnsi="Calibri" w:cs="Times New Roman"/>
                <w:color w:val="000000"/>
                <w:sz w:val="18"/>
                <w:szCs w:val="18"/>
                <w:lang w:val="en-AU" w:eastAsia="en-AU"/>
              </w:rPr>
              <w:t xml:space="preserve"> number of</w:t>
            </w:r>
            <w:r w:rsidRPr="00FE458E">
              <w:rPr>
                <w:rFonts w:ascii="Calibri" w:eastAsia="Times New Roman" w:hAnsi="Calibri" w:cs="Times New Roman"/>
                <w:color w:val="000000"/>
                <w:sz w:val="18"/>
                <w:szCs w:val="18"/>
                <w:lang w:val="en-AU" w:eastAsia="en-AU"/>
              </w:rPr>
              <w:t xml:space="preserve"> employees at the national level)</w:t>
            </w:r>
          </w:p>
        </w:tc>
        <w:tc>
          <w:tcPr>
            <w:tcW w:w="1134" w:type="dxa"/>
            <w:tcBorders>
              <w:top w:val="nil"/>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55,438</w:t>
            </w:r>
          </w:p>
        </w:tc>
        <w:tc>
          <w:tcPr>
            <w:tcW w:w="1276"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55,820</w:t>
            </w:r>
          </w:p>
        </w:tc>
        <w:tc>
          <w:tcPr>
            <w:tcW w:w="1276" w:type="dxa"/>
            <w:gridSpan w:val="3"/>
            <w:tcBorders>
              <w:top w:val="nil"/>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52,622</w:t>
            </w:r>
          </w:p>
        </w:tc>
        <w:tc>
          <w:tcPr>
            <w:tcW w:w="1417"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w:t>
            </w:r>
          </w:p>
        </w:tc>
        <w:tc>
          <w:tcPr>
            <w:tcW w:w="1418"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58,736</w:t>
            </w:r>
          </w:p>
        </w:tc>
        <w:tc>
          <w:tcPr>
            <w:tcW w:w="1134" w:type="dxa"/>
            <w:tcBorders>
              <w:top w:val="single" w:sz="4" w:space="0" w:color="auto"/>
              <w:left w:val="nil"/>
              <w:bottom w:val="single" w:sz="4" w:space="0" w:color="auto"/>
              <w:right w:val="single" w:sz="4" w:space="0" w:color="auto"/>
            </w:tcBorders>
            <w:shd w:val="clear" w:color="auto" w:fill="EEF5E7" w:themeFill="accent3" w:themeFillTint="33"/>
          </w:tcPr>
          <w:p w:rsidR="002A589C" w:rsidRPr="00FE458E" w:rsidRDefault="002A589C" w:rsidP="002A589C">
            <w:pPr>
              <w:suppressAutoHyphens w:val="0"/>
              <w:spacing w:before="0" w:after="0" w:line="240" w:lineRule="auto"/>
              <w:rPr>
                <w:rFonts w:ascii="Calibri" w:eastAsia="Times New Roman" w:hAnsi="Calibri" w:cs="Times New Roman"/>
                <w:color w:val="000000"/>
                <w:sz w:val="18"/>
                <w:szCs w:val="18"/>
                <w:lang w:val="en-AU" w:eastAsia="en-A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FE458E" w:rsidRDefault="002A589C" w:rsidP="002A589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 </w:t>
            </w:r>
          </w:p>
        </w:tc>
        <w:tc>
          <w:tcPr>
            <w:tcW w:w="2126" w:type="dxa"/>
            <w:tcBorders>
              <w:top w:val="nil"/>
              <w:left w:val="nil"/>
              <w:bottom w:val="single" w:sz="4" w:space="0" w:color="auto"/>
              <w:right w:val="single" w:sz="4" w:space="0" w:color="auto"/>
            </w:tcBorders>
            <w:shd w:val="clear" w:color="auto" w:fill="EEF5E7" w:themeFill="accent3" w:themeFillTint="33"/>
            <w:hideMark/>
          </w:tcPr>
          <w:p w:rsidR="002A589C" w:rsidRPr="00FE458E" w:rsidRDefault="002A589C" w:rsidP="00FE458E">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Central Bank of Solomon Islands</w:t>
            </w:r>
            <w:r w:rsidRPr="00FE458E">
              <w:rPr>
                <w:rFonts w:ascii="Calibri" w:eastAsia="Times New Roman" w:hAnsi="Calibri" w:cs="Times New Roman"/>
                <w:color w:val="000000"/>
                <w:sz w:val="18"/>
                <w:szCs w:val="18"/>
                <w:lang w:val="en-AU" w:eastAsia="en-AU"/>
              </w:rPr>
              <w:t xml:space="preserve"> Annual report</w:t>
            </w:r>
          </w:p>
        </w:tc>
      </w:tr>
      <w:tr w:rsidR="005B4D51" w:rsidRPr="00FE458E" w:rsidTr="0027449B">
        <w:trPr>
          <w:gridAfter w:val="1"/>
          <w:wAfter w:w="10" w:type="dxa"/>
          <w:trHeight w:val="690"/>
        </w:trPr>
        <w:tc>
          <w:tcPr>
            <w:tcW w:w="1696" w:type="dxa"/>
            <w:vMerge/>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2A589C" w:rsidRPr="00FE458E" w:rsidRDefault="002A589C" w:rsidP="00FE458E">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268" w:type="dxa"/>
            <w:gridSpan w:val="3"/>
            <w:tcBorders>
              <w:top w:val="nil"/>
              <w:left w:val="nil"/>
              <w:bottom w:val="single" w:sz="4" w:space="0" w:color="auto"/>
              <w:right w:val="single" w:sz="4" w:space="0" w:color="auto"/>
            </w:tcBorders>
            <w:shd w:val="clear" w:color="auto" w:fill="EEF5E7" w:themeFill="accent3" w:themeFillTint="33"/>
            <w:hideMark/>
          </w:tcPr>
          <w:p w:rsidR="002A589C" w:rsidRPr="00FE458E" w:rsidRDefault="002A589C" w:rsidP="00FE458E">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International tourist arrivals</w:t>
            </w:r>
          </w:p>
        </w:tc>
        <w:tc>
          <w:tcPr>
            <w:tcW w:w="1134" w:type="dxa"/>
            <w:tcBorders>
              <w:top w:val="nil"/>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21,623</w:t>
            </w:r>
          </w:p>
        </w:tc>
        <w:tc>
          <w:tcPr>
            <w:tcW w:w="1276"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23,192</w:t>
            </w:r>
          </w:p>
        </w:tc>
        <w:tc>
          <w:tcPr>
            <w:tcW w:w="1276" w:type="dxa"/>
            <w:gridSpan w:val="3"/>
            <w:tcBorders>
              <w:top w:val="nil"/>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25,192</w:t>
            </w:r>
          </w:p>
        </w:tc>
        <w:tc>
          <w:tcPr>
            <w:tcW w:w="1417"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w:t>
            </w:r>
          </w:p>
        </w:tc>
        <w:tc>
          <w:tcPr>
            <w:tcW w:w="1418" w:type="dxa"/>
            <w:gridSpan w:val="2"/>
            <w:tcBorders>
              <w:top w:val="nil"/>
              <w:left w:val="nil"/>
              <w:bottom w:val="single" w:sz="4" w:space="0" w:color="auto"/>
              <w:right w:val="single" w:sz="4" w:space="0" w:color="auto"/>
            </w:tcBorders>
            <w:shd w:val="clear" w:color="auto" w:fill="EEF5E7" w:themeFill="accent3" w:themeFillTint="33"/>
            <w:vAlign w:val="center"/>
            <w:hideMark/>
          </w:tcPr>
          <w:p w:rsidR="002A589C"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 xml:space="preserve">27,803 in </w:t>
            </w:r>
          </w:p>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2018</w:t>
            </w:r>
          </w:p>
        </w:tc>
        <w:tc>
          <w:tcPr>
            <w:tcW w:w="1134" w:type="dxa"/>
            <w:tcBorders>
              <w:top w:val="single" w:sz="4" w:space="0" w:color="auto"/>
              <w:left w:val="nil"/>
              <w:bottom w:val="single" w:sz="4" w:space="0" w:color="auto"/>
              <w:right w:val="single" w:sz="4" w:space="0" w:color="auto"/>
            </w:tcBorders>
            <w:shd w:val="clear" w:color="auto" w:fill="EEF5E7" w:themeFill="accent3" w:themeFillTint="33"/>
          </w:tcPr>
          <w:p w:rsidR="002A589C" w:rsidRPr="00FE458E" w:rsidRDefault="006B23B6" w:rsidP="002A589C">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Increase year on year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FE458E" w:rsidRDefault="002A589C" w:rsidP="002A589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 </w:t>
            </w:r>
          </w:p>
        </w:tc>
        <w:tc>
          <w:tcPr>
            <w:tcW w:w="2126" w:type="dxa"/>
            <w:tcBorders>
              <w:top w:val="nil"/>
              <w:left w:val="nil"/>
              <w:bottom w:val="single" w:sz="4" w:space="0" w:color="auto"/>
              <w:right w:val="single" w:sz="4" w:space="0" w:color="auto"/>
            </w:tcBorders>
            <w:shd w:val="clear" w:color="auto" w:fill="EEF5E7" w:themeFill="accent3" w:themeFillTint="33"/>
            <w:hideMark/>
          </w:tcPr>
          <w:p w:rsidR="002A589C" w:rsidRPr="00FE458E" w:rsidRDefault="00DB7C62" w:rsidP="000A78F0">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Ministry of Culture and Tourism</w:t>
            </w:r>
            <w:r w:rsidR="002A589C" w:rsidRPr="00FE458E">
              <w:rPr>
                <w:rFonts w:ascii="Calibri" w:eastAsia="Times New Roman" w:hAnsi="Calibri" w:cs="Times New Roman"/>
                <w:color w:val="000000"/>
                <w:sz w:val="18"/>
                <w:szCs w:val="18"/>
                <w:lang w:val="en-AU" w:eastAsia="en-AU"/>
              </w:rPr>
              <w:t xml:space="preserve">, Stats, </w:t>
            </w:r>
            <w:proofErr w:type="spellStart"/>
            <w:r w:rsidR="002A589C" w:rsidRPr="00FE458E">
              <w:rPr>
                <w:rFonts w:ascii="Calibri" w:eastAsia="Times New Roman" w:hAnsi="Calibri" w:cs="Times New Roman"/>
                <w:color w:val="000000"/>
                <w:sz w:val="18"/>
                <w:szCs w:val="18"/>
                <w:lang w:val="en-AU" w:eastAsia="en-AU"/>
              </w:rPr>
              <w:t>SolAir</w:t>
            </w:r>
            <w:proofErr w:type="spellEnd"/>
            <w:r w:rsidR="002A589C" w:rsidRPr="00FE458E">
              <w:rPr>
                <w:rFonts w:ascii="Calibri" w:eastAsia="Times New Roman" w:hAnsi="Calibri" w:cs="Times New Roman"/>
                <w:color w:val="000000"/>
                <w:sz w:val="18"/>
                <w:szCs w:val="18"/>
                <w:lang w:val="en-AU" w:eastAsia="en-AU"/>
              </w:rPr>
              <w:t xml:space="preserve">, </w:t>
            </w:r>
            <w:r w:rsidR="002A589C">
              <w:rPr>
                <w:rFonts w:ascii="Calibri" w:eastAsia="Times New Roman" w:hAnsi="Calibri" w:cs="Times New Roman"/>
                <w:color w:val="000000"/>
                <w:sz w:val="18"/>
                <w:szCs w:val="18"/>
                <w:lang w:val="en-AU" w:eastAsia="en-AU"/>
              </w:rPr>
              <w:t xml:space="preserve">Tourism </w:t>
            </w:r>
            <w:proofErr w:type="spellStart"/>
            <w:r w:rsidR="002A589C">
              <w:rPr>
                <w:rFonts w:ascii="Calibri" w:eastAsia="Times New Roman" w:hAnsi="Calibri" w:cs="Times New Roman"/>
                <w:color w:val="000000"/>
                <w:sz w:val="18"/>
                <w:szCs w:val="18"/>
                <w:lang w:val="en-AU" w:eastAsia="en-AU"/>
              </w:rPr>
              <w:t>Solomons</w:t>
            </w:r>
            <w:proofErr w:type="spellEnd"/>
          </w:p>
        </w:tc>
      </w:tr>
      <w:tr w:rsidR="0027449B" w:rsidRPr="00FE458E" w:rsidTr="005B4D51">
        <w:trPr>
          <w:gridAfter w:val="1"/>
          <w:wAfter w:w="10" w:type="dxa"/>
          <w:trHeight w:val="78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FE458E">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b/>
                <w:bCs/>
                <w:color w:val="auto"/>
                <w:sz w:val="18"/>
                <w:szCs w:val="18"/>
                <w:lang w:val="en-AU" w:eastAsia="en-AU"/>
              </w:rPr>
              <w:lastRenderedPageBreak/>
              <w:t xml:space="preserve">Outcome </w:t>
            </w:r>
            <w:r w:rsidR="008223AE">
              <w:rPr>
                <w:rFonts w:ascii="Calibri" w:eastAsia="Times New Roman" w:hAnsi="Calibri" w:cs="Times New Roman"/>
                <w:b/>
                <w:bCs/>
                <w:color w:val="auto"/>
                <w:sz w:val="18"/>
                <w:szCs w:val="18"/>
                <w:lang w:val="en-AU" w:eastAsia="en-AU"/>
              </w:rPr>
              <w:t>2B.1</w:t>
            </w:r>
            <w:r w:rsidRPr="00FE458E">
              <w:rPr>
                <w:rFonts w:ascii="Calibri" w:eastAsia="Times New Roman" w:hAnsi="Calibri" w:cs="Times New Roman"/>
                <w:b/>
                <w:bCs/>
                <w:color w:val="auto"/>
                <w:sz w:val="18"/>
                <w:szCs w:val="18"/>
                <w:lang w:val="en-AU" w:eastAsia="en-AU"/>
              </w:rPr>
              <w:t>:</w:t>
            </w:r>
            <w:r w:rsidRPr="00FE458E">
              <w:rPr>
                <w:rFonts w:ascii="Calibri" w:eastAsia="Times New Roman" w:hAnsi="Calibri" w:cs="Times New Roman"/>
                <w:color w:val="auto"/>
                <w:sz w:val="18"/>
                <w:szCs w:val="18"/>
                <w:lang w:val="en-AU" w:eastAsia="en-AU"/>
              </w:rPr>
              <w:t xml:space="preserve"> Increased opportunities to earn income arising from improved markets in key sectors (cocoa, coconut, tourism)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511E1E">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1.1 Increased volume of boutique cocoa exports on improved terms of trade (m</w:t>
            </w:r>
            <w:r>
              <w:rPr>
                <w:rFonts w:ascii="Calibri" w:eastAsia="Times New Roman" w:hAnsi="Calibri" w:cs="Times New Roman"/>
                <w:color w:val="auto"/>
                <w:sz w:val="18"/>
                <w:szCs w:val="18"/>
                <w:lang w:val="en-AU" w:eastAsia="en-AU"/>
              </w:rPr>
              <w:t xml:space="preserve">etric </w:t>
            </w:r>
            <w:r w:rsidRPr="00FE458E">
              <w:rPr>
                <w:rFonts w:ascii="Calibri" w:eastAsia="Times New Roman" w:hAnsi="Calibri" w:cs="Times New Roman"/>
                <w:color w:val="auto"/>
                <w:sz w:val="18"/>
                <w:szCs w:val="18"/>
                <w:lang w:val="en-AU" w:eastAsia="en-AU"/>
              </w:rPr>
              <w:t>tons)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0C28" w:rsidRDefault="004C0C28" w:rsidP="004C0C28">
            <w:pPr>
              <w:suppressAutoHyphens w:val="0"/>
              <w:spacing w:before="0" w:after="0" w:line="240" w:lineRule="auto"/>
              <w:rPr>
                <w:rFonts w:ascii="Calibri" w:eastAsia="Times New Roman" w:hAnsi="Calibri" w:cs="Times New Roman"/>
                <w:color w:val="auto"/>
                <w:sz w:val="18"/>
                <w:szCs w:val="18"/>
                <w:lang w:val="en-AU" w:eastAsia="en-AU"/>
              </w:rPr>
            </w:pPr>
          </w:p>
          <w:p w:rsidR="002A589C"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40</w:t>
            </w:r>
          </w:p>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147</w:t>
            </w:r>
          </w:p>
        </w:tc>
        <w:tc>
          <w:tcPr>
            <w:tcW w:w="1134" w:type="dxa"/>
            <w:tcBorders>
              <w:top w:val="single" w:sz="4" w:space="0" w:color="auto"/>
              <w:left w:val="single" w:sz="4" w:space="0" w:color="auto"/>
              <w:bottom w:val="single" w:sz="4" w:space="0" w:color="auto"/>
              <w:right w:val="single" w:sz="4" w:space="0" w:color="auto"/>
            </w:tcBorders>
            <w:shd w:val="clear" w:color="auto" w:fill="F8F8F8"/>
          </w:tcPr>
          <w:p w:rsidR="002A589C" w:rsidRPr="008B41C8" w:rsidRDefault="006B23B6" w:rsidP="000F2942">
            <w:pPr>
              <w:suppressAutoHyphens w:val="0"/>
              <w:spacing w:before="0" w:after="0" w:line="240" w:lineRule="auto"/>
              <w:rPr>
                <w:rFonts w:ascii="Calibri" w:eastAsia="Times New Roman" w:hAnsi="Calibri" w:cs="Times New Roman"/>
                <w:color w:val="auto"/>
                <w:sz w:val="18"/>
                <w:szCs w:val="18"/>
                <w:lang w:val="en-AU" w:eastAsia="en-AU"/>
              </w:rPr>
            </w:pPr>
            <w:r w:rsidRPr="0027449B">
              <w:rPr>
                <w:rFonts w:ascii="Calibri" w:eastAsia="Times New Roman" w:hAnsi="Calibri" w:cs="Times New Roman"/>
                <w:color w:val="auto"/>
                <w:sz w:val="18"/>
                <w:szCs w:val="18"/>
                <w:lang w:val="en-AU" w:eastAsia="en-AU"/>
              </w:rPr>
              <w:t>Increase year on year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noWrap/>
            <w:hideMark/>
          </w:tcPr>
          <w:p w:rsidR="002A589C" w:rsidRPr="0027449B" w:rsidRDefault="002A589C" w:rsidP="002A589C">
            <w:pPr>
              <w:suppressAutoHyphens w:val="0"/>
              <w:spacing w:before="0" w:after="0" w:line="240" w:lineRule="auto"/>
              <w:rPr>
                <w:rFonts w:ascii="Calibri" w:eastAsia="Times New Roman" w:hAnsi="Calibri" w:cs="Times New Roman"/>
                <w:color w:val="auto"/>
                <w:sz w:val="18"/>
                <w:szCs w:val="18"/>
                <w:lang w:val="en-AU" w:eastAsia="en-AU"/>
              </w:rPr>
            </w:pPr>
            <w:r w:rsidRPr="005B4D51">
              <w:rPr>
                <w:rFonts w:ascii="Calibri" w:eastAsia="Times New Roman" w:hAnsi="Calibri" w:cs="Times New Roman"/>
                <w:color w:val="auto"/>
                <w:sz w:val="18"/>
                <w:szCs w:val="18"/>
                <w:lang w:val="en-AU" w:eastAsia="en-AU"/>
              </w:rPr>
              <w:t>PHAMA</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22550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Program reporting</w:t>
            </w:r>
          </w:p>
        </w:tc>
      </w:tr>
      <w:tr w:rsidR="0027449B" w:rsidRPr="00FE458E" w:rsidTr="005B4D51">
        <w:trPr>
          <w:gridAfter w:val="1"/>
          <w:wAfter w:w="10" w:type="dxa"/>
          <w:trHeight w:val="1168"/>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A589C" w:rsidRPr="00FE458E" w:rsidRDefault="002A589C" w:rsidP="00FE458E">
            <w:pPr>
              <w:suppressAutoHyphens w:val="0"/>
              <w:spacing w:before="0" w:after="0" w:line="240" w:lineRule="auto"/>
              <w:rPr>
                <w:rFonts w:ascii="Calibri" w:eastAsia="Times New Roman" w:hAnsi="Calibri" w:cs="Times New Roman"/>
                <w:color w:val="auto"/>
                <w:sz w:val="18"/>
                <w:szCs w:val="18"/>
                <w:lang w:val="en-AU" w:eastAsia="en-AU"/>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1.2 Number of men and women in farming households engaged in partnerships with commercial enterprises (</w:t>
            </w:r>
            <w:r w:rsidR="00811DC2">
              <w:rPr>
                <w:rFonts w:ascii="Calibri" w:eastAsia="Times New Roman" w:hAnsi="Calibri" w:cs="Times New Roman"/>
                <w:color w:val="auto"/>
                <w:sz w:val="18"/>
                <w:szCs w:val="18"/>
                <w:lang w:val="en-AU" w:eastAsia="en-AU"/>
              </w:rPr>
              <w:t>^</w:t>
            </w:r>
            <w:r w:rsidRPr="00FE458E">
              <w:rPr>
                <w:rFonts w:ascii="Calibri" w:eastAsia="Times New Roman" w:hAnsi="Calibri" w:cs="Times New Roman"/>
                <w:color w:val="auto"/>
                <w:sz w:val="18"/>
                <w:szCs w:val="18"/>
                <w:lang w:val="en-AU" w:eastAsia="en-AU"/>
              </w:rPr>
              <w:t xml:space="preserve"> note – cumulative results from 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4437</w:t>
            </w:r>
            <w:r w:rsidR="00811DC2">
              <w:rPr>
                <w:rFonts w:ascii="Calibri" w:eastAsia="Times New Roman" w:hAnsi="Calibri" w:cs="Times New Roman"/>
                <w:color w:val="auto"/>
                <w:sz w:val="18"/>
                <w:szCs w:val="18"/>
                <w:lang w:val="en-AU" w:eastAsia="en-AU"/>
              </w:rPr>
              <w:t>^</w:t>
            </w:r>
            <w:r w:rsidR="00811DC2" w:rsidRPr="00FE458E">
              <w:rPr>
                <w:rFonts w:ascii="Calibri" w:eastAsia="Times New Roman" w:hAnsi="Calibri" w:cs="Times New Roman"/>
                <w:color w:val="auto"/>
                <w:sz w:val="18"/>
                <w:szCs w:val="18"/>
                <w:lang w:val="en-AU" w:eastAsia="en-AU"/>
              </w:rPr>
              <w:t xml:space="preserve"> </w:t>
            </w:r>
            <w:r w:rsidRPr="00FE458E">
              <w:rPr>
                <w:rFonts w:ascii="Calibri" w:eastAsia="Times New Roman" w:hAnsi="Calibri" w:cs="Times New Roman"/>
                <w:color w:val="auto"/>
                <w:sz w:val="18"/>
                <w:szCs w:val="18"/>
                <w:lang w:val="en-AU" w:eastAsia="en-AU"/>
              </w:rPr>
              <w:t xml:space="preserve">(1557 Female)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89C" w:rsidRPr="00FE458E" w:rsidRDefault="002A589C" w:rsidP="004C0C28">
            <w:pPr>
              <w:suppressAutoHyphens w:val="0"/>
              <w:spacing w:before="0" w:after="0" w:line="240" w:lineRule="auto"/>
              <w:contextualSpacing/>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6460</w:t>
            </w:r>
            <w:r w:rsidR="00811DC2">
              <w:rPr>
                <w:rFonts w:ascii="Calibri" w:eastAsia="Times New Roman" w:hAnsi="Calibri" w:cs="Times New Roman"/>
                <w:color w:val="auto"/>
                <w:sz w:val="18"/>
                <w:szCs w:val="18"/>
                <w:lang w:val="en-AU" w:eastAsia="en-AU"/>
              </w:rPr>
              <w:t>^</w:t>
            </w:r>
            <w:r w:rsidRPr="00FE458E">
              <w:rPr>
                <w:rFonts w:ascii="Calibri" w:eastAsia="Times New Roman" w:hAnsi="Calibri" w:cs="Times New Roman"/>
                <w:color w:val="auto"/>
                <w:sz w:val="18"/>
                <w:szCs w:val="18"/>
                <w:lang w:val="en-AU" w:eastAsia="en-AU"/>
              </w:rPr>
              <w:t xml:space="preserve"> (3040 Female)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9,000</w:t>
            </w:r>
            <w:r w:rsidR="00811DC2">
              <w:rPr>
                <w:rFonts w:ascii="Calibri" w:eastAsia="Times New Roman" w:hAnsi="Calibri" w:cs="Times New Roman"/>
                <w:color w:val="auto"/>
                <w:sz w:val="18"/>
                <w:szCs w:val="18"/>
                <w:lang w:val="en-AU" w:eastAsia="en-A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15,326</w:t>
            </w:r>
          </w:p>
        </w:tc>
        <w:tc>
          <w:tcPr>
            <w:tcW w:w="1134" w:type="dxa"/>
            <w:tcBorders>
              <w:top w:val="single" w:sz="4" w:space="0" w:color="auto"/>
              <w:left w:val="single" w:sz="4" w:space="0" w:color="auto"/>
              <w:bottom w:val="single" w:sz="4" w:space="0" w:color="auto"/>
              <w:right w:val="single" w:sz="4" w:space="0" w:color="auto"/>
            </w:tcBorders>
          </w:tcPr>
          <w:p w:rsidR="002A589C" w:rsidRDefault="006B23B6" w:rsidP="002A589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n/a</w:t>
            </w:r>
          </w:p>
          <w:p w:rsidR="006B23B6" w:rsidRPr="00FE458E" w:rsidRDefault="006B23B6" w:rsidP="002A589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No new partnerships planned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811DC2" w:rsidP="0027449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Rural Dev Program Phase 2 (RDP)</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22550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Program reporting</w:t>
            </w:r>
          </w:p>
        </w:tc>
      </w:tr>
      <w:tr w:rsidR="0027449B" w:rsidRPr="00FE458E" w:rsidTr="005B4D51">
        <w:trPr>
          <w:gridAfter w:val="1"/>
          <w:wAfter w:w="10" w:type="dxa"/>
          <w:trHeight w:val="73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FE458E">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b/>
                <w:bCs/>
                <w:color w:val="auto"/>
                <w:sz w:val="18"/>
                <w:szCs w:val="18"/>
                <w:lang w:val="en-AU" w:eastAsia="en-AU"/>
              </w:rPr>
              <w:t>Outcome 2</w:t>
            </w:r>
            <w:r w:rsidR="008223AE">
              <w:rPr>
                <w:rFonts w:ascii="Calibri" w:eastAsia="Times New Roman" w:hAnsi="Calibri" w:cs="Times New Roman"/>
                <w:b/>
                <w:bCs/>
                <w:color w:val="auto"/>
                <w:sz w:val="18"/>
                <w:szCs w:val="18"/>
                <w:lang w:val="en-AU" w:eastAsia="en-AU"/>
              </w:rPr>
              <w:t>B.2</w:t>
            </w:r>
            <w:r w:rsidRPr="00FE458E">
              <w:rPr>
                <w:rFonts w:ascii="Calibri" w:eastAsia="Times New Roman" w:hAnsi="Calibri" w:cs="Times New Roman"/>
                <w:b/>
                <w:bCs/>
                <w:color w:val="auto"/>
                <w:sz w:val="18"/>
                <w:szCs w:val="18"/>
                <w:lang w:val="en-AU" w:eastAsia="en-AU"/>
              </w:rPr>
              <w:t>:</w:t>
            </w:r>
            <w:r w:rsidRPr="00FE458E">
              <w:rPr>
                <w:rFonts w:ascii="Calibri" w:eastAsia="Times New Roman" w:hAnsi="Calibri" w:cs="Times New Roman"/>
                <w:color w:val="auto"/>
                <w:sz w:val="18"/>
                <w:szCs w:val="18"/>
                <w:lang w:val="en-AU" w:eastAsia="en-AU"/>
              </w:rPr>
              <w:t xml:space="preserve"> Increased access to quality vocational training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FE458E">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2.1 Number of graduates of vocational skills courses (fully funded or supported by Australia)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C62"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213 (60 female)</w:t>
            </w:r>
            <w:r>
              <w:rPr>
                <w:rFonts w:ascii="Calibri" w:eastAsia="Times New Roman" w:hAnsi="Calibri" w:cs="Times New Roman"/>
                <w:color w:val="auto"/>
                <w:sz w:val="18"/>
                <w:szCs w:val="18"/>
                <w:lang w:val="en-AU" w:eastAsia="en-AU"/>
              </w:rPr>
              <w:t xml:space="preserve"> </w:t>
            </w:r>
          </w:p>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2015 calendar year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7C62"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102 (44 female)</w:t>
            </w:r>
          </w:p>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2016 calendar year</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7C62"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210 (71 Female)</w:t>
            </w:r>
          </w:p>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2017 calendar year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8223AE"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250 (target added)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322 APTC (176 F)</w:t>
            </w:r>
            <w:r w:rsidR="00DB7C62">
              <w:rPr>
                <w:rFonts w:ascii="Calibri" w:eastAsia="Times New Roman" w:hAnsi="Calibri" w:cs="Times New Roman"/>
                <w:color w:val="auto"/>
                <w:sz w:val="18"/>
                <w:szCs w:val="18"/>
                <w:lang w:val="en-AU" w:eastAsia="en-AU"/>
              </w:rPr>
              <w:t xml:space="preserve"> </w:t>
            </w:r>
            <w:r>
              <w:rPr>
                <w:rFonts w:ascii="Calibri" w:eastAsia="Times New Roman" w:hAnsi="Calibri" w:cs="Times New Roman"/>
                <w:color w:val="auto"/>
                <w:sz w:val="18"/>
                <w:szCs w:val="18"/>
                <w:lang w:val="en-AU" w:eastAsia="en-AU"/>
              </w:rPr>
              <w:t>2018 calendar year</w:t>
            </w:r>
          </w:p>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0 for </w:t>
            </w:r>
            <w:r w:rsidR="00DB7C62" w:rsidRPr="00FE458E">
              <w:rPr>
                <w:rFonts w:ascii="Calibri" w:eastAsia="Times New Roman" w:hAnsi="Calibri" w:cs="Times New Roman"/>
                <w:color w:val="auto"/>
                <w:sz w:val="18"/>
                <w:szCs w:val="18"/>
                <w:lang w:val="en-AU" w:eastAsia="en-AU"/>
              </w:rPr>
              <w:t>Skills 4 Economic Growth</w:t>
            </w:r>
            <w:r w:rsidR="00DB7C62">
              <w:rPr>
                <w:rFonts w:ascii="Calibri" w:eastAsia="Times New Roman" w:hAnsi="Calibri" w:cs="Times New Roman"/>
                <w:color w:val="auto"/>
                <w:sz w:val="18"/>
                <w:szCs w:val="18"/>
                <w:lang w:val="en-AU" w:eastAsia="en-AU"/>
              </w:rPr>
              <w:t xml:space="preserve"> (S4EG)</w:t>
            </w:r>
          </w:p>
        </w:tc>
        <w:tc>
          <w:tcPr>
            <w:tcW w:w="1134" w:type="dxa"/>
            <w:tcBorders>
              <w:top w:val="single" w:sz="4" w:space="0" w:color="auto"/>
              <w:left w:val="single" w:sz="4" w:space="0" w:color="auto"/>
              <w:bottom w:val="single" w:sz="4" w:space="0" w:color="auto"/>
              <w:right w:val="single" w:sz="4" w:space="0" w:color="auto"/>
            </w:tcBorders>
          </w:tcPr>
          <w:p w:rsidR="002A589C" w:rsidRDefault="00CA382E" w:rsidP="000F294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2A589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APTC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22550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DFAT reporting</w:t>
            </w:r>
          </w:p>
        </w:tc>
      </w:tr>
      <w:tr w:rsidR="0027449B" w:rsidRPr="00FE458E" w:rsidTr="005B4D51">
        <w:trPr>
          <w:gridAfter w:val="1"/>
          <w:wAfter w:w="10" w:type="dxa"/>
          <w:trHeight w:val="735"/>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2A589C" w:rsidRPr="00FE458E" w:rsidRDefault="002A589C" w:rsidP="00FE458E">
            <w:pPr>
              <w:suppressAutoHyphens w:val="0"/>
              <w:spacing w:before="0" w:after="0" w:line="240" w:lineRule="auto"/>
              <w:rPr>
                <w:rFonts w:ascii="Calibri" w:eastAsia="Times New Roman" w:hAnsi="Calibri" w:cs="Times New Roman"/>
                <w:b/>
                <w:bCs/>
                <w:color w:val="auto"/>
                <w:sz w:val="18"/>
                <w:szCs w:val="18"/>
                <w:lang w:val="en-AU" w:eastAsia="en-AU"/>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2A589C" w:rsidRPr="00FE458E" w:rsidRDefault="002A589C" w:rsidP="00FE458E">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2.2 National Qualifications Framework</w:t>
            </w:r>
            <w:r w:rsidR="004C0C28">
              <w:rPr>
                <w:rFonts w:ascii="Calibri" w:eastAsia="Times New Roman" w:hAnsi="Calibri" w:cs="Times New Roman"/>
                <w:color w:val="auto"/>
                <w:sz w:val="18"/>
                <w:szCs w:val="18"/>
                <w:lang w:val="en-AU" w:eastAsia="en-AU"/>
              </w:rPr>
              <w:t xml:space="preserve"> (NQF)</w:t>
            </w:r>
            <w:r w:rsidRPr="00FE458E">
              <w:rPr>
                <w:rFonts w:ascii="Calibri" w:eastAsia="Times New Roman" w:hAnsi="Calibri" w:cs="Times New Roman"/>
                <w:color w:val="auto"/>
                <w:sz w:val="18"/>
                <w:szCs w:val="18"/>
                <w:lang w:val="en-AU" w:eastAsia="en-AU"/>
              </w:rPr>
              <w:t xml:space="preserve"> in place and evidence of its use and institutionalisation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Partially achieved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Partially achieved</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NQF drafted. Implementation pending new tertiary ed</w:t>
            </w:r>
            <w:r w:rsidR="00AA262C">
              <w:rPr>
                <w:rFonts w:ascii="Calibri" w:eastAsia="Times New Roman" w:hAnsi="Calibri" w:cs="Times New Roman"/>
                <w:color w:val="auto"/>
                <w:sz w:val="18"/>
                <w:szCs w:val="18"/>
                <w:lang w:val="en-AU" w:eastAsia="en-AU"/>
              </w:rPr>
              <w:t>ucation</w:t>
            </w:r>
            <w:r w:rsidRPr="00FE458E">
              <w:rPr>
                <w:rFonts w:ascii="Calibri" w:eastAsia="Times New Roman" w:hAnsi="Calibri" w:cs="Times New Roman"/>
                <w:color w:val="auto"/>
                <w:sz w:val="18"/>
                <w:szCs w:val="18"/>
                <w:lang w:val="en-AU" w:eastAsia="en-AU"/>
              </w:rPr>
              <w:t xml:space="preserve"> authority </w:t>
            </w:r>
            <w:r w:rsidR="00AA262C">
              <w:rPr>
                <w:rFonts w:ascii="Calibri" w:eastAsia="Times New Roman" w:hAnsi="Calibri" w:cs="Times New Roman"/>
                <w:color w:val="auto"/>
                <w:sz w:val="18"/>
                <w:szCs w:val="18"/>
                <w:lang w:val="en-AU" w:eastAsia="en-AU"/>
              </w:rPr>
              <w:t>(</w:t>
            </w:r>
            <w:r w:rsidRPr="00FE458E">
              <w:rPr>
                <w:rFonts w:ascii="Calibri" w:eastAsia="Times New Roman" w:hAnsi="Calibri" w:cs="Times New Roman"/>
                <w:color w:val="auto"/>
                <w:sz w:val="18"/>
                <w:szCs w:val="18"/>
                <w:lang w:val="en-AU" w:eastAsia="en-AU"/>
              </w:rPr>
              <w:t>SITESA</w:t>
            </w:r>
            <w:r w:rsidR="00AA262C">
              <w:rPr>
                <w:rFonts w:ascii="Calibri" w:eastAsia="Times New Roman" w:hAnsi="Calibri" w:cs="Times New Roman"/>
                <w:color w:val="auto"/>
                <w:sz w:val="18"/>
                <w:szCs w:val="18"/>
                <w:lang w:val="en-AU" w:eastAsia="en-AU"/>
              </w:rPr>
              <w:t>)</w:t>
            </w:r>
            <w:r w:rsidRPr="00FE458E">
              <w:rPr>
                <w:rFonts w:ascii="Calibri" w:eastAsia="Times New Roman" w:hAnsi="Calibri" w:cs="Times New Roman"/>
                <w:color w:val="auto"/>
                <w:sz w:val="18"/>
                <w:szCs w:val="18"/>
                <w:lang w:val="en-AU" w:eastAsia="en-AU"/>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89C" w:rsidRPr="001F7EE9" w:rsidRDefault="00AA262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NQF</w:t>
            </w:r>
            <w:r w:rsidR="002A589C" w:rsidRPr="001F7EE9">
              <w:rPr>
                <w:rFonts w:ascii="Calibri" w:eastAsia="Times New Roman" w:hAnsi="Calibri" w:cs="Times New Roman"/>
                <w:color w:val="auto"/>
                <w:sz w:val="18"/>
                <w:szCs w:val="18"/>
                <w:lang w:val="en-AU" w:eastAsia="en-AU"/>
              </w:rPr>
              <w:t xml:space="preserve"> in </w:t>
            </w:r>
            <w:r>
              <w:rPr>
                <w:rFonts w:ascii="Calibri" w:eastAsia="Times New Roman" w:hAnsi="Calibri" w:cs="Times New Roman"/>
                <w:color w:val="auto"/>
                <w:sz w:val="18"/>
                <w:szCs w:val="18"/>
                <w:lang w:val="en-AU" w:eastAsia="en-AU"/>
              </w:rPr>
              <w:t>p</w:t>
            </w:r>
            <w:r w:rsidR="002A589C" w:rsidRPr="001F7EE9">
              <w:rPr>
                <w:rFonts w:ascii="Calibri" w:eastAsia="Times New Roman" w:hAnsi="Calibri" w:cs="Times New Roman"/>
                <w:color w:val="auto"/>
                <w:sz w:val="18"/>
                <w:szCs w:val="18"/>
                <w:lang w:val="en-AU" w:eastAsia="en-AU"/>
              </w:rPr>
              <w:t>lace and in use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1F7EE9"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 xml:space="preserve">SITESA still pending </w:t>
            </w:r>
          </w:p>
        </w:tc>
        <w:tc>
          <w:tcPr>
            <w:tcW w:w="1134" w:type="dxa"/>
            <w:tcBorders>
              <w:top w:val="single" w:sz="4" w:space="0" w:color="auto"/>
              <w:left w:val="single" w:sz="4" w:space="0" w:color="auto"/>
              <w:bottom w:val="single" w:sz="4" w:space="0" w:color="auto"/>
              <w:right w:val="single" w:sz="4" w:space="0" w:color="auto"/>
            </w:tcBorders>
            <w:shd w:val="clear" w:color="auto" w:fill="F8F8F8"/>
          </w:tcPr>
          <w:p w:rsidR="002A589C" w:rsidRPr="00FE458E" w:rsidRDefault="00AA262C" w:rsidP="002A589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NQF</w:t>
            </w:r>
            <w:r w:rsidR="00CA382E">
              <w:rPr>
                <w:rFonts w:ascii="Calibri" w:eastAsia="Times New Roman" w:hAnsi="Calibri" w:cs="Times New Roman"/>
                <w:color w:val="auto"/>
                <w:sz w:val="18"/>
                <w:szCs w:val="18"/>
                <w:lang w:val="en-AU" w:eastAsia="en-AU"/>
              </w:rPr>
              <w:t xml:space="preserve"> in place and SITESA operational by 2018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tcPr>
          <w:p w:rsidR="002A589C" w:rsidRPr="00FE458E" w:rsidRDefault="00DB7C62" w:rsidP="002A589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S4EG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A589C" w:rsidRPr="00FE458E" w:rsidRDefault="002A589C" w:rsidP="0022550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DFAT reporting</w:t>
            </w:r>
          </w:p>
        </w:tc>
      </w:tr>
      <w:tr w:rsidR="0027449B" w:rsidRPr="00FE458E" w:rsidTr="005B4D51">
        <w:trPr>
          <w:gridAfter w:val="1"/>
          <w:wAfter w:w="10" w:type="dxa"/>
          <w:trHeight w:val="1305"/>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2A589C" w:rsidRPr="00FE458E" w:rsidRDefault="002A589C" w:rsidP="00C71B6A">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b/>
                <w:bCs/>
                <w:color w:val="auto"/>
                <w:sz w:val="18"/>
                <w:szCs w:val="18"/>
                <w:lang w:val="en-AU" w:eastAsia="en-AU"/>
              </w:rPr>
              <w:t xml:space="preserve">Outcome </w:t>
            </w:r>
            <w:r w:rsidR="008223AE">
              <w:rPr>
                <w:rFonts w:ascii="Calibri" w:eastAsia="Times New Roman" w:hAnsi="Calibri" w:cs="Times New Roman"/>
                <w:b/>
                <w:bCs/>
                <w:color w:val="auto"/>
                <w:sz w:val="18"/>
                <w:szCs w:val="18"/>
                <w:lang w:val="en-AU" w:eastAsia="en-AU"/>
              </w:rPr>
              <w:t>2B.</w:t>
            </w:r>
            <w:r w:rsidRPr="00FE458E">
              <w:rPr>
                <w:rFonts w:ascii="Calibri" w:eastAsia="Times New Roman" w:hAnsi="Calibri" w:cs="Times New Roman"/>
                <w:b/>
                <w:bCs/>
                <w:color w:val="auto"/>
                <w:sz w:val="18"/>
                <w:szCs w:val="18"/>
                <w:lang w:val="en-AU" w:eastAsia="en-AU"/>
              </w:rPr>
              <w:t xml:space="preserve">3: </w:t>
            </w:r>
            <w:r w:rsidRPr="00FE458E">
              <w:rPr>
                <w:rFonts w:ascii="Calibri" w:eastAsia="Times New Roman" w:hAnsi="Calibri" w:cs="Times New Roman"/>
                <w:color w:val="auto"/>
                <w:sz w:val="18"/>
                <w:szCs w:val="18"/>
                <w:lang w:val="en-AU" w:eastAsia="en-AU"/>
              </w:rPr>
              <w:t xml:space="preserve">Increase in household incomes through participation in the </w:t>
            </w:r>
            <w:r w:rsidR="00DB7C62" w:rsidRPr="00FE458E">
              <w:rPr>
                <w:rFonts w:ascii="Calibri" w:eastAsia="Times New Roman" w:hAnsi="Calibri" w:cs="Times New Roman"/>
                <w:color w:val="auto"/>
                <w:sz w:val="18"/>
                <w:szCs w:val="18"/>
                <w:lang w:val="en-AU" w:eastAsia="en-AU"/>
              </w:rPr>
              <w:t xml:space="preserve">Seasonal Worker Program </w:t>
            </w:r>
            <w:r w:rsidRPr="00FE458E">
              <w:rPr>
                <w:rFonts w:ascii="Calibri" w:eastAsia="Times New Roman" w:hAnsi="Calibri" w:cs="Times New Roman"/>
                <w:color w:val="auto"/>
                <w:sz w:val="18"/>
                <w:szCs w:val="18"/>
                <w:lang w:val="en-AU" w:eastAsia="en-AU"/>
              </w:rPr>
              <w:t>(SWP)</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2A589C" w:rsidRPr="00FE458E" w:rsidRDefault="002A589C" w:rsidP="00C71B6A">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3.1 Number of SWP mobilisations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61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87 (0 F)</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175 (9F)</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350</w:t>
            </w:r>
          </w:p>
        </w:tc>
        <w:tc>
          <w:tcPr>
            <w:tcW w:w="1418" w:type="dxa"/>
            <w:gridSpan w:val="2"/>
            <w:tcBorders>
              <w:top w:val="single" w:sz="4" w:space="0" w:color="auto"/>
              <w:left w:val="nil"/>
              <w:bottom w:val="single" w:sz="4" w:space="0" w:color="auto"/>
              <w:right w:val="single" w:sz="4" w:space="0" w:color="auto"/>
            </w:tcBorders>
            <w:shd w:val="clear" w:color="auto" w:fill="F8F8F8"/>
            <w:noWrap/>
            <w:vAlign w:val="center"/>
          </w:tcPr>
          <w:p w:rsidR="002A589C" w:rsidRPr="00FE458E" w:rsidRDefault="002A589C" w:rsidP="00747596">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31</w:t>
            </w:r>
            <w:r w:rsidR="00747596">
              <w:rPr>
                <w:rFonts w:ascii="Calibri" w:eastAsia="Times New Roman" w:hAnsi="Calibri" w:cs="Times New Roman"/>
                <w:color w:val="auto"/>
                <w:sz w:val="18"/>
                <w:szCs w:val="18"/>
                <w:lang w:val="en-AU" w:eastAsia="en-AU"/>
              </w:rPr>
              <w:t>4</w:t>
            </w:r>
            <w:r>
              <w:rPr>
                <w:rFonts w:ascii="Calibri" w:eastAsia="Times New Roman" w:hAnsi="Calibri" w:cs="Times New Roman"/>
                <w:color w:val="auto"/>
                <w:sz w:val="18"/>
                <w:szCs w:val="18"/>
                <w:lang w:val="en-AU" w:eastAsia="en-AU"/>
              </w:rPr>
              <w:t xml:space="preserve"> (4</w:t>
            </w:r>
            <w:r w:rsidR="00747596">
              <w:rPr>
                <w:rFonts w:ascii="Calibri" w:eastAsia="Times New Roman" w:hAnsi="Calibri" w:cs="Times New Roman"/>
                <w:color w:val="auto"/>
                <w:sz w:val="18"/>
                <w:szCs w:val="18"/>
                <w:lang w:val="en-AU" w:eastAsia="en-AU"/>
              </w:rPr>
              <w:t>2</w:t>
            </w:r>
            <w:r>
              <w:rPr>
                <w:rFonts w:ascii="Calibri" w:eastAsia="Times New Roman" w:hAnsi="Calibri" w:cs="Times New Roman"/>
                <w:color w:val="auto"/>
                <w:sz w:val="18"/>
                <w:szCs w:val="18"/>
                <w:lang w:val="en-AU" w:eastAsia="en-AU"/>
              </w:rPr>
              <w:t>F)</w:t>
            </w:r>
            <w:r w:rsidR="00730E7A">
              <w:rPr>
                <w:rFonts w:ascii="Calibri" w:eastAsia="Times New Roman" w:hAnsi="Calibri" w:cs="Times New Roman"/>
                <w:color w:val="auto"/>
                <w:sz w:val="18"/>
                <w:szCs w:val="18"/>
                <w:lang w:val="en-AU" w:eastAsia="en-AU"/>
              </w:rPr>
              <w:t xml:space="preserve"> </w:t>
            </w:r>
          </w:p>
        </w:tc>
        <w:tc>
          <w:tcPr>
            <w:tcW w:w="1134" w:type="dxa"/>
            <w:tcBorders>
              <w:top w:val="single" w:sz="4" w:space="0" w:color="auto"/>
              <w:left w:val="nil"/>
              <w:bottom w:val="single" w:sz="4" w:space="0" w:color="auto"/>
              <w:right w:val="single" w:sz="4" w:space="0" w:color="auto"/>
            </w:tcBorders>
            <w:shd w:val="clear" w:color="auto" w:fill="F8F8F8"/>
            <w:vAlign w:val="center"/>
          </w:tcPr>
          <w:p w:rsidR="002A589C" w:rsidRPr="00FE458E"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SWP</w:t>
            </w:r>
          </w:p>
        </w:tc>
        <w:tc>
          <w:tcPr>
            <w:tcW w:w="2126" w:type="dxa"/>
            <w:tcBorders>
              <w:top w:val="single" w:sz="4" w:space="0" w:color="auto"/>
              <w:left w:val="nil"/>
              <w:bottom w:val="single" w:sz="4" w:space="0" w:color="auto"/>
              <w:right w:val="single" w:sz="4" w:space="0" w:color="auto"/>
            </w:tcBorders>
            <w:shd w:val="clear" w:color="auto" w:fill="F8F8F8"/>
            <w:vAlign w:val="center"/>
            <w:hideMark/>
          </w:tcPr>
          <w:p w:rsidR="002A589C" w:rsidRPr="00FE458E" w:rsidRDefault="004C0C28" w:rsidP="00AA262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Program reporting</w:t>
            </w:r>
          </w:p>
        </w:tc>
      </w:tr>
      <w:tr w:rsidR="006808DE" w:rsidRPr="00FE458E" w:rsidTr="005B4D51">
        <w:trPr>
          <w:gridAfter w:val="1"/>
          <w:wAfter w:w="10" w:type="dxa"/>
          <w:trHeight w:val="1305"/>
        </w:trPr>
        <w:tc>
          <w:tcPr>
            <w:tcW w:w="1696" w:type="dxa"/>
            <w:tcBorders>
              <w:top w:val="single" w:sz="4" w:space="0" w:color="auto"/>
              <w:left w:val="single" w:sz="4" w:space="0" w:color="auto"/>
              <w:bottom w:val="single" w:sz="4" w:space="0" w:color="auto"/>
              <w:right w:val="single" w:sz="4" w:space="0" w:color="auto"/>
            </w:tcBorders>
            <w:shd w:val="clear" w:color="auto" w:fill="auto"/>
          </w:tcPr>
          <w:p w:rsidR="000F2942" w:rsidRPr="00FE458E" w:rsidRDefault="000F2942" w:rsidP="00C71B6A">
            <w:pPr>
              <w:suppressAutoHyphens w:val="0"/>
              <w:spacing w:before="0" w:after="0" w:line="240" w:lineRule="auto"/>
              <w:rPr>
                <w:rFonts w:ascii="Calibri" w:eastAsia="Times New Roman" w:hAnsi="Calibri" w:cs="Times New Roman"/>
                <w:b/>
                <w:bCs/>
                <w:color w:val="auto"/>
                <w:sz w:val="18"/>
                <w:szCs w:val="18"/>
                <w:lang w:val="en-AU" w:eastAsia="en-AU"/>
              </w:rPr>
            </w:pPr>
          </w:p>
        </w:tc>
        <w:tc>
          <w:tcPr>
            <w:tcW w:w="2268" w:type="dxa"/>
            <w:gridSpan w:val="3"/>
            <w:tcBorders>
              <w:top w:val="single" w:sz="4" w:space="0" w:color="auto"/>
              <w:left w:val="nil"/>
              <w:bottom w:val="single" w:sz="4" w:space="0" w:color="auto"/>
              <w:right w:val="single" w:sz="4" w:space="0" w:color="auto"/>
            </w:tcBorders>
            <w:shd w:val="clear" w:color="auto" w:fill="auto"/>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 xml:space="preserve">3.1 Number of </w:t>
            </w:r>
            <w:r>
              <w:rPr>
                <w:rFonts w:ascii="Calibri" w:eastAsia="Times New Roman" w:hAnsi="Calibri" w:cs="Times New Roman"/>
                <w:color w:val="auto"/>
                <w:sz w:val="18"/>
                <w:szCs w:val="18"/>
                <w:lang w:val="en-AU" w:eastAsia="en-AU"/>
              </w:rPr>
              <w:t>P</w:t>
            </w:r>
            <w:r w:rsidR="00DB7C62">
              <w:rPr>
                <w:rFonts w:ascii="Calibri" w:eastAsia="Times New Roman" w:hAnsi="Calibri" w:cs="Times New Roman"/>
                <w:color w:val="auto"/>
                <w:sz w:val="18"/>
                <w:szCs w:val="18"/>
                <w:lang w:val="en-AU" w:eastAsia="en-AU"/>
              </w:rPr>
              <w:t xml:space="preserve">acific </w:t>
            </w:r>
            <w:r>
              <w:rPr>
                <w:rFonts w:ascii="Calibri" w:eastAsia="Times New Roman" w:hAnsi="Calibri" w:cs="Times New Roman"/>
                <w:color w:val="auto"/>
                <w:sz w:val="18"/>
                <w:szCs w:val="18"/>
                <w:lang w:val="en-AU" w:eastAsia="en-AU"/>
              </w:rPr>
              <w:t>L</w:t>
            </w:r>
            <w:r w:rsidR="00DB7C62">
              <w:rPr>
                <w:rFonts w:ascii="Calibri" w:eastAsia="Times New Roman" w:hAnsi="Calibri" w:cs="Times New Roman"/>
                <w:color w:val="auto"/>
                <w:sz w:val="18"/>
                <w:szCs w:val="18"/>
                <w:lang w:val="en-AU" w:eastAsia="en-AU"/>
              </w:rPr>
              <w:t xml:space="preserve">abour </w:t>
            </w:r>
            <w:r>
              <w:rPr>
                <w:rFonts w:ascii="Calibri" w:eastAsia="Times New Roman" w:hAnsi="Calibri" w:cs="Times New Roman"/>
                <w:color w:val="auto"/>
                <w:sz w:val="18"/>
                <w:szCs w:val="18"/>
                <w:lang w:val="en-AU" w:eastAsia="en-AU"/>
              </w:rPr>
              <w:t>S</w:t>
            </w:r>
            <w:r w:rsidR="00DB7C62">
              <w:rPr>
                <w:rFonts w:ascii="Calibri" w:eastAsia="Times New Roman" w:hAnsi="Calibri" w:cs="Times New Roman"/>
                <w:color w:val="auto"/>
                <w:sz w:val="18"/>
                <w:szCs w:val="18"/>
                <w:lang w:val="en-AU" w:eastAsia="en-AU"/>
              </w:rPr>
              <w:t>cheme (PLS)</w:t>
            </w:r>
            <w:r w:rsidRPr="00FE458E">
              <w:rPr>
                <w:rFonts w:ascii="Calibri" w:eastAsia="Times New Roman" w:hAnsi="Calibri" w:cs="Times New Roman"/>
                <w:color w:val="auto"/>
                <w:sz w:val="18"/>
                <w:szCs w:val="18"/>
                <w:lang w:val="en-AU" w:eastAsia="en-AU"/>
              </w:rPr>
              <w:t xml:space="preserve"> mobilisations</w:t>
            </w:r>
            <w:r>
              <w:rPr>
                <w:rFonts w:ascii="Calibri" w:eastAsia="Times New Roman" w:hAnsi="Calibri" w:cs="Times New Roman"/>
                <w:color w:val="auto"/>
                <w:sz w:val="18"/>
                <w:szCs w:val="18"/>
                <w:lang w:val="en-AU" w:eastAsia="en-AU"/>
              </w:rPr>
              <w:t xml:space="preserve"> (new indicator)</w:t>
            </w:r>
          </w:p>
        </w:tc>
        <w:tc>
          <w:tcPr>
            <w:tcW w:w="1134" w:type="dxa"/>
            <w:tcBorders>
              <w:top w:val="single" w:sz="4" w:space="0" w:color="auto"/>
              <w:left w:val="nil"/>
              <w:bottom w:val="single" w:sz="4" w:space="0" w:color="auto"/>
              <w:right w:val="single" w:sz="4" w:space="0" w:color="auto"/>
            </w:tcBorders>
            <w:shd w:val="clear" w:color="auto" w:fill="auto"/>
            <w:vAlign w:val="center"/>
          </w:tcPr>
          <w:p w:rsidR="000F2942" w:rsidRPr="00FE458E"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F2942" w:rsidRPr="00FE458E"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0F2942" w:rsidRPr="00FE458E"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0F2942" w:rsidRPr="00FE458E"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p>
        </w:tc>
        <w:tc>
          <w:tcPr>
            <w:tcW w:w="1418" w:type="dxa"/>
            <w:gridSpan w:val="2"/>
            <w:tcBorders>
              <w:top w:val="single" w:sz="4" w:space="0" w:color="auto"/>
              <w:left w:val="nil"/>
              <w:bottom w:val="single" w:sz="4" w:space="0" w:color="auto"/>
              <w:right w:val="single" w:sz="4" w:space="0" w:color="auto"/>
            </w:tcBorders>
            <w:shd w:val="clear" w:color="auto" w:fill="F8F8F8"/>
            <w:noWrap/>
            <w:vAlign w:val="center"/>
          </w:tcPr>
          <w:p w:rsidR="000F2942" w:rsidRDefault="00F22A7D" w:rsidP="00747596">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w:t>
            </w:r>
            <w:r w:rsidR="00747596">
              <w:rPr>
                <w:rFonts w:ascii="Calibri" w:eastAsia="Times New Roman" w:hAnsi="Calibri" w:cs="Times New Roman"/>
                <w:color w:val="auto"/>
                <w:sz w:val="18"/>
                <w:szCs w:val="18"/>
                <w:lang w:val="en-AU" w:eastAsia="en-AU"/>
              </w:rPr>
              <w:t>0</w:t>
            </w:r>
            <w:r>
              <w:rPr>
                <w:rFonts w:ascii="Calibri" w:eastAsia="Times New Roman" w:hAnsi="Calibri" w:cs="Times New Roman"/>
                <w:color w:val="auto"/>
                <w:sz w:val="18"/>
                <w:szCs w:val="18"/>
                <w:lang w:val="en-AU" w:eastAsia="en-AU"/>
              </w:rPr>
              <w:t xml:space="preserve"> </w:t>
            </w:r>
            <w:r w:rsidRPr="00F22A7D">
              <w:rPr>
                <w:rFonts w:ascii="Calibri" w:eastAsia="Times New Roman" w:hAnsi="Calibri" w:cs="Times New Roman"/>
                <w:color w:val="auto"/>
                <w:sz w:val="18"/>
                <w:szCs w:val="18"/>
                <w:lang w:val="en-AU" w:eastAsia="en-AU"/>
              </w:rPr>
              <w:t>(6F)</w:t>
            </w:r>
            <w:r>
              <w:rPr>
                <w:rFonts w:ascii="Calibri" w:eastAsia="Times New Roman" w:hAnsi="Calibri" w:cs="Times New Roman"/>
                <w:color w:val="auto"/>
                <w:sz w:val="18"/>
                <w:szCs w:val="18"/>
                <w:lang w:val="en-AU" w:eastAsia="en-AU"/>
              </w:rPr>
              <w:t xml:space="preserve"> PLS</w:t>
            </w:r>
          </w:p>
        </w:tc>
        <w:tc>
          <w:tcPr>
            <w:tcW w:w="1134" w:type="dxa"/>
            <w:tcBorders>
              <w:top w:val="single" w:sz="4" w:space="0" w:color="auto"/>
              <w:left w:val="nil"/>
              <w:bottom w:val="single" w:sz="4" w:space="0" w:color="auto"/>
              <w:right w:val="single" w:sz="4" w:space="0" w:color="auto"/>
            </w:tcBorders>
            <w:shd w:val="clear" w:color="auto" w:fill="F8F8F8"/>
            <w:vAlign w:val="center"/>
          </w:tcPr>
          <w:p w:rsidR="000F2942"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tcPr>
          <w:p w:rsidR="000F2942" w:rsidRPr="00FE458E" w:rsidRDefault="000F2942" w:rsidP="00AA262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PLS</w:t>
            </w:r>
          </w:p>
        </w:tc>
        <w:tc>
          <w:tcPr>
            <w:tcW w:w="2126" w:type="dxa"/>
            <w:tcBorders>
              <w:top w:val="single" w:sz="4" w:space="0" w:color="auto"/>
              <w:left w:val="nil"/>
              <w:bottom w:val="single" w:sz="4" w:space="0" w:color="auto"/>
              <w:right w:val="single" w:sz="4" w:space="0" w:color="auto"/>
            </w:tcBorders>
            <w:shd w:val="clear" w:color="auto" w:fill="F8F8F8"/>
            <w:vAlign w:val="center"/>
          </w:tcPr>
          <w:p w:rsidR="000F2942" w:rsidRDefault="000F2942" w:rsidP="00AA262C">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PLF reporting</w:t>
            </w:r>
          </w:p>
        </w:tc>
      </w:tr>
      <w:tr w:rsidR="0027449B" w:rsidRPr="00FE458E" w:rsidTr="005B4D51">
        <w:trPr>
          <w:gridAfter w:val="1"/>
          <w:wAfter w:w="10" w:type="dxa"/>
          <w:trHeight w:val="780"/>
        </w:trPr>
        <w:tc>
          <w:tcPr>
            <w:tcW w:w="1696" w:type="dxa"/>
            <w:vMerge w:val="restart"/>
            <w:tcBorders>
              <w:top w:val="single" w:sz="4" w:space="0" w:color="auto"/>
              <w:left w:val="single" w:sz="4" w:space="0" w:color="auto"/>
              <w:bottom w:val="single" w:sz="4" w:space="0" w:color="auto"/>
              <w:right w:val="single" w:sz="4" w:space="0" w:color="auto"/>
            </w:tcBorders>
            <w:shd w:val="clear" w:color="auto" w:fill="F8F8F8"/>
            <w:hideMark/>
          </w:tcPr>
          <w:p w:rsidR="002A589C" w:rsidRPr="00FE458E" w:rsidRDefault="002A589C" w:rsidP="00C71B6A">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b/>
                <w:bCs/>
                <w:color w:val="auto"/>
                <w:sz w:val="18"/>
                <w:szCs w:val="18"/>
                <w:lang w:val="en-AU" w:eastAsia="en-AU"/>
              </w:rPr>
              <w:lastRenderedPageBreak/>
              <w:t xml:space="preserve">Outcome </w:t>
            </w:r>
            <w:r w:rsidR="008223AE">
              <w:rPr>
                <w:rFonts w:ascii="Calibri" w:eastAsia="Times New Roman" w:hAnsi="Calibri" w:cs="Times New Roman"/>
                <w:b/>
                <w:bCs/>
                <w:color w:val="auto"/>
                <w:sz w:val="18"/>
                <w:szCs w:val="18"/>
                <w:lang w:val="en-AU" w:eastAsia="en-AU"/>
              </w:rPr>
              <w:t>2B.</w:t>
            </w:r>
            <w:r w:rsidRPr="00FE458E">
              <w:rPr>
                <w:rFonts w:ascii="Calibri" w:eastAsia="Times New Roman" w:hAnsi="Calibri" w:cs="Times New Roman"/>
                <w:b/>
                <w:bCs/>
                <w:color w:val="auto"/>
                <w:sz w:val="18"/>
                <w:szCs w:val="18"/>
                <w:lang w:val="en-AU" w:eastAsia="en-AU"/>
              </w:rPr>
              <w:t>4:</w:t>
            </w:r>
            <w:r w:rsidRPr="00FE458E">
              <w:rPr>
                <w:rFonts w:ascii="Calibri" w:eastAsia="Times New Roman" w:hAnsi="Calibri" w:cs="Times New Roman"/>
                <w:color w:val="auto"/>
                <w:sz w:val="18"/>
                <w:szCs w:val="18"/>
                <w:lang w:val="en-AU" w:eastAsia="en-AU"/>
              </w:rPr>
              <w:t xml:space="preserve"> Women have improved working conditions and opportunities to increase earnings and assets (Women's economic empowerment)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8F8F8"/>
            <w:hideMark/>
          </w:tcPr>
          <w:p w:rsidR="002A589C" w:rsidRPr="00FE458E" w:rsidRDefault="002A589C" w:rsidP="00C71B6A">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4.1 Number of women trained in business or income generating skills*</w:t>
            </w:r>
          </w:p>
        </w:tc>
        <w:tc>
          <w:tcPr>
            <w:tcW w:w="113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1160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8F8F8"/>
            <w:noWrap/>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1241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tcPr>
          <w:p w:rsidR="002A589C"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w:t>
            </w:r>
            <w:r w:rsidR="007C7AA8">
              <w:rPr>
                <w:rFonts w:ascii="Calibri" w:eastAsia="Times New Roman" w:hAnsi="Calibri" w:cs="Times New Roman"/>
                <w:color w:val="auto"/>
                <w:sz w:val="18"/>
                <w:szCs w:val="18"/>
                <w:lang w:val="en-AU" w:eastAsia="en-AU"/>
              </w:rPr>
              <w:t>335</w:t>
            </w:r>
            <w:r>
              <w:rPr>
                <w:rFonts w:ascii="Calibri" w:eastAsia="Times New Roman" w:hAnsi="Calibri" w:cs="Times New Roman"/>
                <w:color w:val="auto"/>
                <w:sz w:val="18"/>
                <w:szCs w:val="18"/>
                <w:lang w:val="en-AU" w:eastAsia="en-AU"/>
              </w:rPr>
              <w:t xml:space="preserve"> (Y@W 298, SIWIBA 315, M4C </w:t>
            </w:r>
            <w:r w:rsidR="00E63B4E">
              <w:rPr>
                <w:rFonts w:ascii="Calibri" w:eastAsia="Times New Roman" w:hAnsi="Calibri" w:cs="Times New Roman"/>
                <w:color w:val="auto"/>
                <w:sz w:val="18"/>
                <w:szCs w:val="18"/>
                <w:lang w:val="en-AU" w:eastAsia="en-AU"/>
              </w:rPr>
              <w:t>111</w:t>
            </w:r>
            <w:r>
              <w:rPr>
                <w:rFonts w:ascii="Calibri" w:eastAsia="Times New Roman" w:hAnsi="Calibri" w:cs="Times New Roman"/>
                <w:color w:val="auto"/>
                <w:sz w:val="18"/>
                <w:szCs w:val="18"/>
                <w:lang w:val="en-AU" w:eastAsia="en-AU"/>
              </w:rPr>
              <w:t>, SB 485,</w:t>
            </w:r>
          </w:p>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APTC 176)</w:t>
            </w:r>
          </w:p>
        </w:tc>
        <w:tc>
          <w:tcPr>
            <w:tcW w:w="1134" w:type="dxa"/>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8B41C8" w:rsidRDefault="000F2942" w:rsidP="004C0C28">
            <w:pPr>
              <w:suppressAutoHyphens w:val="0"/>
              <w:spacing w:before="0" w:after="0" w:line="240" w:lineRule="auto"/>
              <w:rPr>
                <w:rFonts w:ascii="Calibri" w:eastAsia="Times New Roman" w:hAnsi="Calibri" w:cs="Times New Roman"/>
                <w:color w:val="auto"/>
                <w:sz w:val="18"/>
                <w:szCs w:val="18"/>
                <w:lang w:val="en-AU" w:eastAsia="en-AU"/>
              </w:rPr>
            </w:pPr>
            <w:r w:rsidRPr="0027449B">
              <w:rPr>
                <w:rFonts w:ascii="Calibri" w:eastAsia="Times New Roman" w:hAnsi="Calibri" w:cs="Times New Roman"/>
                <w:color w:val="auto"/>
                <w:sz w:val="18"/>
                <w:szCs w:val="18"/>
                <w:lang w:val="en-AU" w:eastAsia="en-AU"/>
              </w:rPr>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hideMark/>
          </w:tcPr>
          <w:p w:rsidR="002A589C" w:rsidRPr="006808DE" w:rsidRDefault="002A589C" w:rsidP="00C71B6A">
            <w:pPr>
              <w:suppressAutoHyphens w:val="0"/>
              <w:spacing w:before="0" w:after="0" w:line="240" w:lineRule="auto"/>
              <w:rPr>
                <w:rFonts w:ascii="Calibri" w:eastAsia="Times New Roman" w:hAnsi="Calibri" w:cs="Times New Roman"/>
                <w:color w:val="auto"/>
                <w:sz w:val="18"/>
                <w:szCs w:val="18"/>
                <w:lang w:val="en-AU" w:eastAsia="en-AU"/>
              </w:rPr>
            </w:pPr>
            <w:r w:rsidRPr="006808DE">
              <w:rPr>
                <w:rFonts w:ascii="Calibri" w:eastAsia="Times New Roman" w:hAnsi="Calibri" w:cs="Times New Roman"/>
                <w:color w:val="auto"/>
                <w:sz w:val="18"/>
                <w:szCs w:val="18"/>
                <w:lang w:val="en-AU" w:eastAsia="en-AU"/>
              </w:rPr>
              <w:t>Youth@Work</w:t>
            </w:r>
            <w:r w:rsidR="00811DC2" w:rsidRPr="006808DE">
              <w:rPr>
                <w:rFonts w:ascii="Calibri" w:eastAsia="Times New Roman" w:hAnsi="Calibri" w:cs="Times New Roman"/>
                <w:color w:val="auto"/>
                <w:sz w:val="18"/>
                <w:szCs w:val="18"/>
                <w:lang w:val="en-AU" w:eastAsia="en-AU"/>
              </w:rPr>
              <w:t xml:space="preserve"> (Y@W)</w:t>
            </w:r>
            <w:r w:rsidRPr="006808DE">
              <w:rPr>
                <w:rFonts w:ascii="Calibri" w:eastAsia="Times New Roman" w:hAnsi="Calibri" w:cs="Times New Roman"/>
                <w:color w:val="auto"/>
                <w:sz w:val="18"/>
                <w:szCs w:val="18"/>
                <w:lang w:val="en-AU" w:eastAsia="en-AU"/>
              </w:rPr>
              <w:t>, APTC, SIWIBA, RDP, Strongim Bisnis</w:t>
            </w:r>
            <w:r w:rsidR="00811DC2" w:rsidRPr="006808DE">
              <w:rPr>
                <w:rFonts w:ascii="Calibri" w:eastAsia="Times New Roman" w:hAnsi="Calibri" w:cs="Times New Roman"/>
                <w:color w:val="auto"/>
                <w:sz w:val="18"/>
                <w:szCs w:val="18"/>
                <w:lang w:val="en-AU" w:eastAsia="en-AU"/>
              </w:rPr>
              <w:t xml:space="preserve"> (SB)</w:t>
            </w:r>
            <w:r w:rsidRPr="006808DE">
              <w:rPr>
                <w:rFonts w:ascii="Calibri" w:eastAsia="Times New Roman" w:hAnsi="Calibri" w:cs="Times New Roman"/>
                <w:color w:val="auto"/>
                <w:sz w:val="18"/>
                <w:szCs w:val="18"/>
                <w:lang w:val="en-AU" w:eastAsia="en-AU"/>
              </w:rPr>
              <w:t>, Markets4Change</w:t>
            </w:r>
            <w:r w:rsidR="00811DC2" w:rsidRPr="006808DE">
              <w:rPr>
                <w:rFonts w:ascii="Calibri" w:eastAsia="Times New Roman" w:hAnsi="Calibri" w:cs="Times New Roman"/>
                <w:color w:val="auto"/>
                <w:sz w:val="18"/>
                <w:szCs w:val="18"/>
                <w:lang w:val="en-AU" w:eastAsia="en-AU"/>
              </w:rPr>
              <w:t xml:space="preserve"> (M4C)</w:t>
            </w:r>
            <w:r w:rsidRPr="006808DE">
              <w:rPr>
                <w:rFonts w:ascii="Calibri" w:eastAsia="Times New Roman" w:hAnsi="Calibri" w:cs="Times New Roman"/>
                <w:color w:val="auto"/>
                <w:sz w:val="18"/>
                <w:szCs w:val="18"/>
                <w:lang w:val="en-AU" w:eastAsia="en-AU"/>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8F8F8"/>
            <w:hideMark/>
          </w:tcPr>
          <w:p w:rsidR="002A589C" w:rsidRPr="00FE458E" w:rsidRDefault="002A589C" w:rsidP="00C71B6A">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Program reporting</w:t>
            </w:r>
          </w:p>
        </w:tc>
      </w:tr>
      <w:tr w:rsidR="006808DE" w:rsidRPr="00FE458E" w:rsidTr="005B4D51">
        <w:trPr>
          <w:gridAfter w:val="1"/>
          <w:wAfter w:w="10" w:type="dxa"/>
          <w:trHeight w:val="1065"/>
        </w:trPr>
        <w:tc>
          <w:tcPr>
            <w:tcW w:w="1696"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2A589C" w:rsidRPr="00FE458E" w:rsidRDefault="002A589C" w:rsidP="00C71B6A">
            <w:pPr>
              <w:suppressAutoHyphens w:val="0"/>
              <w:spacing w:before="0" w:after="0" w:line="240" w:lineRule="auto"/>
              <w:rPr>
                <w:rFonts w:ascii="Calibri" w:eastAsia="Times New Roman" w:hAnsi="Calibri" w:cs="Times New Roman"/>
                <w:color w:val="auto"/>
                <w:sz w:val="18"/>
                <w:szCs w:val="18"/>
                <w:lang w:val="en-AU" w:eastAsia="en-AU"/>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F8F8F8"/>
            <w:hideMark/>
          </w:tcPr>
          <w:p w:rsidR="002A589C" w:rsidRPr="00FE458E" w:rsidRDefault="002A589C" w:rsidP="007C7AA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4.2 Percent</w:t>
            </w:r>
            <w:r w:rsidR="00811DC2">
              <w:rPr>
                <w:rFonts w:ascii="Calibri" w:eastAsia="Times New Roman" w:hAnsi="Calibri" w:cs="Times New Roman"/>
                <w:color w:val="auto"/>
                <w:sz w:val="18"/>
                <w:szCs w:val="18"/>
                <w:lang w:val="en-AU" w:eastAsia="en-AU"/>
              </w:rPr>
              <w:t>age</w:t>
            </w:r>
            <w:r w:rsidRPr="00FE458E">
              <w:rPr>
                <w:rFonts w:ascii="Calibri" w:eastAsia="Times New Roman" w:hAnsi="Calibri" w:cs="Times New Roman"/>
                <w:color w:val="auto"/>
                <w:sz w:val="18"/>
                <w:szCs w:val="18"/>
                <w:lang w:val="en-AU" w:eastAsia="en-AU"/>
              </w:rPr>
              <w:t xml:space="preserve"> of businesses with over 100 employees that </w:t>
            </w:r>
            <w:r>
              <w:rPr>
                <w:rFonts w:ascii="Calibri" w:eastAsia="Times New Roman" w:hAnsi="Calibri" w:cs="Times New Roman"/>
                <w:color w:val="auto"/>
                <w:sz w:val="18"/>
                <w:szCs w:val="18"/>
                <w:lang w:val="en-AU" w:eastAsia="en-AU"/>
              </w:rPr>
              <w:t xml:space="preserve">are members of the Solomon Islands Chamber of Commerce </w:t>
            </w:r>
            <w:r w:rsidRPr="00FE458E">
              <w:rPr>
                <w:rFonts w:ascii="Calibri" w:eastAsia="Times New Roman" w:hAnsi="Calibri" w:cs="Times New Roman"/>
                <w:color w:val="auto"/>
                <w:sz w:val="18"/>
                <w:szCs w:val="18"/>
                <w:lang w:val="en-AU" w:eastAsia="en-AU"/>
              </w:rPr>
              <w:t xml:space="preserve">signed on to the </w:t>
            </w:r>
            <w:r w:rsidR="007C7AA8">
              <w:rPr>
                <w:rFonts w:ascii="Calibri" w:eastAsia="Times New Roman" w:hAnsi="Calibri" w:cs="Times New Roman"/>
                <w:i/>
                <w:iCs/>
                <w:color w:val="auto"/>
                <w:sz w:val="18"/>
                <w:szCs w:val="18"/>
                <w:lang w:val="en-AU" w:eastAsia="en-AU"/>
              </w:rPr>
              <w:t>W</w:t>
            </w:r>
            <w:r w:rsidRPr="00FE458E">
              <w:rPr>
                <w:rFonts w:ascii="Calibri" w:eastAsia="Times New Roman" w:hAnsi="Calibri" w:cs="Times New Roman"/>
                <w:i/>
                <w:iCs/>
                <w:color w:val="auto"/>
                <w:sz w:val="18"/>
                <w:szCs w:val="18"/>
                <w:lang w:val="en-AU" w:eastAsia="en-AU"/>
              </w:rPr>
              <w:t xml:space="preserve">aka </w:t>
            </w:r>
            <w:r w:rsidR="007C7AA8">
              <w:rPr>
                <w:rFonts w:ascii="Calibri" w:eastAsia="Times New Roman" w:hAnsi="Calibri" w:cs="Times New Roman"/>
                <w:i/>
                <w:iCs/>
                <w:color w:val="auto"/>
                <w:sz w:val="18"/>
                <w:szCs w:val="18"/>
                <w:lang w:val="en-AU" w:eastAsia="en-AU"/>
              </w:rPr>
              <w:t>M</w:t>
            </w:r>
            <w:r w:rsidRPr="00FE458E">
              <w:rPr>
                <w:rFonts w:ascii="Calibri" w:eastAsia="Times New Roman" w:hAnsi="Calibri" w:cs="Times New Roman"/>
                <w:i/>
                <w:iCs/>
                <w:color w:val="auto"/>
                <w:sz w:val="18"/>
                <w:szCs w:val="18"/>
                <w:lang w:val="en-AU" w:eastAsia="en-AU"/>
              </w:rPr>
              <w:t>ere</w:t>
            </w:r>
            <w:r w:rsidRPr="00FE458E">
              <w:rPr>
                <w:rFonts w:ascii="Calibri" w:eastAsia="Times New Roman" w:hAnsi="Calibri" w:cs="Times New Roman"/>
                <w:color w:val="auto"/>
                <w:sz w:val="18"/>
                <w:szCs w:val="18"/>
                <w:lang w:val="en-AU" w:eastAsia="en-AU"/>
              </w:rPr>
              <w:t xml:space="preserve"> challenge to promote workplace gender equality</w:t>
            </w:r>
          </w:p>
        </w:tc>
        <w:tc>
          <w:tcPr>
            <w:tcW w:w="113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hAnsi="Calibri"/>
                <w:color w:val="auto"/>
                <w:sz w:val="18"/>
                <w:szCs w:val="18"/>
              </w:rPr>
              <w:t>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hAnsi="Calibri"/>
                <w:color w:val="auto"/>
                <w:sz w:val="18"/>
                <w:szCs w:val="18"/>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82</w:t>
            </w:r>
          </w:p>
        </w:tc>
        <w:tc>
          <w:tcPr>
            <w:tcW w:w="1134" w:type="dxa"/>
            <w:tcBorders>
              <w:top w:val="single" w:sz="4" w:space="0" w:color="auto"/>
              <w:left w:val="single" w:sz="4" w:space="0" w:color="auto"/>
              <w:bottom w:val="single" w:sz="4" w:space="0" w:color="auto"/>
              <w:right w:val="single" w:sz="4" w:space="0" w:color="auto"/>
            </w:tcBorders>
            <w:shd w:val="clear" w:color="auto" w:fill="F8F8F8"/>
            <w:vAlign w:val="center"/>
          </w:tcPr>
          <w:p w:rsidR="000F2942" w:rsidRDefault="00E63B4E" w:rsidP="004C0C28">
            <w:pPr>
              <w:suppressAutoHyphens w:val="0"/>
              <w:spacing w:before="0" w:after="0" w:line="240" w:lineRule="auto"/>
              <w:rPr>
                <w:rFonts w:ascii="Calibri" w:hAnsi="Calibri"/>
                <w:color w:val="auto"/>
                <w:sz w:val="18"/>
                <w:szCs w:val="18"/>
              </w:rPr>
            </w:pPr>
            <w:r>
              <w:rPr>
                <w:rFonts w:ascii="Calibri" w:hAnsi="Calibri"/>
                <w:color w:val="auto"/>
                <w:sz w:val="18"/>
                <w:szCs w:val="18"/>
              </w:rPr>
              <w:t>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Pr>
                <w:rFonts w:ascii="Calibri" w:hAnsi="Calibri"/>
                <w:color w:val="auto"/>
                <w:sz w:val="18"/>
                <w:szCs w:val="18"/>
              </w:rPr>
              <w:t>Empowering Women is Smart Business</w:t>
            </w:r>
          </w:p>
        </w:tc>
        <w:tc>
          <w:tcPr>
            <w:tcW w:w="212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Program reporting</w:t>
            </w:r>
          </w:p>
        </w:tc>
      </w:tr>
    </w:tbl>
    <w:p w:rsidR="00AA262C" w:rsidRDefault="00AA262C">
      <w:r>
        <w:br w:type="page"/>
      </w:r>
    </w:p>
    <w:tbl>
      <w:tblPr>
        <w:tblW w:w="15021" w:type="dxa"/>
        <w:tblLook w:val="04A0" w:firstRow="1" w:lastRow="0" w:firstColumn="1" w:lastColumn="0" w:noHBand="0" w:noVBand="1"/>
      </w:tblPr>
      <w:tblGrid>
        <w:gridCol w:w="1578"/>
        <w:gridCol w:w="105"/>
        <w:gridCol w:w="1925"/>
        <w:gridCol w:w="1246"/>
        <w:gridCol w:w="1246"/>
        <w:gridCol w:w="90"/>
        <w:gridCol w:w="1319"/>
        <w:gridCol w:w="1134"/>
        <w:gridCol w:w="90"/>
        <w:gridCol w:w="1312"/>
        <w:gridCol w:w="90"/>
        <w:gridCol w:w="1043"/>
        <w:gridCol w:w="84"/>
        <w:gridCol w:w="1403"/>
        <w:gridCol w:w="2356"/>
      </w:tblGrid>
      <w:tr w:rsidR="00607098" w:rsidRPr="00FE458E" w:rsidTr="00771743">
        <w:trPr>
          <w:trHeight w:val="465"/>
        </w:trPr>
        <w:tc>
          <w:tcPr>
            <w:tcW w:w="15021" w:type="dxa"/>
            <w:gridSpan w:val="15"/>
            <w:tcBorders>
              <w:top w:val="single" w:sz="4" w:space="0" w:color="auto"/>
              <w:left w:val="single" w:sz="4" w:space="0" w:color="auto"/>
              <w:bottom w:val="single" w:sz="4" w:space="0" w:color="auto"/>
              <w:right w:val="single" w:sz="4" w:space="0" w:color="000000"/>
            </w:tcBorders>
            <w:shd w:val="clear" w:color="auto" w:fill="7FB64D" w:themeFill="accent3" w:themeFillShade="BF"/>
          </w:tcPr>
          <w:p w:rsidR="00607098" w:rsidRPr="00FE458E" w:rsidRDefault="00DB7C62" w:rsidP="00C71B6A">
            <w:pPr>
              <w:suppressAutoHyphens w:val="0"/>
              <w:spacing w:before="0" w:after="0" w:line="240" w:lineRule="auto"/>
              <w:jc w:val="center"/>
              <w:rPr>
                <w:rFonts w:ascii="Calibri" w:eastAsia="Times New Roman" w:hAnsi="Calibri" w:cs="Times New Roman"/>
                <w:b/>
                <w:bCs/>
                <w:i/>
                <w:iCs/>
                <w:color w:val="FFFFFF"/>
                <w:sz w:val="18"/>
                <w:szCs w:val="18"/>
                <w:lang w:val="en-AU" w:eastAsia="en-AU"/>
              </w:rPr>
            </w:pPr>
            <w:r>
              <w:lastRenderedPageBreak/>
              <w:br w:type="page"/>
            </w:r>
            <w:r w:rsidR="00607098" w:rsidRPr="00FE458E">
              <w:rPr>
                <w:rFonts w:ascii="Calibri" w:eastAsia="Times New Roman" w:hAnsi="Calibri" w:cs="Times New Roman"/>
                <w:b/>
                <w:bCs/>
                <w:i/>
                <w:iCs/>
                <w:color w:val="FFFFFF"/>
                <w:sz w:val="18"/>
                <w:szCs w:val="18"/>
                <w:lang w:val="en-AU" w:eastAsia="en-AU"/>
              </w:rPr>
              <w:t>AIP Objective 3: Improved Human Development - More men, women, girls and boys benefit from quality health and basic and vocational education</w:t>
            </w:r>
          </w:p>
        </w:tc>
      </w:tr>
      <w:tr w:rsidR="002A589C" w:rsidRPr="00FE458E" w:rsidTr="00811DC2">
        <w:trPr>
          <w:trHeight w:val="1035"/>
        </w:trPr>
        <w:tc>
          <w:tcPr>
            <w:tcW w:w="1578"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p>
        </w:tc>
        <w:tc>
          <w:tcPr>
            <w:tcW w:w="2030" w:type="dxa"/>
            <w:gridSpan w:val="2"/>
            <w:tcBorders>
              <w:top w:val="nil"/>
              <w:left w:val="nil"/>
              <w:bottom w:val="single" w:sz="4" w:space="0" w:color="auto"/>
              <w:right w:val="single" w:sz="4" w:space="0" w:color="1F4E78"/>
            </w:tcBorders>
            <w:shd w:val="clear" w:color="auto" w:fill="CDE2B9" w:themeFill="accent3" w:themeFillTint="99"/>
            <w:vAlign w:val="center"/>
            <w:hideMark/>
          </w:tcPr>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Indicator </w:t>
            </w:r>
          </w:p>
        </w:tc>
        <w:tc>
          <w:tcPr>
            <w:tcW w:w="1246" w:type="dxa"/>
            <w:tcBorders>
              <w:top w:val="nil"/>
              <w:left w:val="nil"/>
              <w:bottom w:val="single" w:sz="4" w:space="0" w:color="auto"/>
              <w:right w:val="single" w:sz="4" w:space="0" w:color="1F4E78"/>
            </w:tcBorders>
            <w:shd w:val="clear" w:color="auto" w:fill="CDE2B9" w:themeFill="accent3" w:themeFillTint="99"/>
            <w:vAlign w:val="center"/>
            <w:hideMark/>
          </w:tcPr>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Baseline (2015/16)</w:t>
            </w:r>
          </w:p>
        </w:tc>
        <w:tc>
          <w:tcPr>
            <w:tcW w:w="1246" w:type="dxa"/>
            <w:tcBorders>
              <w:top w:val="nil"/>
              <w:left w:val="nil"/>
              <w:bottom w:val="single" w:sz="4" w:space="0" w:color="auto"/>
              <w:right w:val="single" w:sz="4" w:space="0" w:color="1F4E78"/>
            </w:tcBorders>
            <w:shd w:val="clear" w:color="auto" w:fill="CDE2B9" w:themeFill="accent3" w:themeFillTint="99"/>
            <w:vAlign w:val="center"/>
            <w:hideMark/>
          </w:tcPr>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2016/17 </w:t>
            </w:r>
          </w:p>
        </w:tc>
        <w:tc>
          <w:tcPr>
            <w:tcW w:w="1409" w:type="dxa"/>
            <w:gridSpan w:val="2"/>
            <w:tcBorders>
              <w:top w:val="nil"/>
              <w:left w:val="nil"/>
              <w:bottom w:val="single" w:sz="4" w:space="0" w:color="auto"/>
              <w:right w:val="nil"/>
            </w:tcBorders>
            <w:shd w:val="clear" w:color="auto" w:fill="CDE2B9" w:themeFill="accent3" w:themeFillTint="99"/>
            <w:vAlign w:val="center"/>
            <w:hideMark/>
          </w:tcPr>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2017/18 </w:t>
            </w:r>
            <w:r>
              <w:rPr>
                <w:rFonts w:ascii="Calibri" w:eastAsia="Times New Roman" w:hAnsi="Calibri" w:cs="Times New Roman"/>
                <w:b/>
                <w:bCs/>
                <w:color w:val="000000"/>
                <w:sz w:val="18"/>
                <w:szCs w:val="18"/>
                <w:lang w:val="en-AU" w:eastAsia="en-AU"/>
              </w:rPr>
              <w:t>result</w:t>
            </w:r>
          </w:p>
        </w:tc>
        <w:tc>
          <w:tcPr>
            <w:tcW w:w="1134" w:type="dxa"/>
            <w:tcBorders>
              <w:top w:val="nil"/>
              <w:left w:val="single" w:sz="4" w:space="0" w:color="1F4E78"/>
              <w:bottom w:val="single" w:sz="4" w:space="0" w:color="auto"/>
              <w:right w:val="single" w:sz="4" w:space="0" w:color="1F4E78"/>
            </w:tcBorders>
            <w:shd w:val="clear" w:color="auto" w:fill="ACD08C" w:themeFill="accent3"/>
            <w:vAlign w:val="center"/>
            <w:hideMark/>
          </w:tcPr>
          <w:p w:rsidR="002A589C" w:rsidRPr="00FE458E" w:rsidRDefault="002A589C" w:rsidP="00330F43">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201</w:t>
            </w:r>
            <w:r>
              <w:rPr>
                <w:rFonts w:ascii="Calibri" w:eastAsia="Times New Roman" w:hAnsi="Calibri" w:cs="Times New Roman"/>
                <w:b/>
                <w:bCs/>
                <w:color w:val="000000"/>
                <w:sz w:val="18"/>
                <w:szCs w:val="18"/>
                <w:lang w:val="en-AU" w:eastAsia="en-AU"/>
              </w:rPr>
              <w:t>8</w:t>
            </w:r>
            <w:r w:rsidRPr="00FE458E">
              <w:rPr>
                <w:rFonts w:ascii="Calibri" w:eastAsia="Times New Roman" w:hAnsi="Calibri" w:cs="Times New Roman"/>
                <w:b/>
                <w:bCs/>
                <w:color w:val="000000"/>
                <w:sz w:val="18"/>
                <w:szCs w:val="18"/>
                <w:lang w:val="en-AU" w:eastAsia="en-AU"/>
              </w:rPr>
              <w:t>/1</w:t>
            </w:r>
            <w:r>
              <w:rPr>
                <w:rFonts w:ascii="Calibri" w:eastAsia="Times New Roman" w:hAnsi="Calibri" w:cs="Times New Roman"/>
                <w:b/>
                <w:bCs/>
                <w:color w:val="000000"/>
                <w:sz w:val="18"/>
                <w:szCs w:val="18"/>
                <w:lang w:val="en-AU" w:eastAsia="en-AU"/>
              </w:rPr>
              <w:t>9</w:t>
            </w:r>
            <w:r w:rsidRPr="00FE458E">
              <w:rPr>
                <w:rFonts w:ascii="Calibri" w:eastAsia="Times New Roman" w:hAnsi="Calibri" w:cs="Times New Roman"/>
                <w:b/>
                <w:bCs/>
                <w:color w:val="000000"/>
                <w:sz w:val="18"/>
                <w:szCs w:val="18"/>
                <w:lang w:val="en-AU" w:eastAsia="en-AU"/>
              </w:rPr>
              <w:t xml:space="preserve"> </w:t>
            </w:r>
            <w:r>
              <w:rPr>
                <w:rFonts w:ascii="Calibri" w:eastAsia="Times New Roman" w:hAnsi="Calibri" w:cs="Times New Roman"/>
                <w:b/>
                <w:bCs/>
                <w:color w:val="000000"/>
                <w:sz w:val="18"/>
                <w:szCs w:val="18"/>
                <w:lang w:val="en-AU" w:eastAsia="en-AU"/>
              </w:rPr>
              <w:t>target</w:t>
            </w:r>
          </w:p>
        </w:tc>
        <w:tc>
          <w:tcPr>
            <w:tcW w:w="1402" w:type="dxa"/>
            <w:gridSpan w:val="2"/>
            <w:tcBorders>
              <w:top w:val="nil"/>
              <w:left w:val="nil"/>
              <w:bottom w:val="single" w:sz="4" w:space="0" w:color="auto"/>
              <w:right w:val="single" w:sz="4" w:space="0" w:color="auto"/>
            </w:tcBorders>
            <w:shd w:val="clear" w:color="auto" w:fill="ACD08C" w:themeFill="accent3"/>
            <w:vAlign w:val="center"/>
            <w:hideMark/>
          </w:tcPr>
          <w:p w:rsidR="002A589C" w:rsidRPr="00FE458E" w:rsidRDefault="002A589C" w:rsidP="00433FB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2018/19 </w:t>
            </w:r>
            <w:r>
              <w:rPr>
                <w:rFonts w:ascii="Calibri" w:eastAsia="Times New Roman" w:hAnsi="Calibri" w:cs="Times New Roman"/>
                <w:b/>
                <w:bCs/>
                <w:color w:val="000000"/>
                <w:sz w:val="18"/>
                <w:szCs w:val="18"/>
                <w:lang w:val="en-AU" w:eastAsia="en-AU"/>
              </w:rPr>
              <w:t>result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DE2B9" w:themeFill="accent3" w:themeFillTint="99"/>
          </w:tcPr>
          <w:p w:rsidR="002A589C"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p>
          <w:p w:rsidR="002A589C"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p>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2019/20 Target</w:t>
            </w:r>
          </w:p>
        </w:tc>
        <w:tc>
          <w:tcPr>
            <w:tcW w:w="1487" w:type="dxa"/>
            <w:gridSpan w:val="2"/>
            <w:tcBorders>
              <w:top w:val="single" w:sz="4" w:space="0" w:color="auto"/>
              <w:left w:val="single" w:sz="4" w:space="0" w:color="auto"/>
              <w:bottom w:val="single" w:sz="4" w:space="0" w:color="auto"/>
              <w:right w:val="single" w:sz="4" w:space="0" w:color="auto"/>
            </w:tcBorders>
            <w:shd w:val="clear" w:color="auto" w:fill="CDE2B9" w:themeFill="accent3" w:themeFillTint="99"/>
            <w:vAlign w:val="center"/>
            <w:hideMark/>
          </w:tcPr>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DFAT investments contributing to outcome </w:t>
            </w:r>
          </w:p>
        </w:tc>
        <w:tc>
          <w:tcPr>
            <w:tcW w:w="2356" w:type="dxa"/>
            <w:tcBorders>
              <w:top w:val="nil"/>
              <w:left w:val="single" w:sz="4" w:space="0" w:color="auto"/>
              <w:bottom w:val="single" w:sz="4" w:space="0" w:color="auto"/>
              <w:right w:val="single" w:sz="4" w:space="0" w:color="1F4E78"/>
            </w:tcBorders>
            <w:shd w:val="clear" w:color="auto" w:fill="CDE2B9" w:themeFill="accent3" w:themeFillTint="99"/>
            <w:vAlign w:val="center"/>
            <w:hideMark/>
          </w:tcPr>
          <w:p w:rsidR="002A589C" w:rsidRPr="00FE458E" w:rsidRDefault="002A589C" w:rsidP="00C71B6A">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Data collection method</w:t>
            </w:r>
          </w:p>
        </w:tc>
      </w:tr>
      <w:tr w:rsidR="00607098" w:rsidRPr="00FE458E" w:rsidTr="00771743">
        <w:trPr>
          <w:trHeight w:val="465"/>
        </w:trPr>
        <w:tc>
          <w:tcPr>
            <w:tcW w:w="15021" w:type="dxa"/>
            <w:gridSpan w:val="15"/>
            <w:tcBorders>
              <w:top w:val="single" w:sz="4" w:space="0" w:color="auto"/>
              <w:left w:val="single" w:sz="4" w:space="0" w:color="auto"/>
              <w:bottom w:val="single" w:sz="4" w:space="0" w:color="auto"/>
              <w:right w:val="single" w:sz="4" w:space="0" w:color="auto"/>
            </w:tcBorders>
            <w:shd w:val="clear" w:color="auto" w:fill="DDECD0" w:themeFill="accent3" w:themeFillTint="66"/>
          </w:tcPr>
          <w:p w:rsidR="00607098" w:rsidRPr="00FE458E" w:rsidRDefault="00607098" w:rsidP="00607098">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Sub-objective: Education - More men, women and girls benefit from quality education</w:t>
            </w:r>
            <w:r w:rsidRPr="00FE458E">
              <w:rPr>
                <w:rFonts w:ascii="Calibri" w:eastAsia="Times New Roman" w:hAnsi="Calibri" w:cs="Times New Roman"/>
                <w:b/>
                <w:bCs/>
                <w:i/>
                <w:iCs/>
                <w:color w:val="000000"/>
                <w:sz w:val="18"/>
                <w:szCs w:val="18"/>
                <w:lang w:val="en-AU" w:eastAsia="en-AU"/>
              </w:rPr>
              <w:t>#</w:t>
            </w:r>
          </w:p>
        </w:tc>
      </w:tr>
      <w:tr w:rsidR="000F2942" w:rsidRPr="00FE458E" w:rsidTr="00811DC2">
        <w:trPr>
          <w:trHeight w:val="720"/>
        </w:trPr>
        <w:tc>
          <w:tcPr>
            <w:tcW w:w="1578" w:type="dxa"/>
            <w:vMerge w:val="restart"/>
            <w:tcBorders>
              <w:top w:val="nil"/>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Outcome </w:t>
            </w:r>
            <w:r>
              <w:rPr>
                <w:rFonts w:ascii="Calibri" w:eastAsia="Times New Roman" w:hAnsi="Calibri" w:cs="Times New Roman"/>
                <w:b/>
                <w:bCs/>
                <w:color w:val="000000"/>
                <w:sz w:val="18"/>
                <w:szCs w:val="18"/>
                <w:lang w:val="en-AU" w:eastAsia="en-AU"/>
              </w:rPr>
              <w:t>3.</w:t>
            </w:r>
            <w:r w:rsidRPr="00FE458E">
              <w:rPr>
                <w:rFonts w:ascii="Calibri" w:eastAsia="Times New Roman" w:hAnsi="Calibri" w:cs="Times New Roman"/>
                <w:b/>
                <w:bCs/>
                <w:color w:val="000000"/>
                <w:sz w:val="18"/>
                <w:szCs w:val="18"/>
                <w:lang w:val="en-AU" w:eastAsia="en-AU"/>
              </w:rPr>
              <w:t xml:space="preserve">1: </w:t>
            </w:r>
            <w:r w:rsidRPr="00FE458E">
              <w:rPr>
                <w:rFonts w:ascii="Calibri" w:eastAsia="Times New Roman" w:hAnsi="Calibri" w:cs="Times New Roman"/>
                <w:color w:val="000000"/>
                <w:sz w:val="18"/>
                <w:szCs w:val="18"/>
                <w:lang w:val="en-AU" w:eastAsia="en-AU"/>
              </w:rPr>
              <w:t xml:space="preserve">More children complete basic education and achieve improved learning outcomes </w:t>
            </w:r>
          </w:p>
        </w:tc>
        <w:tc>
          <w:tcPr>
            <w:tcW w:w="2030" w:type="dxa"/>
            <w:gridSpan w:val="2"/>
            <w:tcBorders>
              <w:top w:val="nil"/>
              <w:left w:val="nil"/>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1.1 Net enrolment rate - Primary</w:t>
            </w:r>
          </w:p>
        </w:tc>
        <w:tc>
          <w:tcPr>
            <w:tcW w:w="1246" w:type="dxa"/>
            <w:tcBorders>
              <w:top w:val="nil"/>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91%</w:t>
            </w:r>
          </w:p>
        </w:tc>
        <w:tc>
          <w:tcPr>
            <w:tcW w:w="1246" w:type="dxa"/>
            <w:tcBorders>
              <w:top w:val="nil"/>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91.3%</w:t>
            </w:r>
          </w:p>
        </w:tc>
        <w:tc>
          <w:tcPr>
            <w:tcW w:w="1409" w:type="dxa"/>
            <w:gridSpan w:val="2"/>
            <w:tcBorders>
              <w:top w:val="nil"/>
              <w:left w:val="nil"/>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92.3%</w:t>
            </w:r>
          </w:p>
        </w:tc>
        <w:tc>
          <w:tcPr>
            <w:tcW w:w="1134" w:type="dxa"/>
            <w:tcBorders>
              <w:top w:val="nil"/>
              <w:left w:val="nil"/>
              <w:bottom w:val="single" w:sz="4" w:space="0" w:color="auto"/>
              <w:right w:val="single" w:sz="4" w:space="0" w:color="auto"/>
            </w:tcBorders>
            <w:shd w:val="clear" w:color="auto" w:fill="auto"/>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Progress towards 95% in 2020</w:t>
            </w:r>
          </w:p>
        </w:tc>
        <w:tc>
          <w:tcPr>
            <w:tcW w:w="1402" w:type="dxa"/>
            <w:gridSpan w:val="2"/>
            <w:tcBorders>
              <w:top w:val="nil"/>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91.8%</w:t>
            </w:r>
          </w:p>
        </w:tc>
        <w:tc>
          <w:tcPr>
            <w:tcW w:w="1133" w:type="dxa"/>
            <w:gridSpan w:val="2"/>
            <w:tcBorders>
              <w:top w:val="single" w:sz="4" w:space="0" w:color="auto"/>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Progress towards 95% in 2020</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nil"/>
              <w:left w:val="nil"/>
              <w:bottom w:val="single" w:sz="4" w:space="0" w:color="auto"/>
              <w:right w:val="single" w:sz="4" w:space="0" w:color="auto"/>
            </w:tcBorders>
            <w:shd w:val="clear" w:color="auto" w:fill="auto"/>
            <w:hideMark/>
          </w:tcPr>
          <w:p w:rsidR="000F2942" w:rsidRPr="00FE458E" w:rsidRDefault="00811DC2" w:rsidP="000F2942">
            <w:pPr>
              <w:suppressAutoHyphens w:val="0"/>
              <w:spacing w:before="0" w:after="0" w:line="240" w:lineRule="auto"/>
              <w:rPr>
                <w:rFonts w:ascii="Calibri" w:eastAsia="Times New Roman" w:hAnsi="Calibri" w:cs="Times New Roman"/>
                <w:color w:val="auto"/>
                <w:sz w:val="18"/>
                <w:szCs w:val="18"/>
                <w:lang w:val="en-AU" w:eastAsia="en-AU"/>
              </w:rPr>
            </w:pPr>
            <w:r w:rsidRPr="005B4D51">
              <w:rPr>
                <w:rFonts w:ascii="Calibri" w:eastAsia="Times New Roman" w:hAnsi="Calibri" w:cs="Times New Roman"/>
                <w:color w:val="auto"/>
                <w:sz w:val="18"/>
                <w:szCs w:val="18"/>
                <w:lang w:val="en-AU" w:eastAsia="en-AU"/>
              </w:rPr>
              <w:t>Ministry of Education and Human Resources Development (</w:t>
            </w:r>
            <w:r w:rsidR="000F2942" w:rsidRPr="00FE458E">
              <w:rPr>
                <w:rFonts w:ascii="Calibri" w:eastAsia="Times New Roman" w:hAnsi="Calibri" w:cs="Times New Roman"/>
                <w:color w:val="auto"/>
                <w:sz w:val="18"/>
                <w:szCs w:val="18"/>
                <w:lang w:val="en-AU" w:eastAsia="en-AU"/>
              </w:rPr>
              <w:t>MEHRD</w:t>
            </w:r>
            <w:r>
              <w:rPr>
                <w:rFonts w:ascii="Calibri" w:eastAsia="Times New Roman" w:hAnsi="Calibri" w:cs="Times New Roman"/>
                <w:color w:val="auto"/>
                <w:sz w:val="18"/>
                <w:szCs w:val="18"/>
                <w:lang w:val="en-AU" w:eastAsia="en-AU"/>
              </w:rPr>
              <w:t>)</w:t>
            </w:r>
            <w:r w:rsidR="000F2942" w:rsidRPr="00FE458E">
              <w:rPr>
                <w:rFonts w:ascii="Calibri" w:eastAsia="Times New Roman" w:hAnsi="Calibri" w:cs="Times New Roman"/>
                <w:color w:val="auto"/>
                <w:sz w:val="18"/>
                <w:szCs w:val="18"/>
                <w:lang w:val="en-AU" w:eastAsia="en-AU"/>
              </w:rPr>
              <w:t xml:space="preserve"> Performance Assessment Report</w:t>
            </w:r>
          </w:p>
        </w:tc>
      </w:tr>
      <w:tr w:rsidR="000F2942" w:rsidRPr="00FE458E" w:rsidTr="00811DC2">
        <w:trPr>
          <w:trHeight w:val="720"/>
        </w:trPr>
        <w:tc>
          <w:tcPr>
            <w:tcW w:w="1578" w:type="dxa"/>
            <w:vMerge/>
            <w:tcBorders>
              <w:top w:val="nil"/>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030" w:type="dxa"/>
            <w:gridSpan w:val="2"/>
            <w:tcBorders>
              <w:top w:val="nil"/>
              <w:left w:val="nil"/>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1.2 Net enrolment rate - Junior Secondary</w:t>
            </w:r>
          </w:p>
        </w:tc>
        <w:tc>
          <w:tcPr>
            <w:tcW w:w="1246" w:type="dxa"/>
            <w:tcBorders>
              <w:top w:val="nil"/>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40%</w:t>
            </w:r>
          </w:p>
        </w:tc>
        <w:tc>
          <w:tcPr>
            <w:tcW w:w="1246" w:type="dxa"/>
            <w:tcBorders>
              <w:top w:val="nil"/>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39.80%</w:t>
            </w:r>
          </w:p>
        </w:tc>
        <w:tc>
          <w:tcPr>
            <w:tcW w:w="1409" w:type="dxa"/>
            <w:gridSpan w:val="2"/>
            <w:tcBorders>
              <w:top w:val="nil"/>
              <w:left w:val="nil"/>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38%</w:t>
            </w:r>
          </w:p>
        </w:tc>
        <w:tc>
          <w:tcPr>
            <w:tcW w:w="1134" w:type="dxa"/>
            <w:tcBorders>
              <w:top w:val="nil"/>
              <w:left w:val="nil"/>
              <w:bottom w:val="single" w:sz="4" w:space="0" w:color="auto"/>
              <w:right w:val="single" w:sz="4" w:space="0" w:color="auto"/>
            </w:tcBorders>
            <w:shd w:val="clear" w:color="auto" w:fill="auto"/>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Progress towards 42% in 2020</w:t>
            </w:r>
          </w:p>
        </w:tc>
        <w:tc>
          <w:tcPr>
            <w:tcW w:w="1402" w:type="dxa"/>
            <w:gridSpan w:val="2"/>
            <w:tcBorders>
              <w:top w:val="nil"/>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37.2%</w:t>
            </w:r>
          </w:p>
        </w:tc>
        <w:tc>
          <w:tcPr>
            <w:tcW w:w="1133" w:type="dxa"/>
            <w:gridSpan w:val="2"/>
            <w:tcBorders>
              <w:top w:val="single" w:sz="4" w:space="0" w:color="auto"/>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Progress towards 42% in 2020</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nil"/>
              <w:left w:val="nil"/>
              <w:bottom w:val="single" w:sz="4" w:space="0" w:color="auto"/>
              <w:right w:val="single" w:sz="4" w:space="0" w:color="auto"/>
            </w:tcBorders>
            <w:shd w:val="clear" w:color="auto" w:fill="auto"/>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MEHRD Performance Assessment Report</w:t>
            </w:r>
          </w:p>
        </w:tc>
      </w:tr>
      <w:tr w:rsidR="000F2942" w:rsidRPr="00FE458E" w:rsidTr="00811DC2">
        <w:trPr>
          <w:trHeight w:val="720"/>
        </w:trPr>
        <w:tc>
          <w:tcPr>
            <w:tcW w:w="1578" w:type="dxa"/>
            <w:vMerge/>
            <w:tcBorders>
              <w:top w:val="nil"/>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1.3 Percentage of students reaching national literacy standard in year 4*</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75.60%</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NA</w:t>
            </w:r>
          </w:p>
        </w:tc>
        <w:tc>
          <w:tcPr>
            <w:tcW w:w="1409"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1F7EE9" w:rsidRDefault="000F2942" w:rsidP="00DA16A4">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 xml:space="preserve">SISTA 2017 </w:t>
            </w:r>
            <w:r w:rsidR="00DA16A4">
              <w:rPr>
                <w:rFonts w:ascii="Calibri" w:eastAsia="Times New Roman" w:hAnsi="Calibri" w:cs="Times New Roman"/>
                <w:color w:val="auto"/>
                <w:sz w:val="18"/>
                <w:szCs w:val="18"/>
                <w:lang w:val="en-AU" w:eastAsia="en-AU"/>
              </w:rPr>
              <w:t>not comparable due to change in methodology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Progress towards 80% in 2020</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DA16A4" w:rsidRDefault="00DA16A4" w:rsidP="000F2942">
            <w:pPr>
              <w:suppressAutoHyphens w:val="0"/>
              <w:spacing w:before="0" w:after="0" w:line="240" w:lineRule="auto"/>
              <w:rPr>
                <w:rFonts w:ascii="Calibri" w:eastAsia="Times New Roman" w:hAnsi="Calibri" w:cs="Times New Roman"/>
                <w:color w:val="auto"/>
                <w:sz w:val="18"/>
                <w:szCs w:val="18"/>
                <w:lang w:val="en-AU" w:eastAsia="en-AU"/>
              </w:rPr>
            </w:pPr>
            <w:r w:rsidRPr="00DA16A4">
              <w:rPr>
                <w:rFonts w:ascii="Calibri" w:eastAsia="Times New Roman" w:hAnsi="Calibri" w:cs="Times New Roman"/>
                <w:color w:val="auto"/>
                <w:sz w:val="18"/>
                <w:szCs w:val="18"/>
                <w:lang w:val="en-AU" w:eastAsia="en-AU"/>
              </w:rPr>
              <w:t>PILNA: 54.3% (up from 50.4% in 2015)</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DA16A4"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DA16A4">
              <w:rPr>
                <w:rFonts w:ascii="Calibri" w:eastAsia="Times New Roman" w:hAnsi="Calibri" w:cs="Times New Roman"/>
                <w:color w:val="auto"/>
                <w:sz w:val="18"/>
                <w:szCs w:val="18"/>
                <w:lang w:val="en-AU" w:eastAsia="en-AU"/>
              </w:rPr>
              <w:t>Progress towards 80% in 2020</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DA16A4"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DA16A4">
              <w:rPr>
                <w:rFonts w:ascii="Calibri" w:eastAsia="Times New Roman" w:hAnsi="Calibri" w:cs="Times New Roman"/>
                <w:color w:val="auto"/>
                <w:sz w:val="18"/>
                <w:szCs w:val="18"/>
                <w:lang w:val="en-AU" w:eastAsia="en-AU"/>
              </w:rPr>
              <w:t>Education Sector Program 2</w:t>
            </w:r>
          </w:p>
        </w:tc>
        <w:tc>
          <w:tcPr>
            <w:tcW w:w="2356" w:type="dxa"/>
            <w:tcBorders>
              <w:top w:val="single" w:sz="4" w:space="0" w:color="auto"/>
              <w:left w:val="single" w:sz="4" w:space="0" w:color="auto"/>
              <w:bottom w:val="single" w:sz="4" w:space="0" w:color="auto"/>
              <w:right w:val="single" w:sz="4" w:space="0" w:color="auto"/>
            </w:tcBorders>
            <w:shd w:val="clear" w:color="auto" w:fill="auto"/>
            <w:hideMark/>
          </w:tcPr>
          <w:p w:rsidR="00DA16A4" w:rsidRPr="00DA16A4" w:rsidRDefault="00DA16A4" w:rsidP="00DA16A4">
            <w:pPr>
              <w:rPr>
                <w:rFonts w:ascii="Calibri" w:eastAsia="Times New Roman" w:hAnsi="Calibri" w:cs="Times New Roman"/>
                <w:color w:val="auto"/>
                <w:sz w:val="18"/>
                <w:szCs w:val="18"/>
                <w:lang w:val="en-AU" w:eastAsia="en-AU"/>
              </w:rPr>
            </w:pPr>
            <w:r w:rsidRPr="00854FC3">
              <w:rPr>
                <w:rFonts w:ascii="Calibri" w:eastAsia="Times New Roman" w:hAnsi="Calibri" w:cs="Times New Roman"/>
                <w:color w:val="auto"/>
                <w:sz w:val="18"/>
                <w:szCs w:val="18"/>
                <w:lang w:val="en-AU" w:eastAsia="en-AU"/>
              </w:rPr>
              <w:t>SISTA (2015) and PILNA (2018)</w:t>
            </w:r>
          </w:p>
          <w:p w:rsidR="000F2942" w:rsidRPr="00DA16A4"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p>
        </w:tc>
      </w:tr>
      <w:tr w:rsidR="000F2942" w:rsidRPr="00FE458E" w:rsidTr="00811DC2">
        <w:trPr>
          <w:trHeight w:val="720"/>
        </w:trPr>
        <w:tc>
          <w:tcPr>
            <w:tcW w:w="1578" w:type="dxa"/>
            <w:vMerge w:val="restart"/>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030" w:type="dxa"/>
            <w:gridSpan w:val="2"/>
            <w:tcBorders>
              <w:top w:val="single" w:sz="4" w:space="0" w:color="auto"/>
              <w:left w:val="nil"/>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b/>
                <w:bCs/>
                <w:color w:val="auto"/>
                <w:sz w:val="18"/>
                <w:szCs w:val="18"/>
                <w:lang w:val="en-AU" w:eastAsia="en-AU"/>
              </w:rPr>
            </w:pPr>
            <w:r w:rsidRPr="00FE458E">
              <w:rPr>
                <w:rFonts w:ascii="Calibri" w:eastAsia="Times New Roman" w:hAnsi="Calibri" w:cs="Times New Roman"/>
                <w:color w:val="auto"/>
                <w:sz w:val="18"/>
                <w:szCs w:val="18"/>
                <w:lang w:val="en-AU" w:eastAsia="en-AU"/>
              </w:rPr>
              <w:t>1.4</w:t>
            </w:r>
            <w:r w:rsidRPr="00FE458E">
              <w:rPr>
                <w:rFonts w:ascii="Calibri" w:eastAsia="Times New Roman" w:hAnsi="Calibri" w:cs="Times New Roman"/>
                <w:b/>
                <w:bCs/>
                <w:color w:val="auto"/>
                <w:sz w:val="18"/>
                <w:szCs w:val="18"/>
                <w:lang w:val="en-AU" w:eastAsia="en-AU"/>
              </w:rPr>
              <w:t xml:space="preserve"> </w:t>
            </w:r>
            <w:r w:rsidRPr="00FE458E">
              <w:rPr>
                <w:rFonts w:ascii="Calibri" w:eastAsia="Times New Roman" w:hAnsi="Calibri" w:cs="Times New Roman"/>
                <w:color w:val="auto"/>
                <w:sz w:val="18"/>
                <w:szCs w:val="18"/>
                <w:lang w:val="en-AU" w:eastAsia="en-AU"/>
              </w:rPr>
              <w:t>Percentage of students reaching national numeracy standard in year 4</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76%</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NA</w:t>
            </w:r>
          </w:p>
        </w:tc>
        <w:tc>
          <w:tcPr>
            <w:tcW w:w="1409" w:type="dxa"/>
            <w:gridSpan w:val="2"/>
            <w:tcBorders>
              <w:top w:val="single" w:sz="4" w:space="0" w:color="auto"/>
              <w:left w:val="nil"/>
              <w:bottom w:val="single" w:sz="4" w:space="0" w:color="auto"/>
              <w:right w:val="single" w:sz="4" w:space="0" w:color="auto"/>
            </w:tcBorders>
            <w:shd w:val="clear" w:color="auto" w:fill="F8F8F8"/>
            <w:vAlign w:val="center"/>
          </w:tcPr>
          <w:p w:rsidR="000F2942" w:rsidRPr="001F7EE9" w:rsidRDefault="00DA16A4"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 xml:space="preserve">SISTA 2017 </w:t>
            </w:r>
            <w:r>
              <w:rPr>
                <w:rFonts w:ascii="Calibri" w:eastAsia="Times New Roman" w:hAnsi="Calibri" w:cs="Times New Roman"/>
                <w:color w:val="auto"/>
                <w:sz w:val="18"/>
                <w:szCs w:val="18"/>
                <w:lang w:val="en-AU" w:eastAsia="en-AU"/>
              </w:rPr>
              <w:t>not comparable due to change in methodology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Progress towards 80% in 2020</w:t>
            </w:r>
          </w:p>
        </w:tc>
        <w:tc>
          <w:tcPr>
            <w:tcW w:w="1402" w:type="dxa"/>
            <w:gridSpan w:val="2"/>
            <w:tcBorders>
              <w:top w:val="single" w:sz="4" w:space="0" w:color="auto"/>
              <w:left w:val="nil"/>
              <w:bottom w:val="single" w:sz="4" w:space="0" w:color="auto"/>
              <w:right w:val="single" w:sz="4" w:space="0" w:color="auto"/>
            </w:tcBorders>
            <w:shd w:val="clear" w:color="auto" w:fill="F8F8F8"/>
            <w:vAlign w:val="center"/>
            <w:hideMark/>
          </w:tcPr>
          <w:p w:rsidR="00DA16A4" w:rsidRPr="00DA16A4" w:rsidRDefault="00DA16A4" w:rsidP="00DA16A4">
            <w:pPr>
              <w:rPr>
                <w:rFonts w:ascii="Calibri" w:eastAsia="Times New Roman" w:hAnsi="Calibri" w:cs="Times New Roman"/>
                <w:color w:val="auto"/>
                <w:sz w:val="18"/>
                <w:szCs w:val="18"/>
                <w:lang w:val="en-AU" w:eastAsia="en-AU"/>
              </w:rPr>
            </w:pPr>
            <w:r w:rsidRPr="00DA16A4">
              <w:rPr>
                <w:rFonts w:ascii="Calibri" w:eastAsia="Times New Roman" w:hAnsi="Calibri" w:cs="Times New Roman"/>
                <w:color w:val="auto"/>
                <w:sz w:val="18"/>
                <w:szCs w:val="18"/>
                <w:lang w:val="en-AU" w:eastAsia="en-AU"/>
              </w:rPr>
              <w:t>70.5% PILNA: 96.7% (down from 97% in 2015)</w:t>
            </w:r>
          </w:p>
          <w:p w:rsidR="000F2942" w:rsidRPr="00DA16A4"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p>
        </w:tc>
        <w:tc>
          <w:tcPr>
            <w:tcW w:w="1133" w:type="dxa"/>
            <w:gridSpan w:val="2"/>
            <w:tcBorders>
              <w:top w:val="single" w:sz="4" w:space="0" w:color="auto"/>
              <w:left w:val="nil"/>
              <w:bottom w:val="single" w:sz="4" w:space="0" w:color="auto"/>
              <w:right w:val="single" w:sz="4" w:space="0" w:color="auto"/>
            </w:tcBorders>
            <w:shd w:val="clear" w:color="auto" w:fill="F8F8F8"/>
            <w:vAlign w:val="center"/>
          </w:tcPr>
          <w:p w:rsidR="000F2942" w:rsidRPr="00DA16A4"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DA16A4">
              <w:rPr>
                <w:rFonts w:ascii="Calibri" w:eastAsia="Times New Roman" w:hAnsi="Calibri" w:cs="Times New Roman"/>
                <w:color w:val="auto"/>
                <w:sz w:val="18"/>
                <w:szCs w:val="18"/>
                <w:lang w:val="en-AU" w:eastAsia="en-AU"/>
              </w:rPr>
              <w:t>Progress towards 80% in 2020</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DA16A4"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DA16A4">
              <w:rPr>
                <w:rFonts w:ascii="Calibri" w:eastAsia="Times New Roman" w:hAnsi="Calibri" w:cs="Times New Roman"/>
                <w:color w:val="auto"/>
                <w:sz w:val="18"/>
                <w:szCs w:val="18"/>
                <w:lang w:val="en-AU" w:eastAsia="en-AU"/>
              </w:rPr>
              <w:t>Education Sector Program 2</w:t>
            </w:r>
          </w:p>
        </w:tc>
        <w:tc>
          <w:tcPr>
            <w:tcW w:w="2356" w:type="dxa"/>
            <w:tcBorders>
              <w:top w:val="single" w:sz="4" w:space="0" w:color="auto"/>
              <w:left w:val="nil"/>
              <w:bottom w:val="single" w:sz="4" w:space="0" w:color="auto"/>
              <w:right w:val="single" w:sz="4" w:space="0" w:color="auto"/>
            </w:tcBorders>
            <w:shd w:val="clear" w:color="auto" w:fill="F8F8F8"/>
            <w:hideMark/>
          </w:tcPr>
          <w:p w:rsidR="00DA16A4" w:rsidRPr="00DA16A4" w:rsidRDefault="00DA16A4" w:rsidP="00DA16A4">
            <w:pPr>
              <w:rPr>
                <w:rFonts w:ascii="Calibri" w:eastAsia="Times New Roman" w:hAnsi="Calibri" w:cs="Times New Roman"/>
                <w:color w:val="auto"/>
                <w:sz w:val="18"/>
                <w:szCs w:val="18"/>
                <w:lang w:val="en-AU" w:eastAsia="en-AU"/>
              </w:rPr>
            </w:pPr>
            <w:r w:rsidRPr="00DA16A4">
              <w:rPr>
                <w:rFonts w:ascii="Calibri" w:eastAsia="Times New Roman" w:hAnsi="Calibri" w:cs="Times New Roman"/>
                <w:color w:val="auto"/>
                <w:sz w:val="18"/>
                <w:szCs w:val="18"/>
                <w:lang w:val="en-AU" w:eastAsia="en-AU"/>
              </w:rPr>
              <w:t>SISTA (2015) and PILNA (2018)</w:t>
            </w:r>
          </w:p>
          <w:p w:rsidR="000F2942" w:rsidRPr="00DA16A4"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p>
        </w:tc>
      </w:tr>
      <w:tr w:rsidR="000F2942" w:rsidRPr="00FE458E" w:rsidTr="00811DC2">
        <w:trPr>
          <w:trHeight w:val="720"/>
        </w:trPr>
        <w:tc>
          <w:tcPr>
            <w:tcW w:w="1578"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030" w:type="dxa"/>
            <w:gridSpan w:val="2"/>
            <w:tcBorders>
              <w:top w:val="single" w:sz="4" w:space="0" w:color="auto"/>
              <w:left w:val="nil"/>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 xml:space="preserve">1.5 Percentage of primary teachers certified* </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57.1% (2012)</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66%</w:t>
            </w:r>
          </w:p>
        </w:tc>
        <w:tc>
          <w:tcPr>
            <w:tcW w:w="1409" w:type="dxa"/>
            <w:gridSpan w:val="2"/>
            <w:tcBorders>
              <w:top w:val="single" w:sz="4" w:space="0" w:color="auto"/>
              <w:left w:val="nil"/>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72%</w:t>
            </w:r>
          </w:p>
        </w:tc>
        <w:tc>
          <w:tcPr>
            <w:tcW w:w="1134" w:type="dxa"/>
            <w:tcBorders>
              <w:top w:val="single" w:sz="4" w:space="0" w:color="auto"/>
              <w:left w:val="nil"/>
              <w:bottom w:val="single" w:sz="4" w:space="0" w:color="auto"/>
              <w:right w:val="single" w:sz="4" w:space="0" w:color="auto"/>
            </w:tcBorders>
            <w:shd w:val="clear" w:color="auto" w:fill="auto"/>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Progress towards 85% in 2020</w:t>
            </w:r>
          </w:p>
        </w:tc>
        <w:tc>
          <w:tcPr>
            <w:tcW w:w="1402" w:type="dxa"/>
            <w:gridSpan w:val="2"/>
            <w:tcBorders>
              <w:top w:val="single" w:sz="4" w:space="0" w:color="auto"/>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7</w:t>
            </w:r>
            <w:r w:rsidR="004A3F09">
              <w:rPr>
                <w:rFonts w:ascii="Calibri" w:eastAsia="Times New Roman" w:hAnsi="Calibri" w:cs="Times New Roman"/>
                <w:color w:val="auto"/>
                <w:sz w:val="18"/>
                <w:szCs w:val="18"/>
                <w:lang w:val="en-AU" w:eastAsia="en-AU"/>
              </w:rPr>
              <w:t>4.2</w:t>
            </w:r>
            <w:r w:rsidRPr="001F7EE9">
              <w:rPr>
                <w:rFonts w:ascii="Calibri" w:eastAsia="Times New Roman" w:hAnsi="Calibri" w:cs="Times New Roman"/>
                <w:color w:val="auto"/>
                <w:sz w:val="18"/>
                <w:szCs w:val="18"/>
                <w:lang w:val="en-AU" w:eastAsia="en-AU"/>
              </w:rPr>
              <w:t>%</w:t>
            </w:r>
          </w:p>
        </w:tc>
        <w:tc>
          <w:tcPr>
            <w:tcW w:w="1133" w:type="dxa"/>
            <w:gridSpan w:val="2"/>
            <w:tcBorders>
              <w:top w:val="single" w:sz="4" w:space="0" w:color="auto"/>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Progress towards 85% in 2020</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single" w:sz="4" w:space="0" w:color="auto"/>
              <w:left w:val="nil"/>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MEHRD Performance Assessment Report</w:t>
            </w:r>
          </w:p>
        </w:tc>
      </w:tr>
      <w:tr w:rsidR="000F2942" w:rsidRPr="00FE458E" w:rsidTr="005B4D51">
        <w:trPr>
          <w:trHeight w:val="720"/>
        </w:trPr>
        <w:tc>
          <w:tcPr>
            <w:tcW w:w="1578" w:type="dxa"/>
            <w:vMerge/>
            <w:tcBorders>
              <w:top w:val="nil"/>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030" w:type="dxa"/>
            <w:gridSpan w:val="2"/>
            <w:tcBorders>
              <w:top w:val="nil"/>
              <w:left w:val="nil"/>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1.6 Gender parity at Junior Secondary</w:t>
            </w:r>
          </w:p>
        </w:tc>
        <w:tc>
          <w:tcPr>
            <w:tcW w:w="1246" w:type="dxa"/>
            <w:tcBorders>
              <w:top w:val="nil"/>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1.09</w:t>
            </w:r>
          </w:p>
        </w:tc>
        <w:tc>
          <w:tcPr>
            <w:tcW w:w="1246" w:type="dxa"/>
            <w:tcBorders>
              <w:top w:val="nil"/>
              <w:left w:val="nil"/>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0.96</w:t>
            </w:r>
          </w:p>
        </w:tc>
        <w:tc>
          <w:tcPr>
            <w:tcW w:w="1409" w:type="dxa"/>
            <w:gridSpan w:val="2"/>
            <w:tcBorders>
              <w:top w:val="nil"/>
              <w:left w:val="nil"/>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1</w:t>
            </w:r>
          </w:p>
        </w:tc>
        <w:tc>
          <w:tcPr>
            <w:tcW w:w="1134" w:type="dxa"/>
            <w:tcBorders>
              <w:top w:val="nil"/>
              <w:left w:val="nil"/>
              <w:bottom w:val="single" w:sz="4" w:space="0" w:color="auto"/>
              <w:right w:val="single" w:sz="4" w:space="0" w:color="auto"/>
            </w:tcBorders>
            <w:shd w:val="clear" w:color="auto" w:fill="auto"/>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GPI between 0.97-1.03</w:t>
            </w:r>
          </w:p>
        </w:tc>
        <w:tc>
          <w:tcPr>
            <w:tcW w:w="1402" w:type="dxa"/>
            <w:gridSpan w:val="2"/>
            <w:tcBorders>
              <w:top w:val="nil"/>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0.98</w:t>
            </w:r>
          </w:p>
        </w:tc>
        <w:tc>
          <w:tcPr>
            <w:tcW w:w="1133" w:type="dxa"/>
            <w:gridSpan w:val="2"/>
            <w:tcBorders>
              <w:top w:val="single" w:sz="4" w:space="0" w:color="auto"/>
              <w:left w:val="nil"/>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GPI between 0.97-1.03</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nil"/>
              <w:left w:val="nil"/>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MEHRD Performance Assessment Report</w:t>
            </w:r>
          </w:p>
        </w:tc>
      </w:tr>
      <w:tr w:rsidR="000F2942" w:rsidRPr="00FE458E" w:rsidTr="005B4D51">
        <w:trPr>
          <w:trHeight w:val="570"/>
        </w:trPr>
        <w:tc>
          <w:tcPr>
            <w:tcW w:w="1578" w:type="dxa"/>
            <w:vMerge w:val="restart"/>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Outcome </w:t>
            </w:r>
            <w:r>
              <w:rPr>
                <w:rFonts w:ascii="Calibri" w:eastAsia="Times New Roman" w:hAnsi="Calibri" w:cs="Times New Roman"/>
                <w:b/>
                <w:bCs/>
                <w:color w:val="000000"/>
                <w:sz w:val="18"/>
                <w:szCs w:val="18"/>
                <w:lang w:val="en-AU" w:eastAsia="en-AU"/>
              </w:rPr>
              <w:t>3.</w:t>
            </w:r>
            <w:r w:rsidRPr="00FE458E">
              <w:rPr>
                <w:rFonts w:ascii="Calibri" w:eastAsia="Times New Roman" w:hAnsi="Calibri" w:cs="Times New Roman"/>
                <w:b/>
                <w:bCs/>
                <w:color w:val="000000"/>
                <w:sz w:val="18"/>
                <w:szCs w:val="18"/>
                <w:lang w:val="en-AU" w:eastAsia="en-AU"/>
              </w:rPr>
              <w:t>2:</w:t>
            </w:r>
            <w:r w:rsidRPr="00FE458E">
              <w:rPr>
                <w:rFonts w:ascii="Calibri" w:eastAsia="Times New Roman" w:hAnsi="Calibri" w:cs="Times New Roman"/>
                <w:color w:val="000000"/>
                <w:sz w:val="18"/>
                <w:szCs w:val="18"/>
                <w:lang w:val="en-AU" w:eastAsia="en-AU"/>
              </w:rPr>
              <w:t xml:space="preserve"> Solomo</w:t>
            </w:r>
            <w:r w:rsidRPr="00FE458E">
              <w:rPr>
                <w:rFonts w:ascii="Calibri" w:eastAsia="Times New Roman" w:hAnsi="Calibri" w:cs="Times New Roman"/>
                <w:color w:val="auto"/>
                <w:sz w:val="18"/>
                <w:szCs w:val="18"/>
                <w:lang w:val="en-AU" w:eastAsia="en-AU"/>
              </w:rPr>
              <w:t xml:space="preserve">n Islands Government  manages education resources </w:t>
            </w:r>
            <w:r w:rsidRPr="00FE458E">
              <w:rPr>
                <w:rFonts w:ascii="Calibri" w:eastAsia="Times New Roman" w:hAnsi="Calibri" w:cs="Times New Roman"/>
                <w:color w:val="auto"/>
                <w:sz w:val="18"/>
                <w:szCs w:val="18"/>
                <w:lang w:val="en-AU" w:eastAsia="en-AU"/>
              </w:rPr>
              <w:lastRenderedPageBreak/>
              <w:t>efficiently and effectively</w:t>
            </w:r>
          </w:p>
        </w:tc>
        <w:tc>
          <w:tcPr>
            <w:tcW w:w="2030"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lastRenderedPageBreak/>
              <w:t xml:space="preserve">2.1 Recurrent budget execution rate (%) for education </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95%</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90%</w:t>
            </w:r>
          </w:p>
        </w:tc>
        <w:tc>
          <w:tcPr>
            <w:tcW w:w="1409"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r w:rsidRPr="0069043C">
              <w:rPr>
                <w:rFonts w:ascii="Calibri" w:eastAsia="Times New Roman" w:hAnsi="Calibri" w:cs="Times New Roman"/>
                <w:color w:val="000000"/>
                <w:sz w:val="18"/>
                <w:szCs w:val="18"/>
                <w:lang w:val="en-AU" w:eastAsia="en-AU"/>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2942" w:rsidRPr="001F7EE9"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r w:rsidRPr="001F7EE9">
              <w:rPr>
                <w:rFonts w:ascii="Calibri" w:eastAsia="Times New Roman" w:hAnsi="Calibri" w:cs="Times New Roman"/>
                <w:color w:val="auto"/>
                <w:sz w:val="18"/>
                <w:szCs w:val="18"/>
                <w:lang w:val="en-AU" w:eastAsia="en-AU"/>
              </w:rPr>
              <w:t>90%</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1F7EE9" w:rsidRDefault="00DA16A4" w:rsidP="000F2942">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97</w:t>
            </w:r>
            <w:r w:rsidR="000F2942" w:rsidRPr="001F7EE9">
              <w:rPr>
                <w:rFonts w:ascii="Calibri" w:eastAsia="Times New Roman" w:hAnsi="Calibri" w:cs="Times New Roman"/>
                <w:color w:val="auto"/>
                <w:sz w:val="18"/>
                <w:szCs w:val="18"/>
                <w:lang w:val="en-AU" w:eastAsia="en-AU"/>
              </w:rPr>
              <w: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90%</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MEHRD Performance Assessment Report</w:t>
            </w:r>
          </w:p>
        </w:tc>
      </w:tr>
      <w:tr w:rsidR="000F2942" w:rsidRPr="00FE458E" w:rsidTr="005B4D51">
        <w:trPr>
          <w:trHeight w:val="585"/>
        </w:trPr>
        <w:tc>
          <w:tcPr>
            <w:tcW w:w="1578"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2.2 Percentage of national budget directed to education</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23%</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24%</w:t>
            </w:r>
          </w:p>
        </w:tc>
        <w:tc>
          <w:tcPr>
            <w:tcW w:w="1409"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Greater or equal to 22%</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32%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1F7EE9"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Greater or equal to 22%</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MEHRD Annual Report</w:t>
            </w:r>
          </w:p>
        </w:tc>
      </w:tr>
      <w:tr w:rsidR="000F2942" w:rsidRPr="00FE458E" w:rsidTr="005B4D51">
        <w:trPr>
          <w:trHeight w:val="975"/>
        </w:trPr>
        <w:tc>
          <w:tcPr>
            <w:tcW w:w="1578"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2.3 Total budget allocated per unit to primary education</w:t>
            </w:r>
          </w:p>
        </w:tc>
        <w:tc>
          <w:tcPr>
            <w:tcW w:w="1246" w:type="dxa"/>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AA262C">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$2,610 (by G Dawson methodology)</w:t>
            </w:r>
          </w:p>
        </w:tc>
        <w:tc>
          <w:tcPr>
            <w:tcW w:w="1246" w:type="dxa"/>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$2,671 (by G Dawson methodology) $677 by B McNaughton meth</w:t>
            </w:r>
            <w:r w:rsidR="00811DC2">
              <w:rPr>
                <w:rFonts w:ascii="Calibri" w:eastAsia="Times New Roman" w:hAnsi="Calibri" w:cs="Times New Roman"/>
                <w:color w:val="auto"/>
                <w:sz w:val="18"/>
                <w:szCs w:val="18"/>
                <w:lang w:val="en-AU" w:eastAsia="en-AU"/>
              </w:rPr>
              <w:t>odology)</w:t>
            </w:r>
          </w:p>
        </w:tc>
        <w:tc>
          <w:tcPr>
            <w:tcW w:w="1409" w:type="dxa"/>
            <w:gridSpan w:val="2"/>
            <w:tcBorders>
              <w:top w:val="single" w:sz="4" w:space="0" w:color="auto"/>
              <w:left w:val="single" w:sz="4" w:space="0" w:color="auto"/>
              <w:bottom w:val="single" w:sz="4" w:space="0" w:color="auto"/>
              <w:right w:val="single" w:sz="4" w:space="0" w:color="auto"/>
            </w:tcBorders>
            <w:shd w:val="clear" w:color="auto" w:fill="F8F8F8"/>
          </w:tcPr>
          <w:p w:rsidR="000F2942" w:rsidRPr="0069043C" w:rsidRDefault="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$733 (by B McNaughton methodology)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2942" w:rsidRPr="001F7EE9" w:rsidRDefault="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Increases year-on-year</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rsidR="000F2942" w:rsidRPr="001F7EE9" w:rsidRDefault="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 xml:space="preserve">$793 by allocation </w:t>
            </w:r>
          </w:p>
          <w:p w:rsidR="000F2942" w:rsidRPr="001F7EE9" w:rsidRDefault="000F2942">
            <w:pPr>
              <w:suppressAutoHyphens w:val="0"/>
              <w:spacing w:before="0" w:after="0" w:line="240" w:lineRule="auto"/>
              <w:rPr>
                <w:rFonts w:ascii="Calibri" w:eastAsia="Times New Roman" w:hAnsi="Calibri" w:cs="Times New Roman"/>
                <w:color w:val="auto"/>
                <w:sz w:val="18"/>
                <w:szCs w:val="18"/>
                <w:lang w:val="en-AU" w:eastAsia="en-AU"/>
              </w:rPr>
            </w:pPr>
          </w:p>
        </w:tc>
        <w:tc>
          <w:tcPr>
            <w:tcW w:w="1133" w:type="dxa"/>
            <w:gridSpan w:val="2"/>
            <w:tcBorders>
              <w:top w:val="single" w:sz="4" w:space="0" w:color="auto"/>
              <w:left w:val="single" w:sz="4" w:space="0" w:color="auto"/>
              <w:bottom w:val="single" w:sz="4" w:space="0" w:color="auto"/>
              <w:right w:val="single" w:sz="4" w:space="0" w:color="auto"/>
            </w:tcBorders>
          </w:tcPr>
          <w:p w:rsidR="000F2942" w:rsidRPr="001F7EE9" w:rsidRDefault="000F2942">
            <w:pPr>
              <w:suppressAutoHyphens w:val="0"/>
              <w:spacing w:before="0" w:after="0" w:line="240" w:lineRule="auto"/>
              <w:rPr>
                <w:rFonts w:ascii="Calibri" w:eastAsia="Times New Roman" w:hAnsi="Calibri" w:cs="Times New Roman"/>
                <w:color w:val="auto"/>
                <w:sz w:val="18"/>
                <w:szCs w:val="18"/>
                <w:lang w:val="en-AU" w:eastAsia="en-AU"/>
              </w:rPr>
            </w:pPr>
            <w:r w:rsidRPr="001F7EE9">
              <w:rPr>
                <w:rFonts w:ascii="Calibri" w:eastAsia="Times New Roman" w:hAnsi="Calibri" w:cs="Times New Roman"/>
                <w:color w:val="auto"/>
                <w:sz w:val="18"/>
                <w:szCs w:val="18"/>
                <w:lang w:val="en-AU" w:eastAsia="en-AU"/>
              </w:rPr>
              <w:t>Increases year-on-year</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Annual Independent Performance Assessment - Ed</w:t>
            </w:r>
            <w:r w:rsidR="00900625">
              <w:rPr>
                <w:rFonts w:ascii="Calibri" w:eastAsia="Times New Roman" w:hAnsi="Calibri" w:cs="Times New Roman"/>
                <w:color w:val="auto"/>
                <w:sz w:val="18"/>
                <w:szCs w:val="18"/>
                <w:lang w:val="en-AU" w:eastAsia="en-AU"/>
              </w:rPr>
              <w:t>ucation</w:t>
            </w:r>
          </w:p>
        </w:tc>
      </w:tr>
      <w:tr w:rsidR="000F2942" w:rsidRPr="00FE458E" w:rsidTr="005B4D51">
        <w:trPr>
          <w:trHeight w:val="1065"/>
        </w:trPr>
        <w:tc>
          <w:tcPr>
            <w:tcW w:w="1578"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000000"/>
                <w:sz w:val="18"/>
                <w:szCs w:val="18"/>
                <w:lang w:val="en-AU" w:eastAsia="en-AU"/>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 xml:space="preserve">2.4 Number of new classrooms (including science labs, home economics labs &amp; technology workshops) built/upgraded </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 xml:space="preserve">- </w:t>
            </w:r>
          </w:p>
        </w:tc>
        <w:tc>
          <w:tcPr>
            <w:tcW w:w="124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79</w:t>
            </w:r>
          </w:p>
        </w:tc>
        <w:tc>
          <w:tcPr>
            <w:tcW w:w="1409"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50 new classrooms per year from 2015</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42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0F2942" w:rsidRPr="0069043C"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69043C">
              <w:rPr>
                <w:rFonts w:ascii="Calibri" w:eastAsia="Times New Roman" w:hAnsi="Calibri" w:cs="Times New Roman"/>
                <w:color w:val="auto"/>
                <w:sz w:val="18"/>
                <w:szCs w:val="18"/>
                <w:lang w:val="en-AU" w:eastAsia="en-AU"/>
              </w:rPr>
              <w:t>50 new classrooms per year from 2015</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Education Sector Program 2</w:t>
            </w:r>
          </w:p>
        </w:tc>
        <w:tc>
          <w:tcPr>
            <w:tcW w:w="2356" w:type="dxa"/>
            <w:tcBorders>
              <w:top w:val="single" w:sz="4" w:space="0" w:color="auto"/>
              <w:left w:val="single" w:sz="4" w:space="0" w:color="auto"/>
              <w:bottom w:val="single" w:sz="4" w:space="0" w:color="auto"/>
              <w:right w:val="single" w:sz="4" w:space="0" w:color="auto"/>
            </w:tcBorders>
            <w:shd w:val="clear" w:color="auto" w:fill="F8F8F8"/>
            <w:hideMark/>
          </w:tcPr>
          <w:p w:rsidR="000F2942" w:rsidRPr="00FE458E" w:rsidRDefault="000F2942" w:rsidP="000F2942">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MEHRD Annual Report</w:t>
            </w:r>
          </w:p>
        </w:tc>
      </w:tr>
      <w:tr w:rsidR="002A589C" w:rsidRPr="00FE458E" w:rsidTr="005B4D51">
        <w:trPr>
          <w:trHeight w:val="1560"/>
        </w:trPr>
        <w:tc>
          <w:tcPr>
            <w:tcW w:w="1578" w:type="dxa"/>
            <w:tcBorders>
              <w:top w:val="single" w:sz="4" w:space="0" w:color="auto"/>
              <w:left w:val="single" w:sz="4" w:space="0" w:color="auto"/>
              <w:bottom w:val="single" w:sz="4" w:space="0" w:color="auto"/>
              <w:right w:val="single" w:sz="4" w:space="0" w:color="auto"/>
            </w:tcBorders>
            <w:shd w:val="clear" w:color="auto" w:fill="F8F8F8"/>
            <w:hideMark/>
          </w:tcPr>
          <w:p w:rsidR="002A589C" w:rsidRPr="00FE458E" w:rsidRDefault="002A589C" w:rsidP="0021542F">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Outcome </w:t>
            </w:r>
            <w:r w:rsidR="00997B77">
              <w:rPr>
                <w:rFonts w:ascii="Calibri" w:eastAsia="Times New Roman" w:hAnsi="Calibri" w:cs="Times New Roman"/>
                <w:b/>
                <w:bCs/>
                <w:color w:val="000000"/>
                <w:sz w:val="18"/>
                <w:szCs w:val="18"/>
                <w:lang w:val="en-AU" w:eastAsia="en-AU"/>
              </w:rPr>
              <w:t>3.</w:t>
            </w:r>
            <w:r w:rsidRPr="00FE458E">
              <w:rPr>
                <w:rFonts w:ascii="Calibri" w:eastAsia="Times New Roman" w:hAnsi="Calibri" w:cs="Times New Roman"/>
                <w:b/>
                <w:bCs/>
                <w:color w:val="000000"/>
                <w:sz w:val="18"/>
                <w:szCs w:val="18"/>
                <w:lang w:val="en-AU" w:eastAsia="en-AU"/>
              </w:rPr>
              <w:t xml:space="preserve">3: </w:t>
            </w:r>
            <w:r w:rsidRPr="00FE458E">
              <w:rPr>
                <w:rFonts w:ascii="Calibri" w:eastAsia="Times New Roman" w:hAnsi="Calibri" w:cs="Times New Roman"/>
                <w:color w:val="000000"/>
                <w:sz w:val="18"/>
                <w:szCs w:val="18"/>
                <w:lang w:val="en-AU" w:eastAsia="en-AU"/>
              </w:rPr>
              <w:t xml:space="preserve"> </w:t>
            </w:r>
            <w:r w:rsidRPr="00FE458E">
              <w:rPr>
                <w:rFonts w:ascii="Calibri" w:eastAsia="Times New Roman" w:hAnsi="Calibri" w:cs="Times New Roman"/>
                <w:color w:val="auto"/>
                <w:sz w:val="18"/>
                <w:szCs w:val="18"/>
                <w:lang w:val="en-AU" w:eastAsia="en-AU"/>
              </w:rPr>
              <w:t>Scholarship graduates have the skills and knowledge needed to increase national productivity and competitiveness</w:t>
            </w:r>
          </w:p>
        </w:tc>
        <w:tc>
          <w:tcPr>
            <w:tcW w:w="2030" w:type="dxa"/>
            <w:gridSpan w:val="2"/>
            <w:tcBorders>
              <w:top w:val="single" w:sz="4" w:space="0" w:color="auto"/>
              <w:left w:val="single" w:sz="4" w:space="0" w:color="auto"/>
              <w:bottom w:val="single" w:sz="4" w:space="0" w:color="auto"/>
              <w:right w:val="single" w:sz="4" w:space="0" w:color="auto"/>
            </w:tcBorders>
            <w:shd w:val="clear" w:color="auto" w:fill="F8F8F8"/>
            <w:hideMark/>
          </w:tcPr>
          <w:p w:rsidR="002A589C" w:rsidRPr="00FE458E" w:rsidRDefault="002A589C" w:rsidP="0021542F">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3.1 Proportion of Australia Awards recipients (men and women) who complete their study successfully </w:t>
            </w:r>
          </w:p>
        </w:tc>
        <w:tc>
          <w:tcPr>
            <w:tcW w:w="124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87%</w:t>
            </w:r>
          </w:p>
        </w:tc>
        <w:tc>
          <w:tcPr>
            <w:tcW w:w="124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85.40%</w:t>
            </w:r>
          </w:p>
        </w:tc>
        <w:tc>
          <w:tcPr>
            <w:tcW w:w="1409"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85%</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0F2942" w:rsidRDefault="000F2942" w:rsidP="004C0C28">
            <w:pPr>
              <w:suppressAutoHyphens w:val="0"/>
              <w:spacing w:before="0" w:after="0" w:line="240" w:lineRule="auto"/>
              <w:rPr>
                <w:rFonts w:ascii="Calibri" w:eastAsia="Times New Roman" w:hAnsi="Calibri" w:cs="Times New Roman"/>
                <w:color w:val="000000"/>
                <w:sz w:val="18"/>
                <w:szCs w:val="18"/>
                <w:highlight w:val="yellow"/>
                <w:lang w:val="en-AU" w:eastAsia="en-AU"/>
              </w:rPr>
            </w:pPr>
            <w:r w:rsidRPr="00A3529F">
              <w:rPr>
                <w:rFonts w:ascii="Calibri" w:eastAsia="Times New Roman" w:hAnsi="Calibri" w:cs="Times New Roman"/>
                <w:color w:val="auto"/>
                <w:sz w:val="18"/>
                <w:szCs w:val="18"/>
                <w:lang w:val="en-AU" w:eastAsia="en-AU"/>
              </w:rPr>
              <w:t>85%</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AA262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Australia Awards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89C" w:rsidRPr="00FE458E" w:rsidRDefault="002A589C" w:rsidP="00AA262C">
            <w:pPr>
              <w:suppressAutoHyphens w:val="0"/>
              <w:spacing w:before="0" w:after="0" w:line="240" w:lineRule="auto"/>
              <w:rPr>
                <w:rFonts w:ascii="Calibri" w:eastAsia="Times New Roman" w:hAnsi="Calibri" w:cs="Times New Roman"/>
                <w:color w:val="auto"/>
                <w:sz w:val="18"/>
                <w:szCs w:val="18"/>
                <w:lang w:val="en-AU" w:eastAsia="en-AU"/>
              </w:rPr>
            </w:pPr>
            <w:r w:rsidRPr="0027449B">
              <w:rPr>
                <w:rFonts w:ascii="Calibri" w:eastAsia="Times New Roman" w:hAnsi="Calibri" w:cs="Times New Roman"/>
                <w:color w:val="auto"/>
                <w:sz w:val="18"/>
                <w:szCs w:val="18"/>
                <w:lang w:val="en-AU" w:eastAsia="en-AU"/>
              </w:rPr>
              <w:t>OASIS</w:t>
            </w:r>
            <w:r w:rsidRPr="008B41C8">
              <w:rPr>
                <w:rFonts w:ascii="Calibri" w:eastAsia="Times New Roman" w:hAnsi="Calibri" w:cs="Times New Roman"/>
                <w:color w:val="auto"/>
                <w:sz w:val="18"/>
                <w:szCs w:val="18"/>
                <w:lang w:val="en-AU" w:eastAsia="en-AU"/>
              </w:rPr>
              <w:t xml:space="preserve"> reports</w:t>
            </w:r>
          </w:p>
        </w:tc>
      </w:tr>
      <w:tr w:rsidR="00607098" w:rsidRPr="00FE458E" w:rsidTr="00811DC2">
        <w:trPr>
          <w:trHeight w:val="465"/>
        </w:trPr>
        <w:tc>
          <w:tcPr>
            <w:tcW w:w="15021" w:type="dxa"/>
            <w:gridSpan w:val="15"/>
            <w:tcBorders>
              <w:top w:val="single" w:sz="4" w:space="0" w:color="auto"/>
              <w:left w:val="single" w:sz="4" w:space="0" w:color="auto"/>
              <w:bottom w:val="single" w:sz="4" w:space="0" w:color="auto"/>
              <w:right w:val="single" w:sz="4" w:space="0" w:color="auto"/>
            </w:tcBorders>
            <w:shd w:val="clear" w:color="auto" w:fill="DDECD0" w:themeFill="accent3" w:themeFillTint="66"/>
          </w:tcPr>
          <w:p w:rsidR="00607098" w:rsidRPr="00FE458E" w:rsidRDefault="00607098" w:rsidP="00607098">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Sub-objective: Fewer lives lost and better health outcomes</w:t>
            </w:r>
          </w:p>
        </w:tc>
      </w:tr>
      <w:tr w:rsidR="002A589C" w:rsidRPr="00FE458E" w:rsidTr="00811DC2">
        <w:trPr>
          <w:trHeight w:val="480"/>
        </w:trPr>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FE458E" w:rsidRDefault="002A589C" w:rsidP="00B829C9">
            <w:pPr>
              <w:suppressAutoHyphens w:val="0"/>
              <w:spacing w:before="0" w:after="0" w:line="240" w:lineRule="auto"/>
              <w:rPr>
                <w:rFonts w:ascii="Calibri" w:eastAsia="Times New Roman" w:hAnsi="Calibri" w:cs="Times New Roman"/>
                <w:b/>
                <w:bCs/>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Sentinel indicators </w:t>
            </w:r>
          </w:p>
        </w:tc>
        <w:tc>
          <w:tcPr>
            <w:tcW w:w="1925"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FE458E" w:rsidRDefault="002A589C" w:rsidP="00B829C9">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Under-five mortality (per 1,000 live births)</w:t>
            </w:r>
          </w:p>
        </w:tc>
        <w:tc>
          <w:tcPr>
            <w:tcW w:w="124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21</w:t>
            </w:r>
          </w:p>
        </w:tc>
        <w:tc>
          <w:tcPr>
            <w:tcW w:w="1336"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24</w:t>
            </w:r>
          </w:p>
        </w:tc>
        <w:tc>
          <w:tcPr>
            <w:tcW w:w="1319"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27</w:t>
            </w:r>
          </w:p>
        </w:tc>
        <w:tc>
          <w:tcPr>
            <w:tcW w:w="1224"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21</w:t>
            </w:r>
          </w:p>
        </w:tc>
        <w:tc>
          <w:tcPr>
            <w:tcW w:w="1402"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20.6</w:t>
            </w:r>
          </w:p>
        </w:tc>
        <w:tc>
          <w:tcPr>
            <w:tcW w:w="1127"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8B5C33" w:rsidP="00A3529F">
            <w:pPr>
              <w:suppressAutoHyphens w:val="0"/>
              <w:spacing w:before="0" w:after="0" w:line="240" w:lineRule="auto"/>
              <w:jc w:val="center"/>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w:t>
            </w:r>
          </w:p>
        </w:tc>
        <w:tc>
          <w:tcPr>
            <w:tcW w:w="1403"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FE458E" w:rsidRDefault="002A589C" w:rsidP="00B829C9">
            <w:pPr>
              <w:suppressAutoHyphens w:val="0"/>
              <w:spacing w:before="0" w:after="0" w:line="240" w:lineRule="auto"/>
              <w:jc w:val="center"/>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 </w:t>
            </w:r>
          </w:p>
        </w:tc>
        <w:tc>
          <w:tcPr>
            <w:tcW w:w="2356"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FE458E" w:rsidRDefault="002A589C" w:rsidP="00B829C9">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Core indicator report</w:t>
            </w:r>
          </w:p>
        </w:tc>
      </w:tr>
      <w:tr w:rsidR="002A589C" w:rsidRPr="00FE458E" w:rsidTr="00811DC2">
        <w:trPr>
          <w:trHeight w:val="480"/>
        </w:trPr>
        <w:tc>
          <w:tcPr>
            <w:tcW w:w="1683" w:type="dxa"/>
            <w:gridSpan w:val="2"/>
            <w:vMerge/>
            <w:tcBorders>
              <w:top w:val="single" w:sz="4" w:space="0" w:color="auto"/>
              <w:left w:val="single" w:sz="4" w:space="0" w:color="auto"/>
              <w:bottom w:val="single" w:sz="4" w:space="0" w:color="auto"/>
              <w:right w:val="single" w:sz="4" w:space="0" w:color="auto"/>
            </w:tcBorders>
            <w:shd w:val="clear" w:color="auto" w:fill="EEF5E7" w:themeFill="accent3" w:themeFillTint="33"/>
            <w:vAlign w:val="center"/>
            <w:hideMark/>
          </w:tcPr>
          <w:p w:rsidR="002A589C" w:rsidRPr="00FE458E" w:rsidRDefault="002A589C" w:rsidP="00B829C9">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1925"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FE458E" w:rsidRDefault="002A589C" w:rsidP="00B829C9">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Child immunisation coverage</w:t>
            </w:r>
          </w:p>
        </w:tc>
        <w:tc>
          <w:tcPr>
            <w:tcW w:w="1246" w:type="dxa"/>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75%</w:t>
            </w:r>
          </w:p>
        </w:tc>
        <w:tc>
          <w:tcPr>
            <w:tcW w:w="1336"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83%</w:t>
            </w:r>
          </w:p>
        </w:tc>
        <w:tc>
          <w:tcPr>
            <w:tcW w:w="1319" w:type="dxa"/>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83%</w:t>
            </w:r>
          </w:p>
        </w:tc>
        <w:tc>
          <w:tcPr>
            <w:tcW w:w="1224"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87%</w:t>
            </w:r>
          </w:p>
        </w:tc>
        <w:tc>
          <w:tcPr>
            <w:tcW w:w="1402"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2A589C" w:rsidP="004C0C28">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93%</w:t>
            </w:r>
          </w:p>
        </w:tc>
        <w:tc>
          <w:tcPr>
            <w:tcW w:w="1127" w:type="dxa"/>
            <w:gridSpan w:val="2"/>
            <w:tcBorders>
              <w:top w:val="single" w:sz="4" w:space="0" w:color="auto"/>
              <w:left w:val="nil"/>
              <w:bottom w:val="single" w:sz="4" w:space="0" w:color="auto"/>
              <w:right w:val="single" w:sz="4" w:space="0" w:color="auto"/>
            </w:tcBorders>
            <w:shd w:val="clear" w:color="auto" w:fill="EEF5E7" w:themeFill="accent3" w:themeFillTint="33"/>
            <w:vAlign w:val="center"/>
          </w:tcPr>
          <w:p w:rsidR="002A589C" w:rsidRPr="00FE458E" w:rsidRDefault="008B5C33" w:rsidP="00A3529F">
            <w:pPr>
              <w:suppressAutoHyphens w:val="0"/>
              <w:spacing w:before="0" w:after="0" w:line="240" w:lineRule="auto"/>
              <w:jc w:val="center"/>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w:t>
            </w:r>
          </w:p>
        </w:tc>
        <w:tc>
          <w:tcPr>
            <w:tcW w:w="1403" w:type="dxa"/>
            <w:tcBorders>
              <w:top w:val="single" w:sz="4" w:space="0" w:color="auto"/>
              <w:left w:val="single" w:sz="4" w:space="0" w:color="auto"/>
              <w:bottom w:val="single" w:sz="4" w:space="0" w:color="auto"/>
              <w:right w:val="single" w:sz="4" w:space="0" w:color="auto"/>
            </w:tcBorders>
            <w:shd w:val="clear" w:color="auto" w:fill="EEF5E7" w:themeFill="accent3" w:themeFillTint="33"/>
            <w:hideMark/>
          </w:tcPr>
          <w:p w:rsidR="002A589C" w:rsidRPr="00FE458E" w:rsidRDefault="002A589C" w:rsidP="00B829C9">
            <w:pPr>
              <w:suppressAutoHyphens w:val="0"/>
              <w:spacing w:before="0" w:after="0" w:line="240" w:lineRule="auto"/>
              <w:jc w:val="center"/>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 </w:t>
            </w:r>
          </w:p>
        </w:tc>
        <w:tc>
          <w:tcPr>
            <w:tcW w:w="2356" w:type="dxa"/>
            <w:tcBorders>
              <w:top w:val="single" w:sz="4" w:space="0" w:color="auto"/>
              <w:left w:val="nil"/>
              <w:bottom w:val="single" w:sz="4" w:space="0" w:color="auto"/>
              <w:right w:val="single" w:sz="4" w:space="0" w:color="auto"/>
            </w:tcBorders>
            <w:shd w:val="clear" w:color="auto" w:fill="EEF5E7" w:themeFill="accent3" w:themeFillTint="33"/>
            <w:hideMark/>
          </w:tcPr>
          <w:p w:rsidR="002A589C" w:rsidRPr="00FE458E" w:rsidRDefault="002A589C" w:rsidP="00B829C9">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Core indicator report</w:t>
            </w:r>
          </w:p>
        </w:tc>
      </w:tr>
      <w:tr w:rsidR="002A589C" w:rsidRPr="00FE458E" w:rsidTr="005B4D51">
        <w:trPr>
          <w:trHeight w:val="720"/>
        </w:trPr>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F8F8F8"/>
            <w:hideMark/>
          </w:tcPr>
          <w:p w:rsidR="002A589C" w:rsidRPr="00FE458E"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Outcome </w:t>
            </w:r>
            <w:r w:rsidR="00E36C4C">
              <w:rPr>
                <w:rFonts w:ascii="Calibri" w:eastAsia="Times New Roman" w:hAnsi="Calibri" w:cs="Times New Roman"/>
                <w:b/>
                <w:bCs/>
                <w:color w:val="000000"/>
                <w:sz w:val="18"/>
                <w:szCs w:val="18"/>
                <w:lang w:val="en-AU" w:eastAsia="en-AU"/>
              </w:rPr>
              <w:t>3.4</w:t>
            </w:r>
            <w:r w:rsidRPr="00FE458E">
              <w:rPr>
                <w:rFonts w:ascii="Calibri" w:eastAsia="Times New Roman" w:hAnsi="Calibri" w:cs="Times New Roman"/>
                <w:b/>
                <w:bCs/>
                <w:color w:val="000000"/>
                <w:sz w:val="18"/>
                <w:szCs w:val="18"/>
                <w:lang w:val="en-AU" w:eastAsia="en-AU"/>
              </w:rPr>
              <w:t>:</w:t>
            </w:r>
            <w:r w:rsidRPr="00FE458E">
              <w:rPr>
                <w:rFonts w:ascii="Calibri" w:eastAsia="Times New Roman" w:hAnsi="Calibri" w:cs="Times New Roman"/>
                <w:color w:val="000000"/>
                <w:sz w:val="18"/>
                <w:szCs w:val="18"/>
                <w:lang w:val="en-AU" w:eastAsia="en-AU"/>
              </w:rPr>
              <w:t xml:space="preserve"> Improved health service delivery in targeted areas</w:t>
            </w:r>
          </w:p>
        </w:tc>
        <w:tc>
          <w:tcPr>
            <w:tcW w:w="1925" w:type="dxa"/>
            <w:tcBorders>
              <w:top w:val="single" w:sz="4" w:space="0" w:color="auto"/>
              <w:left w:val="nil"/>
              <w:bottom w:val="single" w:sz="4" w:space="0" w:color="auto"/>
              <w:right w:val="single" w:sz="4" w:space="0" w:color="auto"/>
            </w:tcBorders>
            <w:shd w:val="clear" w:color="auto" w:fill="F8F8F8"/>
            <w:hideMark/>
          </w:tcPr>
          <w:p w:rsidR="002A589C" w:rsidRPr="00FE458E" w:rsidRDefault="002A589C" w:rsidP="00B829C9">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1.1 Availability of essential medicines at Provincial level medical stores *</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89%</w:t>
            </w:r>
          </w:p>
        </w:tc>
        <w:tc>
          <w:tcPr>
            <w:tcW w:w="1336" w:type="dxa"/>
            <w:gridSpan w:val="2"/>
            <w:tcBorders>
              <w:top w:val="single" w:sz="4" w:space="0" w:color="auto"/>
              <w:left w:val="nil"/>
              <w:bottom w:val="single" w:sz="4" w:space="0" w:color="auto"/>
              <w:right w:val="single" w:sz="4" w:space="0" w:color="auto"/>
            </w:tcBorders>
            <w:shd w:val="clear" w:color="auto" w:fill="F8F8F8"/>
            <w:vAlign w:val="center"/>
            <w:hideMark/>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90%</w:t>
            </w:r>
          </w:p>
        </w:tc>
        <w:tc>
          <w:tcPr>
            <w:tcW w:w="1319" w:type="dxa"/>
            <w:tcBorders>
              <w:top w:val="single" w:sz="4" w:space="0" w:color="auto"/>
              <w:left w:val="nil"/>
              <w:bottom w:val="single" w:sz="4" w:space="0" w:color="auto"/>
              <w:right w:val="single" w:sz="4" w:space="0" w:color="auto"/>
            </w:tcBorders>
            <w:shd w:val="clear" w:color="auto" w:fill="F8F8F8"/>
            <w:vAlign w:val="center"/>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85%</w:t>
            </w:r>
          </w:p>
        </w:tc>
        <w:tc>
          <w:tcPr>
            <w:tcW w:w="1224" w:type="dxa"/>
            <w:gridSpan w:val="2"/>
            <w:tcBorders>
              <w:top w:val="single" w:sz="4" w:space="0" w:color="auto"/>
              <w:left w:val="nil"/>
              <w:bottom w:val="single" w:sz="4" w:space="0" w:color="auto"/>
              <w:right w:val="single" w:sz="4" w:space="0" w:color="auto"/>
            </w:tcBorders>
            <w:shd w:val="clear" w:color="auto" w:fill="auto"/>
            <w:vAlign w:val="center"/>
          </w:tcPr>
          <w:p w:rsidR="002A589C" w:rsidRPr="00FE458E" w:rsidRDefault="002A589C" w:rsidP="004C0C28">
            <w:pPr>
              <w:suppressAutoHyphens w:val="0"/>
              <w:spacing w:before="0" w:after="0" w:line="240" w:lineRule="auto"/>
              <w:rPr>
                <w:rFonts w:ascii="Calibri" w:eastAsia="Times New Roman" w:hAnsi="Calibri" w:cs="Times New Roman"/>
                <w:color w:val="000000"/>
                <w:sz w:val="18"/>
                <w:szCs w:val="18"/>
                <w:lang w:val="en-AU" w:eastAsia="en-AU"/>
              </w:rPr>
            </w:pPr>
            <w:r w:rsidRPr="009340ED">
              <w:rPr>
                <w:rFonts w:ascii="Calibri" w:eastAsia="Times New Roman" w:hAnsi="Calibri" w:cs="Times New Roman"/>
                <w:color w:val="000000"/>
                <w:sz w:val="18"/>
                <w:szCs w:val="18"/>
                <w:lang w:val="en-AU" w:eastAsia="en-AU"/>
              </w:rPr>
              <w:t>92%</w:t>
            </w:r>
            <w:r w:rsidRPr="00FE458E">
              <w:rPr>
                <w:rFonts w:ascii="Calibri" w:eastAsia="Times New Roman" w:hAnsi="Calibri" w:cs="Times New Roman"/>
                <w:color w:val="FF0000"/>
                <w:sz w:val="18"/>
                <w:szCs w:val="18"/>
                <w:lang w:val="en-AU" w:eastAsia="en-AU"/>
              </w:rPr>
              <w:t> </w:t>
            </w:r>
          </w:p>
        </w:tc>
        <w:tc>
          <w:tcPr>
            <w:tcW w:w="1402" w:type="dxa"/>
            <w:gridSpan w:val="2"/>
            <w:tcBorders>
              <w:top w:val="single" w:sz="4" w:space="0" w:color="auto"/>
              <w:left w:val="nil"/>
              <w:bottom w:val="single" w:sz="4" w:space="0" w:color="auto"/>
              <w:right w:val="nil"/>
            </w:tcBorders>
            <w:shd w:val="clear" w:color="auto" w:fill="F8F8F8"/>
            <w:vAlign w:val="center"/>
          </w:tcPr>
          <w:p w:rsidR="002A589C" w:rsidRPr="00FE458E" w:rsidRDefault="00203E07" w:rsidP="004C0C28">
            <w:pPr>
              <w:suppressAutoHyphens w:val="0"/>
              <w:spacing w:before="0" w:after="0" w:line="240" w:lineRule="auto"/>
              <w:rPr>
                <w:rFonts w:ascii="Calibri" w:eastAsia="Times New Roman" w:hAnsi="Calibri" w:cs="Times New Roman"/>
                <w:color w:val="auto"/>
                <w:sz w:val="18"/>
                <w:szCs w:val="18"/>
                <w:lang w:val="en-AU" w:eastAsia="en-AU"/>
              </w:rPr>
            </w:pPr>
            <w:r w:rsidRPr="00A3529F">
              <w:rPr>
                <w:rFonts w:ascii="Calibri" w:eastAsia="Times New Roman" w:hAnsi="Calibri" w:cs="Times New Roman"/>
                <w:color w:val="auto"/>
                <w:sz w:val="18"/>
                <w:szCs w:val="18"/>
                <w:lang w:val="en-AU" w:eastAsia="en-AU"/>
              </w:rPr>
              <w:t>55</w:t>
            </w:r>
            <w:r w:rsidR="002A589C" w:rsidRPr="00A3529F">
              <w:rPr>
                <w:rFonts w:ascii="Calibri" w:eastAsia="Times New Roman" w:hAnsi="Calibri" w:cs="Times New Roman"/>
                <w:color w:val="auto"/>
                <w:sz w:val="18"/>
                <w:szCs w:val="18"/>
                <w:lang w:val="en-AU" w:eastAsia="en-AU"/>
              </w:rPr>
              <w:t>%</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2A589C" w:rsidRPr="00FE458E" w:rsidRDefault="008B5C33" w:rsidP="004C0C28">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94%</w:t>
            </w: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A589C" w:rsidRPr="00FE458E" w:rsidRDefault="00811DC2" w:rsidP="00AA262C">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Health Sector Support Program (HSSP)</w:t>
            </w:r>
          </w:p>
        </w:tc>
        <w:tc>
          <w:tcPr>
            <w:tcW w:w="2356" w:type="dxa"/>
            <w:tcBorders>
              <w:top w:val="single" w:sz="4" w:space="0" w:color="auto"/>
              <w:left w:val="nil"/>
              <w:bottom w:val="single" w:sz="4" w:space="0" w:color="auto"/>
              <w:right w:val="single" w:sz="4" w:space="0" w:color="auto"/>
            </w:tcBorders>
            <w:shd w:val="clear" w:color="auto" w:fill="F8F8F8"/>
            <w:vAlign w:val="center"/>
            <w:hideMark/>
          </w:tcPr>
          <w:p w:rsidR="002A589C" w:rsidRPr="00FE458E" w:rsidRDefault="002A589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Program reporting</w:t>
            </w:r>
          </w:p>
        </w:tc>
      </w:tr>
      <w:tr w:rsidR="00163C4B" w:rsidRPr="00FE458E" w:rsidTr="005B4D51">
        <w:trPr>
          <w:trHeight w:val="1035"/>
        </w:trPr>
        <w:tc>
          <w:tcPr>
            <w:tcW w:w="1683" w:type="dxa"/>
            <w:gridSpan w:val="2"/>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925" w:type="dxa"/>
            <w:tcBorders>
              <w:top w:val="single" w:sz="4" w:space="0" w:color="auto"/>
              <w:left w:val="nil"/>
              <w:bottom w:val="single" w:sz="4" w:space="0" w:color="auto"/>
              <w:right w:val="single" w:sz="4" w:space="0" w:color="auto"/>
            </w:tcBorders>
            <w:shd w:val="clear" w:color="auto" w:fill="F8F8F8"/>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1.2 Number of family planning/contraceptive contacts at all health facilities per year (per 1</w:t>
            </w:r>
            <w:r w:rsidR="00811DC2">
              <w:rPr>
                <w:rFonts w:ascii="Calibri" w:eastAsia="Times New Roman" w:hAnsi="Calibri" w:cs="Times New Roman"/>
                <w:color w:val="000000"/>
                <w:sz w:val="18"/>
                <w:szCs w:val="18"/>
                <w:lang w:val="en-AU" w:eastAsia="en-AU"/>
              </w:rPr>
              <w:t>,</w:t>
            </w:r>
            <w:r w:rsidRPr="00FE458E">
              <w:rPr>
                <w:rFonts w:ascii="Calibri" w:eastAsia="Times New Roman" w:hAnsi="Calibri" w:cs="Times New Roman"/>
                <w:color w:val="000000"/>
                <w:sz w:val="18"/>
                <w:szCs w:val="18"/>
                <w:lang w:val="en-AU" w:eastAsia="en-AU"/>
              </w:rPr>
              <w:t>000 of population)</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260</w:t>
            </w:r>
          </w:p>
        </w:tc>
        <w:tc>
          <w:tcPr>
            <w:tcW w:w="1336" w:type="dxa"/>
            <w:gridSpan w:val="2"/>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344</w:t>
            </w:r>
          </w:p>
        </w:tc>
        <w:tc>
          <w:tcPr>
            <w:tcW w:w="1319" w:type="dxa"/>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413</w:t>
            </w:r>
          </w:p>
        </w:tc>
        <w:tc>
          <w:tcPr>
            <w:tcW w:w="1224" w:type="dxa"/>
            <w:gridSpan w:val="2"/>
            <w:tcBorders>
              <w:top w:val="single" w:sz="4" w:space="0" w:color="auto"/>
              <w:left w:val="nil"/>
              <w:bottom w:val="single" w:sz="4" w:space="0" w:color="auto"/>
              <w:right w:val="single" w:sz="4" w:space="0" w:color="auto"/>
            </w:tcBorders>
            <w:shd w:val="clear" w:color="auto" w:fill="auto"/>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434</w:t>
            </w:r>
          </w:p>
        </w:tc>
        <w:tc>
          <w:tcPr>
            <w:tcW w:w="1402" w:type="dxa"/>
            <w:gridSpan w:val="2"/>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426</w:t>
            </w:r>
          </w:p>
        </w:tc>
        <w:tc>
          <w:tcPr>
            <w:tcW w:w="1127" w:type="dxa"/>
            <w:gridSpan w:val="2"/>
            <w:tcBorders>
              <w:top w:val="single" w:sz="4" w:space="0" w:color="auto"/>
              <w:left w:val="nil"/>
              <w:bottom w:val="single" w:sz="4" w:space="0" w:color="auto"/>
              <w:right w:val="single" w:sz="4" w:space="0" w:color="auto"/>
            </w:tcBorders>
            <w:shd w:val="clear" w:color="auto" w:fill="F8F8F8"/>
            <w:vAlign w:val="center"/>
          </w:tcPr>
          <w:p w:rsidR="00163C4B" w:rsidRPr="00A3529F"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447</w:t>
            </w: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825329">
              <w:rPr>
                <w:rFonts w:ascii="Calibri" w:eastAsia="Times New Roman" w:hAnsi="Calibri" w:cs="Times New Roman"/>
                <w:color w:val="000000"/>
                <w:sz w:val="18"/>
                <w:szCs w:val="18"/>
                <w:lang w:val="en-AU" w:eastAsia="en-AU"/>
              </w:rPr>
              <w:t>HSSP</w:t>
            </w:r>
          </w:p>
        </w:tc>
        <w:tc>
          <w:tcPr>
            <w:tcW w:w="2356" w:type="dxa"/>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Core indicator report</w:t>
            </w:r>
          </w:p>
        </w:tc>
      </w:tr>
      <w:tr w:rsidR="00163C4B" w:rsidRPr="00FE458E" w:rsidTr="005B4D51">
        <w:trPr>
          <w:trHeight w:val="600"/>
        </w:trPr>
        <w:tc>
          <w:tcPr>
            <w:tcW w:w="1683" w:type="dxa"/>
            <w:gridSpan w:val="2"/>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925" w:type="dxa"/>
            <w:tcBorders>
              <w:top w:val="single" w:sz="4" w:space="0" w:color="auto"/>
              <w:left w:val="nil"/>
              <w:bottom w:val="single" w:sz="4" w:space="0" w:color="auto"/>
              <w:right w:val="single" w:sz="4" w:space="0" w:color="auto"/>
            </w:tcBorders>
            <w:shd w:val="clear" w:color="auto" w:fill="F8F8F8"/>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1.3 Health care providers trained in care of gender-based violence</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w:t>
            </w:r>
          </w:p>
        </w:tc>
        <w:tc>
          <w:tcPr>
            <w:tcW w:w="1336" w:type="dxa"/>
            <w:gridSpan w:val="2"/>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w:t>
            </w:r>
          </w:p>
        </w:tc>
        <w:tc>
          <w:tcPr>
            <w:tcW w:w="1319" w:type="dxa"/>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102</w:t>
            </w:r>
          </w:p>
        </w:tc>
        <w:tc>
          <w:tcPr>
            <w:tcW w:w="1224" w:type="dxa"/>
            <w:gridSpan w:val="2"/>
            <w:tcBorders>
              <w:top w:val="single" w:sz="4" w:space="0" w:color="auto"/>
              <w:left w:val="nil"/>
              <w:bottom w:val="single" w:sz="4" w:space="0" w:color="auto"/>
              <w:right w:val="single" w:sz="4" w:space="0" w:color="auto"/>
            </w:tcBorders>
            <w:shd w:val="clear" w:color="auto" w:fill="auto"/>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sidRPr="00FE458E">
              <w:rPr>
                <w:rFonts w:ascii="Calibri" w:eastAsia="Times New Roman" w:hAnsi="Calibri" w:cs="Times New Roman"/>
                <w:color w:val="auto"/>
                <w:sz w:val="18"/>
                <w:szCs w:val="18"/>
                <w:lang w:val="en-AU" w:eastAsia="en-AU"/>
              </w:rPr>
              <w:t>150</w:t>
            </w:r>
          </w:p>
        </w:tc>
        <w:tc>
          <w:tcPr>
            <w:tcW w:w="1402" w:type="dxa"/>
            <w:gridSpan w:val="2"/>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45</w:t>
            </w:r>
          </w:p>
        </w:tc>
        <w:tc>
          <w:tcPr>
            <w:tcW w:w="1127" w:type="dxa"/>
            <w:gridSpan w:val="2"/>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150</w:t>
            </w: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825329">
              <w:rPr>
                <w:rFonts w:ascii="Calibri" w:eastAsia="Times New Roman" w:hAnsi="Calibri" w:cs="Times New Roman"/>
                <w:color w:val="000000"/>
                <w:sz w:val="18"/>
                <w:szCs w:val="18"/>
                <w:lang w:val="en-AU" w:eastAsia="en-AU"/>
              </w:rPr>
              <w:t>HSSP</w:t>
            </w:r>
          </w:p>
        </w:tc>
        <w:tc>
          <w:tcPr>
            <w:tcW w:w="2356" w:type="dxa"/>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Program reporting</w:t>
            </w:r>
          </w:p>
        </w:tc>
      </w:tr>
      <w:tr w:rsidR="00163C4B" w:rsidRPr="00FE458E" w:rsidTr="005B4D51">
        <w:trPr>
          <w:trHeight w:val="480"/>
        </w:trPr>
        <w:tc>
          <w:tcPr>
            <w:tcW w:w="1683" w:type="dxa"/>
            <w:gridSpan w:val="2"/>
            <w:vMerge/>
            <w:tcBorders>
              <w:top w:val="single" w:sz="4" w:space="0" w:color="auto"/>
              <w:left w:val="single" w:sz="4" w:space="0" w:color="auto"/>
              <w:bottom w:val="nil"/>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925" w:type="dxa"/>
            <w:tcBorders>
              <w:top w:val="single" w:sz="4" w:space="0" w:color="auto"/>
              <w:left w:val="nil"/>
              <w:bottom w:val="single" w:sz="4" w:space="0" w:color="auto"/>
              <w:right w:val="single" w:sz="4" w:space="0" w:color="auto"/>
            </w:tcBorders>
            <w:shd w:val="clear" w:color="auto" w:fill="F8F8F8"/>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1.4 Percentage of national budget directed to health</w:t>
            </w:r>
          </w:p>
        </w:tc>
        <w:tc>
          <w:tcPr>
            <w:tcW w:w="1246" w:type="dxa"/>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12.0%</w:t>
            </w:r>
          </w:p>
        </w:tc>
        <w:tc>
          <w:tcPr>
            <w:tcW w:w="1336" w:type="dxa"/>
            <w:gridSpan w:val="2"/>
            <w:tcBorders>
              <w:top w:val="single" w:sz="4" w:space="0" w:color="auto"/>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12.5%</w:t>
            </w:r>
          </w:p>
        </w:tc>
        <w:tc>
          <w:tcPr>
            <w:tcW w:w="1319" w:type="dxa"/>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11.8%</w:t>
            </w:r>
          </w:p>
        </w:tc>
        <w:tc>
          <w:tcPr>
            <w:tcW w:w="1224" w:type="dxa"/>
            <w:gridSpan w:val="2"/>
            <w:tcBorders>
              <w:top w:val="single" w:sz="4" w:space="0" w:color="auto"/>
              <w:left w:val="nil"/>
              <w:bottom w:val="single" w:sz="4" w:space="0" w:color="auto"/>
              <w:right w:val="single" w:sz="4" w:space="0" w:color="auto"/>
            </w:tcBorders>
            <w:shd w:val="clear" w:color="auto" w:fill="auto"/>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12.5%</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13.5%</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12.5%</w:t>
            </w: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825329">
              <w:rPr>
                <w:rFonts w:ascii="Calibri" w:eastAsia="Times New Roman" w:hAnsi="Calibri" w:cs="Times New Roman"/>
                <w:color w:val="000000"/>
                <w:sz w:val="18"/>
                <w:szCs w:val="18"/>
                <w:lang w:val="en-AU" w:eastAsia="en-AU"/>
              </w:rPr>
              <w:t>HSSP</w:t>
            </w:r>
          </w:p>
        </w:tc>
        <w:tc>
          <w:tcPr>
            <w:tcW w:w="235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Program reporting</w:t>
            </w:r>
          </w:p>
        </w:tc>
      </w:tr>
      <w:tr w:rsidR="00163C4B" w:rsidRPr="00FE458E" w:rsidTr="005B4D51">
        <w:trPr>
          <w:trHeight w:val="720"/>
        </w:trPr>
        <w:tc>
          <w:tcPr>
            <w:tcW w:w="1683" w:type="dxa"/>
            <w:gridSpan w:val="2"/>
            <w:vMerge/>
            <w:tcBorders>
              <w:top w:val="nil"/>
              <w:left w:val="single" w:sz="4" w:space="0" w:color="auto"/>
              <w:bottom w:val="nil"/>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925" w:type="dxa"/>
            <w:tcBorders>
              <w:top w:val="nil"/>
              <w:left w:val="nil"/>
              <w:bottom w:val="single" w:sz="4" w:space="0" w:color="auto"/>
              <w:right w:val="single" w:sz="4" w:space="0" w:color="auto"/>
            </w:tcBorders>
            <w:shd w:val="clear" w:color="auto" w:fill="F8F8F8"/>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1.5  Percentage of national budget directed to provincial primary health services</w:t>
            </w:r>
          </w:p>
        </w:tc>
        <w:tc>
          <w:tcPr>
            <w:tcW w:w="1246" w:type="dxa"/>
            <w:tcBorders>
              <w:top w:val="nil"/>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37%</w:t>
            </w:r>
          </w:p>
        </w:tc>
        <w:tc>
          <w:tcPr>
            <w:tcW w:w="1336" w:type="dxa"/>
            <w:gridSpan w:val="2"/>
            <w:tcBorders>
              <w:top w:val="nil"/>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37.7%</w:t>
            </w:r>
          </w:p>
        </w:tc>
        <w:tc>
          <w:tcPr>
            <w:tcW w:w="1319" w:type="dxa"/>
            <w:tcBorders>
              <w:top w:val="nil"/>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40%</w:t>
            </w:r>
          </w:p>
        </w:tc>
        <w:tc>
          <w:tcPr>
            <w:tcW w:w="1224" w:type="dxa"/>
            <w:gridSpan w:val="2"/>
            <w:tcBorders>
              <w:top w:val="nil"/>
              <w:left w:val="nil"/>
              <w:bottom w:val="single" w:sz="4" w:space="0" w:color="auto"/>
              <w:right w:val="single" w:sz="4" w:space="0" w:color="auto"/>
            </w:tcBorders>
            <w:shd w:val="clear" w:color="auto" w:fill="auto"/>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37%</w:t>
            </w:r>
          </w:p>
        </w:tc>
        <w:tc>
          <w:tcPr>
            <w:tcW w:w="1402" w:type="dxa"/>
            <w:gridSpan w:val="2"/>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38%</w:t>
            </w:r>
          </w:p>
        </w:tc>
        <w:tc>
          <w:tcPr>
            <w:tcW w:w="1127" w:type="dxa"/>
            <w:gridSpan w:val="2"/>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37%</w:t>
            </w: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825329">
              <w:rPr>
                <w:rFonts w:ascii="Calibri" w:eastAsia="Times New Roman" w:hAnsi="Calibri" w:cs="Times New Roman"/>
                <w:color w:val="000000"/>
                <w:sz w:val="18"/>
                <w:szCs w:val="18"/>
                <w:lang w:val="en-AU" w:eastAsia="en-AU"/>
              </w:rPr>
              <w:t>HSSP</w:t>
            </w:r>
          </w:p>
        </w:tc>
        <w:tc>
          <w:tcPr>
            <w:tcW w:w="2356" w:type="dxa"/>
            <w:tcBorders>
              <w:top w:val="nil"/>
              <w:left w:val="nil"/>
              <w:bottom w:val="single" w:sz="4" w:space="0" w:color="auto"/>
              <w:right w:val="single" w:sz="4" w:space="0" w:color="auto"/>
            </w:tcBorders>
            <w:shd w:val="clear" w:color="auto" w:fill="F8F8F8"/>
            <w:vAlign w:val="center"/>
            <w:hideMark/>
          </w:tcPr>
          <w:p w:rsidR="00163C4B" w:rsidRPr="00FE458E" w:rsidRDefault="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Program reporting</w:t>
            </w:r>
          </w:p>
        </w:tc>
      </w:tr>
      <w:tr w:rsidR="00163C4B" w:rsidRPr="00FE458E" w:rsidTr="005B4D51">
        <w:trPr>
          <w:trHeight w:val="1200"/>
        </w:trPr>
        <w:tc>
          <w:tcPr>
            <w:tcW w:w="1683" w:type="dxa"/>
            <w:gridSpan w:val="2"/>
            <w:vMerge w:val="restart"/>
            <w:tcBorders>
              <w:top w:val="single" w:sz="4" w:space="0" w:color="auto"/>
              <w:left w:val="single" w:sz="4" w:space="0" w:color="auto"/>
              <w:bottom w:val="single" w:sz="4" w:space="0" w:color="000000"/>
              <w:right w:val="single" w:sz="4" w:space="0" w:color="auto"/>
            </w:tcBorders>
            <w:shd w:val="clear" w:color="auto" w:fill="F8F8F8"/>
            <w:hideMark/>
          </w:tcPr>
          <w:p w:rsidR="00163C4B" w:rsidRPr="00FE458E" w:rsidRDefault="00163C4B" w:rsidP="00900625">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b/>
                <w:bCs/>
                <w:color w:val="000000"/>
                <w:sz w:val="18"/>
                <w:szCs w:val="18"/>
                <w:lang w:val="en-AU" w:eastAsia="en-AU"/>
              </w:rPr>
              <w:t xml:space="preserve">Outcome </w:t>
            </w:r>
            <w:r>
              <w:rPr>
                <w:rFonts w:ascii="Calibri" w:eastAsia="Times New Roman" w:hAnsi="Calibri" w:cs="Times New Roman"/>
                <w:b/>
                <w:bCs/>
                <w:color w:val="000000"/>
                <w:sz w:val="18"/>
                <w:szCs w:val="18"/>
                <w:lang w:val="en-AU" w:eastAsia="en-AU"/>
              </w:rPr>
              <w:t>3.5</w:t>
            </w:r>
            <w:r w:rsidRPr="00FE458E">
              <w:rPr>
                <w:rFonts w:ascii="Calibri" w:eastAsia="Times New Roman" w:hAnsi="Calibri" w:cs="Times New Roman"/>
                <w:b/>
                <w:bCs/>
                <w:color w:val="000000"/>
                <w:sz w:val="18"/>
                <w:szCs w:val="18"/>
                <w:lang w:val="en-AU" w:eastAsia="en-AU"/>
              </w:rPr>
              <w:t xml:space="preserve">: </w:t>
            </w:r>
            <w:r w:rsidRPr="00FE458E">
              <w:rPr>
                <w:rFonts w:ascii="Calibri" w:eastAsia="Times New Roman" w:hAnsi="Calibri" w:cs="Times New Roman"/>
                <w:color w:val="000000"/>
                <w:sz w:val="18"/>
                <w:szCs w:val="18"/>
                <w:lang w:val="en-AU" w:eastAsia="en-AU"/>
              </w:rPr>
              <w:t xml:space="preserve">Improved ability </w:t>
            </w:r>
            <w:r w:rsidR="00900625">
              <w:rPr>
                <w:rFonts w:ascii="Calibri" w:eastAsia="Times New Roman" w:hAnsi="Calibri" w:cs="Times New Roman"/>
                <w:color w:val="000000"/>
                <w:sz w:val="18"/>
                <w:szCs w:val="18"/>
                <w:lang w:val="en-AU" w:eastAsia="en-AU"/>
              </w:rPr>
              <w:t>o</w:t>
            </w:r>
            <w:r w:rsidRPr="00FE458E">
              <w:rPr>
                <w:rFonts w:ascii="Calibri" w:eastAsia="Times New Roman" w:hAnsi="Calibri" w:cs="Times New Roman"/>
                <w:color w:val="000000"/>
                <w:sz w:val="18"/>
                <w:szCs w:val="18"/>
                <w:lang w:val="en-AU" w:eastAsia="en-AU"/>
              </w:rPr>
              <w:t xml:space="preserve">f the </w:t>
            </w:r>
            <w:r w:rsidR="00900625" w:rsidRPr="00FE458E">
              <w:rPr>
                <w:rFonts w:ascii="Calibri" w:eastAsia="Times New Roman" w:hAnsi="Calibri" w:cs="Times New Roman"/>
                <w:color w:val="000000"/>
                <w:sz w:val="18"/>
                <w:szCs w:val="18"/>
                <w:lang w:val="en-AU" w:eastAsia="en-AU"/>
              </w:rPr>
              <w:t>M</w:t>
            </w:r>
            <w:r w:rsidR="00900625">
              <w:rPr>
                <w:rFonts w:ascii="Calibri" w:eastAsia="Times New Roman" w:hAnsi="Calibri" w:cs="Times New Roman"/>
                <w:color w:val="000000"/>
                <w:sz w:val="18"/>
                <w:szCs w:val="18"/>
                <w:lang w:val="en-AU" w:eastAsia="en-AU"/>
              </w:rPr>
              <w:t>inistry of Health</w:t>
            </w:r>
            <w:r w:rsidR="00900625" w:rsidRPr="00FE458E">
              <w:rPr>
                <w:rFonts w:ascii="Calibri" w:eastAsia="Times New Roman" w:hAnsi="Calibri" w:cs="Times New Roman"/>
                <w:color w:val="000000"/>
                <w:sz w:val="18"/>
                <w:szCs w:val="18"/>
                <w:lang w:val="en-AU" w:eastAsia="en-AU"/>
              </w:rPr>
              <w:t xml:space="preserve"> </w:t>
            </w:r>
            <w:r w:rsidRPr="00FE458E">
              <w:rPr>
                <w:rFonts w:ascii="Calibri" w:eastAsia="Times New Roman" w:hAnsi="Calibri" w:cs="Times New Roman"/>
                <w:color w:val="000000"/>
                <w:sz w:val="18"/>
                <w:szCs w:val="18"/>
                <w:lang w:val="en-AU" w:eastAsia="en-AU"/>
              </w:rPr>
              <w:t>to deliver health services</w:t>
            </w:r>
          </w:p>
        </w:tc>
        <w:tc>
          <w:tcPr>
            <w:tcW w:w="1925" w:type="dxa"/>
            <w:tcBorders>
              <w:top w:val="nil"/>
              <w:left w:val="nil"/>
              <w:bottom w:val="single" w:sz="4" w:space="0" w:color="auto"/>
              <w:right w:val="single" w:sz="4" w:space="0" w:color="auto"/>
            </w:tcBorders>
            <w:shd w:val="clear" w:color="auto" w:fill="F8F8F8"/>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2.1 Priority national health reform policies adopted</w:t>
            </w:r>
          </w:p>
        </w:tc>
        <w:tc>
          <w:tcPr>
            <w:tcW w:w="1246" w:type="dxa"/>
            <w:tcBorders>
              <w:top w:val="nil"/>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336" w:type="dxa"/>
            <w:gridSpan w:val="2"/>
            <w:tcBorders>
              <w:top w:val="nil"/>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 </w:t>
            </w:r>
          </w:p>
        </w:tc>
        <w:tc>
          <w:tcPr>
            <w:tcW w:w="1319" w:type="dxa"/>
            <w:tcBorders>
              <w:top w:val="nil"/>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 xml:space="preserve">Role delineation policy adopted. </w:t>
            </w:r>
          </w:p>
        </w:tc>
        <w:tc>
          <w:tcPr>
            <w:tcW w:w="1224" w:type="dxa"/>
            <w:gridSpan w:val="2"/>
            <w:tcBorders>
              <w:top w:val="nil"/>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Role Delineation Policy impl'tn  targets agreed (various)</w:t>
            </w:r>
          </w:p>
        </w:tc>
        <w:tc>
          <w:tcPr>
            <w:tcW w:w="1402" w:type="dxa"/>
            <w:gridSpan w:val="2"/>
            <w:tcBorders>
              <w:top w:val="nil"/>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 xml:space="preserve">3 priority </w:t>
            </w:r>
            <w:proofErr w:type="spellStart"/>
            <w:r>
              <w:rPr>
                <w:rFonts w:ascii="Calibri" w:eastAsia="Times New Roman" w:hAnsi="Calibri" w:cs="Times New Roman"/>
                <w:color w:val="auto"/>
                <w:sz w:val="18"/>
                <w:szCs w:val="18"/>
                <w:lang w:val="en-AU" w:eastAsia="en-AU"/>
              </w:rPr>
              <w:t>impl</w:t>
            </w:r>
            <w:proofErr w:type="spellEnd"/>
            <w:r>
              <w:rPr>
                <w:rFonts w:ascii="Calibri" w:eastAsia="Times New Roman" w:hAnsi="Calibri" w:cs="Times New Roman"/>
                <w:color w:val="auto"/>
                <w:sz w:val="18"/>
                <w:szCs w:val="18"/>
                <w:lang w:val="en-AU" w:eastAsia="en-AU"/>
              </w:rPr>
              <w:t>. targets agreed &amp; included in annual perf. assessment - 80% achieved</w:t>
            </w:r>
          </w:p>
        </w:tc>
        <w:tc>
          <w:tcPr>
            <w:tcW w:w="1127" w:type="dxa"/>
            <w:gridSpan w:val="2"/>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825329">
              <w:rPr>
                <w:rFonts w:ascii="Calibri" w:eastAsia="Times New Roman" w:hAnsi="Calibri" w:cs="Times New Roman"/>
                <w:color w:val="000000"/>
                <w:sz w:val="18"/>
                <w:szCs w:val="18"/>
                <w:lang w:val="en-AU" w:eastAsia="en-AU"/>
              </w:rPr>
              <w:t>HSSP</w:t>
            </w:r>
          </w:p>
        </w:tc>
        <w:tc>
          <w:tcPr>
            <w:tcW w:w="2356" w:type="dxa"/>
            <w:tcBorders>
              <w:top w:val="nil"/>
              <w:left w:val="nil"/>
              <w:bottom w:val="single" w:sz="4" w:space="0" w:color="auto"/>
              <w:right w:val="single" w:sz="4" w:space="0" w:color="auto"/>
            </w:tcBorders>
            <w:shd w:val="clear" w:color="auto" w:fill="F8F8F8"/>
            <w:vAlign w:val="center"/>
            <w:hideMark/>
          </w:tcPr>
          <w:p w:rsidR="00163C4B" w:rsidRPr="00FE458E" w:rsidRDefault="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Program reporting</w:t>
            </w:r>
          </w:p>
        </w:tc>
      </w:tr>
      <w:tr w:rsidR="00163C4B" w:rsidRPr="00FE458E" w:rsidTr="005B4D51">
        <w:trPr>
          <w:trHeight w:val="480"/>
        </w:trPr>
        <w:tc>
          <w:tcPr>
            <w:tcW w:w="1683" w:type="dxa"/>
            <w:gridSpan w:val="2"/>
            <w:vMerge/>
            <w:tcBorders>
              <w:top w:val="single" w:sz="4" w:space="0" w:color="auto"/>
              <w:left w:val="single" w:sz="4" w:space="0" w:color="auto"/>
              <w:bottom w:val="single" w:sz="4" w:space="0" w:color="000000"/>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925" w:type="dxa"/>
            <w:tcBorders>
              <w:top w:val="nil"/>
              <w:left w:val="nil"/>
              <w:bottom w:val="single" w:sz="4" w:space="0" w:color="auto"/>
              <w:right w:val="single" w:sz="4" w:space="0" w:color="auto"/>
            </w:tcBorders>
            <w:shd w:val="clear" w:color="auto" w:fill="F8F8F8"/>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2.2  Percent</w:t>
            </w:r>
            <w:r w:rsidR="00811DC2">
              <w:rPr>
                <w:rFonts w:ascii="Calibri" w:eastAsia="Times New Roman" w:hAnsi="Calibri" w:cs="Times New Roman"/>
                <w:color w:val="000000"/>
                <w:sz w:val="18"/>
                <w:szCs w:val="18"/>
                <w:lang w:val="en-AU" w:eastAsia="en-AU"/>
              </w:rPr>
              <w:t>age</w:t>
            </w:r>
            <w:r w:rsidRPr="00FE458E">
              <w:rPr>
                <w:rFonts w:ascii="Calibri" w:eastAsia="Times New Roman" w:hAnsi="Calibri" w:cs="Times New Roman"/>
                <w:color w:val="000000"/>
                <w:sz w:val="18"/>
                <w:szCs w:val="18"/>
                <w:lang w:val="en-AU" w:eastAsia="en-AU"/>
              </w:rPr>
              <w:t xml:space="preserve"> of </w:t>
            </w:r>
            <w:r w:rsidR="00900625">
              <w:rPr>
                <w:rFonts w:ascii="Calibri" w:eastAsia="Times New Roman" w:hAnsi="Calibri" w:cs="Times New Roman"/>
                <w:color w:val="000000"/>
                <w:sz w:val="18"/>
                <w:szCs w:val="18"/>
                <w:lang w:val="en-AU" w:eastAsia="en-AU"/>
              </w:rPr>
              <w:t>Annual Operating Plan</w:t>
            </w:r>
            <w:r w:rsidR="00900625" w:rsidRPr="00FE458E">
              <w:rPr>
                <w:rFonts w:ascii="Calibri" w:eastAsia="Times New Roman" w:hAnsi="Calibri" w:cs="Times New Roman"/>
                <w:color w:val="000000"/>
                <w:sz w:val="18"/>
                <w:szCs w:val="18"/>
                <w:lang w:val="en-AU" w:eastAsia="en-AU"/>
              </w:rPr>
              <w:t xml:space="preserve">s </w:t>
            </w:r>
            <w:r w:rsidRPr="00FE458E">
              <w:rPr>
                <w:rFonts w:ascii="Calibri" w:eastAsia="Times New Roman" w:hAnsi="Calibri" w:cs="Times New Roman"/>
                <w:color w:val="000000"/>
                <w:sz w:val="18"/>
                <w:szCs w:val="18"/>
                <w:lang w:val="en-AU" w:eastAsia="en-AU"/>
              </w:rPr>
              <w:t>and budgets submitted by Provinces</w:t>
            </w:r>
          </w:p>
        </w:tc>
        <w:tc>
          <w:tcPr>
            <w:tcW w:w="1246" w:type="dxa"/>
            <w:tcBorders>
              <w:top w:val="nil"/>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100%</w:t>
            </w:r>
          </w:p>
        </w:tc>
        <w:tc>
          <w:tcPr>
            <w:tcW w:w="1336" w:type="dxa"/>
            <w:gridSpan w:val="2"/>
            <w:tcBorders>
              <w:top w:val="nil"/>
              <w:left w:val="nil"/>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100%</w:t>
            </w:r>
          </w:p>
        </w:tc>
        <w:tc>
          <w:tcPr>
            <w:tcW w:w="1319" w:type="dxa"/>
            <w:tcBorders>
              <w:top w:val="nil"/>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100%</w:t>
            </w:r>
          </w:p>
        </w:tc>
        <w:tc>
          <w:tcPr>
            <w:tcW w:w="1224" w:type="dxa"/>
            <w:gridSpan w:val="2"/>
            <w:tcBorders>
              <w:top w:val="nil"/>
              <w:left w:val="nil"/>
              <w:bottom w:val="single" w:sz="4" w:space="0" w:color="auto"/>
              <w:right w:val="single" w:sz="4" w:space="0" w:color="auto"/>
            </w:tcBorders>
            <w:shd w:val="clear" w:color="auto" w:fill="auto"/>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100%</w:t>
            </w:r>
          </w:p>
        </w:tc>
        <w:tc>
          <w:tcPr>
            <w:tcW w:w="1402" w:type="dxa"/>
            <w:gridSpan w:val="2"/>
            <w:tcBorders>
              <w:top w:val="nil"/>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100%</w:t>
            </w:r>
          </w:p>
        </w:tc>
        <w:tc>
          <w:tcPr>
            <w:tcW w:w="1127" w:type="dxa"/>
            <w:gridSpan w:val="2"/>
            <w:tcBorders>
              <w:top w:val="single" w:sz="4" w:space="0" w:color="auto"/>
              <w:left w:val="nil"/>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100%</w:t>
            </w: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FD10CE">
              <w:rPr>
                <w:rFonts w:ascii="Calibri" w:eastAsia="Times New Roman" w:hAnsi="Calibri" w:cs="Times New Roman"/>
                <w:color w:val="000000"/>
                <w:sz w:val="18"/>
                <w:szCs w:val="18"/>
                <w:lang w:val="en-AU" w:eastAsia="en-AU"/>
              </w:rPr>
              <w:t>HSSP</w:t>
            </w:r>
          </w:p>
        </w:tc>
        <w:tc>
          <w:tcPr>
            <w:tcW w:w="2356" w:type="dxa"/>
            <w:tcBorders>
              <w:top w:val="nil"/>
              <w:left w:val="nil"/>
              <w:bottom w:val="single" w:sz="4" w:space="0" w:color="auto"/>
              <w:right w:val="single" w:sz="4" w:space="0" w:color="auto"/>
            </w:tcBorders>
            <w:shd w:val="clear" w:color="auto" w:fill="F8F8F8"/>
            <w:vAlign w:val="center"/>
            <w:hideMark/>
          </w:tcPr>
          <w:p w:rsidR="00163C4B" w:rsidRPr="00FE458E" w:rsidRDefault="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Program reporting</w:t>
            </w:r>
          </w:p>
        </w:tc>
      </w:tr>
      <w:tr w:rsidR="00163C4B" w:rsidRPr="00FE458E" w:rsidTr="005B4D51">
        <w:trPr>
          <w:trHeight w:val="480"/>
        </w:trPr>
        <w:tc>
          <w:tcPr>
            <w:tcW w:w="1683" w:type="dxa"/>
            <w:gridSpan w:val="2"/>
            <w:vMerge/>
            <w:tcBorders>
              <w:top w:val="single" w:sz="4" w:space="0" w:color="auto"/>
              <w:left w:val="single" w:sz="4" w:space="0" w:color="auto"/>
              <w:bottom w:val="single" w:sz="4" w:space="0" w:color="000000"/>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p>
        </w:tc>
        <w:tc>
          <w:tcPr>
            <w:tcW w:w="1925" w:type="dxa"/>
            <w:tcBorders>
              <w:top w:val="single" w:sz="4" w:space="0" w:color="auto"/>
              <w:left w:val="nil"/>
              <w:bottom w:val="single" w:sz="4" w:space="0" w:color="auto"/>
              <w:right w:val="single" w:sz="4" w:space="0" w:color="auto"/>
            </w:tcBorders>
            <w:shd w:val="clear" w:color="auto" w:fill="F8F8F8"/>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2.3 Percent</w:t>
            </w:r>
            <w:r w:rsidR="00811DC2">
              <w:rPr>
                <w:rFonts w:ascii="Calibri" w:eastAsia="Times New Roman" w:hAnsi="Calibri" w:cs="Times New Roman"/>
                <w:color w:val="000000"/>
                <w:sz w:val="18"/>
                <w:szCs w:val="18"/>
                <w:lang w:val="en-AU" w:eastAsia="en-AU"/>
              </w:rPr>
              <w:t>age</w:t>
            </w:r>
            <w:r w:rsidRPr="00FE458E">
              <w:rPr>
                <w:rFonts w:ascii="Calibri" w:eastAsia="Times New Roman" w:hAnsi="Calibri" w:cs="Times New Roman"/>
                <w:color w:val="000000"/>
                <w:sz w:val="18"/>
                <w:szCs w:val="18"/>
                <w:lang w:val="en-AU" w:eastAsia="en-AU"/>
              </w:rPr>
              <w:t xml:space="preserve"> of imprests that are less than 90 days overview from Provinces</w:t>
            </w:r>
          </w:p>
        </w:tc>
        <w:tc>
          <w:tcPr>
            <w:tcW w:w="124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 </w:t>
            </w:r>
          </w:p>
        </w:tc>
        <w:tc>
          <w:tcPr>
            <w:tcW w:w="1319" w:type="dxa"/>
            <w:tcBorders>
              <w:top w:val="single" w:sz="4" w:space="0" w:color="auto"/>
              <w:left w:val="single" w:sz="4" w:space="0" w:color="auto"/>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77%</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100%</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50%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8F8F8"/>
            <w:vAlign w:val="center"/>
          </w:tcPr>
          <w:p w:rsidR="00163C4B" w:rsidRPr="00FE458E" w:rsidRDefault="00163C4B" w:rsidP="00163C4B">
            <w:pPr>
              <w:suppressAutoHyphens w:val="0"/>
              <w:spacing w:before="0" w:after="0" w:line="240" w:lineRule="auto"/>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100%</w:t>
            </w:r>
          </w:p>
        </w:tc>
        <w:tc>
          <w:tcPr>
            <w:tcW w:w="140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rsidP="00AA262C">
            <w:pPr>
              <w:suppressAutoHyphens w:val="0"/>
              <w:spacing w:before="0" w:after="0" w:line="240" w:lineRule="auto"/>
              <w:rPr>
                <w:rFonts w:ascii="Calibri" w:eastAsia="Times New Roman" w:hAnsi="Calibri" w:cs="Times New Roman"/>
                <w:color w:val="000000"/>
                <w:sz w:val="18"/>
                <w:szCs w:val="18"/>
                <w:lang w:val="en-AU" w:eastAsia="en-AU"/>
              </w:rPr>
            </w:pPr>
            <w:r w:rsidRPr="00FD10CE">
              <w:rPr>
                <w:rFonts w:ascii="Calibri" w:eastAsia="Times New Roman" w:hAnsi="Calibri" w:cs="Times New Roman"/>
                <w:color w:val="000000"/>
                <w:sz w:val="18"/>
                <w:szCs w:val="18"/>
                <w:lang w:val="en-AU" w:eastAsia="en-AU"/>
              </w:rPr>
              <w:t>HSSP</w:t>
            </w:r>
          </w:p>
        </w:tc>
        <w:tc>
          <w:tcPr>
            <w:tcW w:w="2356"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63C4B" w:rsidRPr="00FE458E" w:rsidRDefault="00163C4B">
            <w:pPr>
              <w:suppressAutoHyphens w:val="0"/>
              <w:spacing w:before="0" w:after="0" w:line="240" w:lineRule="auto"/>
              <w:rPr>
                <w:rFonts w:ascii="Calibri" w:eastAsia="Times New Roman" w:hAnsi="Calibri" w:cs="Times New Roman"/>
                <w:color w:val="000000"/>
                <w:sz w:val="18"/>
                <w:szCs w:val="18"/>
                <w:lang w:val="en-AU" w:eastAsia="en-AU"/>
              </w:rPr>
            </w:pPr>
            <w:r w:rsidRPr="00FE458E">
              <w:rPr>
                <w:rFonts w:ascii="Calibri" w:eastAsia="Times New Roman" w:hAnsi="Calibri" w:cs="Times New Roman"/>
                <w:color w:val="000000"/>
                <w:sz w:val="18"/>
                <w:szCs w:val="18"/>
                <w:lang w:val="en-AU" w:eastAsia="en-AU"/>
              </w:rPr>
              <w:t>Program reporting</w:t>
            </w:r>
          </w:p>
        </w:tc>
      </w:tr>
    </w:tbl>
    <w:p w:rsidR="00FE458E" w:rsidRPr="008B41C8" w:rsidRDefault="00FE458E" w:rsidP="00FE458E">
      <w:pPr>
        <w:rPr>
          <w:rFonts w:ascii="Calibri" w:eastAsia="Times New Roman" w:hAnsi="Calibri" w:cs="Times New Roman"/>
          <w:color w:val="000000"/>
          <w:sz w:val="18"/>
          <w:szCs w:val="18"/>
          <w:lang w:val="en-AU" w:eastAsia="en-AU"/>
        </w:rPr>
      </w:pPr>
      <w:r w:rsidRPr="0027449B">
        <w:rPr>
          <w:rFonts w:ascii="Calibri" w:eastAsia="Times New Roman" w:hAnsi="Calibri" w:cs="Times New Roman"/>
          <w:color w:val="000000"/>
          <w:sz w:val="18"/>
          <w:szCs w:val="18"/>
          <w:lang w:val="en-AU" w:eastAsia="en-AU"/>
        </w:rPr>
        <w:t xml:space="preserve">* AIP Performance benchmark </w:t>
      </w:r>
    </w:p>
    <w:p w:rsidR="00D05D37" w:rsidRDefault="00FE458E" w:rsidP="00CB7A28">
      <w:pPr>
        <w:rPr>
          <w:rFonts w:eastAsiaTheme="majorEastAsia" w:cstheme="majorBidi"/>
          <w:bCs/>
          <w:iCs/>
          <w:caps/>
          <w:spacing w:val="-10"/>
          <w:kern w:val="28"/>
          <w:sz w:val="38"/>
          <w:szCs w:val="24"/>
        </w:rPr>
        <w:sectPr w:rsidR="00D05D37" w:rsidSect="00FE458E">
          <w:headerReference w:type="default" r:id="rId29"/>
          <w:pgSz w:w="16838" w:h="11906" w:orient="landscape" w:code="9"/>
          <w:pgMar w:top="1134" w:right="1527" w:bottom="1134" w:left="851" w:header="1418" w:footer="267" w:gutter="0"/>
          <w:cols w:space="397"/>
          <w:docGrid w:linePitch="360"/>
        </w:sectPr>
      </w:pPr>
      <w:r w:rsidRPr="006808DE">
        <w:rPr>
          <w:rFonts w:ascii="Calibri" w:eastAsia="Times New Roman" w:hAnsi="Calibri" w:cs="Times New Roman"/>
          <w:color w:val="000000"/>
          <w:sz w:val="18"/>
          <w:szCs w:val="18"/>
          <w:lang w:val="en-AU" w:eastAsia="en-AU"/>
        </w:rPr>
        <w:t># Vocational education indicators are listed under Objective 2.</w:t>
      </w:r>
      <w:r w:rsidR="00C05D5C">
        <w:rPr>
          <w:rFonts w:eastAsiaTheme="majorEastAsia" w:cstheme="majorBidi"/>
          <w:bCs/>
          <w:iCs/>
          <w:caps/>
          <w:spacing w:val="-10"/>
          <w:kern w:val="28"/>
          <w:sz w:val="38"/>
          <w:szCs w:val="24"/>
        </w:rPr>
        <w:br w:type="page"/>
      </w:r>
    </w:p>
    <w:p w:rsidR="00C05D5C" w:rsidRPr="00EF26B5" w:rsidRDefault="00C05D5C" w:rsidP="00550369">
      <w:pPr>
        <w:suppressAutoHyphens w:val="0"/>
        <w:spacing w:before="0" w:after="120" w:line="440" w:lineRule="atLeast"/>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rsidTr="00D05246">
        <w:trPr>
          <w:trHeight w:val="1156"/>
        </w:trPr>
        <w:tc>
          <w:tcPr>
            <w:tcW w:w="1271" w:type="dxa"/>
            <w:shd w:val="clear" w:color="auto" w:fill="D7DEE2" w:themeFill="text2" w:themeFillTint="33"/>
          </w:tcPr>
          <w:p w:rsidR="00BE737D" w:rsidRDefault="00BE737D" w:rsidP="00D05246">
            <w:pPr>
              <w:spacing w:before="80" w:after="80"/>
            </w:pPr>
            <w:r w:rsidRPr="00F75380">
              <w:rPr>
                <w:noProof/>
                <w:lang w:val="en-AU" w:eastAsia="en-AU"/>
              </w:rPr>
              <w:drawing>
                <wp:inline distT="0" distB="0" distL="0" distR="0" wp14:anchorId="5583E1F8" wp14:editId="3F80D829">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CF17A68" wp14:editId="66F1B5A1">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61D1D720" wp14:editId="4A36C735">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32851B44" wp14:editId="3773BF78">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6E85282C" wp14:editId="05630810">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3390CD4" wp14:editId="7EADF1A3">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721BE523" wp14:editId="33325159">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C6790E2" wp14:editId="1C2E07DE">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rsidTr="00D05246">
        <w:tc>
          <w:tcPr>
            <w:tcW w:w="1271" w:type="dxa"/>
            <w:shd w:val="clear" w:color="auto" w:fill="D7DEE2" w:themeFill="text2" w:themeFillTint="33"/>
          </w:tcPr>
          <w:p w:rsidR="00BE737D" w:rsidRDefault="0012501C" w:rsidP="00D05246">
            <w:pPr>
              <w:spacing w:before="80" w:after="80"/>
            </w:pPr>
            <w:r>
              <w:t>21ol9l9</w:t>
            </w:r>
            <w:r w:rsidR="00BE737D">
              <w:rPr>
                <w:noProof/>
                <w:lang w:val="en-AU" w:eastAsia="en-AU"/>
              </w:rPr>
              <w:drawing>
                <wp:inline distT="0" distB="0" distL="0" distR="0" wp14:anchorId="2CF09A5A" wp14:editId="255E4C35">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D9E5B1B" wp14:editId="2F19EA16">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0360837" wp14:editId="03E5DEA1">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49A8641" wp14:editId="571D3531">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68E80E1" wp14:editId="73F2F6AD">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AEE3ADD" wp14:editId="30551F68">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CA29A91" wp14:editId="151098F3">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38C867D0" wp14:editId="7B435F9D">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62B80E0F" wp14:editId="4A003163">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Pr="00AB289B" w:rsidRDefault="00BE737D" w:rsidP="00D05246">
            <w:pPr>
              <w:spacing w:before="80" w:after="80"/>
              <w:rPr>
                <w:sz w:val="16"/>
              </w:rPr>
            </w:pPr>
          </w:p>
        </w:tc>
        <w:tc>
          <w:tcPr>
            <w:tcW w:w="3544" w:type="dxa"/>
            <w:shd w:val="clear" w:color="auto" w:fill="D7DEE2" w:themeFill="text2" w:themeFillTint="33"/>
          </w:tcPr>
          <w:p w:rsidR="00BE737D" w:rsidRPr="00AB289B" w:rsidRDefault="00BE737D" w:rsidP="00D05246">
            <w:pPr>
              <w:spacing w:before="80" w:after="80"/>
              <w:rPr>
                <w:sz w:val="16"/>
              </w:rPr>
            </w:pPr>
          </w:p>
        </w:tc>
      </w:tr>
    </w:tbl>
    <w:p w:rsidR="006C4F09" w:rsidRPr="005C78DB" w:rsidRDefault="006C4F09" w:rsidP="00091476"/>
    <w:sectPr w:rsidR="006C4F09" w:rsidRPr="005C78DB" w:rsidSect="00D05D37">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F5" w:rsidRDefault="00726AF5" w:rsidP="00EF4574">
      <w:pPr>
        <w:spacing w:before="0" w:after="0" w:line="240" w:lineRule="auto"/>
      </w:pPr>
      <w:r>
        <w:separator/>
      </w:r>
    </w:p>
  </w:endnote>
  <w:endnote w:type="continuationSeparator" w:id="0">
    <w:p w:rsidR="00726AF5" w:rsidRDefault="00726AF5"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26B" w:rsidRDefault="00623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65" w:rsidRPr="00CD0E4B" w:rsidRDefault="00E66F65" w:rsidP="00C406F0">
    <w:pPr>
      <w:pStyle w:val="Footer"/>
    </w:pPr>
    <w:r w:rsidRPr="00CD0E4B">
      <w:rPr>
        <w:noProof/>
        <w:lang w:val="en-AU" w:eastAsia="en-AU"/>
      </w:rPr>
      <w:drawing>
        <wp:inline distT="0" distB="0" distL="0" distR="0" wp14:anchorId="2FF1C446" wp14:editId="690374DD">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E66F65" w:rsidRDefault="00E66F65">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26B" w:rsidRDefault="0062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F5" w:rsidRPr="008C5A0E" w:rsidRDefault="00726AF5" w:rsidP="001D663E">
      <w:pPr>
        <w:pStyle w:val="Footer"/>
        <w:pBdr>
          <w:top w:val="single" w:sz="4" w:space="1" w:color="495965" w:themeColor="text2"/>
        </w:pBdr>
      </w:pPr>
    </w:p>
  </w:footnote>
  <w:footnote w:type="continuationSeparator" w:id="0">
    <w:p w:rsidR="00726AF5" w:rsidRDefault="00726AF5" w:rsidP="00EF4574">
      <w:pPr>
        <w:spacing w:before="0" w:after="0" w:line="240" w:lineRule="auto"/>
      </w:pPr>
      <w:r>
        <w:continuationSeparator/>
      </w:r>
    </w:p>
  </w:footnote>
  <w:footnote w:id="1">
    <w:p w:rsidR="00E66F65" w:rsidRPr="00726670" w:rsidRDefault="00E66F65" w:rsidP="0061773E">
      <w:pPr>
        <w:pStyle w:val="FootnoteText"/>
        <w:rPr>
          <w:lang w:val="en-AU"/>
        </w:rPr>
      </w:pPr>
      <w:r>
        <w:rPr>
          <w:rStyle w:val="FootnoteReference"/>
        </w:rPr>
        <w:footnoteRef/>
      </w:r>
      <w:r>
        <w:t xml:space="preserve"> </w:t>
      </w:r>
      <w:r w:rsidRPr="00CA2357">
        <w:rPr>
          <w:sz w:val="16"/>
          <w:szCs w:val="16"/>
          <w:lang w:val="en-AU"/>
        </w:rPr>
        <w:t xml:space="preserve">UNDP, </w:t>
      </w:r>
      <w:r>
        <w:rPr>
          <w:sz w:val="16"/>
          <w:szCs w:val="16"/>
          <w:lang w:val="en-AU"/>
        </w:rPr>
        <w:t xml:space="preserve">2018, </w:t>
      </w:r>
      <w:r w:rsidRPr="00CA2357">
        <w:rPr>
          <w:sz w:val="16"/>
          <w:szCs w:val="16"/>
          <w:lang w:val="en-AU"/>
        </w:rPr>
        <w:t>Human Development Report</w:t>
      </w:r>
      <w:r>
        <w:rPr>
          <w:sz w:val="16"/>
          <w:szCs w:val="16"/>
          <w:lang w:val="en-AU"/>
        </w:rPr>
        <w:t xml:space="preserve"> 2018 Statistical Update.  Available at: </w:t>
      </w:r>
      <w:r>
        <w:t xml:space="preserve"> </w:t>
      </w:r>
      <w:hyperlink r:id="rId1" w:history="1">
        <w:r w:rsidRPr="001F35E9">
          <w:rPr>
            <w:rStyle w:val="Hyperlink"/>
            <w:rFonts w:cstheme="minorBidi"/>
            <w:sz w:val="16"/>
            <w:szCs w:val="16"/>
          </w:rPr>
          <w:t>http://hdr.undp.org/en/2018-update</w:t>
        </w:r>
      </w:hyperlink>
      <w:r>
        <w:rPr>
          <w:sz w:val="16"/>
          <w:szCs w:val="16"/>
        </w:rPr>
        <w:t xml:space="preserve">.  </w:t>
      </w:r>
    </w:p>
  </w:footnote>
  <w:footnote w:id="2">
    <w:p w:rsidR="00E66F65" w:rsidRPr="00FE3663" w:rsidRDefault="00E66F65" w:rsidP="007D110D">
      <w:pPr>
        <w:pStyle w:val="FootnoteText"/>
        <w:rPr>
          <w:lang w:val="en-AU"/>
        </w:rPr>
      </w:pPr>
      <w:r>
        <w:rPr>
          <w:rStyle w:val="FootnoteReference"/>
        </w:rPr>
        <w:footnoteRef/>
      </w:r>
      <w:r>
        <w:t xml:space="preserve"> </w:t>
      </w:r>
      <w:r w:rsidRPr="00FE3663">
        <w:rPr>
          <w:sz w:val="16"/>
          <w:szCs w:val="16"/>
          <w:lang w:val="en-AU"/>
        </w:rPr>
        <w:t>Asian Development Bank, 2019, Pacific Economic Monitor</w:t>
      </w:r>
      <w:r w:rsidRPr="00BD7C35">
        <w:rPr>
          <w:sz w:val="16"/>
          <w:szCs w:val="16"/>
          <w:lang w:val="en-AU"/>
        </w:rPr>
        <w:t xml:space="preserve">.  </w:t>
      </w:r>
      <w:r w:rsidRPr="00FE3663">
        <w:rPr>
          <w:sz w:val="16"/>
          <w:szCs w:val="16"/>
          <w:lang w:val="en-AU"/>
        </w:rPr>
        <w:t xml:space="preserve">Available at: </w:t>
      </w:r>
      <w:hyperlink r:id="rId2" w:history="1">
        <w:r w:rsidRPr="00820C0C">
          <w:rPr>
            <w:rStyle w:val="Hyperlink"/>
            <w:rFonts w:cstheme="minorBidi"/>
            <w:sz w:val="16"/>
            <w:szCs w:val="16"/>
            <w:lang w:val="en-AU"/>
          </w:rPr>
          <w:t>www.adb.org/pacificmonitor</w:t>
        </w:r>
      </w:hyperlink>
      <w:r>
        <w:rPr>
          <w:sz w:val="16"/>
          <w:szCs w:val="16"/>
          <w:lang w:val="en-AU"/>
        </w:rPr>
        <w:t xml:space="preserve"> </w:t>
      </w:r>
    </w:p>
  </w:footnote>
  <w:footnote w:id="3">
    <w:p w:rsidR="00E66F65" w:rsidRPr="00FE3663" w:rsidRDefault="00E66F65" w:rsidP="0089795C">
      <w:pPr>
        <w:pStyle w:val="FootnoteText"/>
        <w:rPr>
          <w:lang w:val="en-AU"/>
        </w:rPr>
      </w:pPr>
      <w:r>
        <w:rPr>
          <w:rStyle w:val="FootnoteReference"/>
        </w:rPr>
        <w:footnoteRef/>
      </w:r>
      <w:r w:rsidRPr="00FE3663">
        <w:rPr>
          <w:sz w:val="16"/>
          <w:szCs w:val="16"/>
          <w:lang w:val="en-AU"/>
        </w:rPr>
        <w:t xml:space="preserve"> Ibid</w:t>
      </w:r>
    </w:p>
  </w:footnote>
  <w:footnote w:id="4">
    <w:p w:rsidR="00E66F65" w:rsidRPr="008E60F3" w:rsidRDefault="00E66F65" w:rsidP="00761359">
      <w:pPr>
        <w:pStyle w:val="FootnoteText"/>
        <w:rPr>
          <w:lang w:val="en-AU"/>
        </w:rPr>
      </w:pPr>
      <w:r>
        <w:rPr>
          <w:rStyle w:val="FootnoteReference"/>
        </w:rPr>
        <w:footnoteRef/>
      </w:r>
      <w:r>
        <w:t xml:space="preserve"> </w:t>
      </w:r>
      <w:r w:rsidRPr="008E60F3">
        <w:rPr>
          <w:sz w:val="16"/>
          <w:szCs w:val="16"/>
          <w:lang w:val="en-AU"/>
        </w:rPr>
        <w:t>Asian Development Bank, 2019, Asian Development Outlook</w:t>
      </w:r>
      <w:r>
        <w:rPr>
          <w:sz w:val="16"/>
          <w:szCs w:val="16"/>
          <w:lang w:val="en-AU"/>
        </w:rPr>
        <w:t xml:space="preserve">.  Available at: </w:t>
      </w:r>
      <w:hyperlink r:id="rId3" w:history="1">
        <w:r w:rsidRPr="00820C0C">
          <w:rPr>
            <w:rStyle w:val="Hyperlink"/>
            <w:rFonts w:cstheme="minorBidi"/>
            <w:sz w:val="16"/>
            <w:szCs w:val="16"/>
            <w:lang w:val="en-AU"/>
          </w:rPr>
          <w:t>https://www.adb.org/publications/asian-development-outlook-2019-strengthening-disaster-resilience</w:t>
        </w:r>
      </w:hyperlink>
      <w:r>
        <w:rPr>
          <w:sz w:val="16"/>
          <w:szCs w:val="16"/>
          <w:lang w:val="en-AU"/>
        </w:rPr>
        <w:t xml:space="preserve"> </w:t>
      </w:r>
      <w:r w:rsidRPr="008E60F3">
        <w:rPr>
          <w:sz w:val="16"/>
          <w:szCs w:val="16"/>
          <w:lang w:val="en-AU"/>
        </w:rPr>
        <w:t xml:space="preserve"> </w:t>
      </w:r>
    </w:p>
  </w:footnote>
  <w:footnote w:id="5">
    <w:p w:rsidR="00E66F65" w:rsidRPr="0089795C" w:rsidRDefault="00E66F65" w:rsidP="0089795C">
      <w:pPr>
        <w:suppressAutoHyphens w:val="0"/>
        <w:spacing w:before="0" w:after="0" w:line="240" w:lineRule="auto"/>
        <w:rPr>
          <w:rFonts w:ascii="Arial" w:eastAsia="Times New Roman" w:hAnsi="Arial" w:cs="Arial"/>
          <w:color w:val="0000FF"/>
          <w:sz w:val="27"/>
          <w:szCs w:val="27"/>
          <w:lang w:val="en-AU" w:eastAsia="en-AU"/>
        </w:rPr>
      </w:pPr>
      <w:r w:rsidRPr="00CA2357">
        <w:rPr>
          <w:rStyle w:val="FootnoteReference"/>
          <w:sz w:val="16"/>
          <w:szCs w:val="16"/>
        </w:rPr>
        <w:footnoteRef/>
      </w:r>
      <w:r>
        <w:t xml:space="preserve"> </w:t>
      </w:r>
      <w:r>
        <w:rPr>
          <w:sz w:val="16"/>
          <w:szCs w:val="16"/>
        </w:rPr>
        <w:t xml:space="preserve">Australian Council for Education Research, 2015, Research into the Financing of TVET in the Pacific: Solomon Islands: Country Report.  Available at:  </w:t>
      </w:r>
      <w:r w:rsidRPr="0089795C">
        <w:rPr>
          <w:rFonts w:ascii="Arial" w:eastAsia="Times New Roman" w:hAnsi="Arial" w:cs="Arial"/>
          <w:color w:val="222222"/>
          <w:sz w:val="27"/>
          <w:szCs w:val="27"/>
          <w:lang w:val="en-AU" w:eastAsia="en-AU"/>
        </w:rPr>
        <w:fldChar w:fldCharType="begin"/>
      </w:r>
      <w:r w:rsidRPr="0089795C">
        <w:rPr>
          <w:rFonts w:ascii="Arial" w:eastAsia="Times New Roman" w:hAnsi="Arial" w:cs="Arial"/>
          <w:color w:val="222222"/>
          <w:sz w:val="27"/>
          <w:szCs w:val="27"/>
          <w:lang w:val="en-AU" w:eastAsia="en-AU"/>
        </w:rPr>
        <w:instrText xml:space="preserve"> HYPERLINK "http://research.acer.edu.au/transitions_misc/23/" </w:instrText>
      </w:r>
      <w:r w:rsidRPr="0089795C">
        <w:rPr>
          <w:rFonts w:ascii="Arial" w:eastAsia="Times New Roman" w:hAnsi="Arial" w:cs="Arial"/>
          <w:color w:val="222222"/>
          <w:sz w:val="27"/>
          <w:szCs w:val="27"/>
          <w:lang w:val="en-AU" w:eastAsia="en-AU"/>
        </w:rPr>
        <w:fldChar w:fldCharType="separate"/>
      </w:r>
    </w:p>
    <w:p w:rsidR="00E66F65" w:rsidRPr="00E13177" w:rsidRDefault="00E66F65" w:rsidP="00CA2357">
      <w:pPr>
        <w:suppressAutoHyphens w:val="0"/>
        <w:spacing w:before="0" w:line="240" w:lineRule="auto"/>
        <w:rPr>
          <w:lang w:val="en-AU"/>
        </w:rPr>
      </w:pPr>
      <w:r w:rsidRPr="00CA2357">
        <w:rPr>
          <w:sz w:val="16"/>
          <w:szCs w:val="16"/>
        </w:rPr>
        <w:t>research.acer.edu.au/</w:t>
      </w:r>
      <w:proofErr w:type="spellStart"/>
      <w:r w:rsidRPr="00CA2357">
        <w:rPr>
          <w:sz w:val="16"/>
          <w:szCs w:val="16"/>
        </w:rPr>
        <w:t>transitions_misc</w:t>
      </w:r>
      <w:proofErr w:type="spellEnd"/>
      <w:r w:rsidRPr="00CA2357">
        <w:rPr>
          <w:sz w:val="16"/>
          <w:szCs w:val="16"/>
        </w:rPr>
        <w:t>/23/</w:t>
      </w:r>
      <w:r w:rsidRPr="0089795C">
        <w:rPr>
          <w:rFonts w:ascii="Arial" w:eastAsia="Times New Roman" w:hAnsi="Arial" w:cs="Arial"/>
          <w:color w:val="222222"/>
          <w:sz w:val="27"/>
          <w:szCs w:val="27"/>
          <w:lang w:val="en-AU" w:eastAsia="en-AU"/>
        </w:rPr>
        <w:fldChar w:fldCharType="end"/>
      </w:r>
    </w:p>
  </w:footnote>
  <w:footnote w:id="6">
    <w:p w:rsidR="00E66F65" w:rsidRPr="0069043C" w:rsidRDefault="00E66F65">
      <w:pPr>
        <w:pStyle w:val="FootnoteText"/>
        <w:rPr>
          <w:sz w:val="16"/>
          <w:szCs w:val="16"/>
          <w:lang w:val="en-AU"/>
        </w:rPr>
      </w:pPr>
      <w:r w:rsidRPr="0069043C">
        <w:rPr>
          <w:rStyle w:val="FootnoteReference"/>
          <w:sz w:val="16"/>
          <w:szCs w:val="16"/>
        </w:rPr>
        <w:footnoteRef/>
      </w:r>
      <w:r w:rsidRPr="0069043C">
        <w:rPr>
          <w:sz w:val="16"/>
          <w:szCs w:val="16"/>
        </w:rPr>
        <w:t xml:space="preserve"> </w:t>
      </w:r>
      <w:r w:rsidRPr="00100C65">
        <w:rPr>
          <w:sz w:val="16"/>
          <w:szCs w:val="16"/>
          <w:lang w:val="en-AU"/>
        </w:rPr>
        <w:t xml:space="preserve">Commonwealth, 2019, Report of the Commonwealth Observer Group– Solomon Islands National General Election.  Available at:  </w:t>
      </w:r>
      <w:hyperlink r:id="rId4" w:history="1">
        <w:r w:rsidRPr="00100C65">
          <w:rPr>
            <w:rStyle w:val="Hyperlink"/>
            <w:rFonts w:cstheme="minorBidi"/>
            <w:sz w:val="16"/>
            <w:szCs w:val="16"/>
            <w:lang w:val="en-AU"/>
          </w:rPr>
          <w:t>http://thecommonwealth.org/media/news/observer-group-commends-solomon-islands-election-its-final-report</w:t>
        </w:r>
      </w:hyperlink>
      <w:r w:rsidRPr="00100C65">
        <w:rPr>
          <w:sz w:val="16"/>
          <w:szCs w:val="16"/>
          <w:lang w:val="en-AU"/>
        </w:rPr>
        <w:t xml:space="preserve"> </w:t>
      </w:r>
    </w:p>
  </w:footnote>
  <w:footnote w:id="7">
    <w:p w:rsidR="00E66F65" w:rsidRPr="00153899" w:rsidRDefault="00E66F65" w:rsidP="00100C65">
      <w:pPr>
        <w:pStyle w:val="FootnoteText"/>
        <w:rPr>
          <w:sz w:val="16"/>
          <w:szCs w:val="16"/>
          <w:lang w:val="en-AU"/>
        </w:rPr>
      </w:pPr>
      <w:r w:rsidRPr="0069043C">
        <w:rPr>
          <w:rStyle w:val="FootnoteReference"/>
          <w:sz w:val="16"/>
          <w:szCs w:val="16"/>
        </w:rPr>
        <w:footnoteRef/>
      </w:r>
      <w:r w:rsidRPr="0069043C">
        <w:rPr>
          <w:sz w:val="16"/>
          <w:szCs w:val="16"/>
        </w:rPr>
        <w:t xml:space="preserve"> </w:t>
      </w:r>
      <w:r w:rsidRPr="0069043C">
        <w:rPr>
          <w:sz w:val="16"/>
          <w:szCs w:val="16"/>
          <w:lang w:val="en-AU"/>
        </w:rPr>
        <w:t xml:space="preserve">Source: </w:t>
      </w:r>
      <w:r>
        <w:rPr>
          <w:sz w:val="16"/>
          <w:szCs w:val="16"/>
          <w:lang w:val="en-AU"/>
        </w:rPr>
        <w:t xml:space="preserve">OECD DAC </w:t>
      </w:r>
      <w:hyperlink r:id="rId5" w:history="1">
        <w:r w:rsidRPr="005323ED">
          <w:rPr>
            <w:rStyle w:val="Hyperlink"/>
            <w:rFonts w:cstheme="minorBidi"/>
            <w:sz w:val="16"/>
            <w:szCs w:val="16"/>
            <w:lang w:val="en-AU"/>
          </w:rPr>
          <w:t>https://stats.oecd.org/OECDStat_Metadata/ShowMetadata.ashx?Dataset=TABLE2A&amp;ShowOnWeb=true&amp;Lang=en</w:t>
        </w:r>
      </w:hyperlink>
      <w:r>
        <w:rPr>
          <w:sz w:val="16"/>
          <w:szCs w:val="16"/>
          <w:lang w:val="en-AU"/>
        </w:rPr>
        <w:t xml:space="preserve">. </w:t>
      </w:r>
      <w:r w:rsidRPr="00153899">
        <w:rPr>
          <w:sz w:val="16"/>
          <w:szCs w:val="16"/>
          <w:lang w:val="en-AU"/>
        </w:rPr>
        <w:t>Calculation based on Australian ODA to Solomon Islands in 2018-19 (converted to USD</w:t>
      </w:r>
      <w:r>
        <w:rPr>
          <w:sz w:val="16"/>
          <w:szCs w:val="16"/>
          <w:lang w:val="en-AU"/>
        </w:rPr>
        <w:t>135.0 million</w:t>
      </w:r>
      <w:r w:rsidRPr="00153899">
        <w:rPr>
          <w:sz w:val="16"/>
          <w:szCs w:val="16"/>
          <w:lang w:val="en-AU"/>
        </w:rPr>
        <w:t xml:space="preserve"> on 9 August 2019 at </w:t>
      </w:r>
      <w:r>
        <w:rPr>
          <w:sz w:val="16"/>
          <w:szCs w:val="16"/>
          <w:lang w:val="en-AU"/>
        </w:rPr>
        <w:t xml:space="preserve">exchange rate </w:t>
      </w:r>
      <w:r w:rsidRPr="00153899">
        <w:rPr>
          <w:sz w:val="16"/>
          <w:szCs w:val="16"/>
          <w:lang w:val="en-AU"/>
        </w:rPr>
        <w:t>1:</w:t>
      </w:r>
      <w:r>
        <w:rPr>
          <w:sz w:val="16"/>
          <w:szCs w:val="16"/>
          <w:lang w:val="en-AU"/>
        </w:rPr>
        <w:t>0.68</w:t>
      </w:r>
      <w:r w:rsidRPr="00153899">
        <w:rPr>
          <w:sz w:val="16"/>
          <w:szCs w:val="16"/>
          <w:lang w:val="en-AU"/>
        </w:rPr>
        <w:t xml:space="preserve">) as a proportion of most recent ODA data of other donors (2017). </w:t>
      </w:r>
    </w:p>
  </w:footnote>
  <w:footnote w:id="8">
    <w:p w:rsidR="00E66F65" w:rsidRPr="00153899" w:rsidRDefault="00E66F65">
      <w:pPr>
        <w:pStyle w:val="FootnoteText"/>
        <w:rPr>
          <w:sz w:val="16"/>
          <w:szCs w:val="16"/>
          <w:lang w:val="en-AU"/>
        </w:rPr>
      </w:pPr>
      <w:r w:rsidRPr="00153899">
        <w:rPr>
          <w:rStyle w:val="FootnoteReference"/>
          <w:sz w:val="16"/>
          <w:szCs w:val="16"/>
        </w:rPr>
        <w:footnoteRef/>
      </w:r>
      <w:r w:rsidRPr="00153899">
        <w:rPr>
          <w:sz w:val="16"/>
          <w:szCs w:val="16"/>
        </w:rPr>
        <w:t xml:space="preserve"> </w:t>
      </w:r>
      <w:r w:rsidRPr="00153899">
        <w:rPr>
          <w:sz w:val="16"/>
          <w:szCs w:val="16"/>
          <w:lang w:val="en-AU"/>
        </w:rPr>
        <w:t xml:space="preserve">Source: World Bank </w:t>
      </w:r>
      <w:hyperlink r:id="rId6" w:history="1">
        <w:r w:rsidRPr="00153899">
          <w:rPr>
            <w:rStyle w:val="Hyperlink"/>
            <w:rFonts w:cstheme="minorBidi"/>
            <w:sz w:val="16"/>
            <w:szCs w:val="16"/>
            <w:lang w:val="en-AU"/>
          </w:rPr>
          <w:t>https://data.worldbank.org/country/solomon-islands</w:t>
        </w:r>
      </w:hyperlink>
      <w:r w:rsidRPr="00153899">
        <w:rPr>
          <w:sz w:val="16"/>
          <w:szCs w:val="16"/>
          <w:lang w:val="en-AU"/>
        </w:rPr>
        <w:t xml:space="preserve">. Calculation based on Australian ODA to Solomon Islands in 2018-19 </w:t>
      </w:r>
      <w:r w:rsidRPr="000301EC">
        <w:rPr>
          <w:sz w:val="16"/>
          <w:szCs w:val="16"/>
          <w:lang w:val="en-AU"/>
        </w:rPr>
        <w:t>(converted to USD</w:t>
      </w:r>
      <w:r>
        <w:rPr>
          <w:sz w:val="16"/>
          <w:szCs w:val="16"/>
          <w:lang w:val="en-AU"/>
        </w:rPr>
        <w:t>135.0 million</w:t>
      </w:r>
      <w:r w:rsidRPr="000301EC">
        <w:rPr>
          <w:sz w:val="16"/>
          <w:szCs w:val="16"/>
          <w:lang w:val="en-AU"/>
        </w:rPr>
        <w:t xml:space="preserve"> on 9 August 2019 at</w:t>
      </w:r>
      <w:r>
        <w:rPr>
          <w:sz w:val="16"/>
          <w:szCs w:val="16"/>
          <w:lang w:val="en-AU"/>
        </w:rPr>
        <w:t xml:space="preserve"> exchange rate</w:t>
      </w:r>
      <w:r w:rsidRPr="000301EC">
        <w:rPr>
          <w:sz w:val="16"/>
          <w:szCs w:val="16"/>
          <w:lang w:val="en-AU"/>
        </w:rPr>
        <w:t xml:space="preserve"> 1:</w:t>
      </w:r>
      <w:r>
        <w:rPr>
          <w:sz w:val="16"/>
          <w:szCs w:val="16"/>
          <w:lang w:val="en-AU"/>
        </w:rPr>
        <w:t xml:space="preserve">0.68) </w:t>
      </w:r>
      <w:r w:rsidRPr="00153899">
        <w:rPr>
          <w:sz w:val="16"/>
          <w:szCs w:val="16"/>
          <w:lang w:val="en-AU"/>
        </w:rPr>
        <w:t>as a proportion of 2018 GDP</w:t>
      </w:r>
      <w:r>
        <w:rPr>
          <w:sz w:val="16"/>
          <w:szCs w:val="16"/>
          <w:lang w:val="en-AU"/>
        </w:rPr>
        <w:t xml:space="preserve"> (USD1.412 billion)</w:t>
      </w:r>
      <w:r w:rsidRPr="00153899">
        <w:rPr>
          <w:sz w:val="16"/>
          <w:szCs w:val="16"/>
          <w:lang w:val="en-AU"/>
        </w:rPr>
        <w:t xml:space="preserve">. </w:t>
      </w:r>
    </w:p>
  </w:footnote>
  <w:footnote w:id="9">
    <w:p w:rsidR="00E66F65" w:rsidRPr="008A7D0A" w:rsidRDefault="00E66F65" w:rsidP="00F5449C">
      <w:pPr>
        <w:rPr>
          <w:lang w:val="en-AU"/>
        </w:rPr>
      </w:pPr>
      <w:r>
        <w:rPr>
          <w:rStyle w:val="FootnoteReference"/>
        </w:rPr>
        <w:footnoteRef/>
      </w:r>
      <w:r>
        <w:t xml:space="preserve"> </w:t>
      </w:r>
      <w:hyperlink r:id="rId7" w:history="1">
        <w:r w:rsidRPr="000909BD">
          <w:rPr>
            <w:sz w:val="16"/>
            <w:szCs w:val="16"/>
          </w:rPr>
          <w:t>https://fragilestatesindex.org/</w:t>
        </w:r>
      </w:hyperlink>
      <w:r w:rsidRPr="000909BD">
        <w:rPr>
          <w:sz w:val="16"/>
          <w:szCs w:val="16"/>
        </w:rPr>
        <w:t>. The higher the ranking the less fragile the country.</w:t>
      </w:r>
      <w:r w:rsidRPr="008A7D0A">
        <w:rPr>
          <w:color w:val="auto"/>
          <w:sz w:val="21"/>
          <w:szCs w:val="21"/>
        </w:rPr>
        <w:t xml:space="preserve"> </w:t>
      </w:r>
    </w:p>
  </w:footnote>
  <w:footnote w:id="10">
    <w:p w:rsidR="00E66F65" w:rsidRPr="00A3529F" w:rsidRDefault="00E66F65" w:rsidP="00A44190">
      <w:pPr>
        <w:pStyle w:val="FootnoteText"/>
        <w:rPr>
          <w:lang w:val="en-AU"/>
        </w:rPr>
      </w:pPr>
      <w:r w:rsidRPr="00A3529F">
        <w:rPr>
          <w:rStyle w:val="FootnoteReference"/>
          <w:sz w:val="16"/>
          <w:szCs w:val="16"/>
        </w:rPr>
        <w:footnoteRef/>
      </w:r>
      <w:r w:rsidRPr="00A3529F">
        <w:rPr>
          <w:sz w:val="16"/>
          <w:szCs w:val="16"/>
        </w:rPr>
        <w:t xml:space="preserve"> </w:t>
      </w:r>
      <w:r>
        <w:rPr>
          <w:sz w:val="16"/>
          <w:szCs w:val="16"/>
        </w:rPr>
        <w:t xml:space="preserve">World Bank, 2019, </w:t>
      </w:r>
      <w:proofErr w:type="spellStart"/>
      <w:r w:rsidRPr="00A3529F">
        <w:rPr>
          <w:sz w:val="16"/>
          <w:szCs w:val="16"/>
        </w:rPr>
        <w:t>Disclosable</w:t>
      </w:r>
      <w:proofErr w:type="spellEnd"/>
      <w:r w:rsidRPr="00A3529F">
        <w:rPr>
          <w:sz w:val="16"/>
          <w:szCs w:val="16"/>
        </w:rPr>
        <w:t xml:space="preserve"> Version of the Implementation Status and Results Report – Solomon Islands Rural Development Program II</w:t>
      </w:r>
      <w:r>
        <w:rPr>
          <w:sz w:val="16"/>
          <w:szCs w:val="16"/>
        </w:rPr>
        <w:t xml:space="preserve">. </w:t>
      </w:r>
      <w:r w:rsidRPr="00A3529F">
        <w:rPr>
          <w:sz w:val="16"/>
          <w:szCs w:val="16"/>
        </w:rPr>
        <w:t xml:space="preserve"> Available at: http://documents.worldbank.org/curated/en/629241560163310030/Disclosable-Version-of-the-ISR-Solomon-Islands-Rural-Development-Program-II-P149282-Sequence-No-08</w:t>
      </w:r>
    </w:p>
  </w:footnote>
  <w:footnote w:id="11">
    <w:p w:rsidR="00E66F65" w:rsidRPr="00B60BB4" w:rsidRDefault="00E66F65" w:rsidP="006D635A">
      <w:pPr>
        <w:pStyle w:val="FootnoteText"/>
        <w:rPr>
          <w:lang w:val="en-AU"/>
        </w:rPr>
      </w:pPr>
      <w:r>
        <w:rPr>
          <w:rStyle w:val="FootnoteReference"/>
        </w:rPr>
        <w:footnoteRef/>
      </w:r>
      <w:r>
        <w:t xml:space="preserve"> </w:t>
      </w:r>
      <w:r>
        <w:rPr>
          <w:lang w:val="en-AU"/>
        </w:rPr>
        <w:t xml:space="preserve">Ibid </w:t>
      </w:r>
    </w:p>
  </w:footnote>
  <w:footnote w:id="12">
    <w:p w:rsidR="00E66F65" w:rsidRPr="00CE6CB4" w:rsidRDefault="00E66F65" w:rsidP="00FA5F7D">
      <w:pPr>
        <w:pStyle w:val="FootnoteText"/>
        <w:rPr>
          <w:lang w:val="en-AU"/>
        </w:rPr>
      </w:pPr>
      <w:r>
        <w:rPr>
          <w:rStyle w:val="FootnoteReference"/>
        </w:rPr>
        <w:footnoteRef/>
      </w:r>
      <w:r>
        <w:t xml:space="preserve"> </w:t>
      </w:r>
      <w:r>
        <w:rPr>
          <w:lang w:val="en-AU"/>
        </w:rPr>
        <w:t>DFAT, 2019, Independent Performance Assessment of the Solomon Islands Health Sector Support Program 2018</w:t>
      </w:r>
    </w:p>
  </w:footnote>
  <w:footnote w:id="13">
    <w:p w:rsidR="00E66F65" w:rsidRPr="000E0E11" w:rsidRDefault="00E66F65" w:rsidP="006D635A">
      <w:pPr>
        <w:pStyle w:val="FootnoteText"/>
        <w:rPr>
          <w:lang w:val="en-AU"/>
        </w:rPr>
      </w:pPr>
      <w:r>
        <w:rPr>
          <w:rStyle w:val="FootnoteReference"/>
        </w:rPr>
        <w:footnoteRef/>
      </w:r>
      <w:r>
        <w:t xml:space="preserve"> </w:t>
      </w:r>
      <w:r>
        <w:rPr>
          <w:lang w:val="en-AU"/>
        </w:rPr>
        <w:t xml:space="preserve">DFAT, 2019, Independent Performance Assessment of the Solomon Islands Health Sector Support Program 2018 </w:t>
      </w:r>
    </w:p>
  </w:footnote>
  <w:footnote w:id="14">
    <w:p w:rsidR="00E66F65" w:rsidRPr="00CC32B4" w:rsidRDefault="00E66F65" w:rsidP="006D635A">
      <w:pPr>
        <w:pStyle w:val="FootnoteText"/>
        <w:rPr>
          <w:lang w:val="en-AU"/>
        </w:rPr>
      </w:pPr>
      <w:r>
        <w:rPr>
          <w:rStyle w:val="FootnoteReference"/>
        </w:rPr>
        <w:footnoteRef/>
      </w:r>
      <w:r>
        <w:t>DFAT, 2019, Independent Assessor Report 2019: Solomon Islands Education Sector Support Program</w:t>
      </w:r>
    </w:p>
  </w:footnote>
  <w:footnote w:id="15">
    <w:p w:rsidR="00E66F65" w:rsidRPr="00EC58D7" w:rsidRDefault="00E66F65" w:rsidP="0074617A">
      <w:pPr>
        <w:pStyle w:val="FootnoteText"/>
        <w:rPr>
          <w:sz w:val="16"/>
          <w:szCs w:val="16"/>
          <w:lang w:val="en-AU"/>
        </w:rPr>
      </w:pPr>
      <w:r w:rsidRPr="00EC58D7">
        <w:rPr>
          <w:rStyle w:val="FootnoteReference"/>
          <w:sz w:val="16"/>
          <w:szCs w:val="16"/>
        </w:rPr>
        <w:footnoteRef/>
      </w:r>
      <w:r w:rsidRPr="00EC58D7">
        <w:rPr>
          <w:sz w:val="16"/>
          <w:szCs w:val="16"/>
        </w:rPr>
        <w:t xml:space="preserve"> </w:t>
      </w:r>
      <w:r w:rsidRPr="00EC58D7">
        <w:rPr>
          <w:sz w:val="16"/>
          <w:szCs w:val="16"/>
          <w:lang w:val="en-AU"/>
        </w:rPr>
        <w:t>Partner type calculations are of 2018-19 bilateral aid program expenditure, exclusive of Coral Sea Cable bilateral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26B" w:rsidRDefault="00623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65" w:rsidRPr="00333501" w:rsidRDefault="00E66F65" w:rsidP="008F56A8">
    <w:pPr>
      <w:pStyle w:val="Header"/>
      <w:jc w:val="left"/>
    </w:pPr>
    <w:r>
      <w:rPr>
        <w:noProof/>
        <w:lang w:val="en-AU" w:eastAsia="en-AU"/>
      </w:rPr>
      <w:drawing>
        <wp:anchor distT="0" distB="0" distL="114300" distR="114300" simplePos="0" relativeHeight="251681792" behindDoc="1" locked="1" layoutInCell="1" allowOverlap="1" wp14:anchorId="393DA4B4" wp14:editId="0CE45DDE">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26B" w:rsidRDefault="00623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65" w:rsidRPr="00333501" w:rsidRDefault="00E66F65" w:rsidP="008F56A8">
    <w:pPr>
      <w:pStyle w:val="Header"/>
      <w:jc w:val="left"/>
    </w:pPr>
    <w:r>
      <w:rPr>
        <w:noProof/>
        <w:lang w:val="en-AU" w:eastAsia="en-AU"/>
      </w:rPr>
      <w:drawing>
        <wp:anchor distT="0" distB="0" distL="114300" distR="114300" simplePos="0" relativeHeight="251699200" behindDoc="1" locked="1" layoutInCell="1" allowOverlap="1" wp14:anchorId="44A72E68" wp14:editId="5CAC29BD">
          <wp:simplePos x="0" y="0"/>
          <wp:positionH relativeFrom="page">
            <wp:posOffset>57150</wp:posOffset>
          </wp:positionH>
          <wp:positionV relativeFrom="page">
            <wp:posOffset>104775</wp:posOffset>
          </wp:positionV>
          <wp:extent cx="10635615" cy="10920730"/>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35615" cy="1092073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371DC"/>
    <w:multiLevelType w:val="hybridMultilevel"/>
    <w:tmpl w:val="048CB0A2"/>
    <w:lvl w:ilvl="0" w:tplc="01CEAC06">
      <w:start w:val="100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A9959E9"/>
    <w:multiLevelType w:val="hybridMultilevel"/>
    <w:tmpl w:val="2782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E5C4E65"/>
    <w:multiLevelType w:val="hybridMultilevel"/>
    <w:tmpl w:val="DA9893DC"/>
    <w:lvl w:ilvl="0" w:tplc="9BDA915C">
      <w:start w:val="16"/>
      <w:numFmt w:val="bullet"/>
      <w:lvlText w:val="-"/>
      <w:lvlJc w:val="left"/>
      <w:pPr>
        <w:ind w:left="720" w:hanging="360"/>
      </w:pPr>
      <w:rPr>
        <w:rFonts w:ascii="Calibri Light" w:eastAsiaTheme="minorHAnsi" w:hAnsi="Calibri Light" w:cstheme="minorBidi" w:hint="default"/>
        <w:color w:val="495965"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CE1B1C"/>
    <w:multiLevelType w:val="hybridMultilevel"/>
    <w:tmpl w:val="7BE20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426BE3"/>
    <w:multiLevelType w:val="hybridMultilevel"/>
    <w:tmpl w:val="46488BE2"/>
    <w:lvl w:ilvl="0" w:tplc="66FAE192">
      <w:start w:val="3"/>
      <w:numFmt w:val="bullet"/>
      <w:lvlText w:val="-"/>
      <w:lvlJc w:val="left"/>
      <w:pPr>
        <w:ind w:left="360" w:hanging="360"/>
      </w:pPr>
      <w:rPr>
        <w:rFonts w:ascii="Calibri Light" w:eastAsiaTheme="minorHAnsi" w:hAnsi="Calibri Light" w:cs="Calibri Light"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A7C0560"/>
    <w:multiLevelType w:val="hybridMultilevel"/>
    <w:tmpl w:val="2C505C6A"/>
    <w:lvl w:ilvl="0" w:tplc="1AB2793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5A3225"/>
    <w:multiLevelType w:val="hybridMultilevel"/>
    <w:tmpl w:val="35C4F9D2"/>
    <w:lvl w:ilvl="0" w:tplc="D21C0DF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3C1EA7"/>
    <w:multiLevelType w:val="multilevel"/>
    <w:tmpl w:val="43428892"/>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4"/>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7"/>
  </w:num>
  <w:num w:numId="23">
    <w:abstractNumId w:val="17"/>
  </w:num>
  <w:num w:numId="24">
    <w:abstractNumId w:val="27"/>
  </w:num>
  <w:num w:numId="25">
    <w:abstractNumId w:val="27"/>
  </w:num>
  <w:num w:numId="26">
    <w:abstractNumId w:val="27"/>
  </w:num>
  <w:num w:numId="27">
    <w:abstractNumId w:val="24"/>
  </w:num>
  <w:num w:numId="28">
    <w:abstractNumId w:val="10"/>
  </w:num>
  <w:num w:numId="29">
    <w:abstractNumId w:val="10"/>
  </w:num>
  <w:num w:numId="30">
    <w:abstractNumId w:val="10"/>
  </w:num>
  <w:num w:numId="31">
    <w:abstractNumId w:val="19"/>
  </w:num>
  <w:num w:numId="32">
    <w:abstractNumId w:val="23"/>
  </w:num>
  <w:num w:numId="33">
    <w:abstractNumId w:val="30"/>
  </w:num>
  <w:num w:numId="34">
    <w:abstractNumId w:val="22"/>
  </w:num>
  <w:num w:numId="35">
    <w:abstractNumId w:val="12"/>
  </w:num>
  <w:num w:numId="36">
    <w:abstractNumId w:val="15"/>
  </w:num>
  <w:num w:numId="37">
    <w:abstractNumId w:val="14"/>
  </w:num>
  <w:num w:numId="38">
    <w:abstractNumId w:val="25"/>
  </w:num>
  <w:num w:numId="39">
    <w:abstractNumId w:val="13"/>
  </w:num>
  <w:num w:numId="40">
    <w:abstractNumId w:val="26"/>
  </w:num>
  <w:num w:numId="41">
    <w:abstractNumId w:val="18"/>
  </w:num>
  <w:num w:numId="42">
    <w:abstractNumId w:val="20"/>
  </w:num>
  <w:num w:numId="43">
    <w:abstractNumId w:val="16"/>
  </w:num>
  <w:num w:numId="44">
    <w:abstractNumId w:val="2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7C"/>
    <w:rsid w:val="00000FEC"/>
    <w:rsid w:val="00001DA8"/>
    <w:rsid w:val="00003584"/>
    <w:rsid w:val="00003FA5"/>
    <w:rsid w:val="00005D6F"/>
    <w:rsid w:val="00007E8F"/>
    <w:rsid w:val="00013258"/>
    <w:rsid w:val="00015316"/>
    <w:rsid w:val="00017E9F"/>
    <w:rsid w:val="0002080A"/>
    <w:rsid w:val="0002283D"/>
    <w:rsid w:val="0002782F"/>
    <w:rsid w:val="00027C45"/>
    <w:rsid w:val="00027F29"/>
    <w:rsid w:val="0003122C"/>
    <w:rsid w:val="00031512"/>
    <w:rsid w:val="000335C5"/>
    <w:rsid w:val="00033AB7"/>
    <w:rsid w:val="00041614"/>
    <w:rsid w:val="00043475"/>
    <w:rsid w:val="0004600C"/>
    <w:rsid w:val="00046FEE"/>
    <w:rsid w:val="00047FFB"/>
    <w:rsid w:val="00051C64"/>
    <w:rsid w:val="00054E4D"/>
    <w:rsid w:val="00055688"/>
    <w:rsid w:val="00056974"/>
    <w:rsid w:val="00060073"/>
    <w:rsid w:val="00060268"/>
    <w:rsid w:val="00063AEA"/>
    <w:rsid w:val="0006675D"/>
    <w:rsid w:val="000667B2"/>
    <w:rsid w:val="00072850"/>
    <w:rsid w:val="0007288D"/>
    <w:rsid w:val="0007797C"/>
    <w:rsid w:val="00083356"/>
    <w:rsid w:val="00084483"/>
    <w:rsid w:val="000858EC"/>
    <w:rsid w:val="000909BD"/>
    <w:rsid w:val="00091476"/>
    <w:rsid w:val="00091805"/>
    <w:rsid w:val="00095E3E"/>
    <w:rsid w:val="00096D87"/>
    <w:rsid w:val="00097FC1"/>
    <w:rsid w:val="000A2E46"/>
    <w:rsid w:val="000A401F"/>
    <w:rsid w:val="000A53A5"/>
    <w:rsid w:val="000A584A"/>
    <w:rsid w:val="000A5A2A"/>
    <w:rsid w:val="000A78F0"/>
    <w:rsid w:val="000B2DEB"/>
    <w:rsid w:val="000C1C0F"/>
    <w:rsid w:val="000C5685"/>
    <w:rsid w:val="000C63F7"/>
    <w:rsid w:val="000D66D6"/>
    <w:rsid w:val="000E0673"/>
    <w:rsid w:val="000E229A"/>
    <w:rsid w:val="000E314A"/>
    <w:rsid w:val="000E492B"/>
    <w:rsid w:val="000F2942"/>
    <w:rsid w:val="000F7E27"/>
    <w:rsid w:val="00100573"/>
    <w:rsid w:val="00100C65"/>
    <w:rsid w:val="00103142"/>
    <w:rsid w:val="00103466"/>
    <w:rsid w:val="001051DE"/>
    <w:rsid w:val="001059AF"/>
    <w:rsid w:val="00106272"/>
    <w:rsid w:val="001103E6"/>
    <w:rsid w:val="001134B1"/>
    <w:rsid w:val="00121EA4"/>
    <w:rsid w:val="00122650"/>
    <w:rsid w:val="00122ACF"/>
    <w:rsid w:val="001249AA"/>
    <w:rsid w:val="0012501C"/>
    <w:rsid w:val="001267CF"/>
    <w:rsid w:val="00126C56"/>
    <w:rsid w:val="001326F3"/>
    <w:rsid w:val="00135803"/>
    <w:rsid w:val="00142CC4"/>
    <w:rsid w:val="00143708"/>
    <w:rsid w:val="001454A9"/>
    <w:rsid w:val="001507DD"/>
    <w:rsid w:val="00153899"/>
    <w:rsid w:val="001541EA"/>
    <w:rsid w:val="00157F46"/>
    <w:rsid w:val="00162218"/>
    <w:rsid w:val="00163C4B"/>
    <w:rsid w:val="00166111"/>
    <w:rsid w:val="00166962"/>
    <w:rsid w:val="001704B2"/>
    <w:rsid w:val="00174B8C"/>
    <w:rsid w:val="0018158A"/>
    <w:rsid w:val="00182E93"/>
    <w:rsid w:val="00183457"/>
    <w:rsid w:val="001836ED"/>
    <w:rsid w:val="00184818"/>
    <w:rsid w:val="00186EA3"/>
    <w:rsid w:val="001871FE"/>
    <w:rsid w:val="001937BD"/>
    <w:rsid w:val="00197E62"/>
    <w:rsid w:val="001A077B"/>
    <w:rsid w:val="001A177B"/>
    <w:rsid w:val="001A3A4E"/>
    <w:rsid w:val="001B1BD9"/>
    <w:rsid w:val="001B3C09"/>
    <w:rsid w:val="001B5019"/>
    <w:rsid w:val="001D0600"/>
    <w:rsid w:val="001D663E"/>
    <w:rsid w:val="001E0245"/>
    <w:rsid w:val="001E1DC0"/>
    <w:rsid w:val="001E355C"/>
    <w:rsid w:val="001F0C25"/>
    <w:rsid w:val="001F11C5"/>
    <w:rsid w:val="001F6DF4"/>
    <w:rsid w:val="001F763E"/>
    <w:rsid w:val="001F7EE9"/>
    <w:rsid w:val="0020060B"/>
    <w:rsid w:val="0020363F"/>
    <w:rsid w:val="002036FF"/>
    <w:rsid w:val="002038EB"/>
    <w:rsid w:val="00203E07"/>
    <w:rsid w:val="002048EA"/>
    <w:rsid w:val="00210F29"/>
    <w:rsid w:val="00211D4C"/>
    <w:rsid w:val="00213A8D"/>
    <w:rsid w:val="0021542F"/>
    <w:rsid w:val="00223924"/>
    <w:rsid w:val="002254EA"/>
    <w:rsid w:val="0022550B"/>
    <w:rsid w:val="002309D8"/>
    <w:rsid w:val="002311F9"/>
    <w:rsid w:val="00232391"/>
    <w:rsid w:val="0023345B"/>
    <w:rsid w:val="00234446"/>
    <w:rsid w:val="00234E22"/>
    <w:rsid w:val="0023638B"/>
    <w:rsid w:val="00236A53"/>
    <w:rsid w:val="0024645F"/>
    <w:rsid w:val="002540D7"/>
    <w:rsid w:val="00256A5A"/>
    <w:rsid w:val="00257BB4"/>
    <w:rsid w:val="00264772"/>
    <w:rsid w:val="00270556"/>
    <w:rsid w:val="00270998"/>
    <w:rsid w:val="0027449B"/>
    <w:rsid w:val="00275DB7"/>
    <w:rsid w:val="0027602A"/>
    <w:rsid w:val="00277593"/>
    <w:rsid w:val="00284957"/>
    <w:rsid w:val="00284FA9"/>
    <w:rsid w:val="0028602A"/>
    <w:rsid w:val="0029770F"/>
    <w:rsid w:val="002A0E14"/>
    <w:rsid w:val="002A51CA"/>
    <w:rsid w:val="002A5893"/>
    <w:rsid w:val="002A589C"/>
    <w:rsid w:val="002A594F"/>
    <w:rsid w:val="002A68B1"/>
    <w:rsid w:val="002A6AC8"/>
    <w:rsid w:val="002B0674"/>
    <w:rsid w:val="002B21E2"/>
    <w:rsid w:val="002B3E95"/>
    <w:rsid w:val="002B5E10"/>
    <w:rsid w:val="002C0C99"/>
    <w:rsid w:val="002C2639"/>
    <w:rsid w:val="002C56CD"/>
    <w:rsid w:val="002D2B16"/>
    <w:rsid w:val="002D2CDF"/>
    <w:rsid w:val="002D37BC"/>
    <w:rsid w:val="002D5349"/>
    <w:rsid w:val="002E0470"/>
    <w:rsid w:val="002E0B70"/>
    <w:rsid w:val="002E47AA"/>
    <w:rsid w:val="002F2DC0"/>
    <w:rsid w:val="002F43F6"/>
    <w:rsid w:val="003002C0"/>
    <w:rsid w:val="00301144"/>
    <w:rsid w:val="00303A95"/>
    <w:rsid w:val="00304575"/>
    <w:rsid w:val="0031099A"/>
    <w:rsid w:val="003148B7"/>
    <w:rsid w:val="003158C3"/>
    <w:rsid w:val="0031718A"/>
    <w:rsid w:val="003200F9"/>
    <w:rsid w:val="00320251"/>
    <w:rsid w:val="003209C4"/>
    <w:rsid w:val="003239B7"/>
    <w:rsid w:val="00324651"/>
    <w:rsid w:val="00326269"/>
    <w:rsid w:val="003274CD"/>
    <w:rsid w:val="00330F43"/>
    <w:rsid w:val="00332EC9"/>
    <w:rsid w:val="00333501"/>
    <w:rsid w:val="003457C4"/>
    <w:rsid w:val="003459BD"/>
    <w:rsid w:val="00350C55"/>
    <w:rsid w:val="0035119D"/>
    <w:rsid w:val="00355959"/>
    <w:rsid w:val="00355C15"/>
    <w:rsid w:val="003568A3"/>
    <w:rsid w:val="00361C10"/>
    <w:rsid w:val="00363339"/>
    <w:rsid w:val="003655AA"/>
    <w:rsid w:val="00371BB1"/>
    <w:rsid w:val="00374DAC"/>
    <w:rsid w:val="00375787"/>
    <w:rsid w:val="00377162"/>
    <w:rsid w:val="003837DC"/>
    <w:rsid w:val="00385DFD"/>
    <w:rsid w:val="00392AB5"/>
    <w:rsid w:val="003A1BA4"/>
    <w:rsid w:val="003A44F8"/>
    <w:rsid w:val="003A52CC"/>
    <w:rsid w:val="003A5F63"/>
    <w:rsid w:val="003B4F12"/>
    <w:rsid w:val="003C59E6"/>
    <w:rsid w:val="003D0462"/>
    <w:rsid w:val="003D352D"/>
    <w:rsid w:val="003D4472"/>
    <w:rsid w:val="003D4EAB"/>
    <w:rsid w:val="003E2BE7"/>
    <w:rsid w:val="003E665A"/>
    <w:rsid w:val="003F2EB3"/>
    <w:rsid w:val="003F74F1"/>
    <w:rsid w:val="00400B0F"/>
    <w:rsid w:val="00402ACC"/>
    <w:rsid w:val="00404EDA"/>
    <w:rsid w:val="0040660A"/>
    <w:rsid w:val="004120EC"/>
    <w:rsid w:val="004140FD"/>
    <w:rsid w:val="00417B51"/>
    <w:rsid w:val="00423C3E"/>
    <w:rsid w:val="00423F31"/>
    <w:rsid w:val="004262DD"/>
    <w:rsid w:val="00430305"/>
    <w:rsid w:val="00431899"/>
    <w:rsid w:val="00431E2C"/>
    <w:rsid w:val="004335B7"/>
    <w:rsid w:val="00433FBF"/>
    <w:rsid w:val="00434218"/>
    <w:rsid w:val="004354C0"/>
    <w:rsid w:val="0043564E"/>
    <w:rsid w:val="00440744"/>
    <w:rsid w:val="00442522"/>
    <w:rsid w:val="004470D1"/>
    <w:rsid w:val="00453885"/>
    <w:rsid w:val="00453BBA"/>
    <w:rsid w:val="004571D1"/>
    <w:rsid w:val="00460F1E"/>
    <w:rsid w:val="004646B4"/>
    <w:rsid w:val="00471B8C"/>
    <w:rsid w:val="00472722"/>
    <w:rsid w:val="00473F4E"/>
    <w:rsid w:val="00474F2B"/>
    <w:rsid w:val="0047541C"/>
    <w:rsid w:val="00476113"/>
    <w:rsid w:val="00477907"/>
    <w:rsid w:val="0048518B"/>
    <w:rsid w:val="00486804"/>
    <w:rsid w:val="004877DE"/>
    <w:rsid w:val="00493E6F"/>
    <w:rsid w:val="00494262"/>
    <w:rsid w:val="00494BAA"/>
    <w:rsid w:val="004977A1"/>
    <w:rsid w:val="004A0ADF"/>
    <w:rsid w:val="004A3F09"/>
    <w:rsid w:val="004A5C0A"/>
    <w:rsid w:val="004B109B"/>
    <w:rsid w:val="004B3666"/>
    <w:rsid w:val="004B3733"/>
    <w:rsid w:val="004B3775"/>
    <w:rsid w:val="004B400B"/>
    <w:rsid w:val="004C0C28"/>
    <w:rsid w:val="004C4FDF"/>
    <w:rsid w:val="004C5B54"/>
    <w:rsid w:val="004D0BA0"/>
    <w:rsid w:val="004D1E6C"/>
    <w:rsid w:val="004D43F3"/>
    <w:rsid w:val="004D451C"/>
    <w:rsid w:val="004D7DF6"/>
    <w:rsid w:val="004E0264"/>
    <w:rsid w:val="004E0345"/>
    <w:rsid w:val="004E058F"/>
    <w:rsid w:val="004E3B87"/>
    <w:rsid w:val="004E4114"/>
    <w:rsid w:val="004E4C52"/>
    <w:rsid w:val="004F437F"/>
    <w:rsid w:val="004F7208"/>
    <w:rsid w:val="00500328"/>
    <w:rsid w:val="005015B1"/>
    <w:rsid w:val="005015BD"/>
    <w:rsid w:val="00501964"/>
    <w:rsid w:val="00503D08"/>
    <w:rsid w:val="00510921"/>
    <w:rsid w:val="005109EF"/>
    <w:rsid w:val="00510AD3"/>
    <w:rsid w:val="00510FAB"/>
    <w:rsid w:val="00511E1E"/>
    <w:rsid w:val="00513348"/>
    <w:rsid w:val="0051476F"/>
    <w:rsid w:val="0052114F"/>
    <w:rsid w:val="00522D77"/>
    <w:rsid w:val="00523C2F"/>
    <w:rsid w:val="00524A1F"/>
    <w:rsid w:val="00524A40"/>
    <w:rsid w:val="00525A41"/>
    <w:rsid w:val="00527DDE"/>
    <w:rsid w:val="00533B5D"/>
    <w:rsid w:val="005372BB"/>
    <w:rsid w:val="00537F20"/>
    <w:rsid w:val="00540248"/>
    <w:rsid w:val="00545E5D"/>
    <w:rsid w:val="00546893"/>
    <w:rsid w:val="00550369"/>
    <w:rsid w:val="005511BF"/>
    <w:rsid w:val="0055559E"/>
    <w:rsid w:val="005567ED"/>
    <w:rsid w:val="005610C9"/>
    <w:rsid w:val="00562A14"/>
    <w:rsid w:val="00567858"/>
    <w:rsid w:val="00575681"/>
    <w:rsid w:val="00577FEE"/>
    <w:rsid w:val="00580435"/>
    <w:rsid w:val="0058234B"/>
    <w:rsid w:val="00585CA5"/>
    <w:rsid w:val="0059146A"/>
    <w:rsid w:val="0059150F"/>
    <w:rsid w:val="005915D0"/>
    <w:rsid w:val="00592544"/>
    <w:rsid w:val="00594534"/>
    <w:rsid w:val="0059475E"/>
    <w:rsid w:val="00596A97"/>
    <w:rsid w:val="005A1070"/>
    <w:rsid w:val="005A26EB"/>
    <w:rsid w:val="005A2A1F"/>
    <w:rsid w:val="005A53A8"/>
    <w:rsid w:val="005A7E68"/>
    <w:rsid w:val="005B4D51"/>
    <w:rsid w:val="005B5769"/>
    <w:rsid w:val="005D3655"/>
    <w:rsid w:val="005D526F"/>
    <w:rsid w:val="005D663E"/>
    <w:rsid w:val="005E0A54"/>
    <w:rsid w:val="005E5428"/>
    <w:rsid w:val="005E606B"/>
    <w:rsid w:val="005E65BF"/>
    <w:rsid w:val="005F0066"/>
    <w:rsid w:val="005F19E3"/>
    <w:rsid w:val="005F3256"/>
    <w:rsid w:val="005F33AB"/>
    <w:rsid w:val="005F570F"/>
    <w:rsid w:val="005F574B"/>
    <w:rsid w:val="005F764E"/>
    <w:rsid w:val="005F7DC6"/>
    <w:rsid w:val="00600479"/>
    <w:rsid w:val="006013A4"/>
    <w:rsid w:val="0060389D"/>
    <w:rsid w:val="00606936"/>
    <w:rsid w:val="00607098"/>
    <w:rsid w:val="00607885"/>
    <w:rsid w:val="00615669"/>
    <w:rsid w:val="0061773E"/>
    <w:rsid w:val="00622C0C"/>
    <w:rsid w:val="0062326B"/>
    <w:rsid w:val="00623283"/>
    <w:rsid w:val="00623BA1"/>
    <w:rsid w:val="006257F7"/>
    <w:rsid w:val="0063312A"/>
    <w:rsid w:val="006346BC"/>
    <w:rsid w:val="00644547"/>
    <w:rsid w:val="00647FF4"/>
    <w:rsid w:val="00654D02"/>
    <w:rsid w:val="006579BB"/>
    <w:rsid w:val="00657AEE"/>
    <w:rsid w:val="00665362"/>
    <w:rsid w:val="0066652A"/>
    <w:rsid w:val="0067263A"/>
    <w:rsid w:val="006736A8"/>
    <w:rsid w:val="006737B9"/>
    <w:rsid w:val="006737C2"/>
    <w:rsid w:val="0067547D"/>
    <w:rsid w:val="006766C2"/>
    <w:rsid w:val="00680522"/>
    <w:rsid w:val="006808DE"/>
    <w:rsid w:val="00681F08"/>
    <w:rsid w:val="00682167"/>
    <w:rsid w:val="00685A0E"/>
    <w:rsid w:val="00686FD0"/>
    <w:rsid w:val="0069043C"/>
    <w:rsid w:val="00691180"/>
    <w:rsid w:val="006926A1"/>
    <w:rsid w:val="00693CCF"/>
    <w:rsid w:val="0069421B"/>
    <w:rsid w:val="00694F96"/>
    <w:rsid w:val="0069797B"/>
    <w:rsid w:val="006A0A5B"/>
    <w:rsid w:val="006A3CB6"/>
    <w:rsid w:val="006A5F02"/>
    <w:rsid w:val="006B1760"/>
    <w:rsid w:val="006B23B6"/>
    <w:rsid w:val="006C1466"/>
    <w:rsid w:val="006C36FF"/>
    <w:rsid w:val="006C42AF"/>
    <w:rsid w:val="006C42EF"/>
    <w:rsid w:val="006C43C8"/>
    <w:rsid w:val="006C4F09"/>
    <w:rsid w:val="006C578F"/>
    <w:rsid w:val="006D2A20"/>
    <w:rsid w:val="006D355E"/>
    <w:rsid w:val="006D3EBA"/>
    <w:rsid w:val="006D5768"/>
    <w:rsid w:val="006D6354"/>
    <w:rsid w:val="006D635A"/>
    <w:rsid w:val="006E0198"/>
    <w:rsid w:val="006F27B1"/>
    <w:rsid w:val="00711D8E"/>
    <w:rsid w:val="00712672"/>
    <w:rsid w:val="00713522"/>
    <w:rsid w:val="00714FB2"/>
    <w:rsid w:val="00720333"/>
    <w:rsid w:val="0072170F"/>
    <w:rsid w:val="00723301"/>
    <w:rsid w:val="00724DFC"/>
    <w:rsid w:val="00724F82"/>
    <w:rsid w:val="00726AF5"/>
    <w:rsid w:val="007306D8"/>
    <w:rsid w:val="00730E7A"/>
    <w:rsid w:val="00734E3F"/>
    <w:rsid w:val="00736985"/>
    <w:rsid w:val="0073786E"/>
    <w:rsid w:val="00742F7E"/>
    <w:rsid w:val="00745DF5"/>
    <w:rsid w:val="0074617A"/>
    <w:rsid w:val="00747596"/>
    <w:rsid w:val="00752AC0"/>
    <w:rsid w:val="00755393"/>
    <w:rsid w:val="00755F39"/>
    <w:rsid w:val="00760C59"/>
    <w:rsid w:val="00761359"/>
    <w:rsid w:val="0076250F"/>
    <w:rsid w:val="00766F85"/>
    <w:rsid w:val="007703A3"/>
    <w:rsid w:val="00771743"/>
    <w:rsid w:val="00771B53"/>
    <w:rsid w:val="00780397"/>
    <w:rsid w:val="0078317D"/>
    <w:rsid w:val="00784031"/>
    <w:rsid w:val="00791E6B"/>
    <w:rsid w:val="00793064"/>
    <w:rsid w:val="007B05C1"/>
    <w:rsid w:val="007B2A3B"/>
    <w:rsid w:val="007B3F51"/>
    <w:rsid w:val="007B4865"/>
    <w:rsid w:val="007B6200"/>
    <w:rsid w:val="007B6832"/>
    <w:rsid w:val="007C06E3"/>
    <w:rsid w:val="007C2540"/>
    <w:rsid w:val="007C3CFE"/>
    <w:rsid w:val="007C7418"/>
    <w:rsid w:val="007C7AA8"/>
    <w:rsid w:val="007D0299"/>
    <w:rsid w:val="007D110D"/>
    <w:rsid w:val="007D2E25"/>
    <w:rsid w:val="007E6900"/>
    <w:rsid w:val="007E7E80"/>
    <w:rsid w:val="007F038B"/>
    <w:rsid w:val="007F04D8"/>
    <w:rsid w:val="007F15B7"/>
    <w:rsid w:val="007F17A0"/>
    <w:rsid w:val="007F263C"/>
    <w:rsid w:val="007F3395"/>
    <w:rsid w:val="007F3655"/>
    <w:rsid w:val="007F5333"/>
    <w:rsid w:val="007F7E19"/>
    <w:rsid w:val="008006FE"/>
    <w:rsid w:val="00801273"/>
    <w:rsid w:val="00801B9F"/>
    <w:rsid w:val="008023DE"/>
    <w:rsid w:val="008026F6"/>
    <w:rsid w:val="00802AD4"/>
    <w:rsid w:val="008057FD"/>
    <w:rsid w:val="00811DC2"/>
    <w:rsid w:val="008219F0"/>
    <w:rsid w:val="008223AE"/>
    <w:rsid w:val="00831C43"/>
    <w:rsid w:val="00834CC3"/>
    <w:rsid w:val="008423D4"/>
    <w:rsid w:val="008475F0"/>
    <w:rsid w:val="0085039A"/>
    <w:rsid w:val="008518C3"/>
    <w:rsid w:val="00851B6C"/>
    <w:rsid w:val="00854FC3"/>
    <w:rsid w:val="008553FE"/>
    <w:rsid w:val="00855802"/>
    <w:rsid w:val="00855D34"/>
    <w:rsid w:val="008602DD"/>
    <w:rsid w:val="00860A43"/>
    <w:rsid w:val="00864210"/>
    <w:rsid w:val="0086561C"/>
    <w:rsid w:val="00866D4F"/>
    <w:rsid w:val="00866F9E"/>
    <w:rsid w:val="008711F1"/>
    <w:rsid w:val="008753B7"/>
    <w:rsid w:val="00880004"/>
    <w:rsid w:val="00880874"/>
    <w:rsid w:val="008821C2"/>
    <w:rsid w:val="00882243"/>
    <w:rsid w:val="008847DA"/>
    <w:rsid w:val="008867D0"/>
    <w:rsid w:val="00891631"/>
    <w:rsid w:val="0089795C"/>
    <w:rsid w:val="008A11D7"/>
    <w:rsid w:val="008A5AFE"/>
    <w:rsid w:val="008B2D15"/>
    <w:rsid w:val="008B41C8"/>
    <w:rsid w:val="008B5C33"/>
    <w:rsid w:val="008B68D7"/>
    <w:rsid w:val="008B7D42"/>
    <w:rsid w:val="008C2895"/>
    <w:rsid w:val="008C2F58"/>
    <w:rsid w:val="008C36E0"/>
    <w:rsid w:val="008C5A0E"/>
    <w:rsid w:val="008C7DD7"/>
    <w:rsid w:val="008D5CAB"/>
    <w:rsid w:val="008E08A0"/>
    <w:rsid w:val="008E33CB"/>
    <w:rsid w:val="008E43EF"/>
    <w:rsid w:val="008E77BF"/>
    <w:rsid w:val="008F0C31"/>
    <w:rsid w:val="008F2195"/>
    <w:rsid w:val="008F56A8"/>
    <w:rsid w:val="008F70C0"/>
    <w:rsid w:val="00900625"/>
    <w:rsid w:val="00901B73"/>
    <w:rsid w:val="00902AC4"/>
    <w:rsid w:val="0091589E"/>
    <w:rsid w:val="00915931"/>
    <w:rsid w:val="0091707C"/>
    <w:rsid w:val="00924ED2"/>
    <w:rsid w:val="00931B3B"/>
    <w:rsid w:val="009340ED"/>
    <w:rsid w:val="009413D4"/>
    <w:rsid w:val="00943EBB"/>
    <w:rsid w:val="00947B6A"/>
    <w:rsid w:val="009509C8"/>
    <w:rsid w:val="00970924"/>
    <w:rsid w:val="00972228"/>
    <w:rsid w:val="00974223"/>
    <w:rsid w:val="009766E2"/>
    <w:rsid w:val="00977DCF"/>
    <w:rsid w:val="0098076C"/>
    <w:rsid w:val="00983696"/>
    <w:rsid w:val="00983C50"/>
    <w:rsid w:val="00985309"/>
    <w:rsid w:val="009903F3"/>
    <w:rsid w:val="00990DAC"/>
    <w:rsid w:val="00990DD2"/>
    <w:rsid w:val="00992AC9"/>
    <w:rsid w:val="00992C76"/>
    <w:rsid w:val="00997B77"/>
    <w:rsid w:val="009A3BC1"/>
    <w:rsid w:val="009B4D3B"/>
    <w:rsid w:val="009B5376"/>
    <w:rsid w:val="009C3A12"/>
    <w:rsid w:val="009C6252"/>
    <w:rsid w:val="009D7407"/>
    <w:rsid w:val="009E0866"/>
    <w:rsid w:val="009E0ABE"/>
    <w:rsid w:val="009E3DDE"/>
    <w:rsid w:val="009E7BB8"/>
    <w:rsid w:val="009F0B64"/>
    <w:rsid w:val="009F11BE"/>
    <w:rsid w:val="009F3B7C"/>
    <w:rsid w:val="009F5488"/>
    <w:rsid w:val="009F6423"/>
    <w:rsid w:val="00A05D0A"/>
    <w:rsid w:val="00A07975"/>
    <w:rsid w:val="00A246A5"/>
    <w:rsid w:val="00A24A62"/>
    <w:rsid w:val="00A26D9C"/>
    <w:rsid w:val="00A310B9"/>
    <w:rsid w:val="00A31C9F"/>
    <w:rsid w:val="00A3529F"/>
    <w:rsid w:val="00A4144F"/>
    <w:rsid w:val="00A44190"/>
    <w:rsid w:val="00A54034"/>
    <w:rsid w:val="00A56F14"/>
    <w:rsid w:val="00A631C0"/>
    <w:rsid w:val="00A63FB4"/>
    <w:rsid w:val="00A65903"/>
    <w:rsid w:val="00A735D0"/>
    <w:rsid w:val="00A80F95"/>
    <w:rsid w:val="00A81120"/>
    <w:rsid w:val="00A8197B"/>
    <w:rsid w:val="00A84A54"/>
    <w:rsid w:val="00A86D59"/>
    <w:rsid w:val="00A90F28"/>
    <w:rsid w:val="00A945AF"/>
    <w:rsid w:val="00A94637"/>
    <w:rsid w:val="00AA262C"/>
    <w:rsid w:val="00AA7BE3"/>
    <w:rsid w:val="00AB0A4D"/>
    <w:rsid w:val="00AB3DD9"/>
    <w:rsid w:val="00AB44EE"/>
    <w:rsid w:val="00AB4DE3"/>
    <w:rsid w:val="00AB5E7F"/>
    <w:rsid w:val="00AC027A"/>
    <w:rsid w:val="00AC164A"/>
    <w:rsid w:val="00AC302F"/>
    <w:rsid w:val="00AC5079"/>
    <w:rsid w:val="00AC5F7A"/>
    <w:rsid w:val="00AD6F21"/>
    <w:rsid w:val="00AD71D5"/>
    <w:rsid w:val="00AE1013"/>
    <w:rsid w:val="00AE4E39"/>
    <w:rsid w:val="00AE5C4D"/>
    <w:rsid w:val="00AE782D"/>
    <w:rsid w:val="00AF1B85"/>
    <w:rsid w:val="00AF2050"/>
    <w:rsid w:val="00AF5C99"/>
    <w:rsid w:val="00AF5F22"/>
    <w:rsid w:val="00B03CA8"/>
    <w:rsid w:val="00B04829"/>
    <w:rsid w:val="00B05D06"/>
    <w:rsid w:val="00B069EE"/>
    <w:rsid w:val="00B07A26"/>
    <w:rsid w:val="00B115E1"/>
    <w:rsid w:val="00B23BBE"/>
    <w:rsid w:val="00B331DC"/>
    <w:rsid w:val="00B334D8"/>
    <w:rsid w:val="00B3666E"/>
    <w:rsid w:val="00B373AE"/>
    <w:rsid w:val="00B37C10"/>
    <w:rsid w:val="00B37C19"/>
    <w:rsid w:val="00B438D3"/>
    <w:rsid w:val="00B43F33"/>
    <w:rsid w:val="00B5012F"/>
    <w:rsid w:val="00B53096"/>
    <w:rsid w:val="00B54E15"/>
    <w:rsid w:val="00B54FAC"/>
    <w:rsid w:val="00B55E19"/>
    <w:rsid w:val="00B56941"/>
    <w:rsid w:val="00B56A5D"/>
    <w:rsid w:val="00B61155"/>
    <w:rsid w:val="00B6217E"/>
    <w:rsid w:val="00B623A2"/>
    <w:rsid w:val="00B65076"/>
    <w:rsid w:val="00B7057B"/>
    <w:rsid w:val="00B731C7"/>
    <w:rsid w:val="00B829C9"/>
    <w:rsid w:val="00B82FCA"/>
    <w:rsid w:val="00B87EF2"/>
    <w:rsid w:val="00B9049D"/>
    <w:rsid w:val="00B946AC"/>
    <w:rsid w:val="00BA4B6D"/>
    <w:rsid w:val="00BB254C"/>
    <w:rsid w:val="00BB26C5"/>
    <w:rsid w:val="00BB2F4C"/>
    <w:rsid w:val="00BB6B50"/>
    <w:rsid w:val="00BB7F7C"/>
    <w:rsid w:val="00BC0AB3"/>
    <w:rsid w:val="00BC337C"/>
    <w:rsid w:val="00BC5CDB"/>
    <w:rsid w:val="00BC7210"/>
    <w:rsid w:val="00BD01E4"/>
    <w:rsid w:val="00BD7C35"/>
    <w:rsid w:val="00BE6C6D"/>
    <w:rsid w:val="00BE737D"/>
    <w:rsid w:val="00BF30FF"/>
    <w:rsid w:val="00BF4DE6"/>
    <w:rsid w:val="00BF716F"/>
    <w:rsid w:val="00C00D0A"/>
    <w:rsid w:val="00C05D5C"/>
    <w:rsid w:val="00C14F5F"/>
    <w:rsid w:val="00C23887"/>
    <w:rsid w:val="00C37399"/>
    <w:rsid w:val="00C406F0"/>
    <w:rsid w:val="00C41D7A"/>
    <w:rsid w:val="00C41EE8"/>
    <w:rsid w:val="00C42CDE"/>
    <w:rsid w:val="00C46E7D"/>
    <w:rsid w:val="00C500D7"/>
    <w:rsid w:val="00C5182A"/>
    <w:rsid w:val="00C57378"/>
    <w:rsid w:val="00C63EE9"/>
    <w:rsid w:val="00C6626C"/>
    <w:rsid w:val="00C71B6A"/>
    <w:rsid w:val="00C7297E"/>
    <w:rsid w:val="00C731DB"/>
    <w:rsid w:val="00C75FD1"/>
    <w:rsid w:val="00C814D9"/>
    <w:rsid w:val="00C8249D"/>
    <w:rsid w:val="00C8425C"/>
    <w:rsid w:val="00C90AA1"/>
    <w:rsid w:val="00C92524"/>
    <w:rsid w:val="00C947AB"/>
    <w:rsid w:val="00CA2357"/>
    <w:rsid w:val="00CA37B1"/>
    <w:rsid w:val="00CA382E"/>
    <w:rsid w:val="00CA5A05"/>
    <w:rsid w:val="00CA7D84"/>
    <w:rsid w:val="00CA7DD8"/>
    <w:rsid w:val="00CB1039"/>
    <w:rsid w:val="00CB1959"/>
    <w:rsid w:val="00CB7A28"/>
    <w:rsid w:val="00CC13F8"/>
    <w:rsid w:val="00CD0E4B"/>
    <w:rsid w:val="00CD735B"/>
    <w:rsid w:val="00CE0155"/>
    <w:rsid w:val="00CE18B8"/>
    <w:rsid w:val="00CE2599"/>
    <w:rsid w:val="00CE5DF0"/>
    <w:rsid w:val="00CE6B10"/>
    <w:rsid w:val="00CF1BF7"/>
    <w:rsid w:val="00CF21DF"/>
    <w:rsid w:val="00CF3B91"/>
    <w:rsid w:val="00CF62AE"/>
    <w:rsid w:val="00CF6C9B"/>
    <w:rsid w:val="00D00802"/>
    <w:rsid w:val="00D0296C"/>
    <w:rsid w:val="00D05246"/>
    <w:rsid w:val="00D05D37"/>
    <w:rsid w:val="00D13E40"/>
    <w:rsid w:val="00D146A2"/>
    <w:rsid w:val="00D15A00"/>
    <w:rsid w:val="00D27C4D"/>
    <w:rsid w:val="00D3315E"/>
    <w:rsid w:val="00D33BF8"/>
    <w:rsid w:val="00D35812"/>
    <w:rsid w:val="00D40AEB"/>
    <w:rsid w:val="00D43560"/>
    <w:rsid w:val="00D460DC"/>
    <w:rsid w:val="00D47F2F"/>
    <w:rsid w:val="00D5179E"/>
    <w:rsid w:val="00D56670"/>
    <w:rsid w:val="00D63C44"/>
    <w:rsid w:val="00D64BD1"/>
    <w:rsid w:val="00D72760"/>
    <w:rsid w:val="00D73EFE"/>
    <w:rsid w:val="00D74ABB"/>
    <w:rsid w:val="00D7713F"/>
    <w:rsid w:val="00D836D0"/>
    <w:rsid w:val="00D83A55"/>
    <w:rsid w:val="00D86954"/>
    <w:rsid w:val="00D96195"/>
    <w:rsid w:val="00D96CA0"/>
    <w:rsid w:val="00DA040F"/>
    <w:rsid w:val="00DA1076"/>
    <w:rsid w:val="00DA16A4"/>
    <w:rsid w:val="00DB1079"/>
    <w:rsid w:val="00DB3CC3"/>
    <w:rsid w:val="00DB3D63"/>
    <w:rsid w:val="00DB4F57"/>
    <w:rsid w:val="00DB775A"/>
    <w:rsid w:val="00DB7C62"/>
    <w:rsid w:val="00DC069A"/>
    <w:rsid w:val="00DC2B77"/>
    <w:rsid w:val="00DD12D6"/>
    <w:rsid w:val="00DD1986"/>
    <w:rsid w:val="00DD23EC"/>
    <w:rsid w:val="00DD4B2F"/>
    <w:rsid w:val="00DD5552"/>
    <w:rsid w:val="00DE084C"/>
    <w:rsid w:val="00DE1245"/>
    <w:rsid w:val="00DE489B"/>
    <w:rsid w:val="00DE540E"/>
    <w:rsid w:val="00DF78C7"/>
    <w:rsid w:val="00E00B28"/>
    <w:rsid w:val="00E02B6F"/>
    <w:rsid w:val="00E03158"/>
    <w:rsid w:val="00E0719C"/>
    <w:rsid w:val="00E15107"/>
    <w:rsid w:val="00E163B2"/>
    <w:rsid w:val="00E22DC8"/>
    <w:rsid w:val="00E23A63"/>
    <w:rsid w:val="00E245D7"/>
    <w:rsid w:val="00E3002B"/>
    <w:rsid w:val="00E32D4A"/>
    <w:rsid w:val="00E33535"/>
    <w:rsid w:val="00E357B7"/>
    <w:rsid w:val="00E36C4C"/>
    <w:rsid w:val="00E36F91"/>
    <w:rsid w:val="00E41E3B"/>
    <w:rsid w:val="00E42E25"/>
    <w:rsid w:val="00E47CE3"/>
    <w:rsid w:val="00E51EFC"/>
    <w:rsid w:val="00E53800"/>
    <w:rsid w:val="00E548E6"/>
    <w:rsid w:val="00E56F67"/>
    <w:rsid w:val="00E60197"/>
    <w:rsid w:val="00E6081F"/>
    <w:rsid w:val="00E631C9"/>
    <w:rsid w:val="00E63B4E"/>
    <w:rsid w:val="00E64543"/>
    <w:rsid w:val="00E6672F"/>
    <w:rsid w:val="00E66F65"/>
    <w:rsid w:val="00E7443B"/>
    <w:rsid w:val="00E86910"/>
    <w:rsid w:val="00E97955"/>
    <w:rsid w:val="00EA01AD"/>
    <w:rsid w:val="00EA04B2"/>
    <w:rsid w:val="00EA20F3"/>
    <w:rsid w:val="00EA2364"/>
    <w:rsid w:val="00EA4098"/>
    <w:rsid w:val="00EA5969"/>
    <w:rsid w:val="00EA5F4E"/>
    <w:rsid w:val="00EA7BFA"/>
    <w:rsid w:val="00EB01FF"/>
    <w:rsid w:val="00EB2D0F"/>
    <w:rsid w:val="00EB5389"/>
    <w:rsid w:val="00EC0BBB"/>
    <w:rsid w:val="00EC1763"/>
    <w:rsid w:val="00EC1C36"/>
    <w:rsid w:val="00EC4163"/>
    <w:rsid w:val="00EC6CD7"/>
    <w:rsid w:val="00EC77F9"/>
    <w:rsid w:val="00ED0ABD"/>
    <w:rsid w:val="00ED2831"/>
    <w:rsid w:val="00ED43D1"/>
    <w:rsid w:val="00EE4EE1"/>
    <w:rsid w:val="00EE52AC"/>
    <w:rsid w:val="00EE55A0"/>
    <w:rsid w:val="00EE55EB"/>
    <w:rsid w:val="00EE5FA9"/>
    <w:rsid w:val="00EF4574"/>
    <w:rsid w:val="00EF6543"/>
    <w:rsid w:val="00EF77C4"/>
    <w:rsid w:val="00F03CF2"/>
    <w:rsid w:val="00F06480"/>
    <w:rsid w:val="00F06CE1"/>
    <w:rsid w:val="00F070DC"/>
    <w:rsid w:val="00F107F6"/>
    <w:rsid w:val="00F12BE6"/>
    <w:rsid w:val="00F14C6B"/>
    <w:rsid w:val="00F15AF2"/>
    <w:rsid w:val="00F22A7D"/>
    <w:rsid w:val="00F26475"/>
    <w:rsid w:val="00F2684E"/>
    <w:rsid w:val="00F30628"/>
    <w:rsid w:val="00F31DD7"/>
    <w:rsid w:val="00F3733D"/>
    <w:rsid w:val="00F42C19"/>
    <w:rsid w:val="00F43B12"/>
    <w:rsid w:val="00F4475C"/>
    <w:rsid w:val="00F46D79"/>
    <w:rsid w:val="00F477A4"/>
    <w:rsid w:val="00F50CF0"/>
    <w:rsid w:val="00F517ED"/>
    <w:rsid w:val="00F518EE"/>
    <w:rsid w:val="00F5404C"/>
    <w:rsid w:val="00F5449C"/>
    <w:rsid w:val="00F5494C"/>
    <w:rsid w:val="00F55BB3"/>
    <w:rsid w:val="00F576E4"/>
    <w:rsid w:val="00F66C44"/>
    <w:rsid w:val="00F729EF"/>
    <w:rsid w:val="00F77CAE"/>
    <w:rsid w:val="00F77ECA"/>
    <w:rsid w:val="00F82271"/>
    <w:rsid w:val="00F83044"/>
    <w:rsid w:val="00F83428"/>
    <w:rsid w:val="00F90999"/>
    <w:rsid w:val="00F92008"/>
    <w:rsid w:val="00F92669"/>
    <w:rsid w:val="00F93848"/>
    <w:rsid w:val="00F96BB9"/>
    <w:rsid w:val="00FA294B"/>
    <w:rsid w:val="00FA5F7D"/>
    <w:rsid w:val="00FB03C1"/>
    <w:rsid w:val="00FB0E69"/>
    <w:rsid w:val="00FB25B9"/>
    <w:rsid w:val="00FC5C9B"/>
    <w:rsid w:val="00FC6BE9"/>
    <w:rsid w:val="00FD1606"/>
    <w:rsid w:val="00FE0010"/>
    <w:rsid w:val="00FE347A"/>
    <w:rsid w:val="00FE458E"/>
    <w:rsid w:val="00FE6D51"/>
    <w:rsid w:val="00FF09F3"/>
    <w:rsid w:val="00FF3D7A"/>
    <w:rsid w:val="00FF5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single space,Footnote Text Char Char Char,Footnote Text Char Char Char1,Footnote Text Char Char Char2 Char,Footnote Text Char Char Char1 Char,Footnote Text Char Char,Footnote Text Char1 Char,Footnote Text Char Char1,Ca,fn,FOOTNOTES,f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single space Char,Footnote Text Char Char Char Char,Footnote Text Char Char Char1 Char1,Footnote Text Char Char Char2 Char Char,Footnote Text Char Char Char1 Char Char,Footnote Text Char Char Char2,Footnote Text Char1 Char Char"/>
    <w:basedOn w:val="DefaultParagraphFont"/>
    <w:link w:val="FootnoteText"/>
    <w:uiPriority w:val="99"/>
    <w:rsid w:val="008C5A0E"/>
    <w:rPr>
      <w:color w:val="495965" w:themeColor="text2"/>
      <w:sz w:val="12"/>
      <w:szCs w:val="20"/>
    </w:rPr>
  </w:style>
  <w:style w:type="character" w:styleId="FootnoteReference">
    <w:name w:val="footnote reference"/>
    <w:aliases w:val="ftref,Normal + Font:9 Point,Superscript 3 Point Times,16 Point,Superscript 6 Point,Fußnotenzeichen DISS,fr,BVI fnr,(NECG) Footnote Reference,footnote ref,Char Char Char Char Car Char,Ref,de nota al pie,Superscript 6 Point + 11 pt"/>
    <w:basedOn w:val="DefaultParagraphFont"/>
    <w:link w:val="referencianotaalpieChar"/>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Recommendation,List Paragraph11,L,F5 List Paragraph,Dot pt,CV text,Table text,List Paragraph111,Medium Grid 1 - Accent 21,Numbered Paragraph,List Paragraph2"/>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Recommendation Char,List Paragraph11 Char,L Char,F5 List Paragraph Char,Dot pt Char,CV text Char,Table text Char,List Paragraph2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755F39"/>
    <w:pPr>
      <w:suppressAutoHyphens w:val="0"/>
      <w:spacing w:before="0" w:after="160" w:line="240" w:lineRule="exact"/>
    </w:pPr>
    <w:rPr>
      <w:color w:val="auto"/>
      <w:vertAlign w:val="superscript"/>
      <w:lang w:val="en-AU"/>
    </w:rPr>
  </w:style>
  <w:style w:type="character" w:styleId="CommentReference">
    <w:name w:val="annotation reference"/>
    <w:basedOn w:val="DefaultParagraphFont"/>
    <w:uiPriority w:val="99"/>
    <w:semiHidden/>
    <w:unhideWhenUsed/>
    <w:rsid w:val="007306D8"/>
    <w:rPr>
      <w:sz w:val="16"/>
      <w:szCs w:val="16"/>
    </w:rPr>
  </w:style>
  <w:style w:type="paragraph" w:styleId="CommentText">
    <w:name w:val="annotation text"/>
    <w:basedOn w:val="Normal"/>
    <w:link w:val="CommentTextChar"/>
    <w:uiPriority w:val="99"/>
    <w:semiHidden/>
    <w:unhideWhenUsed/>
    <w:rsid w:val="007306D8"/>
    <w:pPr>
      <w:spacing w:line="240" w:lineRule="auto"/>
    </w:pPr>
    <w:rPr>
      <w:sz w:val="20"/>
      <w:szCs w:val="20"/>
    </w:rPr>
  </w:style>
  <w:style w:type="character" w:customStyle="1" w:styleId="CommentTextChar">
    <w:name w:val="Comment Text Char"/>
    <w:basedOn w:val="DefaultParagraphFont"/>
    <w:link w:val="CommentText"/>
    <w:uiPriority w:val="99"/>
    <w:semiHidden/>
    <w:rsid w:val="007306D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C8249D"/>
    <w:rPr>
      <w:b/>
      <w:bCs/>
    </w:rPr>
  </w:style>
  <w:style w:type="character" w:customStyle="1" w:styleId="CommentSubjectChar">
    <w:name w:val="Comment Subject Char"/>
    <w:basedOn w:val="CommentTextChar"/>
    <w:link w:val="CommentSubject"/>
    <w:uiPriority w:val="99"/>
    <w:semiHidden/>
    <w:rsid w:val="00C8249D"/>
    <w:rPr>
      <w:b/>
      <w:bCs/>
      <w:color w:val="495965" w:themeColor="text2"/>
      <w:sz w:val="20"/>
      <w:szCs w:val="20"/>
      <w:lang w:val="en-GB"/>
    </w:rPr>
  </w:style>
  <w:style w:type="paragraph" w:customStyle="1" w:styleId="Default">
    <w:name w:val="Default"/>
    <w:uiPriority w:val="99"/>
    <w:rsid w:val="00051C64"/>
    <w:pPr>
      <w:autoSpaceDE w:val="0"/>
      <w:autoSpaceDN w:val="0"/>
      <w:adjustRightInd w:val="0"/>
      <w:spacing w:after="0" w:line="240" w:lineRule="auto"/>
    </w:pPr>
    <w:rPr>
      <w:rFonts w:ascii="Calibri Light" w:hAnsi="Calibri Light" w:cs="Calibri Light"/>
      <w:color w:val="000000"/>
      <w:sz w:val="24"/>
      <w:szCs w:val="24"/>
    </w:rPr>
  </w:style>
  <w:style w:type="paragraph" w:styleId="NormalWeb">
    <w:name w:val="Normal (Web)"/>
    <w:basedOn w:val="Normal"/>
    <w:uiPriority w:val="99"/>
    <w:semiHidden/>
    <w:unhideWhenUsed/>
    <w:rsid w:val="00051C6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6D63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D635A"/>
    <w:rPr>
      <w:color w:val="495965" w:themeColor="text2"/>
      <w:sz w:val="20"/>
      <w:szCs w:val="20"/>
      <w:lang w:val="en-GB"/>
    </w:rPr>
  </w:style>
  <w:style w:type="character" w:styleId="EndnoteReference">
    <w:name w:val="endnote reference"/>
    <w:basedOn w:val="DefaultParagraphFont"/>
    <w:uiPriority w:val="99"/>
    <w:semiHidden/>
    <w:unhideWhenUsed/>
    <w:rsid w:val="006D635A"/>
    <w:rPr>
      <w:vertAlign w:val="superscript"/>
    </w:rPr>
  </w:style>
  <w:style w:type="character" w:customStyle="1" w:styleId="s2">
    <w:name w:val="s2"/>
    <w:basedOn w:val="DefaultParagraphFont"/>
    <w:rsid w:val="00501964"/>
  </w:style>
  <w:style w:type="character" w:customStyle="1" w:styleId="s1">
    <w:name w:val="s1"/>
    <w:basedOn w:val="DefaultParagraphFont"/>
    <w:rsid w:val="00501964"/>
  </w:style>
  <w:style w:type="paragraph" w:styleId="PlainText">
    <w:name w:val="Plain Text"/>
    <w:basedOn w:val="Normal"/>
    <w:link w:val="PlainTextChar"/>
    <w:uiPriority w:val="99"/>
    <w:unhideWhenUsed/>
    <w:rsid w:val="00501964"/>
    <w:pPr>
      <w:suppressAutoHyphens w:val="0"/>
      <w:spacing w:before="0" w:after="0" w:line="240" w:lineRule="auto"/>
    </w:pPr>
    <w:rPr>
      <w:rFonts w:ascii="Calibri" w:hAnsi="Calibri" w:cs="Calibri"/>
      <w:color w:val="auto"/>
      <w:lang w:val="en-AU"/>
    </w:rPr>
  </w:style>
  <w:style w:type="character" w:customStyle="1" w:styleId="PlainTextChar">
    <w:name w:val="Plain Text Char"/>
    <w:basedOn w:val="DefaultParagraphFont"/>
    <w:link w:val="PlainText"/>
    <w:uiPriority w:val="99"/>
    <w:rsid w:val="00501964"/>
    <w:rPr>
      <w:rFonts w:ascii="Calibri" w:hAnsi="Calibri" w:cs="Calibri"/>
    </w:rPr>
  </w:style>
  <w:style w:type="character" w:styleId="HTMLCite">
    <w:name w:val="HTML Cite"/>
    <w:basedOn w:val="DefaultParagraphFont"/>
    <w:uiPriority w:val="99"/>
    <w:semiHidden/>
    <w:unhideWhenUsed/>
    <w:rsid w:val="0089795C"/>
    <w:rPr>
      <w:i/>
      <w:iCs/>
    </w:rPr>
  </w:style>
  <w:style w:type="paragraph" w:styleId="Revision">
    <w:name w:val="Revision"/>
    <w:hidden/>
    <w:uiPriority w:val="99"/>
    <w:semiHidden/>
    <w:rsid w:val="00CA2357"/>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194">
      <w:bodyDiv w:val="1"/>
      <w:marLeft w:val="0"/>
      <w:marRight w:val="0"/>
      <w:marTop w:val="0"/>
      <w:marBottom w:val="0"/>
      <w:divBdr>
        <w:top w:val="none" w:sz="0" w:space="0" w:color="auto"/>
        <w:left w:val="none" w:sz="0" w:space="0" w:color="auto"/>
        <w:bottom w:val="none" w:sz="0" w:space="0" w:color="auto"/>
        <w:right w:val="none" w:sz="0" w:space="0" w:color="auto"/>
      </w:divBdr>
    </w:div>
    <w:div w:id="179124885">
      <w:bodyDiv w:val="1"/>
      <w:marLeft w:val="0"/>
      <w:marRight w:val="0"/>
      <w:marTop w:val="0"/>
      <w:marBottom w:val="0"/>
      <w:divBdr>
        <w:top w:val="none" w:sz="0" w:space="0" w:color="auto"/>
        <w:left w:val="none" w:sz="0" w:space="0" w:color="auto"/>
        <w:bottom w:val="none" w:sz="0" w:space="0" w:color="auto"/>
        <w:right w:val="none" w:sz="0" w:space="0" w:color="auto"/>
      </w:divBdr>
    </w:div>
    <w:div w:id="264076746">
      <w:bodyDiv w:val="1"/>
      <w:marLeft w:val="0"/>
      <w:marRight w:val="0"/>
      <w:marTop w:val="0"/>
      <w:marBottom w:val="0"/>
      <w:divBdr>
        <w:top w:val="none" w:sz="0" w:space="0" w:color="auto"/>
        <w:left w:val="none" w:sz="0" w:space="0" w:color="auto"/>
        <w:bottom w:val="none" w:sz="0" w:space="0" w:color="auto"/>
        <w:right w:val="none" w:sz="0" w:space="0" w:color="auto"/>
      </w:divBdr>
      <w:divsChild>
        <w:div w:id="997541119">
          <w:marLeft w:val="0"/>
          <w:marRight w:val="0"/>
          <w:marTop w:val="0"/>
          <w:marBottom w:val="0"/>
          <w:divBdr>
            <w:top w:val="none" w:sz="0" w:space="0" w:color="auto"/>
            <w:left w:val="none" w:sz="0" w:space="0" w:color="auto"/>
            <w:bottom w:val="none" w:sz="0" w:space="0" w:color="auto"/>
            <w:right w:val="none" w:sz="0" w:space="0" w:color="auto"/>
          </w:divBdr>
          <w:divsChild>
            <w:div w:id="80032319">
              <w:marLeft w:val="-180"/>
              <w:marRight w:val="-180"/>
              <w:marTop w:val="0"/>
              <w:marBottom w:val="0"/>
              <w:divBdr>
                <w:top w:val="none" w:sz="0" w:space="0" w:color="auto"/>
                <w:left w:val="none" w:sz="0" w:space="0" w:color="auto"/>
                <w:bottom w:val="none" w:sz="0" w:space="0" w:color="auto"/>
                <w:right w:val="none" w:sz="0" w:space="0" w:color="auto"/>
              </w:divBdr>
              <w:divsChild>
                <w:div w:id="1442997478">
                  <w:marLeft w:val="0"/>
                  <w:marRight w:val="0"/>
                  <w:marTop w:val="0"/>
                  <w:marBottom w:val="0"/>
                  <w:divBdr>
                    <w:top w:val="none" w:sz="0" w:space="0" w:color="auto"/>
                    <w:left w:val="none" w:sz="0" w:space="0" w:color="auto"/>
                    <w:bottom w:val="none" w:sz="0" w:space="0" w:color="auto"/>
                    <w:right w:val="none" w:sz="0" w:space="0" w:color="auto"/>
                  </w:divBdr>
                  <w:divsChild>
                    <w:div w:id="20580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23178">
      <w:bodyDiv w:val="1"/>
      <w:marLeft w:val="0"/>
      <w:marRight w:val="0"/>
      <w:marTop w:val="0"/>
      <w:marBottom w:val="0"/>
      <w:divBdr>
        <w:top w:val="none" w:sz="0" w:space="0" w:color="auto"/>
        <w:left w:val="none" w:sz="0" w:space="0" w:color="auto"/>
        <w:bottom w:val="none" w:sz="0" w:space="0" w:color="auto"/>
        <w:right w:val="none" w:sz="0" w:space="0" w:color="auto"/>
      </w:divBdr>
    </w:div>
    <w:div w:id="478763732">
      <w:bodyDiv w:val="1"/>
      <w:marLeft w:val="0"/>
      <w:marRight w:val="0"/>
      <w:marTop w:val="0"/>
      <w:marBottom w:val="0"/>
      <w:divBdr>
        <w:top w:val="none" w:sz="0" w:space="0" w:color="auto"/>
        <w:left w:val="none" w:sz="0" w:space="0" w:color="auto"/>
        <w:bottom w:val="none" w:sz="0" w:space="0" w:color="auto"/>
        <w:right w:val="none" w:sz="0" w:space="0" w:color="auto"/>
      </w:divBdr>
    </w:div>
    <w:div w:id="536818070">
      <w:bodyDiv w:val="1"/>
      <w:marLeft w:val="0"/>
      <w:marRight w:val="0"/>
      <w:marTop w:val="0"/>
      <w:marBottom w:val="0"/>
      <w:divBdr>
        <w:top w:val="none" w:sz="0" w:space="0" w:color="auto"/>
        <w:left w:val="none" w:sz="0" w:space="0" w:color="auto"/>
        <w:bottom w:val="none" w:sz="0" w:space="0" w:color="auto"/>
        <w:right w:val="none" w:sz="0" w:space="0" w:color="auto"/>
      </w:divBdr>
    </w:div>
    <w:div w:id="697895981">
      <w:bodyDiv w:val="1"/>
      <w:marLeft w:val="0"/>
      <w:marRight w:val="0"/>
      <w:marTop w:val="0"/>
      <w:marBottom w:val="0"/>
      <w:divBdr>
        <w:top w:val="none" w:sz="0" w:space="0" w:color="auto"/>
        <w:left w:val="none" w:sz="0" w:space="0" w:color="auto"/>
        <w:bottom w:val="none" w:sz="0" w:space="0" w:color="auto"/>
        <w:right w:val="none" w:sz="0" w:space="0" w:color="auto"/>
      </w:divBdr>
    </w:div>
    <w:div w:id="716271966">
      <w:bodyDiv w:val="1"/>
      <w:marLeft w:val="0"/>
      <w:marRight w:val="0"/>
      <w:marTop w:val="0"/>
      <w:marBottom w:val="0"/>
      <w:divBdr>
        <w:top w:val="none" w:sz="0" w:space="0" w:color="auto"/>
        <w:left w:val="none" w:sz="0" w:space="0" w:color="auto"/>
        <w:bottom w:val="none" w:sz="0" w:space="0" w:color="auto"/>
        <w:right w:val="none" w:sz="0" w:space="0" w:color="auto"/>
      </w:divBdr>
    </w:div>
    <w:div w:id="716662252">
      <w:bodyDiv w:val="1"/>
      <w:marLeft w:val="0"/>
      <w:marRight w:val="0"/>
      <w:marTop w:val="0"/>
      <w:marBottom w:val="0"/>
      <w:divBdr>
        <w:top w:val="none" w:sz="0" w:space="0" w:color="auto"/>
        <w:left w:val="none" w:sz="0" w:space="0" w:color="auto"/>
        <w:bottom w:val="none" w:sz="0" w:space="0" w:color="auto"/>
        <w:right w:val="none" w:sz="0" w:space="0" w:color="auto"/>
      </w:divBdr>
      <w:divsChild>
        <w:div w:id="1549957099">
          <w:marLeft w:val="0"/>
          <w:marRight w:val="0"/>
          <w:marTop w:val="0"/>
          <w:marBottom w:val="0"/>
          <w:divBdr>
            <w:top w:val="none" w:sz="0" w:space="0" w:color="auto"/>
            <w:left w:val="none" w:sz="0" w:space="0" w:color="auto"/>
            <w:bottom w:val="none" w:sz="0" w:space="0" w:color="auto"/>
            <w:right w:val="none" w:sz="0" w:space="0" w:color="auto"/>
          </w:divBdr>
          <w:divsChild>
            <w:div w:id="829563925">
              <w:marLeft w:val="-180"/>
              <w:marRight w:val="-180"/>
              <w:marTop w:val="0"/>
              <w:marBottom w:val="0"/>
              <w:divBdr>
                <w:top w:val="none" w:sz="0" w:space="0" w:color="auto"/>
                <w:left w:val="none" w:sz="0" w:space="0" w:color="auto"/>
                <w:bottom w:val="none" w:sz="0" w:space="0" w:color="auto"/>
                <w:right w:val="none" w:sz="0" w:space="0" w:color="auto"/>
              </w:divBdr>
              <w:divsChild>
                <w:div w:id="1746874706">
                  <w:marLeft w:val="0"/>
                  <w:marRight w:val="0"/>
                  <w:marTop w:val="0"/>
                  <w:marBottom w:val="0"/>
                  <w:divBdr>
                    <w:top w:val="none" w:sz="0" w:space="0" w:color="auto"/>
                    <w:left w:val="none" w:sz="0" w:space="0" w:color="auto"/>
                    <w:bottom w:val="none" w:sz="0" w:space="0" w:color="auto"/>
                    <w:right w:val="none" w:sz="0" w:space="0" w:color="auto"/>
                  </w:divBdr>
                  <w:divsChild>
                    <w:div w:id="9726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13630">
      <w:bodyDiv w:val="1"/>
      <w:marLeft w:val="0"/>
      <w:marRight w:val="0"/>
      <w:marTop w:val="0"/>
      <w:marBottom w:val="0"/>
      <w:divBdr>
        <w:top w:val="none" w:sz="0" w:space="0" w:color="auto"/>
        <w:left w:val="none" w:sz="0" w:space="0" w:color="auto"/>
        <w:bottom w:val="none" w:sz="0" w:space="0" w:color="auto"/>
        <w:right w:val="none" w:sz="0" w:space="0" w:color="auto"/>
      </w:divBdr>
      <w:divsChild>
        <w:div w:id="1702246589">
          <w:marLeft w:val="0"/>
          <w:marRight w:val="0"/>
          <w:marTop w:val="0"/>
          <w:marBottom w:val="0"/>
          <w:divBdr>
            <w:top w:val="none" w:sz="0" w:space="0" w:color="auto"/>
            <w:left w:val="none" w:sz="0" w:space="0" w:color="auto"/>
            <w:bottom w:val="none" w:sz="0" w:space="0" w:color="auto"/>
            <w:right w:val="none" w:sz="0" w:space="0" w:color="auto"/>
          </w:divBdr>
          <w:divsChild>
            <w:div w:id="1080443901">
              <w:marLeft w:val="0"/>
              <w:marRight w:val="0"/>
              <w:marTop w:val="0"/>
              <w:marBottom w:val="0"/>
              <w:divBdr>
                <w:top w:val="none" w:sz="0" w:space="0" w:color="auto"/>
                <w:left w:val="none" w:sz="0" w:space="0" w:color="auto"/>
                <w:bottom w:val="none" w:sz="0" w:space="0" w:color="auto"/>
                <w:right w:val="none" w:sz="0" w:space="0" w:color="auto"/>
              </w:divBdr>
              <w:divsChild>
                <w:div w:id="323628067">
                  <w:marLeft w:val="0"/>
                  <w:marRight w:val="0"/>
                  <w:marTop w:val="0"/>
                  <w:marBottom w:val="0"/>
                  <w:divBdr>
                    <w:top w:val="none" w:sz="0" w:space="0" w:color="auto"/>
                    <w:left w:val="none" w:sz="0" w:space="0" w:color="auto"/>
                    <w:bottom w:val="none" w:sz="0" w:space="0" w:color="auto"/>
                    <w:right w:val="none" w:sz="0" w:space="0" w:color="auto"/>
                  </w:divBdr>
                  <w:divsChild>
                    <w:div w:id="471293362">
                      <w:marLeft w:val="0"/>
                      <w:marRight w:val="0"/>
                      <w:marTop w:val="0"/>
                      <w:marBottom w:val="0"/>
                      <w:divBdr>
                        <w:top w:val="none" w:sz="0" w:space="0" w:color="auto"/>
                        <w:left w:val="none" w:sz="0" w:space="0" w:color="auto"/>
                        <w:bottom w:val="none" w:sz="0" w:space="0" w:color="auto"/>
                        <w:right w:val="none" w:sz="0" w:space="0" w:color="auto"/>
                      </w:divBdr>
                      <w:divsChild>
                        <w:div w:id="367603459">
                          <w:marLeft w:val="0"/>
                          <w:marRight w:val="0"/>
                          <w:marTop w:val="0"/>
                          <w:marBottom w:val="0"/>
                          <w:divBdr>
                            <w:top w:val="none" w:sz="0" w:space="0" w:color="auto"/>
                            <w:left w:val="none" w:sz="0" w:space="0" w:color="auto"/>
                            <w:bottom w:val="none" w:sz="0" w:space="0" w:color="auto"/>
                            <w:right w:val="none" w:sz="0" w:space="0" w:color="auto"/>
                          </w:divBdr>
                          <w:divsChild>
                            <w:div w:id="1065028663">
                              <w:marLeft w:val="2070"/>
                              <w:marRight w:val="3960"/>
                              <w:marTop w:val="0"/>
                              <w:marBottom w:val="0"/>
                              <w:divBdr>
                                <w:top w:val="none" w:sz="0" w:space="0" w:color="auto"/>
                                <w:left w:val="none" w:sz="0" w:space="0" w:color="auto"/>
                                <w:bottom w:val="none" w:sz="0" w:space="0" w:color="auto"/>
                                <w:right w:val="none" w:sz="0" w:space="0" w:color="auto"/>
                              </w:divBdr>
                              <w:divsChild>
                                <w:div w:id="49111999">
                                  <w:marLeft w:val="0"/>
                                  <w:marRight w:val="0"/>
                                  <w:marTop w:val="0"/>
                                  <w:marBottom w:val="0"/>
                                  <w:divBdr>
                                    <w:top w:val="none" w:sz="0" w:space="0" w:color="auto"/>
                                    <w:left w:val="none" w:sz="0" w:space="0" w:color="auto"/>
                                    <w:bottom w:val="none" w:sz="0" w:space="0" w:color="auto"/>
                                    <w:right w:val="none" w:sz="0" w:space="0" w:color="auto"/>
                                  </w:divBdr>
                                  <w:divsChild>
                                    <w:div w:id="1214120687">
                                      <w:marLeft w:val="0"/>
                                      <w:marRight w:val="0"/>
                                      <w:marTop w:val="0"/>
                                      <w:marBottom w:val="0"/>
                                      <w:divBdr>
                                        <w:top w:val="none" w:sz="0" w:space="0" w:color="auto"/>
                                        <w:left w:val="none" w:sz="0" w:space="0" w:color="auto"/>
                                        <w:bottom w:val="none" w:sz="0" w:space="0" w:color="auto"/>
                                        <w:right w:val="none" w:sz="0" w:space="0" w:color="auto"/>
                                      </w:divBdr>
                                      <w:divsChild>
                                        <w:div w:id="1705136049">
                                          <w:marLeft w:val="0"/>
                                          <w:marRight w:val="0"/>
                                          <w:marTop w:val="0"/>
                                          <w:marBottom w:val="0"/>
                                          <w:divBdr>
                                            <w:top w:val="none" w:sz="0" w:space="0" w:color="auto"/>
                                            <w:left w:val="none" w:sz="0" w:space="0" w:color="auto"/>
                                            <w:bottom w:val="none" w:sz="0" w:space="0" w:color="auto"/>
                                            <w:right w:val="none" w:sz="0" w:space="0" w:color="auto"/>
                                          </w:divBdr>
                                          <w:divsChild>
                                            <w:div w:id="2089692666">
                                              <w:marLeft w:val="0"/>
                                              <w:marRight w:val="0"/>
                                              <w:marTop w:val="90"/>
                                              <w:marBottom w:val="0"/>
                                              <w:divBdr>
                                                <w:top w:val="none" w:sz="0" w:space="0" w:color="auto"/>
                                                <w:left w:val="none" w:sz="0" w:space="0" w:color="auto"/>
                                                <w:bottom w:val="none" w:sz="0" w:space="0" w:color="auto"/>
                                                <w:right w:val="none" w:sz="0" w:space="0" w:color="auto"/>
                                              </w:divBdr>
                                              <w:divsChild>
                                                <w:div w:id="1472476260">
                                                  <w:marLeft w:val="0"/>
                                                  <w:marRight w:val="0"/>
                                                  <w:marTop w:val="0"/>
                                                  <w:marBottom w:val="0"/>
                                                  <w:divBdr>
                                                    <w:top w:val="none" w:sz="0" w:space="0" w:color="auto"/>
                                                    <w:left w:val="none" w:sz="0" w:space="0" w:color="auto"/>
                                                    <w:bottom w:val="none" w:sz="0" w:space="0" w:color="auto"/>
                                                    <w:right w:val="none" w:sz="0" w:space="0" w:color="auto"/>
                                                  </w:divBdr>
                                                  <w:divsChild>
                                                    <w:div w:id="1552225610">
                                                      <w:marLeft w:val="0"/>
                                                      <w:marRight w:val="0"/>
                                                      <w:marTop w:val="0"/>
                                                      <w:marBottom w:val="0"/>
                                                      <w:divBdr>
                                                        <w:top w:val="none" w:sz="0" w:space="0" w:color="auto"/>
                                                        <w:left w:val="none" w:sz="0" w:space="0" w:color="auto"/>
                                                        <w:bottom w:val="none" w:sz="0" w:space="0" w:color="auto"/>
                                                        <w:right w:val="none" w:sz="0" w:space="0" w:color="auto"/>
                                                      </w:divBdr>
                                                      <w:divsChild>
                                                        <w:div w:id="1183593511">
                                                          <w:marLeft w:val="0"/>
                                                          <w:marRight w:val="0"/>
                                                          <w:marTop w:val="0"/>
                                                          <w:marBottom w:val="405"/>
                                                          <w:divBdr>
                                                            <w:top w:val="none" w:sz="0" w:space="0" w:color="auto"/>
                                                            <w:left w:val="none" w:sz="0" w:space="0" w:color="auto"/>
                                                            <w:bottom w:val="none" w:sz="0" w:space="0" w:color="auto"/>
                                                            <w:right w:val="none" w:sz="0" w:space="0" w:color="auto"/>
                                                          </w:divBdr>
                                                          <w:divsChild>
                                                            <w:div w:id="302348308">
                                                              <w:marLeft w:val="0"/>
                                                              <w:marRight w:val="0"/>
                                                              <w:marTop w:val="0"/>
                                                              <w:marBottom w:val="0"/>
                                                              <w:divBdr>
                                                                <w:top w:val="none" w:sz="0" w:space="0" w:color="auto"/>
                                                                <w:left w:val="none" w:sz="0" w:space="0" w:color="auto"/>
                                                                <w:bottom w:val="none" w:sz="0" w:space="0" w:color="auto"/>
                                                                <w:right w:val="none" w:sz="0" w:space="0" w:color="auto"/>
                                                              </w:divBdr>
                                                              <w:divsChild>
                                                                <w:div w:id="1484198433">
                                                                  <w:marLeft w:val="0"/>
                                                                  <w:marRight w:val="0"/>
                                                                  <w:marTop w:val="0"/>
                                                                  <w:marBottom w:val="0"/>
                                                                  <w:divBdr>
                                                                    <w:top w:val="none" w:sz="0" w:space="0" w:color="auto"/>
                                                                    <w:left w:val="none" w:sz="0" w:space="0" w:color="auto"/>
                                                                    <w:bottom w:val="none" w:sz="0" w:space="0" w:color="auto"/>
                                                                    <w:right w:val="none" w:sz="0" w:space="0" w:color="auto"/>
                                                                  </w:divBdr>
                                                                  <w:divsChild>
                                                                    <w:div w:id="1277788141">
                                                                      <w:marLeft w:val="0"/>
                                                                      <w:marRight w:val="0"/>
                                                                      <w:marTop w:val="0"/>
                                                                      <w:marBottom w:val="0"/>
                                                                      <w:divBdr>
                                                                        <w:top w:val="none" w:sz="0" w:space="0" w:color="auto"/>
                                                                        <w:left w:val="none" w:sz="0" w:space="0" w:color="auto"/>
                                                                        <w:bottom w:val="none" w:sz="0" w:space="0" w:color="auto"/>
                                                                        <w:right w:val="none" w:sz="0" w:space="0" w:color="auto"/>
                                                                      </w:divBdr>
                                                                      <w:divsChild>
                                                                        <w:div w:id="9362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382962">
      <w:bodyDiv w:val="1"/>
      <w:marLeft w:val="0"/>
      <w:marRight w:val="0"/>
      <w:marTop w:val="0"/>
      <w:marBottom w:val="0"/>
      <w:divBdr>
        <w:top w:val="none" w:sz="0" w:space="0" w:color="auto"/>
        <w:left w:val="none" w:sz="0" w:space="0" w:color="auto"/>
        <w:bottom w:val="none" w:sz="0" w:space="0" w:color="auto"/>
        <w:right w:val="none" w:sz="0" w:space="0" w:color="auto"/>
      </w:divBdr>
    </w:div>
    <w:div w:id="1129400875">
      <w:bodyDiv w:val="1"/>
      <w:marLeft w:val="0"/>
      <w:marRight w:val="0"/>
      <w:marTop w:val="0"/>
      <w:marBottom w:val="0"/>
      <w:divBdr>
        <w:top w:val="none" w:sz="0" w:space="0" w:color="auto"/>
        <w:left w:val="none" w:sz="0" w:space="0" w:color="auto"/>
        <w:bottom w:val="none" w:sz="0" w:space="0" w:color="auto"/>
        <w:right w:val="none" w:sz="0" w:space="0" w:color="auto"/>
      </w:divBdr>
    </w:div>
    <w:div w:id="1186404413">
      <w:bodyDiv w:val="1"/>
      <w:marLeft w:val="0"/>
      <w:marRight w:val="0"/>
      <w:marTop w:val="0"/>
      <w:marBottom w:val="0"/>
      <w:divBdr>
        <w:top w:val="none" w:sz="0" w:space="0" w:color="auto"/>
        <w:left w:val="none" w:sz="0" w:space="0" w:color="auto"/>
        <w:bottom w:val="none" w:sz="0" w:space="0" w:color="auto"/>
        <w:right w:val="none" w:sz="0" w:space="0" w:color="auto"/>
      </w:divBdr>
    </w:div>
    <w:div w:id="1266621129">
      <w:bodyDiv w:val="1"/>
      <w:marLeft w:val="0"/>
      <w:marRight w:val="0"/>
      <w:marTop w:val="0"/>
      <w:marBottom w:val="0"/>
      <w:divBdr>
        <w:top w:val="none" w:sz="0" w:space="0" w:color="auto"/>
        <w:left w:val="none" w:sz="0" w:space="0" w:color="auto"/>
        <w:bottom w:val="none" w:sz="0" w:space="0" w:color="auto"/>
        <w:right w:val="none" w:sz="0" w:space="0" w:color="auto"/>
      </w:divBdr>
      <w:divsChild>
        <w:div w:id="1942956731">
          <w:marLeft w:val="0"/>
          <w:marRight w:val="0"/>
          <w:marTop w:val="0"/>
          <w:marBottom w:val="0"/>
          <w:divBdr>
            <w:top w:val="none" w:sz="0" w:space="0" w:color="auto"/>
            <w:left w:val="none" w:sz="0" w:space="0" w:color="auto"/>
            <w:bottom w:val="none" w:sz="0" w:space="0" w:color="auto"/>
            <w:right w:val="none" w:sz="0" w:space="0" w:color="auto"/>
          </w:divBdr>
          <w:divsChild>
            <w:div w:id="1442646240">
              <w:marLeft w:val="0"/>
              <w:marRight w:val="0"/>
              <w:marTop w:val="0"/>
              <w:marBottom w:val="0"/>
              <w:divBdr>
                <w:top w:val="none" w:sz="0" w:space="0" w:color="auto"/>
                <w:left w:val="none" w:sz="0" w:space="0" w:color="auto"/>
                <w:bottom w:val="none" w:sz="0" w:space="0" w:color="auto"/>
                <w:right w:val="none" w:sz="0" w:space="0" w:color="auto"/>
              </w:divBdr>
              <w:divsChild>
                <w:div w:id="2046830987">
                  <w:marLeft w:val="0"/>
                  <w:marRight w:val="0"/>
                  <w:marTop w:val="0"/>
                  <w:marBottom w:val="0"/>
                  <w:divBdr>
                    <w:top w:val="none" w:sz="0" w:space="0" w:color="auto"/>
                    <w:left w:val="none" w:sz="0" w:space="0" w:color="auto"/>
                    <w:bottom w:val="none" w:sz="0" w:space="0" w:color="auto"/>
                    <w:right w:val="none" w:sz="0" w:space="0" w:color="auto"/>
                  </w:divBdr>
                  <w:divsChild>
                    <w:div w:id="1970160327">
                      <w:marLeft w:val="0"/>
                      <w:marRight w:val="0"/>
                      <w:marTop w:val="0"/>
                      <w:marBottom w:val="0"/>
                      <w:divBdr>
                        <w:top w:val="none" w:sz="0" w:space="0" w:color="auto"/>
                        <w:left w:val="none" w:sz="0" w:space="0" w:color="auto"/>
                        <w:bottom w:val="none" w:sz="0" w:space="0" w:color="auto"/>
                        <w:right w:val="none" w:sz="0" w:space="0" w:color="auto"/>
                      </w:divBdr>
                      <w:divsChild>
                        <w:div w:id="580875529">
                          <w:marLeft w:val="0"/>
                          <w:marRight w:val="0"/>
                          <w:marTop w:val="0"/>
                          <w:marBottom w:val="0"/>
                          <w:divBdr>
                            <w:top w:val="none" w:sz="0" w:space="0" w:color="auto"/>
                            <w:left w:val="none" w:sz="0" w:space="0" w:color="auto"/>
                            <w:bottom w:val="none" w:sz="0" w:space="0" w:color="auto"/>
                            <w:right w:val="none" w:sz="0" w:space="0" w:color="auto"/>
                          </w:divBdr>
                          <w:divsChild>
                            <w:div w:id="17189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3912">
      <w:bodyDiv w:val="1"/>
      <w:marLeft w:val="0"/>
      <w:marRight w:val="0"/>
      <w:marTop w:val="0"/>
      <w:marBottom w:val="0"/>
      <w:divBdr>
        <w:top w:val="none" w:sz="0" w:space="0" w:color="auto"/>
        <w:left w:val="none" w:sz="0" w:space="0" w:color="auto"/>
        <w:bottom w:val="none" w:sz="0" w:space="0" w:color="auto"/>
        <w:right w:val="none" w:sz="0" w:space="0" w:color="auto"/>
      </w:divBdr>
    </w:div>
    <w:div w:id="1425613341">
      <w:bodyDiv w:val="1"/>
      <w:marLeft w:val="0"/>
      <w:marRight w:val="0"/>
      <w:marTop w:val="0"/>
      <w:marBottom w:val="0"/>
      <w:divBdr>
        <w:top w:val="none" w:sz="0" w:space="0" w:color="auto"/>
        <w:left w:val="none" w:sz="0" w:space="0" w:color="auto"/>
        <w:bottom w:val="none" w:sz="0" w:space="0" w:color="auto"/>
        <w:right w:val="none" w:sz="0" w:space="0" w:color="auto"/>
      </w:divBdr>
    </w:div>
    <w:div w:id="1498380665">
      <w:bodyDiv w:val="1"/>
      <w:marLeft w:val="0"/>
      <w:marRight w:val="0"/>
      <w:marTop w:val="0"/>
      <w:marBottom w:val="0"/>
      <w:divBdr>
        <w:top w:val="none" w:sz="0" w:space="0" w:color="auto"/>
        <w:left w:val="none" w:sz="0" w:space="0" w:color="auto"/>
        <w:bottom w:val="none" w:sz="0" w:space="0" w:color="auto"/>
        <w:right w:val="none" w:sz="0" w:space="0" w:color="auto"/>
      </w:divBdr>
      <w:divsChild>
        <w:div w:id="1710714696">
          <w:marLeft w:val="0"/>
          <w:marRight w:val="0"/>
          <w:marTop w:val="0"/>
          <w:marBottom w:val="0"/>
          <w:divBdr>
            <w:top w:val="none" w:sz="0" w:space="0" w:color="auto"/>
            <w:left w:val="none" w:sz="0" w:space="0" w:color="auto"/>
            <w:bottom w:val="none" w:sz="0" w:space="0" w:color="auto"/>
            <w:right w:val="none" w:sz="0" w:space="0" w:color="auto"/>
          </w:divBdr>
          <w:divsChild>
            <w:div w:id="463543988">
              <w:marLeft w:val="0"/>
              <w:marRight w:val="0"/>
              <w:marTop w:val="0"/>
              <w:marBottom w:val="0"/>
              <w:divBdr>
                <w:top w:val="none" w:sz="0" w:space="0" w:color="auto"/>
                <w:left w:val="none" w:sz="0" w:space="0" w:color="auto"/>
                <w:bottom w:val="none" w:sz="0" w:space="0" w:color="auto"/>
                <w:right w:val="none" w:sz="0" w:space="0" w:color="auto"/>
              </w:divBdr>
              <w:divsChild>
                <w:div w:id="1695620245">
                  <w:marLeft w:val="0"/>
                  <w:marRight w:val="0"/>
                  <w:marTop w:val="0"/>
                  <w:marBottom w:val="0"/>
                  <w:divBdr>
                    <w:top w:val="none" w:sz="0" w:space="0" w:color="auto"/>
                    <w:left w:val="none" w:sz="0" w:space="0" w:color="auto"/>
                    <w:bottom w:val="none" w:sz="0" w:space="0" w:color="auto"/>
                    <w:right w:val="none" w:sz="0" w:space="0" w:color="auto"/>
                  </w:divBdr>
                  <w:divsChild>
                    <w:div w:id="1913543262">
                      <w:marLeft w:val="0"/>
                      <w:marRight w:val="0"/>
                      <w:marTop w:val="0"/>
                      <w:marBottom w:val="0"/>
                      <w:divBdr>
                        <w:top w:val="none" w:sz="0" w:space="0" w:color="auto"/>
                        <w:left w:val="none" w:sz="0" w:space="0" w:color="auto"/>
                        <w:bottom w:val="none" w:sz="0" w:space="0" w:color="auto"/>
                        <w:right w:val="none" w:sz="0" w:space="0" w:color="auto"/>
                      </w:divBdr>
                      <w:divsChild>
                        <w:div w:id="592471847">
                          <w:marLeft w:val="0"/>
                          <w:marRight w:val="0"/>
                          <w:marTop w:val="0"/>
                          <w:marBottom w:val="0"/>
                          <w:divBdr>
                            <w:top w:val="none" w:sz="0" w:space="0" w:color="auto"/>
                            <w:left w:val="none" w:sz="0" w:space="0" w:color="auto"/>
                            <w:bottom w:val="none" w:sz="0" w:space="0" w:color="auto"/>
                            <w:right w:val="none" w:sz="0" w:space="0" w:color="auto"/>
                          </w:divBdr>
                          <w:divsChild>
                            <w:div w:id="9428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83566">
      <w:bodyDiv w:val="1"/>
      <w:marLeft w:val="0"/>
      <w:marRight w:val="0"/>
      <w:marTop w:val="0"/>
      <w:marBottom w:val="0"/>
      <w:divBdr>
        <w:top w:val="none" w:sz="0" w:space="0" w:color="auto"/>
        <w:left w:val="none" w:sz="0" w:space="0" w:color="auto"/>
        <w:bottom w:val="none" w:sz="0" w:space="0" w:color="auto"/>
        <w:right w:val="none" w:sz="0" w:space="0" w:color="auto"/>
      </w:divBdr>
    </w:div>
    <w:div w:id="20458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customXml" Target="../customXml/item2.xml"/><Relationship Id="rId21" Type="http://schemas.openxmlformats.org/officeDocument/2006/relationships/image" Target="media/image10.png"/><Relationship Id="rId34"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4.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image" Target="media/image21.jpeg"/><Relationship Id="rId3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db.org/publications/asian-development-outlook-2019-strengthening-disaster-resilience" TargetMode="External"/><Relationship Id="rId7" Type="http://schemas.openxmlformats.org/officeDocument/2006/relationships/hyperlink" Target="https://fragilestatesindex.org/" TargetMode="External"/><Relationship Id="rId2" Type="http://schemas.openxmlformats.org/officeDocument/2006/relationships/hyperlink" Target="http://www.adb.org/pacificmonitor" TargetMode="External"/><Relationship Id="rId1" Type="http://schemas.openxmlformats.org/officeDocument/2006/relationships/hyperlink" Target="http://hdr.undp.org/en/2018-update" TargetMode="External"/><Relationship Id="rId6" Type="http://schemas.openxmlformats.org/officeDocument/2006/relationships/hyperlink" Target="https://data.worldbank.org/country/solomon-islands" TargetMode="External"/><Relationship Id="rId5" Type="http://schemas.openxmlformats.org/officeDocument/2006/relationships/hyperlink" Target="https://stats.oecd.org/OECDStat_Metadata/ShowMetadata.ashx?Dataset=TABLE2A&amp;ShowOnWeb=true&amp;Lang=en" TargetMode="External"/><Relationship Id="rId4" Type="http://schemas.openxmlformats.org/officeDocument/2006/relationships/hyperlink" Target="http://thecommonwealth.org/media/news/observer-group-commends-solomon-islands-election-its-final-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598BD4-A6EC-498A-9FAA-21B5CEF47290}"/>
</file>

<file path=customXml/itemProps2.xml><?xml version="1.0" encoding="utf-8"?>
<ds:datastoreItem xmlns:ds="http://schemas.openxmlformats.org/officeDocument/2006/customXml" ds:itemID="{4A3B4DB8-794E-40DF-9FDB-F00B6A9F8FF4}"/>
</file>

<file path=customXml/itemProps3.xml><?xml version="1.0" encoding="utf-8"?>
<ds:datastoreItem xmlns:ds="http://schemas.openxmlformats.org/officeDocument/2006/customXml" ds:itemID="{8BC9337D-D60F-4B45-8D3C-1C241528C814}"/>
</file>

<file path=customXml/itemProps4.xml><?xml version="1.0" encoding="utf-8"?>
<ds:datastoreItem xmlns:ds="http://schemas.openxmlformats.org/officeDocument/2006/customXml" ds:itemID="{60762BF8-955B-4EE3-B59F-E4C78BF47F5D}"/>
</file>

<file path=docProps/app.xml><?xml version="1.0" encoding="utf-8"?>
<Properties xmlns="http://schemas.openxmlformats.org/officeDocument/2006/extended-properties" xmlns:vt="http://schemas.openxmlformats.org/officeDocument/2006/docPropsVTypes">
  <Template>Normal.dotm</Template>
  <TotalTime>0</TotalTime>
  <Pages>33</Pages>
  <Words>13550</Words>
  <Characters>77241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2019-09-20T01:30:00Z</dcterms:created>
  <dcterms:modified xsi:type="dcterms:W3CDTF">2019-09-20T01:30:00Z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8c884b35-1d02-4c74-91e8-7025724f4e8e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1264000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