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6A" w:rsidRDefault="0059146A" w:rsidP="005B5769">
      <w:pPr>
        <w:pStyle w:val="ListBullet"/>
        <w:tabs>
          <w:tab w:val="clear" w:pos="284"/>
        </w:tabs>
      </w:pPr>
      <w:bookmarkStart w:id="0" w:name="_GoBack"/>
      <w:bookmarkEnd w:id="0"/>
    </w:p>
    <w:p w:rsidR="0059146A" w:rsidRDefault="0059146A" w:rsidP="005B5769">
      <w:pPr>
        <w:pStyle w:val="ListBullet"/>
        <w:tabs>
          <w:tab w:val="clear" w:pos="284"/>
        </w:tabs>
      </w:pPr>
    </w:p>
    <w:p w:rsidR="0059146A" w:rsidRPr="0059146A" w:rsidRDefault="0059146A" w:rsidP="005B5769">
      <w:pPr>
        <w:pStyle w:val="ListBullet"/>
        <w:tabs>
          <w:tab w:val="clear" w:pos="284"/>
        </w:tabs>
      </w:pPr>
    </w:p>
    <w:p w:rsidR="00A56F14" w:rsidRPr="0059146A" w:rsidRDefault="00A56F14" w:rsidP="0059146A">
      <w:pPr>
        <w:pStyle w:val="ListBullet"/>
        <w:tabs>
          <w:tab w:val="clear" w:pos="284"/>
        </w:tabs>
      </w:pPr>
    </w:p>
    <w:p w:rsidR="00A56F14" w:rsidRDefault="00A56F14" w:rsidP="00A56F14">
      <w:pPr>
        <w:spacing w:after="200" w:line="276" w:lineRule="auto"/>
        <w:rPr>
          <w:b/>
        </w:rPr>
      </w:pPr>
    </w:p>
    <w:p w:rsidR="00A56F14" w:rsidRDefault="00A56F14" w:rsidP="00A56F14">
      <w:pPr>
        <w:spacing w:after="200" w:line="276" w:lineRule="auto"/>
        <w:rPr>
          <w:b/>
        </w:rPr>
      </w:pPr>
    </w:p>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Default="00C6626C" w:rsidP="00A56F14"/>
    <w:p w:rsidR="00C6626C" w:rsidRPr="002A51CA" w:rsidRDefault="00A56F14" w:rsidP="002A51CA">
      <w:pPr>
        <w:pStyle w:val="Title"/>
        <w:spacing w:after="120" w:line="600" w:lineRule="exact"/>
        <w:rPr>
          <w:spacing w:val="-20"/>
          <w:sz w:val="60"/>
        </w:rPr>
      </w:pPr>
      <w:r w:rsidRPr="002A51CA">
        <w:rPr>
          <w:noProof/>
          <w:spacing w:val="-20"/>
          <w:sz w:val="60"/>
          <w:lang w:val="en-AU" w:eastAsia="en-AU"/>
        </w:rPr>
        <w:drawing>
          <wp:anchor distT="0" distB="0" distL="114300" distR="114300" simplePos="0" relativeHeight="251664384" behindDoc="1" locked="1" layoutInCell="1" allowOverlap="1" wp14:anchorId="6EF290AF" wp14:editId="6AA587D3">
            <wp:simplePos x="0" y="0"/>
            <wp:positionH relativeFrom="page">
              <wp:posOffset>872490</wp:posOffset>
            </wp:positionH>
            <wp:positionV relativeFrom="page">
              <wp:posOffset>1561465</wp:posOffset>
            </wp:positionV>
            <wp:extent cx="3167380" cy="5543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380" cy="554355"/>
                    </a:xfrm>
                    <a:prstGeom prst="rect">
                      <a:avLst/>
                    </a:prstGeom>
                  </pic:spPr>
                </pic:pic>
              </a:graphicData>
            </a:graphic>
            <wp14:sizeRelH relativeFrom="margin">
              <wp14:pctWidth>0</wp14:pctWidth>
            </wp14:sizeRelH>
            <wp14:sizeRelV relativeFrom="margin">
              <wp14:pctHeight>0</wp14:pctHeight>
            </wp14:sizeRelV>
          </wp:anchor>
        </w:drawing>
      </w:r>
      <w:r w:rsidRPr="002A51CA">
        <w:rPr>
          <w:noProof/>
          <w:spacing w:val="-20"/>
          <w:sz w:val="60"/>
          <w:lang w:val="en-AU" w:eastAsia="en-AU"/>
        </w:rPr>
        <w:drawing>
          <wp:anchor distT="0" distB="0" distL="114300" distR="114300" simplePos="0" relativeHeight="251663360" behindDoc="1" locked="1" layoutInCell="1" allowOverlap="1" wp14:anchorId="6B58AC66" wp14:editId="43DAC3D5">
            <wp:simplePos x="0" y="0"/>
            <wp:positionH relativeFrom="page">
              <wp:posOffset>7620</wp:posOffset>
            </wp:positionH>
            <wp:positionV relativeFrom="page">
              <wp:posOffset>-7620</wp:posOffset>
            </wp:positionV>
            <wp:extent cx="7750810" cy="1072578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9">
                      <a:extLst>
                        <a:ext uri="{28A0092B-C50C-407E-A947-70E740481C1C}">
                          <a14:useLocalDpi xmlns:a14="http://schemas.microsoft.com/office/drawing/2010/main" val="0"/>
                        </a:ext>
                      </a:extLst>
                    </a:blip>
                    <a:stretch>
                      <a:fillRect/>
                    </a:stretch>
                  </pic:blipFill>
                  <pic:spPr>
                    <a:xfrm>
                      <a:off x="0" y="0"/>
                      <a:ext cx="7750810" cy="10725785"/>
                    </a:xfrm>
                    <a:prstGeom prst="rect">
                      <a:avLst/>
                    </a:prstGeom>
                  </pic:spPr>
                </pic:pic>
              </a:graphicData>
            </a:graphic>
            <wp14:sizeRelH relativeFrom="margin">
              <wp14:pctWidth>0</wp14:pctWidth>
            </wp14:sizeRelH>
            <wp14:sizeRelV relativeFrom="margin">
              <wp14:pctHeight>0</wp14:pctHeight>
            </wp14:sizeRelV>
          </wp:anchor>
        </w:drawing>
      </w:r>
      <w:r w:rsidR="00C6626C" w:rsidRPr="002A51CA">
        <w:rPr>
          <w:spacing w:val="-20"/>
          <w:sz w:val="60"/>
        </w:rPr>
        <w:t>Aid Program Performance Report 201</w:t>
      </w:r>
      <w:r w:rsidR="00055688">
        <w:rPr>
          <w:spacing w:val="-20"/>
          <w:sz w:val="60"/>
        </w:rPr>
        <w:t>7</w:t>
      </w:r>
      <w:r w:rsidR="00C6626C" w:rsidRPr="002A51CA">
        <w:rPr>
          <w:spacing w:val="-20"/>
          <w:sz w:val="60"/>
        </w:rPr>
        <w:t>-1</w:t>
      </w:r>
      <w:r w:rsidR="00055688">
        <w:rPr>
          <w:spacing w:val="-20"/>
          <w:sz w:val="60"/>
        </w:rPr>
        <w:t>8</w:t>
      </w:r>
    </w:p>
    <w:p w:rsidR="00C6626C" w:rsidRDefault="00F0055F" w:rsidP="00A56F14">
      <w:r>
        <w:rPr>
          <w:sz w:val="40"/>
        </w:rPr>
        <w:t>Solomon Islands</w:t>
      </w:r>
    </w:p>
    <w:p w:rsidR="00C6626C" w:rsidRPr="002A51CA" w:rsidRDefault="00C6626C" w:rsidP="00A56F14">
      <w:pPr>
        <w:rPr>
          <w:sz w:val="24"/>
        </w:rPr>
      </w:pPr>
      <w:r w:rsidRPr="002A51CA">
        <w:rPr>
          <w:sz w:val="24"/>
        </w:rPr>
        <w:t>September 201</w:t>
      </w:r>
      <w:r w:rsidR="00055688">
        <w:rPr>
          <w:sz w:val="24"/>
        </w:rPr>
        <w:t>8</w:t>
      </w:r>
    </w:p>
    <w:p w:rsidR="00C6626C" w:rsidRDefault="00C6626C" w:rsidP="00A56F14">
      <w:pPr>
        <w:sectPr w:rsidR="00C6626C" w:rsidSect="00C6626C">
          <w:headerReference w:type="even" r:id="rId10"/>
          <w:headerReference w:type="default" r:id="rId11"/>
          <w:footerReference w:type="even" r:id="rId12"/>
          <w:footerReference w:type="default" r:id="rId13"/>
          <w:headerReference w:type="first" r:id="rId14"/>
          <w:footerReference w:type="first" r:id="rId15"/>
          <w:pgSz w:w="11906" w:h="16838" w:code="9"/>
          <w:pgMar w:top="1952" w:right="1134" w:bottom="851" w:left="1134" w:header="1814" w:footer="567" w:gutter="0"/>
          <w:cols w:space="397"/>
          <w:docGrid w:linePitch="360"/>
        </w:sectPr>
      </w:pPr>
    </w:p>
    <w:p w:rsidR="00C6626C" w:rsidRPr="00C61187" w:rsidRDefault="00C6626C" w:rsidP="00B3585D">
      <w:pPr>
        <w:pStyle w:val="Title"/>
      </w:pPr>
      <w:r w:rsidRPr="002A51CA">
        <w:lastRenderedPageBreak/>
        <w:t>Key Messages</w:t>
      </w:r>
      <w:r w:rsidRPr="00C61187">
        <w:rPr>
          <w:rFonts w:ascii="Helvetica" w:hAnsi="Helvetica" w:cs="Arial"/>
          <w:color w:val="007FAD"/>
          <w:sz w:val="28"/>
          <w:szCs w:val="28"/>
        </w:rPr>
        <w:tab/>
      </w:r>
      <w:r w:rsidRPr="00C61187">
        <w:rPr>
          <w:rFonts w:ascii="Helvetica" w:hAnsi="Helvetica" w:cs="Arial"/>
          <w:color w:val="007FAD"/>
          <w:sz w:val="24"/>
          <w:szCs w:val="28"/>
        </w:rPr>
        <w:tab/>
      </w:r>
      <w:r w:rsidRPr="00C61187">
        <w:rPr>
          <w:rFonts w:ascii="Helvetica" w:hAnsi="Helvetica" w:cs="Arial"/>
          <w:color w:val="007FAD"/>
          <w:sz w:val="32"/>
          <w:szCs w:val="32"/>
        </w:rPr>
        <w:tab/>
      </w:r>
      <w:r w:rsidRPr="00C61187">
        <w:rPr>
          <w:rFonts w:ascii="Helvetica" w:hAnsi="Helvetica" w:cs="Arial"/>
          <w:color w:val="007FAD"/>
          <w:sz w:val="32"/>
          <w:szCs w:val="32"/>
        </w:rPr>
        <w:tab/>
      </w:r>
      <w:r w:rsidRPr="00C61187">
        <w:rPr>
          <w:rFonts w:ascii="Helvetica" w:hAnsi="Helvetica" w:cs="Arial"/>
          <w:color w:val="007FAD"/>
          <w:sz w:val="32"/>
          <w:szCs w:val="32"/>
        </w:rPr>
        <w:tab/>
      </w:r>
      <w:r w:rsidRPr="00C61187">
        <w:rPr>
          <w:rFonts w:ascii="Helvetica" w:hAnsi="Helvetica" w:cs="Arial"/>
          <w:color w:val="007FAD"/>
          <w:sz w:val="32"/>
          <w:szCs w:val="32"/>
        </w:rPr>
        <w:tab/>
      </w:r>
    </w:p>
    <w:p w:rsidR="00DA29D0" w:rsidRPr="00DA29D0" w:rsidRDefault="00DA29D0" w:rsidP="00DA29D0">
      <w:pPr>
        <w:pStyle w:val="NormalWeb"/>
        <w:rPr>
          <w:rFonts w:asciiTheme="minorHAnsi" w:eastAsiaTheme="minorHAnsi" w:hAnsiTheme="minorHAnsi" w:cstheme="minorBidi"/>
          <w:b/>
          <w:color w:val="495965" w:themeColor="text2"/>
          <w:sz w:val="22"/>
          <w:szCs w:val="22"/>
          <w:lang w:val="en-GB" w:eastAsia="en-US"/>
        </w:rPr>
      </w:pPr>
      <w:r w:rsidRPr="00DA29D0">
        <w:rPr>
          <w:rFonts w:asciiTheme="minorHAnsi" w:eastAsiaTheme="minorHAnsi" w:hAnsiTheme="minorHAnsi" w:cstheme="minorBidi"/>
          <w:b/>
          <w:color w:val="495965" w:themeColor="text2"/>
          <w:sz w:val="22"/>
          <w:szCs w:val="22"/>
          <w:lang w:val="en-GB" w:eastAsia="en-US"/>
        </w:rPr>
        <w:t>This report summarises the performance of Australia’s aid program in Solomon Islands from July 2017 to June 2018 against the Solomon Islands Aid Investment Plan 2015/16 – 2018/19.</w:t>
      </w:r>
    </w:p>
    <w:p w:rsidR="00DA29D0" w:rsidRPr="00856806" w:rsidRDefault="00DA29D0" w:rsidP="00692D20">
      <w:pPr>
        <w:pStyle w:val="NormalWeb"/>
        <w:rPr>
          <w:rFonts w:asciiTheme="minorHAnsi" w:eastAsiaTheme="minorHAnsi" w:hAnsiTheme="minorHAnsi" w:cstheme="minorBidi"/>
          <w:color w:val="495965" w:themeColor="text2"/>
          <w:sz w:val="22"/>
          <w:szCs w:val="22"/>
          <w:lang w:eastAsia="en-US"/>
        </w:rPr>
      </w:pPr>
      <w:r w:rsidRPr="00856806">
        <w:rPr>
          <w:rFonts w:asciiTheme="minorHAnsi" w:eastAsiaTheme="minorHAnsi" w:hAnsiTheme="minorHAnsi" w:cstheme="minorBidi"/>
          <w:b/>
          <w:color w:val="495965" w:themeColor="text2"/>
          <w:sz w:val="22"/>
          <w:szCs w:val="22"/>
          <w:lang w:val="en-GB" w:eastAsia="en-US"/>
        </w:rPr>
        <w:t>Australia and Solomon Islands have a strong and enduring partnership.</w:t>
      </w:r>
      <w:r w:rsidRPr="00856806">
        <w:rPr>
          <w:rFonts w:asciiTheme="minorHAnsi" w:eastAsiaTheme="minorHAnsi" w:hAnsiTheme="minorHAnsi" w:cstheme="minorBidi"/>
          <w:color w:val="495965" w:themeColor="text2"/>
          <w:sz w:val="22"/>
          <w:szCs w:val="22"/>
          <w:lang w:val="en-GB" w:eastAsia="en-US"/>
        </w:rPr>
        <w:t xml:space="preserve">  The relationship between our two countries was cemented during the 14 year Regional Assistance Mission to Solomon Islands (RAMSI) sup</w:t>
      </w:r>
      <w:r w:rsidRPr="00D31C34">
        <w:rPr>
          <w:rFonts w:asciiTheme="minorHAnsi" w:eastAsiaTheme="minorHAnsi" w:hAnsiTheme="minorHAnsi" w:cstheme="minorBidi"/>
          <w:color w:val="495965" w:themeColor="text2"/>
          <w:sz w:val="22"/>
          <w:szCs w:val="22"/>
          <w:lang w:val="en-GB" w:eastAsia="en-US"/>
        </w:rPr>
        <w:t>porting peac</w:t>
      </w:r>
      <w:r w:rsidRPr="00250124">
        <w:rPr>
          <w:rFonts w:asciiTheme="minorHAnsi" w:eastAsiaTheme="minorHAnsi" w:hAnsiTheme="minorHAnsi" w:cstheme="minorBidi"/>
          <w:color w:val="495965" w:themeColor="text2"/>
          <w:sz w:val="22"/>
          <w:szCs w:val="22"/>
          <w:lang w:val="en-GB" w:eastAsia="en-US"/>
        </w:rPr>
        <w:t xml:space="preserve">e and stability in Solomon Islands.  </w:t>
      </w:r>
      <w:r w:rsidR="00250124">
        <w:rPr>
          <w:rFonts w:asciiTheme="minorHAnsi" w:eastAsiaTheme="minorHAnsi" w:hAnsiTheme="minorHAnsi" w:cstheme="minorBidi"/>
          <w:color w:val="495965" w:themeColor="text2"/>
          <w:sz w:val="22"/>
          <w:szCs w:val="22"/>
          <w:lang w:val="en-GB" w:eastAsia="en-US"/>
        </w:rPr>
        <w:t>The relationship</w:t>
      </w:r>
      <w:r w:rsidRPr="00D31C34">
        <w:rPr>
          <w:rFonts w:asciiTheme="minorHAnsi" w:eastAsiaTheme="minorHAnsi" w:hAnsiTheme="minorHAnsi" w:cstheme="minorBidi"/>
          <w:color w:val="495965" w:themeColor="text2"/>
          <w:sz w:val="22"/>
          <w:szCs w:val="22"/>
          <w:lang w:val="en-GB" w:eastAsia="en-US"/>
        </w:rPr>
        <w:t xml:space="preserve"> continues </w:t>
      </w:r>
      <w:r w:rsidR="00250124">
        <w:rPr>
          <w:rFonts w:asciiTheme="minorHAnsi" w:eastAsiaTheme="minorHAnsi" w:hAnsiTheme="minorHAnsi" w:cstheme="minorBidi"/>
          <w:color w:val="495965" w:themeColor="text2"/>
          <w:sz w:val="22"/>
          <w:szCs w:val="22"/>
          <w:lang w:val="en-GB" w:eastAsia="en-US"/>
        </w:rPr>
        <w:t xml:space="preserve">today </w:t>
      </w:r>
      <w:r w:rsidRPr="00D31C34">
        <w:rPr>
          <w:rFonts w:asciiTheme="minorHAnsi" w:eastAsiaTheme="minorHAnsi" w:hAnsiTheme="minorHAnsi" w:cstheme="minorBidi"/>
          <w:color w:val="495965" w:themeColor="text2"/>
          <w:sz w:val="22"/>
          <w:szCs w:val="22"/>
          <w:lang w:val="en-GB" w:eastAsia="en-US"/>
        </w:rPr>
        <w:t>based on shared mutual interests in a prosperous and stable Solomon Islands, and strong people-to-people links.</w:t>
      </w:r>
      <w:r w:rsidR="00200E64">
        <w:rPr>
          <w:rFonts w:asciiTheme="minorHAnsi" w:eastAsiaTheme="minorHAnsi" w:hAnsiTheme="minorHAnsi" w:cstheme="minorBidi"/>
          <w:color w:val="495965" w:themeColor="text2"/>
          <w:sz w:val="22"/>
          <w:szCs w:val="22"/>
          <w:lang w:val="en-GB" w:eastAsia="en-US"/>
        </w:rPr>
        <w:t xml:space="preserve">  </w:t>
      </w:r>
      <w:r w:rsidR="00A67EFB" w:rsidRPr="00D31C34">
        <w:rPr>
          <w:rFonts w:asciiTheme="minorHAnsi" w:eastAsiaTheme="minorHAnsi" w:hAnsiTheme="minorHAnsi" w:cstheme="minorBidi"/>
          <w:color w:val="495965" w:themeColor="text2"/>
          <w:sz w:val="22"/>
          <w:szCs w:val="22"/>
          <w:lang w:val="en-GB" w:eastAsia="en-US"/>
        </w:rPr>
        <w:t xml:space="preserve">Reflecting </w:t>
      </w:r>
      <w:r w:rsidRPr="00D31C34">
        <w:rPr>
          <w:rFonts w:asciiTheme="minorHAnsi" w:eastAsiaTheme="minorHAnsi" w:hAnsiTheme="minorHAnsi" w:cstheme="minorBidi"/>
          <w:color w:val="495965" w:themeColor="text2"/>
          <w:sz w:val="22"/>
          <w:szCs w:val="22"/>
          <w:lang w:val="en-GB" w:eastAsia="en-US"/>
        </w:rPr>
        <w:t xml:space="preserve">the significance of the relationship, </w:t>
      </w:r>
      <w:r w:rsidR="00200E64">
        <w:rPr>
          <w:rFonts w:asciiTheme="minorHAnsi" w:eastAsiaTheme="minorHAnsi" w:hAnsiTheme="minorHAnsi" w:cstheme="minorBidi"/>
          <w:color w:val="495965" w:themeColor="text2"/>
          <w:sz w:val="22"/>
          <w:szCs w:val="22"/>
          <w:lang w:val="en-GB" w:eastAsia="en-US"/>
        </w:rPr>
        <w:t xml:space="preserve">our </w:t>
      </w:r>
      <w:r w:rsidRPr="00D31C34">
        <w:rPr>
          <w:rFonts w:asciiTheme="minorHAnsi" w:eastAsiaTheme="minorHAnsi" w:hAnsiTheme="minorHAnsi" w:cstheme="minorBidi"/>
          <w:color w:val="495965" w:themeColor="text2"/>
          <w:sz w:val="22"/>
          <w:szCs w:val="22"/>
          <w:lang w:val="en-GB" w:eastAsia="en-US"/>
        </w:rPr>
        <w:t xml:space="preserve">development assistance to Solomon Islands is Australia’s third largest bilateral aid program.  </w:t>
      </w:r>
      <w:r w:rsidR="00E60C7E">
        <w:rPr>
          <w:rFonts w:asciiTheme="minorHAnsi" w:eastAsiaTheme="minorHAnsi" w:hAnsiTheme="minorHAnsi" w:cstheme="minorBidi"/>
          <w:color w:val="495965" w:themeColor="text2"/>
          <w:sz w:val="22"/>
          <w:szCs w:val="22"/>
          <w:lang w:val="en-GB" w:eastAsia="en-US"/>
        </w:rPr>
        <w:t>In 2017-18</w:t>
      </w:r>
      <w:r w:rsidR="00250124">
        <w:rPr>
          <w:rFonts w:asciiTheme="minorHAnsi" w:eastAsiaTheme="minorHAnsi" w:hAnsiTheme="minorHAnsi" w:cstheme="minorBidi"/>
          <w:color w:val="495965" w:themeColor="text2"/>
          <w:sz w:val="22"/>
          <w:szCs w:val="22"/>
          <w:lang w:val="en-GB" w:eastAsia="en-US"/>
        </w:rPr>
        <w:t>,</w:t>
      </w:r>
      <w:r w:rsidRPr="00D31C34">
        <w:rPr>
          <w:rFonts w:asciiTheme="minorHAnsi" w:eastAsiaTheme="minorHAnsi" w:hAnsiTheme="minorHAnsi" w:cstheme="minorBidi"/>
          <w:color w:val="495965" w:themeColor="text2"/>
          <w:sz w:val="22"/>
          <w:szCs w:val="22"/>
          <w:lang w:val="en-GB" w:eastAsia="en-US"/>
        </w:rPr>
        <w:t xml:space="preserve"> Australia continued </w:t>
      </w:r>
      <w:r w:rsidR="00200E64">
        <w:rPr>
          <w:rFonts w:asciiTheme="minorHAnsi" w:eastAsiaTheme="minorHAnsi" w:hAnsiTheme="minorHAnsi" w:cstheme="minorBidi"/>
          <w:color w:val="495965" w:themeColor="text2"/>
          <w:sz w:val="22"/>
          <w:szCs w:val="22"/>
          <w:lang w:val="en-GB" w:eastAsia="en-US"/>
        </w:rPr>
        <w:t>a</w:t>
      </w:r>
      <w:r w:rsidR="00200E64" w:rsidRPr="00D31C34">
        <w:rPr>
          <w:rFonts w:asciiTheme="minorHAnsi" w:eastAsiaTheme="minorHAnsi" w:hAnsiTheme="minorHAnsi" w:cstheme="minorBidi"/>
          <w:color w:val="495965" w:themeColor="text2"/>
          <w:sz w:val="22"/>
          <w:szCs w:val="22"/>
          <w:lang w:val="en-GB" w:eastAsia="en-US"/>
        </w:rPr>
        <w:t xml:space="preserve"> </w:t>
      </w:r>
      <w:r w:rsidRPr="00D31C34">
        <w:rPr>
          <w:rFonts w:asciiTheme="minorHAnsi" w:eastAsiaTheme="minorHAnsi" w:hAnsiTheme="minorHAnsi" w:cstheme="minorBidi"/>
          <w:color w:val="495965" w:themeColor="text2"/>
          <w:sz w:val="22"/>
          <w:szCs w:val="22"/>
          <w:lang w:val="en-GB" w:eastAsia="en-US"/>
        </w:rPr>
        <w:t xml:space="preserve">core focus on </w:t>
      </w:r>
      <w:r w:rsidR="00200E64">
        <w:rPr>
          <w:rFonts w:asciiTheme="minorHAnsi" w:eastAsiaTheme="minorHAnsi" w:hAnsiTheme="minorHAnsi" w:cstheme="minorBidi"/>
          <w:color w:val="495965" w:themeColor="text2"/>
          <w:sz w:val="22"/>
          <w:szCs w:val="22"/>
          <w:lang w:val="en-GB" w:eastAsia="en-US"/>
        </w:rPr>
        <w:t>assisting Solomon Islands to improve</w:t>
      </w:r>
      <w:r w:rsidR="00200E64" w:rsidRPr="00D31C34">
        <w:rPr>
          <w:rFonts w:asciiTheme="minorHAnsi" w:eastAsiaTheme="minorHAnsi" w:hAnsiTheme="minorHAnsi" w:cstheme="minorBidi"/>
          <w:color w:val="495965" w:themeColor="text2"/>
          <w:sz w:val="22"/>
          <w:szCs w:val="22"/>
          <w:lang w:val="en-GB" w:eastAsia="en-US"/>
        </w:rPr>
        <w:t xml:space="preserve"> </w:t>
      </w:r>
      <w:r w:rsidRPr="00D31C34">
        <w:rPr>
          <w:rFonts w:asciiTheme="minorHAnsi" w:eastAsiaTheme="minorHAnsi" w:hAnsiTheme="minorHAnsi" w:cstheme="minorBidi"/>
          <w:color w:val="495965" w:themeColor="text2"/>
          <w:sz w:val="22"/>
          <w:szCs w:val="22"/>
          <w:lang w:val="en-GB" w:eastAsia="en-US"/>
        </w:rPr>
        <w:t>litera</w:t>
      </w:r>
      <w:r w:rsidRPr="00856806">
        <w:rPr>
          <w:rFonts w:asciiTheme="minorHAnsi" w:eastAsiaTheme="minorHAnsi" w:hAnsiTheme="minorHAnsi" w:cstheme="minorBidi"/>
          <w:color w:val="495965" w:themeColor="text2"/>
          <w:sz w:val="22"/>
          <w:szCs w:val="22"/>
          <w:lang w:val="en-GB" w:eastAsia="en-US"/>
        </w:rPr>
        <w:t>cy and numeracy</w:t>
      </w:r>
      <w:r w:rsidR="00200E64">
        <w:rPr>
          <w:rFonts w:asciiTheme="minorHAnsi" w:eastAsiaTheme="minorHAnsi" w:hAnsiTheme="minorHAnsi" w:cstheme="minorBidi"/>
          <w:color w:val="495965" w:themeColor="text2"/>
          <w:sz w:val="22"/>
          <w:szCs w:val="22"/>
          <w:lang w:val="en-GB" w:eastAsia="en-US"/>
        </w:rPr>
        <w:t>, deliver</w:t>
      </w:r>
      <w:r w:rsidRPr="00856806">
        <w:rPr>
          <w:rFonts w:asciiTheme="minorHAnsi" w:eastAsiaTheme="minorHAnsi" w:hAnsiTheme="minorHAnsi" w:cstheme="minorBidi"/>
          <w:color w:val="495965" w:themeColor="text2"/>
          <w:sz w:val="22"/>
          <w:szCs w:val="22"/>
          <w:lang w:val="en-GB" w:eastAsia="en-US"/>
        </w:rPr>
        <w:t xml:space="preserve"> primary health services, </w:t>
      </w:r>
      <w:r w:rsidR="00250124">
        <w:rPr>
          <w:rFonts w:asciiTheme="minorHAnsi" w:eastAsiaTheme="minorHAnsi" w:hAnsiTheme="minorHAnsi" w:cstheme="minorBidi"/>
          <w:color w:val="495965" w:themeColor="text2"/>
          <w:sz w:val="22"/>
          <w:szCs w:val="22"/>
          <w:lang w:val="en-GB" w:eastAsia="en-US"/>
        </w:rPr>
        <w:t>enable</w:t>
      </w:r>
      <w:r w:rsidR="00200E64" w:rsidRPr="00856806">
        <w:rPr>
          <w:rFonts w:asciiTheme="minorHAnsi" w:eastAsiaTheme="minorHAnsi" w:hAnsiTheme="minorHAnsi" w:cstheme="minorBidi"/>
          <w:color w:val="495965" w:themeColor="text2"/>
          <w:sz w:val="22"/>
          <w:szCs w:val="22"/>
          <w:lang w:val="en-GB" w:eastAsia="en-US"/>
        </w:rPr>
        <w:t xml:space="preserve"> </w:t>
      </w:r>
      <w:r w:rsidRPr="00856806">
        <w:rPr>
          <w:rFonts w:asciiTheme="minorHAnsi" w:eastAsiaTheme="minorHAnsi" w:hAnsiTheme="minorHAnsi" w:cstheme="minorBidi"/>
          <w:color w:val="495965" w:themeColor="text2"/>
          <w:sz w:val="22"/>
          <w:szCs w:val="22"/>
          <w:lang w:val="en-GB" w:eastAsia="en-US"/>
        </w:rPr>
        <w:t>economic growth to support a pathway out of poverty an</w:t>
      </w:r>
      <w:r w:rsidRPr="00D31C34">
        <w:rPr>
          <w:rFonts w:asciiTheme="minorHAnsi" w:eastAsiaTheme="minorHAnsi" w:hAnsiTheme="minorHAnsi" w:cstheme="minorBidi"/>
          <w:color w:val="495965" w:themeColor="text2"/>
          <w:sz w:val="22"/>
          <w:szCs w:val="22"/>
          <w:lang w:val="en-GB" w:eastAsia="en-US"/>
        </w:rPr>
        <w:t xml:space="preserve">d </w:t>
      </w:r>
      <w:r w:rsidR="00200E64">
        <w:rPr>
          <w:rFonts w:asciiTheme="minorHAnsi" w:eastAsiaTheme="minorHAnsi" w:hAnsiTheme="minorHAnsi" w:cstheme="minorBidi"/>
          <w:color w:val="495965" w:themeColor="text2"/>
          <w:sz w:val="22"/>
          <w:szCs w:val="22"/>
          <w:lang w:val="en-GB" w:eastAsia="en-US"/>
        </w:rPr>
        <w:t xml:space="preserve">build </w:t>
      </w:r>
      <w:r w:rsidRPr="00D31C34">
        <w:rPr>
          <w:rFonts w:asciiTheme="minorHAnsi" w:eastAsiaTheme="minorHAnsi" w:hAnsiTheme="minorHAnsi" w:cstheme="minorBidi"/>
          <w:color w:val="495965" w:themeColor="text2"/>
          <w:sz w:val="22"/>
          <w:szCs w:val="22"/>
          <w:lang w:val="en-GB" w:eastAsia="en-US"/>
        </w:rPr>
        <w:t xml:space="preserve">a more robust economy, and </w:t>
      </w:r>
      <w:r w:rsidR="00250124">
        <w:rPr>
          <w:rFonts w:asciiTheme="minorHAnsi" w:eastAsiaTheme="minorHAnsi" w:hAnsiTheme="minorHAnsi" w:cstheme="minorBidi"/>
          <w:color w:val="495965" w:themeColor="text2"/>
          <w:sz w:val="22"/>
          <w:szCs w:val="22"/>
          <w:lang w:val="en-GB" w:eastAsia="en-US"/>
        </w:rPr>
        <w:t xml:space="preserve">to maintain </w:t>
      </w:r>
      <w:r w:rsidRPr="00D31C34">
        <w:rPr>
          <w:rFonts w:asciiTheme="minorHAnsi" w:eastAsiaTheme="minorHAnsi" w:hAnsiTheme="minorHAnsi" w:cstheme="minorBidi"/>
          <w:color w:val="495965" w:themeColor="text2"/>
          <w:sz w:val="22"/>
          <w:szCs w:val="22"/>
          <w:lang w:val="en-GB" w:eastAsia="en-US"/>
        </w:rPr>
        <w:t xml:space="preserve">stability.  </w:t>
      </w:r>
    </w:p>
    <w:p w:rsidR="00013F54" w:rsidRPr="00856806" w:rsidRDefault="00B406A2" w:rsidP="00AB60CF">
      <w:pPr>
        <w:spacing w:after="0" w:line="240" w:lineRule="auto"/>
      </w:pPr>
      <w:r w:rsidRPr="00856806">
        <w:rPr>
          <w:b/>
        </w:rPr>
        <w:t xml:space="preserve">Australia </w:t>
      </w:r>
      <w:r w:rsidR="007E788F" w:rsidRPr="00856806">
        <w:rPr>
          <w:b/>
        </w:rPr>
        <w:t>scaled</w:t>
      </w:r>
      <w:r w:rsidR="00AB60CF" w:rsidRPr="00856806">
        <w:rPr>
          <w:b/>
        </w:rPr>
        <w:t xml:space="preserve"> up</w:t>
      </w:r>
      <w:r w:rsidRPr="00856806">
        <w:rPr>
          <w:b/>
        </w:rPr>
        <w:t xml:space="preserve"> work with Solomon Islands</w:t>
      </w:r>
      <w:r w:rsidR="00EA06FB" w:rsidRPr="00856806">
        <w:rPr>
          <w:b/>
        </w:rPr>
        <w:t xml:space="preserve"> to </w:t>
      </w:r>
      <w:r w:rsidR="00F3376C" w:rsidRPr="00856806">
        <w:rPr>
          <w:b/>
        </w:rPr>
        <w:t>strengthen</w:t>
      </w:r>
      <w:r w:rsidR="00EA06FB" w:rsidRPr="00856806">
        <w:rPr>
          <w:b/>
        </w:rPr>
        <w:t xml:space="preserve"> economic growth</w:t>
      </w:r>
      <w:r w:rsidR="000A24A1">
        <w:rPr>
          <w:b/>
        </w:rPr>
        <w:t xml:space="preserve"> over the year</w:t>
      </w:r>
      <w:r w:rsidRPr="00856806">
        <w:rPr>
          <w:b/>
        </w:rPr>
        <w:t xml:space="preserve">.  </w:t>
      </w:r>
      <w:r w:rsidRPr="00856806">
        <w:t xml:space="preserve">Sustained, increased economic growth is essential for Solomon Islands to reduce poverty and consolidate stability.  </w:t>
      </w:r>
      <w:r w:rsidR="00F91810" w:rsidRPr="00D31C34">
        <w:t>In</w:t>
      </w:r>
      <w:r w:rsidR="00571CE3">
        <w:t xml:space="preserve"> October 2017</w:t>
      </w:r>
      <w:r w:rsidR="00F91810" w:rsidRPr="00D31C34">
        <w:t xml:space="preserve"> </w:t>
      </w:r>
      <w:r w:rsidR="00013F54" w:rsidRPr="00D31C34">
        <w:t>Australia and Solomon Islands a</w:t>
      </w:r>
      <w:r w:rsidR="00F91810" w:rsidRPr="00856806">
        <w:t xml:space="preserve">greed to build </w:t>
      </w:r>
      <w:r w:rsidR="00013F54" w:rsidRPr="00856806">
        <w:t xml:space="preserve">a high-speed telecommunications cable to allow faster and more reliable internet connections to drive economic growth and </w:t>
      </w:r>
      <w:r w:rsidR="0094506F">
        <w:t xml:space="preserve">sustainable, inclusive </w:t>
      </w:r>
      <w:r w:rsidR="00013F54" w:rsidRPr="00856806">
        <w:t xml:space="preserve">development.  </w:t>
      </w:r>
      <w:r w:rsidR="00A67EFB" w:rsidRPr="00856806">
        <w:t>The Strongim Business program launched in July 2017</w:t>
      </w:r>
      <w:r w:rsidR="009E3D6D">
        <w:t xml:space="preserve"> and </w:t>
      </w:r>
      <w:r w:rsidR="00A67EFB" w:rsidRPr="00856806">
        <w:t>implement</w:t>
      </w:r>
      <w:r w:rsidR="009E3D6D">
        <w:t>ed</w:t>
      </w:r>
      <w:r w:rsidR="00A67EFB" w:rsidRPr="00856806">
        <w:t xml:space="preserve"> early work to support growth in agriculture and tourism.</w:t>
      </w:r>
      <w:r w:rsidR="000437A7" w:rsidRPr="00856806">
        <w:t xml:space="preserve">  </w:t>
      </w:r>
      <w:r w:rsidR="00B44FB2">
        <w:t>Australia continued</w:t>
      </w:r>
      <w:r w:rsidR="00713852" w:rsidRPr="00856806">
        <w:t xml:space="preserve"> to work </w:t>
      </w:r>
      <w:r w:rsidR="00A67EFB" w:rsidRPr="00856806">
        <w:t>closely with Solomon Islands on increasing participation in the Seasonal Worker Program, which supports unskilled workers from Solomon Islands to gain seasonal employment on Australian farms.  Solomon Islands participation</w:t>
      </w:r>
      <w:r w:rsidR="00250124">
        <w:t xml:space="preserve"> in the scheme</w:t>
      </w:r>
      <w:r w:rsidR="00A67EFB" w:rsidRPr="00D31C34">
        <w:t xml:space="preserve"> </w:t>
      </w:r>
      <w:r w:rsidR="00CF5F29">
        <w:t>doubled to 17</w:t>
      </w:r>
      <w:r w:rsidR="00713852" w:rsidRPr="00D31C34">
        <w:t>5</w:t>
      </w:r>
      <w:r w:rsidR="008A36C7">
        <w:t xml:space="preserve"> workers</w:t>
      </w:r>
      <w:r w:rsidR="000A24A1">
        <w:t xml:space="preserve">, </w:t>
      </w:r>
      <w:r w:rsidR="00A67EFB" w:rsidRPr="00D31C34">
        <w:t xml:space="preserve">and </w:t>
      </w:r>
      <w:r w:rsidR="000437A7" w:rsidRPr="00856806">
        <w:t xml:space="preserve">work to train, prepare and support </w:t>
      </w:r>
      <w:r w:rsidR="008A36C7">
        <w:t>future</w:t>
      </w:r>
      <w:r w:rsidR="000437A7" w:rsidRPr="00D31C34">
        <w:t xml:space="preserve"> workers </w:t>
      </w:r>
      <w:r w:rsidR="009E3D6D">
        <w:t>positioned</w:t>
      </w:r>
      <w:r w:rsidR="000437A7" w:rsidRPr="00D31C34">
        <w:t xml:space="preserve"> Solomon Islands </w:t>
      </w:r>
      <w:r w:rsidR="00A67EFB" w:rsidRPr="00D31C34">
        <w:t xml:space="preserve">for </w:t>
      </w:r>
      <w:r w:rsidR="00AB60CF" w:rsidRPr="00856806">
        <w:t>ongoing expansion.</w:t>
      </w:r>
    </w:p>
    <w:p w:rsidR="0061579C" w:rsidRPr="00856806" w:rsidRDefault="009E3D6D" w:rsidP="00DA29D0">
      <w:pPr>
        <w:spacing w:line="252" w:lineRule="auto"/>
        <w:rPr>
          <w:b/>
        </w:rPr>
      </w:pPr>
      <w:r>
        <w:rPr>
          <w:b/>
        </w:rPr>
        <w:t>Our s</w:t>
      </w:r>
      <w:r w:rsidR="00AF5886">
        <w:rPr>
          <w:b/>
        </w:rPr>
        <w:t>upport for economic growth</w:t>
      </w:r>
      <w:r w:rsidR="00AF5886" w:rsidRPr="00D31C34">
        <w:rPr>
          <w:b/>
        </w:rPr>
        <w:t xml:space="preserve"> </w:t>
      </w:r>
      <w:r w:rsidR="00B406A2" w:rsidRPr="00D31C34">
        <w:rPr>
          <w:b/>
        </w:rPr>
        <w:t xml:space="preserve">focused on </w:t>
      </w:r>
      <w:r w:rsidR="00EA06FB" w:rsidRPr="00856806">
        <w:rPr>
          <w:b/>
        </w:rPr>
        <w:t>tackling constraints to growth and increasing inclusive growth</w:t>
      </w:r>
      <w:r w:rsidR="00B406A2" w:rsidRPr="00856806">
        <w:rPr>
          <w:b/>
        </w:rPr>
        <w:t>.</w:t>
      </w:r>
      <w:r w:rsidR="00B406A2" w:rsidRPr="00856806">
        <w:t xml:space="preserve">  </w:t>
      </w:r>
      <w:r w:rsidR="00A67EFB" w:rsidRPr="00856806">
        <w:t>Our support for infrastructur</w:t>
      </w:r>
      <w:r w:rsidR="00BC3E15">
        <w:t>e strengthened national systems</w:t>
      </w:r>
      <w:r w:rsidR="00A67EFB" w:rsidRPr="00856806">
        <w:t xml:space="preserve"> </w:t>
      </w:r>
      <w:r w:rsidR="00E152BB">
        <w:t xml:space="preserve">and </w:t>
      </w:r>
      <w:r w:rsidR="00A67EFB" w:rsidRPr="00856806">
        <w:t>enabl</w:t>
      </w:r>
      <w:r>
        <w:t>ed</w:t>
      </w:r>
      <w:r w:rsidR="00A67EFB" w:rsidRPr="00856806">
        <w:t xml:space="preserve"> Solomon Islands to manage the maintenance of 692km of roads</w:t>
      </w:r>
      <w:r w:rsidR="000A24A1">
        <w:t xml:space="preserve"> </w:t>
      </w:r>
      <w:r w:rsidR="00A67EFB" w:rsidRPr="00D31C34">
        <w:t xml:space="preserve">and 19 bridges.  </w:t>
      </w:r>
      <w:r>
        <w:t>Since 2015, t</w:t>
      </w:r>
      <w:r w:rsidR="00AB60CF" w:rsidRPr="00856806">
        <w:t xml:space="preserve">he Rural Development </w:t>
      </w:r>
      <w:r w:rsidR="00C80308">
        <w:t>Program</w:t>
      </w:r>
      <w:r w:rsidR="00571CE3">
        <w:t>,</w:t>
      </w:r>
      <w:r w:rsidR="00AB60CF" w:rsidRPr="00856806">
        <w:t xml:space="preserve"> delivered jointly with the World Bank and EU, provided community grants for </w:t>
      </w:r>
      <w:r w:rsidR="00AB60CF" w:rsidRPr="004929E0">
        <w:t>village infrastructure in 214 villages,</w:t>
      </w:r>
      <w:r w:rsidR="00AB60CF" w:rsidRPr="00D012B2">
        <w:rPr>
          <w:color w:val="auto"/>
        </w:rPr>
        <w:t xml:space="preserve"> </w:t>
      </w:r>
      <w:r w:rsidR="00AB60CF" w:rsidRPr="00856806">
        <w:t xml:space="preserve">reaching 44,188 beneficiaries across </w:t>
      </w:r>
      <w:r w:rsidR="00AE56FB">
        <w:t xml:space="preserve">all </w:t>
      </w:r>
      <w:r w:rsidR="00AB60CF" w:rsidRPr="00856806">
        <w:t xml:space="preserve">172 </w:t>
      </w:r>
      <w:r w:rsidR="00AE56FB">
        <w:t xml:space="preserve">rural </w:t>
      </w:r>
      <w:r w:rsidR="00AB60CF" w:rsidRPr="00856806">
        <w:t>Wards</w:t>
      </w:r>
      <w:r w:rsidR="00571CE3">
        <w:t>.</w:t>
      </w:r>
      <w:r w:rsidR="00AF5886">
        <w:t xml:space="preserve">  </w:t>
      </w:r>
      <w:r w:rsidR="00864605" w:rsidRPr="00856806">
        <w:t xml:space="preserve">Australia </w:t>
      </w:r>
      <w:r w:rsidR="008A36C7">
        <w:t>finalised</w:t>
      </w:r>
      <w:r w:rsidR="008A36C7" w:rsidRPr="00856806">
        <w:t xml:space="preserve"> </w:t>
      </w:r>
      <w:r w:rsidR="00864605" w:rsidRPr="00856806">
        <w:t>its</w:t>
      </w:r>
      <w:r w:rsidR="00A67EFB" w:rsidRPr="00856806">
        <w:t xml:space="preserve"> support to the Solomon Islands Water Authority (SWIA) in </w:t>
      </w:r>
      <w:r w:rsidR="00864605" w:rsidRPr="00856806">
        <w:t xml:space="preserve">June </w:t>
      </w:r>
      <w:r w:rsidR="00A67EFB" w:rsidRPr="00856806">
        <w:t xml:space="preserve">2018.  SIWA is a major success story, transitioning from near collapse in 2011 to an effective State Owned </w:t>
      </w:r>
      <w:r w:rsidR="008E1436">
        <w:t>Enterprise</w:t>
      </w:r>
      <w:r w:rsidR="008E1436" w:rsidRPr="00856806">
        <w:t xml:space="preserve"> </w:t>
      </w:r>
      <w:r w:rsidR="00A67EFB" w:rsidRPr="00856806">
        <w:t>delivering safe water in Honiara</w:t>
      </w:r>
      <w:r w:rsidR="000A24A1">
        <w:t xml:space="preserve"> </w:t>
      </w:r>
      <w:r w:rsidR="00537E31">
        <w:t>22 hours per</w:t>
      </w:r>
      <w:r w:rsidR="00A67EFB" w:rsidRPr="00D31C34">
        <w:t xml:space="preserve"> day. </w:t>
      </w:r>
      <w:r w:rsidR="004E5E93" w:rsidRPr="00856806">
        <w:t xml:space="preserve"> Australia and Solomon Islands engaged on economic and policy reforms through the Core Economic Working Group; and our support to the Solomon Islands Chamber of Commerce and Industry positioned business to engage wi</w:t>
      </w:r>
      <w:r w:rsidR="00BC3E15">
        <w:t xml:space="preserve">th Government on policy issues. </w:t>
      </w:r>
      <w:r w:rsidR="00CF5F29">
        <w:rPr>
          <w:rFonts w:eastAsia="Calibri"/>
        </w:rPr>
        <w:t>W</w:t>
      </w:r>
      <w:r w:rsidR="00CF5F29" w:rsidRPr="00FB07BA">
        <w:rPr>
          <w:rFonts w:eastAsia="Calibri"/>
        </w:rPr>
        <w:t>ork started on construction of a market in Gizo, Western Province</w:t>
      </w:r>
      <w:r w:rsidR="00CF5F29">
        <w:rPr>
          <w:rFonts w:eastAsia="Calibri"/>
        </w:rPr>
        <w:t xml:space="preserve">, improving </w:t>
      </w:r>
      <w:r w:rsidR="00CF5F29" w:rsidRPr="00FB07BA">
        <w:rPr>
          <w:rFonts w:eastAsia="Calibri"/>
        </w:rPr>
        <w:t xml:space="preserve">economic activity and </w:t>
      </w:r>
      <w:r>
        <w:rPr>
          <w:rFonts w:eastAsia="Calibri"/>
        </w:rPr>
        <w:t>enhancing</w:t>
      </w:r>
      <w:r w:rsidRPr="00FB07BA">
        <w:rPr>
          <w:rFonts w:eastAsia="Calibri"/>
        </w:rPr>
        <w:t xml:space="preserve"> </w:t>
      </w:r>
      <w:r w:rsidR="00CF5F29" w:rsidRPr="00FB07BA">
        <w:rPr>
          <w:rFonts w:eastAsia="Calibri"/>
        </w:rPr>
        <w:t xml:space="preserve">Gizo </w:t>
      </w:r>
      <w:r>
        <w:rPr>
          <w:rFonts w:eastAsia="Calibri"/>
        </w:rPr>
        <w:t xml:space="preserve">Town’s appeal </w:t>
      </w:r>
      <w:r w:rsidR="00CF5F29" w:rsidRPr="00FB07BA">
        <w:rPr>
          <w:rFonts w:eastAsia="Calibri"/>
        </w:rPr>
        <w:t xml:space="preserve">as an international tourism destination.  </w:t>
      </w:r>
      <w:r w:rsidR="004E5E93" w:rsidRPr="00856806">
        <w:rPr>
          <w:b/>
        </w:rPr>
        <w:t xml:space="preserve"> </w:t>
      </w:r>
      <w:r w:rsidR="00537E31">
        <w:rPr>
          <w:b/>
        </w:rPr>
        <w:t xml:space="preserve"> </w:t>
      </w:r>
    </w:p>
    <w:p w:rsidR="00DA29D0" w:rsidRPr="00856806" w:rsidRDefault="00AB60CF" w:rsidP="00DA29D0">
      <w:pPr>
        <w:spacing w:line="252" w:lineRule="auto"/>
      </w:pPr>
      <w:r w:rsidRPr="007E7622">
        <w:rPr>
          <w:b/>
        </w:rPr>
        <w:t xml:space="preserve">Australia’s support </w:t>
      </w:r>
      <w:r w:rsidR="00864605" w:rsidRPr="007E7622">
        <w:rPr>
          <w:b/>
        </w:rPr>
        <w:t xml:space="preserve">for stability </w:t>
      </w:r>
      <w:r w:rsidR="00E65D3E">
        <w:rPr>
          <w:rFonts w:eastAsia="Calibri"/>
          <w:b/>
        </w:rPr>
        <w:t>continued to</w:t>
      </w:r>
      <w:r w:rsidR="00DA29D0" w:rsidRPr="007E7622">
        <w:rPr>
          <w:rFonts w:eastAsia="Calibri"/>
          <w:b/>
        </w:rPr>
        <w:t xml:space="preserve"> strengthen key institutions to contribute to safe</w:t>
      </w:r>
      <w:r w:rsidR="00EA5A95" w:rsidRPr="007E7622">
        <w:rPr>
          <w:rFonts w:eastAsia="Calibri"/>
          <w:b/>
        </w:rPr>
        <w:t>r</w:t>
      </w:r>
      <w:r w:rsidR="00DA29D0" w:rsidRPr="007E7622">
        <w:rPr>
          <w:rFonts w:eastAsia="Calibri"/>
          <w:b/>
        </w:rPr>
        <w:t xml:space="preserve"> communities, better access to services, and </w:t>
      </w:r>
      <w:r w:rsidR="00E65D3E">
        <w:rPr>
          <w:rFonts w:eastAsia="Calibri"/>
          <w:b/>
        </w:rPr>
        <w:t>improved</w:t>
      </w:r>
      <w:r w:rsidR="00E65D3E" w:rsidRPr="007E7622">
        <w:rPr>
          <w:rFonts w:eastAsia="Calibri"/>
          <w:b/>
        </w:rPr>
        <w:t xml:space="preserve"> </w:t>
      </w:r>
      <w:r w:rsidR="00DA29D0" w:rsidRPr="007E7622">
        <w:rPr>
          <w:rFonts w:eastAsia="Calibri"/>
          <w:b/>
        </w:rPr>
        <w:t>economic stability</w:t>
      </w:r>
      <w:r w:rsidR="00DA29D0" w:rsidRPr="00D31C34">
        <w:rPr>
          <w:rFonts w:eastAsia="Calibri"/>
        </w:rPr>
        <w:t xml:space="preserve">. </w:t>
      </w:r>
      <w:r w:rsidR="00E65D3E">
        <w:rPr>
          <w:rFonts w:eastAsia="Calibri"/>
        </w:rPr>
        <w:t xml:space="preserve"> </w:t>
      </w:r>
      <w:r w:rsidR="00CE3333" w:rsidRPr="00D31C34">
        <w:rPr>
          <w:rFonts w:eastAsia="Calibri"/>
        </w:rPr>
        <w:t>The Royal Solomon Islands Police Force demonstrated its ability and professionalism</w:t>
      </w:r>
      <w:r w:rsidR="006E6F12">
        <w:rPr>
          <w:rFonts w:eastAsia="Calibri"/>
        </w:rPr>
        <w:t xml:space="preserve"> during the year</w:t>
      </w:r>
      <w:r w:rsidR="00E65D3E">
        <w:rPr>
          <w:rFonts w:eastAsia="Calibri"/>
        </w:rPr>
        <w:t xml:space="preserve">, including by </w:t>
      </w:r>
      <w:r w:rsidR="00CE3333" w:rsidRPr="00D31C34">
        <w:rPr>
          <w:rFonts w:eastAsia="Calibri"/>
        </w:rPr>
        <w:t xml:space="preserve">maintaining a </w:t>
      </w:r>
      <w:r w:rsidR="00E95836">
        <w:rPr>
          <w:rFonts w:eastAsia="Calibri"/>
        </w:rPr>
        <w:t xml:space="preserve">visible and </w:t>
      </w:r>
      <w:r w:rsidR="00CE3333" w:rsidRPr="00D31C34">
        <w:rPr>
          <w:rFonts w:eastAsia="Calibri"/>
        </w:rPr>
        <w:t xml:space="preserve">professional presence </w:t>
      </w:r>
      <w:r w:rsidR="00E65D3E">
        <w:rPr>
          <w:rFonts w:eastAsia="Calibri"/>
        </w:rPr>
        <w:t>throughout a</w:t>
      </w:r>
      <w:r w:rsidR="00E95836">
        <w:rPr>
          <w:rFonts w:eastAsia="Calibri"/>
        </w:rPr>
        <w:t>n unexpected</w:t>
      </w:r>
      <w:r w:rsidR="00E65D3E">
        <w:rPr>
          <w:rFonts w:eastAsia="Calibri"/>
        </w:rPr>
        <w:t xml:space="preserve"> </w:t>
      </w:r>
      <w:r w:rsidR="00E65D3E">
        <w:rPr>
          <w:rFonts w:eastAsia="Times New Roman"/>
        </w:rPr>
        <w:t>change in government</w:t>
      </w:r>
      <w:r w:rsidR="00864605" w:rsidRPr="00D31C34">
        <w:t xml:space="preserve">.  </w:t>
      </w:r>
      <w:r w:rsidR="00DA29D0" w:rsidRPr="00856806">
        <w:t>Australia’s j</w:t>
      </w:r>
      <w:r w:rsidR="00DA29D0" w:rsidRPr="00AF5886">
        <w:t>ustice program delivered training for 934 police and other law and justice officials</w:t>
      </w:r>
      <w:r w:rsidR="006E6F12">
        <w:t>,</w:t>
      </w:r>
      <w:r w:rsidR="00DA29D0" w:rsidRPr="00D31C34">
        <w:t xml:space="preserve"> </w:t>
      </w:r>
      <w:r w:rsidR="006E6F12">
        <w:t xml:space="preserve">and </w:t>
      </w:r>
      <w:r w:rsidR="00DA29D0" w:rsidRPr="00856806">
        <w:t xml:space="preserve">Australia assisted the Ministry of Finance </w:t>
      </w:r>
      <w:r w:rsidR="00FB57E0" w:rsidRPr="00856806">
        <w:t xml:space="preserve">and Treasury </w:t>
      </w:r>
      <w:r w:rsidR="00DA29D0" w:rsidRPr="00856806">
        <w:t xml:space="preserve">to implement reforms to improve </w:t>
      </w:r>
      <w:r w:rsidR="00292B08" w:rsidRPr="00856806">
        <w:t xml:space="preserve">government revenue collection, </w:t>
      </w:r>
      <w:r w:rsidR="00DA29D0" w:rsidRPr="00856806">
        <w:t xml:space="preserve">budget allocations and service delivery. Our work supported ongoing preparations </w:t>
      </w:r>
      <w:r w:rsidR="00D15C84" w:rsidRPr="00856806">
        <w:t>for</w:t>
      </w:r>
      <w:r w:rsidR="00B3617C" w:rsidRPr="00856806">
        <w:t xml:space="preserve"> </w:t>
      </w:r>
      <w:r w:rsidR="00DA29D0" w:rsidRPr="00856806">
        <w:t xml:space="preserve">national elections in 2019, including </w:t>
      </w:r>
      <w:r w:rsidR="009E6056" w:rsidRPr="00856806">
        <w:t>deployments from</w:t>
      </w:r>
      <w:r w:rsidR="005F5A91" w:rsidRPr="00856806">
        <w:t xml:space="preserve"> the </w:t>
      </w:r>
      <w:r w:rsidR="006506F8" w:rsidRPr="00856806">
        <w:t>Australian</w:t>
      </w:r>
      <w:r w:rsidR="00DA29D0" w:rsidRPr="00856806">
        <w:t xml:space="preserve"> Electoral Commission.  </w:t>
      </w:r>
    </w:p>
    <w:p w:rsidR="00DA29D0" w:rsidRDefault="00DA29D0" w:rsidP="00D15C84">
      <w:pPr>
        <w:spacing w:line="252" w:lineRule="auto"/>
      </w:pPr>
      <w:r w:rsidRPr="00856806">
        <w:rPr>
          <w:b/>
        </w:rPr>
        <w:t xml:space="preserve">Our support for health and education reached all </w:t>
      </w:r>
      <w:r w:rsidR="00A37BCD">
        <w:rPr>
          <w:b/>
        </w:rPr>
        <w:t>ten</w:t>
      </w:r>
      <w:r w:rsidR="004D5436" w:rsidRPr="00856806">
        <w:rPr>
          <w:b/>
        </w:rPr>
        <w:t xml:space="preserve"> </w:t>
      </w:r>
      <w:r w:rsidRPr="00856806">
        <w:rPr>
          <w:b/>
        </w:rPr>
        <w:t>Provinces</w:t>
      </w:r>
      <w:r w:rsidR="00A37BCD">
        <w:rPr>
          <w:b/>
        </w:rPr>
        <w:t xml:space="preserve"> and Territories</w:t>
      </w:r>
      <w:r w:rsidR="00803C14" w:rsidRPr="00856806">
        <w:rPr>
          <w:b/>
        </w:rPr>
        <w:t>,</w:t>
      </w:r>
      <w:r w:rsidRPr="00856806">
        <w:rPr>
          <w:b/>
        </w:rPr>
        <w:t xml:space="preserve"> supporting the </w:t>
      </w:r>
      <w:r w:rsidR="00F8238B" w:rsidRPr="00856806">
        <w:rPr>
          <w:b/>
        </w:rPr>
        <w:t xml:space="preserve">completion </w:t>
      </w:r>
      <w:r w:rsidRPr="00856806">
        <w:rPr>
          <w:b/>
        </w:rPr>
        <w:t xml:space="preserve">of </w:t>
      </w:r>
      <w:r w:rsidR="00057226" w:rsidRPr="00856806">
        <w:rPr>
          <w:b/>
        </w:rPr>
        <w:t>74</w:t>
      </w:r>
      <w:r w:rsidRPr="00856806">
        <w:rPr>
          <w:b/>
        </w:rPr>
        <w:t xml:space="preserve"> classrooms, the expansion of 13 schools</w:t>
      </w:r>
      <w:r w:rsidR="00803C14" w:rsidRPr="00D31C34">
        <w:rPr>
          <w:b/>
        </w:rPr>
        <w:t>,</w:t>
      </w:r>
      <w:r w:rsidRPr="00D31C34">
        <w:rPr>
          <w:b/>
        </w:rPr>
        <w:t xml:space="preserve"> and </w:t>
      </w:r>
      <w:r w:rsidR="00F8238B" w:rsidRPr="00856806">
        <w:rPr>
          <w:b/>
        </w:rPr>
        <w:t xml:space="preserve">continuing </w:t>
      </w:r>
      <w:r w:rsidRPr="00856806">
        <w:rPr>
          <w:b/>
        </w:rPr>
        <w:t>professional development for 1,</w:t>
      </w:r>
      <w:r w:rsidR="004375AC">
        <w:rPr>
          <w:b/>
        </w:rPr>
        <w:t>440</w:t>
      </w:r>
      <w:r w:rsidRPr="00856806">
        <w:rPr>
          <w:b/>
        </w:rPr>
        <w:t xml:space="preserve"> teachers.</w:t>
      </w:r>
      <w:r w:rsidRPr="00856806">
        <w:t xml:space="preserve">  </w:t>
      </w:r>
      <w:r w:rsidR="00CE3333" w:rsidRPr="00856806">
        <w:t xml:space="preserve">An educated and healthy population is essential for future stability and prosperity in Solomon Islands.  </w:t>
      </w:r>
      <w:r w:rsidRPr="00856806">
        <w:t>Our programs supported long-term change in the</w:t>
      </w:r>
      <w:r w:rsidR="000607EF" w:rsidRPr="00856806">
        <w:t xml:space="preserve"> education</w:t>
      </w:r>
      <w:r w:rsidRPr="00856806">
        <w:t xml:space="preserve"> sector</w:t>
      </w:r>
      <w:r w:rsidR="00E37BE1" w:rsidRPr="00856806">
        <w:t>, supporting</w:t>
      </w:r>
      <w:r w:rsidRPr="00856806">
        <w:t xml:space="preserve"> the Ministry of Education and Human Resource Development to improve the quality of teaching, update curriculum, and better manage </w:t>
      </w:r>
      <w:r w:rsidR="00537E31">
        <w:t>resources</w:t>
      </w:r>
      <w:r w:rsidRPr="00856806">
        <w:t>.</w:t>
      </w:r>
      <w:r w:rsidR="003432D9" w:rsidRPr="00856806">
        <w:t xml:space="preserve">  </w:t>
      </w:r>
      <w:r w:rsidRPr="00856806">
        <w:t xml:space="preserve">Our support to health has improved national capacity </w:t>
      </w:r>
      <w:r w:rsidR="00F904A3" w:rsidRPr="00856806">
        <w:t>and provincial-level financial management and reporting</w:t>
      </w:r>
      <w:r w:rsidR="00714B7F" w:rsidRPr="00856806">
        <w:t>,</w:t>
      </w:r>
      <w:r w:rsidR="00052D16" w:rsidRPr="00856806">
        <w:t xml:space="preserve"> </w:t>
      </w:r>
      <w:r w:rsidR="00864605" w:rsidRPr="00856806">
        <w:t>although this</w:t>
      </w:r>
      <w:r w:rsidR="00052D16" w:rsidRPr="00856806">
        <w:t xml:space="preserve"> is yet to translate </w:t>
      </w:r>
      <w:r w:rsidR="0094506F" w:rsidRPr="00856806">
        <w:t xml:space="preserve">uniformly </w:t>
      </w:r>
      <w:r w:rsidR="00052D16" w:rsidRPr="00856806">
        <w:t xml:space="preserve">into the delivery of improved services on the ground.  </w:t>
      </w:r>
      <w:r w:rsidR="00F759B4" w:rsidRPr="00856806">
        <w:t xml:space="preserve">A </w:t>
      </w:r>
      <w:r w:rsidR="00DF57ED" w:rsidRPr="00856806">
        <w:t xml:space="preserve">major </w:t>
      </w:r>
      <w:r w:rsidR="002E6DA8" w:rsidRPr="00856806">
        <w:t>health</w:t>
      </w:r>
      <w:r w:rsidR="00DF57ED" w:rsidRPr="00856806">
        <w:t xml:space="preserve"> </w:t>
      </w:r>
      <w:r w:rsidR="00F759B4" w:rsidRPr="00856806">
        <w:t xml:space="preserve">reform was </w:t>
      </w:r>
      <w:r w:rsidR="00DF57ED" w:rsidRPr="00856806">
        <w:t>delivered in 2017-18</w:t>
      </w:r>
      <w:r w:rsidR="00F759B4" w:rsidRPr="00856806">
        <w:t>, with</w:t>
      </w:r>
      <w:r w:rsidR="00BC3E15">
        <w:t xml:space="preserve"> the Cabinet </w:t>
      </w:r>
      <w:r w:rsidR="00537E31">
        <w:t>approving</w:t>
      </w:r>
      <w:r w:rsidR="002E6DA8" w:rsidRPr="00856806">
        <w:t xml:space="preserve"> a</w:t>
      </w:r>
      <w:r w:rsidR="00F759B4" w:rsidRPr="00856806">
        <w:t xml:space="preserve"> policy </w:t>
      </w:r>
      <w:r w:rsidR="00DF57ED" w:rsidRPr="00856806">
        <w:t>setting</w:t>
      </w:r>
      <w:r w:rsidR="002E6DA8" w:rsidRPr="00856806">
        <w:t xml:space="preserve"> out a </w:t>
      </w:r>
      <w:r w:rsidR="002E6DA8" w:rsidRPr="00856806">
        <w:lastRenderedPageBreak/>
        <w:t>pathway to universal health coverage in Solomon Islands.</w:t>
      </w:r>
      <w:r w:rsidR="00CF5F29">
        <w:t xml:space="preserve">  </w:t>
      </w:r>
      <w:r w:rsidR="008A2B05" w:rsidRPr="00856806">
        <w:t xml:space="preserve">Australia and Solomon Islands </w:t>
      </w:r>
      <w:r w:rsidR="00CF5F29">
        <w:t xml:space="preserve">also </w:t>
      </w:r>
      <w:r w:rsidR="008A2B05" w:rsidRPr="00856806">
        <w:t xml:space="preserve">announced </w:t>
      </w:r>
      <w:r w:rsidR="00E152BB">
        <w:t xml:space="preserve">the </w:t>
      </w:r>
      <w:r w:rsidR="008A2B05" w:rsidRPr="00856806">
        <w:t xml:space="preserve">construction of a new national birthing </w:t>
      </w:r>
      <w:r w:rsidR="008E1436">
        <w:t>centre</w:t>
      </w:r>
      <w:r w:rsidR="00537E31">
        <w:t xml:space="preserve"> in </w:t>
      </w:r>
      <w:r w:rsidR="00CF5F29">
        <w:t xml:space="preserve">Honiara in </w:t>
      </w:r>
      <w:r w:rsidR="00537E31">
        <w:t>June 2018</w:t>
      </w:r>
      <w:r w:rsidR="008A2B05" w:rsidRPr="00856806">
        <w:t xml:space="preserve">.  </w:t>
      </w:r>
      <w:r w:rsidRPr="00856806">
        <w:t xml:space="preserve">The delivery of </w:t>
      </w:r>
      <w:r w:rsidRPr="00571CE3">
        <w:t>Australia’s support through Solomon Islands</w:t>
      </w:r>
      <w:r w:rsidR="00057226" w:rsidRPr="00571CE3">
        <w:t>’ systems</w:t>
      </w:r>
      <w:r w:rsidRPr="00571CE3">
        <w:t xml:space="preserve"> allowed us to engage in effective policy dialogue with Solomon Islands Government, and to maximise our reach at the local level. </w:t>
      </w:r>
      <w:r w:rsidR="00CE3333" w:rsidRPr="00571CE3">
        <w:t xml:space="preserve"> </w:t>
      </w:r>
    </w:p>
    <w:p w:rsidR="00275FD8" w:rsidRPr="00856806" w:rsidRDefault="00275FD8" w:rsidP="00856806">
      <w:pPr>
        <w:spacing w:after="0" w:line="240" w:lineRule="auto"/>
      </w:pPr>
      <w:r w:rsidRPr="00571CE3">
        <w:rPr>
          <w:b/>
        </w:rPr>
        <w:t>Australia’s</w:t>
      </w:r>
      <w:r w:rsidR="00505342" w:rsidRPr="00571CE3">
        <w:rPr>
          <w:b/>
        </w:rPr>
        <w:t xml:space="preserve"> support </w:t>
      </w:r>
      <w:r w:rsidR="000B1916" w:rsidRPr="00571CE3">
        <w:rPr>
          <w:b/>
        </w:rPr>
        <w:t>will remain</w:t>
      </w:r>
      <w:r w:rsidR="00D15C84" w:rsidRPr="00571CE3">
        <w:rPr>
          <w:b/>
        </w:rPr>
        <w:t xml:space="preserve"> </w:t>
      </w:r>
      <w:r w:rsidR="00505342" w:rsidRPr="00571CE3">
        <w:rPr>
          <w:b/>
        </w:rPr>
        <w:t>responsive and considered</w:t>
      </w:r>
      <w:r w:rsidR="000B1916">
        <w:t xml:space="preserve">.  Australia’s support for </w:t>
      </w:r>
      <w:r w:rsidR="00023BD9" w:rsidRPr="00856806">
        <w:t xml:space="preserve">improved road transport has delivered results, but procurement and spending have </w:t>
      </w:r>
      <w:r w:rsidR="000B1916">
        <w:t>faced</w:t>
      </w:r>
      <w:r w:rsidR="00023BD9" w:rsidRPr="00D31C34">
        <w:t xml:space="preserve"> </w:t>
      </w:r>
      <w:r w:rsidR="000B1916">
        <w:t xml:space="preserve">ongoing </w:t>
      </w:r>
      <w:r w:rsidR="00023BD9" w:rsidRPr="00D31C34">
        <w:t>d</w:t>
      </w:r>
      <w:r w:rsidR="00023BD9" w:rsidRPr="00856806">
        <w:t>elays</w:t>
      </w:r>
      <w:r w:rsidRPr="00856806">
        <w:t xml:space="preserve">.  </w:t>
      </w:r>
      <w:r w:rsidR="004E5E93" w:rsidRPr="00856806">
        <w:t xml:space="preserve">In light of this, </w:t>
      </w:r>
      <w:r w:rsidRPr="00856806">
        <w:t xml:space="preserve">Australia is reassessing its approach </w:t>
      </w:r>
      <w:r w:rsidR="003F4488">
        <w:t>in</w:t>
      </w:r>
      <w:r w:rsidR="003F4488" w:rsidRPr="00D31C34">
        <w:t xml:space="preserve"> </w:t>
      </w:r>
      <w:r w:rsidR="009B59AF">
        <w:t>the sector</w:t>
      </w:r>
      <w:r w:rsidRPr="00D31C34">
        <w:t xml:space="preserve">. </w:t>
      </w:r>
      <w:r w:rsidR="008B60A2">
        <w:t xml:space="preserve"> </w:t>
      </w:r>
      <w:r w:rsidR="003F4488">
        <w:t xml:space="preserve">We will </w:t>
      </w:r>
      <w:r w:rsidR="00BC3E15">
        <w:t xml:space="preserve">monitor the impact of our work to expand opportunities </w:t>
      </w:r>
      <w:r w:rsidR="0094506F">
        <w:t xml:space="preserve">for Solomon Islanders </w:t>
      </w:r>
      <w:r w:rsidR="00BC3E15">
        <w:t xml:space="preserve">to earn cash-based incomes, and </w:t>
      </w:r>
      <w:r w:rsidR="003F4488">
        <w:t xml:space="preserve">reinvigorate work on gender </w:t>
      </w:r>
      <w:r w:rsidR="00C80308">
        <w:t xml:space="preserve">equality </w:t>
      </w:r>
      <w:r w:rsidR="003F4488">
        <w:t>across all programs.  Finally, w</w:t>
      </w:r>
      <w:r w:rsidR="00505342" w:rsidRPr="00856806">
        <w:t xml:space="preserve">ith one year of the Aid Investment Plan remaining, we will </w:t>
      </w:r>
      <w:r w:rsidR="00084832" w:rsidRPr="00856806">
        <w:t>progress</w:t>
      </w:r>
      <w:r w:rsidRPr="00856806">
        <w:t xml:space="preserve"> </w:t>
      </w:r>
      <w:r w:rsidR="004E5E93" w:rsidRPr="00856806">
        <w:t>a</w:t>
      </w:r>
      <w:r w:rsidRPr="00856806">
        <w:t xml:space="preserve"> new </w:t>
      </w:r>
      <w:r w:rsidR="004E5E93" w:rsidRPr="00856806">
        <w:t>strategy.</w:t>
      </w:r>
      <w:r w:rsidR="00505342" w:rsidRPr="00856806">
        <w:t xml:space="preserve"> </w:t>
      </w:r>
      <w:r w:rsidR="004E5E93" w:rsidRPr="00856806">
        <w:t xml:space="preserve"> </w:t>
      </w:r>
    </w:p>
    <w:p w:rsidR="00C6626C" w:rsidRPr="007E7622" w:rsidRDefault="00C6626C" w:rsidP="007E7622">
      <w:pPr>
        <w:pStyle w:val="ListBullet"/>
        <w:tabs>
          <w:tab w:val="clear" w:pos="284"/>
        </w:tabs>
        <w:spacing w:before="240"/>
        <w:rPr>
          <w:color w:val="495965" w:themeColor="text2"/>
          <w:kern w:val="28"/>
        </w:rPr>
      </w:pPr>
      <w:r w:rsidRPr="00856806">
        <w:rPr>
          <w:rFonts w:asciiTheme="majorHAnsi" w:eastAsiaTheme="majorEastAsia" w:hAnsiTheme="majorHAnsi" w:cstheme="majorBidi"/>
          <w:caps/>
          <w:color w:val="495965" w:themeColor="text2"/>
          <w:sz w:val="38"/>
          <w:szCs w:val="26"/>
          <w:lang w:val="en-GB" w:eastAsia="en-US"/>
        </w:rPr>
        <w:t>Cont</w:t>
      </w:r>
      <w:r w:rsidRPr="00072CF3">
        <w:rPr>
          <w:rFonts w:asciiTheme="majorHAnsi" w:eastAsiaTheme="majorEastAsia" w:hAnsiTheme="majorHAnsi" w:cstheme="majorBidi"/>
          <w:caps/>
          <w:color w:val="495965" w:themeColor="text2"/>
          <w:sz w:val="38"/>
          <w:szCs w:val="26"/>
          <w:lang w:val="en-GB" w:eastAsia="en-US"/>
        </w:rPr>
        <w:t xml:space="preserve">ext </w:t>
      </w:r>
      <w:r w:rsidRPr="00072CF3">
        <w:rPr>
          <w:rFonts w:asciiTheme="majorHAnsi" w:eastAsiaTheme="majorEastAsia" w:hAnsiTheme="majorHAnsi" w:cstheme="majorBidi"/>
          <w:caps/>
          <w:color w:val="495965" w:themeColor="text2"/>
          <w:sz w:val="38"/>
          <w:szCs w:val="26"/>
          <w:lang w:val="en-GB" w:eastAsia="en-US"/>
        </w:rPr>
        <w:tab/>
      </w:r>
      <w:r w:rsidRPr="007E7622">
        <w:rPr>
          <w:rFonts w:ascii="Helvetica" w:hAnsi="Helvetica" w:cs="Arial"/>
          <w:color w:val="495965" w:themeColor="text2"/>
          <w:kern w:val="28"/>
          <w:sz w:val="32"/>
          <w:szCs w:val="32"/>
        </w:rPr>
        <w:tab/>
      </w:r>
      <w:r w:rsidRPr="007E7622">
        <w:rPr>
          <w:color w:val="495965" w:themeColor="text2"/>
          <w:kern w:val="28"/>
        </w:rPr>
        <w:tab/>
      </w:r>
      <w:r w:rsidRPr="007E7622">
        <w:rPr>
          <w:color w:val="495965" w:themeColor="text2"/>
          <w:kern w:val="28"/>
        </w:rPr>
        <w:tab/>
      </w:r>
      <w:r w:rsidRPr="007E7622">
        <w:rPr>
          <w:color w:val="495965" w:themeColor="text2"/>
          <w:kern w:val="28"/>
        </w:rPr>
        <w:tab/>
      </w:r>
      <w:r w:rsidRPr="007E7622">
        <w:rPr>
          <w:color w:val="495965" w:themeColor="text2"/>
          <w:kern w:val="28"/>
        </w:rPr>
        <w:tab/>
      </w:r>
      <w:r w:rsidRPr="007E7622">
        <w:rPr>
          <w:color w:val="495965" w:themeColor="text2"/>
          <w:kern w:val="28"/>
        </w:rPr>
        <w:tab/>
      </w:r>
    </w:p>
    <w:p w:rsidR="00682CE9" w:rsidRPr="00856806" w:rsidRDefault="005E03D2" w:rsidP="00084832">
      <w:pPr>
        <w:spacing w:before="60" w:after="120" w:line="240" w:lineRule="auto"/>
      </w:pPr>
      <w:r w:rsidRPr="00856806">
        <w:rPr>
          <w:b/>
        </w:rPr>
        <w:t>Australia's aid program in Solomon Islands focuses on three strategic objectives; supporting stability, enabling economic growth</w:t>
      </w:r>
      <w:r w:rsidR="005B2292">
        <w:rPr>
          <w:b/>
        </w:rPr>
        <w:t>,</w:t>
      </w:r>
      <w:r w:rsidRPr="00856806">
        <w:rPr>
          <w:b/>
        </w:rPr>
        <w:t xml:space="preserve"> and enhancing human development.  </w:t>
      </w:r>
      <w:r w:rsidRPr="00D31C34">
        <w:t xml:space="preserve">The three objectives are inter-related, with progress on one underpinning progress on others.   Australia’s assistance supports Solomon Islands’ National Development Strategy (2016-2035), which maps out the pathway for Solomon Islands to improve the social and economic livelihoods of all Solomon Islanders.  </w:t>
      </w:r>
      <w:r w:rsidR="00682CE9" w:rsidRPr="00856806">
        <w:t>Australia provided $136.9 million in official development assistance (ODA) to Solomon Islands in 2017-18</w:t>
      </w:r>
      <w:r w:rsidR="00A56650">
        <w:t xml:space="preserve">, representing </w:t>
      </w:r>
      <w:r w:rsidR="00682CE9" w:rsidRPr="00D31C34">
        <w:t>6</w:t>
      </w:r>
      <w:r w:rsidR="004553CE" w:rsidRPr="00D31C34">
        <w:t>2</w:t>
      </w:r>
      <w:r w:rsidR="00682CE9" w:rsidRPr="00856806">
        <w:t xml:space="preserve"> per cent</w:t>
      </w:r>
      <w:r w:rsidR="00441F59" w:rsidRPr="00856806">
        <w:rPr>
          <w:rStyle w:val="FootnoteReference"/>
        </w:rPr>
        <w:footnoteReference w:id="1"/>
      </w:r>
      <w:r w:rsidR="00682CE9" w:rsidRPr="00856806">
        <w:t xml:space="preserve"> of total</w:t>
      </w:r>
      <w:r w:rsidR="004553CE" w:rsidRPr="00856806">
        <w:t xml:space="preserve"> OECD ODA</w:t>
      </w:r>
      <w:r w:rsidR="00441F59" w:rsidRPr="00856806">
        <w:t xml:space="preserve"> </w:t>
      </w:r>
      <w:r w:rsidR="00682CE9" w:rsidRPr="00856806">
        <w:t>flows</w:t>
      </w:r>
      <w:r w:rsidR="00A56650">
        <w:t xml:space="preserve"> to Solomon Islands</w:t>
      </w:r>
      <w:r w:rsidR="00441F59" w:rsidRPr="00856806">
        <w:t xml:space="preserve"> </w:t>
      </w:r>
      <w:r w:rsidR="00682CE9" w:rsidRPr="00856806">
        <w:t xml:space="preserve">and </w:t>
      </w:r>
      <w:r w:rsidR="00C36659" w:rsidRPr="00856806">
        <w:t>10</w:t>
      </w:r>
      <w:r w:rsidR="00682CE9" w:rsidRPr="00856806">
        <w:t xml:space="preserve"> per cent</w:t>
      </w:r>
      <w:r w:rsidR="00C36659" w:rsidRPr="00856806">
        <w:rPr>
          <w:rStyle w:val="FootnoteReference"/>
        </w:rPr>
        <w:footnoteReference w:id="2"/>
      </w:r>
      <w:r w:rsidR="00682CE9" w:rsidRPr="00856806">
        <w:t xml:space="preserve"> of Solomon Islands</w:t>
      </w:r>
      <w:r w:rsidR="00441F59" w:rsidRPr="00856806">
        <w:t>’</w:t>
      </w:r>
      <w:r w:rsidR="00682CE9" w:rsidRPr="00856806">
        <w:t xml:space="preserve"> </w:t>
      </w:r>
      <w:r w:rsidR="00046412" w:rsidRPr="00856806">
        <w:t xml:space="preserve">nominal </w:t>
      </w:r>
      <w:r w:rsidR="00682CE9" w:rsidRPr="00856806">
        <w:t xml:space="preserve">GDP in </w:t>
      </w:r>
      <w:r w:rsidR="00C36659" w:rsidRPr="00D31C34">
        <w:t>2016</w:t>
      </w:r>
      <w:r w:rsidR="00682CE9" w:rsidRPr="00D31C34">
        <w:t xml:space="preserve">.  </w:t>
      </w:r>
    </w:p>
    <w:p w:rsidR="00714216" w:rsidRPr="00856806" w:rsidRDefault="005E03D2" w:rsidP="00084832">
      <w:pPr>
        <w:spacing w:before="60" w:after="120"/>
      </w:pPr>
      <w:r w:rsidRPr="00856806">
        <w:rPr>
          <w:b/>
        </w:rPr>
        <w:t>Despite an unexpected change in government</w:t>
      </w:r>
      <w:r w:rsidR="005B2292">
        <w:rPr>
          <w:b/>
        </w:rPr>
        <w:t xml:space="preserve"> in 2017</w:t>
      </w:r>
      <w:r w:rsidRPr="00D31C34">
        <w:rPr>
          <w:b/>
        </w:rPr>
        <w:t xml:space="preserve">, the year was one of relative stability </w:t>
      </w:r>
      <w:r w:rsidRPr="00856806">
        <w:rPr>
          <w:b/>
        </w:rPr>
        <w:t>for Solomon Islands</w:t>
      </w:r>
      <w:r w:rsidRPr="00856806">
        <w:t xml:space="preserve">.  </w:t>
      </w:r>
      <w:r w:rsidR="00E152BB">
        <w:t>The</w:t>
      </w:r>
      <w:r w:rsidRPr="00856806">
        <w:t xml:space="preserve"> November 2017 </w:t>
      </w:r>
      <w:r w:rsidR="002B4BDF" w:rsidRPr="00856806">
        <w:t>motion of no confidence</w:t>
      </w:r>
      <w:r w:rsidRPr="00856806">
        <w:t xml:space="preserve"> in the Government was resolved </w:t>
      </w:r>
      <w:r w:rsidR="002B4BDF" w:rsidRPr="00856806">
        <w:t>without conflict in the Parliament</w:t>
      </w:r>
      <w:r w:rsidR="00947BAD">
        <w:t xml:space="preserve">.  </w:t>
      </w:r>
      <w:r w:rsidRPr="00856806">
        <w:t>Australia engage</w:t>
      </w:r>
      <w:r w:rsidR="00E152BB">
        <w:t>d with the new leadership on</w:t>
      </w:r>
      <w:r w:rsidRPr="00856806">
        <w:t xml:space="preserve"> discussions on key economic and policy reform opportunities. </w:t>
      </w:r>
      <w:r w:rsidR="00A56650">
        <w:t xml:space="preserve"> The</w:t>
      </w:r>
      <w:r w:rsidR="00585BEA" w:rsidRPr="00856806">
        <w:t xml:space="preserve"> re-establish</w:t>
      </w:r>
      <w:r w:rsidR="00A56650">
        <w:t>ment of</w:t>
      </w:r>
      <w:r w:rsidR="00585BEA" w:rsidRPr="00D31C34">
        <w:t xml:space="preserve"> the Core Economic Working Group</w:t>
      </w:r>
      <w:r w:rsidR="00A56650">
        <w:t xml:space="preserve"> </w:t>
      </w:r>
      <w:r w:rsidR="00585BEA" w:rsidRPr="00856806">
        <w:t>enabled robust policy discussion between the Solomon Islands Government and development partners</w:t>
      </w:r>
      <w:r w:rsidR="00EA5A95" w:rsidRPr="00856806">
        <w:t xml:space="preserve"> on</w:t>
      </w:r>
      <w:r w:rsidR="00585BEA" w:rsidRPr="00856806">
        <w:t xml:space="preserve"> </w:t>
      </w:r>
      <w:r w:rsidR="00A56650">
        <w:t xml:space="preserve">issues including </w:t>
      </w:r>
      <w:r w:rsidR="00585BEA" w:rsidRPr="00856806">
        <w:t>public financial management and</w:t>
      </w:r>
      <w:r w:rsidR="005B2292">
        <w:t xml:space="preserve"> </w:t>
      </w:r>
      <w:r w:rsidR="00A56650">
        <w:t xml:space="preserve">economic </w:t>
      </w:r>
      <w:r w:rsidR="00585BEA" w:rsidRPr="00856806">
        <w:t>reforms.</w:t>
      </w:r>
      <w:r w:rsidR="00A56650">
        <w:t xml:space="preserve">  In a positive outcome for women’s leadership,</w:t>
      </w:r>
      <w:r w:rsidR="008C3E0E" w:rsidRPr="00D31C34">
        <w:t xml:space="preserve"> Solomon Islands elected </w:t>
      </w:r>
      <w:r w:rsidR="002B4BDF" w:rsidRPr="00D31C34">
        <w:t>its</w:t>
      </w:r>
      <w:r w:rsidR="008C3E0E" w:rsidRPr="00856806">
        <w:t xml:space="preserve"> second female MP in </w:t>
      </w:r>
      <w:r w:rsidR="002B4BDF" w:rsidRPr="00856806">
        <w:t>May</w:t>
      </w:r>
      <w:r w:rsidR="008C3E0E" w:rsidRPr="00856806">
        <w:t xml:space="preserve"> 2018.</w:t>
      </w:r>
    </w:p>
    <w:p w:rsidR="00EF393E" w:rsidRDefault="00682CE9" w:rsidP="007E7622">
      <w:r w:rsidRPr="00856806">
        <w:rPr>
          <w:b/>
        </w:rPr>
        <w:t>Solomon Islands</w:t>
      </w:r>
      <w:r w:rsidR="005B2292">
        <w:rPr>
          <w:b/>
        </w:rPr>
        <w:t>’</w:t>
      </w:r>
      <w:r w:rsidRPr="00856806">
        <w:rPr>
          <w:b/>
        </w:rPr>
        <w:t xml:space="preserve"> </w:t>
      </w:r>
      <w:r w:rsidR="005E03D2" w:rsidRPr="00856806">
        <w:rPr>
          <w:b/>
        </w:rPr>
        <w:t xml:space="preserve">economic environment </w:t>
      </w:r>
      <w:r w:rsidRPr="00856806">
        <w:rPr>
          <w:b/>
        </w:rPr>
        <w:t xml:space="preserve">remained stable, with modest growth for the eighth consecutive year.  </w:t>
      </w:r>
      <w:r w:rsidR="00854D7A">
        <w:t xml:space="preserve">GDP growth </w:t>
      </w:r>
      <w:r w:rsidR="009364D6" w:rsidRPr="00856806">
        <w:t xml:space="preserve">around </w:t>
      </w:r>
      <w:r w:rsidR="00870455" w:rsidRPr="00856806">
        <w:t>3.</w:t>
      </w:r>
      <w:r w:rsidR="00C8100A">
        <w:t>7</w:t>
      </w:r>
      <w:r w:rsidR="00870455" w:rsidRPr="00856806">
        <w:t xml:space="preserve"> per c</w:t>
      </w:r>
      <w:r w:rsidR="009364D6" w:rsidRPr="00856806">
        <w:t>ent</w:t>
      </w:r>
      <w:r w:rsidR="00897EE2">
        <w:t xml:space="preserve"> in 20</w:t>
      </w:r>
      <w:r w:rsidR="00947BAD">
        <w:t>17 was</w:t>
      </w:r>
      <w:r w:rsidR="00897EE2">
        <w:t xml:space="preserve"> </w:t>
      </w:r>
      <w:r w:rsidR="00854D7A">
        <w:t>built mainly on timber exports</w:t>
      </w:r>
      <w:r w:rsidR="00E152BB">
        <w:t>. Rates of i</w:t>
      </w:r>
      <w:r w:rsidR="00A56650">
        <w:t xml:space="preserve">nflation and </w:t>
      </w:r>
      <w:r w:rsidR="009364D6" w:rsidRPr="00856806">
        <w:t>population growth</w:t>
      </w:r>
      <w:r w:rsidR="00A56650">
        <w:t xml:space="preserve"> </w:t>
      </w:r>
      <w:r w:rsidR="009364D6" w:rsidRPr="00856806">
        <w:t>continue to limit per capita income growth.</w:t>
      </w:r>
      <w:r w:rsidR="005E03D2" w:rsidRPr="00856806">
        <w:t xml:space="preserve"> </w:t>
      </w:r>
      <w:r w:rsidR="00B45937">
        <w:t xml:space="preserve"> </w:t>
      </w:r>
      <w:r w:rsidR="00C8100A">
        <w:t xml:space="preserve">Solomon Islands’ </w:t>
      </w:r>
      <w:r w:rsidR="00B45937" w:rsidRPr="00727683">
        <w:t>economic base remain</w:t>
      </w:r>
      <w:r w:rsidR="00C8100A">
        <w:t>s</w:t>
      </w:r>
      <w:r w:rsidR="00B45937" w:rsidRPr="00727683">
        <w:t xml:space="preserve"> narrow, and the country </w:t>
      </w:r>
      <w:r w:rsidR="00947BAD">
        <w:t>is</w:t>
      </w:r>
      <w:r w:rsidR="00B45937" w:rsidRPr="00727683">
        <w:t xml:space="preserve"> vulnerable to </w:t>
      </w:r>
      <w:r w:rsidR="00AE1522">
        <w:t xml:space="preserve">external </w:t>
      </w:r>
      <w:r w:rsidR="00B45937" w:rsidRPr="00727683">
        <w:t>shocks</w:t>
      </w:r>
      <w:r w:rsidR="00B45937">
        <w:t xml:space="preserve">.  </w:t>
      </w:r>
    </w:p>
    <w:p w:rsidR="0059447D" w:rsidRDefault="005E03D2" w:rsidP="007E7622">
      <w:r w:rsidRPr="007E7622">
        <w:rPr>
          <w:b/>
        </w:rPr>
        <w:t xml:space="preserve">Solomon Islands </w:t>
      </w:r>
      <w:r w:rsidR="00A56650">
        <w:rPr>
          <w:b/>
        </w:rPr>
        <w:t>needs to</w:t>
      </w:r>
      <w:r w:rsidR="005B2292" w:rsidRPr="007E7622">
        <w:rPr>
          <w:b/>
        </w:rPr>
        <w:t xml:space="preserve"> </w:t>
      </w:r>
      <w:r w:rsidRPr="007E7622">
        <w:rPr>
          <w:b/>
        </w:rPr>
        <w:t xml:space="preserve">develop additional sources of private sector growth to maintain economic stability and provide job opportunities to </w:t>
      </w:r>
      <w:r w:rsidR="005B2292" w:rsidRPr="007E7622">
        <w:rPr>
          <w:b/>
        </w:rPr>
        <w:t>a</w:t>
      </w:r>
      <w:r w:rsidR="00EF393E" w:rsidRPr="007E7622">
        <w:rPr>
          <w:b/>
        </w:rPr>
        <w:t xml:space="preserve"> young and</w:t>
      </w:r>
      <w:r w:rsidR="005B2292" w:rsidRPr="007E7622">
        <w:rPr>
          <w:b/>
        </w:rPr>
        <w:t xml:space="preserve"> </w:t>
      </w:r>
      <w:r w:rsidRPr="007E7622">
        <w:rPr>
          <w:b/>
        </w:rPr>
        <w:t>fast growing population</w:t>
      </w:r>
      <w:r w:rsidR="005B2292" w:rsidRPr="007E7622">
        <w:rPr>
          <w:b/>
        </w:rPr>
        <w:t>.</w:t>
      </w:r>
      <w:r w:rsidR="005B2292">
        <w:t xml:space="preserve"> </w:t>
      </w:r>
      <w:r w:rsidR="00455744">
        <w:t xml:space="preserve"> </w:t>
      </w:r>
      <w:r w:rsidR="005F1E9F">
        <w:t>Key</w:t>
      </w:r>
      <w:r w:rsidR="00455744">
        <w:t xml:space="preserve"> contributors to economic growth </w:t>
      </w:r>
      <w:r w:rsidR="00E152BB">
        <w:t>traditionally</w:t>
      </w:r>
      <w:r w:rsidR="00455744">
        <w:t xml:space="preserve"> have been </w:t>
      </w:r>
      <w:r w:rsidR="004401D2">
        <w:t>agriculture, fisheries</w:t>
      </w:r>
      <w:r w:rsidR="00BD0D4A">
        <w:t xml:space="preserve">, </w:t>
      </w:r>
      <w:r w:rsidR="004401D2">
        <w:t>forestry and services</w:t>
      </w:r>
      <w:r w:rsidR="00455744">
        <w:t xml:space="preserve">. </w:t>
      </w:r>
      <w:r w:rsidR="005B2292">
        <w:t xml:space="preserve"> </w:t>
      </w:r>
      <w:r w:rsidR="00897EE2">
        <w:t xml:space="preserve">However, </w:t>
      </w:r>
      <w:r w:rsidR="00EF393E">
        <w:t xml:space="preserve">the World Bank argues that over the medium term, mining </w:t>
      </w:r>
      <w:r w:rsidR="00325BC0">
        <w:t xml:space="preserve">is </w:t>
      </w:r>
      <w:r w:rsidR="00EF393E">
        <w:t xml:space="preserve">the only industry capable of delivering the growth needed to replace </w:t>
      </w:r>
      <w:r w:rsidR="0011053F">
        <w:t xml:space="preserve">the predicted decline in </w:t>
      </w:r>
      <w:r w:rsidR="00EF393E">
        <w:t>revenue from logging</w:t>
      </w:r>
      <w:r w:rsidR="004401D2">
        <w:t xml:space="preserve"> </w:t>
      </w:r>
      <w:r w:rsidR="00EF393E">
        <w:t>–</w:t>
      </w:r>
      <w:r w:rsidR="00325BC0">
        <w:t xml:space="preserve"> while noting that the</w:t>
      </w:r>
      <w:r w:rsidR="00EF393E">
        <w:t xml:space="preserve"> associated risks are high</w:t>
      </w:r>
      <w:r w:rsidR="00EF393E">
        <w:rPr>
          <w:rStyle w:val="FootnoteReference"/>
        </w:rPr>
        <w:footnoteReference w:id="3"/>
      </w:r>
      <w:r w:rsidR="00EF393E">
        <w:t xml:space="preserve">.  Under the right conditions, mining projects can contribute to local development, </w:t>
      </w:r>
      <w:r w:rsidR="00897EE2">
        <w:t>national revenue</w:t>
      </w:r>
      <w:r w:rsidR="00EF393E">
        <w:t>, and br</w:t>
      </w:r>
      <w:r w:rsidR="00455744">
        <w:t>oader economic growth</w:t>
      </w:r>
      <w:r w:rsidR="00EF393E">
        <w:t xml:space="preserve">.  </w:t>
      </w:r>
      <w:r w:rsidR="00897EE2">
        <w:t>I</w:t>
      </w:r>
      <w:r w:rsidR="00EF393E">
        <w:t>mplementation of a sound mining regulatory framework, building on the National Mining Policy approved by Cabinet in March 2017</w:t>
      </w:r>
      <w:r w:rsidR="00897EE2">
        <w:t xml:space="preserve">, will be key </w:t>
      </w:r>
      <w:r w:rsidR="00325BC0">
        <w:t>to creating the conditions for a beneficial mining secto</w:t>
      </w:r>
      <w:r w:rsidR="009B59AF">
        <w:t>r</w:t>
      </w:r>
      <w:r w:rsidR="00EF393E">
        <w:rPr>
          <w:rStyle w:val="FootnoteReference"/>
        </w:rPr>
        <w:footnoteReference w:id="4"/>
      </w:r>
      <w:r w:rsidR="00EF393E">
        <w:t xml:space="preserve">.      </w:t>
      </w:r>
    </w:p>
    <w:p w:rsidR="0059447D" w:rsidRPr="007E7622" w:rsidRDefault="00E02DA0" w:rsidP="007E7622">
      <w:r>
        <w:rPr>
          <w:b/>
        </w:rPr>
        <w:t xml:space="preserve">The UN </w:t>
      </w:r>
      <w:r w:rsidR="00DE3739">
        <w:rPr>
          <w:b/>
        </w:rPr>
        <w:t xml:space="preserve">Committee for Development Policy </w:t>
      </w:r>
      <w:r>
        <w:rPr>
          <w:b/>
        </w:rPr>
        <w:t xml:space="preserve">recommended </w:t>
      </w:r>
      <w:r w:rsidR="0059447D" w:rsidRPr="007E7622">
        <w:rPr>
          <w:b/>
        </w:rPr>
        <w:t>Solomon Islands</w:t>
      </w:r>
      <w:r>
        <w:rPr>
          <w:b/>
        </w:rPr>
        <w:t>’</w:t>
      </w:r>
      <w:r w:rsidR="0059447D" w:rsidRPr="007E7622">
        <w:rPr>
          <w:b/>
        </w:rPr>
        <w:t xml:space="preserve"> graduation from Least Developed Country (LDC) status </w:t>
      </w:r>
      <w:r w:rsidRPr="007E7622">
        <w:rPr>
          <w:b/>
        </w:rPr>
        <w:t xml:space="preserve">in March </w:t>
      </w:r>
      <w:r w:rsidR="0059447D" w:rsidRPr="007E7622">
        <w:rPr>
          <w:b/>
        </w:rPr>
        <w:t>2018.</w:t>
      </w:r>
      <w:r w:rsidR="0059447D" w:rsidRPr="007E7622">
        <w:t xml:space="preserve">  </w:t>
      </w:r>
      <w:r>
        <w:t>Graduation from LD</w:t>
      </w:r>
      <w:r w:rsidRPr="00D31C34">
        <w:t xml:space="preserve">C status </w:t>
      </w:r>
      <w:r>
        <w:t xml:space="preserve">may impact on </w:t>
      </w:r>
      <w:r w:rsidR="0059447D" w:rsidRPr="007E7622">
        <w:t xml:space="preserve">Solomon Islands’ </w:t>
      </w:r>
      <w:r>
        <w:t xml:space="preserve">competitiveness in exports of </w:t>
      </w:r>
      <w:r w:rsidRPr="00D31C34">
        <w:t>tuna and palm oil</w:t>
      </w:r>
      <w:r>
        <w:t xml:space="preserve">, due to a potential loss of duty and quota free access to EU markets.  </w:t>
      </w:r>
      <w:r w:rsidRPr="00F16868">
        <w:t>The Solomon Islands Governm</w:t>
      </w:r>
      <w:r w:rsidR="009B59AF">
        <w:t xml:space="preserve">ent will need to start preparations </w:t>
      </w:r>
      <w:r w:rsidR="007300AC">
        <w:t xml:space="preserve">for graduation </w:t>
      </w:r>
      <w:r w:rsidR="009B59AF">
        <w:t xml:space="preserve">early, </w:t>
      </w:r>
      <w:r w:rsidR="007300AC">
        <w:t>to minimise</w:t>
      </w:r>
      <w:r w:rsidRPr="00F16868">
        <w:t xml:space="preserve"> the potential negative effects.</w:t>
      </w:r>
    </w:p>
    <w:p w:rsidR="00D15C84" w:rsidRPr="00D31C34" w:rsidRDefault="00682CE9" w:rsidP="007E7622">
      <w:pPr>
        <w:rPr>
          <w:b/>
        </w:rPr>
      </w:pPr>
      <w:r w:rsidRPr="00856806">
        <w:rPr>
          <w:b/>
        </w:rPr>
        <w:t>The 2018</w:t>
      </w:r>
      <w:r w:rsidR="009364D6" w:rsidRPr="00856806">
        <w:rPr>
          <w:b/>
        </w:rPr>
        <w:t xml:space="preserve"> </w:t>
      </w:r>
      <w:r w:rsidRPr="00856806">
        <w:rPr>
          <w:b/>
        </w:rPr>
        <w:t>b</w:t>
      </w:r>
      <w:r w:rsidR="009364D6" w:rsidRPr="00856806">
        <w:rPr>
          <w:b/>
        </w:rPr>
        <w:t xml:space="preserve">udget </w:t>
      </w:r>
      <w:r w:rsidR="00414A09">
        <w:rPr>
          <w:b/>
        </w:rPr>
        <w:t>highlighted the G</w:t>
      </w:r>
      <w:r w:rsidR="00CA5B8A" w:rsidRPr="00856806">
        <w:rPr>
          <w:b/>
        </w:rPr>
        <w:t>overnment</w:t>
      </w:r>
      <w:r w:rsidR="00414A09">
        <w:rPr>
          <w:b/>
        </w:rPr>
        <w:t xml:space="preserve">’s commitment to </w:t>
      </w:r>
      <w:r w:rsidR="00CA5B8A" w:rsidRPr="00856806">
        <w:rPr>
          <w:b/>
        </w:rPr>
        <w:t>fiscal discipline</w:t>
      </w:r>
      <w:r w:rsidRPr="00856806">
        <w:rPr>
          <w:b/>
        </w:rPr>
        <w:t xml:space="preserve">.  </w:t>
      </w:r>
      <w:r w:rsidR="005E03D2" w:rsidRPr="00856806">
        <w:t xml:space="preserve">Within a tight </w:t>
      </w:r>
      <w:r w:rsidR="00CA5B8A" w:rsidRPr="00856806">
        <w:t>fiscal position</w:t>
      </w:r>
      <w:r w:rsidR="00927569" w:rsidRPr="00856806">
        <w:t>,</w:t>
      </w:r>
      <w:r w:rsidR="00CA5B8A" w:rsidRPr="00856806">
        <w:t xml:space="preserve"> </w:t>
      </w:r>
      <w:r w:rsidR="00455744">
        <w:t>the Solomon Islands</w:t>
      </w:r>
      <w:r w:rsidR="00455744" w:rsidRPr="00D31C34">
        <w:t xml:space="preserve"> </w:t>
      </w:r>
      <w:r w:rsidR="002B4BDF" w:rsidRPr="00D31C34">
        <w:t>G</w:t>
      </w:r>
      <w:r w:rsidR="00CA5B8A" w:rsidRPr="00856806">
        <w:t xml:space="preserve">overnment committed to a balanced </w:t>
      </w:r>
      <w:r w:rsidR="005E03D2" w:rsidRPr="00856806">
        <w:t>budget</w:t>
      </w:r>
      <w:r w:rsidR="00414A09">
        <w:t xml:space="preserve">.  Increased budget restraint will </w:t>
      </w:r>
      <w:r w:rsidR="00414A09">
        <w:lastRenderedPageBreak/>
        <w:t>improve the fiscal position</w:t>
      </w:r>
      <w:r w:rsidR="00455744">
        <w:t>,</w:t>
      </w:r>
      <w:r w:rsidR="00CA5B8A" w:rsidRPr="00D31C34">
        <w:t xml:space="preserve"> </w:t>
      </w:r>
      <w:r w:rsidR="002E50CE" w:rsidRPr="00D31C34">
        <w:t>but</w:t>
      </w:r>
      <w:r w:rsidR="007873C3" w:rsidRPr="00856806">
        <w:t xml:space="preserve"> </w:t>
      </w:r>
      <w:r w:rsidR="00414A09">
        <w:t>l</w:t>
      </w:r>
      <w:r w:rsidR="002E50CE" w:rsidRPr="00856806">
        <w:t>arge</w:t>
      </w:r>
      <w:r w:rsidRPr="00856806">
        <w:t xml:space="preserve"> allocations to </w:t>
      </w:r>
      <w:r w:rsidR="007873C3" w:rsidRPr="00856806">
        <w:t xml:space="preserve">some </w:t>
      </w:r>
      <w:r w:rsidRPr="00856806">
        <w:t>less-productive areas</w:t>
      </w:r>
      <w:r w:rsidR="00414A09">
        <w:t xml:space="preserve">, </w:t>
      </w:r>
      <w:r w:rsidR="0011053F">
        <w:t>including discretionary expenditure for Members of Parliament and international scholarships</w:t>
      </w:r>
      <w:r w:rsidR="00414A09">
        <w:t>, resulted in cuts to development spending</w:t>
      </w:r>
      <w:r w:rsidRPr="00D31C34">
        <w:t>.</w:t>
      </w:r>
      <w:r w:rsidR="00455744">
        <w:t xml:space="preserve">  </w:t>
      </w:r>
      <w:r w:rsidR="00B45937" w:rsidRPr="004628FB">
        <w:t xml:space="preserve">Government expenditure arrears built up in 2017-18, and although these were cleared through the 2018 budget, actions will be needed to rebuild domestic cash reserves and prevent arrears building up again. </w:t>
      </w:r>
      <w:r w:rsidR="00B45937">
        <w:t>F</w:t>
      </w:r>
      <w:r w:rsidR="00B45937" w:rsidRPr="004628FB">
        <w:t>oreign reserves are relatively strong</w:t>
      </w:r>
      <w:r w:rsidR="00B45937">
        <w:t>, while f</w:t>
      </w:r>
      <w:r w:rsidR="00B45937" w:rsidRPr="004628FB">
        <w:t>iscal buffers are low with the cash balance at 1.5 months of spending, be</w:t>
      </w:r>
      <w:r w:rsidR="00455744">
        <w:t xml:space="preserve">low the IMF’s two-month target.  </w:t>
      </w:r>
      <w:r w:rsidR="00B45937" w:rsidRPr="00727683">
        <w:t>The Government indicated a commitment to taxation reform, public financial management reforms and anti-corruption</w:t>
      </w:r>
      <w:r w:rsidR="000A088D">
        <w:t xml:space="preserve"> (the Anti-Corruption Bill was passed just outside the reporting period in July 2018</w:t>
      </w:r>
      <w:r w:rsidR="00537E31">
        <w:t>)</w:t>
      </w:r>
      <w:r w:rsidR="000A088D">
        <w:t>.</w:t>
      </w:r>
      <w:r w:rsidR="00B45937">
        <w:t xml:space="preserve"> </w:t>
      </w:r>
    </w:p>
    <w:p w:rsidR="00371619" w:rsidRPr="007E7622" w:rsidRDefault="00DA29D0" w:rsidP="00371619">
      <w:pPr>
        <w:spacing w:line="252" w:lineRule="auto"/>
      </w:pPr>
      <w:r w:rsidRPr="00D31C34">
        <w:rPr>
          <w:b/>
        </w:rPr>
        <w:t xml:space="preserve">Despite gains in recent years, </w:t>
      </w:r>
      <w:r w:rsidR="00BD0D4A">
        <w:rPr>
          <w:b/>
        </w:rPr>
        <w:t xml:space="preserve">Solomon Islands’ </w:t>
      </w:r>
      <w:r w:rsidRPr="00D31C34">
        <w:rPr>
          <w:b/>
        </w:rPr>
        <w:t>progress on human development lags within the region</w:t>
      </w:r>
      <w:r w:rsidR="00BD0D4A">
        <w:rPr>
          <w:b/>
        </w:rPr>
        <w:t xml:space="preserve">.  </w:t>
      </w:r>
      <w:r w:rsidR="00BD0D4A">
        <w:t>Solomon Islands</w:t>
      </w:r>
      <w:r w:rsidRPr="00F90B9B">
        <w:t xml:space="preserve"> remains one of the most under-developed counties in the world.  </w:t>
      </w:r>
      <w:r w:rsidRPr="00856806">
        <w:t>UNDP’s Human Development Index 2017 positions Solomon Islands at 156 out of 188 countries</w:t>
      </w:r>
      <w:r w:rsidRPr="00856806">
        <w:rPr>
          <w:rStyle w:val="FootnoteReference"/>
        </w:rPr>
        <w:footnoteReference w:id="5"/>
      </w:r>
      <w:r w:rsidRPr="00856806">
        <w:t xml:space="preserve">.  </w:t>
      </w:r>
      <w:r w:rsidR="00371619" w:rsidRPr="007E7622">
        <w:rPr>
          <w:iCs/>
        </w:rPr>
        <w:t xml:space="preserve"> </w:t>
      </w:r>
      <w:r w:rsidR="00831413" w:rsidRPr="00D31C34">
        <w:rPr>
          <w:iCs/>
        </w:rPr>
        <w:t xml:space="preserve">Twenty </w:t>
      </w:r>
      <w:r w:rsidR="00371619" w:rsidRPr="007E7622">
        <w:rPr>
          <w:iCs/>
        </w:rPr>
        <w:t>five per</w:t>
      </w:r>
      <w:r w:rsidR="00831413">
        <w:rPr>
          <w:iCs/>
        </w:rPr>
        <w:t xml:space="preserve"> </w:t>
      </w:r>
      <w:r w:rsidR="00371619" w:rsidRPr="007E7622">
        <w:rPr>
          <w:iCs/>
        </w:rPr>
        <w:t>cent of Solomon Islanders live below the international US$1.90 per person per day poverty line, and 59 per cent live on less than US$3.20 per person per day</w:t>
      </w:r>
      <w:r w:rsidR="00831413" w:rsidRPr="00D31C34">
        <w:rPr>
          <w:rStyle w:val="FootnoteReference"/>
        </w:rPr>
        <w:footnoteReference w:id="6"/>
      </w:r>
      <w:r w:rsidR="00371619" w:rsidRPr="00D31C34">
        <w:t xml:space="preserve">. </w:t>
      </w:r>
      <w:r w:rsidR="00831413">
        <w:t xml:space="preserve"> </w:t>
      </w:r>
      <w:r w:rsidR="009B59AF">
        <w:t>Key development indicators such as c</w:t>
      </w:r>
      <w:r w:rsidR="00371619">
        <w:t>hild nut</w:t>
      </w:r>
      <w:r w:rsidR="009B59AF">
        <w:t xml:space="preserve">rition remain a significant issue </w:t>
      </w:r>
      <w:r w:rsidR="00371619">
        <w:t>with estimated rates of stunting of 38 per cent of children five and under</w:t>
      </w:r>
      <w:r w:rsidR="00831413">
        <w:rPr>
          <w:rStyle w:val="FootnoteReference"/>
        </w:rPr>
        <w:footnoteReference w:id="7"/>
      </w:r>
      <w:r w:rsidR="00371619">
        <w:t xml:space="preserve">. </w:t>
      </w:r>
    </w:p>
    <w:p w:rsidR="00AE1522" w:rsidRDefault="00DA29D0" w:rsidP="00856806">
      <w:pPr>
        <w:spacing w:line="252" w:lineRule="auto"/>
      </w:pPr>
      <w:r w:rsidRPr="00D31C34">
        <w:rPr>
          <w:b/>
        </w:rPr>
        <w:t>Gender inequality is widespread in Solomon Islands, with</w:t>
      </w:r>
      <w:r w:rsidR="008C3E0E" w:rsidRPr="00D31C34">
        <w:rPr>
          <w:b/>
        </w:rPr>
        <w:t xml:space="preserve"> some of the</w:t>
      </w:r>
      <w:r w:rsidRPr="00D31C34">
        <w:rPr>
          <w:b/>
        </w:rPr>
        <w:t xml:space="preserve"> high</w:t>
      </w:r>
      <w:r w:rsidR="008C3E0E" w:rsidRPr="00D31C34">
        <w:rPr>
          <w:b/>
        </w:rPr>
        <w:t>est</w:t>
      </w:r>
      <w:r w:rsidRPr="00856806">
        <w:rPr>
          <w:b/>
        </w:rPr>
        <w:t xml:space="preserve"> rates of gender-based violence</w:t>
      </w:r>
      <w:r w:rsidR="008C3E0E" w:rsidRPr="00856806">
        <w:rPr>
          <w:b/>
        </w:rPr>
        <w:t xml:space="preserve"> in the world</w:t>
      </w:r>
      <w:r w:rsidRPr="00856806">
        <w:rPr>
          <w:b/>
        </w:rPr>
        <w:t>, few women in leadership and constrained economic opportunities for women.</w:t>
      </w:r>
      <w:r w:rsidRPr="00856806">
        <w:t xml:space="preserve">  </w:t>
      </w:r>
      <w:r w:rsidR="008C3E0E" w:rsidRPr="00856806">
        <w:t xml:space="preserve">Australia’s programs respond to evidence that </w:t>
      </w:r>
      <w:r w:rsidR="00BD0D4A">
        <w:t>two</w:t>
      </w:r>
      <w:r w:rsidR="008C3E0E" w:rsidRPr="00856806">
        <w:t xml:space="preserve"> out of </w:t>
      </w:r>
      <w:r w:rsidR="00BD0D4A">
        <w:t>three</w:t>
      </w:r>
      <w:r w:rsidR="008C3E0E" w:rsidRPr="00856806">
        <w:t xml:space="preserve"> ever-partnered women in Solomon Islands have experienced physical or sexual abuse by a partner</w:t>
      </w:r>
      <w:r w:rsidR="002737BD" w:rsidRPr="00856806">
        <w:rPr>
          <w:rStyle w:val="FootnoteReference"/>
        </w:rPr>
        <w:footnoteReference w:id="8"/>
      </w:r>
      <w:r w:rsidR="008C3E0E" w:rsidRPr="00856806">
        <w:t xml:space="preserve">. Australia’s commitment to advancing gender equality in the Solomon Islands </w:t>
      </w:r>
      <w:r w:rsidR="00BD0D4A">
        <w:t xml:space="preserve">focuses </w:t>
      </w:r>
      <w:r w:rsidR="008C3E0E" w:rsidRPr="00856806">
        <w:t xml:space="preserve">on preventing violence against women and children through innovative church and rights based programs, while also ensuring services are </w:t>
      </w:r>
      <w:r w:rsidR="0059447D">
        <w:t>available to</w:t>
      </w:r>
      <w:r w:rsidR="008C3E0E" w:rsidRPr="00D31C34">
        <w:t xml:space="preserve"> survivors of violence</w:t>
      </w:r>
      <w:r w:rsidR="0059447D">
        <w:t>.</w:t>
      </w:r>
    </w:p>
    <w:p w:rsidR="005E03D2" w:rsidRPr="007E3B10" w:rsidRDefault="006C4748" w:rsidP="00E60C7E">
      <w:pPr>
        <w:spacing w:line="252" w:lineRule="auto"/>
      </w:pPr>
      <w:r w:rsidRPr="00856806">
        <w:rPr>
          <w:b/>
        </w:rPr>
        <w:t xml:space="preserve">Australia </w:t>
      </w:r>
      <w:r w:rsidR="007300AC">
        <w:rPr>
          <w:b/>
        </w:rPr>
        <w:t>is</w:t>
      </w:r>
      <w:r w:rsidR="007300AC" w:rsidRPr="00D31C34">
        <w:rPr>
          <w:b/>
        </w:rPr>
        <w:t xml:space="preserve"> </w:t>
      </w:r>
      <w:r w:rsidR="00072CF3">
        <w:rPr>
          <w:b/>
        </w:rPr>
        <w:t xml:space="preserve">by far </w:t>
      </w:r>
      <w:r w:rsidRPr="00D31C34">
        <w:rPr>
          <w:b/>
        </w:rPr>
        <w:t xml:space="preserve">the largest aid partner </w:t>
      </w:r>
      <w:r w:rsidR="00072CF3">
        <w:rPr>
          <w:b/>
        </w:rPr>
        <w:t>to</w:t>
      </w:r>
      <w:r w:rsidR="00072CF3" w:rsidRPr="00D31C34">
        <w:rPr>
          <w:b/>
        </w:rPr>
        <w:t xml:space="preserve"> </w:t>
      </w:r>
      <w:r w:rsidRPr="00D31C34">
        <w:rPr>
          <w:b/>
        </w:rPr>
        <w:t>Solomon Islands</w:t>
      </w:r>
      <w:r w:rsidR="00414A09">
        <w:rPr>
          <w:b/>
        </w:rPr>
        <w:t xml:space="preserve">, providing </w:t>
      </w:r>
      <w:r w:rsidR="00537E31">
        <w:rPr>
          <w:b/>
        </w:rPr>
        <w:t>around</w:t>
      </w:r>
      <w:r w:rsidR="00414A09">
        <w:rPr>
          <w:b/>
        </w:rPr>
        <w:t xml:space="preserve"> two thirds of Solomon Islands’ development assistance</w:t>
      </w:r>
      <w:r w:rsidRPr="00D31C34">
        <w:rPr>
          <w:b/>
        </w:rPr>
        <w:t>.</w:t>
      </w:r>
      <w:r w:rsidRPr="00D31C34">
        <w:t xml:space="preserve">  </w:t>
      </w:r>
      <w:r w:rsidR="00FE5DF7" w:rsidRPr="00E60C7E">
        <w:t xml:space="preserve">As a key contributor to the national budget, around one </w:t>
      </w:r>
      <w:r w:rsidR="00084832" w:rsidRPr="00E60C7E">
        <w:t>quarter</w:t>
      </w:r>
      <w:r w:rsidR="00FE5DF7" w:rsidRPr="00E60C7E">
        <w:t xml:space="preserve"> of Australia’s </w:t>
      </w:r>
      <w:r w:rsidR="007E3B10" w:rsidRPr="00E60C7E">
        <w:t xml:space="preserve">bilateral </w:t>
      </w:r>
      <w:r w:rsidR="00FE5DF7" w:rsidRPr="00E60C7E">
        <w:t>aid is delivered through Solomon Islands</w:t>
      </w:r>
      <w:r w:rsidR="007E3B10" w:rsidRPr="00E60C7E">
        <w:t>’</w:t>
      </w:r>
      <w:r w:rsidR="00FE5DF7" w:rsidRPr="00E60C7E">
        <w:t xml:space="preserve"> own systems.</w:t>
      </w:r>
      <w:r w:rsidR="00FE5DF7" w:rsidRPr="007E3B10">
        <w:t xml:space="preserve">  This year, Australia provided $</w:t>
      </w:r>
      <w:r w:rsidR="005166AE" w:rsidRPr="007E3B10">
        <w:t>24</w:t>
      </w:r>
      <w:r w:rsidR="002070A7" w:rsidRPr="007E3B10">
        <w:t xml:space="preserve"> million</w:t>
      </w:r>
      <w:r w:rsidR="00FE5DF7" w:rsidRPr="007E3B10">
        <w:t xml:space="preserve"> (</w:t>
      </w:r>
      <w:r w:rsidR="002070A7" w:rsidRPr="007E3B10">
        <w:t>26 per</w:t>
      </w:r>
      <w:r w:rsidR="007E3B10">
        <w:t xml:space="preserve"> </w:t>
      </w:r>
      <w:r w:rsidR="002070A7" w:rsidRPr="007E3B10">
        <w:t>cent</w:t>
      </w:r>
      <w:r w:rsidR="00FE5DF7" w:rsidRPr="007E3B10">
        <w:t xml:space="preserve"> of the bilateral aid program) in direct budget support to the Solomon Islands Government to improve service delivery in health, education and infrastructure. The funding </w:t>
      </w:r>
      <w:r w:rsidR="00BD0D4A">
        <w:t>was</w:t>
      </w:r>
      <w:r w:rsidR="00BD0D4A" w:rsidRPr="007E3B10">
        <w:t xml:space="preserve"> </w:t>
      </w:r>
      <w:r w:rsidR="00FE5DF7" w:rsidRPr="007E3B10">
        <w:t>linked to the achievement of key performance indicators designed to incentivise reforms</w:t>
      </w:r>
      <w:r w:rsidR="007E3B10">
        <w:t xml:space="preserve">, </w:t>
      </w:r>
      <w:r w:rsidR="00FE5DF7" w:rsidRPr="007E3B10">
        <w:t>increase performance, and establish mutual accountability, including pre-requisite</w:t>
      </w:r>
      <w:r w:rsidR="007E3B10">
        <w:t xml:space="preserve"> investments by the</w:t>
      </w:r>
      <w:r w:rsidR="00FE5DF7" w:rsidRPr="007E3B10">
        <w:t xml:space="preserve"> Solomon Islands Government.  </w:t>
      </w:r>
    </w:p>
    <w:p w:rsidR="00DA29D0" w:rsidRDefault="00CD5C03" w:rsidP="00FE5DF7">
      <w:pPr>
        <w:pStyle w:val="NormalWeb"/>
        <w:spacing w:before="120" w:after="60"/>
        <w:rPr>
          <w:rFonts w:asciiTheme="minorHAnsi" w:eastAsiaTheme="minorHAnsi" w:hAnsiTheme="minorHAnsi" w:cstheme="minorBidi"/>
          <w:color w:val="495965" w:themeColor="text2"/>
          <w:sz w:val="22"/>
          <w:szCs w:val="22"/>
          <w:lang w:val="en-GB" w:eastAsia="en-US"/>
        </w:rPr>
      </w:pPr>
      <w:r w:rsidRPr="00D31C34">
        <w:rPr>
          <w:rFonts w:asciiTheme="minorHAnsi" w:eastAsiaTheme="minorHAnsi" w:hAnsiTheme="minorHAnsi" w:cstheme="minorBidi"/>
          <w:b/>
          <w:color w:val="495965" w:themeColor="text2"/>
          <w:sz w:val="22"/>
          <w:szCs w:val="22"/>
          <w:lang w:val="en-GB" w:eastAsia="en-US"/>
        </w:rPr>
        <w:t xml:space="preserve">Australia made </w:t>
      </w:r>
      <w:r w:rsidR="00DA29D0" w:rsidRPr="00D31C34">
        <w:rPr>
          <w:rFonts w:asciiTheme="minorHAnsi" w:eastAsiaTheme="minorHAnsi" w:hAnsiTheme="minorHAnsi" w:cstheme="minorBidi"/>
          <w:b/>
          <w:color w:val="495965" w:themeColor="text2"/>
          <w:sz w:val="22"/>
          <w:szCs w:val="22"/>
          <w:lang w:val="en-GB" w:eastAsia="en-US"/>
        </w:rPr>
        <w:t xml:space="preserve">important </w:t>
      </w:r>
      <w:r w:rsidR="006C4748" w:rsidRPr="00D31C34">
        <w:rPr>
          <w:rFonts w:asciiTheme="minorHAnsi" w:eastAsiaTheme="minorHAnsi" w:hAnsiTheme="minorHAnsi" w:cstheme="minorBidi"/>
          <w:b/>
          <w:color w:val="495965" w:themeColor="text2"/>
          <w:sz w:val="22"/>
          <w:szCs w:val="22"/>
          <w:lang w:val="en-GB" w:eastAsia="en-US"/>
        </w:rPr>
        <w:t xml:space="preserve">shifts in our support during the </w:t>
      </w:r>
      <w:r w:rsidR="000062E0" w:rsidRPr="00D31C34">
        <w:rPr>
          <w:rFonts w:asciiTheme="minorHAnsi" w:eastAsiaTheme="minorHAnsi" w:hAnsiTheme="minorHAnsi" w:cstheme="minorBidi"/>
          <w:b/>
          <w:color w:val="495965" w:themeColor="text2"/>
          <w:sz w:val="22"/>
          <w:szCs w:val="22"/>
          <w:lang w:val="en-GB" w:eastAsia="en-US"/>
        </w:rPr>
        <w:t>period</w:t>
      </w:r>
      <w:r w:rsidR="00DA29D0" w:rsidRPr="00856806">
        <w:rPr>
          <w:rFonts w:asciiTheme="minorHAnsi" w:eastAsiaTheme="minorHAnsi" w:hAnsiTheme="minorHAnsi" w:cstheme="minorBidi"/>
          <w:b/>
          <w:color w:val="495965" w:themeColor="text2"/>
          <w:sz w:val="22"/>
          <w:szCs w:val="22"/>
          <w:lang w:val="en-GB" w:eastAsia="en-US"/>
        </w:rPr>
        <w:t>.</w:t>
      </w:r>
      <w:r w:rsidR="00DA29D0" w:rsidRPr="00856806">
        <w:rPr>
          <w:rFonts w:asciiTheme="minorHAnsi" w:eastAsiaTheme="minorHAnsi" w:hAnsiTheme="minorHAnsi" w:cstheme="minorBidi"/>
          <w:color w:val="495965" w:themeColor="text2"/>
          <w:sz w:val="22"/>
          <w:szCs w:val="22"/>
          <w:lang w:val="en-GB" w:eastAsia="en-US"/>
        </w:rPr>
        <w:t xml:space="preserve"> </w:t>
      </w:r>
      <w:r w:rsidR="00DB59DE">
        <w:rPr>
          <w:rFonts w:asciiTheme="minorHAnsi" w:eastAsiaTheme="minorHAnsi" w:hAnsiTheme="minorHAnsi" w:cstheme="minorBidi"/>
          <w:color w:val="495965" w:themeColor="text2"/>
          <w:sz w:val="22"/>
          <w:szCs w:val="22"/>
          <w:lang w:val="en-GB" w:eastAsia="en-US"/>
        </w:rPr>
        <w:t xml:space="preserve"> </w:t>
      </w:r>
      <w:r w:rsidR="00DA29D0" w:rsidRPr="00D31C34">
        <w:rPr>
          <w:rFonts w:asciiTheme="minorHAnsi" w:eastAsiaTheme="minorHAnsi" w:hAnsiTheme="minorHAnsi" w:cstheme="minorBidi"/>
          <w:color w:val="495965" w:themeColor="text2"/>
          <w:sz w:val="22"/>
          <w:szCs w:val="22"/>
          <w:lang w:val="en-GB" w:eastAsia="en-US"/>
        </w:rPr>
        <w:t>First</w:t>
      </w:r>
      <w:r w:rsidR="007E3B10">
        <w:rPr>
          <w:rFonts w:asciiTheme="minorHAnsi" w:eastAsiaTheme="minorHAnsi" w:hAnsiTheme="minorHAnsi" w:cstheme="minorBidi"/>
          <w:color w:val="495965" w:themeColor="text2"/>
          <w:sz w:val="22"/>
          <w:szCs w:val="22"/>
          <w:lang w:val="en-GB" w:eastAsia="en-US"/>
        </w:rPr>
        <w:t>ly</w:t>
      </w:r>
      <w:r w:rsidR="00CF5F29">
        <w:rPr>
          <w:rFonts w:asciiTheme="minorHAnsi" w:eastAsiaTheme="minorHAnsi" w:hAnsiTheme="minorHAnsi" w:cstheme="minorBidi"/>
          <w:color w:val="495965" w:themeColor="text2"/>
          <w:sz w:val="22"/>
          <w:szCs w:val="22"/>
          <w:lang w:val="en-GB" w:eastAsia="en-US"/>
        </w:rPr>
        <w:t>,</w:t>
      </w:r>
      <w:r w:rsidR="00DA29D0" w:rsidRPr="007E3B10">
        <w:rPr>
          <w:rFonts w:asciiTheme="minorHAnsi" w:eastAsiaTheme="minorHAnsi" w:hAnsiTheme="minorHAnsi" w:cstheme="minorBidi"/>
          <w:color w:val="495965" w:themeColor="text2"/>
          <w:sz w:val="22"/>
          <w:szCs w:val="22"/>
          <w:lang w:val="en-GB" w:eastAsia="en-US"/>
        </w:rPr>
        <w:t xml:space="preserve"> </w:t>
      </w:r>
      <w:r w:rsidR="00B74035" w:rsidRPr="007E3B10">
        <w:rPr>
          <w:rFonts w:asciiTheme="minorHAnsi" w:eastAsiaTheme="minorHAnsi" w:hAnsiTheme="minorHAnsi" w:cstheme="minorBidi"/>
          <w:color w:val="495965" w:themeColor="text2"/>
          <w:sz w:val="22"/>
          <w:szCs w:val="22"/>
          <w:lang w:val="en-GB" w:eastAsia="en-US"/>
        </w:rPr>
        <w:t xml:space="preserve">following the </w:t>
      </w:r>
      <w:r w:rsidR="0059447D">
        <w:rPr>
          <w:rFonts w:asciiTheme="minorHAnsi" w:eastAsiaTheme="minorHAnsi" w:hAnsiTheme="minorHAnsi" w:cstheme="minorBidi"/>
          <w:color w:val="495965" w:themeColor="text2"/>
          <w:sz w:val="22"/>
          <w:szCs w:val="22"/>
          <w:lang w:val="en-GB" w:eastAsia="en-US"/>
        </w:rPr>
        <w:t>end</w:t>
      </w:r>
      <w:r w:rsidR="0059447D" w:rsidRPr="007E3B10">
        <w:rPr>
          <w:rFonts w:asciiTheme="minorHAnsi" w:eastAsiaTheme="minorHAnsi" w:hAnsiTheme="minorHAnsi" w:cstheme="minorBidi"/>
          <w:color w:val="495965" w:themeColor="text2"/>
          <w:sz w:val="22"/>
          <w:szCs w:val="22"/>
          <w:lang w:val="en-GB" w:eastAsia="en-US"/>
        </w:rPr>
        <w:t xml:space="preserve"> </w:t>
      </w:r>
      <w:r w:rsidR="00B74035" w:rsidRPr="007E3B10">
        <w:rPr>
          <w:rFonts w:asciiTheme="minorHAnsi" w:eastAsiaTheme="minorHAnsi" w:hAnsiTheme="minorHAnsi" w:cstheme="minorBidi"/>
          <w:color w:val="495965" w:themeColor="text2"/>
          <w:sz w:val="22"/>
          <w:szCs w:val="22"/>
          <w:lang w:val="en-GB" w:eastAsia="en-US"/>
        </w:rPr>
        <w:t>of RAMSI</w:t>
      </w:r>
      <w:r w:rsidR="00D65DEA">
        <w:rPr>
          <w:rFonts w:asciiTheme="minorHAnsi" w:eastAsiaTheme="minorHAnsi" w:hAnsiTheme="minorHAnsi" w:cstheme="minorBidi"/>
          <w:color w:val="495965" w:themeColor="text2"/>
          <w:sz w:val="22"/>
          <w:szCs w:val="22"/>
          <w:lang w:val="en-GB" w:eastAsia="en-US"/>
        </w:rPr>
        <w:t>, Australia’s</w:t>
      </w:r>
      <w:r w:rsidR="00DA29D0" w:rsidRPr="007E3B10">
        <w:rPr>
          <w:rFonts w:asciiTheme="minorHAnsi" w:eastAsiaTheme="minorHAnsi" w:hAnsiTheme="minorHAnsi" w:cstheme="minorBidi"/>
          <w:color w:val="495965" w:themeColor="text2"/>
          <w:sz w:val="22"/>
          <w:szCs w:val="22"/>
          <w:lang w:val="en-GB" w:eastAsia="en-US"/>
        </w:rPr>
        <w:t xml:space="preserve"> </w:t>
      </w:r>
      <w:r w:rsidRPr="007E3B10">
        <w:rPr>
          <w:rFonts w:asciiTheme="minorHAnsi" w:eastAsiaTheme="minorHAnsi" w:hAnsiTheme="minorHAnsi" w:cstheme="minorBidi"/>
          <w:color w:val="495965" w:themeColor="text2"/>
          <w:sz w:val="22"/>
          <w:szCs w:val="22"/>
          <w:lang w:val="en-GB" w:eastAsia="en-US"/>
        </w:rPr>
        <w:t xml:space="preserve">police cooperation </w:t>
      </w:r>
      <w:r w:rsidR="00BD0D4A">
        <w:rPr>
          <w:rFonts w:asciiTheme="minorHAnsi" w:eastAsiaTheme="minorHAnsi" w:hAnsiTheme="minorHAnsi" w:cstheme="minorBidi"/>
          <w:color w:val="495965" w:themeColor="text2"/>
          <w:sz w:val="22"/>
          <w:szCs w:val="22"/>
          <w:lang w:val="en-GB" w:eastAsia="en-US"/>
        </w:rPr>
        <w:t xml:space="preserve">transitioned to a </w:t>
      </w:r>
      <w:r w:rsidR="002544AE" w:rsidRPr="007E3B10">
        <w:rPr>
          <w:rFonts w:asciiTheme="minorHAnsi" w:eastAsiaTheme="minorHAnsi" w:hAnsiTheme="minorHAnsi" w:cstheme="minorBidi"/>
          <w:color w:val="495965" w:themeColor="text2"/>
          <w:sz w:val="22"/>
          <w:szCs w:val="22"/>
          <w:lang w:val="en-GB" w:eastAsia="en-US"/>
        </w:rPr>
        <w:t>bilateral capacity development program</w:t>
      </w:r>
      <w:r w:rsidR="00947BAD">
        <w:rPr>
          <w:rFonts w:asciiTheme="minorHAnsi" w:eastAsiaTheme="minorHAnsi" w:hAnsiTheme="minorHAnsi" w:cstheme="minorBidi"/>
          <w:color w:val="495965" w:themeColor="text2"/>
          <w:sz w:val="22"/>
          <w:szCs w:val="22"/>
          <w:lang w:val="en-GB" w:eastAsia="en-US"/>
        </w:rPr>
        <w:t>,</w:t>
      </w:r>
      <w:r w:rsidR="003A7588" w:rsidRPr="007E3B10">
        <w:rPr>
          <w:rFonts w:asciiTheme="minorHAnsi" w:eastAsiaTheme="minorHAnsi" w:hAnsiTheme="minorHAnsi" w:cstheme="minorBidi"/>
          <w:color w:val="495965" w:themeColor="text2"/>
          <w:sz w:val="22"/>
          <w:szCs w:val="22"/>
          <w:lang w:val="en-GB" w:eastAsia="en-US"/>
        </w:rPr>
        <w:t xml:space="preserve"> closely aligned with the justice and governance programs</w:t>
      </w:r>
      <w:r w:rsidR="002B4BDF" w:rsidRPr="00D31C34">
        <w:rPr>
          <w:rFonts w:asciiTheme="minorHAnsi" w:eastAsiaTheme="minorHAnsi" w:hAnsiTheme="minorHAnsi" w:cstheme="minorBidi"/>
          <w:color w:val="495965" w:themeColor="text2"/>
          <w:sz w:val="22"/>
          <w:szCs w:val="22"/>
          <w:lang w:val="en-GB" w:eastAsia="en-US"/>
        </w:rPr>
        <w:t>.  Second</w:t>
      </w:r>
      <w:r w:rsidR="00CF5F29">
        <w:rPr>
          <w:rFonts w:asciiTheme="minorHAnsi" w:eastAsiaTheme="minorHAnsi" w:hAnsiTheme="minorHAnsi" w:cstheme="minorBidi"/>
          <w:color w:val="495965" w:themeColor="text2"/>
          <w:sz w:val="22"/>
          <w:szCs w:val="22"/>
          <w:lang w:val="en-GB" w:eastAsia="en-US"/>
        </w:rPr>
        <w:t>ly,</w:t>
      </w:r>
      <w:r w:rsidR="00DA29D0" w:rsidRPr="00A176DA">
        <w:rPr>
          <w:rFonts w:asciiTheme="minorHAnsi" w:eastAsiaTheme="minorHAnsi" w:hAnsiTheme="minorHAnsi" w:cstheme="minorBidi"/>
          <w:color w:val="495965" w:themeColor="text2"/>
          <w:sz w:val="22"/>
          <w:szCs w:val="22"/>
          <w:lang w:val="en-GB" w:eastAsia="en-US"/>
        </w:rPr>
        <w:t xml:space="preserve"> Australia </w:t>
      </w:r>
      <w:r w:rsidR="00B74035" w:rsidRPr="00A176DA">
        <w:rPr>
          <w:rFonts w:asciiTheme="minorHAnsi" w:eastAsiaTheme="minorHAnsi" w:hAnsiTheme="minorHAnsi" w:cstheme="minorBidi"/>
          <w:color w:val="495965" w:themeColor="text2"/>
          <w:sz w:val="22"/>
          <w:szCs w:val="22"/>
          <w:lang w:val="en-GB" w:eastAsia="en-US"/>
        </w:rPr>
        <w:t xml:space="preserve">continued to </w:t>
      </w:r>
      <w:r w:rsidR="00D65DEA">
        <w:rPr>
          <w:rFonts w:asciiTheme="minorHAnsi" w:eastAsiaTheme="minorHAnsi" w:hAnsiTheme="minorHAnsi" w:cstheme="minorBidi"/>
          <w:color w:val="495965" w:themeColor="text2"/>
          <w:sz w:val="22"/>
          <w:szCs w:val="22"/>
          <w:lang w:val="en-GB" w:eastAsia="en-US"/>
        </w:rPr>
        <w:t xml:space="preserve">increase emphasis on activities to create the conditions for economic growth, including through the new Strongim Business Program and support for the undersea telecommunications cable.  In </w:t>
      </w:r>
      <w:r w:rsidR="00C91AFB">
        <w:rPr>
          <w:rFonts w:asciiTheme="minorHAnsi" w:eastAsiaTheme="minorHAnsi" w:hAnsiTheme="minorHAnsi" w:cstheme="minorBidi"/>
          <w:color w:val="495965" w:themeColor="text2"/>
          <w:sz w:val="22"/>
          <w:szCs w:val="22"/>
          <w:lang w:val="en-GB" w:eastAsia="en-US"/>
        </w:rPr>
        <w:t>parallel,</w:t>
      </w:r>
      <w:r w:rsidR="00D65DEA">
        <w:rPr>
          <w:rFonts w:asciiTheme="minorHAnsi" w:eastAsiaTheme="minorHAnsi" w:hAnsiTheme="minorHAnsi" w:cstheme="minorBidi"/>
          <w:color w:val="495965" w:themeColor="text2"/>
          <w:sz w:val="22"/>
          <w:szCs w:val="22"/>
          <w:lang w:val="en-GB" w:eastAsia="en-US"/>
        </w:rPr>
        <w:t xml:space="preserve"> we continued the </w:t>
      </w:r>
      <w:r w:rsidR="00DA29D0" w:rsidRPr="00D31C34">
        <w:rPr>
          <w:rFonts w:asciiTheme="minorHAnsi" w:eastAsiaTheme="minorHAnsi" w:hAnsiTheme="minorHAnsi" w:cstheme="minorBidi"/>
          <w:color w:val="495965" w:themeColor="text2"/>
          <w:sz w:val="22"/>
          <w:szCs w:val="22"/>
          <w:lang w:val="en-GB" w:eastAsia="en-US"/>
        </w:rPr>
        <w:t xml:space="preserve">move away </w:t>
      </w:r>
      <w:r w:rsidR="00DB59DE">
        <w:rPr>
          <w:rFonts w:asciiTheme="minorHAnsi" w:eastAsiaTheme="minorHAnsi" w:hAnsiTheme="minorHAnsi" w:cstheme="minorBidi"/>
          <w:color w:val="495965" w:themeColor="text2"/>
          <w:sz w:val="22"/>
          <w:szCs w:val="22"/>
          <w:lang w:val="en-GB" w:eastAsia="en-US"/>
        </w:rPr>
        <w:t>from</w:t>
      </w:r>
      <w:r w:rsidR="00DA29D0" w:rsidRPr="00D31C34">
        <w:rPr>
          <w:rFonts w:asciiTheme="minorHAnsi" w:eastAsiaTheme="minorHAnsi" w:hAnsiTheme="minorHAnsi" w:cstheme="minorBidi"/>
          <w:color w:val="495965" w:themeColor="text2"/>
          <w:sz w:val="22"/>
          <w:szCs w:val="22"/>
          <w:lang w:val="en-GB" w:eastAsia="en-US"/>
        </w:rPr>
        <w:t xml:space="preserve"> in-line advisors.</w:t>
      </w:r>
      <w:r w:rsidR="00DA29D0" w:rsidRPr="007E3B10">
        <w:rPr>
          <w:rFonts w:asciiTheme="minorHAnsi" w:eastAsiaTheme="minorHAnsi" w:hAnsiTheme="minorHAnsi" w:cstheme="minorBidi"/>
          <w:color w:val="495965" w:themeColor="text2"/>
          <w:sz w:val="22"/>
          <w:szCs w:val="22"/>
          <w:lang w:val="en-GB" w:eastAsia="en-US"/>
        </w:rPr>
        <w:t xml:space="preserve">  Preliminary results suggest that the drawdown in advisors is being successfully delivered, with a manageable loss of capacity and impact on outcomes</w:t>
      </w:r>
      <w:r w:rsidR="0059447D">
        <w:rPr>
          <w:rFonts w:asciiTheme="minorHAnsi" w:eastAsiaTheme="minorHAnsi" w:hAnsiTheme="minorHAnsi" w:cstheme="minorBidi"/>
          <w:color w:val="495965" w:themeColor="text2"/>
          <w:sz w:val="22"/>
          <w:szCs w:val="22"/>
          <w:lang w:val="en-GB" w:eastAsia="en-US"/>
        </w:rPr>
        <w:t xml:space="preserve">.  </w:t>
      </w:r>
      <w:r w:rsidR="00DA29D0" w:rsidRPr="007E3B10">
        <w:rPr>
          <w:rFonts w:asciiTheme="minorHAnsi" w:eastAsiaTheme="minorHAnsi" w:hAnsiTheme="minorHAnsi" w:cstheme="minorBidi"/>
          <w:color w:val="495965" w:themeColor="text2"/>
          <w:sz w:val="22"/>
          <w:szCs w:val="22"/>
          <w:lang w:val="en-GB" w:eastAsia="en-US"/>
        </w:rPr>
        <w:t xml:space="preserve">Australia will </w:t>
      </w:r>
      <w:r w:rsidR="0059447D">
        <w:rPr>
          <w:rFonts w:asciiTheme="minorHAnsi" w:eastAsiaTheme="minorHAnsi" w:hAnsiTheme="minorHAnsi" w:cstheme="minorBidi"/>
          <w:color w:val="495965" w:themeColor="text2"/>
          <w:sz w:val="22"/>
          <w:szCs w:val="22"/>
          <w:lang w:val="en-GB" w:eastAsia="en-US"/>
        </w:rPr>
        <w:t xml:space="preserve">remain </w:t>
      </w:r>
      <w:r w:rsidR="00DA29D0" w:rsidRPr="007E3B10">
        <w:rPr>
          <w:rFonts w:asciiTheme="minorHAnsi" w:eastAsiaTheme="minorHAnsi" w:hAnsiTheme="minorHAnsi" w:cstheme="minorBidi"/>
          <w:color w:val="495965" w:themeColor="text2"/>
          <w:sz w:val="22"/>
          <w:szCs w:val="22"/>
          <w:lang w:val="en-GB" w:eastAsia="en-US"/>
        </w:rPr>
        <w:t xml:space="preserve">nimble in providing support when we judge </w:t>
      </w:r>
      <w:r w:rsidR="00DF7D82">
        <w:rPr>
          <w:rFonts w:asciiTheme="minorHAnsi" w:eastAsiaTheme="minorHAnsi" w:hAnsiTheme="minorHAnsi" w:cstheme="minorBidi"/>
          <w:color w:val="495965" w:themeColor="text2"/>
          <w:sz w:val="22"/>
          <w:szCs w:val="22"/>
          <w:lang w:val="en-GB" w:eastAsia="en-US"/>
        </w:rPr>
        <w:t>personnel gaps</w:t>
      </w:r>
      <w:r w:rsidR="00DA29D0" w:rsidRPr="007E3B10">
        <w:rPr>
          <w:rFonts w:asciiTheme="minorHAnsi" w:eastAsiaTheme="minorHAnsi" w:hAnsiTheme="minorHAnsi" w:cstheme="minorBidi"/>
          <w:color w:val="495965" w:themeColor="text2"/>
          <w:sz w:val="22"/>
          <w:szCs w:val="22"/>
          <w:lang w:val="en-GB" w:eastAsia="en-US"/>
        </w:rPr>
        <w:t xml:space="preserve"> could undermine key gains</w:t>
      </w:r>
      <w:r w:rsidR="002B4BDF" w:rsidRPr="007E3B10">
        <w:rPr>
          <w:rFonts w:asciiTheme="minorHAnsi" w:eastAsiaTheme="minorHAnsi" w:hAnsiTheme="minorHAnsi" w:cstheme="minorBidi"/>
          <w:color w:val="495965" w:themeColor="text2"/>
          <w:sz w:val="22"/>
          <w:szCs w:val="22"/>
          <w:lang w:val="en-GB" w:eastAsia="en-US"/>
        </w:rPr>
        <w:t xml:space="preserve">, or when Solomon Islands </w:t>
      </w:r>
      <w:r w:rsidR="00DB59DE">
        <w:rPr>
          <w:rFonts w:asciiTheme="minorHAnsi" w:eastAsiaTheme="minorHAnsi" w:hAnsiTheme="minorHAnsi" w:cstheme="minorBidi"/>
          <w:color w:val="495965" w:themeColor="text2"/>
          <w:sz w:val="22"/>
          <w:szCs w:val="22"/>
          <w:lang w:val="en-GB" w:eastAsia="en-US"/>
        </w:rPr>
        <w:t xml:space="preserve">requests </w:t>
      </w:r>
      <w:r w:rsidR="002B4BDF" w:rsidRPr="007E3B10">
        <w:rPr>
          <w:rFonts w:asciiTheme="minorHAnsi" w:eastAsiaTheme="minorHAnsi" w:hAnsiTheme="minorHAnsi" w:cstheme="minorBidi"/>
          <w:color w:val="495965" w:themeColor="text2"/>
          <w:sz w:val="22"/>
          <w:szCs w:val="22"/>
          <w:lang w:val="en-GB" w:eastAsia="en-US"/>
        </w:rPr>
        <w:t>in-line advisers for key accountability institutions</w:t>
      </w:r>
      <w:r w:rsidR="00545940" w:rsidRPr="007E3B10">
        <w:rPr>
          <w:rFonts w:asciiTheme="minorHAnsi" w:eastAsiaTheme="minorHAnsi" w:hAnsiTheme="minorHAnsi" w:cstheme="minorBidi"/>
          <w:color w:val="495965" w:themeColor="text2"/>
          <w:sz w:val="22"/>
          <w:szCs w:val="22"/>
          <w:lang w:val="en-GB" w:eastAsia="en-US"/>
        </w:rPr>
        <w:t>.</w:t>
      </w:r>
    </w:p>
    <w:p w:rsidR="00E60C7E" w:rsidRDefault="00E60C7E" w:rsidP="00FE5DF7">
      <w:pPr>
        <w:pStyle w:val="NormalWeb"/>
        <w:spacing w:before="120" w:after="60"/>
        <w:rPr>
          <w:rFonts w:asciiTheme="minorHAnsi" w:eastAsiaTheme="minorHAnsi" w:hAnsiTheme="minorHAnsi" w:cstheme="minorBidi"/>
          <w:color w:val="495965" w:themeColor="text2"/>
          <w:sz w:val="22"/>
          <w:szCs w:val="22"/>
          <w:lang w:val="en-GB" w:eastAsia="en-US"/>
        </w:rPr>
      </w:pPr>
    </w:p>
    <w:p w:rsidR="00E60C7E" w:rsidRDefault="00E60C7E" w:rsidP="00FE5DF7">
      <w:pPr>
        <w:pStyle w:val="NormalWeb"/>
        <w:spacing w:before="120" w:after="60"/>
        <w:rPr>
          <w:rFonts w:asciiTheme="minorHAnsi" w:eastAsiaTheme="minorHAnsi" w:hAnsiTheme="minorHAnsi" w:cstheme="minorBidi"/>
          <w:color w:val="495965" w:themeColor="text2"/>
          <w:sz w:val="22"/>
          <w:szCs w:val="22"/>
          <w:lang w:val="en-GB" w:eastAsia="en-US"/>
        </w:rPr>
      </w:pPr>
    </w:p>
    <w:p w:rsidR="00E60C7E" w:rsidRPr="007E3B10" w:rsidRDefault="00E60C7E" w:rsidP="00FE5DF7">
      <w:pPr>
        <w:pStyle w:val="NormalWeb"/>
        <w:spacing w:before="120" w:after="60"/>
        <w:rPr>
          <w:rFonts w:asciiTheme="minorHAnsi" w:eastAsiaTheme="minorHAnsi" w:hAnsiTheme="minorHAnsi" w:cstheme="minorBidi"/>
          <w:color w:val="495965" w:themeColor="text2"/>
          <w:sz w:val="22"/>
          <w:szCs w:val="22"/>
          <w:lang w:val="en-GB" w:eastAsia="en-US"/>
        </w:rPr>
      </w:pPr>
    </w:p>
    <w:p w:rsidR="00874B3F" w:rsidRDefault="00874B3F" w:rsidP="00DA29D0">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p>
    <w:p w:rsidR="00DA29D0" w:rsidRPr="00D31C34" w:rsidRDefault="00DA29D0" w:rsidP="00DA29D0">
      <w:pPr>
        <w:pStyle w:val="ListBullet"/>
        <w:tabs>
          <w:tab w:val="clear" w:pos="284"/>
        </w:tabs>
        <w:spacing w:before="360"/>
        <w:rPr>
          <w:rFonts w:asciiTheme="majorHAnsi" w:eastAsiaTheme="majorEastAsia" w:hAnsiTheme="majorHAnsi" w:cstheme="majorBidi"/>
          <w:caps/>
          <w:color w:val="495965" w:themeColor="text2"/>
          <w:sz w:val="36"/>
          <w:szCs w:val="26"/>
          <w:lang w:val="en-GB" w:eastAsia="en-US"/>
        </w:rPr>
      </w:pPr>
      <w:r w:rsidRPr="00D31C34">
        <w:rPr>
          <w:rFonts w:asciiTheme="majorHAnsi" w:eastAsiaTheme="majorEastAsia" w:hAnsiTheme="majorHAnsi" w:cstheme="majorBidi"/>
          <w:caps/>
          <w:color w:val="495965" w:themeColor="text2"/>
          <w:sz w:val="36"/>
          <w:szCs w:val="26"/>
          <w:lang w:val="en-GB" w:eastAsia="en-US"/>
        </w:rPr>
        <w:lastRenderedPageBreak/>
        <w:t>EXPENDITURE</w:t>
      </w:r>
    </w:p>
    <w:p w:rsidR="00D45C21" w:rsidRPr="005B0641" w:rsidRDefault="00DA29D0" w:rsidP="002A51CA">
      <w:r w:rsidRPr="00D31C34">
        <w:rPr>
          <w:b/>
        </w:rPr>
        <w:t xml:space="preserve">Australia provided $136.9 million in </w:t>
      </w:r>
      <w:r w:rsidR="00D63783" w:rsidRPr="00D31C34">
        <w:rPr>
          <w:b/>
        </w:rPr>
        <w:t>ODA</w:t>
      </w:r>
      <w:r w:rsidRPr="00856806">
        <w:rPr>
          <w:b/>
        </w:rPr>
        <w:t xml:space="preserve"> to Solomon Islands in 2017-18</w:t>
      </w:r>
      <w:r w:rsidR="005D750E" w:rsidRPr="00856806">
        <w:rPr>
          <w:b/>
        </w:rPr>
        <w:t xml:space="preserve">, </w:t>
      </w:r>
      <w:r w:rsidR="00D63783" w:rsidRPr="00856806">
        <w:rPr>
          <w:b/>
        </w:rPr>
        <w:t>Australia’s third largest aid program</w:t>
      </w:r>
      <w:r w:rsidR="00B53E38" w:rsidRPr="00856806">
        <w:rPr>
          <w:b/>
        </w:rPr>
        <w:t>.</w:t>
      </w:r>
      <w:r w:rsidR="00B53E38" w:rsidRPr="00856806">
        <w:t xml:space="preserve">  </w:t>
      </w:r>
      <w:r w:rsidR="004E0C5D" w:rsidRPr="00856806">
        <w:t>This represent</w:t>
      </w:r>
      <w:r w:rsidR="00503EBE">
        <w:t>ed</w:t>
      </w:r>
      <w:r w:rsidR="004E0C5D" w:rsidRPr="00856806">
        <w:t xml:space="preserve"> a $27.2 million decrease from 2016-17, </w:t>
      </w:r>
      <w:r w:rsidR="00917C69" w:rsidRPr="00856806">
        <w:t xml:space="preserve">largely </w:t>
      </w:r>
      <w:r w:rsidR="00E41785" w:rsidRPr="00856806">
        <w:t>due to</w:t>
      </w:r>
      <w:r w:rsidR="004E0C5D" w:rsidRPr="00856806">
        <w:t xml:space="preserve"> changes to the policing program following the end of RAMSI in June 2017</w:t>
      </w:r>
      <w:r w:rsidR="00310656">
        <w:t xml:space="preserve">.  </w:t>
      </w:r>
      <w:r w:rsidR="000062E0" w:rsidRPr="00D31C34">
        <w:t xml:space="preserve">Bilateral ODA has remained relatively </w:t>
      </w:r>
      <w:r w:rsidR="00E02DA0">
        <w:t>stable</w:t>
      </w:r>
      <w:r w:rsidR="00E02DA0" w:rsidRPr="00D31C34">
        <w:t xml:space="preserve"> </w:t>
      </w:r>
      <w:r w:rsidR="000062E0" w:rsidRPr="00D31C34">
        <w:t>for the last five years.</w:t>
      </w:r>
      <w:r w:rsidR="00E41785" w:rsidRPr="00D31C34">
        <w:t xml:space="preserve">  </w:t>
      </w:r>
      <w:r w:rsidR="00917C69" w:rsidRPr="00856806">
        <w:t>Reflecting the transition away from a stability and peace</w:t>
      </w:r>
      <w:r w:rsidR="00E41785" w:rsidRPr="00856806">
        <w:t>-</w:t>
      </w:r>
      <w:r w:rsidR="00917C69" w:rsidRPr="00856806">
        <w:t>building prog</w:t>
      </w:r>
      <w:r w:rsidR="00E41785" w:rsidRPr="00856806">
        <w:t>ram over the life of the AIP</w:t>
      </w:r>
      <w:r w:rsidR="00917C69" w:rsidRPr="00856806">
        <w:t xml:space="preserve">, the </w:t>
      </w:r>
      <w:r w:rsidR="005B0641">
        <w:t xml:space="preserve">proportional spend on stability (including </w:t>
      </w:r>
      <w:r w:rsidR="00310656">
        <w:t>policing</w:t>
      </w:r>
      <w:r w:rsidR="005B0641">
        <w:t xml:space="preserve">) decreased in 2017-18.  Actual </w:t>
      </w:r>
      <w:r w:rsidR="008B60A2">
        <w:t>expenditure</w:t>
      </w:r>
      <w:r w:rsidR="005B0641">
        <w:t xml:space="preserve"> </w:t>
      </w:r>
      <w:r w:rsidR="00310656">
        <w:t xml:space="preserve">for each of the three objectives under the </w:t>
      </w:r>
      <w:r w:rsidR="005B0641">
        <w:t xml:space="preserve">bilateral program remained largely constant </w:t>
      </w:r>
      <w:r w:rsidR="00310656">
        <w:t>from</w:t>
      </w:r>
      <w:r w:rsidR="00F36F1E">
        <w:t xml:space="preserve"> 2016-17</w:t>
      </w:r>
      <w:r w:rsidR="00310656">
        <w:t xml:space="preserve"> (± 6 per cent).   </w:t>
      </w:r>
      <w:r w:rsidR="005B0641">
        <w:t xml:space="preserve">  </w:t>
      </w:r>
    </w:p>
    <w:p w:rsidR="00D40AEB"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D751A2">
        <w:rPr>
          <w:b/>
          <w:noProof/>
          <w:sz w:val="24"/>
        </w:rPr>
        <w:t>1</w:t>
      </w:r>
      <w:r w:rsidRPr="008C2F58">
        <w:rPr>
          <w:b/>
          <w:noProof/>
          <w:sz w:val="24"/>
        </w:rPr>
        <w:fldChar w:fldCharType="end"/>
      </w:r>
      <w:r w:rsidRPr="008C2F58">
        <w:rPr>
          <w:b/>
          <w:sz w:val="24"/>
        </w:rPr>
        <w:t xml:space="preserve"> Total ODA Expenditure in FY 201</w:t>
      </w:r>
      <w:r w:rsidR="002D37BC">
        <w:rPr>
          <w:b/>
          <w:sz w:val="24"/>
        </w:rPr>
        <w:t>7</w:t>
      </w:r>
      <w:r w:rsidRPr="008C2F58">
        <w:rPr>
          <w:b/>
          <w:sz w:val="24"/>
        </w:rPr>
        <w:t>-1</w:t>
      </w:r>
      <w:r w:rsidR="002D37BC">
        <w:rPr>
          <w:b/>
          <w:sz w:val="24"/>
        </w:rPr>
        <w:t>8</w:t>
      </w:r>
    </w:p>
    <w:tbl>
      <w:tblPr>
        <w:tblStyle w:val="TableGrid"/>
        <w:tblW w:w="96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1423"/>
        <w:gridCol w:w="1842"/>
      </w:tblGrid>
      <w:tr w:rsidR="00184818" w:rsidTr="00F77ECA">
        <w:tc>
          <w:tcPr>
            <w:tcW w:w="6374" w:type="dxa"/>
          </w:tcPr>
          <w:p w:rsidR="00184818" w:rsidRPr="008A3980" w:rsidRDefault="00184818" w:rsidP="002A51CA">
            <w:pPr>
              <w:rPr>
                <w:b/>
                <w:sz w:val="24"/>
              </w:rPr>
            </w:pPr>
            <w:r w:rsidRPr="008A3980">
              <w:rPr>
                <w:b/>
                <w:sz w:val="20"/>
              </w:rPr>
              <w:t>Objective</w:t>
            </w:r>
          </w:p>
        </w:tc>
        <w:tc>
          <w:tcPr>
            <w:tcW w:w="1423" w:type="dxa"/>
          </w:tcPr>
          <w:p w:rsidR="00184818" w:rsidRPr="008A3980" w:rsidRDefault="00184818" w:rsidP="004F78D3">
            <w:pPr>
              <w:rPr>
                <w:b/>
                <w:sz w:val="24"/>
              </w:rPr>
            </w:pPr>
            <w:r w:rsidRPr="008A3980">
              <w:rPr>
                <w:b/>
                <w:sz w:val="20"/>
              </w:rPr>
              <w:t>A$ million</w:t>
            </w:r>
          </w:p>
        </w:tc>
        <w:tc>
          <w:tcPr>
            <w:tcW w:w="1842" w:type="dxa"/>
          </w:tcPr>
          <w:p w:rsidR="00184818" w:rsidRPr="008A3980" w:rsidRDefault="00184818" w:rsidP="004F78D3">
            <w:pPr>
              <w:ind w:right="-546"/>
              <w:rPr>
                <w:b/>
                <w:sz w:val="24"/>
              </w:rPr>
            </w:pPr>
            <w:r w:rsidRPr="008A3980">
              <w:rPr>
                <w:b/>
                <w:sz w:val="20"/>
              </w:rPr>
              <w:t>% of total ODA</w:t>
            </w:r>
          </w:p>
        </w:tc>
      </w:tr>
      <w:tr w:rsidR="00184818" w:rsidTr="00F77ECA">
        <w:tc>
          <w:tcPr>
            <w:tcW w:w="6374" w:type="dxa"/>
          </w:tcPr>
          <w:p w:rsidR="00184818" w:rsidRPr="00E41785" w:rsidRDefault="008A3980" w:rsidP="00B53E38">
            <w:pPr>
              <w:rPr>
                <w:b/>
                <w:i/>
                <w:sz w:val="20"/>
                <w:szCs w:val="20"/>
              </w:rPr>
            </w:pPr>
            <w:r w:rsidRPr="00E41785">
              <w:rPr>
                <w:i/>
                <w:sz w:val="20"/>
                <w:szCs w:val="20"/>
              </w:rPr>
              <w:t xml:space="preserve">    </w:t>
            </w:r>
            <w:r w:rsidR="00184818" w:rsidRPr="00E41785">
              <w:rPr>
                <w:i/>
                <w:sz w:val="20"/>
                <w:szCs w:val="20"/>
              </w:rPr>
              <w:t>Objective 1</w:t>
            </w:r>
            <w:r w:rsidR="00B53E38" w:rsidRPr="00E41785">
              <w:rPr>
                <w:i/>
                <w:sz w:val="20"/>
                <w:szCs w:val="20"/>
              </w:rPr>
              <w:t xml:space="preserve"> – Supporting Stability </w:t>
            </w:r>
          </w:p>
        </w:tc>
        <w:tc>
          <w:tcPr>
            <w:tcW w:w="1423" w:type="dxa"/>
          </w:tcPr>
          <w:p w:rsidR="00184818" w:rsidRPr="00E41785" w:rsidRDefault="000E3CF5" w:rsidP="002A51CA">
            <w:pPr>
              <w:rPr>
                <w:i/>
                <w:sz w:val="20"/>
                <w:szCs w:val="20"/>
              </w:rPr>
            </w:pPr>
            <w:r w:rsidRPr="00E41785">
              <w:rPr>
                <w:i/>
                <w:sz w:val="20"/>
                <w:szCs w:val="20"/>
              </w:rPr>
              <w:t>22.2</w:t>
            </w:r>
          </w:p>
        </w:tc>
        <w:tc>
          <w:tcPr>
            <w:tcW w:w="1842" w:type="dxa"/>
          </w:tcPr>
          <w:p w:rsidR="00184818" w:rsidRPr="00E41785" w:rsidRDefault="00EB76E2" w:rsidP="002A51CA">
            <w:pPr>
              <w:rPr>
                <w:i/>
                <w:sz w:val="20"/>
                <w:szCs w:val="20"/>
              </w:rPr>
            </w:pPr>
            <w:r w:rsidRPr="00E41785">
              <w:rPr>
                <w:i/>
                <w:sz w:val="20"/>
                <w:szCs w:val="20"/>
              </w:rPr>
              <w:t>16</w:t>
            </w:r>
            <w:r w:rsidR="000E3CF5" w:rsidRPr="00E41785">
              <w:rPr>
                <w:i/>
                <w:sz w:val="20"/>
                <w:szCs w:val="20"/>
              </w:rPr>
              <w:t>%</w:t>
            </w:r>
          </w:p>
        </w:tc>
      </w:tr>
      <w:tr w:rsidR="00184818" w:rsidTr="00F77ECA">
        <w:tc>
          <w:tcPr>
            <w:tcW w:w="6374" w:type="dxa"/>
          </w:tcPr>
          <w:p w:rsidR="00184818" w:rsidRPr="00E41785" w:rsidRDefault="008A3980" w:rsidP="004F78D3">
            <w:pPr>
              <w:rPr>
                <w:b/>
                <w:i/>
                <w:sz w:val="20"/>
                <w:szCs w:val="20"/>
              </w:rPr>
            </w:pPr>
            <w:r w:rsidRPr="00E41785">
              <w:rPr>
                <w:i/>
                <w:sz w:val="20"/>
                <w:szCs w:val="20"/>
              </w:rPr>
              <w:t xml:space="preserve">    </w:t>
            </w:r>
            <w:r w:rsidR="00184818" w:rsidRPr="00E41785">
              <w:rPr>
                <w:i/>
                <w:sz w:val="20"/>
                <w:szCs w:val="20"/>
              </w:rPr>
              <w:t>Objective 2</w:t>
            </w:r>
            <w:r w:rsidR="00B53E38" w:rsidRPr="00E41785">
              <w:rPr>
                <w:i/>
                <w:sz w:val="20"/>
                <w:szCs w:val="20"/>
              </w:rPr>
              <w:t xml:space="preserve"> –Enabling Economic Growth</w:t>
            </w:r>
          </w:p>
        </w:tc>
        <w:tc>
          <w:tcPr>
            <w:tcW w:w="1423" w:type="dxa"/>
          </w:tcPr>
          <w:p w:rsidR="00184818" w:rsidRPr="00E41785" w:rsidRDefault="009723D6" w:rsidP="002A51CA">
            <w:pPr>
              <w:rPr>
                <w:i/>
                <w:sz w:val="20"/>
                <w:szCs w:val="20"/>
              </w:rPr>
            </w:pPr>
            <w:r w:rsidRPr="00E41785">
              <w:rPr>
                <w:i/>
                <w:sz w:val="20"/>
                <w:szCs w:val="20"/>
              </w:rPr>
              <w:t>34.7</w:t>
            </w:r>
          </w:p>
        </w:tc>
        <w:tc>
          <w:tcPr>
            <w:tcW w:w="1842" w:type="dxa"/>
          </w:tcPr>
          <w:p w:rsidR="00184818" w:rsidRPr="00E41785" w:rsidRDefault="00EB76E2" w:rsidP="002A51CA">
            <w:pPr>
              <w:rPr>
                <w:i/>
                <w:sz w:val="20"/>
                <w:szCs w:val="20"/>
              </w:rPr>
            </w:pPr>
            <w:r w:rsidRPr="00E41785">
              <w:rPr>
                <w:i/>
                <w:sz w:val="20"/>
                <w:szCs w:val="20"/>
              </w:rPr>
              <w:t>25</w:t>
            </w:r>
            <w:r w:rsidR="000E3CF5" w:rsidRPr="00E41785">
              <w:rPr>
                <w:i/>
                <w:sz w:val="20"/>
                <w:szCs w:val="20"/>
              </w:rPr>
              <w:t>%</w:t>
            </w:r>
          </w:p>
        </w:tc>
      </w:tr>
      <w:tr w:rsidR="00184818" w:rsidTr="00F77ECA">
        <w:tc>
          <w:tcPr>
            <w:tcW w:w="6374" w:type="dxa"/>
          </w:tcPr>
          <w:p w:rsidR="00184818" w:rsidRPr="00E41785" w:rsidRDefault="008A3980" w:rsidP="00B53E38">
            <w:pPr>
              <w:rPr>
                <w:b/>
                <w:i/>
                <w:sz w:val="20"/>
                <w:szCs w:val="20"/>
              </w:rPr>
            </w:pPr>
            <w:r w:rsidRPr="00E41785">
              <w:rPr>
                <w:i/>
                <w:sz w:val="20"/>
                <w:szCs w:val="20"/>
              </w:rPr>
              <w:t xml:space="preserve">    </w:t>
            </w:r>
            <w:r w:rsidR="00184818" w:rsidRPr="00E41785">
              <w:rPr>
                <w:i/>
                <w:sz w:val="20"/>
                <w:szCs w:val="20"/>
              </w:rPr>
              <w:t>Objective 3</w:t>
            </w:r>
            <w:r w:rsidR="00B53E38" w:rsidRPr="00E41785">
              <w:rPr>
                <w:i/>
                <w:sz w:val="20"/>
                <w:szCs w:val="20"/>
              </w:rPr>
              <w:t xml:space="preserve"> – Enhancing Human Development</w:t>
            </w:r>
          </w:p>
        </w:tc>
        <w:tc>
          <w:tcPr>
            <w:tcW w:w="1423" w:type="dxa"/>
          </w:tcPr>
          <w:p w:rsidR="00184818" w:rsidRPr="00E41785" w:rsidRDefault="000E3CF5" w:rsidP="002A51CA">
            <w:pPr>
              <w:rPr>
                <w:i/>
                <w:sz w:val="20"/>
                <w:szCs w:val="20"/>
              </w:rPr>
            </w:pPr>
            <w:r w:rsidRPr="00E41785">
              <w:rPr>
                <w:i/>
                <w:sz w:val="20"/>
                <w:szCs w:val="20"/>
              </w:rPr>
              <w:t>35.8</w:t>
            </w:r>
          </w:p>
        </w:tc>
        <w:tc>
          <w:tcPr>
            <w:tcW w:w="1842" w:type="dxa"/>
          </w:tcPr>
          <w:p w:rsidR="00184818" w:rsidRPr="00E41785" w:rsidRDefault="00EB76E2" w:rsidP="002A51CA">
            <w:pPr>
              <w:rPr>
                <w:i/>
                <w:sz w:val="20"/>
                <w:szCs w:val="20"/>
              </w:rPr>
            </w:pPr>
            <w:r w:rsidRPr="00E41785">
              <w:rPr>
                <w:i/>
                <w:sz w:val="20"/>
                <w:szCs w:val="20"/>
              </w:rPr>
              <w:t>26</w:t>
            </w:r>
            <w:r w:rsidR="000E3CF5" w:rsidRPr="00E41785">
              <w:rPr>
                <w:i/>
                <w:sz w:val="20"/>
                <w:szCs w:val="20"/>
              </w:rPr>
              <w:t>%</w:t>
            </w:r>
          </w:p>
        </w:tc>
      </w:tr>
      <w:tr w:rsidR="00184818" w:rsidTr="00F77ECA">
        <w:tc>
          <w:tcPr>
            <w:tcW w:w="6374" w:type="dxa"/>
          </w:tcPr>
          <w:p w:rsidR="00184818" w:rsidRPr="00E41785" w:rsidRDefault="00184818" w:rsidP="002A51CA">
            <w:pPr>
              <w:rPr>
                <w:b/>
                <w:sz w:val="20"/>
                <w:szCs w:val="20"/>
              </w:rPr>
            </w:pPr>
            <w:r w:rsidRPr="00E41785">
              <w:rPr>
                <w:b/>
                <w:sz w:val="20"/>
                <w:szCs w:val="20"/>
              </w:rPr>
              <w:t>Sub-Total Bilateral</w:t>
            </w:r>
          </w:p>
        </w:tc>
        <w:tc>
          <w:tcPr>
            <w:tcW w:w="1423" w:type="dxa"/>
          </w:tcPr>
          <w:p w:rsidR="00184818" w:rsidRPr="00E41785" w:rsidRDefault="00626DE5" w:rsidP="002A51CA">
            <w:pPr>
              <w:rPr>
                <w:b/>
                <w:sz w:val="20"/>
                <w:szCs w:val="20"/>
              </w:rPr>
            </w:pPr>
            <w:r w:rsidRPr="00E41785">
              <w:rPr>
                <w:b/>
                <w:sz w:val="20"/>
                <w:szCs w:val="20"/>
              </w:rPr>
              <w:t>92.</w:t>
            </w:r>
            <w:r w:rsidR="009723D6" w:rsidRPr="00E41785">
              <w:rPr>
                <w:b/>
                <w:sz w:val="20"/>
                <w:szCs w:val="20"/>
              </w:rPr>
              <w:t>7</w:t>
            </w:r>
          </w:p>
        </w:tc>
        <w:tc>
          <w:tcPr>
            <w:tcW w:w="1842" w:type="dxa"/>
          </w:tcPr>
          <w:p w:rsidR="00184818" w:rsidRPr="00E41785" w:rsidRDefault="00626DE5" w:rsidP="002A51CA">
            <w:pPr>
              <w:rPr>
                <w:b/>
                <w:sz w:val="20"/>
                <w:szCs w:val="20"/>
              </w:rPr>
            </w:pPr>
            <w:r w:rsidRPr="00E41785">
              <w:rPr>
                <w:b/>
                <w:sz w:val="20"/>
                <w:szCs w:val="20"/>
              </w:rPr>
              <w:t>6</w:t>
            </w:r>
            <w:r w:rsidR="00EB76E2" w:rsidRPr="00E41785">
              <w:rPr>
                <w:b/>
                <w:sz w:val="20"/>
                <w:szCs w:val="20"/>
              </w:rPr>
              <w:t>8</w:t>
            </w:r>
            <w:r w:rsidRPr="00E41785">
              <w:rPr>
                <w:b/>
                <w:sz w:val="20"/>
                <w:szCs w:val="20"/>
              </w:rPr>
              <w:t>%</w:t>
            </w:r>
          </w:p>
        </w:tc>
      </w:tr>
      <w:tr w:rsidR="00184818" w:rsidTr="00F77ECA">
        <w:tc>
          <w:tcPr>
            <w:tcW w:w="6374" w:type="dxa"/>
          </w:tcPr>
          <w:p w:rsidR="00184818" w:rsidRPr="00E41785" w:rsidRDefault="00184818" w:rsidP="002A51CA">
            <w:pPr>
              <w:rPr>
                <w:b/>
                <w:sz w:val="20"/>
                <w:szCs w:val="20"/>
              </w:rPr>
            </w:pPr>
            <w:r w:rsidRPr="00E41785">
              <w:rPr>
                <w:b/>
                <w:sz w:val="20"/>
                <w:szCs w:val="20"/>
              </w:rPr>
              <w:t>Regional and Global</w:t>
            </w:r>
          </w:p>
        </w:tc>
        <w:tc>
          <w:tcPr>
            <w:tcW w:w="1423" w:type="dxa"/>
          </w:tcPr>
          <w:p w:rsidR="00184818" w:rsidRPr="00E41785" w:rsidRDefault="00626DE5" w:rsidP="002A51CA">
            <w:pPr>
              <w:rPr>
                <w:b/>
                <w:sz w:val="20"/>
                <w:szCs w:val="20"/>
              </w:rPr>
            </w:pPr>
            <w:r w:rsidRPr="00E41785">
              <w:rPr>
                <w:b/>
                <w:sz w:val="20"/>
                <w:szCs w:val="20"/>
              </w:rPr>
              <w:t>20.</w:t>
            </w:r>
            <w:r w:rsidR="00503EBE">
              <w:rPr>
                <w:b/>
                <w:sz w:val="20"/>
                <w:szCs w:val="20"/>
              </w:rPr>
              <w:t>8</w:t>
            </w:r>
          </w:p>
        </w:tc>
        <w:tc>
          <w:tcPr>
            <w:tcW w:w="1842" w:type="dxa"/>
          </w:tcPr>
          <w:p w:rsidR="00184818" w:rsidRPr="00E41785" w:rsidRDefault="00626DE5" w:rsidP="002A51CA">
            <w:pPr>
              <w:rPr>
                <w:b/>
                <w:sz w:val="20"/>
                <w:szCs w:val="20"/>
              </w:rPr>
            </w:pPr>
            <w:r w:rsidRPr="00E41785">
              <w:rPr>
                <w:b/>
                <w:sz w:val="20"/>
                <w:szCs w:val="20"/>
              </w:rPr>
              <w:t>15%</w:t>
            </w:r>
          </w:p>
        </w:tc>
      </w:tr>
      <w:tr w:rsidR="00184818" w:rsidTr="00F77ECA">
        <w:tc>
          <w:tcPr>
            <w:tcW w:w="6374" w:type="dxa"/>
          </w:tcPr>
          <w:p w:rsidR="004E0C5D" w:rsidRPr="00E41785" w:rsidRDefault="008A3980" w:rsidP="00DF7D82">
            <w:pPr>
              <w:rPr>
                <w:b/>
                <w:i/>
                <w:sz w:val="20"/>
                <w:szCs w:val="20"/>
              </w:rPr>
            </w:pPr>
            <w:r w:rsidRPr="00E41785">
              <w:rPr>
                <w:i/>
                <w:sz w:val="20"/>
                <w:szCs w:val="20"/>
              </w:rPr>
              <w:t xml:space="preserve">   Australian Federal Police (</w:t>
            </w:r>
            <w:r w:rsidR="00DF7D82">
              <w:rPr>
                <w:i/>
                <w:sz w:val="20"/>
                <w:szCs w:val="20"/>
              </w:rPr>
              <w:t xml:space="preserve">Objective 1 </w:t>
            </w:r>
            <w:r w:rsidR="00310656">
              <w:rPr>
                <w:i/>
                <w:sz w:val="20"/>
                <w:szCs w:val="20"/>
              </w:rPr>
              <w:t xml:space="preserve">- </w:t>
            </w:r>
            <w:r w:rsidR="00DF7D82">
              <w:rPr>
                <w:i/>
                <w:sz w:val="20"/>
                <w:szCs w:val="20"/>
              </w:rPr>
              <w:t>Supporting Stability</w:t>
            </w:r>
            <w:r w:rsidRPr="00E41785">
              <w:rPr>
                <w:i/>
                <w:sz w:val="20"/>
                <w:szCs w:val="20"/>
              </w:rPr>
              <w:t>)</w:t>
            </w:r>
          </w:p>
        </w:tc>
        <w:tc>
          <w:tcPr>
            <w:tcW w:w="1423" w:type="dxa"/>
          </w:tcPr>
          <w:p w:rsidR="00184818" w:rsidRPr="00E41785" w:rsidRDefault="009723D6" w:rsidP="002A51CA">
            <w:pPr>
              <w:rPr>
                <w:i/>
                <w:sz w:val="20"/>
                <w:szCs w:val="20"/>
              </w:rPr>
            </w:pPr>
            <w:r w:rsidRPr="00E41785">
              <w:rPr>
                <w:i/>
                <w:sz w:val="20"/>
                <w:szCs w:val="20"/>
              </w:rPr>
              <w:t>22.2</w:t>
            </w:r>
          </w:p>
        </w:tc>
        <w:tc>
          <w:tcPr>
            <w:tcW w:w="1842" w:type="dxa"/>
          </w:tcPr>
          <w:p w:rsidR="00184818" w:rsidRPr="00E41785" w:rsidRDefault="009723D6" w:rsidP="00626DE5">
            <w:pPr>
              <w:rPr>
                <w:i/>
                <w:sz w:val="20"/>
                <w:szCs w:val="20"/>
              </w:rPr>
            </w:pPr>
            <w:r w:rsidRPr="00E41785">
              <w:rPr>
                <w:i/>
                <w:sz w:val="20"/>
                <w:szCs w:val="20"/>
              </w:rPr>
              <w:t>16</w:t>
            </w:r>
            <w:r w:rsidR="00626DE5" w:rsidRPr="00E41785">
              <w:rPr>
                <w:i/>
                <w:sz w:val="20"/>
                <w:szCs w:val="20"/>
              </w:rPr>
              <w:t>%</w:t>
            </w:r>
          </w:p>
        </w:tc>
      </w:tr>
      <w:tr w:rsidR="00EB76E2" w:rsidTr="00F77ECA">
        <w:tc>
          <w:tcPr>
            <w:tcW w:w="6374" w:type="dxa"/>
          </w:tcPr>
          <w:p w:rsidR="00EB76E2" w:rsidRPr="00E41785" w:rsidRDefault="00EB76E2" w:rsidP="002A51CA">
            <w:pPr>
              <w:rPr>
                <w:b/>
                <w:sz w:val="20"/>
                <w:szCs w:val="20"/>
              </w:rPr>
            </w:pPr>
            <w:r w:rsidRPr="00E41785">
              <w:rPr>
                <w:b/>
                <w:sz w:val="20"/>
                <w:szCs w:val="20"/>
              </w:rPr>
              <w:t>Other Government Departments</w:t>
            </w:r>
          </w:p>
        </w:tc>
        <w:tc>
          <w:tcPr>
            <w:tcW w:w="1423" w:type="dxa"/>
          </w:tcPr>
          <w:p w:rsidR="00EB76E2" w:rsidRPr="00E41785" w:rsidRDefault="009723D6" w:rsidP="002A51CA">
            <w:pPr>
              <w:rPr>
                <w:b/>
                <w:sz w:val="20"/>
                <w:szCs w:val="20"/>
              </w:rPr>
            </w:pPr>
            <w:r w:rsidRPr="00E41785">
              <w:rPr>
                <w:b/>
                <w:sz w:val="20"/>
                <w:szCs w:val="20"/>
              </w:rPr>
              <w:t>23.4</w:t>
            </w:r>
          </w:p>
        </w:tc>
        <w:tc>
          <w:tcPr>
            <w:tcW w:w="1842" w:type="dxa"/>
          </w:tcPr>
          <w:p w:rsidR="00EB76E2" w:rsidRPr="00E41785" w:rsidRDefault="008A3980" w:rsidP="00626DE5">
            <w:pPr>
              <w:rPr>
                <w:b/>
                <w:sz w:val="20"/>
                <w:szCs w:val="20"/>
              </w:rPr>
            </w:pPr>
            <w:r w:rsidRPr="00E41785">
              <w:rPr>
                <w:b/>
                <w:sz w:val="20"/>
                <w:szCs w:val="20"/>
              </w:rPr>
              <w:t>17%</w:t>
            </w:r>
          </w:p>
        </w:tc>
      </w:tr>
      <w:tr w:rsidR="00184818" w:rsidTr="00F77ECA">
        <w:tc>
          <w:tcPr>
            <w:tcW w:w="6374" w:type="dxa"/>
          </w:tcPr>
          <w:p w:rsidR="00184818" w:rsidRPr="00E41785" w:rsidRDefault="00184818" w:rsidP="002A51CA">
            <w:pPr>
              <w:rPr>
                <w:b/>
                <w:sz w:val="20"/>
                <w:szCs w:val="20"/>
              </w:rPr>
            </w:pPr>
            <w:r w:rsidRPr="00E41785">
              <w:rPr>
                <w:b/>
                <w:sz w:val="20"/>
                <w:szCs w:val="20"/>
              </w:rPr>
              <w:t>Total ODA Expenditure</w:t>
            </w:r>
          </w:p>
        </w:tc>
        <w:tc>
          <w:tcPr>
            <w:tcW w:w="1423" w:type="dxa"/>
          </w:tcPr>
          <w:p w:rsidR="00184818" w:rsidRPr="00E41785" w:rsidRDefault="00626DE5" w:rsidP="002A51CA">
            <w:pPr>
              <w:rPr>
                <w:b/>
                <w:sz w:val="20"/>
                <w:szCs w:val="20"/>
              </w:rPr>
            </w:pPr>
            <w:r w:rsidRPr="00E41785">
              <w:rPr>
                <w:b/>
                <w:sz w:val="20"/>
                <w:szCs w:val="20"/>
              </w:rPr>
              <w:t>136.9</w:t>
            </w:r>
          </w:p>
        </w:tc>
        <w:tc>
          <w:tcPr>
            <w:tcW w:w="1842" w:type="dxa"/>
          </w:tcPr>
          <w:p w:rsidR="00184818" w:rsidRPr="00E41785" w:rsidRDefault="00626DE5" w:rsidP="002A51CA">
            <w:pPr>
              <w:rPr>
                <w:b/>
                <w:sz w:val="20"/>
                <w:szCs w:val="20"/>
              </w:rPr>
            </w:pPr>
            <w:r w:rsidRPr="00E41785">
              <w:rPr>
                <w:b/>
                <w:sz w:val="20"/>
                <w:szCs w:val="20"/>
              </w:rPr>
              <w:t>100%</w:t>
            </w:r>
          </w:p>
        </w:tc>
      </w:tr>
    </w:tbl>
    <w:p w:rsidR="002A51CA" w:rsidRPr="002A51CA" w:rsidRDefault="002A51CA" w:rsidP="002A51CA">
      <w:pPr>
        <w:pStyle w:val="ListBullet"/>
        <w:tabs>
          <w:tab w:val="clear" w:pos="284"/>
        </w:tabs>
        <w:spacing w:before="360"/>
        <w:rPr>
          <w:rFonts w:asciiTheme="majorHAnsi" w:eastAsiaTheme="majorEastAsia" w:hAnsiTheme="majorHAnsi" w:cstheme="majorBidi"/>
          <w:caps/>
          <w:color w:val="495965" w:themeColor="text2"/>
          <w:sz w:val="38"/>
          <w:szCs w:val="26"/>
          <w:lang w:val="en-GB" w:eastAsia="en-US"/>
        </w:rPr>
      </w:pPr>
      <w:r w:rsidRPr="002A51CA">
        <w:rPr>
          <w:rFonts w:asciiTheme="majorHAnsi" w:eastAsiaTheme="majorEastAsia" w:hAnsiTheme="majorHAnsi" w:cstheme="majorBidi"/>
          <w:caps/>
          <w:color w:val="495965" w:themeColor="text2"/>
          <w:sz w:val="38"/>
          <w:szCs w:val="26"/>
          <w:lang w:val="en-GB" w:eastAsia="en-US"/>
        </w:rPr>
        <w:t xml:space="preserve">Progress towards </w:t>
      </w:r>
      <w:r w:rsidR="00162218">
        <w:rPr>
          <w:rFonts w:asciiTheme="majorHAnsi" w:eastAsiaTheme="majorEastAsia" w:hAnsiTheme="majorHAnsi" w:cstheme="majorBidi"/>
          <w:caps/>
          <w:color w:val="495965" w:themeColor="text2"/>
          <w:sz w:val="38"/>
          <w:szCs w:val="26"/>
          <w:lang w:val="en-GB" w:eastAsia="en-US"/>
        </w:rPr>
        <w:t xml:space="preserve">AIP </w:t>
      </w:r>
      <w:r w:rsidRPr="002A51CA">
        <w:rPr>
          <w:rFonts w:asciiTheme="majorHAnsi" w:eastAsiaTheme="majorEastAsia" w:hAnsiTheme="majorHAnsi" w:cstheme="majorBidi"/>
          <w:caps/>
          <w:color w:val="495965" w:themeColor="text2"/>
          <w:sz w:val="38"/>
          <w:szCs w:val="26"/>
          <w:lang w:val="en-GB" w:eastAsia="en-US"/>
        </w:rPr>
        <w:t>Objectives</w:t>
      </w:r>
      <w:r w:rsidRPr="002A51CA">
        <w:rPr>
          <w:rFonts w:asciiTheme="majorHAnsi" w:eastAsiaTheme="majorEastAsia" w:hAnsiTheme="majorHAnsi" w:cstheme="majorBidi"/>
          <w:caps/>
          <w:color w:val="495965" w:themeColor="text2"/>
          <w:sz w:val="38"/>
          <w:szCs w:val="26"/>
          <w:lang w:val="en-GB" w:eastAsia="en-US"/>
        </w:rPr>
        <w:tab/>
      </w:r>
    </w:p>
    <w:p w:rsidR="00870455" w:rsidRPr="00BE6C6D" w:rsidRDefault="00D63783" w:rsidP="002A51CA">
      <w:r w:rsidRPr="00D63783">
        <w:t xml:space="preserve">Australia’s performance against AIP objectives </w:t>
      </w:r>
      <w:r w:rsidR="00503EBE">
        <w:t>was</w:t>
      </w:r>
      <w:r w:rsidRPr="00D63783">
        <w:t xml:space="preserve"> measured using the </w:t>
      </w:r>
      <w:r w:rsidR="004A0E5A">
        <w:t xml:space="preserve">summary </w:t>
      </w:r>
      <w:r w:rsidRPr="00D63783">
        <w:t xml:space="preserve">Performance Assessment Framework (PAF) detailed in Annex E.  In 2017-18, Australia </w:t>
      </w:r>
      <w:r w:rsidRPr="004A0E5A">
        <w:t xml:space="preserve">progressed as expected towards </w:t>
      </w:r>
      <w:r w:rsidR="001218D3" w:rsidRPr="004A0E5A">
        <w:t xml:space="preserve">three of </w:t>
      </w:r>
      <w:r w:rsidR="004A0E5A" w:rsidRPr="00F90B9B">
        <w:t xml:space="preserve">the </w:t>
      </w:r>
      <w:r w:rsidR="001218D3" w:rsidRPr="004A0E5A">
        <w:t>four</w:t>
      </w:r>
      <w:r w:rsidR="007300AC" w:rsidRPr="004A0E5A">
        <w:t xml:space="preserve"> AIP</w:t>
      </w:r>
      <w:r w:rsidRPr="004A0E5A">
        <w:t xml:space="preserve"> objective</w:t>
      </w:r>
      <w:r w:rsidR="00DB59DE" w:rsidRPr="004A0E5A">
        <w:t>s</w:t>
      </w:r>
      <w:r w:rsidRPr="004A0E5A">
        <w:t>.</w:t>
      </w:r>
      <w:r w:rsidRPr="00D63783">
        <w:t xml:space="preserve">  </w:t>
      </w:r>
      <w:r w:rsidR="004A0E5A">
        <w:t xml:space="preserve">One objective, relating to cash-based income, was rated amber.  </w:t>
      </w:r>
    </w:p>
    <w:p w:rsidR="002A51CA" w:rsidRPr="008C2F58" w:rsidRDefault="002A51CA" w:rsidP="002A51CA">
      <w:pPr>
        <w:rPr>
          <w:b/>
          <w:sz w:val="24"/>
        </w:rPr>
      </w:pPr>
      <w:r w:rsidRPr="008C2F58">
        <w:rPr>
          <w:b/>
          <w:sz w:val="24"/>
        </w:rPr>
        <w:t xml:space="preserve">Table </w:t>
      </w:r>
      <w:r w:rsidRPr="008C2F58">
        <w:rPr>
          <w:b/>
          <w:sz w:val="24"/>
        </w:rPr>
        <w:fldChar w:fldCharType="begin"/>
      </w:r>
      <w:r w:rsidRPr="008C2F58">
        <w:rPr>
          <w:b/>
          <w:sz w:val="24"/>
        </w:rPr>
        <w:instrText xml:space="preserve"> SEQ Table \* ARABIC </w:instrText>
      </w:r>
      <w:r w:rsidRPr="008C2F58">
        <w:rPr>
          <w:b/>
          <w:sz w:val="24"/>
        </w:rPr>
        <w:fldChar w:fldCharType="separate"/>
      </w:r>
      <w:r w:rsidR="00D751A2">
        <w:rPr>
          <w:b/>
          <w:noProof/>
          <w:sz w:val="24"/>
        </w:rPr>
        <w:t>2</w:t>
      </w:r>
      <w:r w:rsidRPr="008C2F58">
        <w:rPr>
          <w:b/>
          <w:noProof/>
          <w:sz w:val="24"/>
        </w:rPr>
        <w:fldChar w:fldCharType="end"/>
      </w:r>
      <w:r w:rsidRPr="008C2F58">
        <w:rPr>
          <w:b/>
          <w:sz w:val="24"/>
        </w:rPr>
        <w:t xml:space="preserve"> Rating of the Program's Progress towards Australia’s Aid Objectives</w:t>
      </w:r>
    </w:p>
    <w:tbl>
      <w:tblPr>
        <w:tblStyle w:val="APPR"/>
        <w:tblW w:w="4854" w:type="pct"/>
        <w:tblLook w:val="0000" w:firstRow="0" w:lastRow="0" w:firstColumn="0" w:lastColumn="0" w:noHBand="0" w:noVBand="0"/>
      </w:tblPr>
      <w:tblGrid>
        <w:gridCol w:w="6759"/>
        <w:gridCol w:w="1321"/>
        <w:gridCol w:w="1277"/>
      </w:tblGrid>
      <w:tr w:rsidR="00DA040F" w:rsidRPr="00C61187" w:rsidTr="00DA040F">
        <w:trPr>
          <w:cnfStyle w:val="000000010000" w:firstRow="0" w:lastRow="0" w:firstColumn="0" w:lastColumn="0" w:oddVBand="0" w:evenVBand="0" w:oddHBand="0" w:evenHBand="1" w:firstRowFirstColumn="0" w:firstRowLastColumn="0" w:lastRowFirstColumn="0" w:lastRowLastColumn="0"/>
          <w:trHeight w:val="651"/>
        </w:trPr>
        <w:tc>
          <w:tcPr>
            <w:tcW w:w="6717" w:type="dxa"/>
          </w:tcPr>
          <w:p w:rsidR="00DA040F" w:rsidRPr="00BE6C6D" w:rsidRDefault="00DA040F" w:rsidP="00BE6C6D">
            <w:pPr>
              <w:pStyle w:val="NormalIndented"/>
              <w:rPr>
                <w:sz w:val="18"/>
                <w:lang w:eastAsia="en-US"/>
              </w:rPr>
            </w:pPr>
            <w:r w:rsidRPr="00BE6C6D">
              <w:rPr>
                <w:noProof/>
                <w:sz w:val="18"/>
                <w:lang w:val="en-AU"/>
              </w:rPr>
              <w:drawing>
                <wp:anchor distT="0" distB="0" distL="114300" distR="114300" simplePos="0" relativeHeight="251685888" behindDoc="0" locked="0" layoutInCell="1" allowOverlap="1" wp14:anchorId="3A97A91B" wp14:editId="673F4BC5">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6C6D">
              <w:rPr>
                <w:sz w:val="18"/>
                <w:lang w:eastAsia="en-US"/>
              </w:rPr>
              <w:t>Objective</w:t>
            </w:r>
          </w:p>
        </w:tc>
        <w:tc>
          <w:tcPr>
            <w:tcW w:w="1293" w:type="dxa"/>
          </w:tcPr>
          <w:p w:rsidR="00DA040F" w:rsidRPr="00BE6C6D" w:rsidRDefault="00DA040F" w:rsidP="00BE6C6D">
            <w:pPr>
              <w:pStyle w:val="NormalIndented"/>
              <w:rPr>
                <w:sz w:val="18"/>
                <w:lang w:eastAsia="en-US"/>
              </w:rPr>
            </w:pPr>
            <w:r w:rsidRPr="00BE6C6D">
              <w:rPr>
                <w:sz w:val="18"/>
                <w:lang w:eastAsia="en-US"/>
              </w:rPr>
              <w:t>Previous Rating</w:t>
            </w:r>
          </w:p>
        </w:tc>
        <w:tc>
          <w:tcPr>
            <w:tcW w:w="1235" w:type="dxa"/>
          </w:tcPr>
          <w:p w:rsidR="00DA040F" w:rsidRPr="00BE6C6D" w:rsidRDefault="00DA040F" w:rsidP="00BE6C6D">
            <w:pPr>
              <w:pStyle w:val="NormalIndented"/>
              <w:rPr>
                <w:sz w:val="18"/>
                <w:lang w:eastAsia="en-US"/>
              </w:rPr>
            </w:pPr>
            <w:r w:rsidRPr="00BE6C6D">
              <w:rPr>
                <w:sz w:val="18"/>
                <w:lang w:eastAsia="en-US"/>
              </w:rPr>
              <w:t>Current Rating</w:t>
            </w:r>
          </w:p>
        </w:tc>
      </w:tr>
      <w:tr w:rsidR="00EE1FDC" w:rsidRPr="00C61187" w:rsidTr="00EE1FDC">
        <w:trPr>
          <w:cnfStyle w:val="000000010000" w:firstRow="0" w:lastRow="0" w:firstColumn="0" w:lastColumn="0" w:oddVBand="0" w:evenVBand="0" w:oddHBand="0" w:evenHBand="1" w:firstRowFirstColumn="0" w:firstRowLastColumn="0" w:lastRowFirstColumn="0" w:lastRowLastColumn="0"/>
        </w:trPr>
        <w:tc>
          <w:tcPr>
            <w:tcW w:w="671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EE1FDC" w:rsidRPr="00D63783" w:rsidRDefault="00EE1FDC" w:rsidP="00EE1FDC">
            <w:pPr>
              <w:pStyle w:val="NormalIndented"/>
              <w:rPr>
                <w:sz w:val="16"/>
                <w:szCs w:val="16"/>
                <w:lang w:eastAsia="en-US"/>
              </w:rPr>
            </w:pPr>
            <w:r w:rsidRPr="00D63783">
              <w:rPr>
                <w:sz w:val="16"/>
                <w:szCs w:val="16"/>
                <w:lang w:eastAsia="en-US"/>
              </w:rPr>
              <w:t xml:space="preserve">Objective 1: </w:t>
            </w:r>
            <w:r w:rsidRPr="00D63783">
              <w:rPr>
                <w:b/>
                <w:sz w:val="16"/>
                <w:szCs w:val="16"/>
                <w:lang w:eastAsia="en-US"/>
              </w:rPr>
              <w:t xml:space="preserve">Supporting stability - </w:t>
            </w:r>
            <w:r w:rsidRPr="00D63783">
              <w:rPr>
                <w:sz w:val="16"/>
                <w:szCs w:val="16"/>
                <w:lang w:eastAsia="en-US"/>
              </w:rPr>
              <w:t xml:space="preserve"> Solomon Islanders increasingly recognise and participate in a legitimate state, free from conflict and economically stable</w:t>
            </w:r>
          </w:p>
        </w:tc>
        <w:tc>
          <w:tcPr>
            <w:tcW w:w="12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rsidR="00EE1FDC" w:rsidRPr="00BE6C6D" w:rsidRDefault="00EE1FDC" w:rsidP="00EE1FDC">
            <w:pPr>
              <w:pStyle w:val="NormalIndented"/>
              <w:rPr>
                <w:color w:val="FFFFFF" w:themeColor="background1"/>
                <w:sz w:val="16"/>
                <w:lang w:eastAsia="en-US"/>
              </w:rPr>
            </w:pPr>
            <w:r w:rsidRPr="00071F77">
              <w:rPr>
                <w:color w:val="FFFFFF" w:themeColor="background1"/>
                <w:sz w:val="14"/>
                <w:lang w:eastAsia="en-US"/>
              </w:rPr>
              <w:t>Green</w:t>
            </w:r>
          </w:p>
        </w:tc>
        <w:tc>
          <w:tcPr>
            <w:tcW w:w="123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FB64D" w:themeFill="accent3" w:themeFillShade="BF"/>
            <w:noWrap/>
          </w:tcPr>
          <w:p w:rsidR="00EE1FDC" w:rsidRPr="00BE6C6D" w:rsidRDefault="00EE1FDC" w:rsidP="00EE1FDC">
            <w:pPr>
              <w:pStyle w:val="NormalIndented"/>
              <w:rPr>
                <w:color w:val="FFFFFF" w:themeColor="background1"/>
                <w:sz w:val="16"/>
                <w:lang w:eastAsia="en-US"/>
              </w:rPr>
            </w:pPr>
            <w:r w:rsidRPr="00071F77">
              <w:rPr>
                <w:color w:val="FFFFFF" w:themeColor="background1"/>
                <w:sz w:val="14"/>
                <w:lang w:eastAsia="en-US"/>
              </w:rPr>
              <w:t>Green</w:t>
            </w:r>
          </w:p>
        </w:tc>
      </w:tr>
      <w:tr w:rsidR="00EE1FDC" w:rsidRPr="00C61187" w:rsidTr="00870455">
        <w:trPr>
          <w:cnfStyle w:val="000000010000" w:firstRow="0" w:lastRow="0" w:firstColumn="0" w:lastColumn="0" w:oddVBand="0" w:evenVBand="0" w:oddHBand="0" w:evenHBand="1" w:firstRowFirstColumn="0" w:firstRowLastColumn="0" w:lastRowFirstColumn="0" w:lastRowLastColumn="0"/>
        </w:trPr>
        <w:tc>
          <w:tcPr>
            <w:tcW w:w="6717" w:type="dxa"/>
          </w:tcPr>
          <w:p w:rsidR="00EE1FDC" w:rsidRPr="00D63783" w:rsidRDefault="00EE1FDC" w:rsidP="00EE1FDC">
            <w:pPr>
              <w:pStyle w:val="NormalIndented"/>
              <w:rPr>
                <w:sz w:val="16"/>
                <w:szCs w:val="16"/>
                <w:lang w:eastAsia="en-US"/>
              </w:rPr>
            </w:pPr>
            <w:r w:rsidRPr="00D63783">
              <w:rPr>
                <w:sz w:val="16"/>
                <w:szCs w:val="16"/>
                <w:lang w:eastAsia="en-US"/>
              </w:rPr>
              <w:t>Objective 2</w:t>
            </w:r>
            <w:r>
              <w:rPr>
                <w:sz w:val="16"/>
                <w:szCs w:val="16"/>
                <w:lang w:eastAsia="en-US"/>
              </w:rPr>
              <w:t xml:space="preserve">A: </w:t>
            </w:r>
            <w:r w:rsidRPr="00D63783">
              <w:rPr>
                <w:b/>
                <w:sz w:val="16"/>
                <w:szCs w:val="16"/>
                <w:lang w:eastAsia="en-US"/>
              </w:rPr>
              <w:t>Enabling economic growth</w:t>
            </w:r>
            <w:r w:rsidRPr="00D63783">
              <w:rPr>
                <w:sz w:val="16"/>
                <w:szCs w:val="16"/>
                <w:lang w:eastAsia="en-US"/>
              </w:rPr>
              <w:t xml:space="preserve"> </w:t>
            </w:r>
            <w:r>
              <w:rPr>
                <w:sz w:val="16"/>
                <w:szCs w:val="16"/>
                <w:lang w:eastAsia="en-US"/>
              </w:rPr>
              <w:t xml:space="preserve">- </w:t>
            </w:r>
            <w:r w:rsidRPr="00D63783">
              <w:rPr>
                <w:sz w:val="16"/>
                <w:szCs w:val="16"/>
                <w:lang w:eastAsia="en-US"/>
              </w:rPr>
              <w:t>Solomon Islands’ economic operating environment is more attractive to business</w:t>
            </w:r>
          </w:p>
        </w:tc>
        <w:tc>
          <w:tcPr>
            <w:tcW w:w="1293" w:type="dxa"/>
            <w:shd w:val="clear" w:color="auto" w:fill="7FB64D" w:themeFill="accent3" w:themeFillShade="BF"/>
            <w:noWrap/>
          </w:tcPr>
          <w:p w:rsidR="00EE1FDC" w:rsidRPr="00BE6C6D" w:rsidRDefault="00EE1FDC" w:rsidP="00EE1FDC">
            <w:pPr>
              <w:pStyle w:val="NormalIndented"/>
              <w:rPr>
                <w:color w:val="FFFFFF" w:themeColor="background1"/>
                <w:sz w:val="16"/>
                <w:lang w:eastAsia="en-US"/>
              </w:rPr>
            </w:pPr>
            <w:r>
              <w:rPr>
                <w:color w:val="FFFFFF" w:themeColor="background1"/>
                <w:sz w:val="14"/>
                <w:lang w:eastAsia="en-US"/>
              </w:rPr>
              <w:t>Green</w:t>
            </w:r>
          </w:p>
        </w:tc>
        <w:tc>
          <w:tcPr>
            <w:tcW w:w="1235" w:type="dxa"/>
            <w:shd w:val="clear" w:color="auto" w:fill="7FB64D" w:themeFill="accent3" w:themeFillShade="BF"/>
            <w:noWrap/>
          </w:tcPr>
          <w:p w:rsidR="00EE1FDC" w:rsidRPr="00BE6C6D" w:rsidRDefault="00013F54" w:rsidP="00EE1FDC">
            <w:pPr>
              <w:pStyle w:val="NormalIndented"/>
              <w:rPr>
                <w:color w:val="FFFFFF" w:themeColor="background1"/>
                <w:sz w:val="16"/>
                <w:lang w:eastAsia="en-US"/>
              </w:rPr>
            </w:pPr>
            <w:r>
              <w:rPr>
                <w:color w:val="FFFFFF" w:themeColor="background1"/>
                <w:sz w:val="14"/>
                <w:lang w:eastAsia="en-US"/>
              </w:rPr>
              <w:t>Green</w:t>
            </w:r>
          </w:p>
        </w:tc>
      </w:tr>
      <w:tr w:rsidR="00EE1FDC" w:rsidRPr="00C61187" w:rsidTr="00E57394">
        <w:trPr>
          <w:cnfStyle w:val="000000010000" w:firstRow="0" w:lastRow="0" w:firstColumn="0" w:lastColumn="0" w:oddVBand="0" w:evenVBand="0" w:oddHBand="0" w:evenHBand="1" w:firstRowFirstColumn="0" w:firstRowLastColumn="0" w:lastRowFirstColumn="0" w:lastRowLastColumn="0"/>
        </w:trPr>
        <w:tc>
          <w:tcPr>
            <w:tcW w:w="6717" w:type="dxa"/>
          </w:tcPr>
          <w:p w:rsidR="00EE1FDC" w:rsidRPr="00D63783" w:rsidRDefault="00EE1FDC" w:rsidP="00EE1FDC">
            <w:pPr>
              <w:pStyle w:val="NormalIndented"/>
              <w:rPr>
                <w:sz w:val="16"/>
                <w:szCs w:val="16"/>
                <w:lang w:eastAsia="en-US"/>
              </w:rPr>
            </w:pPr>
            <w:r w:rsidRPr="00D63783">
              <w:rPr>
                <w:sz w:val="16"/>
                <w:szCs w:val="16"/>
                <w:lang w:eastAsia="en-US"/>
              </w:rPr>
              <w:t>Objective 2</w:t>
            </w:r>
            <w:r>
              <w:rPr>
                <w:sz w:val="16"/>
                <w:szCs w:val="16"/>
                <w:lang w:eastAsia="en-US"/>
              </w:rPr>
              <w:t xml:space="preserve">B: </w:t>
            </w:r>
            <w:r w:rsidRPr="00D63783">
              <w:rPr>
                <w:b/>
                <w:sz w:val="16"/>
                <w:szCs w:val="16"/>
                <w:lang w:eastAsia="en-US"/>
              </w:rPr>
              <w:t xml:space="preserve">Enabling economic growth </w:t>
            </w:r>
            <w:r>
              <w:rPr>
                <w:b/>
                <w:sz w:val="16"/>
                <w:szCs w:val="16"/>
                <w:lang w:eastAsia="en-US"/>
              </w:rPr>
              <w:t xml:space="preserve">- </w:t>
            </w:r>
            <w:r w:rsidRPr="00D63783">
              <w:rPr>
                <w:sz w:val="16"/>
                <w:szCs w:val="16"/>
                <w:lang w:eastAsia="en-US"/>
              </w:rPr>
              <w:t>More men and women are able to earn a cash-based income</w:t>
            </w:r>
          </w:p>
        </w:tc>
        <w:tc>
          <w:tcPr>
            <w:tcW w:w="1293" w:type="dxa"/>
            <w:shd w:val="clear" w:color="auto" w:fill="FF9933"/>
            <w:noWrap/>
          </w:tcPr>
          <w:p w:rsidR="00EE1FDC" w:rsidRPr="00BE6C6D" w:rsidRDefault="00EE1FDC" w:rsidP="00EE1FDC">
            <w:pPr>
              <w:pStyle w:val="NormalIndented"/>
              <w:rPr>
                <w:color w:val="FFFFFF" w:themeColor="background1"/>
                <w:sz w:val="16"/>
                <w:lang w:eastAsia="en-US"/>
              </w:rPr>
            </w:pPr>
            <w:r w:rsidRPr="00071F77">
              <w:rPr>
                <w:color w:val="FFFFFF" w:themeColor="background1"/>
                <w:sz w:val="14"/>
                <w:lang w:eastAsia="en-US"/>
              </w:rPr>
              <w:t>Amber</w:t>
            </w:r>
          </w:p>
        </w:tc>
        <w:tc>
          <w:tcPr>
            <w:tcW w:w="1235" w:type="dxa"/>
            <w:tcBorders>
              <w:bottom w:val="single" w:sz="4" w:space="0" w:color="auto"/>
            </w:tcBorders>
            <w:shd w:val="clear" w:color="auto" w:fill="FF9900"/>
            <w:noWrap/>
          </w:tcPr>
          <w:p w:rsidR="00EE1FDC" w:rsidRPr="00BE6C6D" w:rsidRDefault="00E57394" w:rsidP="00EE1FDC">
            <w:pPr>
              <w:pStyle w:val="NormalIndented"/>
              <w:rPr>
                <w:color w:val="FFFFFF" w:themeColor="background1"/>
                <w:sz w:val="16"/>
                <w:lang w:eastAsia="en-US"/>
              </w:rPr>
            </w:pPr>
            <w:r>
              <w:rPr>
                <w:color w:val="FFFFFF" w:themeColor="background1"/>
                <w:sz w:val="14"/>
                <w:lang w:eastAsia="en-US"/>
              </w:rPr>
              <w:t>Amber</w:t>
            </w:r>
          </w:p>
        </w:tc>
      </w:tr>
      <w:tr w:rsidR="00EE1FDC" w:rsidRPr="00C61187" w:rsidTr="00EE1FDC">
        <w:trPr>
          <w:cnfStyle w:val="000000010000" w:firstRow="0" w:lastRow="0" w:firstColumn="0" w:lastColumn="0" w:oddVBand="0" w:evenVBand="0" w:oddHBand="0" w:evenHBand="1" w:firstRowFirstColumn="0" w:firstRowLastColumn="0" w:lastRowFirstColumn="0" w:lastRowLastColumn="0"/>
        </w:trPr>
        <w:tc>
          <w:tcPr>
            <w:tcW w:w="6717" w:type="dxa"/>
          </w:tcPr>
          <w:p w:rsidR="00EE1FDC" w:rsidRPr="00D63783" w:rsidRDefault="00EE1FDC" w:rsidP="00EE1FDC">
            <w:pPr>
              <w:pStyle w:val="NormalIndented"/>
              <w:rPr>
                <w:sz w:val="16"/>
                <w:szCs w:val="16"/>
              </w:rPr>
            </w:pPr>
            <w:r w:rsidRPr="00D63783">
              <w:rPr>
                <w:sz w:val="16"/>
                <w:szCs w:val="16"/>
                <w:lang w:eastAsia="en-US"/>
              </w:rPr>
              <w:t xml:space="preserve">Objective 3: </w:t>
            </w:r>
            <w:r w:rsidRPr="00D63783">
              <w:rPr>
                <w:b/>
                <w:sz w:val="16"/>
                <w:szCs w:val="16"/>
                <w:lang w:eastAsia="en-US"/>
              </w:rPr>
              <w:t>Enhancing human development</w:t>
            </w:r>
            <w:r w:rsidRPr="00D63783">
              <w:rPr>
                <w:sz w:val="16"/>
                <w:szCs w:val="16"/>
                <w:lang w:eastAsia="en-US"/>
              </w:rPr>
              <w:t xml:space="preserve"> - More men, women, girls and boys benefit from quality health and basic and vocational education services</w:t>
            </w:r>
          </w:p>
        </w:tc>
        <w:tc>
          <w:tcPr>
            <w:tcW w:w="1293" w:type="dxa"/>
            <w:shd w:val="clear" w:color="auto" w:fill="7FB64D" w:themeFill="accent3" w:themeFillShade="BF"/>
            <w:noWrap/>
          </w:tcPr>
          <w:p w:rsidR="00EE1FDC" w:rsidRPr="00BE6C6D" w:rsidRDefault="00EE1FDC" w:rsidP="00EE1FDC">
            <w:pPr>
              <w:pStyle w:val="NormalIndented"/>
              <w:ind w:left="2"/>
              <w:jc w:val="center"/>
              <w:rPr>
                <w:sz w:val="16"/>
              </w:rPr>
            </w:pPr>
            <w:r w:rsidRPr="00071F77">
              <w:rPr>
                <w:color w:val="FFFFFF" w:themeColor="background1"/>
                <w:sz w:val="14"/>
                <w:lang w:eastAsia="en-US"/>
              </w:rPr>
              <w:t>Green</w:t>
            </w:r>
          </w:p>
        </w:tc>
        <w:tc>
          <w:tcPr>
            <w:tcW w:w="1235" w:type="dxa"/>
            <w:shd w:val="clear" w:color="auto" w:fill="7FB64D" w:themeFill="accent3" w:themeFillShade="BF"/>
            <w:noWrap/>
          </w:tcPr>
          <w:p w:rsidR="00EE1FDC" w:rsidRPr="00BE6C6D" w:rsidRDefault="00EE1FDC" w:rsidP="00EE1FDC">
            <w:pPr>
              <w:pStyle w:val="NormalIndented"/>
              <w:rPr>
                <w:color w:val="FFFFFF" w:themeColor="background1"/>
                <w:sz w:val="16"/>
              </w:rPr>
            </w:pPr>
            <w:r w:rsidRPr="00071F77">
              <w:rPr>
                <w:color w:val="FFFFFF" w:themeColor="background1"/>
                <w:sz w:val="14"/>
                <w:lang w:eastAsia="en-US"/>
              </w:rPr>
              <w:t>Green</w:t>
            </w:r>
          </w:p>
        </w:tc>
      </w:tr>
    </w:tbl>
    <w:p w:rsidR="002A51CA" w:rsidRPr="00BE6C6D" w:rsidRDefault="002A51CA" w:rsidP="00E41785">
      <w:pPr>
        <w:pStyle w:val="NormalIndented"/>
        <w:spacing w:before="60"/>
        <w:rPr>
          <w:sz w:val="16"/>
        </w:rPr>
      </w:pPr>
      <w:r w:rsidRPr="00BE6C6D">
        <w:rPr>
          <w:color w:val="72AF2F"/>
          <w:sz w:val="16"/>
        </w:rPr>
        <w:sym w:font="Webdings" w:char="F067"/>
      </w:r>
      <w:r w:rsidRPr="00BE6C6D">
        <w:rPr>
          <w:sz w:val="16"/>
        </w:rPr>
        <w:t> </w:t>
      </w:r>
      <w:r w:rsidRPr="00BE6C6D">
        <w:rPr>
          <w:sz w:val="16"/>
        </w:rPr>
        <w:t xml:space="preserve"> </w:t>
      </w:r>
      <w:r w:rsidRPr="00BE6C6D">
        <w:rPr>
          <w:b/>
          <w:sz w:val="16"/>
        </w:rPr>
        <w:t>Green</w:t>
      </w:r>
      <w:r w:rsidRPr="00BE6C6D">
        <w:rPr>
          <w:sz w:val="16"/>
        </w:rPr>
        <w:t>. Progress is as expected at this stage of implementation and it is likely that the objective will be achieved. Standard program management practices are sufficient.</w:t>
      </w:r>
    </w:p>
    <w:p w:rsidR="002A51CA" w:rsidRPr="00BE6C6D" w:rsidRDefault="002A51CA" w:rsidP="00E41785">
      <w:pPr>
        <w:pStyle w:val="NormalIndented"/>
        <w:spacing w:before="60"/>
        <w:rPr>
          <w:sz w:val="16"/>
        </w:rPr>
      </w:pPr>
      <w:r w:rsidRPr="00BE6C6D">
        <w:rPr>
          <w:color w:val="E36C0A"/>
          <w:sz w:val="16"/>
        </w:rPr>
        <w:sym w:font="Webdings" w:char="F067"/>
      </w:r>
      <w:r w:rsidRPr="00BE6C6D">
        <w:rPr>
          <w:sz w:val="16"/>
        </w:rPr>
        <w:t> </w:t>
      </w:r>
      <w:r w:rsidRPr="00BE6C6D">
        <w:rPr>
          <w:sz w:val="16"/>
        </w:rPr>
        <w:t xml:space="preserve"> </w:t>
      </w:r>
      <w:r w:rsidRPr="00BE6C6D">
        <w:rPr>
          <w:b/>
          <w:sz w:val="16"/>
        </w:rPr>
        <w:t>Amber</w:t>
      </w:r>
      <w:r w:rsidRPr="00BE6C6D">
        <w:rPr>
          <w:sz w:val="16"/>
        </w:rPr>
        <w:t>. Progress is somewhat less than expected at this stage of implementation and restorative action will be necessary if the objective is to be achieved. Close performance monitoring is recommended.</w:t>
      </w:r>
    </w:p>
    <w:p w:rsidR="002A51CA" w:rsidRDefault="002A51CA" w:rsidP="00E41785">
      <w:pPr>
        <w:pStyle w:val="NormalIndented"/>
        <w:spacing w:before="60"/>
        <w:rPr>
          <w:sz w:val="16"/>
        </w:rPr>
      </w:pPr>
      <w:r w:rsidRPr="00BE6C6D">
        <w:rPr>
          <w:color w:val="FF0000"/>
          <w:sz w:val="16"/>
        </w:rPr>
        <w:sym w:font="Webdings" w:char="F067"/>
      </w:r>
      <w:r w:rsidRPr="00BE6C6D">
        <w:rPr>
          <w:sz w:val="16"/>
        </w:rPr>
        <w:t> </w:t>
      </w:r>
      <w:r w:rsidRPr="00BE6C6D">
        <w:rPr>
          <w:sz w:val="16"/>
        </w:rPr>
        <w:t xml:space="preserve"> </w:t>
      </w:r>
      <w:r w:rsidRPr="00BE6C6D">
        <w:rPr>
          <w:b/>
          <w:sz w:val="16"/>
        </w:rPr>
        <w:t>Red.</w:t>
      </w:r>
      <w:r w:rsidRPr="00BE6C6D">
        <w:rPr>
          <w:sz w:val="16"/>
        </w:rPr>
        <w:t xml:space="preserve"> Progress is significantly less than expected at this stage of implementation and the objective is not likely to be met given available resources and priorities. Recasting the objective may be required.</w:t>
      </w:r>
    </w:p>
    <w:p w:rsidR="00B03164" w:rsidRDefault="00B03164" w:rsidP="00E41785">
      <w:pPr>
        <w:pStyle w:val="NormalIndented"/>
        <w:spacing w:before="60"/>
        <w:rPr>
          <w:sz w:val="16"/>
        </w:rPr>
      </w:pPr>
    </w:p>
    <w:p w:rsidR="002A51CA" w:rsidRDefault="00EE1FDC" w:rsidP="00EE1FDC">
      <w:pPr>
        <w:spacing w:before="20" w:after="20" w:line="180" w:lineRule="atLeast"/>
        <w:jc w:val="both"/>
        <w:rPr>
          <w:rFonts w:asciiTheme="majorHAnsi" w:eastAsiaTheme="majorEastAsia" w:hAnsiTheme="majorHAnsi" w:cstheme="majorBidi"/>
          <w:caps/>
          <w:sz w:val="38"/>
          <w:szCs w:val="26"/>
        </w:rPr>
      </w:pPr>
      <w:r>
        <w:rPr>
          <w:rFonts w:ascii="Franklin Gothic Book" w:eastAsia="Times New Roman" w:hAnsi="Franklin Gothic Book"/>
          <w:b/>
          <w:sz w:val="14"/>
          <w:szCs w:val="14"/>
        </w:rPr>
        <w:lastRenderedPageBreak/>
        <w:t xml:space="preserve"> </w:t>
      </w:r>
      <w:r>
        <w:rPr>
          <w:rFonts w:asciiTheme="majorHAnsi" w:eastAsiaTheme="majorEastAsia" w:hAnsiTheme="majorHAnsi" w:cstheme="majorBidi"/>
          <w:caps/>
          <w:sz w:val="38"/>
          <w:szCs w:val="26"/>
        </w:rPr>
        <w:t>Objective 1: Supporting Stability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09"/>
        <w:gridCol w:w="1911"/>
        <w:gridCol w:w="1911"/>
        <w:gridCol w:w="1891"/>
      </w:tblGrid>
      <w:tr w:rsidR="00CA7DD8" w:rsidTr="00CA7DD8">
        <w:tc>
          <w:tcPr>
            <w:tcW w:w="1925" w:type="dxa"/>
          </w:tcPr>
          <w:p w:rsidR="00CA7DD8" w:rsidRDefault="00CA7DD8" w:rsidP="00CA7DD8">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024AB20A" wp14:editId="069CEB93">
                  <wp:extent cx="1137600"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25" w:type="dxa"/>
          </w:tcPr>
          <w:p w:rsidR="00CA7DD8" w:rsidRDefault="00EE1FDC" w:rsidP="00EE1FDC">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071F77">
              <w:rPr>
                <w:noProof/>
                <w:sz w:val="20"/>
              </w:rPr>
              <w:drawing>
                <wp:inline distT="0" distB="0" distL="0" distR="0" wp14:anchorId="4D0613E3" wp14:editId="7D35BFBF">
                  <wp:extent cx="612000" cy="6120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26" w:type="dxa"/>
          </w:tcPr>
          <w:p w:rsidR="00CA7DD8" w:rsidRDefault="004A0C5E"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18B0CF72" wp14:editId="521314B1">
                  <wp:extent cx="609600" cy="609600"/>
                  <wp:effectExtent l="0" t="0" r="0" b="0"/>
                  <wp:docPr id="6" name="Picture 6"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1926" w:type="dxa"/>
          </w:tcPr>
          <w:p w:rsidR="00CA7DD8" w:rsidRDefault="004A0C5E"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sidRPr="00071F77">
              <w:rPr>
                <w:noProof/>
                <w:sz w:val="20"/>
              </w:rPr>
              <w:drawing>
                <wp:inline distT="0" distB="0" distL="0" distR="0" wp14:anchorId="747804E7" wp14:editId="3B611604">
                  <wp:extent cx="608400" cy="6120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1926" w:type="dxa"/>
          </w:tcPr>
          <w:p w:rsidR="00CA7DD8" w:rsidRDefault="00CA7DD8" w:rsidP="00CA7DD8">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p>
        </w:tc>
      </w:tr>
    </w:tbl>
    <w:p w:rsidR="00EE1FDC" w:rsidRPr="00C222E5" w:rsidRDefault="00EE1FDC" w:rsidP="00EE1FDC">
      <w:pPr>
        <w:rPr>
          <w:b/>
        </w:rPr>
      </w:pPr>
      <w:r w:rsidRPr="00C222E5">
        <w:rPr>
          <w:b/>
        </w:rPr>
        <w:t xml:space="preserve">Supporting stability: Solomon Islanders’ increasingly recognise and participate in a legitimate state, free from conflict and economically stable.  </w:t>
      </w:r>
      <w:r w:rsidRPr="00C222E5">
        <w:rPr>
          <w:rFonts w:eastAsia="Times New Roman"/>
          <w:i/>
        </w:rPr>
        <w:t xml:space="preserve">The progress towards this outcome is rated green as key outcome indicators were largely on track. </w:t>
      </w:r>
    </w:p>
    <w:p w:rsidR="00492576" w:rsidRDefault="00EE1FDC" w:rsidP="00D31C34">
      <w:pPr>
        <w:spacing w:after="120"/>
      </w:pPr>
      <w:r w:rsidRPr="00C222E5">
        <w:rPr>
          <w:b/>
        </w:rPr>
        <w:t>Solomon Islands maintain</w:t>
      </w:r>
      <w:r w:rsidR="00684C7E">
        <w:rPr>
          <w:b/>
        </w:rPr>
        <w:t>ed</w:t>
      </w:r>
      <w:r w:rsidRPr="00C222E5">
        <w:rPr>
          <w:b/>
        </w:rPr>
        <w:t xml:space="preserve"> stability and security in its first year after the end of RAMSI</w:t>
      </w:r>
      <w:r w:rsidRPr="00C222E5">
        <w:t>.  Solomon Islands continued its upward trend in the Fund for Peace’s 2018 Fragile States Index</w:t>
      </w:r>
      <w:r w:rsidRPr="00C222E5">
        <w:rPr>
          <w:rStyle w:val="FootnoteReference"/>
        </w:rPr>
        <w:footnoteReference w:id="9"/>
      </w:r>
      <w:r w:rsidRPr="00C222E5">
        <w:t>, with a slight strengthening of its score and final ranking</w:t>
      </w:r>
      <w:r w:rsidR="00EA6AF1">
        <w:t xml:space="preserve"> of</w:t>
      </w:r>
      <w:r w:rsidRPr="00C222E5">
        <w:t xml:space="preserve"> 56 in the index’s assessment of fragility in 178 countries</w:t>
      </w:r>
      <w:r w:rsidR="00EA6AF1">
        <w:t xml:space="preserve">.  </w:t>
      </w:r>
      <w:r w:rsidR="00E56990">
        <w:t xml:space="preserve">While Solomon Islands has been largely peaceful since the conflict ended in 2003, </w:t>
      </w:r>
      <w:r w:rsidR="00EA6AF1">
        <w:t xml:space="preserve">as </w:t>
      </w:r>
      <w:r w:rsidR="00B1185D">
        <w:t xml:space="preserve">expected </w:t>
      </w:r>
      <w:r w:rsidR="00EA6AF1">
        <w:t xml:space="preserve">at this stage of development, </w:t>
      </w:r>
      <w:r w:rsidR="00B1185D">
        <w:t>some areas of</w:t>
      </w:r>
      <w:r w:rsidR="00EA6AF1">
        <w:t xml:space="preserve"> </w:t>
      </w:r>
      <w:r w:rsidR="00B1185D">
        <w:t>fragility remain</w:t>
      </w:r>
      <w:r w:rsidR="00EA6AF1">
        <w:t>.</w:t>
      </w:r>
      <w:r w:rsidR="00B23923">
        <w:t xml:space="preserve">  </w:t>
      </w:r>
      <w:r w:rsidR="00D72F17">
        <w:t>Factors including u</w:t>
      </w:r>
      <w:r w:rsidR="00B23923" w:rsidRPr="007E7622">
        <w:t xml:space="preserve">neven </w:t>
      </w:r>
      <w:r w:rsidR="00D72F17">
        <w:t xml:space="preserve">development and </w:t>
      </w:r>
      <w:r w:rsidR="00B23923" w:rsidRPr="007E7622">
        <w:t>economic prospects,</w:t>
      </w:r>
      <w:r w:rsidR="00D72F17">
        <w:t xml:space="preserve"> land related-conflicts, and </w:t>
      </w:r>
      <w:r w:rsidR="00B23923" w:rsidRPr="007E7622">
        <w:t>the challenge of providing public services to a widely scattered population</w:t>
      </w:r>
      <w:r w:rsidR="00D72F17">
        <w:t xml:space="preserve"> can contribute to fragility</w:t>
      </w:r>
      <w:r w:rsidR="00B23923" w:rsidRPr="007E7622">
        <w:t>.</w:t>
      </w:r>
      <w:r w:rsidR="00D72F17">
        <w:t xml:space="preserve">  I</w:t>
      </w:r>
      <w:r w:rsidR="00EA6AF1">
        <w:t>n this conte</w:t>
      </w:r>
      <w:r w:rsidR="008B3E55">
        <w:t xml:space="preserve">xt, work under other AIP objectives </w:t>
      </w:r>
      <w:r w:rsidR="00EA6AF1">
        <w:t xml:space="preserve">- including contributions to the nation-wide improvement of health and education outcomes, </w:t>
      </w:r>
      <w:r w:rsidR="00E56990">
        <w:t>and</w:t>
      </w:r>
      <w:r w:rsidR="00EA6AF1">
        <w:t xml:space="preserve"> efforts to unlock broad based growth – are essential to supporting stability. </w:t>
      </w:r>
    </w:p>
    <w:p w:rsidR="00492576" w:rsidRPr="00C222E5" w:rsidRDefault="00492576" w:rsidP="00492576">
      <w:pPr>
        <w:spacing w:after="120"/>
        <w:rPr>
          <w:rFonts w:eastAsia="Times New Roman"/>
        </w:rPr>
      </w:pPr>
      <w:r w:rsidRPr="00C222E5">
        <w:rPr>
          <w:b/>
        </w:rPr>
        <w:t>Peace, justice and security are important foundations for Solomon Islands’ stability</w:t>
      </w:r>
      <w:r w:rsidRPr="00C222E5">
        <w:t>, as they allow society and the economy to function, and communities to live witho</w:t>
      </w:r>
      <w:r w:rsidR="00D72F17">
        <w:t xml:space="preserve">ut </w:t>
      </w:r>
      <w:r w:rsidR="008B3E55">
        <w:t>fear</w:t>
      </w:r>
      <w:r w:rsidR="00D72F17">
        <w:t xml:space="preserve"> of large-scale conflict</w:t>
      </w:r>
      <w:r w:rsidRPr="00C222E5">
        <w:t xml:space="preserve">.  </w:t>
      </w:r>
      <w:r w:rsidRPr="00C222E5">
        <w:rPr>
          <w:rFonts w:eastAsia="Times New Roman"/>
        </w:rPr>
        <w:t xml:space="preserve">2017-18 represented a </w:t>
      </w:r>
      <w:r>
        <w:rPr>
          <w:rFonts w:eastAsia="Times New Roman"/>
        </w:rPr>
        <w:t>notable</w:t>
      </w:r>
      <w:r w:rsidRPr="00C222E5">
        <w:rPr>
          <w:rFonts w:eastAsia="Times New Roman"/>
        </w:rPr>
        <w:t xml:space="preserve"> change in Australia and Solomon Islands’ cooperation in the sector</w:t>
      </w:r>
      <w:r>
        <w:rPr>
          <w:rFonts w:eastAsia="Times New Roman"/>
        </w:rPr>
        <w:t>,</w:t>
      </w:r>
      <w:r w:rsidRPr="00C222E5">
        <w:rPr>
          <w:rFonts w:eastAsia="Times New Roman"/>
        </w:rPr>
        <w:t xml:space="preserve"> with the start of new programs supporting justice, governance and policing.   All three programs work towards </w:t>
      </w:r>
      <w:r>
        <w:rPr>
          <w:rFonts w:eastAsia="Times New Roman"/>
        </w:rPr>
        <w:t xml:space="preserve">a </w:t>
      </w:r>
      <w:r w:rsidRPr="00C222E5">
        <w:rPr>
          <w:rFonts w:eastAsia="Times New Roman"/>
        </w:rPr>
        <w:t>common goal, support</w:t>
      </w:r>
      <w:r>
        <w:rPr>
          <w:rFonts w:eastAsia="Times New Roman"/>
        </w:rPr>
        <w:t>ing</w:t>
      </w:r>
      <w:r w:rsidRPr="00C222E5">
        <w:rPr>
          <w:rFonts w:eastAsia="Times New Roman"/>
        </w:rPr>
        <w:t xml:space="preserve"> Solomon Islands</w:t>
      </w:r>
      <w:r>
        <w:rPr>
          <w:rFonts w:eastAsia="Times New Roman"/>
        </w:rPr>
        <w:t>’</w:t>
      </w:r>
      <w:r w:rsidRPr="00C222E5">
        <w:rPr>
          <w:rFonts w:eastAsia="Times New Roman"/>
        </w:rPr>
        <w:t xml:space="preserve"> long-term efforts to rebuild key state institutions.</w:t>
      </w:r>
    </w:p>
    <w:p w:rsidR="00EE1FDC" w:rsidRPr="00C222E5" w:rsidRDefault="00EE1FDC" w:rsidP="00EE1FDC">
      <w:pPr>
        <w:spacing w:after="120"/>
      </w:pPr>
      <w:r w:rsidRPr="00870455">
        <w:rPr>
          <w:b/>
        </w:rPr>
        <w:t xml:space="preserve">A key pillar of stability is a professional police force. </w:t>
      </w:r>
      <w:r w:rsidRPr="00870455">
        <w:t xml:space="preserve">The </w:t>
      </w:r>
      <w:r w:rsidR="004401D2">
        <w:t>Australian Federal Police</w:t>
      </w:r>
      <w:r w:rsidR="008B3E55">
        <w:t xml:space="preserve"> (AFP)</w:t>
      </w:r>
      <w:r w:rsidRPr="00870455">
        <w:t xml:space="preserve">-led Solomon Islands Police Development Program (SIPDP) focused on </w:t>
      </w:r>
      <w:r w:rsidR="004A0C5E">
        <w:t xml:space="preserve">building </w:t>
      </w:r>
      <w:r w:rsidRPr="00870455">
        <w:rPr>
          <w:rFonts w:eastAsia="Calibri"/>
        </w:rPr>
        <w:t xml:space="preserve">Royal Solomon Islands Police Force (RSIPF) capacity with a </w:t>
      </w:r>
      <w:r w:rsidRPr="007E7622">
        <w:t xml:space="preserve">view to foster a more responsive and community oriented police force. </w:t>
      </w:r>
      <w:r w:rsidR="007E7622" w:rsidRPr="007E7622">
        <w:t xml:space="preserve"> Support has focused on building the governance and accountability systems within the RSIPF, along with several policing capabilities.</w:t>
      </w:r>
      <w:r w:rsidR="007E7622">
        <w:rPr>
          <w:rFonts w:ascii="Verdana" w:hAnsi="Verdana"/>
          <w:color w:val="1F497D"/>
          <w:sz w:val="20"/>
          <w:szCs w:val="20"/>
        </w:rPr>
        <w:t xml:space="preserve"> </w:t>
      </w:r>
      <w:r w:rsidRPr="00870455">
        <w:rPr>
          <w:rFonts w:eastAsia="Calibri"/>
        </w:rPr>
        <w:t xml:space="preserve"> Up to 44 AFP advisers mentor</w:t>
      </w:r>
      <w:r w:rsidR="004401D2">
        <w:rPr>
          <w:rFonts w:eastAsia="Calibri"/>
        </w:rPr>
        <w:t>ed</w:t>
      </w:r>
      <w:r w:rsidRPr="00870455">
        <w:rPr>
          <w:rFonts w:eastAsia="Calibri"/>
        </w:rPr>
        <w:t>, train</w:t>
      </w:r>
      <w:r w:rsidR="004401D2">
        <w:rPr>
          <w:rFonts w:eastAsia="Calibri"/>
        </w:rPr>
        <w:t>ed</w:t>
      </w:r>
      <w:r w:rsidRPr="00870455">
        <w:rPr>
          <w:rFonts w:eastAsia="Calibri"/>
        </w:rPr>
        <w:t xml:space="preserve"> and advised the RSIPF in 2017-18.</w:t>
      </w:r>
      <w:r w:rsidRPr="00C222E5">
        <w:t xml:space="preserve">   </w:t>
      </w:r>
    </w:p>
    <w:p w:rsidR="00EA5A95" w:rsidRDefault="00EE1FDC">
      <w:pPr>
        <w:spacing w:after="120"/>
      </w:pPr>
      <w:r w:rsidRPr="00C222E5">
        <w:rPr>
          <w:b/>
        </w:rPr>
        <w:t xml:space="preserve">Australia </w:t>
      </w:r>
      <w:r w:rsidR="00407C28">
        <w:rPr>
          <w:b/>
        </w:rPr>
        <w:t>continued working with</w:t>
      </w:r>
      <w:r w:rsidRPr="00C222E5">
        <w:rPr>
          <w:b/>
        </w:rPr>
        <w:t xml:space="preserve"> Solomon Islands </w:t>
      </w:r>
      <w:r w:rsidR="00407C28">
        <w:rPr>
          <w:b/>
        </w:rPr>
        <w:t>to increase</w:t>
      </w:r>
      <w:r w:rsidR="00407C28" w:rsidRPr="00C222E5">
        <w:rPr>
          <w:b/>
        </w:rPr>
        <w:t xml:space="preserve"> </w:t>
      </w:r>
      <w:r w:rsidRPr="00C222E5">
        <w:rPr>
          <w:b/>
        </w:rPr>
        <w:t>the reach and effectiveness of justice sector institutions</w:t>
      </w:r>
      <w:r w:rsidRPr="00C222E5">
        <w:t xml:space="preserve">.  </w:t>
      </w:r>
      <w:r w:rsidR="008B3E55">
        <w:t>A</w:t>
      </w:r>
      <w:r w:rsidRPr="00C222E5">
        <w:t xml:space="preserve"> functioning justice sector</w:t>
      </w:r>
      <w:r w:rsidR="008B3E55">
        <w:t xml:space="preserve"> helps</w:t>
      </w:r>
      <w:r w:rsidRPr="00C222E5">
        <w:t xml:space="preserve"> to ensure that disputes can be resolved without escalati</w:t>
      </w:r>
      <w:r w:rsidR="00E56990">
        <w:t>on</w:t>
      </w:r>
      <w:r w:rsidRPr="00C222E5">
        <w:t>, and provid</w:t>
      </w:r>
      <w:r w:rsidR="00856806">
        <w:t>e</w:t>
      </w:r>
      <w:r w:rsidR="004A0C5E">
        <w:t>s</w:t>
      </w:r>
      <w:r w:rsidRPr="00C222E5">
        <w:t xml:space="preserve"> confidence </w:t>
      </w:r>
      <w:r w:rsidR="00B1185D">
        <w:t>to</w:t>
      </w:r>
      <w:r w:rsidR="00B1185D" w:rsidRPr="00C222E5">
        <w:t xml:space="preserve"> </w:t>
      </w:r>
      <w:r w:rsidRPr="00C222E5">
        <w:t>business</w:t>
      </w:r>
      <w:r w:rsidR="00B1185D">
        <w:t>es</w:t>
      </w:r>
      <w:r w:rsidRPr="00C222E5">
        <w:t xml:space="preserve"> that</w:t>
      </w:r>
      <w:r>
        <w:t xml:space="preserve"> disputes can be resolved in a fair</w:t>
      </w:r>
      <w:r w:rsidR="00E56990">
        <w:t xml:space="preserve"> and </w:t>
      </w:r>
      <w:r>
        <w:t xml:space="preserve">predictable way.  Needs in Solomon Islands are great and access to justice, particularly outside Honiara, remains a challenge. </w:t>
      </w:r>
      <w:r w:rsidR="008B3E55">
        <w:t xml:space="preserve">  </w:t>
      </w:r>
      <w:r w:rsidR="002728B9">
        <w:t>Reform-minded leadership, including the Solomon Islands first female Chief Magistrate, enabled good progress.</w:t>
      </w:r>
      <w:r w:rsidR="00EA5A95">
        <w:t xml:space="preserve"> The Magistrates’ Court process</w:t>
      </w:r>
      <w:r w:rsidR="004A0C5E">
        <w:t>ed</w:t>
      </w:r>
      <w:r w:rsidR="00EA5A95">
        <w:t xml:space="preserve"> cases efficiently</w:t>
      </w:r>
      <w:r w:rsidR="004A0C5E">
        <w:t>, with</w:t>
      </w:r>
      <w:r w:rsidR="00EA5A95">
        <w:t xml:space="preserve"> the </w:t>
      </w:r>
      <w:r w:rsidR="00EA5A95" w:rsidRPr="00362715">
        <w:t>disposal of 885 criminal cases</w:t>
      </w:r>
      <w:r w:rsidR="004A0C5E">
        <w:t xml:space="preserve"> </w:t>
      </w:r>
      <w:r w:rsidR="00340F6F">
        <w:t xml:space="preserve">exceeding </w:t>
      </w:r>
      <w:r w:rsidR="004A0C5E">
        <w:t xml:space="preserve">the </w:t>
      </w:r>
      <w:r w:rsidR="00340F6F">
        <w:t xml:space="preserve">AIP </w:t>
      </w:r>
      <w:r w:rsidR="00EA5A95" w:rsidRPr="00362715">
        <w:t xml:space="preserve">target </w:t>
      </w:r>
      <w:r w:rsidR="00340F6F">
        <w:t xml:space="preserve">of </w:t>
      </w:r>
      <w:r w:rsidR="00EA5A95" w:rsidRPr="00362715">
        <w:t>650 and</w:t>
      </w:r>
      <w:r w:rsidR="004A0C5E">
        <w:t xml:space="preserve"> the</w:t>
      </w:r>
      <w:r w:rsidR="00EA5A95" w:rsidRPr="00362715">
        <w:t xml:space="preserve"> completion of 12 Provincial Court circuits (target 20)</w:t>
      </w:r>
      <w:r w:rsidR="00EA5A95">
        <w:t xml:space="preserve">.  While the target for Provincial Court circuits was not </w:t>
      </w:r>
      <w:r w:rsidR="002728B9">
        <w:t>met</w:t>
      </w:r>
      <w:r w:rsidR="00EA5A95">
        <w:t xml:space="preserve">, work is on track to meet targets in the coming year.  </w:t>
      </w:r>
      <w:r w:rsidR="00EA5A95" w:rsidRPr="00C222E5">
        <w:t xml:space="preserve">Australia’s </w:t>
      </w:r>
      <w:r w:rsidR="00EA5A95">
        <w:t xml:space="preserve">justice program </w:t>
      </w:r>
      <w:r w:rsidR="00EA5A95" w:rsidRPr="00C222E5">
        <w:t xml:space="preserve">delivered training for 934 </w:t>
      </w:r>
      <w:r w:rsidR="00EA5A95">
        <w:t>police</w:t>
      </w:r>
      <w:r w:rsidR="00EA5A95" w:rsidRPr="00C222E5">
        <w:t xml:space="preserve"> and justice officials (</w:t>
      </w:r>
      <w:r w:rsidR="00340F6F">
        <w:t xml:space="preserve">exceeding AIP </w:t>
      </w:r>
      <w:r w:rsidR="00EA5A95" w:rsidRPr="00C222E5">
        <w:t xml:space="preserve">target </w:t>
      </w:r>
      <w:r w:rsidR="00340F6F">
        <w:t xml:space="preserve">of </w:t>
      </w:r>
      <w:r w:rsidR="00EA5A95" w:rsidRPr="00C222E5">
        <w:t>800).</w:t>
      </w:r>
      <w:r w:rsidR="00EA5A95" w:rsidRPr="00C222E5">
        <w:rPr>
          <w:rFonts w:eastAsia="Times New Roman"/>
        </w:rPr>
        <w:t xml:space="preserve"> </w:t>
      </w:r>
      <w:r w:rsidR="00EA5A95">
        <w:t xml:space="preserve">The Justice Information Management System (JIMS) </w:t>
      </w:r>
      <w:r w:rsidR="004A0C5E">
        <w:t>was</w:t>
      </w:r>
      <w:r w:rsidR="00EA5A95">
        <w:t xml:space="preserve"> used to capture more data and improve efficiency. In 2017-18, </w:t>
      </w:r>
      <w:r w:rsidR="00407C28">
        <w:t xml:space="preserve">JIMS </w:t>
      </w:r>
      <w:r w:rsidR="00EA5A95">
        <w:t xml:space="preserve">was installed in Correctional Services Solomon Islands, and cases can now be tracked as they progress through the police, court and correctional systems.  </w:t>
      </w:r>
    </w:p>
    <w:p w:rsidR="002728B9" w:rsidRDefault="00EE1FDC" w:rsidP="00F90B9B">
      <w:pPr>
        <w:spacing w:after="120"/>
      </w:pPr>
      <w:r>
        <w:t xml:space="preserve"> </w:t>
      </w:r>
      <w:r w:rsidR="00EA5A95" w:rsidRPr="00C21E13">
        <w:rPr>
          <w:b/>
        </w:rPr>
        <w:t>Women in Solomon Islands face additional challenges in terms of accessing justice, with only 1.1 per cent of women who experience physical or sexual abuse by a partner report</w:t>
      </w:r>
      <w:r w:rsidR="00B23923">
        <w:rPr>
          <w:b/>
        </w:rPr>
        <w:t>ing</w:t>
      </w:r>
      <w:r w:rsidR="00EA5A95" w:rsidRPr="00C21E13">
        <w:rPr>
          <w:b/>
        </w:rPr>
        <w:t xml:space="preserve"> the incident to police</w:t>
      </w:r>
      <w:r w:rsidR="00EA5A95">
        <w:rPr>
          <w:rStyle w:val="FootnoteReference"/>
        </w:rPr>
        <w:footnoteReference w:id="10"/>
      </w:r>
      <w:r w:rsidR="00EA5A95">
        <w:t xml:space="preserve">.   In a difficult context, the program </w:t>
      </w:r>
      <w:r w:rsidR="0034068C">
        <w:t>supported</w:t>
      </w:r>
      <w:r w:rsidR="004A0C5E">
        <w:t xml:space="preserve"> </w:t>
      </w:r>
      <w:r w:rsidR="0034068C">
        <w:t xml:space="preserve">the </w:t>
      </w:r>
      <w:r w:rsidR="004A0C5E">
        <w:t>Solomon Islands Government</w:t>
      </w:r>
      <w:r w:rsidR="0034068C">
        <w:t>’s</w:t>
      </w:r>
      <w:r w:rsidR="004A0C5E">
        <w:t xml:space="preserve"> implementation of</w:t>
      </w:r>
      <w:r w:rsidR="00EA5A95">
        <w:t xml:space="preserve"> the </w:t>
      </w:r>
      <w:r w:rsidR="00EA5A95" w:rsidRPr="007E7622">
        <w:rPr>
          <w:i/>
        </w:rPr>
        <w:t>Family Protection Act</w:t>
      </w:r>
      <w:r w:rsidR="00B23923">
        <w:rPr>
          <w:i/>
        </w:rPr>
        <w:t xml:space="preserve"> 2014</w:t>
      </w:r>
      <w:r w:rsidR="00EA5A95" w:rsidRPr="007E7622">
        <w:rPr>
          <w:i/>
        </w:rPr>
        <w:t xml:space="preserve"> </w:t>
      </w:r>
      <w:r w:rsidR="00B23923">
        <w:t xml:space="preserve">(the Act), </w:t>
      </w:r>
      <w:r w:rsidR="00EA5A95">
        <w:t>which address</w:t>
      </w:r>
      <w:r w:rsidR="0034068C">
        <w:t>es</w:t>
      </w:r>
      <w:r w:rsidR="00EA5A95">
        <w:t xml:space="preserve"> violence against women and girls, </w:t>
      </w:r>
      <w:r w:rsidR="00F52772">
        <w:t xml:space="preserve">through </w:t>
      </w:r>
      <w:r w:rsidR="00EA5A95">
        <w:t>support</w:t>
      </w:r>
      <w:r w:rsidR="00F52772">
        <w:t>ing</w:t>
      </w:r>
      <w:r w:rsidR="00EA5A95">
        <w:t xml:space="preserve"> greater reporting of family violence and effective treatment by the authorities. </w:t>
      </w:r>
      <w:r w:rsidR="00F52772">
        <w:t xml:space="preserve"> </w:t>
      </w:r>
      <w:r w:rsidR="00EA5A95">
        <w:t xml:space="preserve">Australia supported the development </w:t>
      </w:r>
      <w:r w:rsidR="00F52772">
        <w:t xml:space="preserve">and </w:t>
      </w:r>
      <w:r w:rsidR="00F52772">
        <w:lastRenderedPageBreak/>
        <w:t xml:space="preserve">implementation </w:t>
      </w:r>
      <w:r w:rsidR="00EA5A95">
        <w:t xml:space="preserve">of the </w:t>
      </w:r>
      <w:r w:rsidR="00EA5A95" w:rsidRPr="00D31C34">
        <w:t>Act</w:t>
      </w:r>
      <w:r w:rsidR="00F52772">
        <w:t xml:space="preserve"> by </w:t>
      </w:r>
      <w:r w:rsidR="00EA5A95">
        <w:t xml:space="preserve">coordinated support through the justice, police, </w:t>
      </w:r>
      <w:r w:rsidR="00EA5A95" w:rsidRPr="00917C69">
        <w:t>gender and health programs.  In 2017</w:t>
      </w:r>
      <w:r w:rsidR="00EA5A95">
        <w:t>,</w:t>
      </w:r>
      <w:r w:rsidR="00EA5A95" w:rsidRPr="00917C69">
        <w:t xml:space="preserve"> 26 Protection Orders were issued through the courts (down from 39 in 2016), </w:t>
      </w:r>
      <w:r w:rsidR="00EA5A95">
        <w:t xml:space="preserve">and </w:t>
      </w:r>
      <w:r w:rsidR="00EA5A95" w:rsidRPr="00917C69">
        <w:t>512</w:t>
      </w:r>
      <w:r w:rsidR="00EA5A95">
        <w:t xml:space="preserve"> police safety notices were issued (up from 246 in 2016).</w:t>
      </w:r>
      <w:r w:rsidR="00F52772">
        <w:t xml:space="preserve"> O</w:t>
      </w:r>
      <w:r w:rsidR="00EA5A95">
        <w:t xml:space="preserve">ur </w:t>
      </w:r>
      <w:r w:rsidR="00F52772">
        <w:t xml:space="preserve">assistance </w:t>
      </w:r>
      <w:r w:rsidR="00EA5A95">
        <w:t>included training Local Court Justices in two Provinces</w:t>
      </w:r>
      <w:r w:rsidR="00F52772">
        <w:t xml:space="preserve"> to ensure Local Court Justices commenced issuing interim protection orders.  </w:t>
      </w:r>
      <w:r w:rsidR="002728B9" w:rsidRPr="00F90B9B">
        <w:t xml:space="preserve">Australia </w:t>
      </w:r>
      <w:r w:rsidR="00F52772" w:rsidRPr="00F90B9B">
        <w:t xml:space="preserve">also </w:t>
      </w:r>
      <w:r w:rsidR="002728B9" w:rsidRPr="00F90B9B">
        <w:t xml:space="preserve">supported the ‘Seif Ples’ sexual assault and domestic violence clinic, which provides </w:t>
      </w:r>
      <w:r w:rsidR="00C80308" w:rsidRPr="00F90B9B">
        <w:t>health services, crisis accommodation and an advice hotline to women subject to</w:t>
      </w:r>
      <w:r w:rsidR="002728B9" w:rsidRPr="00F90B9B">
        <w:t xml:space="preserve"> domestic violence.</w:t>
      </w:r>
      <w:r w:rsidR="002728B9" w:rsidRPr="00B4341B">
        <w:t xml:space="preserve">  Seif Ples supported 400 women through calls to </w:t>
      </w:r>
      <w:r w:rsidR="005E7E09">
        <w:t>its</w:t>
      </w:r>
      <w:r w:rsidR="005E7E09" w:rsidRPr="00B4341B">
        <w:t xml:space="preserve"> </w:t>
      </w:r>
      <w:r w:rsidR="002728B9" w:rsidRPr="00B4341B">
        <w:t>hotline in 2017</w:t>
      </w:r>
      <w:r w:rsidR="00451F05">
        <w:t>.</w:t>
      </w:r>
    </w:p>
    <w:p w:rsidR="00F52772" w:rsidRDefault="00F52772" w:rsidP="00F52772">
      <w:pPr>
        <w:spacing w:after="120"/>
      </w:pPr>
      <w:r w:rsidRPr="00FE5DF7">
        <w:rPr>
          <w:b/>
        </w:rPr>
        <w:t>This year was an important early</w:t>
      </w:r>
      <w:r>
        <w:t xml:space="preserve"> </w:t>
      </w:r>
      <w:r w:rsidRPr="00362715">
        <w:rPr>
          <w:b/>
        </w:rPr>
        <w:t>test of the strength of Solomon Islands’ national justice institutions.</w:t>
      </w:r>
      <w:r>
        <w:t xml:space="preserve">  From a high of 97 advisors in Solomon Islands’ justice agencies during RAMSI, Australia is now supporting 13 advisors.  Support for key in line positions including the Chief Magistrate and Deputy Public Solicitor ended during the reporting period.  </w:t>
      </w:r>
      <w:r w:rsidRPr="00BD18F9">
        <w:t xml:space="preserve">In November 2017, </w:t>
      </w:r>
      <w:r>
        <w:t>Australian-funded</w:t>
      </w:r>
      <w:r w:rsidRPr="00BD18F9">
        <w:t xml:space="preserve"> l</w:t>
      </w:r>
      <w:r>
        <w:t xml:space="preserve">awyers ceased appearing in court, marking the </w:t>
      </w:r>
      <w:r w:rsidRPr="00BD18F9">
        <w:t xml:space="preserve">first time since 2005 that Australian funded lawyers </w:t>
      </w:r>
      <w:r>
        <w:t>were</w:t>
      </w:r>
      <w:r w:rsidRPr="00BD18F9">
        <w:t xml:space="preserve"> not running complex criminal trials</w:t>
      </w:r>
      <w:r>
        <w:t xml:space="preserve">.  Impacts of the ongoing drawdown of technical assistance will continue to be monitored. </w:t>
      </w:r>
    </w:p>
    <w:p w:rsidR="00F52772" w:rsidRPr="00FB07BA" w:rsidRDefault="00F52772" w:rsidP="00F52772">
      <w:pPr>
        <w:autoSpaceDE w:val="0"/>
        <w:autoSpaceDN w:val="0"/>
        <w:adjustRightInd w:val="0"/>
        <w:spacing w:afterLines="60" w:after="144" w:line="240" w:lineRule="auto"/>
      </w:pPr>
      <w:r w:rsidRPr="00D817E8">
        <w:rPr>
          <w:b/>
        </w:rPr>
        <w:t>The informal justice sector has deep cultural and historical roots</w:t>
      </w:r>
      <w:r>
        <w:rPr>
          <w:b/>
        </w:rPr>
        <w:t xml:space="preserve"> in Solomon Islands</w:t>
      </w:r>
      <w:r w:rsidRPr="00D817E8">
        <w:rPr>
          <w:b/>
        </w:rPr>
        <w:t xml:space="preserve"> and the settlement of disputes often occurs within the local community.</w:t>
      </w:r>
      <w:r>
        <w:t xml:space="preserve">  Through the World Bank, Australia helped to pilot a means of linking communities with formal and informal dispute resolution services.  </w:t>
      </w:r>
      <w:r w:rsidRPr="00D817E8">
        <w:t xml:space="preserve">Our support for the informal justice sector </w:t>
      </w:r>
      <w:r>
        <w:t>assisted</w:t>
      </w:r>
      <w:r w:rsidRPr="00D817E8">
        <w:t xml:space="preserve"> communities in 13 Wards</w:t>
      </w:r>
      <w:r>
        <w:t xml:space="preserve"> across </w:t>
      </w:r>
      <w:r w:rsidRPr="00917C69">
        <w:t>two</w:t>
      </w:r>
      <w:r>
        <w:t xml:space="preserve"> Provinces</w:t>
      </w:r>
      <w:r w:rsidRPr="00D817E8">
        <w:t xml:space="preserve"> resolve local disputes.</w:t>
      </w:r>
      <w:r>
        <w:t xml:space="preserve">  The program had a strong commitment to outcomes on gender equality.  It incorporated</w:t>
      </w:r>
      <w:r w:rsidRPr="007E7622">
        <w:t xml:space="preserve"> support arrangements for sur</w:t>
      </w:r>
      <w:r w:rsidRPr="00D31C34">
        <w:t xml:space="preserve">vivors of gender-based violence </w:t>
      </w:r>
      <w:r w:rsidRPr="007E7622">
        <w:t>and increas</w:t>
      </w:r>
      <w:r>
        <w:t>ed</w:t>
      </w:r>
      <w:r w:rsidRPr="007E7622">
        <w:t xml:space="preserve"> </w:t>
      </w:r>
      <w:r>
        <w:t xml:space="preserve">women’s </w:t>
      </w:r>
      <w:r w:rsidRPr="007E7622">
        <w:t>participation in conflict resolution.</w:t>
      </w:r>
      <w:r>
        <w:t xml:space="preserve">   The investment improved community grievance mechanisms for 77 per cent of citizens involved.  The project commenced work to expand to an additional two Provinces during the reporting period.  </w:t>
      </w:r>
    </w:p>
    <w:p w:rsidR="00697471" w:rsidRPr="00042992" w:rsidRDefault="00EE1FDC" w:rsidP="00697471">
      <w:pPr>
        <w:spacing w:after="120"/>
      </w:pPr>
      <w:r w:rsidRPr="00A32107">
        <w:rPr>
          <w:b/>
        </w:rPr>
        <w:t xml:space="preserve">Progress on </w:t>
      </w:r>
      <w:r w:rsidR="00697471">
        <w:rPr>
          <w:b/>
        </w:rPr>
        <w:t xml:space="preserve">support for </w:t>
      </w:r>
      <w:r w:rsidRPr="00A32107">
        <w:rPr>
          <w:b/>
        </w:rPr>
        <w:t xml:space="preserve">electoral reform </w:t>
      </w:r>
      <w:r>
        <w:rPr>
          <w:b/>
        </w:rPr>
        <w:t>was slower than expected</w:t>
      </w:r>
      <w:r>
        <w:t xml:space="preserve">.  </w:t>
      </w:r>
      <w:r w:rsidR="00697471">
        <w:rPr>
          <w:iCs/>
        </w:rPr>
        <w:t>T</w:t>
      </w:r>
      <w:r w:rsidR="00697471" w:rsidRPr="00871F83">
        <w:rPr>
          <w:iCs/>
        </w:rPr>
        <w:t>he Solomon Islands Electoral Commission</w:t>
      </w:r>
      <w:r w:rsidR="00697471">
        <w:rPr>
          <w:iCs/>
        </w:rPr>
        <w:t xml:space="preserve"> will</w:t>
      </w:r>
      <w:r w:rsidR="00697471" w:rsidRPr="00871F83">
        <w:rPr>
          <w:iCs/>
        </w:rPr>
        <w:t xml:space="preserve"> run national elections in early 2019, the first since RAMSI ended in July 2017</w:t>
      </w:r>
      <w:r w:rsidR="00697471">
        <w:rPr>
          <w:iCs/>
        </w:rPr>
        <w:t xml:space="preserve">.  </w:t>
      </w:r>
      <w:r w:rsidR="00697471">
        <w:t>Our support for a more sustainable and transparent</w:t>
      </w:r>
      <w:r w:rsidR="005C2979">
        <w:t xml:space="preserve"> electoral</w:t>
      </w:r>
      <w:r w:rsidR="00697471">
        <w:t xml:space="preserve"> system </w:t>
      </w:r>
      <w:r w:rsidR="005C2979">
        <w:t xml:space="preserve">was </w:t>
      </w:r>
      <w:r w:rsidR="00697471">
        <w:t>provided through UNDP, co-funded with the EU</w:t>
      </w:r>
      <w:r w:rsidR="005C2979">
        <w:t>, and technical advisors</w:t>
      </w:r>
      <w:r w:rsidR="00697471">
        <w:t xml:space="preserve">.  </w:t>
      </w:r>
      <w:r w:rsidR="00042992">
        <w:t>Australia also provid</w:t>
      </w:r>
      <w:r w:rsidR="005C2979">
        <w:t>ed</w:t>
      </w:r>
      <w:r w:rsidR="00042992">
        <w:t xml:space="preserve"> support through a twinning arrangement between the Australian and Solomon Islands Electoral Commissions.  Delays due to political changes and internal capacity gaps meant electoral and legal reforms were not realised as planned</w:t>
      </w:r>
      <w:r w:rsidR="00D31C34">
        <w:t>.  A</w:t>
      </w:r>
      <w:r w:rsidR="00042992">
        <w:t>s a result</w:t>
      </w:r>
      <w:r w:rsidR="00D31C34">
        <w:t>,</w:t>
      </w:r>
      <w:r w:rsidR="00042992">
        <w:t xml:space="preserve"> </w:t>
      </w:r>
      <w:r w:rsidR="005C2979">
        <w:t xml:space="preserve">some </w:t>
      </w:r>
      <w:r w:rsidR="00042992">
        <w:t xml:space="preserve">reforms to </w:t>
      </w:r>
      <w:r w:rsidR="00042992" w:rsidRPr="000A1530">
        <w:t>enhance</w:t>
      </w:r>
      <w:r w:rsidR="00042992">
        <w:t xml:space="preserve"> democratic governance in Solomon Islands have been postponed to after the 2019 election.  Delays in </w:t>
      </w:r>
      <w:r w:rsidR="005C2979">
        <w:t xml:space="preserve">national </w:t>
      </w:r>
      <w:r w:rsidR="00042992">
        <w:t xml:space="preserve">budget allocations </w:t>
      </w:r>
      <w:r w:rsidR="00451F05">
        <w:t>impacted on</w:t>
      </w:r>
      <w:r w:rsidR="005C2979">
        <w:t xml:space="preserve"> preparations</w:t>
      </w:r>
      <w:r w:rsidR="00042992">
        <w:t xml:space="preserve"> </w:t>
      </w:r>
      <w:r w:rsidR="00451F05">
        <w:t xml:space="preserve">for the </w:t>
      </w:r>
      <w:r w:rsidR="00042992">
        <w:t xml:space="preserve">upcoming election.  Strong remedial action has been taken, including funding the CEO of the </w:t>
      </w:r>
      <w:r w:rsidR="00D31C34">
        <w:t xml:space="preserve">Solomon Islands </w:t>
      </w:r>
      <w:r w:rsidR="00042992">
        <w:t xml:space="preserve">Electoral Commission.  This sector will be closely monitored in the lead up to the 2019 national elections.  </w:t>
      </w:r>
    </w:p>
    <w:p w:rsidR="00F8009A" w:rsidRDefault="00EA5A95" w:rsidP="00EA5A95">
      <w:pPr>
        <w:spacing w:after="120"/>
      </w:pPr>
      <w:r>
        <w:rPr>
          <w:b/>
        </w:rPr>
        <w:t>Australia support</w:t>
      </w:r>
      <w:r w:rsidR="005C2979">
        <w:rPr>
          <w:b/>
        </w:rPr>
        <w:t>ed</w:t>
      </w:r>
      <w:r>
        <w:rPr>
          <w:b/>
        </w:rPr>
        <w:t xml:space="preserve"> Solomon Islands to safeguard</w:t>
      </w:r>
      <w:r w:rsidRPr="00A32107">
        <w:rPr>
          <w:b/>
        </w:rPr>
        <w:t xml:space="preserve"> against corruption and </w:t>
      </w:r>
      <w:r>
        <w:rPr>
          <w:b/>
        </w:rPr>
        <w:t>deliver essential s</w:t>
      </w:r>
      <w:r w:rsidRPr="00A32107">
        <w:rPr>
          <w:b/>
        </w:rPr>
        <w:t>ervices</w:t>
      </w:r>
      <w:r>
        <w:t xml:space="preserve"> </w:t>
      </w:r>
      <w:r w:rsidRPr="007E7622">
        <w:rPr>
          <w:b/>
        </w:rPr>
        <w:t>through improved public financial management and public sector performance</w:t>
      </w:r>
      <w:r>
        <w:t xml:space="preserve">.  In the first year of implementation of the new Governance Program we saw positive progress on </w:t>
      </w:r>
      <w:r w:rsidR="00D31C34">
        <w:t>public financial management</w:t>
      </w:r>
      <w:r>
        <w:t xml:space="preserve"> (PFM), including through improved budget planning processes, quality of expenditure and development of regulations. Ongoing support was provided to Customs</w:t>
      </w:r>
      <w:r w:rsidR="00D31C34">
        <w:t xml:space="preserve">, </w:t>
      </w:r>
      <w:r>
        <w:t xml:space="preserve">which enabled </w:t>
      </w:r>
      <w:r w:rsidR="005C2979">
        <w:t>the collection of a</w:t>
      </w:r>
      <w:r>
        <w:t xml:space="preserve"> record breaking level of revenue </w:t>
      </w:r>
      <w:r w:rsidR="00D31C34">
        <w:t xml:space="preserve">of </w:t>
      </w:r>
      <w:r>
        <w:t>over SBD1 billion</w:t>
      </w:r>
      <w:r w:rsidR="004E222B" w:rsidRPr="004E222B">
        <w:t xml:space="preserve"> </w:t>
      </w:r>
      <w:r w:rsidR="004E222B">
        <w:t>in 2017</w:t>
      </w:r>
      <w:r>
        <w:t>. Support for the public sector increased efficiency and accountability through the roll out of the human resource management system, whole of government approach to ICT services, and strengthened procurement processes. In 2017</w:t>
      </w:r>
      <w:r w:rsidR="00D31C34">
        <w:t>,</w:t>
      </w:r>
      <w:r>
        <w:t xml:space="preserve"> Australia funded </w:t>
      </w:r>
      <w:r w:rsidRPr="00B62CC8">
        <w:t>35</w:t>
      </w:r>
      <w:r w:rsidR="004E222B" w:rsidRPr="00B62CC8">
        <w:t xml:space="preserve"> (</w:t>
      </w:r>
      <w:r w:rsidR="00B62CC8" w:rsidRPr="007E7622">
        <w:t>10</w:t>
      </w:r>
      <w:r w:rsidR="004E222B" w:rsidRPr="00B62CC8">
        <w:t xml:space="preserve"> </w:t>
      </w:r>
      <w:r w:rsidR="00451F05">
        <w:t>women</w:t>
      </w:r>
      <w:r w:rsidR="004E222B" w:rsidRPr="00B62CC8">
        <w:t>)</w:t>
      </w:r>
      <w:r>
        <w:t xml:space="preserve"> Solomon Islanders to earn a Certificate IV in Procurement and Contracting.  </w:t>
      </w:r>
      <w:r w:rsidR="00B8762E">
        <w:t xml:space="preserve"> Strengthening of SIG systems enable</w:t>
      </w:r>
      <w:r w:rsidR="005C2979">
        <w:t>d</w:t>
      </w:r>
      <w:r w:rsidR="00B8762E">
        <w:t xml:space="preserve"> Australia to channel 26 per cent of its annual funding allocation as budget support directly through Solomon Islands Government systems. </w:t>
      </w:r>
      <w:r w:rsidR="00B8762E" w:rsidRPr="007E7622">
        <w:t xml:space="preserve">However, the removal of several key advisers in early 2017 from the Ministry of Finance and Treasury </w:t>
      </w:r>
      <w:r w:rsidR="005E7E09">
        <w:t xml:space="preserve">(MoFT) </w:t>
      </w:r>
      <w:r w:rsidR="00B8762E" w:rsidRPr="007E7622">
        <w:t>and the absence of a substantive Accountant General resulted in delays in payment processing times and reporting on expenditure, which impacted the implementation of these programs (Health, Education and Transport). The Governance Program engaged regularly with MoFT on these issues, and a substantive Accountant General commenced in August 2018, which should</w:t>
      </w:r>
      <w:r w:rsidR="005C2979">
        <w:t xml:space="preserve"> support</w:t>
      </w:r>
      <w:r w:rsidR="00B8762E" w:rsidRPr="007E7622">
        <w:t xml:space="preserve"> improved performance in these areas</w:t>
      </w:r>
      <w:r w:rsidR="005E4216">
        <w:t>.</w:t>
      </w:r>
      <w:r w:rsidR="00A5188C">
        <w:t xml:space="preserve"> </w:t>
      </w:r>
      <w:r w:rsidR="005E4216">
        <w:t xml:space="preserve"> Solomon Islands </w:t>
      </w:r>
      <w:r w:rsidR="005C2979">
        <w:t>P</w:t>
      </w:r>
      <w:r w:rsidR="00A5188C">
        <w:t>arliament</w:t>
      </w:r>
      <w:r w:rsidR="005E4216">
        <w:t xml:space="preserve"> passed the </w:t>
      </w:r>
      <w:r w:rsidR="005E4216" w:rsidRPr="00A5188C">
        <w:rPr>
          <w:i/>
        </w:rPr>
        <w:t>Anti-Corruption Bill</w:t>
      </w:r>
      <w:r w:rsidR="00A5188C" w:rsidRPr="00A5188C">
        <w:rPr>
          <w:i/>
        </w:rPr>
        <w:t xml:space="preserve"> </w:t>
      </w:r>
      <w:r w:rsidR="00A5188C">
        <w:rPr>
          <w:i/>
        </w:rPr>
        <w:t xml:space="preserve">(ACB) </w:t>
      </w:r>
      <w:r w:rsidR="00A5188C" w:rsidRPr="00A5188C">
        <w:rPr>
          <w:i/>
        </w:rPr>
        <w:t>201</w:t>
      </w:r>
      <w:r w:rsidR="00A5188C">
        <w:rPr>
          <w:i/>
        </w:rPr>
        <w:t>7</w:t>
      </w:r>
      <w:r w:rsidR="00A5188C">
        <w:t xml:space="preserve"> in July 2018,</w:t>
      </w:r>
      <w:r w:rsidR="005E4216">
        <w:t xml:space="preserve"> just outside the reporting period. </w:t>
      </w:r>
      <w:r w:rsidR="00616313">
        <w:t xml:space="preserve">  </w:t>
      </w:r>
      <w:r w:rsidR="005E4216">
        <w:t xml:space="preserve">Australia provided </w:t>
      </w:r>
      <w:r w:rsidR="00A5188C">
        <w:t>assistance</w:t>
      </w:r>
      <w:r w:rsidR="005E4216">
        <w:t xml:space="preserve"> for the development of the Bill, including </w:t>
      </w:r>
      <w:r w:rsidR="00A5188C">
        <w:t>legislative drafting and legal policy support.</w:t>
      </w:r>
      <w:r w:rsidR="005E4216">
        <w:t xml:space="preserve"> </w:t>
      </w:r>
    </w:p>
    <w:p w:rsidR="00EA5A95" w:rsidRPr="00042992" w:rsidRDefault="00EA5A95" w:rsidP="007E7622">
      <w:pPr>
        <w:spacing w:after="120"/>
      </w:pPr>
      <w:r w:rsidRPr="00055F79">
        <w:rPr>
          <w:b/>
        </w:rPr>
        <w:lastRenderedPageBreak/>
        <w:t xml:space="preserve">Australia’s </w:t>
      </w:r>
      <w:r>
        <w:rPr>
          <w:b/>
        </w:rPr>
        <w:t>focus</w:t>
      </w:r>
      <w:r w:rsidRPr="00055F79">
        <w:rPr>
          <w:b/>
        </w:rPr>
        <w:t xml:space="preserve"> on working with civil society </w:t>
      </w:r>
      <w:r>
        <w:rPr>
          <w:b/>
        </w:rPr>
        <w:t xml:space="preserve">and non-government partners </w:t>
      </w:r>
      <w:r w:rsidRPr="00055F79">
        <w:rPr>
          <w:b/>
        </w:rPr>
        <w:t>is seeing progress.</w:t>
      </w:r>
      <w:r>
        <w:t xml:space="preserve">  The Governance Program </w:t>
      </w:r>
      <w:r w:rsidR="005C2979">
        <w:t>built</w:t>
      </w:r>
      <w:r>
        <w:t xml:space="preserve"> coalitions for reform and established successful partnerships with the Institute of Solomon Islands Accountants and Women in IT, building on the ongoing relationship with the Solomon Islands Chamber of Commerce and Industry.  Australia </w:t>
      </w:r>
      <w:r w:rsidRPr="00697471">
        <w:rPr>
          <w:iCs/>
        </w:rPr>
        <w:t>fund</w:t>
      </w:r>
      <w:r w:rsidR="005C2979">
        <w:rPr>
          <w:iCs/>
        </w:rPr>
        <w:t>ed</w:t>
      </w:r>
      <w:r w:rsidRPr="00697471">
        <w:rPr>
          <w:iCs/>
        </w:rPr>
        <w:t xml:space="preserve"> Transparency Solomon Islands, the country’s only dedicated </w:t>
      </w:r>
      <w:r w:rsidR="001C5872">
        <w:rPr>
          <w:iCs/>
        </w:rPr>
        <w:t xml:space="preserve">anti-corruption </w:t>
      </w:r>
      <w:r w:rsidR="00630BD3">
        <w:rPr>
          <w:iCs/>
        </w:rPr>
        <w:t>non-government organisation (NGO)</w:t>
      </w:r>
      <w:r w:rsidR="001C5872">
        <w:rPr>
          <w:iCs/>
        </w:rPr>
        <w:t>, and the Media Association of Solomon Islands, to build professionalism and accountability in the media sector</w:t>
      </w:r>
      <w:r w:rsidR="001C5872" w:rsidRPr="00042992">
        <w:rPr>
          <w:iCs/>
        </w:rPr>
        <w:t>.</w:t>
      </w:r>
    </w:p>
    <w:p w:rsidR="00042992" w:rsidRDefault="00EE1FDC" w:rsidP="00EE1FDC">
      <w:pPr>
        <w:rPr>
          <w:rFonts w:eastAsia="Calibri"/>
        </w:rPr>
      </w:pPr>
      <w:r w:rsidRPr="00042992">
        <w:rPr>
          <w:rFonts w:eastAsia="Calibri"/>
          <w:b/>
        </w:rPr>
        <w:t>Reform-minded leadership enabled genuine discussion between government and donors on economic policy priorities</w:t>
      </w:r>
      <w:r w:rsidRPr="00042992">
        <w:rPr>
          <w:rFonts w:eastAsia="Calibri"/>
        </w:rPr>
        <w:t>.  The Core Economic Working Group (CEWG), chaired by the Minist</w:t>
      </w:r>
      <w:r w:rsidR="00C8100A">
        <w:rPr>
          <w:rFonts w:eastAsia="Calibri"/>
        </w:rPr>
        <w:t>e</w:t>
      </w:r>
      <w:r w:rsidRPr="00042992">
        <w:rPr>
          <w:rFonts w:eastAsia="Calibri"/>
        </w:rPr>
        <w:t>r of Finance, was re-established in 2017</w:t>
      </w:r>
      <w:r w:rsidR="00F42867">
        <w:rPr>
          <w:rFonts w:eastAsia="Calibri"/>
        </w:rPr>
        <w:t>-18</w:t>
      </w:r>
      <w:r w:rsidRPr="00042992">
        <w:rPr>
          <w:rFonts w:eastAsia="Calibri"/>
        </w:rPr>
        <w:t xml:space="preserve"> following a long hiatus, marking a restart of policy dialogue between Solomon Islands Government and </w:t>
      </w:r>
      <w:r w:rsidR="00D31C34">
        <w:rPr>
          <w:rFonts w:eastAsia="Calibri"/>
        </w:rPr>
        <w:t>d</w:t>
      </w:r>
      <w:r w:rsidR="00EA5A95">
        <w:rPr>
          <w:rFonts w:eastAsia="Calibri"/>
        </w:rPr>
        <w:t>evelopment partners</w:t>
      </w:r>
      <w:r w:rsidRPr="00042992">
        <w:rPr>
          <w:rFonts w:eastAsia="Calibri"/>
        </w:rPr>
        <w:t xml:space="preserve">. </w:t>
      </w:r>
      <w:r w:rsidR="007F28D7">
        <w:rPr>
          <w:rFonts w:eastAsia="Calibri"/>
        </w:rPr>
        <w:t>T</w:t>
      </w:r>
      <w:r w:rsidRPr="00042992">
        <w:rPr>
          <w:rFonts w:eastAsia="Calibri"/>
        </w:rPr>
        <w:t>he reinvigoration of this group represented a significant improvement in the quality of economic</w:t>
      </w:r>
      <w:r w:rsidR="00EA5A95">
        <w:rPr>
          <w:rFonts w:eastAsia="Calibri"/>
        </w:rPr>
        <w:t>, monetary and fiscal</w:t>
      </w:r>
      <w:r w:rsidRPr="00042992">
        <w:rPr>
          <w:rFonts w:eastAsia="Calibri"/>
        </w:rPr>
        <w:t xml:space="preserve"> policy dialogue.  </w:t>
      </w:r>
      <w:r w:rsidR="0059790A">
        <w:rPr>
          <w:rFonts w:eastAsia="Calibri"/>
        </w:rPr>
        <w:t>Policy reforms were agreed in April 2018, with good progress made in the following months</w:t>
      </w:r>
      <w:r w:rsidR="00F42867">
        <w:rPr>
          <w:rFonts w:eastAsia="Calibri"/>
        </w:rPr>
        <w:t xml:space="preserve"> (</w:t>
      </w:r>
      <w:r w:rsidR="00340F6F">
        <w:rPr>
          <w:rFonts w:eastAsia="Calibri"/>
        </w:rPr>
        <w:t xml:space="preserve">AIP </w:t>
      </w:r>
      <w:r w:rsidR="00652C86">
        <w:rPr>
          <w:rFonts w:eastAsia="Calibri"/>
        </w:rPr>
        <w:t>target</w:t>
      </w:r>
      <w:r w:rsidR="00340F6F">
        <w:rPr>
          <w:rFonts w:eastAsia="Calibri"/>
        </w:rPr>
        <w:t xml:space="preserve"> for implementation of 50% of CEWG reforms)</w:t>
      </w:r>
      <w:r w:rsidR="007F28D7">
        <w:rPr>
          <w:rFonts w:eastAsia="Calibri"/>
        </w:rPr>
        <w:t>.</w:t>
      </w:r>
      <w:r w:rsidR="0059790A">
        <w:rPr>
          <w:rFonts w:eastAsia="Calibri"/>
        </w:rPr>
        <w:t xml:space="preserve">  </w:t>
      </w:r>
    </w:p>
    <w:p w:rsidR="00EE1FDC" w:rsidRDefault="00042992" w:rsidP="00042992">
      <w:pPr>
        <w:spacing w:after="120" w:line="260" w:lineRule="atLeast"/>
        <w:rPr>
          <w:rFonts w:eastAsia="Calibri"/>
        </w:rPr>
      </w:pPr>
      <w:r w:rsidRPr="00042992">
        <w:rPr>
          <w:b/>
        </w:rPr>
        <w:t>Engagement on economic policy reform exceeded expectations</w:t>
      </w:r>
      <w:r w:rsidRPr="00042992">
        <w:t>.  Advisory support to the Economic Reform Unit provid</w:t>
      </w:r>
      <w:r w:rsidR="005C2979">
        <w:t>ed</w:t>
      </w:r>
      <w:r w:rsidRPr="00042992">
        <w:t xml:space="preserve"> analysis and advice to support fiscally responsible and transparent budgeting.  </w:t>
      </w:r>
      <w:r w:rsidR="00D31C34">
        <w:t>The Solomon Islands Government</w:t>
      </w:r>
      <w:r w:rsidR="00D31C34" w:rsidRPr="00042992">
        <w:t xml:space="preserve"> </w:t>
      </w:r>
      <w:r w:rsidRPr="00042992">
        <w:t>delivered a fiscally responsible budget and strong performance on revenue estimates.  There were</w:t>
      </w:r>
      <w:r w:rsidR="005C2979">
        <w:t>,</w:t>
      </w:r>
      <w:r w:rsidRPr="00042992">
        <w:t xml:space="preserve"> however, issues with </w:t>
      </w:r>
      <w:r w:rsidR="00EA5A95">
        <w:t>cash flow</w:t>
      </w:r>
      <w:r w:rsidRPr="00042992">
        <w:t xml:space="preserve"> at end of 2017 budget cycle, resulting in unpaid contracts impacting </w:t>
      </w:r>
      <w:r>
        <w:t>on the business environment</w:t>
      </w:r>
      <w:r w:rsidR="00D31C34">
        <w:t>.  A</w:t>
      </w:r>
      <w:r>
        <w:t xml:space="preserve"> </w:t>
      </w:r>
      <w:r w:rsidR="00EE1FDC" w:rsidRPr="00042992">
        <w:rPr>
          <w:rFonts w:eastAsia="Calibri"/>
        </w:rPr>
        <w:t xml:space="preserve">reduction in the number of advisors in the Economic Reform Unit in </w:t>
      </w:r>
      <w:r>
        <w:rPr>
          <w:rFonts w:eastAsia="Calibri"/>
        </w:rPr>
        <w:t xml:space="preserve">the previous period </w:t>
      </w:r>
      <w:r w:rsidR="00EE1FDC" w:rsidRPr="00042992">
        <w:rPr>
          <w:rFonts w:eastAsia="Calibri"/>
        </w:rPr>
        <w:t>impacted our ability to engage on revenue and taxation.</w:t>
      </w:r>
      <w:r w:rsidR="00EE1FDC">
        <w:rPr>
          <w:rFonts w:eastAsia="Calibri"/>
        </w:rPr>
        <w:t xml:space="preserve">  </w:t>
      </w:r>
    </w:p>
    <w:p w:rsidR="00D3579B" w:rsidRDefault="00D3579B" w:rsidP="00D3579B">
      <w:pPr>
        <w:spacing w:before="20" w:after="20" w:line="180" w:lineRule="atLeast"/>
        <w:jc w:val="both"/>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Objective 2A: more attractive business environment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288"/>
        <w:gridCol w:w="1290"/>
        <w:gridCol w:w="1290"/>
        <w:gridCol w:w="1288"/>
        <w:gridCol w:w="1176"/>
        <w:gridCol w:w="1290"/>
      </w:tblGrid>
      <w:tr w:rsidR="00D3579B" w:rsidTr="00BE2227">
        <w:tc>
          <w:tcPr>
            <w:tcW w:w="2016" w:type="dxa"/>
            <w:vAlign w:val="center"/>
          </w:tcPr>
          <w:p w:rsidR="00D3579B" w:rsidRDefault="00D3579B" w:rsidP="00BE2227">
            <w:pPr>
              <w:spacing w:before="20" w:after="20" w:line="180" w:lineRule="atLeast"/>
              <w:jc w:val="center"/>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23D5E563" wp14:editId="5FCDCB13">
                  <wp:extent cx="1137600" cy="720000"/>
                  <wp:effectExtent l="0" t="0" r="5715" b="444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349" w:type="dxa"/>
            <w:vAlign w:val="center"/>
          </w:tcPr>
          <w:p w:rsidR="00D3579B" w:rsidRDefault="00D3579B" w:rsidP="00BE2227">
            <w:pPr>
              <w:spacing w:before="20" w:after="20" w:line="180" w:lineRule="atLeast"/>
              <w:jc w:val="center"/>
              <w:rPr>
                <w:rFonts w:asciiTheme="majorHAnsi" w:eastAsiaTheme="majorEastAsia" w:hAnsiTheme="majorHAnsi" w:cstheme="majorBidi"/>
                <w:caps/>
                <w:sz w:val="38"/>
                <w:szCs w:val="26"/>
              </w:rPr>
            </w:pPr>
            <w:r>
              <w:rPr>
                <w:noProof/>
                <w:lang w:val="en-AU" w:eastAsia="en-AU"/>
              </w:rPr>
              <w:drawing>
                <wp:inline distT="0" distB="0" distL="0" distR="0" wp14:anchorId="74F47602" wp14:editId="61603052">
                  <wp:extent cx="612000" cy="6120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51" w:type="dxa"/>
            <w:vAlign w:val="center"/>
          </w:tcPr>
          <w:p w:rsidR="00D3579B" w:rsidRDefault="00D3579B" w:rsidP="00BE2227">
            <w:pPr>
              <w:spacing w:before="20" w:after="20" w:line="180" w:lineRule="atLeast"/>
              <w:jc w:val="center"/>
              <w:rPr>
                <w:rFonts w:asciiTheme="majorHAnsi" w:eastAsiaTheme="majorEastAsia" w:hAnsiTheme="majorHAnsi" w:cstheme="majorBidi"/>
                <w:caps/>
                <w:sz w:val="38"/>
                <w:szCs w:val="26"/>
              </w:rPr>
            </w:pPr>
            <w:r>
              <w:rPr>
                <w:noProof/>
                <w:lang w:val="en-AU" w:eastAsia="en-AU"/>
              </w:rPr>
              <w:drawing>
                <wp:inline distT="0" distB="0" distL="0" distR="0" wp14:anchorId="422AB4E5" wp14:editId="7B6A9FBC">
                  <wp:extent cx="612000" cy="6120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51" w:type="dxa"/>
            <w:vAlign w:val="center"/>
          </w:tcPr>
          <w:p w:rsidR="00D3579B" w:rsidRDefault="00D3579B" w:rsidP="00BE2227">
            <w:pPr>
              <w:spacing w:before="20" w:after="20" w:line="180" w:lineRule="atLeast"/>
              <w:jc w:val="center"/>
              <w:rPr>
                <w:rFonts w:asciiTheme="majorHAnsi" w:eastAsiaTheme="majorEastAsia" w:hAnsiTheme="majorHAnsi" w:cstheme="majorBidi"/>
                <w:caps/>
                <w:sz w:val="38"/>
                <w:szCs w:val="26"/>
              </w:rPr>
            </w:pPr>
            <w:r>
              <w:rPr>
                <w:noProof/>
                <w:lang w:val="en-AU" w:eastAsia="en-AU"/>
              </w:rPr>
              <w:drawing>
                <wp:inline distT="0" distB="0" distL="0" distR="0" wp14:anchorId="447EFABD" wp14:editId="5665FFD9">
                  <wp:extent cx="612000" cy="6120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349" w:type="dxa"/>
            <w:vAlign w:val="center"/>
          </w:tcPr>
          <w:p w:rsidR="00D3579B" w:rsidRDefault="00D3579B" w:rsidP="00BE2227">
            <w:pPr>
              <w:spacing w:before="20" w:after="20" w:line="180" w:lineRule="atLeast"/>
              <w:jc w:val="center"/>
              <w:rPr>
                <w:rFonts w:asciiTheme="majorHAnsi" w:eastAsiaTheme="majorEastAsia" w:hAnsiTheme="majorHAnsi" w:cstheme="majorBidi"/>
                <w:caps/>
                <w:sz w:val="38"/>
                <w:szCs w:val="26"/>
              </w:rPr>
            </w:pPr>
            <w:r>
              <w:rPr>
                <w:noProof/>
                <w:lang w:val="en-AU" w:eastAsia="en-AU"/>
              </w:rPr>
              <w:drawing>
                <wp:inline distT="0" distB="0" distL="0" distR="0" wp14:anchorId="221503D9" wp14:editId="1B415169">
                  <wp:extent cx="609600" cy="609600"/>
                  <wp:effectExtent l="0" t="0" r="0" b="0"/>
                  <wp:docPr id="47" name="Picture 47"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71" w:type="dxa"/>
          </w:tcPr>
          <w:p w:rsidR="00D3579B" w:rsidRPr="00D179E7" w:rsidRDefault="00D3579B" w:rsidP="00BE2227">
            <w:pPr>
              <w:rPr>
                <w:rFonts w:asciiTheme="majorHAnsi" w:eastAsiaTheme="majorEastAsia" w:hAnsiTheme="majorHAnsi" w:cstheme="majorBidi"/>
                <w:sz w:val="38"/>
                <w:szCs w:val="26"/>
                <w:lang w:val="en-AU" w:eastAsia="en-AU"/>
              </w:rPr>
            </w:pPr>
            <w:r>
              <w:rPr>
                <w:rFonts w:asciiTheme="majorHAnsi" w:eastAsiaTheme="majorEastAsia" w:hAnsiTheme="majorHAnsi" w:cstheme="majorBidi"/>
                <w:noProof/>
                <w:sz w:val="38"/>
                <w:szCs w:val="26"/>
                <w:lang w:val="en-AU" w:eastAsia="en-AU"/>
              </w:rPr>
              <w:drawing>
                <wp:inline distT="0" distB="0" distL="0" distR="0" wp14:anchorId="33DCD7C0" wp14:editId="3A4DB9D7">
                  <wp:extent cx="609631" cy="609631"/>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DG9a.png"/>
                          <pic:cNvPicPr/>
                        </pic:nvPicPr>
                        <pic:blipFill>
                          <a:blip r:embed="rId23">
                            <a:extLst>
                              <a:ext uri="{28A0092B-C50C-407E-A947-70E740481C1C}">
                                <a14:useLocalDpi xmlns:a14="http://schemas.microsoft.com/office/drawing/2010/main" val="0"/>
                              </a:ext>
                            </a:extLst>
                          </a:blip>
                          <a:stretch>
                            <a:fillRect/>
                          </a:stretch>
                        </pic:blipFill>
                        <pic:spPr>
                          <a:xfrm>
                            <a:off x="0" y="0"/>
                            <a:ext cx="609631" cy="609631"/>
                          </a:xfrm>
                          <a:prstGeom prst="rect">
                            <a:avLst/>
                          </a:prstGeom>
                        </pic:spPr>
                      </pic:pic>
                    </a:graphicData>
                  </a:graphic>
                </wp:inline>
              </w:drawing>
            </w:r>
          </w:p>
        </w:tc>
        <w:tc>
          <w:tcPr>
            <w:tcW w:w="1351" w:type="dxa"/>
            <w:vAlign w:val="center"/>
          </w:tcPr>
          <w:p w:rsidR="00D3579B" w:rsidRDefault="00D3579B" w:rsidP="00BE2227">
            <w:pPr>
              <w:spacing w:before="20" w:after="20" w:line="180" w:lineRule="atLeast"/>
              <w:jc w:val="center"/>
              <w:rPr>
                <w:rFonts w:asciiTheme="majorHAnsi" w:eastAsiaTheme="majorEastAsia" w:hAnsiTheme="majorHAnsi" w:cstheme="majorBidi"/>
                <w:caps/>
                <w:sz w:val="38"/>
                <w:szCs w:val="26"/>
              </w:rPr>
            </w:pPr>
            <w:r>
              <w:rPr>
                <w:noProof/>
                <w:lang w:val="en-AU" w:eastAsia="en-AU"/>
              </w:rPr>
              <w:drawing>
                <wp:inline distT="0" distB="0" distL="0" distR="0" wp14:anchorId="52DF45D2" wp14:editId="5A866586">
                  <wp:extent cx="612000" cy="6120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EE1FDC" w:rsidRPr="00511734" w:rsidRDefault="00EE1FDC" w:rsidP="00EE1FDC">
      <w:pPr>
        <w:rPr>
          <w:b/>
        </w:rPr>
      </w:pPr>
      <w:r>
        <w:rPr>
          <w:b/>
        </w:rPr>
        <w:t>Enabling economic growth 2A</w:t>
      </w:r>
      <w:r w:rsidRPr="00C222E5">
        <w:rPr>
          <w:b/>
        </w:rPr>
        <w:t>:</w:t>
      </w:r>
      <w:r>
        <w:rPr>
          <w:b/>
        </w:rPr>
        <w:t xml:space="preserve">  Solomon Island</w:t>
      </w:r>
      <w:r w:rsidRPr="00C222E5">
        <w:rPr>
          <w:b/>
        </w:rPr>
        <w:t xml:space="preserve">s’ </w:t>
      </w:r>
      <w:r>
        <w:rPr>
          <w:b/>
        </w:rPr>
        <w:t>economic operating environment is more attractive to business</w:t>
      </w:r>
      <w:r w:rsidRPr="00CE3333">
        <w:rPr>
          <w:b/>
        </w:rPr>
        <w:t xml:space="preserve">.  </w:t>
      </w:r>
      <w:r w:rsidRPr="00870455">
        <w:rPr>
          <w:rFonts w:eastAsia="Times New Roman"/>
          <w:i/>
        </w:rPr>
        <w:t xml:space="preserve">Progress towards this outcome is rated </w:t>
      </w:r>
      <w:r w:rsidR="00CE3333" w:rsidRPr="00CE3333">
        <w:rPr>
          <w:rFonts w:eastAsia="Times New Roman"/>
          <w:i/>
        </w:rPr>
        <w:t xml:space="preserve">green </w:t>
      </w:r>
      <w:r w:rsidRPr="00CE3333">
        <w:rPr>
          <w:rFonts w:eastAsia="Times New Roman"/>
          <w:i/>
        </w:rPr>
        <w:t>as</w:t>
      </w:r>
      <w:r>
        <w:rPr>
          <w:rFonts w:eastAsia="Times New Roman"/>
          <w:i/>
        </w:rPr>
        <w:t xml:space="preserve"> key outcome indicators indicated </w:t>
      </w:r>
      <w:r w:rsidR="005C2979">
        <w:rPr>
          <w:rFonts w:eastAsia="Times New Roman"/>
          <w:i/>
        </w:rPr>
        <w:t xml:space="preserve">that </w:t>
      </w:r>
      <w:r w:rsidR="00630BD3">
        <w:rPr>
          <w:rFonts w:eastAsia="Times New Roman"/>
          <w:i/>
        </w:rPr>
        <w:t>on balance performance towards this objective was considered on track.  P</w:t>
      </w:r>
      <w:r w:rsidR="005C2979">
        <w:rPr>
          <w:rFonts w:eastAsia="Times New Roman"/>
          <w:i/>
        </w:rPr>
        <w:t>rogress</w:t>
      </w:r>
      <w:r w:rsidR="00630BD3">
        <w:rPr>
          <w:rFonts w:eastAsia="Times New Roman"/>
          <w:i/>
        </w:rPr>
        <w:t xml:space="preserve"> in individual areas</w:t>
      </w:r>
      <w:r w:rsidR="005C2979">
        <w:rPr>
          <w:rFonts w:eastAsia="Times New Roman"/>
          <w:i/>
        </w:rPr>
        <w:t xml:space="preserve"> was a mix of on track </w:t>
      </w:r>
      <w:r>
        <w:rPr>
          <w:rFonts w:eastAsia="Times New Roman"/>
          <w:i/>
        </w:rPr>
        <w:t xml:space="preserve"> (</w:t>
      </w:r>
      <w:r w:rsidRPr="00D555A6">
        <w:rPr>
          <w:rFonts w:eastAsia="Times New Roman"/>
          <w:i/>
        </w:rPr>
        <w:t xml:space="preserve">telecommunications, </w:t>
      </w:r>
      <w:r w:rsidR="00312DCD">
        <w:rPr>
          <w:rFonts w:eastAsia="Times New Roman"/>
          <w:i/>
        </w:rPr>
        <w:t xml:space="preserve">urban water, </w:t>
      </w:r>
      <w:r w:rsidR="000C58F1">
        <w:rPr>
          <w:rFonts w:eastAsia="Times New Roman"/>
          <w:i/>
        </w:rPr>
        <w:t>business engagement through the Solomon Islands Chamber of Commerce and Industry</w:t>
      </w:r>
      <w:r w:rsidRPr="00D555A6">
        <w:rPr>
          <w:rFonts w:eastAsia="Times New Roman"/>
          <w:i/>
        </w:rPr>
        <w:t>)</w:t>
      </w:r>
      <w:r w:rsidR="005C2979">
        <w:rPr>
          <w:rFonts w:eastAsia="Times New Roman"/>
          <w:i/>
        </w:rPr>
        <w:t xml:space="preserve"> and slightly off track (</w:t>
      </w:r>
      <w:r w:rsidR="000F67E6">
        <w:rPr>
          <w:rFonts w:eastAsia="Times New Roman"/>
          <w:i/>
        </w:rPr>
        <w:t>energy</w:t>
      </w:r>
      <w:r w:rsidR="005C2979">
        <w:rPr>
          <w:rFonts w:eastAsia="Times New Roman"/>
          <w:i/>
        </w:rPr>
        <w:t xml:space="preserve">, </w:t>
      </w:r>
      <w:r w:rsidR="000F67E6">
        <w:rPr>
          <w:rFonts w:eastAsia="Times New Roman"/>
          <w:i/>
        </w:rPr>
        <w:t>transport</w:t>
      </w:r>
      <w:r w:rsidR="00630BD3">
        <w:rPr>
          <w:rFonts w:eastAsia="Times New Roman"/>
          <w:i/>
        </w:rPr>
        <w:t>)</w:t>
      </w:r>
      <w:r w:rsidR="005C2979">
        <w:rPr>
          <w:rFonts w:eastAsia="Times New Roman"/>
          <w:i/>
        </w:rPr>
        <w:t xml:space="preserve">.  </w:t>
      </w:r>
      <w:r w:rsidR="000F67E6">
        <w:rPr>
          <w:rFonts w:eastAsia="Times New Roman"/>
          <w:i/>
        </w:rPr>
        <w:t xml:space="preserve"> </w:t>
      </w:r>
    </w:p>
    <w:p w:rsidR="00EE1FDC" w:rsidRPr="00511734" w:rsidRDefault="00EE1FDC" w:rsidP="00EE1FDC">
      <w:pPr>
        <w:spacing w:after="120" w:line="260" w:lineRule="atLeast"/>
      </w:pPr>
      <w:r w:rsidRPr="005341D6">
        <w:rPr>
          <w:b/>
        </w:rPr>
        <w:t>Australia’s support for economic growth addresses constraints to growth in Solomon Islands' economy and builds an environment that facilitates investment and trade.</w:t>
      </w:r>
      <w:r w:rsidRPr="00511734">
        <w:t xml:space="preserve"> </w:t>
      </w:r>
      <w:r w:rsidRPr="005341D6">
        <w:t>Without sustainable economic growth, Solomon Islands will be unable to provide services that meet the expectations of its citizens</w:t>
      </w:r>
      <w:r>
        <w:t>.  Solomon Islands has made substantial progress with economic development over recent years, however average per capita incomes remain lower than before the conflict, and progress has been uneven across the country</w:t>
      </w:r>
      <w:r>
        <w:rPr>
          <w:rStyle w:val="FootnoteReference"/>
        </w:rPr>
        <w:footnoteReference w:id="11"/>
      </w:r>
      <w:r>
        <w:t xml:space="preserve">.  </w:t>
      </w:r>
    </w:p>
    <w:p w:rsidR="00EE1FDC" w:rsidRDefault="00EE1FDC" w:rsidP="00EE1FDC">
      <w:r>
        <w:rPr>
          <w:b/>
        </w:rPr>
        <w:t>T</w:t>
      </w:r>
      <w:r w:rsidRPr="00466231">
        <w:rPr>
          <w:b/>
        </w:rPr>
        <w:t xml:space="preserve">he environment for business and investment in </w:t>
      </w:r>
      <w:r>
        <w:rPr>
          <w:b/>
        </w:rPr>
        <w:t>Solomon Islands remained</w:t>
      </w:r>
      <w:r w:rsidRPr="00466231">
        <w:rPr>
          <w:b/>
        </w:rPr>
        <w:t xml:space="preserve"> </w:t>
      </w:r>
      <w:r>
        <w:rPr>
          <w:b/>
        </w:rPr>
        <w:t>stable, but from a low base</w:t>
      </w:r>
      <w:r w:rsidRPr="00466231">
        <w:rPr>
          <w:b/>
        </w:rPr>
        <w:t>.</w:t>
      </w:r>
      <w:r>
        <w:t xml:space="preserve">  Solomon Islands’ score </w:t>
      </w:r>
      <w:r w:rsidR="00652C86">
        <w:t xml:space="preserve">in </w:t>
      </w:r>
      <w:r>
        <w:t>the World Bank’s Ease of Doing Business remained relatively constant</w:t>
      </w:r>
      <w:r w:rsidR="00A653D6">
        <w:t>. I</w:t>
      </w:r>
      <w:r>
        <w:t>ts ranking declined to 116 out of 190 countries, down 12 places from 2016</w:t>
      </w:r>
      <w:r w:rsidR="00652C86">
        <w:t>.  This was</w:t>
      </w:r>
      <w:r>
        <w:t xml:space="preserve"> largely due to improvements in other similarly ranked countries.  </w:t>
      </w:r>
      <w:r w:rsidR="00392A08">
        <w:t>I</w:t>
      </w:r>
      <w:r>
        <w:t xml:space="preserve">ndicators of business confidence and engagement </w:t>
      </w:r>
      <w:r w:rsidR="00392A08">
        <w:t xml:space="preserve">were mixed, but relatively stable. </w:t>
      </w:r>
      <w:r w:rsidR="00652C86">
        <w:t xml:space="preserve"> R</w:t>
      </w:r>
      <w:r w:rsidR="00392A08">
        <w:t>eported business confidence remained positive</w:t>
      </w:r>
      <w:r w:rsidR="00652C86">
        <w:t>.  Sixty one per cent</w:t>
      </w:r>
      <w:r w:rsidR="00D2532F">
        <w:t xml:space="preserve"> of businesses expected their business situation to improve</w:t>
      </w:r>
      <w:r w:rsidR="00652C86">
        <w:t>,</w:t>
      </w:r>
      <w:r w:rsidR="00D2532F">
        <w:t xml:space="preserve"> while only </w:t>
      </w:r>
      <w:r w:rsidR="00652C86">
        <w:t>eight per cent</w:t>
      </w:r>
      <w:r w:rsidR="00D2532F">
        <w:t xml:space="preserve"> expected the business environment to deteriorate</w:t>
      </w:r>
      <w:r w:rsidR="00652C86">
        <w:t>, but</w:t>
      </w:r>
      <w:r w:rsidR="00392A08">
        <w:t xml:space="preserve"> </w:t>
      </w:r>
      <w:r>
        <w:t>the number of registered businesses</w:t>
      </w:r>
      <w:r w:rsidR="00392A08">
        <w:t xml:space="preserve"> dropped to </w:t>
      </w:r>
      <w:r>
        <w:t>1,948 from 2,276</w:t>
      </w:r>
      <w:r w:rsidR="00392A08">
        <w:t xml:space="preserve"> in 2016-17</w:t>
      </w:r>
      <w:r>
        <w:t xml:space="preserve">.  </w:t>
      </w:r>
    </w:p>
    <w:p w:rsidR="00EE1FDC" w:rsidRDefault="00EE1FDC" w:rsidP="00EE1FDC">
      <w:pPr>
        <w:autoSpaceDE w:val="0"/>
        <w:autoSpaceDN w:val="0"/>
        <w:adjustRightInd w:val="0"/>
        <w:spacing w:after="0" w:line="240" w:lineRule="auto"/>
      </w:pPr>
      <w:r w:rsidRPr="00136B3A">
        <w:rPr>
          <w:b/>
        </w:rPr>
        <w:t>Australia</w:t>
      </w:r>
      <w:r w:rsidR="00652C86">
        <w:rPr>
          <w:b/>
        </w:rPr>
        <w:t xml:space="preserve"> </w:t>
      </w:r>
      <w:r w:rsidRPr="00136B3A">
        <w:rPr>
          <w:b/>
        </w:rPr>
        <w:t>work</w:t>
      </w:r>
      <w:r w:rsidR="00652C86">
        <w:rPr>
          <w:b/>
        </w:rPr>
        <w:t>ed</w:t>
      </w:r>
      <w:r w:rsidRPr="00136B3A">
        <w:rPr>
          <w:b/>
        </w:rPr>
        <w:t xml:space="preserve"> to</w:t>
      </w:r>
      <w:r>
        <w:t xml:space="preserve"> </w:t>
      </w:r>
      <w:r>
        <w:rPr>
          <w:b/>
        </w:rPr>
        <w:t>address</w:t>
      </w:r>
      <w:r w:rsidRPr="00136B3A">
        <w:rPr>
          <w:b/>
        </w:rPr>
        <w:t xml:space="preserve"> constraints to private sector growth</w:t>
      </w:r>
      <w:r w:rsidR="00095517">
        <w:rPr>
          <w:b/>
        </w:rPr>
        <w:t xml:space="preserve">.  </w:t>
      </w:r>
      <w:r w:rsidR="00D555A6">
        <w:rPr>
          <w:lang w:val="en-US"/>
        </w:rPr>
        <w:t xml:space="preserve">Our work </w:t>
      </w:r>
      <w:r w:rsidR="00A653D6">
        <w:rPr>
          <w:lang w:val="en-US"/>
        </w:rPr>
        <w:t>invested in</w:t>
      </w:r>
      <w:r w:rsidR="00D555A6" w:rsidRPr="00D555A6">
        <w:rPr>
          <w:lang w:val="en-US"/>
        </w:rPr>
        <w:t xml:space="preserve"> transformative activities that </w:t>
      </w:r>
      <w:r w:rsidR="00D555A6">
        <w:rPr>
          <w:lang w:val="en-US"/>
        </w:rPr>
        <w:t>address</w:t>
      </w:r>
      <w:r w:rsidR="00A653D6">
        <w:rPr>
          <w:lang w:val="en-US"/>
        </w:rPr>
        <w:t>ed</w:t>
      </w:r>
      <w:r w:rsidR="00D555A6" w:rsidRPr="00D555A6">
        <w:rPr>
          <w:lang w:val="en-US"/>
        </w:rPr>
        <w:t xml:space="preserve"> economy-wide constraints to growth, </w:t>
      </w:r>
      <w:r w:rsidR="00E43B51" w:rsidRPr="00D555A6">
        <w:rPr>
          <w:lang w:val="en-US"/>
        </w:rPr>
        <w:t>promot</w:t>
      </w:r>
      <w:r w:rsidR="00E43B51">
        <w:rPr>
          <w:lang w:val="en-US"/>
        </w:rPr>
        <w:t>e</w:t>
      </w:r>
      <w:r w:rsidR="00A653D6">
        <w:rPr>
          <w:lang w:val="en-US"/>
        </w:rPr>
        <w:t>d</w:t>
      </w:r>
      <w:r w:rsidR="00E43B51" w:rsidRPr="00D555A6">
        <w:rPr>
          <w:lang w:val="en-US"/>
        </w:rPr>
        <w:t xml:space="preserve"> </w:t>
      </w:r>
      <w:r w:rsidR="00D555A6" w:rsidRPr="00D555A6">
        <w:rPr>
          <w:lang w:val="en-US"/>
        </w:rPr>
        <w:t xml:space="preserve">growth and </w:t>
      </w:r>
      <w:r w:rsidR="00E43B51" w:rsidRPr="00D555A6">
        <w:rPr>
          <w:lang w:val="en-US"/>
        </w:rPr>
        <w:t>influen</w:t>
      </w:r>
      <w:r w:rsidR="00E43B51">
        <w:rPr>
          <w:lang w:val="en-US"/>
        </w:rPr>
        <w:t>ce</w:t>
      </w:r>
      <w:r w:rsidR="00A653D6">
        <w:rPr>
          <w:lang w:val="en-US"/>
        </w:rPr>
        <w:t>d</w:t>
      </w:r>
      <w:r w:rsidR="00E43B51" w:rsidRPr="00D555A6">
        <w:rPr>
          <w:lang w:val="en-US"/>
        </w:rPr>
        <w:t xml:space="preserve"> </w:t>
      </w:r>
      <w:r w:rsidR="00D555A6" w:rsidRPr="00D555A6">
        <w:rPr>
          <w:lang w:val="en-US"/>
        </w:rPr>
        <w:t>change in the business environment through engagement with the private sector</w:t>
      </w:r>
      <w:r w:rsidR="00D555A6">
        <w:rPr>
          <w:lang w:val="en-US"/>
        </w:rPr>
        <w:t xml:space="preserve">.  </w:t>
      </w:r>
      <w:r w:rsidRPr="00D555A6">
        <w:t>Support focuse</w:t>
      </w:r>
      <w:r w:rsidR="00A653D6">
        <w:t>d</w:t>
      </w:r>
      <w:r w:rsidRPr="00D555A6">
        <w:t xml:space="preserve"> on</w:t>
      </w:r>
      <w:r w:rsidRPr="00D555A6">
        <w:rPr>
          <w:b/>
        </w:rPr>
        <w:t xml:space="preserve"> </w:t>
      </w:r>
      <w:r w:rsidRPr="00D555A6">
        <w:t>reducing energy costs, providing economic infrastructure and strengthening information communications technology.</w:t>
      </w:r>
      <w:r>
        <w:t xml:space="preserve">   </w:t>
      </w:r>
    </w:p>
    <w:p w:rsidR="00B4341B" w:rsidRDefault="00B4341B" w:rsidP="00B4341B">
      <w:pPr>
        <w:spacing w:after="120" w:line="260" w:lineRule="atLeast"/>
      </w:pPr>
      <w:r w:rsidRPr="00F27DD2">
        <w:rPr>
          <w:rFonts w:eastAsia="Calibri"/>
          <w:b/>
        </w:rPr>
        <w:lastRenderedPageBreak/>
        <w:t xml:space="preserve">Australia and Solomon Islands successfully launched work on a transformative investment, the Coral Sea Cable System, </w:t>
      </w:r>
      <w:r w:rsidRPr="00F27DD2">
        <w:rPr>
          <w:b/>
        </w:rPr>
        <w:t xml:space="preserve">to provide </w:t>
      </w:r>
      <w:r w:rsidR="00F27DD2" w:rsidRPr="00F27DD2">
        <w:rPr>
          <w:b/>
          <w:bCs/>
        </w:rPr>
        <w:t xml:space="preserve">Solomon Islands </w:t>
      </w:r>
      <w:r w:rsidRPr="00F27DD2">
        <w:rPr>
          <w:b/>
        </w:rPr>
        <w:t>access to a modern telecommunications system</w:t>
      </w:r>
      <w:r w:rsidRPr="00F27DD2">
        <w:t xml:space="preserve">.  </w:t>
      </w:r>
      <w:r w:rsidR="00A653D6" w:rsidRPr="00F42867">
        <w:rPr>
          <w:rFonts w:eastAsia="Calibri"/>
        </w:rPr>
        <w:t>W</w:t>
      </w:r>
      <w:r w:rsidR="00A653D6" w:rsidRPr="00F27DD2">
        <w:rPr>
          <w:rFonts w:eastAsia="Calibri"/>
        </w:rPr>
        <w:t xml:space="preserve">orld Bank research says that improved internet access and connectivity could translate into additional GDP of more than USD5 billion and close to 300,000 additional jobs in the </w:t>
      </w:r>
      <w:r w:rsidR="00F42867">
        <w:rPr>
          <w:rFonts w:eastAsia="Calibri"/>
        </w:rPr>
        <w:t>Pacific by 2040</w:t>
      </w:r>
      <w:r w:rsidRPr="00F27DD2">
        <w:rPr>
          <w:rStyle w:val="FootnoteReference"/>
        </w:rPr>
        <w:footnoteReference w:id="12"/>
      </w:r>
      <w:r w:rsidRPr="00F27DD2">
        <w:t xml:space="preserve">.   All project milestones </w:t>
      </w:r>
      <w:r w:rsidR="00F27DD2" w:rsidRPr="00F90B9B">
        <w:t>tracked to schedule</w:t>
      </w:r>
      <w:r w:rsidRPr="00F27DD2">
        <w:t xml:space="preserve">, including a landing party agreement </w:t>
      </w:r>
      <w:r w:rsidR="00F27DD2" w:rsidRPr="00F27DD2">
        <w:rPr>
          <w:rFonts w:eastAsia="Calibri"/>
        </w:rPr>
        <w:t>with the Solomon Islands Submarine Cable Company</w:t>
      </w:r>
      <w:r w:rsidRPr="00F27DD2">
        <w:t>, a</w:t>
      </w:r>
      <w:r w:rsidR="009B2719">
        <w:t xml:space="preserve">n MOU </w:t>
      </w:r>
      <w:r w:rsidR="00F27DD2" w:rsidRPr="00F27DD2">
        <w:rPr>
          <w:rFonts w:eastAsia="Calibri"/>
        </w:rPr>
        <w:t xml:space="preserve">between the three partner governments (Australia, Solomon Islands and PNG) </w:t>
      </w:r>
      <w:r w:rsidRPr="00F27DD2">
        <w:t xml:space="preserve">stipulating funding arrangements, and engaging a contractor to start constructing and laying the cable. </w:t>
      </w:r>
      <w:r w:rsidR="00C3377C" w:rsidRPr="00F27DD2">
        <w:t xml:space="preserve"> </w:t>
      </w:r>
      <w:r w:rsidR="00F27DD2" w:rsidRPr="00F27DD2">
        <w:rPr>
          <w:rFonts w:eastAsia="Calibri"/>
        </w:rPr>
        <w:t>During a Guest of Government visit to Australia by Solomon Islands Prime Minister, Rick Houenipwela, in June 2018</w:t>
      </w:r>
      <w:r w:rsidR="00F42867">
        <w:rPr>
          <w:rFonts w:eastAsia="Calibri"/>
        </w:rPr>
        <w:t>,</w:t>
      </w:r>
      <w:r w:rsidR="00C3377C" w:rsidRPr="00F27DD2">
        <w:t xml:space="preserve"> further work was announced for the construction of a domestic cable linking Honiara to Auki, Noro and Taro.</w:t>
      </w:r>
      <w:r w:rsidR="00C3377C">
        <w:t xml:space="preserve">  </w:t>
      </w:r>
    </w:p>
    <w:p w:rsidR="00EE1FDC" w:rsidRPr="007E7622" w:rsidRDefault="00EE1FDC" w:rsidP="00EE1FDC">
      <w:pPr>
        <w:spacing w:after="120" w:line="260" w:lineRule="atLeast"/>
        <w:rPr>
          <w:rFonts w:eastAsia="Calibri"/>
          <w:b/>
        </w:rPr>
      </w:pPr>
      <w:r w:rsidRPr="00234CE8">
        <w:rPr>
          <w:rFonts w:eastAsia="Calibri"/>
          <w:b/>
        </w:rPr>
        <w:t xml:space="preserve">Our support to the Tina River Hydropower Project </w:t>
      </w:r>
      <w:r>
        <w:rPr>
          <w:rFonts w:eastAsia="Calibri"/>
          <w:b/>
        </w:rPr>
        <w:t>will bring down energy prices in Solomon Islands, which are amongst the highest in the Pacific</w:t>
      </w:r>
      <w:r w:rsidRPr="00136B3A">
        <w:rPr>
          <w:rFonts w:eastAsia="Calibri"/>
        </w:rPr>
        <w:t>.</w:t>
      </w:r>
      <w:r w:rsidR="004F14EF">
        <w:rPr>
          <w:rFonts w:eastAsia="Calibri"/>
        </w:rPr>
        <w:t xml:space="preserve"> </w:t>
      </w:r>
      <w:r>
        <w:rPr>
          <w:rFonts w:eastAsia="Calibri"/>
        </w:rPr>
        <w:t>In this multi-donor project, Australia support</w:t>
      </w:r>
      <w:r w:rsidR="00F27DD2">
        <w:rPr>
          <w:rFonts w:eastAsia="Calibri"/>
        </w:rPr>
        <w:t>ed</w:t>
      </w:r>
      <w:r>
        <w:rPr>
          <w:rFonts w:eastAsia="Calibri"/>
        </w:rPr>
        <w:t xml:space="preserve"> the Solomon Islands Government and World Bank to secure progress in a complex operating environment.  </w:t>
      </w:r>
      <w:r w:rsidRPr="00136B3A">
        <w:rPr>
          <w:rFonts w:eastAsia="Calibri"/>
        </w:rPr>
        <w:t xml:space="preserve">The project capitalised on a reform opportunity to secure financing </w:t>
      </w:r>
      <w:r>
        <w:rPr>
          <w:rFonts w:eastAsia="Calibri"/>
        </w:rPr>
        <w:t xml:space="preserve">from five out of a total of six financiers in 2017-18.  While this target was achieved, </w:t>
      </w:r>
      <w:r w:rsidR="002728B9">
        <w:rPr>
          <w:rFonts w:eastAsia="Calibri"/>
        </w:rPr>
        <w:t>t</w:t>
      </w:r>
      <w:r>
        <w:rPr>
          <w:rFonts w:eastAsia="Calibri"/>
        </w:rPr>
        <w:t>he completion of c</w:t>
      </w:r>
      <w:r w:rsidRPr="00136B3A">
        <w:rPr>
          <w:rFonts w:eastAsia="Calibri"/>
        </w:rPr>
        <w:t xml:space="preserve">ommercial </w:t>
      </w:r>
      <w:r>
        <w:rPr>
          <w:rFonts w:eastAsia="Calibri"/>
        </w:rPr>
        <w:t>negotiations</w:t>
      </w:r>
      <w:r w:rsidR="000C58F1">
        <w:rPr>
          <w:rFonts w:eastAsia="Calibri"/>
        </w:rPr>
        <w:t xml:space="preserve"> </w:t>
      </w:r>
      <w:r w:rsidR="00C3377C">
        <w:rPr>
          <w:rFonts w:eastAsia="Calibri"/>
        </w:rPr>
        <w:t xml:space="preserve">was </w:t>
      </w:r>
      <w:r>
        <w:rPr>
          <w:rFonts w:eastAsia="Calibri"/>
        </w:rPr>
        <w:t xml:space="preserve">delayed and is now expected to be </w:t>
      </w:r>
      <w:r w:rsidR="002728B9">
        <w:rPr>
          <w:rFonts w:eastAsia="Calibri"/>
        </w:rPr>
        <w:t xml:space="preserve">finalised </w:t>
      </w:r>
      <w:r w:rsidR="00E43B51">
        <w:rPr>
          <w:rFonts w:eastAsia="Calibri"/>
        </w:rPr>
        <w:t>by end November</w:t>
      </w:r>
      <w:r>
        <w:rPr>
          <w:rFonts w:eastAsia="Calibri"/>
        </w:rPr>
        <w:t xml:space="preserve"> 2018. </w:t>
      </w:r>
      <w:r w:rsidR="004F14EF">
        <w:rPr>
          <w:rFonts w:eastAsia="Calibri"/>
        </w:rPr>
        <w:t xml:space="preserve"> </w:t>
      </w:r>
      <w:r>
        <w:rPr>
          <w:rFonts w:eastAsia="Calibri"/>
        </w:rPr>
        <w:t xml:space="preserve">Solomon Islands and key donors view this project as a priority given its projected impact on energy costs, and we continue to invest substantial time </w:t>
      </w:r>
      <w:r w:rsidRPr="000B43C5">
        <w:rPr>
          <w:rFonts w:eastAsia="Calibri"/>
        </w:rPr>
        <w:t>and resources in shepherding this transformative project towards completion.</w:t>
      </w:r>
      <w:r w:rsidRPr="007E7622">
        <w:rPr>
          <w:rFonts w:eastAsia="Calibri"/>
          <w:b/>
        </w:rPr>
        <w:t xml:space="preserve">  </w:t>
      </w:r>
    </w:p>
    <w:p w:rsidR="000B43C5" w:rsidRPr="007E7622" w:rsidRDefault="000B43C5" w:rsidP="007E7622">
      <w:pPr>
        <w:spacing w:after="120" w:line="260" w:lineRule="atLeast"/>
        <w:rPr>
          <w:rFonts w:eastAsia="Calibri"/>
          <w:b/>
        </w:rPr>
      </w:pPr>
      <w:r w:rsidRPr="007E7622">
        <w:rPr>
          <w:rFonts w:eastAsia="Calibri"/>
          <w:b/>
        </w:rPr>
        <w:t>Mining is a potential future source of revenue for Solomon Islands, and Australia continues to appropriately support incremental improvements in mining governance and management.   </w:t>
      </w:r>
      <w:r w:rsidRPr="007E7622">
        <w:rPr>
          <w:rFonts w:eastAsia="Calibri"/>
        </w:rPr>
        <w:t xml:space="preserve">The complexity and capacity of the sector in Solomon Islands is illustrated by the lack of significant, legally operating mines in the reporting </w:t>
      </w:r>
      <w:r w:rsidR="00C91AFB" w:rsidRPr="007E7622">
        <w:rPr>
          <w:rFonts w:eastAsia="Calibri"/>
        </w:rPr>
        <w:t>period (</w:t>
      </w:r>
      <w:r w:rsidRPr="007E7622">
        <w:rPr>
          <w:rFonts w:eastAsia="Calibri"/>
        </w:rPr>
        <w:t xml:space="preserve">only low-technology bauxite operations were underway).   Australia </w:t>
      </w:r>
      <w:r w:rsidR="00F27DD2">
        <w:rPr>
          <w:rFonts w:eastAsia="Calibri"/>
        </w:rPr>
        <w:t>supported</w:t>
      </w:r>
      <w:r w:rsidRPr="007E7622">
        <w:rPr>
          <w:rFonts w:eastAsia="Calibri"/>
        </w:rPr>
        <w:t xml:space="preserve"> the World Bank to lead sector wide reform, and </w:t>
      </w:r>
      <w:r w:rsidR="00F27DD2">
        <w:rPr>
          <w:rFonts w:eastAsia="Calibri"/>
        </w:rPr>
        <w:t>its</w:t>
      </w:r>
      <w:r w:rsidRPr="007E7622">
        <w:rPr>
          <w:rFonts w:eastAsia="Calibri"/>
        </w:rPr>
        <w:t xml:space="preserve"> work on mining legislative reform</w:t>
      </w:r>
      <w:r w:rsidR="00F27DD2">
        <w:rPr>
          <w:rFonts w:eastAsia="Calibri"/>
        </w:rPr>
        <w:t>,</w:t>
      </w:r>
      <w:r w:rsidRPr="007E7622">
        <w:rPr>
          <w:rFonts w:eastAsia="Calibri"/>
        </w:rPr>
        <w:t xml:space="preserve"> by linking progress in the sector to budget support payments under the Core Economic Working Group policy matrix</w:t>
      </w:r>
      <w:r w:rsidRPr="007E7622">
        <w:rPr>
          <w:rFonts w:eastAsia="Calibri"/>
          <w:b/>
        </w:rPr>
        <w:t xml:space="preserve">. </w:t>
      </w:r>
    </w:p>
    <w:p w:rsidR="00C3377C" w:rsidRPr="007E7622" w:rsidRDefault="00EE1FDC" w:rsidP="007E7622">
      <w:pPr>
        <w:spacing w:after="120" w:line="260" w:lineRule="atLeast"/>
        <w:rPr>
          <w:rFonts w:eastAsia="Calibri"/>
          <w:b/>
        </w:rPr>
      </w:pPr>
      <w:r w:rsidRPr="002728B9">
        <w:rPr>
          <w:rFonts w:eastAsia="Calibri"/>
          <w:b/>
        </w:rPr>
        <w:t>Australia’s support</w:t>
      </w:r>
      <w:r w:rsidR="00D555A6" w:rsidRPr="002728B9">
        <w:rPr>
          <w:rFonts w:eastAsia="Calibri"/>
          <w:b/>
        </w:rPr>
        <w:t xml:space="preserve"> </w:t>
      </w:r>
      <w:r w:rsidR="00F27DD2">
        <w:rPr>
          <w:rFonts w:eastAsia="Calibri"/>
          <w:b/>
        </w:rPr>
        <w:t>in the</w:t>
      </w:r>
      <w:r w:rsidR="00D555A6" w:rsidRPr="002728B9">
        <w:rPr>
          <w:rFonts w:eastAsia="Calibri"/>
          <w:b/>
        </w:rPr>
        <w:t xml:space="preserve"> transport</w:t>
      </w:r>
      <w:r w:rsidRPr="002728B9">
        <w:rPr>
          <w:rFonts w:eastAsia="Calibri"/>
          <w:b/>
        </w:rPr>
        <w:t xml:space="preserve"> </w:t>
      </w:r>
      <w:r w:rsidR="00F27DD2">
        <w:rPr>
          <w:rFonts w:eastAsia="Calibri"/>
          <w:b/>
        </w:rPr>
        <w:t xml:space="preserve">sector </w:t>
      </w:r>
      <w:r w:rsidR="00D555A6" w:rsidRPr="002728B9">
        <w:rPr>
          <w:rFonts w:eastAsia="Calibri"/>
          <w:b/>
        </w:rPr>
        <w:t>help</w:t>
      </w:r>
      <w:r w:rsidR="00652C86" w:rsidRPr="002728B9">
        <w:rPr>
          <w:rFonts w:eastAsia="Calibri"/>
          <w:b/>
        </w:rPr>
        <w:t xml:space="preserve">ed </w:t>
      </w:r>
      <w:r w:rsidR="00D555A6" w:rsidRPr="002728B9">
        <w:rPr>
          <w:rFonts w:eastAsia="Calibri"/>
          <w:b/>
        </w:rPr>
        <w:t>build the capacity of the Ministry of Infrastructure Development</w:t>
      </w:r>
      <w:r w:rsidR="005C6BF3">
        <w:rPr>
          <w:rFonts w:eastAsia="Calibri"/>
          <w:b/>
        </w:rPr>
        <w:t xml:space="preserve"> </w:t>
      </w:r>
      <w:r w:rsidR="008B6FBF" w:rsidRPr="002728B9">
        <w:rPr>
          <w:rFonts w:eastAsia="Calibri"/>
          <w:b/>
        </w:rPr>
        <w:t>and</w:t>
      </w:r>
      <w:r w:rsidR="00D555A6" w:rsidRPr="002728B9">
        <w:rPr>
          <w:rFonts w:eastAsia="Calibri"/>
          <w:b/>
        </w:rPr>
        <w:t xml:space="preserve"> </w:t>
      </w:r>
      <w:r w:rsidR="008B6FBF" w:rsidRPr="002728B9">
        <w:rPr>
          <w:rFonts w:eastAsia="Calibri"/>
          <w:b/>
        </w:rPr>
        <w:t>fund the</w:t>
      </w:r>
      <w:r w:rsidR="00D555A6" w:rsidRPr="002728B9">
        <w:rPr>
          <w:rFonts w:eastAsia="Calibri"/>
          <w:b/>
        </w:rPr>
        <w:t xml:space="preserve"> deliver</w:t>
      </w:r>
      <w:r w:rsidR="008B6FBF" w:rsidRPr="002728B9">
        <w:rPr>
          <w:rFonts w:eastAsia="Calibri"/>
          <w:b/>
        </w:rPr>
        <w:t>y of</w:t>
      </w:r>
      <w:r w:rsidR="00D555A6" w:rsidRPr="002728B9">
        <w:rPr>
          <w:rFonts w:eastAsia="Calibri"/>
          <w:b/>
        </w:rPr>
        <w:t xml:space="preserve"> reliable and sustainable transport infrastructure services.</w:t>
      </w:r>
      <w:r w:rsidR="00D555A6" w:rsidRPr="007E7622">
        <w:rPr>
          <w:rFonts w:eastAsia="Calibri"/>
          <w:b/>
        </w:rPr>
        <w:t xml:space="preserve">  </w:t>
      </w:r>
      <w:r w:rsidR="00857B05" w:rsidRPr="007E7622">
        <w:rPr>
          <w:rFonts w:eastAsia="Calibri"/>
        </w:rPr>
        <w:t xml:space="preserve">Transport infrastructure </w:t>
      </w:r>
      <w:r w:rsidR="002728B9" w:rsidRPr="007E7622">
        <w:rPr>
          <w:rFonts w:eastAsia="Calibri"/>
        </w:rPr>
        <w:t>supports</w:t>
      </w:r>
      <w:r w:rsidR="00857B05" w:rsidRPr="007E7622">
        <w:rPr>
          <w:rFonts w:eastAsia="Calibri"/>
        </w:rPr>
        <w:t xml:space="preserve"> economic growth through improving access for businesses and people to markets and services</w:t>
      </w:r>
      <w:r w:rsidR="00A37BCD">
        <w:rPr>
          <w:rFonts w:eastAsia="Calibri"/>
        </w:rPr>
        <w:t xml:space="preserve">. Poor infrastructure is a </w:t>
      </w:r>
      <w:r w:rsidR="00857B05" w:rsidRPr="007E7622">
        <w:rPr>
          <w:rFonts w:eastAsia="Calibri"/>
        </w:rPr>
        <w:t>constraint to economic growth in Solomon Islands.  In 2016, almost half of all roads and 26</w:t>
      </w:r>
      <w:r w:rsidR="002728B9" w:rsidRPr="007E7622">
        <w:rPr>
          <w:rFonts w:eastAsia="Calibri"/>
        </w:rPr>
        <w:t xml:space="preserve"> per cent </w:t>
      </w:r>
      <w:r w:rsidR="00857B05" w:rsidRPr="007E7622">
        <w:rPr>
          <w:rFonts w:eastAsia="Calibri"/>
        </w:rPr>
        <w:t>of wharves were estimated to be in in poor condition</w:t>
      </w:r>
      <w:r w:rsidR="00F27DD2">
        <w:rPr>
          <w:rFonts w:eastAsia="Calibri"/>
        </w:rPr>
        <w:t xml:space="preserve">, and </w:t>
      </w:r>
      <w:r w:rsidR="00A37BCD">
        <w:rPr>
          <w:rFonts w:eastAsia="Calibri"/>
        </w:rPr>
        <w:t>there is limited</w:t>
      </w:r>
      <w:r w:rsidR="00857B05" w:rsidRPr="007E7622">
        <w:rPr>
          <w:rFonts w:eastAsia="Calibri"/>
        </w:rPr>
        <w:t xml:space="preserve"> capacity to manage or maintain infrastructure. Australia’s transport infrastructure program, Sustainable Transport Infrastructure Improvement Program (STIIP)</w:t>
      </w:r>
      <w:r w:rsidR="008B6FBF" w:rsidRPr="007E7622">
        <w:rPr>
          <w:rFonts w:eastAsia="Calibri"/>
        </w:rPr>
        <w:t>, co-funded by ADB,</w:t>
      </w:r>
      <w:r w:rsidR="00D555A6" w:rsidRPr="007E7622">
        <w:rPr>
          <w:rFonts w:eastAsia="Calibri"/>
        </w:rPr>
        <w:t xml:space="preserve"> support</w:t>
      </w:r>
      <w:r w:rsidR="00F27DD2">
        <w:rPr>
          <w:rFonts w:eastAsia="Calibri"/>
        </w:rPr>
        <w:t>ed</w:t>
      </w:r>
      <w:r w:rsidR="00D555A6" w:rsidRPr="007E7622">
        <w:rPr>
          <w:rFonts w:eastAsia="Calibri"/>
        </w:rPr>
        <w:t xml:space="preserve"> the Solomon Islands Government </w:t>
      </w:r>
      <w:r w:rsidR="006571EF" w:rsidRPr="007E7622">
        <w:rPr>
          <w:rFonts w:eastAsia="Calibri"/>
        </w:rPr>
        <w:t xml:space="preserve">rehabilitate and maintain transport infrastructure; finance and implement the National Transport Plan; and improve the management and supervision capacity of the Ministry of Infrastructure </w:t>
      </w:r>
      <w:r w:rsidR="000C58F1" w:rsidRPr="007E7622">
        <w:rPr>
          <w:rFonts w:eastAsia="Calibri"/>
        </w:rPr>
        <w:t>Development. Australia’s</w:t>
      </w:r>
      <w:r w:rsidRPr="007E7622">
        <w:rPr>
          <w:rFonts w:eastAsia="Calibri"/>
        </w:rPr>
        <w:t xml:space="preserve"> support </w:t>
      </w:r>
      <w:r w:rsidR="00F27DD2">
        <w:rPr>
          <w:rFonts w:eastAsia="Calibri"/>
        </w:rPr>
        <w:t>was</w:t>
      </w:r>
      <w:r w:rsidR="00F27DD2" w:rsidRPr="007E7622">
        <w:rPr>
          <w:rFonts w:eastAsia="Calibri"/>
        </w:rPr>
        <w:t xml:space="preserve"> </w:t>
      </w:r>
      <w:r w:rsidRPr="007E7622">
        <w:rPr>
          <w:rFonts w:eastAsia="Calibri"/>
        </w:rPr>
        <w:t>linked to performance, based on increasing Solomon Islands Government contributions to the National Transport Fund</w:t>
      </w:r>
      <w:r w:rsidR="00A37BCD">
        <w:rPr>
          <w:rFonts w:eastAsia="Calibri"/>
        </w:rPr>
        <w:t xml:space="preserve"> (NTF).</w:t>
      </w:r>
      <w:r w:rsidR="00F27DD2">
        <w:rPr>
          <w:rFonts w:eastAsia="Calibri"/>
        </w:rPr>
        <w:t xml:space="preserve"> </w:t>
      </w:r>
      <w:r w:rsidR="00A37BCD">
        <w:rPr>
          <w:rFonts w:eastAsia="Calibri"/>
        </w:rPr>
        <w:t xml:space="preserve"> </w:t>
      </w:r>
      <w:r w:rsidRPr="007E7622">
        <w:rPr>
          <w:rFonts w:eastAsia="Calibri"/>
        </w:rPr>
        <w:t>Australia’s investment contributed to the maintenance of 694 km (target 750</w:t>
      </w:r>
      <w:r w:rsidR="00395BA4" w:rsidRPr="007E7622">
        <w:rPr>
          <w:rFonts w:eastAsia="Calibri"/>
        </w:rPr>
        <w:t>km</w:t>
      </w:r>
      <w:r w:rsidRPr="007E7622">
        <w:rPr>
          <w:rFonts w:eastAsia="Calibri"/>
        </w:rPr>
        <w:t>) of roads in 2017.</w:t>
      </w:r>
      <w:r w:rsidRPr="007E7622">
        <w:rPr>
          <w:rFonts w:eastAsia="Calibri"/>
          <w:b/>
        </w:rPr>
        <w:t xml:space="preserve"> </w:t>
      </w:r>
    </w:p>
    <w:p w:rsidR="00D555A6" w:rsidRPr="00D555A6" w:rsidRDefault="008B6FBF" w:rsidP="00D555A6">
      <w:pPr>
        <w:pStyle w:val="NormalWeb"/>
        <w:rPr>
          <w:rFonts w:asciiTheme="minorHAnsi" w:eastAsiaTheme="minorHAnsi" w:hAnsiTheme="minorHAnsi" w:cstheme="minorBidi"/>
          <w:color w:val="495965" w:themeColor="text2"/>
          <w:sz w:val="22"/>
          <w:szCs w:val="22"/>
          <w:lang w:val="en-GB" w:eastAsia="en-US"/>
        </w:rPr>
      </w:pPr>
      <w:r w:rsidRPr="007E7622">
        <w:rPr>
          <w:rFonts w:asciiTheme="minorHAnsi" w:hAnsiTheme="minorHAnsi" w:cstheme="minorBidi"/>
          <w:b/>
          <w:color w:val="495965" w:themeColor="text2"/>
          <w:sz w:val="22"/>
          <w:szCs w:val="22"/>
          <w:lang w:eastAsia="en-US"/>
        </w:rPr>
        <w:t xml:space="preserve">Australia funded the rehabilitation of </w:t>
      </w:r>
      <w:r w:rsidR="00311D80">
        <w:rPr>
          <w:rFonts w:asciiTheme="minorHAnsi" w:hAnsiTheme="minorHAnsi" w:cstheme="minorBidi"/>
          <w:b/>
          <w:color w:val="495965" w:themeColor="text2"/>
          <w:sz w:val="22"/>
          <w:szCs w:val="22"/>
          <w:lang w:eastAsia="en-US"/>
        </w:rPr>
        <w:t xml:space="preserve">an additional </w:t>
      </w:r>
      <w:r w:rsidRPr="007E7622">
        <w:rPr>
          <w:rFonts w:asciiTheme="minorHAnsi" w:hAnsiTheme="minorHAnsi" w:cstheme="minorBidi"/>
          <w:b/>
          <w:color w:val="495965" w:themeColor="text2"/>
          <w:sz w:val="22"/>
          <w:szCs w:val="22"/>
          <w:lang w:eastAsia="en-US"/>
        </w:rPr>
        <w:t xml:space="preserve">two bridges under the </w:t>
      </w:r>
      <w:r w:rsidR="00F96116">
        <w:rPr>
          <w:rFonts w:asciiTheme="minorHAnsi" w:hAnsiTheme="minorHAnsi" w:cstheme="minorBidi"/>
          <w:b/>
          <w:color w:val="495965" w:themeColor="text2"/>
          <w:sz w:val="22"/>
          <w:szCs w:val="22"/>
          <w:lang w:eastAsia="en-US"/>
        </w:rPr>
        <w:t>National Transport Fund</w:t>
      </w:r>
      <w:r w:rsidR="00430CB1">
        <w:rPr>
          <w:rFonts w:asciiTheme="minorHAnsi" w:hAnsiTheme="minorHAnsi" w:cstheme="minorBidi"/>
          <w:b/>
          <w:color w:val="495965" w:themeColor="text2"/>
          <w:sz w:val="22"/>
          <w:szCs w:val="22"/>
          <w:lang w:eastAsia="en-US"/>
        </w:rPr>
        <w:t xml:space="preserve"> to support economic activity in East Guadalcanal</w:t>
      </w:r>
      <w:r w:rsidR="00F96116">
        <w:rPr>
          <w:rFonts w:asciiTheme="minorHAnsi" w:hAnsiTheme="minorHAnsi" w:cstheme="minorBidi"/>
          <w:b/>
          <w:color w:val="495965" w:themeColor="text2"/>
          <w:sz w:val="22"/>
          <w:szCs w:val="22"/>
          <w:lang w:eastAsia="en-US"/>
        </w:rPr>
        <w:t xml:space="preserve">. </w:t>
      </w:r>
      <w:r w:rsidRPr="007E7622">
        <w:rPr>
          <w:rFonts w:asciiTheme="minorHAnsi" w:hAnsiTheme="minorHAnsi" w:cstheme="minorBidi"/>
          <w:b/>
          <w:color w:val="495965" w:themeColor="text2"/>
          <w:sz w:val="22"/>
          <w:szCs w:val="22"/>
          <w:lang w:eastAsia="en-US"/>
        </w:rPr>
        <w:t xml:space="preserve"> </w:t>
      </w:r>
      <w:r w:rsidR="00430CB1" w:rsidRPr="00F90B9B">
        <w:rPr>
          <w:rFonts w:asciiTheme="minorHAnsi" w:hAnsiTheme="minorHAnsi" w:cstheme="minorBidi"/>
          <w:color w:val="495965" w:themeColor="text2"/>
          <w:sz w:val="22"/>
          <w:szCs w:val="22"/>
          <w:lang w:eastAsia="en-US"/>
        </w:rPr>
        <w:t>The project</w:t>
      </w:r>
      <w:r w:rsidR="00C3377C" w:rsidRPr="00430CB1">
        <w:rPr>
          <w:rFonts w:asciiTheme="minorHAnsi" w:hAnsiTheme="minorHAnsi" w:cstheme="minorBidi"/>
          <w:color w:val="495965" w:themeColor="text2"/>
          <w:sz w:val="22"/>
          <w:szCs w:val="22"/>
          <w:lang w:eastAsia="en-US"/>
        </w:rPr>
        <w:t xml:space="preserve"> </w:t>
      </w:r>
      <w:r w:rsidRPr="00430CB1">
        <w:rPr>
          <w:rFonts w:asciiTheme="minorHAnsi" w:hAnsiTheme="minorHAnsi" w:cstheme="minorBidi"/>
          <w:color w:val="495965" w:themeColor="text2"/>
          <w:sz w:val="22"/>
          <w:szCs w:val="22"/>
          <w:lang w:eastAsia="en-US"/>
        </w:rPr>
        <w:t>progressed</w:t>
      </w:r>
      <w:r w:rsidRPr="007E7622">
        <w:rPr>
          <w:rFonts w:asciiTheme="minorHAnsi" w:hAnsiTheme="minorHAnsi" w:cstheme="minorBidi"/>
          <w:color w:val="495965" w:themeColor="text2"/>
          <w:sz w:val="22"/>
          <w:szCs w:val="22"/>
          <w:lang w:eastAsia="en-US"/>
        </w:rPr>
        <w:t xml:space="preserve">, </w:t>
      </w:r>
      <w:r w:rsidR="00F96116">
        <w:rPr>
          <w:rFonts w:asciiTheme="minorHAnsi" w:hAnsiTheme="minorHAnsi" w:cstheme="minorBidi"/>
          <w:color w:val="495965" w:themeColor="text2"/>
          <w:sz w:val="22"/>
          <w:szCs w:val="22"/>
          <w:lang w:eastAsia="en-US"/>
        </w:rPr>
        <w:t xml:space="preserve">with construction of one bridge underway, </w:t>
      </w:r>
      <w:r w:rsidRPr="007E7622">
        <w:rPr>
          <w:rFonts w:asciiTheme="minorHAnsi" w:hAnsiTheme="minorHAnsi" w:cstheme="minorBidi"/>
          <w:color w:val="495965" w:themeColor="text2"/>
          <w:sz w:val="22"/>
          <w:szCs w:val="22"/>
          <w:lang w:eastAsia="en-US"/>
        </w:rPr>
        <w:t xml:space="preserve">but </w:t>
      </w:r>
      <w:r w:rsidR="00311D80">
        <w:rPr>
          <w:rFonts w:asciiTheme="minorHAnsi" w:hAnsiTheme="minorHAnsi" w:cstheme="minorBidi"/>
          <w:color w:val="495965" w:themeColor="text2"/>
          <w:sz w:val="22"/>
          <w:szCs w:val="22"/>
          <w:lang w:eastAsia="en-US"/>
        </w:rPr>
        <w:t xml:space="preserve">work </w:t>
      </w:r>
      <w:r w:rsidRPr="007E7622">
        <w:rPr>
          <w:rFonts w:asciiTheme="minorHAnsi" w:hAnsiTheme="minorHAnsi" w:cstheme="minorBidi"/>
          <w:color w:val="495965" w:themeColor="text2"/>
          <w:sz w:val="22"/>
          <w:szCs w:val="22"/>
          <w:lang w:eastAsia="en-US"/>
        </w:rPr>
        <w:t xml:space="preserve">slipped behind scheduled </w:t>
      </w:r>
      <w:r w:rsidR="00C3377C" w:rsidRPr="007E7622">
        <w:rPr>
          <w:rFonts w:asciiTheme="minorHAnsi" w:hAnsiTheme="minorHAnsi" w:cstheme="minorBidi"/>
          <w:color w:val="495965" w:themeColor="text2"/>
          <w:sz w:val="22"/>
          <w:szCs w:val="22"/>
          <w:lang w:eastAsia="en-US"/>
        </w:rPr>
        <w:t>timelines.</w:t>
      </w:r>
      <w:r w:rsidRPr="007E7622">
        <w:rPr>
          <w:rFonts w:asciiTheme="minorHAnsi" w:hAnsiTheme="minorHAnsi" w:cstheme="minorBidi"/>
          <w:color w:val="495965" w:themeColor="text2"/>
          <w:sz w:val="22"/>
          <w:szCs w:val="22"/>
          <w:lang w:eastAsia="en-US"/>
        </w:rPr>
        <w:t xml:space="preserve"> </w:t>
      </w:r>
      <w:r w:rsidR="00EE1FDC" w:rsidRPr="007E7622">
        <w:rPr>
          <w:rFonts w:asciiTheme="minorHAnsi" w:hAnsiTheme="minorHAnsi" w:cstheme="minorBidi"/>
          <w:color w:val="495965" w:themeColor="text2"/>
          <w:sz w:val="22"/>
          <w:szCs w:val="22"/>
          <w:lang w:eastAsia="en-US"/>
        </w:rPr>
        <w:t xml:space="preserve"> Despite </w:t>
      </w:r>
      <w:r w:rsidR="003D0F47" w:rsidRPr="007E7622">
        <w:rPr>
          <w:rFonts w:asciiTheme="minorHAnsi" w:hAnsiTheme="minorHAnsi" w:cstheme="minorBidi"/>
          <w:color w:val="495965" w:themeColor="text2"/>
          <w:sz w:val="22"/>
          <w:szCs w:val="22"/>
          <w:lang w:eastAsia="en-US"/>
        </w:rPr>
        <w:t xml:space="preserve">the NTF’s </w:t>
      </w:r>
      <w:r w:rsidR="00EE1FDC" w:rsidRPr="007E7622">
        <w:rPr>
          <w:rFonts w:asciiTheme="minorHAnsi" w:hAnsiTheme="minorHAnsi" w:cstheme="minorBidi"/>
          <w:color w:val="495965" w:themeColor="text2"/>
          <w:sz w:val="22"/>
          <w:szCs w:val="22"/>
          <w:lang w:eastAsia="en-US"/>
        </w:rPr>
        <w:t xml:space="preserve">results being close to </w:t>
      </w:r>
      <w:r w:rsidRPr="007E7622">
        <w:rPr>
          <w:rFonts w:asciiTheme="minorHAnsi" w:hAnsiTheme="minorHAnsi" w:cstheme="minorBidi"/>
          <w:color w:val="495965" w:themeColor="text2"/>
          <w:sz w:val="22"/>
          <w:szCs w:val="22"/>
          <w:lang w:eastAsia="en-US"/>
        </w:rPr>
        <w:t xml:space="preserve">achieving many of the </w:t>
      </w:r>
      <w:r w:rsidR="00EE1FDC" w:rsidRPr="007E7622">
        <w:rPr>
          <w:rFonts w:asciiTheme="minorHAnsi" w:hAnsiTheme="minorHAnsi" w:cstheme="minorBidi"/>
          <w:color w:val="495965" w:themeColor="text2"/>
          <w:sz w:val="22"/>
          <w:szCs w:val="22"/>
          <w:lang w:eastAsia="en-US"/>
        </w:rPr>
        <w:t>target</w:t>
      </w:r>
      <w:r w:rsidRPr="007E7622">
        <w:rPr>
          <w:rFonts w:asciiTheme="minorHAnsi" w:hAnsiTheme="minorHAnsi" w:cstheme="minorBidi"/>
          <w:color w:val="495965" w:themeColor="text2"/>
          <w:sz w:val="22"/>
          <w:szCs w:val="22"/>
          <w:lang w:eastAsia="en-US"/>
        </w:rPr>
        <w:t>s set</w:t>
      </w:r>
      <w:r w:rsidR="003D0F47" w:rsidRPr="007E7622">
        <w:rPr>
          <w:rFonts w:asciiTheme="minorHAnsi" w:hAnsiTheme="minorHAnsi" w:cstheme="minorBidi"/>
          <w:color w:val="495965" w:themeColor="text2"/>
          <w:sz w:val="22"/>
          <w:szCs w:val="22"/>
          <w:lang w:eastAsia="en-US"/>
        </w:rPr>
        <w:t xml:space="preserve"> under STIIP</w:t>
      </w:r>
      <w:r w:rsidRPr="007E7622">
        <w:rPr>
          <w:rFonts w:asciiTheme="minorHAnsi" w:hAnsiTheme="minorHAnsi" w:cstheme="minorBidi"/>
          <w:color w:val="495965" w:themeColor="text2"/>
          <w:sz w:val="22"/>
          <w:szCs w:val="22"/>
          <w:lang w:eastAsia="en-US"/>
        </w:rPr>
        <w:t xml:space="preserve">, the </w:t>
      </w:r>
      <w:r w:rsidR="007D3F71" w:rsidRPr="007E7622">
        <w:rPr>
          <w:rFonts w:asciiTheme="minorHAnsi" w:hAnsiTheme="minorHAnsi" w:cstheme="minorBidi"/>
          <w:color w:val="495965" w:themeColor="text2"/>
          <w:sz w:val="22"/>
          <w:szCs w:val="22"/>
          <w:lang w:eastAsia="en-US"/>
        </w:rPr>
        <w:t xml:space="preserve">continued </w:t>
      </w:r>
      <w:r w:rsidRPr="007E7622">
        <w:rPr>
          <w:rFonts w:asciiTheme="minorHAnsi" w:hAnsiTheme="minorHAnsi" w:cstheme="minorBidi"/>
          <w:color w:val="495965" w:themeColor="text2"/>
          <w:sz w:val="22"/>
          <w:szCs w:val="22"/>
          <w:lang w:eastAsia="en-US"/>
        </w:rPr>
        <w:t xml:space="preserve">slow rate of </w:t>
      </w:r>
      <w:r w:rsidR="007D3F71" w:rsidRPr="007E7622">
        <w:rPr>
          <w:rFonts w:asciiTheme="minorHAnsi" w:hAnsiTheme="minorHAnsi" w:cstheme="minorBidi"/>
          <w:color w:val="495965" w:themeColor="text2"/>
          <w:sz w:val="22"/>
          <w:szCs w:val="22"/>
          <w:lang w:eastAsia="en-US"/>
        </w:rPr>
        <w:t>project execution</w:t>
      </w:r>
      <w:r w:rsidRPr="007E7622">
        <w:rPr>
          <w:rFonts w:asciiTheme="minorHAnsi" w:hAnsiTheme="minorHAnsi" w:cstheme="minorBidi"/>
          <w:color w:val="495965" w:themeColor="text2"/>
          <w:sz w:val="22"/>
          <w:szCs w:val="22"/>
          <w:lang w:eastAsia="en-US"/>
        </w:rPr>
        <w:t xml:space="preserve"> and the high cash balance of the NTF </w:t>
      </w:r>
      <w:r w:rsidR="007D3F71" w:rsidRPr="007E7622">
        <w:rPr>
          <w:rFonts w:asciiTheme="minorHAnsi" w:hAnsiTheme="minorHAnsi" w:cstheme="minorBidi"/>
          <w:color w:val="495965" w:themeColor="text2"/>
          <w:sz w:val="22"/>
          <w:szCs w:val="22"/>
          <w:lang w:eastAsia="en-US"/>
        </w:rPr>
        <w:t xml:space="preserve">remain </w:t>
      </w:r>
      <w:r w:rsidRPr="007E7622">
        <w:rPr>
          <w:rFonts w:asciiTheme="minorHAnsi" w:hAnsiTheme="minorHAnsi" w:cstheme="minorBidi"/>
          <w:color w:val="495965" w:themeColor="text2"/>
          <w:sz w:val="22"/>
          <w:szCs w:val="22"/>
          <w:lang w:eastAsia="en-US"/>
        </w:rPr>
        <w:t>a</w:t>
      </w:r>
      <w:r w:rsidR="007D3F71" w:rsidRPr="007E7622">
        <w:rPr>
          <w:rFonts w:asciiTheme="minorHAnsi" w:hAnsiTheme="minorHAnsi" w:cstheme="minorBidi"/>
          <w:color w:val="495965" w:themeColor="text2"/>
          <w:sz w:val="22"/>
          <w:szCs w:val="22"/>
          <w:lang w:eastAsia="en-US"/>
        </w:rPr>
        <w:t>s</w:t>
      </w:r>
      <w:r w:rsidRPr="007E7622">
        <w:rPr>
          <w:rFonts w:asciiTheme="minorHAnsi" w:hAnsiTheme="minorHAnsi" w:cstheme="minorBidi"/>
          <w:color w:val="495965" w:themeColor="text2"/>
          <w:sz w:val="22"/>
          <w:szCs w:val="22"/>
          <w:lang w:eastAsia="en-US"/>
        </w:rPr>
        <w:t xml:space="preserve"> </w:t>
      </w:r>
      <w:r w:rsidR="007D3F71" w:rsidRPr="007E7622">
        <w:rPr>
          <w:rFonts w:asciiTheme="minorHAnsi" w:hAnsiTheme="minorHAnsi" w:cstheme="minorBidi"/>
          <w:color w:val="495965" w:themeColor="text2"/>
          <w:sz w:val="22"/>
          <w:szCs w:val="22"/>
          <w:lang w:eastAsia="en-US"/>
        </w:rPr>
        <w:t xml:space="preserve">major </w:t>
      </w:r>
      <w:r w:rsidRPr="007E7622">
        <w:rPr>
          <w:rFonts w:asciiTheme="minorHAnsi" w:hAnsiTheme="minorHAnsi" w:cstheme="minorBidi"/>
          <w:color w:val="495965" w:themeColor="text2"/>
          <w:sz w:val="22"/>
          <w:szCs w:val="22"/>
          <w:lang w:eastAsia="en-US"/>
        </w:rPr>
        <w:t>concern</w:t>
      </w:r>
      <w:r w:rsidR="007D3F71" w:rsidRPr="007E7622">
        <w:rPr>
          <w:rFonts w:asciiTheme="minorHAnsi" w:hAnsiTheme="minorHAnsi" w:cstheme="minorBidi"/>
          <w:color w:val="495965" w:themeColor="text2"/>
          <w:sz w:val="22"/>
          <w:szCs w:val="22"/>
          <w:lang w:eastAsia="en-US"/>
        </w:rPr>
        <w:t>s</w:t>
      </w:r>
      <w:r w:rsidRPr="007E7622">
        <w:rPr>
          <w:rFonts w:asciiTheme="minorHAnsi" w:hAnsiTheme="minorHAnsi" w:cstheme="minorBidi"/>
          <w:color w:val="495965" w:themeColor="text2"/>
          <w:sz w:val="22"/>
          <w:szCs w:val="22"/>
          <w:lang w:eastAsia="en-US"/>
        </w:rPr>
        <w:t xml:space="preserve">.  </w:t>
      </w:r>
      <w:r w:rsidR="00EE1FDC" w:rsidRPr="007E7622">
        <w:rPr>
          <w:rFonts w:asciiTheme="minorHAnsi" w:hAnsiTheme="minorHAnsi" w:cstheme="minorBidi"/>
          <w:color w:val="495965" w:themeColor="text2"/>
          <w:sz w:val="22"/>
          <w:szCs w:val="22"/>
          <w:lang w:eastAsia="en-US"/>
        </w:rPr>
        <w:t>This sector requires close focus from Australia, and our</w:t>
      </w:r>
      <w:r w:rsidR="00D555A6" w:rsidRPr="007E7622">
        <w:rPr>
          <w:rFonts w:asciiTheme="minorHAnsi" w:hAnsiTheme="minorHAnsi" w:cstheme="minorBidi"/>
          <w:color w:val="495965" w:themeColor="text2"/>
          <w:sz w:val="22"/>
          <w:szCs w:val="22"/>
          <w:lang w:eastAsia="en-US"/>
        </w:rPr>
        <w:t xml:space="preserve"> ongoing</w:t>
      </w:r>
      <w:r w:rsidR="00EE1FDC" w:rsidRPr="007E7622">
        <w:rPr>
          <w:rFonts w:asciiTheme="minorHAnsi" w:hAnsiTheme="minorHAnsi" w:cstheme="minorBidi"/>
          <w:color w:val="495965" w:themeColor="text2"/>
          <w:sz w:val="22"/>
          <w:szCs w:val="22"/>
          <w:lang w:eastAsia="en-US"/>
        </w:rPr>
        <w:t xml:space="preserve"> approach to supporting transport infrastructure will be </w:t>
      </w:r>
      <w:r w:rsidR="00D555A6" w:rsidRPr="007E7622">
        <w:rPr>
          <w:rFonts w:asciiTheme="minorHAnsi" w:hAnsiTheme="minorHAnsi" w:cstheme="minorBidi"/>
          <w:color w:val="495965" w:themeColor="text2"/>
          <w:sz w:val="22"/>
          <w:szCs w:val="22"/>
          <w:lang w:eastAsia="en-US"/>
        </w:rPr>
        <w:t>revisited</w:t>
      </w:r>
      <w:r w:rsidR="00EE1FDC" w:rsidRPr="007E7622">
        <w:rPr>
          <w:rFonts w:asciiTheme="minorHAnsi" w:hAnsiTheme="minorHAnsi" w:cstheme="minorBidi"/>
          <w:color w:val="495965" w:themeColor="text2"/>
          <w:sz w:val="22"/>
          <w:szCs w:val="22"/>
          <w:lang w:eastAsia="en-US"/>
        </w:rPr>
        <w:t xml:space="preserve"> in the coming year</w:t>
      </w:r>
      <w:r w:rsidR="00EE1FDC" w:rsidRPr="00C3377C">
        <w:rPr>
          <w:rFonts w:asciiTheme="minorHAnsi" w:hAnsiTheme="minorHAnsi" w:cstheme="minorBidi"/>
          <w:sz w:val="22"/>
          <w:szCs w:val="22"/>
          <w:lang w:eastAsia="en-US"/>
        </w:rPr>
        <w:t>.</w:t>
      </w:r>
      <w:r w:rsidR="00EE1FDC" w:rsidRPr="00D555A6">
        <w:rPr>
          <w:rFonts w:eastAsiaTheme="minorHAnsi"/>
        </w:rPr>
        <w:t xml:space="preserve"> </w:t>
      </w:r>
    </w:p>
    <w:p w:rsidR="00512D92" w:rsidRPr="003A7DD2" w:rsidRDefault="00EE1FDC" w:rsidP="00C3377C">
      <w:pPr>
        <w:spacing w:line="240" w:lineRule="auto"/>
      </w:pPr>
      <w:r w:rsidRPr="00A71A9C">
        <w:rPr>
          <w:rFonts w:eastAsia="Calibri"/>
          <w:b/>
        </w:rPr>
        <w:t xml:space="preserve">Australia successfully transitioned out of the urban water </w:t>
      </w:r>
      <w:r>
        <w:rPr>
          <w:rFonts w:eastAsia="Calibri"/>
          <w:b/>
        </w:rPr>
        <w:t xml:space="preserve">sector with impressive </w:t>
      </w:r>
      <w:r w:rsidR="000C58F1">
        <w:rPr>
          <w:rFonts w:eastAsia="Calibri"/>
          <w:b/>
        </w:rPr>
        <w:t>results</w:t>
      </w:r>
      <w:r w:rsidR="00C3377C">
        <w:rPr>
          <w:rFonts w:eastAsia="Calibri"/>
          <w:b/>
        </w:rPr>
        <w:t xml:space="preserve">. </w:t>
      </w:r>
      <w:r w:rsidR="000C58F1">
        <w:rPr>
          <w:rFonts w:eastAsia="Calibri"/>
          <w:b/>
        </w:rPr>
        <w:t xml:space="preserve"> </w:t>
      </w:r>
      <w:r w:rsidR="000C58F1" w:rsidRPr="00C3377C">
        <w:rPr>
          <w:rFonts w:eastAsia="Calibri"/>
        </w:rPr>
        <w:t>Australia’s</w:t>
      </w:r>
      <w:r w:rsidRPr="00B2370D">
        <w:rPr>
          <w:rFonts w:eastAsia="Calibri"/>
        </w:rPr>
        <w:t xml:space="preserve"> support to the Solomon Isla</w:t>
      </w:r>
      <w:r w:rsidR="003A7DD2">
        <w:rPr>
          <w:rFonts w:eastAsia="Calibri"/>
        </w:rPr>
        <w:t>nds Water Authority (SIWA) enabled SIWA</w:t>
      </w:r>
      <w:r w:rsidR="00C10B7A">
        <w:rPr>
          <w:rFonts w:eastAsia="Calibri"/>
        </w:rPr>
        <w:t xml:space="preserve"> to deliver</w:t>
      </w:r>
      <w:r>
        <w:rPr>
          <w:rFonts w:eastAsia="Calibri"/>
        </w:rPr>
        <w:t xml:space="preserve"> water in Honiara </w:t>
      </w:r>
      <w:r w:rsidR="00512D92">
        <w:rPr>
          <w:rFonts w:eastAsia="Calibri"/>
        </w:rPr>
        <w:t xml:space="preserve">22 </w:t>
      </w:r>
      <w:r>
        <w:rPr>
          <w:rFonts w:eastAsia="Calibri"/>
        </w:rPr>
        <w:t>hours a day (as per target) and meet WHO standards for quality (as per target).  Australia transitioned out of the secto</w:t>
      </w:r>
      <w:r w:rsidR="003A7DD2">
        <w:rPr>
          <w:rFonts w:eastAsia="Calibri"/>
        </w:rPr>
        <w:t xml:space="preserve">r during the reporting period, </w:t>
      </w:r>
      <w:r w:rsidR="00512D92">
        <w:rPr>
          <w:rFonts w:eastAsia="Calibri"/>
        </w:rPr>
        <w:t xml:space="preserve">and successfully advocated for the multilateral banks to </w:t>
      </w:r>
      <w:r w:rsidR="00296E3E">
        <w:rPr>
          <w:rFonts w:eastAsia="Calibri"/>
        </w:rPr>
        <w:t>lead future support</w:t>
      </w:r>
      <w:r w:rsidR="005C6BF3">
        <w:rPr>
          <w:rFonts w:eastAsia="Calibri"/>
        </w:rPr>
        <w:t>.</w:t>
      </w:r>
    </w:p>
    <w:p w:rsidR="00EE1FDC" w:rsidRDefault="00EE1FDC" w:rsidP="00EE1FDC">
      <w:pPr>
        <w:autoSpaceDE w:val="0"/>
        <w:autoSpaceDN w:val="0"/>
        <w:adjustRightInd w:val="0"/>
        <w:spacing w:after="0" w:line="240" w:lineRule="auto"/>
      </w:pPr>
      <w:r w:rsidRPr="00A71A9C">
        <w:rPr>
          <w:b/>
        </w:rPr>
        <w:t xml:space="preserve">Our support to the Solomon Islands Chamber of Commerce and Industry </w:t>
      </w:r>
      <w:r>
        <w:rPr>
          <w:b/>
        </w:rPr>
        <w:t>(SICCI) allow</w:t>
      </w:r>
      <w:r w:rsidR="00EC3EED">
        <w:rPr>
          <w:b/>
        </w:rPr>
        <w:t>ed</w:t>
      </w:r>
      <w:r>
        <w:rPr>
          <w:b/>
        </w:rPr>
        <w:t xml:space="preserve"> business to engage with government on its reform agenda</w:t>
      </w:r>
      <w:r w:rsidR="00C10B7A">
        <w:t xml:space="preserve">. </w:t>
      </w:r>
      <w:r>
        <w:t xml:space="preserve">SICCI signed an MOU with the Government in July, and </w:t>
      </w:r>
      <w:r w:rsidR="00296AD2">
        <w:t xml:space="preserve">secured </w:t>
      </w:r>
      <w:r>
        <w:t xml:space="preserve">the </w:t>
      </w:r>
      <w:r w:rsidR="00C10B7A">
        <w:lastRenderedPageBreak/>
        <w:t xml:space="preserve">Solomon Islands </w:t>
      </w:r>
      <w:r>
        <w:t>P</w:t>
      </w:r>
      <w:r w:rsidR="00296AD2">
        <w:t xml:space="preserve">rime Minister as </w:t>
      </w:r>
      <w:r>
        <w:t>a keynote speaker at a SICCI event.  There was emerging evidence of influence, through SICCIs engagement in discussions on the tax review.</w:t>
      </w:r>
      <w:r w:rsidR="00EC3EED">
        <w:t xml:space="preserve"> </w:t>
      </w:r>
      <w:r w:rsidRPr="006F2738">
        <w:t xml:space="preserve"> SICCI also work</w:t>
      </w:r>
      <w:r w:rsidR="00EC3EED">
        <w:t>ed</w:t>
      </w:r>
      <w:r w:rsidRPr="006F2738">
        <w:t xml:space="preserve"> to support a review of tax policy through engagement with the Tax Review Consultative Committee. Australia support</w:t>
      </w:r>
      <w:r w:rsidR="00EC3EED">
        <w:t>ed</w:t>
      </w:r>
      <w:r w:rsidRPr="006F2738">
        <w:t xml:space="preserve"> a technical adviser in the Ministry of Finance and Treasury, </w:t>
      </w:r>
      <w:r w:rsidR="00296AD2">
        <w:t>supporting work</w:t>
      </w:r>
      <w:r w:rsidRPr="006F2738">
        <w:t xml:space="preserve"> on </w:t>
      </w:r>
      <w:r w:rsidR="00296E3E">
        <w:t>Solomon Islands’</w:t>
      </w:r>
      <w:r w:rsidRPr="006F2738">
        <w:t xml:space="preserve"> tax review.</w:t>
      </w:r>
    </w:p>
    <w:p w:rsidR="00EE1FDC" w:rsidRPr="000C58F1" w:rsidRDefault="00EE1FDC" w:rsidP="008C3E0E">
      <w:pPr>
        <w:spacing w:after="120" w:line="260" w:lineRule="atLeast"/>
      </w:pPr>
      <w:r w:rsidRPr="00FB0866">
        <w:rPr>
          <w:rFonts w:eastAsia="Calibri"/>
          <w:b/>
        </w:rPr>
        <w:t>Australia work</w:t>
      </w:r>
      <w:r w:rsidR="00EC3EED">
        <w:rPr>
          <w:rFonts w:eastAsia="Calibri"/>
          <w:b/>
        </w:rPr>
        <w:t xml:space="preserve">ed </w:t>
      </w:r>
      <w:r w:rsidRPr="00FB0866">
        <w:rPr>
          <w:rFonts w:eastAsia="Calibri"/>
          <w:b/>
        </w:rPr>
        <w:t>to improv</w:t>
      </w:r>
      <w:r w:rsidR="00EC3EED">
        <w:rPr>
          <w:rFonts w:eastAsia="Calibri"/>
          <w:b/>
        </w:rPr>
        <w:t>e</w:t>
      </w:r>
      <w:r w:rsidRPr="00FB0866">
        <w:rPr>
          <w:rFonts w:eastAsia="Calibri"/>
          <w:b/>
        </w:rPr>
        <w:t xml:space="preserve"> the participation and empowerment of women in the workforce.</w:t>
      </w:r>
      <w:r w:rsidRPr="00FB0866">
        <w:rPr>
          <w:rFonts w:eastAsia="Calibri"/>
        </w:rPr>
        <w:t xml:space="preserve">  </w:t>
      </w:r>
      <w:r w:rsidR="00EC3EED">
        <w:rPr>
          <w:rFonts w:eastAsia="Calibri"/>
        </w:rPr>
        <w:t>The</w:t>
      </w:r>
      <w:r w:rsidRPr="00FB0866">
        <w:rPr>
          <w:rFonts w:eastAsia="Calibri"/>
        </w:rPr>
        <w:t xml:space="preserve"> partnership with the International Finance Corporation provide</w:t>
      </w:r>
      <w:r w:rsidR="00EC3EED">
        <w:rPr>
          <w:rFonts w:eastAsia="Calibri"/>
        </w:rPr>
        <w:t>d</w:t>
      </w:r>
      <w:r w:rsidRPr="00FB0866">
        <w:rPr>
          <w:rFonts w:eastAsia="Calibri"/>
        </w:rPr>
        <w:t xml:space="preserve"> women with </w:t>
      </w:r>
      <w:r w:rsidR="00012974">
        <w:rPr>
          <w:rFonts w:eastAsia="Calibri"/>
        </w:rPr>
        <w:t xml:space="preserve">accredited </w:t>
      </w:r>
      <w:r w:rsidRPr="00FB0866">
        <w:rPr>
          <w:rFonts w:eastAsia="Calibri"/>
        </w:rPr>
        <w:t>qualifications in manageme</w:t>
      </w:r>
      <w:r>
        <w:rPr>
          <w:rFonts w:eastAsia="Calibri"/>
        </w:rPr>
        <w:t>nt and leadership</w:t>
      </w:r>
      <w:r w:rsidRPr="00FB0866">
        <w:rPr>
          <w:rFonts w:eastAsia="Calibri"/>
        </w:rPr>
        <w:t>, work</w:t>
      </w:r>
      <w:r w:rsidR="00EC3EED">
        <w:rPr>
          <w:rFonts w:eastAsia="Calibri"/>
        </w:rPr>
        <w:t>ed</w:t>
      </w:r>
      <w:r w:rsidRPr="00FB0866">
        <w:rPr>
          <w:rFonts w:eastAsia="Calibri"/>
        </w:rPr>
        <w:t xml:space="preserve"> with business to improve gender equality polices and encourage</w:t>
      </w:r>
      <w:r w:rsidR="00EC3EED">
        <w:rPr>
          <w:rFonts w:eastAsia="Calibri"/>
        </w:rPr>
        <w:t>d</w:t>
      </w:r>
      <w:r w:rsidRPr="00FB0866">
        <w:rPr>
          <w:rFonts w:eastAsia="Calibri"/>
        </w:rPr>
        <w:t xml:space="preserve"> women into non-traditional roles.</w:t>
      </w:r>
      <w:r>
        <w:rPr>
          <w:rFonts w:eastAsia="Calibri"/>
        </w:rPr>
        <w:t xml:space="preserve">  </w:t>
      </w:r>
      <w:r w:rsidR="000C58F1">
        <w:rPr>
          <w:rFonts w:eastAsia="Calibri"/>
        </w:rPr>
        <w:t>Seventeen</w:t>
      </w:r>
      <w:r w:rsidR="00225880">
        <w:rPr>
          <w:rFonts w:eastAsia="Calibri"/>
        </w:rPr>
        <w:t xml:space="preserve"> </w:t>
      </w:r>
      <w:r>
        <w:rPr>
          <w:rFonts w:eastAsia="Calibri"/>
        </w:rPr>
        <w:t>companies</w:t>
      </w:r>
      <w:r w:rsidR="00763184">
        <w:rPr>
          <w:rFonts w:eastAsia="Calibri"/>
        </w:rPr>
        <w:t>, including 15 companies with over 100 employees,</w:t>
      </w:r>
      <w:r>
        <w:rPr>
          <w:rFonts w:eastAsia="Calibri"/>
        </w:rPr>
        <w:t xml:space="preserve"> </w:t>
      </w:r>
      <w:r w:rsidR="00547451">
        <w:rPr>
          <w:rFonts w:eastAsia="Calibri"/>
        </w:rPr>
        <w:t xml:space="preserve">agreed to implement ‘gender smart’ employment solutions and </w:t>
      </w:r>
      <w:r>
        <w:rPr>
          <w:rFonts w:eastAsia="Calibri"/>
        </w:rPr>
        <w:t xml:space="preserve">signed up </w:t>
      </w:r>
      <w:r w:rsidR="00763184">
        <w:rPr>
          <w:rFonts w:eastAsia="Calibri"/>
        </w:rPr>
        <w:t>to the Waka Mere Commitment to Action in</w:t>
      </w:r>
      <w:r>
        <w:rPr>
          <w:rFonts w:eastAsia="Calibri"/>
        </w:rPr>
        <w:t xml:space="preserve"> 2017-18.  Australia’s support to the </w:t>
      </w:r>
      <w:r w:rsidRPr="00571CC1">
        <w:rPr>
          <w:rFonts w:eastAsia="Calibri"/>
        </w:rPr>
        <w:t>Solomon Isla</w:t>
      </w:r>
      <w:r w:rsidR="007C1EFE">
        <w:rPr>
          <w:rFonts w:eastAsia="Calibri"/>
        </w:rPr>
        <w:t>nds Professional Network</w:t>
      </w:r>
      <w:r w:rsidRPr="00571CC1">
        <w:rPr>
          <w:rFonts w:eastAsia="Calibri"/>
        </w:rPr>
        <w:t xml:space="preserve"> of women resulted in 84 women members by January 2018</w:t>
      </w:r>
      <w:r w:rsidR="00FB07BA">
        <w:rPr>
          <w:rFonts w:eastAsia="Calibri"/>
        </w:rPr>
        <w:t>.</w:t>
      </w:r>
      <w:r>
        <w:rPr>
          <w:rFonts w:eastAsia="Calibri"/>
        </w:rPr>
        <w:t xml:space="preserve">  A</w:t>
      </w:r>
      <w:r>
        <w:t>ustralia also support</w:t>
      </w:r>
      <w:r w:rsidR="00EC3EED">
        <w:t>ed</w:t>
      </w:r>
      <w:r>
        <w:t xml:space="preserve"> the </w:t>
      </w:r>
      <w:r w:rsidRPr="007C1EFE">
        <w:rPr>
          <w:bCs/>
          <w:iCs/>
        </w:rPr>
        <w:t xml:space="preserve">Solomon Islands Women in Business Association </w:t>
      </w:r>
      <w:r w:rsidRPr="007C1EFE">
        <w:t>(</w:t>
      </w:r>
      <w:r w:rsidRPr="007C1EFE">
        <w:rPr>
          <w:bCs/>
          <w:iCs/>
        </w:rPr>
        <w:t>SIWIBA</w:t>
      </w:r>
      <w:r w:rsidRPr="007C1EFE">
        <w:rPr>
          <w:bCs/>
        </w:rPr>
        <w:t xml:space="preserve">), </w:t>
      </w:r>
      <w:r w:rsidR="009B2719">
        <w:t>which</w:t>
      </w:r>
      <w:r>
        <w:t xml:space="preserve"> represents women small-business holders in the f</w:t>
      </w:r>
      <w:r w:rsidR="003A7DD2">
        <w:t xml:space="preserve">ormal and informal sectors.  </w:t>
      </w:r>
    </w:p>
    <w:p w:rsidR="000B43C5" w:rsidRPr="007E7622" w:rsidRDefault="00EE1FDC" w:rsidP="007E7622">
      <w:r w:rsidRPr="00A13D37">
        <w:rPr>
          <w:b/>
        </w:rPr>
        <w:t xml:space="preserve">In 2017-18, </w:t>
      </w:r>
      <w:r w:rsidR="000C58F1">
        <w:rPr>
          <w:b/>
        </w:rPr>
        <w:t>25</w:t>
      </w:r>
      <w:r w:rsidRPr="00A13D37">
        <w:rPr>
          <w:b/>
        </w:rPr>
        <w:t xml:space="preserve"> per cent of aid activities in Solomon Islands supported the Aid for Trade agenda, eclipsing the 20 per cent target.</w:t>
      </w:r>
      <w:r w:rsidR="003A7DD2">
        <w:rPr>
          <w:b/>
        </w:rPr>
        <w:t xml:space="preserve"> </w:t>
      </w:r>
      <w:r w:rsidRPr="00511734">
        <w:t xml:space="preserve"> </w:t>
      </w:r>
      <w:r w:rsidR="00EC3EED">
        <w:t>The Pacific Horticultural and Agricultural Market Access Program (</w:t>
      </w:r>
      <w:r w:rsidR="00395BA4">
        <w:t>PHAMA</w:t>
      </w:r>
      <w:r w:rsidR="00EC3EED">
        <w:t>)</w:t>
      </w:r>
      <w:r w:rsidR="00395BA4">
        <w:t xml:space="preserve"> aims to overcome trade-related issues and improve access to international markets to drive economic growth. In 2017</w:t>
      </w:r>
      <w:r w:rsidR="00EC3EED">
        <w:t>-</w:t>
      </w:r>
      <w:r w:rsidR="00395BA4">
        <w:t>18, PHAMA supported the Solomon Islands Competent Authority preparation for an EU food safety fisheries audit, which was completed</w:t>
      </w:r>
      <w:r w:rsidR="00537079">
        <w:t xml:space="preserve"> in December 2017, ensuring $60 million</w:t>
      </w:r>
      <w:r w:rsidR="00395BA4">
        <w:t xml:space="preserve"> per annum trade of fish to the EU.</w:t>
      </w:r>
      <w:r w:rsidR="00537079">
        <w:t xml:space="preserve"> </w:t>
      </w:r>
      <w:r w:rsidR="00395BA4">
        <w:t xml:space="preserve"> PHAMA also supported Solomon Islands’ cocoa trade facilitation, resulting in sales of 42 tonnes of sun-dried cocoa to international boutique markets at 160</w:t>
      </w:r>
      <w:r w:rsidR="00616313">
        <w:t xml:space="preserve"> per cent</w:t>
      </w:r>
      <w:r w:rsidR="00395BA4">
        <w:t xml:space="preserve"> above market price. </w:t>
      </w:r>
      <w:r w:rsidR="00395BA4" w:rsidRPr="00BC6BDF">
        <w:rPr>
          <w:bCs/>
        </w:rPr>
        <w:t>In 2017</w:t>
      </w:r>
      <w:r w:rsidR="00EC3EED">
        <w:rPr>
          <w:bCs/>
        </w:rPr>
        <w:t>-</w:t>
      </w:r>
      <w:r w:rsidR="00395BA4" w:rsidRPr="00BC6BDF">
        <w:rPr>
          <w:bCs/>
        </w:rPr>
        <w:t>18,</w:t>
      </w:r>
      <w:r w:rsidR="00395BA4">
        <w:rPr>
          <w:b/>
          <w:bCs/>
        </w:rPr>
        <w:t xml:space="preserve"> </w:t>
      </w:r>
      <w:r w:rsidR="00395BA4">
        <w:t>Solomon Islands Cocoa Quality Manual was launched, and PHAMA provided sheds, equipment and eight cocoa solar dryers to farmers, as well as training on cocoa farming practice.</w:t>
      </w:r>
    </w:p>
    <w:p w:rsidR="002737BD" w:rsidRDefault="002737BD" w:rsidP="002737BD">
      <w:pPr>
        <w:spacing w:before="20" w:after="20" w:line="180" w:lineRule="atLeast"/>
        <w:jc w:val="both"/>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 xml:space="preserve">Objective 2B: </w:t>
      </w:r>
      <w:r w:rsidR="007E7622">
        <w:rPr>
          <w:rFonts w:asciiTheme="majorHAnsi" w:eastAsiaTheme="majorEastAsia" w:hAnsiTheme="majorHAnsi" w:cstheme="majorBidi"/>
          <w:caps/>
          <w:sz w:val="38"/>
          <w:szCs w:val="26"/>
        </w:rPr>
        <w:t>INcreased ability to earn cash</w:t>
      </w:r>
      <w:r w:rsidR="008E1436">
        <w:rPr>
          <w:rFonts w:asciiTheme="majorHAnsi" w:eastAsiaTheme="majorEastAsia" w:hAnsiTheme="majorHAnsi" w:cstheme="majorBidi"/>
          <w:caps/>
          <w:sz w:val="38"/>
          <w:szCs w:val="26"/>
        </w:rPr>
        <w:t xml:space="preserve"> income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521"/>
        <w:gridCol w:w="1523"/>
        <w:gridCol w:w="1523"/>
        <w:gridCol w:w="1522"/>
        <w:gridCol w:w="1523"/>
      </w:tblGrid>
      <w:tr w:rsidR="00D3579B" w:rsidTr="00BE2227">
        <w:tc>
          <w:tcPr>
            <w:tcW w:w="2016" w:type="dxa"/>
            <w:vAlign w:val="center"/>
          </w:tcPr>
          <w:p w:rsidR="00D3579B" w:rsidRDefault="00D3579B" w:rsidP="00BE2227">
            <w:pPr>
              <w:spacing w:before="20" w:after="20" w:line="180" w:lineRule="atLeast"/>
              <w:jc w:val="both"/>
              <w:rPr>
                <w:rFonts w:asciiTheme="majorHAnsi" w:eastAsiaTheme="majorEastAsia" w:hAnsiTheme="majorHAnsi" w:cstheme="majorBidi"/>
                <w:caps/>
                <w:sz w:val="38"/>
                <w:szCs w:val="26"/>
              </w:rPr>
            </w:pPr>
            <w:r>
              <w:rPr>
                <w:rFonts w:asciiTheme="majorHAnsi" w:eastAsiaTheme="majorEastAsia" w:hAnsiTheme="majorHAnsi" w:cstheme="majorBidi"/>
                <w:caps/>
                <w:noProof/>
                <w:sz w:val="38"/>
                <w:szCs w:val="26"/>
                <w:lang w:val="en-AU" w:eastAsia="en-AU"/>
              </w:rPr>
              <w:drawing>
                <wp:inline distT="0" distB="0" distL="0" distR="0" wp14:anchorId="70F1B685" wp14:editId="03F3FB4A">
                  <wp:extent cx="1137600" cy="720000"/>
                  <wp:effectExtent l="0" t="0" r="5715" b="444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521" w:type="dxa"/>
            <w:vAlign w:val="center"/>
          </w:tcPr>
          <w:p w:rsidR="00D3579B" w:rsidRDefault="00D3579B" w:rsidP="00BE2227">
            <w:pPr>
              <w:spacing w:before="20" w:after="20" w:line="180" w:lineRule="atLeast"/>
              <w:jc w:val="both"/>
              <w:rPr>
                <w:rFonts w:asciiTheme="majorHAnsi" w:eastAsiaTheme="majorEastAsia" w:hAnsiTheme="majorHAnsi" w:cstheme="majorBidi"/>
                <w:caps/>
                <w:sz w:val="38"/>
                <w:szCs w:val="26"/>
              </w:rPr>
            </w:pPr>
            <w:r w:rsidRPr="00F75380">
              <w:rPr>
                <w:noProof/>
                <w:lang w:val="en-AU" w:eastAsia="en-AU"/>
              </w:rPr>
              <w:drawing>
                <wp:inline distT="0" distB="0" distL="0" distR="0" wp14:anchorId="41FBF9CF" wp14:editId="7AAB4F51">
                  <wp:extent cx="612000" cy="612000"/>
                  <wp:effectExtent l="0" t="0" r="0" b="0"/>
                  <wp:docPr id="81" name="Picture 81"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1523" w:type="dxa"/>
            <w:vAlign w:val="center"/>
          </w:tcPr>
          <w:p w:rsidR="00D3579B" w:rsidRDefault="00D3579B" w:rsidP="00BE2227">
            <w:pPr>
              <w:spacing w:before="20" w:after="20" w:line="180" w:lineRule="atLeast"/>
              <w:jc w:val="both"/>
              <w:rPr>
                <w:rFonts w:asciiTheme="majorHAnsi" w:eastAsiaTheme="majorEastAsia" w:hAnsiTheme="majorHAnsi" w:cstheme="majorBidi"/>
                <w:caps/>
                <w:sz w:val="38"/>
                <w:szCs w:val="26"/>
              </w:rPr>
            </w:pPr>
            <w:r>
              <w:rPr>
                <w:noProof/>
                <w:lang w:val="en-AU" w:eastAsia="en-AU"/>
              </w:rPr>
              <w:drawing>
                <wp:inline distT="0" distB="0" distL="0" distR="0" wp14:anchorId="190EBD74" wp14:editId="6586DBB0">
                  <wp:extent cx="612000" cy="6120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523" w:type="dxa"/>
            <w:vAlign w:val="center"/>
          </w:tcPr>
          <w:p w:rsidR="00D3579B" w:rsidRDefault="00D3579B" w:rsidP="00BE2227">
            <w:pPr>
              <w:spacing w:before="20" w:after="20" w:line="180" w:lineRule="atLeast"/>
              <w:jc w:val="both"/>
              <w:rPr>
                <w:rFonts w:asciiTheme="majorHAnsi" w:eastAsiaTheme="majorEastAsia" w:hAnsiTheme="majorHAnsi" w:cstheme="majorBidi"/>
                <w:caps/>
                <w:sz w:val="38"/>
                <w:szCs w:val="26"/>
              </w:rPr>
            </w:pPr>
            <w:r>
              <w:rPr>
                <w:noProof/>
                <w:lang w:val="en-AU" w:eastAsia="en-AU"/>
              </w:rPr>
              <w:drawing>
                <wp:inline distT="0" distB="0" distL="0" distR="0" wp14:anchorId="01A6D2E5" wp14:editId="77F55A81">
                  <wp:extent cx="612000" cy="61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522" w:type="dxa"/>
            <w:vAlign w:val="center"/>
          </w:tcPr>
          <w:p w:rsidR="00D3579B" w:rsidRDefault="00D3579B" w:rsidP="00BE2227">
            <w:pPr>
              <w:spacing w:before="20" w:after="20" w:line="180" w:lineRule="atLeast"/>
              <w:jc w:val="both"/>
              <w:rPr>
                <w:rFonts w:asciiTheme="majorHAnsi" w:eastAsiaTheme="majorEastAsia" w:hAnsiTheme="majorHAnsi" w:cstheme="majorBidi"/>
                <w:caps/>
                <w:sz w:val="38"/>
                <w:szCs w:val="26"/>
              </w:rPr>
            </w:pPr>
            <w:r>
              <w:rPr>
                <w:noProof/>
                <w:lang w:val="en-AU" w:eastAsia="en-AU"/>
              </w:rPr>
              <w:drawing>
                <wp:inline distT="0" distB="0" distL="0" distR="0" wp14:anchorId="1A9DF35D" wp14:editId="388DF666">
                  <wp:extent cx="612000" cy="6120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523" w:type="dxa"/>
            <w:vAlign w:val="center"/>
          </w:tcPr>
          <w:p w:rsidR="00D3579B" w:rsidRDefault="00D3579B" w:rsidP="00BE2227">
            <w:pPr>
              <w:spacing w:before="20" w:after="20" w:line="180" w:lineRule="atLeast"/>
              <w:jc w:val="both"/>
              <w:rPr>
                <w:rFonts w:asciiTheme="majorHAnsi" w:eastAsiaTheme="majorEastAsia" w:hAnsiTheme="majorHAnsi" w:cstheme="majorBidi"/>
                <w:caps/>
                <w:sz w:val="38"/>
                <w:szCs w:val="26"/>
              </w:rPr>
            </w:pPr>
            <w:r>
              <w:rPr>
                <w:noProof/>
                <w:lang w:val="en-AU" w:eastAsia="en-AU"/>
              </w:rPr>
              <w:drawing>
                <wp:inline distT="0" distB="0" distL="0" distR="0" wp14:anchorId="39328910" wp14:editId="62C0F4C4">
                  <wp:extent cx="609600" cy="609600"/>
                  <wp:effectExtent l="0" t="0" r="0" b="0"/>
                  <wp:docPr id="83" name="Picture 8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r>
    </w:tbl>
    <w:p w:rsidR="00EE1FDC" w:rsidRDefault="00EE1FDC" w:rsidP="00EE1FDC">
      <w:pPr>
        <w:rPr>
          <w:rFonts w:eastAsia="Times New Roman"/>
          <w:i/>
        </w:rPr>
      </w:pPr>
      <w:r>
        <w:rPr>
          <w:b/>
        </w:rPr>
        <w:t>Enabling economic growth 2B</w:t>
      </w:r>
      <w:r w:rsidRPr="00C222E5">
        <w:rPr>
          <w:b/>
        </w:rPr>
        <w:t>:</w:t>
      </w:r>
      <w:r>
        <w:rPr>
          <w:b/>
        </w:rPr>
        <w:t xml:space="preserve"> </w:t>
      </w:r>
      <w:r w:rsidRPr="00C222E5">
        <w:rPr>
          <w:b/>
        </w:rPr>
        <w:t xml:space="preserve"> </w:t>
      </w:r>
      <w:r>
        <w:rPr>
          <w:b/>
        </w:rPr>
        <w:t>More men and women are able to earn a cash-based income</w:t>
      </w:r>
      <w:r w:rsidRPr="00601D80">
        <w:rPr>
          <w:b/>
        </w:rPr>
        <w:t xml:space="preserve">.  </w:t>
      </w:r>
      <w:r w:rsidRPr="00601D80">
        <w:rPr>
          <w:rFonts w:eastAsia="Times New Roman"/>
          <w:i/>
        </w:rPr>
        <w:t xml:space="preserve">Progress towards this outcome is rated </w:t>
      </w:r>
      <w:r w:rsidR="005E4216" w:rsidRPr="00601D80">
        <w:rPr>
          <w:rFonts w:eastAsia="Times New Roman"/>
          <w:i/>
        </w:rPr>
        <w:t>orange</w:t>
      </w:r>
      <w:r w:rsidR="00EC3EED" w:rsidRPr="00601D80">
        <w:rPr>
          <w:rFonts w:eastAsia="Times New Roman"/>
          <w:i/>
        </w:rPr>
        <w:t xml:space="preserve">.  </w:t>
      </w:r>
      <w:r w:rsidR="005A5B5C" w:rsidRPr="00601D80">
        <w:rPr>
          <w:rFonts w:eastAsia="Times New Roman"/>
          <w:i/>
        </w:rPr>
        <w:t xml:space="preserve">Work under this objective </w:t>
      </w:r>
      <w:r w:rsidR="007C1EFE" w:rsidRPr="00601D80">
        <w:rPr>
          <w:rFonts w:eastAsia="Times New Roman"/>
          <w:i/>
        </w:rPr>
        <w:t>scaled up over the period</w:t>
      </w:r>
      <w:r w:rsidR="00443D68" w:rsidRPr="00601D80">
        <w:rPr>
          <w:rFonts w:eastAsia="Times New Roman"/>
          <w:i/>
        </w:rPr>
        <w:t>, including the launch of a new program to strengthen busines</w:t>
      </w:r>
      <w:r w:rsidR="00CA6EEA" w:rsidRPr="00601D80">
        <w:rPr>
          <w:rFonts w:eastAsia="Times New Roman"/>
          <w:i/>
        </w:rPr>
        <w:t>s</w:t>
      </w:r>
      <w:r w:rsidR="00443D68" w:rsidRPr="00601D80">
        <w:rPr>
          <w:rFonts w:eastAsia="Times New Roman"/>
          <w:i/>
        </w:rPr>
        <w:t xml:space="preserve"> and </w:t>
      </w:r>
      <w:r w:rsidR="005A5B5C" w:rsidRPr="00601D80">
        <w:rPr>
          <w:rFonts w:eastAsia="Times New Roman"/>
          <w:i/>
        </w:rPr>
        <w:t>a ramp up of</w:t>
      </w:r>
      <w:r w:rsidR="00443D68" w:rsidRPr="00601D80">
        <w:rPr>
          <w:rFonts w:eastAsia="Times New Roman"/>
          <w:i/>
        </w:rPr>
        <w:t xml:space="preserve"> work on</w:t>
      </w:r>
      <w:r w:rsidR="00EC3EED" w:rsidRPr="00601D80">
        <w:rPr>
          <w:rFonts w:eastAsia="Times New Roman"/>
          <w:i/>
        </w:rPr>
        <w:t xml:space="preserve"> labour mobility</w:t>
      </w:r>
      <w:r w:rsidR="00CA6EEA" w:rsidRPr="00601D80">
        <w:rPr>
          <w:rFonts w:eastAsia="Times New Roman"/>
          <w:i/>
        </w:rPr>
        <w:t>, and progress indicators were on track</w:t>
      </w:r>
      <w:r w:rsidR="00443D68" w:rsidRPr="00601D80">
        <w:rPr>
          <w:rFonts w:eastAsia="Times New Roman"/>
          <w:i/>
        </w:rPr>
        <w:t>.</w:t>
      </w:r>
      <w:r w:rsidR="005A5B5C" w:rsidRPr="00601D80">
        <w:rPr>
          <w:rFonts w:eastAsia="Times New Roman"/>
          <w:i/>
        </w:rPr>
        <w:t xml:space="preserve"> However, our overall assessment is that activities do not yet amount to a sustained contribution to the objective of improving incomes, especially rural incomes.</w:t>
      </w:r>
      <w:r w:rsidR="005A5B5C">
        <w:rPr>
          <w:rFonts w:eastAsia="Times New Roman"/>
          <w:i/>
        </w:rPr>
        <w:t xml:space="preserve">  </w:t>
      </w:r>
      <w:r w:rsidR="00443D68">
        <w:rPr>
          <w:rFonts w:eastAsia="Times New Roman"/>
          <w:i/>
        </w:rPr>
        <w:t xml:space="preserve">  </w:t>
      </w:r>
    </w:p>
    <w:p w:rsidR="00BC12F4" w:rsidRDefault="00EE1FDC" w:rsidP="00EE1FDC">
      <w:pPr>
        <w:spacing w:after="120" w:line="260" w:lineRule="atLeast"/>
        <w:rPr>
          <w:lang w:val="en-US"/>
        </w:rPr>
      </w:pPr>
      <w:r w:rsidRPr="006549AA">
        <w:rPr>
          <w:b/>
          <w:lang w:val="en-US"/>
        </w:rPr>
        <w:t xml:space="preserve">Australia launched a new </w:t>
      </w:r>
      <w:r>
        <w:rPr>
          <w:b/>
          <w:lang w:val="en-US"/>
        </w:rPr>
        <w:t xml:space="preserve">flagship </w:t>
      </w:r>
      <w:r w:rsidRPr="006549AA">
        <w:rPr>
          <w:b/>
          <w:lang w:val="en-US"/>
        </w:rPr>
        <w:t xml:space="preserve">program </w:t>
      </w:r>
      <w:r>
        <w:rPr>
          <w:b/>
          <w:lang w:val="en-US"/>
        </w:rPr>
        <w:t xml:space="preserve">in July 2017 </w:t>
      </w:r>
      <w:r w:rsidRPr="006549AA">
        <w:rPr>
          <w:b/>
          <w:lang w:val="en-US"/>
        </w:rPr>
        <w:t>to improve production techniques and expand access to new markets to broaden Solomon Islands’ economic base.</w:t>
      </w:r>
      <w:r w:rsidR="00443D68">
        <w:rPr>
          <w:b/>
          <w:lang w:val="en-US"/>
        </w:rPr>
        <w:t xml:space="preserve"> </w:t>
      </w:r>
      <w:r>
        <w:rPr>
          <w:lang w:val="en-US"/>
        </w:rPr>
        <w:t xml:space="preserve"> The ‘</w:t>
      </w:r>
      <w:r w:rsidRPr="006549AA">
        <w:rPr>
          <w:i/>
          <w:lang w:val="en-US"/>
        </w:rPr>
        <w:t>Strongim Bisnis’</w:t>
      </w:r>
      <w:r>
        <w:rPr>
          <w:lang w:val="en-US"/>
        </w:rPr>
        <w:t xml:space="preserve"> program is working with </w:t>
      </w:r>
      <w:r w:rsidRPr="006549AA">
        <w:rPr>
          <w:lang w:val="en-US"/>
        </w:rPr>
        <w:t xml:space="preserve">the private sector on business practice, market development, risks and resilience, and women's participation in the economy.  It </w:t>
      </w:r>
      <w:r w:rsidR="00CA6EEA" w:rsidRPr="006549AA">
        <w:rPr>
          <w:lang w:val="en-US"/>
        </w:rPr>
        <w:t>focus</w:t>
      </w:r>
      <w:r w:rsidR="00CA6EEA">
        <w:rPr>
          <w:lang w:val="en-US"/>
        </w:rPr>
        <w:t>ed</w:t>
      </w:r>
      <w:r w:rsidRPr="006549AA">
        <w:rPr>
          <w:lang w:val="en-US"/>
        </w:rPr>
        <w:t xml:space="preserve"> initially on the cocoa, coconut and tourism markets.</w:t>
      </w:r>
      <w:r>
        <w:rPr>
          <w:lang w:val="en-US"/>
        </w:rPr>
        <w:t xml:space="preserve">  </w:t>
      </w:r>
      <w:r w:rsidR="00442CB4">
        <w:rPr>
          <w:lang w:val="en-US"/>
        </w:rPr>
        <w:t xml:space="preserve">The program is in early stages, but </w:t>
      </w:r>
      <w:r>
        <w:rPr>
          <w:lang w:val="en-US"/>
        </w:rPr>
        <w:t xml:space="preserve">on track against annual work plans.  The program’s focus on market systems development </w:t>
      </w:r>
      <w:r w:rsidR="00616313">
        <w:rPr>
          <w:lang w:val="en-US"/>
        </w:rPr>
        <w:t>may</w:t>
      </w:r>
      <w:r>
        <w:rPr>
          <w:lang w:val="en-US"/>
        </w:rPr>
        <w:t xml:space="preserve"> take some time to build understanding of and gain traction</w:t>
      </w:r>
      <w:r w:rsidR="00616313">
        <w:rPr>
          <w:lang w:val="en-US"/>
        </w:rPr>
        <w:t xml:space="preserve"> in the private sector</w:t>
      </w:r>
      <w:r>
        <w:rPr>
          <w:lang w:val="en-US"/>
        </w:rPr>
        <w:t xml:space="preserve">.    </w:t>
      </w:r>
    </w:p>
    <w:p w:rsidR="009B2719" w:rsidRDefault="00BC12F4" w:rsidP="0002157A">
      <w:r w:rsidRPr="007E7622">
        <w:rPr>
          <w:b/>
          <w:lang w:val="en-US"/>
        </w:rPr>
        <w:t xml:space="preserve">Australia’s support to rural development reached </w:t>
      </w:r>
      <w:r w:rsidR="00E17EDC">
        <w:rPr>
          <w:b/>
          <w:lang w:val="en-US"/>
        </w:rPr>
        <w:t xml:space="preserve">communities across </w:t>
      </w:r>
      <w:r w:rsidRPr="007E7622">
        <w:rPr>
          <w:b/>
          <w:lang w:val="en-US"/>
        </w:rPr>
        <w:t>all Provinces</w:t>
      </w:r>
      <w:r>
        <w:t xml:space="preserve">. </w:t>
      </w:r>
      <w:r w:rsidR="0035757A">
        <w:t xml:space="preserve"> Over 80% of </w:t>
      </w:r>
      <w:r w:rsidR="00CA6EEA">
        <w:t xml:space="preserve">the population of </w:t>
      </w:r>
      <w:r w:rsidR="0035757A">
        <w:t xml:space="preserve">Solomon Islands lives in rural areas.  Economic development needs to address the needs of people in remote areas, who derive their livelihoods from agriculture and fishing.  </w:t>
      </w:r>
      <w:r w:rsidR="00CA6EEA">
        <w:t>Since 2015, t</w:t>
      </w:r>
      <w:r>
        <w:t xml:space="preserve">he Rural Development </w:t>
      </w:r>
      <w:r w:rsidR="00C80308">
        <w:t>Program</w:t>
      </w:r>
      <w:r>
        <w:t>, delivered jointly with the World Bank and EU, provided community grants for the construction of village infrastructure in 214 villages</w:t>
      </w:r>
      <w:r w:rsidRPr="00AB60CF">
        <w:t>, reaching 44,188 beneficiaries across all 172 Wards</w:t>
      </w:r>
      <w:r w:rsidR="00CA6EEA">
        <w:t xml:space="preserve">.  </w:t>
      </w:r>
      <w:r>
        <w:t>Over 200,000</w:t>
      </w:r>
      <w:r w:rsidR="00E679AB">
        <w:t xml:space="preserve"> (105,297 women) </w:t>
      </w:r>
      <w:r>
        <w:t xml:space="preserve">Solomon Islanders (around one third of the population) participated in local meetings to agree priority projects since 2015.  </w:t>
      </w:r>
      <w:r w:rsidR="00E17EDC">
        <w:t xml:space="preserve">In the agricultural sector, Australia </w:t>
      </w:r>
      <w:r w:rsidR="00CA6EEA">
        <w:t>led</w:t>
      </w:r>
      <w:r>
        <w:t xml:space="preserve"> coordination efforts to combat risks posed by</w:t>
      </w:r>
      <w:r w:rsidR="00E17EDC">
        <w:t xml:space="preserve"> the coconut rhinoceros beetle</w:t>
      </w:r>
      <w:r>
        <w:t xml:space="preserve"> to the coconut and palm oil industries in Solomon Islands.  The potential economic impact to Solomon Islands if the spread of </w:t>
      </w:r>
      <w:r w:rsidR="00E17EDC">
        <w:t>the beetle</w:t>
      </w:r>
      <w:r>
        <w:t xml:space="preserve"> is not controlled is significant. </w:t>
      </w:r>
      <w:r w:rsidR="0002157A">
        <w:t>Australia was</w:t>
      </w:r>
      <w:r>
        <w:t xml:space="preserve"> instrumental in the forma</w:t>
      </w:r>
      <w:r w:rsidR="00E17EDC">
        <w:t>tion of a public-private sector</w:t>
      </w:r>
      <w:r>
        <w:t xml:space="preserve"> Taskforce and fund</w:t>
      </w:r>
      <w:r w:rsidR="00CA6EEA">
        <w:t>ed</w:t>
      </w:r>
      <w:r>
        <w:t xml:space="preserve"> a Coordinator to assist government agencies </w:t>
      </w:r>
      <w:r w:rsidR="000B43C5">
        <w:t>on their</w:t>
      </w:r>
      <w:r>
        <w:t xml:space="preserve"> response</w:t>
      </w:r>
      <w:r w:rsidR="00E17EDC">
        <w:t xml:space="preserve">. </w:t>
      </w:r>
    </w:p>
    <w:p w:rsidR="0002157A" w:rsidRDefault="002D3270" w:rsidP="0002157A">
      <w:pPr>
        <w:rPr>
          <w:color w:val="1F497D"/>
          <w:lang w:val="en-AU"/>
        </w:rPr>
      </w:pPr>
      <w:r w:rsidRPr="009B2719">
        <w:rPr>
          <w:rFonts w:eastAsia="Calibri"/>
          <w:b/>
        </w:rPr>
        <w:lastRenderedPageBreak/>
        <w:t>Work started on the construction of a new market place in Gizo, Western Province</w:t>
      </w:r>
      <w:r w:rsidR="00684C7E">
        <w:rPr>
          <w:rFonts w:eastAsia="Calibri"/>
        </w:rPr>
        <w:t xml:space="preserve">.  Gizo Market is a high profile bilaterally funded infrastructure project which will </w:t>
      </w:r>
      <w:r w:rsidRPr="00FB07BA">
        <w:rPr>
          <w:rFonts w:eastAsia="Calibri"/>
        </w:rPr>
        <w:t xml:space="preserve">improve economic activity for small vendors and </w:t>
      </w:r>
      <w:r w:rsidR="00CA6EEA">
        <w:rPr>
          <w:rFonts w:eastAsia="Calibri"/>
        </w:rPr>
        <w:t>enhance</w:t>
      </w:r>
      <w:r w:rsidR="00CA6EEA" w:rsidRPr="00FB07BA">
        <w:rPr>
          <w:rFonts w:eastAsia="Calibri"/>
        </w:rPr>
        <w:t xml:space="preserve"> </w:t>
      </w:r>
      <w:r w:rsidRPr="00FB07BA">
        <w:rPr>
          <w:rFonts w:eastAsia="Calibri"/>
        </w:rPr>
        <w:t>Gizo Town</w:t>
      </w:r>
      <w:r w:rsidR="00CA6EEA">
        <w:rPr>
          <w:rFonts w:eastAsia="Calibri"/>
        </w:rPr>
        <w:t>’s appeal</w:t>
      </w:r>
      <w:r w:rsidRPr="00FB07BA">
        <w:rPr>
          <w:rFonts w:eastAsia="Calibri"/>
        </w:rPr>
        <w:t xml:space="preserve"> as an international tourism destination.  The design incorporate</w:t>
      </w:r>
      <w:r w:rsidR="00CA6EEA">
        <w:rPr>
          <w:rFonts w:eastAsia="Calibri"/>
        </w:rPr>
        <w:t>d</w:t>
      </w:r>
      <w:r w:rsidRPr="00FB07BA">
        <w:rPr>
          <w:rFonts w:eastAsia="Calibri"/>
        </w:rPr>
        <w:t xml:space="preserve"> safe clean marketplaces </w:t>
      </w:r>
      <w:r w:rsidR="009B2719">
        <w:rPr>
          <w:rFonts w:eastAsia="Calibri"/>
        </w:rPr>
        <w:t>to support</w:t>
      </w:r>
      <w:r>
        <w:rPr>
          <w:rFonts w:eastAsia="Calibri"/>
        </w:rPr>
        <w:t xml:space="preserve"> women’s economic empowerment, </w:t>
      </w:r>
      <w:r w:rsidR="00CA6EEA">
        <w:rPr>
          <w:rFonts w:eastAsia="Calibri"/>
        </w:rPr>
        <w:t>and</w:t>
      </w:r>
      <w:r w:rsidRPr="00FB07BA">
        <w:rPr>
          <w:rFonts w:eastAsia="Calibri"/>
        </w:rPr>
        <w:t xml:space="preserve"> </w:t>
      </w:r>
      <w:r w:rsidR="009B2719">
        <w:rPr>
          <w:rFonts w:eastAsia="Calibri"/>
        </w:rPr>
        <w:t>promote</w:t>
      </w:r>
      <w:r w:rsidRPr="00FB07BA">
        <w:rPr>
          <w:rFonts w:eastAsia="Calibri"/>
        </w:rPr>
        <w:t xml:space="preserve"> </w:t>
      </w:r>
      <w:r>
        <w:rPr>
          <w:rFonts w:eastAsia="Calibri"/>
        </w:rPr>
        <w:t xml:space="preserve">growth in tourism. </w:t>
      </w:r>
      <w:r w:rsidR="00684C7E">
        <w:rPr>
          <w:rFonts w:eastAsia="Calibri"/>
        </w:rPr>
        <w:t xml:space="preserve"> </w:t>
      </w:r>
      <w:r w:rsidR="009B2719">
        <w:rPr>
          <w:rFonts w:eastAsia="Calibri"/>
        </w:rPr>
        <w:t xml:space="preserve"> </w:t>
      </w:r>
      <w:r w:rsidR="0002157A" w:rsidRPr="0002157A">
        <w:rPr>
          <w:rFonts w:eastAsia="Calibri"/>
        </w:rPr>
        <w:t xml:space="preserve">The Gizo </w:t>
      </w:r>
      <w:r w:rsidR="009B2719">
        <w:rPr>
          <w:rFonts w:eastAsia="Calibri"/>
        </w:rPr>
        <w:t>project</w:t>
      </w:r>
      <w:r w:rsidR="0002157A" w:rsidRPr="0002157A">
        <w:rPr>
          <w:rFonts w:eastAsia="Calibri"/>
        </w:rPr>
        <w:t xml:space="preserve"> </w:t>
      </w:r>
      <w:r w:rsidR="0002157A">
        <w:rPr>
          <w:rFonts w:eastAsia="Calibri"/>
        </w:rPr>
        <w:t>also</w:t>
      </w:r>
      <w:r w:rsidR="0002157A" w:rsidRPr="0002157A">
        <w:rPr>
          <w:rFonts w:eastAsia="Calibri"/>
        </w:rPr>
        <w:t xml:space="preserve"> build</w:t>
      </w:r>
      <w:r w:rsidR="0002157A">
        <w:rPr>
          <w:rFonts w:eastAsia="Calibri"/>
        </w:rPr>
        <w:t>s</w:t>
      </w:r>
      <w:r w:rsidR="0002157A" w:rsidRPr="0002157A">
        <w:rPr>
          <w:rFonts w:eastAsia="Calibri"/>
        </w:rPr>
        <w:t xml:space="preserve"> in climate resilience</w:t>
      </w:r>
      <w:r w:rsidR="009B2719">
        <w:rPr>
          <w:rFonts w:eastAsia="Calibri"/>
        </w:rPr>
        <w:t>, with</w:t>
      </w:r>
      <w:r w:rsidR="0002157A" w:rsidRPr="0002157A">
        <w:rPr>
          <w:rFonts w:eastAsia="Calibri"/>
        </w:rPr>
        <w:t xml:space="preserve"> structures </w:t>
      </w:r>
      <w:r w:rsidR="009B2719">
        <w:rPr>
          <w:rFonts w:eastAsia="Calibri"/>
        </w:rPr>
        <w:t>designed</w:t>
      </w:r>
      <w:r w:rsidR="0002157A" w:rsidRPr="0002157A">
        <w:rPr>
          <w:rFonts w:eastAsia="Calibri"/>
        </w:rPr>
        <w:t xml:space="preserve"> to withstand a category </w:t>
      </w:r>
      <w:r w:rsidR="009B2719">
        <w:rPr>
          <w:rFonts w:eastAsia="Calibri"/>
        </w:rPr>
        <w:t>five</w:t>
      </w:r>
      <w:r w:rsidR="0002157A" w:rsidRPr="0002157A">
        <w:rPr>
          <w:rFonts w:eastAsia="Calibri"/>
        </w:rPr>
        <w:t xml:space="preserve"> cyclone</w:t>
      </w:r>
      <w:r w:rsidR="0002157A">
        <w:rPr>
          <w:rFonts w:eastAsia="Calibri"/>
        </w:rPr>
        <w:t>.</w:t>
      </w:r>
    </w:p>
    <w:p w:rsidR="000B43C5" w:rsidRDefault="00EE1FDC" w:rsidP="007E7622">
      <w:pPr>
        <w:spacing w:line="252" w:lineRule="auto"/>
      </w:pPr>
      <w:r w:rsidRPr="002707C3">
        <w:rPr>
          <w:b/>
          <w:lang w:val="en-US"/>
        </w:rPr>
        <w:t>Solomon Islands needs people who are job ready</w:t>
      </w:r>
      <w:r w:rsidR="00D74D4E">
        <w:rPr>
          <w:lang w:val="en-US"/>
        </w:rPr>
        <w:t>.</w:t>
      </w:r>
      <w:r w:rsidR="0056205B">
        <w:rPr>
          <w:lang w:val="en-US"/>
        </w:rPr>
        <w:t xml:space="preserve"> </w:t>
      </w:r>
      <w:r w:rsidR="00D74D4E">
        <w:rPr>
          <w:b/>
          <w:lang w:val="en-US"/>
        </w:rPr>
        <w:t>O</w:t>
      </w:r>
      <w:r w:rsidR="003A7DD2" w:rsidRPr="00C3377C">
        <w:rPr>
          <w:b/>
          <w:lang w:val="en-US"/>
        </w:rPr>
        <w:t>ur</w:t>
      </w:r>
      <w:r w:rsidRPr="00C3377C">
        <w:rPr>
          <w:b/>
          <w:lang w:val="en-US"/>
        </w:rPr>
        <w:t xml:space="preserve"> support to vocational education encompasse</w:t>
      </w:r>
      <w:r w:rsidR="00CA6EEA">
        <w:rPr>
          <w:b/>
          <w:lang w:val="en-US"/>
        </w:rPr>
        <w:t>d</w:t>
      </w:r>
      <w:r w:rsidRPr="00C3377C">
        <w:rPr>
          <w:b/>
          <w:lang w:val="en-US"/>
        </w:rPr>
        <w:t xml:space="preserve"> both streng</w:t>
      </w:r>
      <w:r w:rsidR="003A7DD2" w:rsidRPr="00C3377C">
        <w:rPr>
          <w:b/>
          <w:lang w:val="en-US"/>
        </w:rPr>
        <w:t>thening Solomon Islands</w:t>
      </w:r>
      <w:r w:rsidR="004F14EF">
        <w:rPr>
          <w:b/>
          <w:lang w:val="en-US"/>
        </w:rPr>
        <w:t>’</w:t>
      </w:r>
      <w:r w:rsidR="003A7DD2" w:rsidRPr="00C3377C">
        <w:rPr>
          <w:b/>
          <w:lang w:val="en-US"/>
        </w:rPr>
        <w:t xml:space="preserve"> systems</w:t>
      </w:r>
      <w:r w:rsidRPr="00C3377C">
        <w:rPr>
          <w:b/>
          <w:lang w:val="en-US"/>
        </w:rPr>
        <w:t xml:space="preserve"> and supporting training</w:t>
      </w:r>
      <w:r w:rsidRPr="000C58F1">
        <w:rPr>
          <w:lang w:val="en-US"/>
        </w:rPr>
        <w:t xml:space="preserve">.  </w:t>
      </w:r>
      <w:r w:rsidR="004F1B4B" w:rsidRPr="000C58F1">
        <w:rPr>
          <w:lang w:val="en-US"/>
        </w:rPr>
        <w:t>The Skills for Economic Growth program</w:t>
      </w:r>
      <w:r w:rsidR="00CA6EEA">
        <w:rPr>
          <w:lang w:val="en-US"/>
        </w:rPr>
        <w:t xml:space="preserve"> </w:t>
      </w:r>
      <w:r w:rsidR="004F1B4B" w:rsidRPr="000C58F1">
        <w:rPr>
          <w:lang w:val="en-US"/>
        </w:rPr>
        <w:t>work</w:t>
      </w:r>
      <w:r w:rsidR="00CA6EEA">
        <w:rPr>
          <w:lang w:val="en-US"/>
        </w:rPr>
        <w:t>ed</w:t>
      </w:r>
      <w:r w:rsidR="004F1B4B" w:rsidRPr="000C58F1">
        <w:rPr>
          <w:lang w:val="en-US"/>
        </w:rPr>
        <w:t xml:space="preserve"> with the Solomon Islands National Univer</w:t>
      </w:r>
      <w:r w:rsidR="005E4216">
        <w:rPr>
          <w:lang w:val="en-US"/>
        </w:rPr>
        <w:t>sity and Rural Training Centres</w:t>
      </w:r>
      <w:r w:rsidR="00CC016B">
        <w:rPr>
          <w:lang w:val="en-US"/>
        </w:rPr>
        <w:t xml:space="preserve"> </w:t>
      </w:r>
      <w:r w:rsidR="004F1B4B" w:rsidRPr="000C58F1">
        <w:rPr>
          <w:lang w:val="en-US"/>
        </w:rPr>
        <w:t>throughout Solomon Islands to improve the quality and relevance of vocational training.</w:t>
      </w:r>
      <w:r w:rsidR="005E4216">
        <w:rPr>
          <w:lang w:val="en-US"/>
        </w:rPr>
        <w:t xml:space="preserve"> </w:t>
      </w:r>
      <w:r w:rsidR="004F1B4B" w:rsidRPr="000C58F1">
        <w:rPr>
          <w:lang w:val="en-US"/>
        </w:rPr>
        <w:t xml:space="preserve"> The program buil</w:t>
      </w:r>
      <w:r w:rsidR="00CA6EEA">
        <w:rPr>
          <w:lang w:val="en-US"/>
        </w:rPr>
        <w:t>t</w:t>
      </w:r>
      <w:r w:rsidR="004F1B4B" w:rsidRPr="000C58F1">
        <w:rPr>
          <w:lang w:val="en-US"/>
        </w:rPr>
        <w:t xml:space="preserve"> and refurbish</w:t>
      </w:r>
      <w:r w:rsidR="00CA6EEA">
        <w:rPr>
          <w:lang w:val="en-US"/>
        </w:rPr>
        <w:t>ed</w:t>
      </w:r>
      <w:r w:rsidR="004F1B4B" w:rsidRPr="000C58F1">
        <w:rPr>
          <w:lang w:val="en-US"/>
        </w:rPr>
        <w:t xml:space="preserve"> facilities, train</w:t>
      </w:r>
      <w:r w:rsidR="00CA6EEA">
        <w:rPr>
          <w:lang w:val="en-US"/>
        </w:rPr>
        <w:t>ed</w:t>
      </w:r>
      <w:r w:rsidR="005E4216">
        <w:rPr>
          <w:lang w:val="en-US"/>
        </w:rPr>
        <w:t xml:space="preserve"> trainers, and </w:t>
      </w:r>
      <w:r w:rsidR="00051A28" w:rsidRPr="000C58F1">
        <w:rPr>
          <w:lang w:val="en-US"/>
        </w:rPr>
        <w:t>develop</w:t>
      </w:r>
      <w:r w:rsidR="00CA6EEA">
        <w:rPr>
          <w:lang w:val="en-US"/>
        </w:rPr>
        <w:t>ed</w:t>
      </w:r>
      <w:r w:rsidR="00051A28" w:rsidRPr="000C58F1">
        <w:rPr>
          <w:lang w:val="en-US"/>
        </w:rPr>
        <w:t xml:space="preserve"> new courses aligned to labour market needs</w:t>
      </w:r>
      <w:r w:rsidR="004F1B4B" w:rsidRPr="000C58F1">
        <w:rPr>
          <w:lang w:val="en-US"/>
        </w:rPr>
        <w:t xml:space="preserve">. </w:t>
      </w:r>
      <w:r w:rsidR="00CC016B">
        <w:rPr>
          <w:lang w:val="en-US"/>
        </w:rPr>
        <w:t xml:space="preserve">The Bethesda Vocational Centre for people with disabilities </w:t>
      </w:r>
      <w:r w:rsidR="00CA6EEA">
        <w:rPr>
          <w:lang w:val="en-US"/>
        </w:rPr>
        <w:t xml:space="preserve">was </w:t>
      </w:r>
      <w:r w:rsidR="00CC016B">
        <w:rPr>
          <w:lang w:val="en-US"/>
        </w:rPr>
        <w:t xml:space="preserve">supported through the program. </w:t>
      </w:r>
      <w:r w:rsidR="00CA6EEA">
        <w:rPr>
          <w:lang w:val="en-US"/>
        </w:rPr>
        <w:t xml:space="preserve"> </w:t>
      </w:r>
      <w:r w:rsidR="004F1B4B" w:rsidRPr="000C58F1">
        <w:rPr>
          <w:lang w:val="en-US"/>
        </w:rPr>
        <w:t>The program also support</w:t>
      </w:r>
      <w:r w:rsidR="006704A6">
        <w:rPr>
          <w:lang w:val="en-US"/>
        </w:rPr>
        <w:t>ed</w:t>
      </w:r>
      <w:r w:rsidR="004F14EF">
        <w:rPr>
          <w:lang w:val="en-US"/>
        </w:rPr>
        <w:t xml:space="preserve"> the Solomon Islands Government’s plans to establish </w:t>
      </w:r>
      <w:r w:rsidR="004F1B4B" w:rsidRPr="000C58F1">
        <w:rPr>
          <w:lang w:val="en-US"/>
        </w:rPr>
        <w:t>the Solomon Islands Tertiary Education and Skills Authority, which will register training providers and accredit training courses.</w:t>
      </w:r>
      <w:r w:rsidR="004F14EF">
        <w:t xml:space="preserve">  </w:t>
      </w:r>
      <w:r w:rsidR="004F1B4B" w:rsidRPr="000C58F1">
        <w:t>Australia supported training through the Australia Pacific T</w:t>
      </w:r>
      <w:r w:rsidR="00811571" w:rsidRPr="000C58F1">
        <w:t>echnical College (APTC), which provide</w:t>
      </w:r>
      <w:r w:rsidR="00CA6EEA">
        <w:t>d</w:t>
      </w:r>
      <w:r w:rsidR="00811571" w:rsidRPr="000C58F1">
        <w:t xml:space="preserve"> high quality, Australian-standard skills training. Through Australian funding 210 students (71 women) graduated with qualifications from APTC in 2017.</w:t>
      </w:r>
      <w:r w:rsidR="00811571">
        <w:t xml:space="preserve"> </w:t>
      </w:r>
      <w:r>
        <w:t xml:space="preserve">Going forward, this area of work </w:t>
      </w:r>
      <w:r w:rsidR="00767CE5">
        <w:t xml:space="preserve">will </w:t>
      </w:r>
      <w:r w:rsidR="006704A6">
        <w:t>support expanded</w:t>
      </w:r>
      <w:r>
        <w:t xml:space="preserve"> </w:t>
      </w:r>
      <w:r w:rsidR="006704A6">
        <w:t xml:space="preserve">participation by </w:t>
      </w:r>
      <w:r>
        <w:t xml:space="preserve">Solomon Islands </w:t>
      </w:r>
      <w:r w:rsidR="006704A6">
        <w:t>in labour mobility</w:t>
      </w:r>
      <w:r>
        <w:t>.</w:t>
      </w:r>
    </w:p>
    <w:p w:rsidR="00084832" w:rsidRDefault="00A07BC8" w:rsidP="007E7622">
      <w:pPr>
        <w:spacing w:line="252" w:lineRule="auto"/>
        <w:rPr>
          <w:rFonts w:eastAsia="Calibri"/>
        </w:rPr>
      </w:pPr>
      <w:r>
        <w:rPr>
          <w:b/>
        </w:rPr>
        <w:t xml:space="preserve">Australia stepped up its engagement on labour mobility in Solomon Islands in 2017/18. </w:t>
      </w:r>
      <w:r w:rsidRPr="007E7622">
        <w:t xml:space="preserve"> </w:t>
      </w:r>
      <w:r w:rsidR="00EE1FDC" w:rsidRPr="007E7622">
        <w:t xml:space="preserve">Solomon Islands participation in the Seasonal </w:t>
      </w:r>
      <w:r w:rsidR="004553CE" w:rsidRPr="007E7622">
        <w:t>W</w:t>
      </w:r>
      <w:r w:rsidR="00EE1FDC" w:rsidRPr="007E7622">
        <w:t xml:space="preserve">orker </w:t>
      </w:r>
      <w:r w:rsidR="004553CE" w:rsidRPr="007E7622">
        <w:t>P</w:t>
      </w:r>
      <w:r w:rsidR="00EE1FDC" w:rsidRPr="007E7622">
        <w:t>rogram</w:t>
      </w:r>
      <w:r w:rsidR="004553CE" w:rsidRPr="007E7622">
        <w:t>me</w:t>
      </w:r>
      <w:r w:rsidR="00EE1FDC" w:rsidRPr="007E7622">
        <w:t xml:space="preserve"> doubl</w:t>
      </w:r>
      <w:r w:rsidR="004553CE" w:rsidRPr="007E7622">
        <w:t xml:space="preserve">ed </w:t>
      </w:r>
      <w:r>
        <w:t>over the year (</w:t>
      </w:r>
      <w:r w:rsidR="008E1436">
        <w:t xml:space="preserve">achieving the </w:t>
      </w:r>
      <w:r>
        <w:t>target</w:t>
      </w:r>
      <w:r w:rsidR="008E1436">
        <w:t xml:space="preserve"> of</w:t>
      </w:r>
      <w:r>
        <w:t xml:space="preserve"> 175),</w:t>
      </w:r>
      <w:r w:rsidR="00EE1FDC" w:rsidRPr="007E7622">
        <w:t xml:space="preserve"> earning an estimated </w:t>
      </w:r>
      <w:r w:rsidR="00EE1FDC" w:rsidRPr="007E7622">
        <w:rPr>
          <w:rFonts w:eastAsia="Calibri"/>
        </w:rPr>
        <w:t>net income of SBD $8.75million.</w:t>
      </w:r>
      <w:r w:rsidR="00EE1FDC" w:rsidRPr="00A07BC8">
        <w:rPr>
          <w:rFonts w:eastAsia="Calibri"/>
        </w:rPr>
        <w:t xml:space="preserve">   </w:t>
      </w:r>
      <w:r>
        <w:t>Our support helped establish the Seasonal Worker Program work ready pool, which provide</w:t>
      </w:r>
      <w:r w:rsidR="00CD3F92">
        <w:t>d</w:t>
      </w:r>
      <w:r>
        <w:t xml:space="preserve"> an employment pathway for agriculture graduates from rural training centres.</w:t>
      </w:r>
      <w:r>
        <w:rPr>
          <w:b/>
          <w:bCs/>
        </w:rPr>
        <w:t xml:space="preserve">  </w:t>
      </w:r>
      <w:r w:rsidR="00EE1FDC">
        <w:rPr>
          <w:rFonts w:eastAsia="Calibri"/>
        </w:rPr>
        <w:t>Solomon Islands</w:t>
      </w:r>
      <w:r w:rsidR="00EE1FDC" w:rsidRPr="002707C3">
        <w:rPr>
          <w:rFonts w:eastAsia="Calibri"/>
        </w:rPr>
        <w:t xml:space="preserve"> </w:t>
      </w:r>
      <w:r w:rsidR="00CD3F92">
        <w:rPr>
          <w:rFonts w:eastAsia="Calibri"/>
        </w:rPr>
        <w:t>remained</w:t>
      </w:r>
      <w:r w:rsidR="00EE1FDC" w:rsidRPr="002707C3">
        <w:rPr>
          <w:rFonts w:eastAsia="Calibri"/>
        </w:rPr>
        <w:t xml:space="preserve"> a relatively small sending country</w:t>
      </w:r>
      <w:r w:rsidR="00EE1FDC">
        <w:rPr>
          <w:rFonts w:eastAsia="Calibri"/>
        </w:rPr>
        <w:t>,</w:t>
      </w:r>
      <w:r w:rsidR="004553CE">
        <w:rPr>
          <w:rFonts w:eastAsia="Calibri"/>
        </w:rPr>
        <w:t xml:space="preserve"> however</w:t>
      </w:r>
      <w:r w:rsidR="00734569">
        <w:rPr>
          <w:rFonts w:eastAsia="Calibri"/>
        </w:rPr>
        <w:t>,</w:t>
      </w:r>
      <w:r w:rsidR="004553CE">
        <w:rPr>
          <w:rFonts w:eastAsia="Calibri"/>
        </w:rPr>
        <w:t xml:space="preserve"> its share of total </w:t>
      </w:r>
      <w:r w:rsidR="00CD3F92">
        <w:rPr>
          <w:rFonts w:eastAsia="Calibri"/>
        </w:rPr>
        <w:t xml:space="preserve">Seasonal Worker Programme </w:t>
      </w:r>
      <w:r w:rsidR="000C58F1">
        <w:rPr>
          <w:rFonts w:eastAsia="Calibri"/>
        </w:rPr>
        <w:t>mobilisations</w:t>
      </w:r>
      <w:r w:rsidR="004553CE">
        <w:rPr>
          <w:rFonts w:eastAsia="Calibri"/>
        </w:rPr>
        <w:t xml:space="preserve"> </w:t>
      </w:r>
      <w:r w:rsidR="00095517">
        <w:rPr>
          <w:rFonts w:eastAsia="Calibri"/>
        </w:rPr>
        <w:t>continue</w:t>
      </w:r>
      <w:r w:rsidR="00CD3F92">
        <w:rPr>
          <w:rFonts w:eastAsia="Calibri"/>
        </w:rPr>
        <w:t>d</w:t>
      </w:r>
      <w:r w:rsidR="00095517">
        <w:rPr>
          <w:rFonts w:eastAsia="Calibri"/>
        </w:rPr>
        <w:t xml:space="preserve"> to grow</w:t>
      </w:r>
      <w:r w:rsidR="0094506F">
        <w:rPr>
          <w:rFonts w:eastAsia="Calibri"/>
        </w:rPr>
        <w:t xml:space="preserve"> and, looking ahead, Solomon Islands entry into the Pacific Labour Scheme in calendar year 2018 will increase opportunities for labour mobility from Solomon Islands to Australia</w:t>
      </w:r>
      <w:r w:rsidR="004553CE">
        <w:rPr>
          <w:rFonts w:eastAsia="Calibri"/>
        </w:rPr>
        <w:t>.</w:t>
      </w:r>
      <w:r w:rsidR="00EE1FDC">
        <w:rPr>
          <w:rFonts w:eastAsia="Calibri"/>
        </w:rPr>
        <w:t xml:space="preserve"> </w:t>
      </w:r>
      <w:r>
        <w:rPr>
          <w:rFonts w:eastAsia="Calibri"/>
        </w:rPr>
        <w:t xml:space="preserve">  S</w:t>
      </w:r>
      <w:r>
        <w:t>upport to priority employers delivered an increase in the recruitment of female workers from 0</w:t>
      </w:r>
      <w:r w:rsidR="00CD3F92">
        <w:t xml:space="preserve"> </w:t>
      </w:r>
      <w:r>
        <w:t>(</w:t>
      </w:r>
      <w:r w:rsidR="00CD3F92">
        <w:t>20</w:t>
      </w:r>
      <w:r>
        <w:t>16</w:t>
      </w:r>
      <w:r w:rsidR="006704A6">
        <w:t>-</w:t>
      </w:r>
      <w:r>
        <w:t>17) to 5</w:t>
      </w:r>
      <w:r w:rsidR="00CD3F92">
        <w:t xml:space="preserve"> per cent</w:t>
      </w:r>
      <w:r>
        <w:t xml:space="preserve"> (</w:t>
      </w:r>
      <w:r w:rsidR="00CD3F92">
        <w:t>20</w:t>
      </w:r>
      <w:r>
        <w:t>17</w:t>
      </w:r>
      <w:r w:rsidR="006704A6">
        <w:t>-</w:t>
      </w:r>
      <w:r>
        <w:t>18) of recruitments.</w:t>
      </w:r>
    </w:p>
    <w:p w:rsidR="00EE1FDC" w:rsidRDefault="00EE1FDC" w:rsidP="00EE1FDC">
      <w:pPr>
        <w:spacing w:before="20" w:after="20" w:line="180" w:lineRule="atLeast"/>
        <w:jc w:val="both"/>
        <w:rPr>
          <w:rFonts w:asciiTheme="majorHAnsi" w:eastAsiaTheme="majorEastAsia" w:hAnsiTheme="majorHAnsi" w:cstheme="majorBidi"/>
          <w:caps/>
          <w:sz w:val="38"/>
          <w:szCs w:val="26"/>
        </w:rPr>
      </w:pPr>
      <w:r>
        <w:rPr>
          <w:rFonts w:asciiTheme="majorHAnsi" w:eastAsiaTheme="majorEastAsia" w:hAnsiTheme="majorHAnsi" w:cstheme="majorBidi"/>
          <w:caps/>
          <w:sz w:val="38"/>
          <w:szCs w:val="26"/>
        </w:rPr>
        <w:t xml:space="preserve">Objective 3: </w:t>
      </w:r>
      <w:r w:rsidR="00D84053">
        <w:rPr>
          <w:rFonts w:asciiTheme="majorHAnsi" w:eastAsiaTheme="majorEastAsia" w:hAnsiTheme="majorHAnsi" w:cstheme="majorBidi"/>
          <w:caps/>
          <w:sz w:val="38"/>
          <w:szCs w:val="26"/>
        </w:rPr>
        <w:t>ENABLING</w:t>
      </w:r>
      <w:r>
        <w:rPr>
          <w:rFonts w:asciiTheme="majorHAnsi" w:eastAsiaTheme="majorEastAsia" w:hAnsiTheme="majorHAnsi" w:cstheme="majorBidi"/>
          <w:caps/>
          <w:sz w:val="38"/>
          <w:szCs w:val="26"/>
        </w:rPr>
        <w:t xml:space="preserve"> </w:t>
      </w:r>
      <w:r w:rsidR="00D84053">
        <w:rPr>
          <w:rFonts w:asciiTheme="majorHAnsi" w:eastAsiaTheme="majorEastAsia" w:hAnsiTheme="majorHAnsi" w:cstheme="majorBidi"/>
          <w:caps/>
          <w:sz w:val="38"/>
          <w:szCs w:val="26"/>
        </w:rPr>
        <w:t>HUMAN 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912"/>
        <w:gridCol w:w="1914"/>
        <w:gridCol w:w="1898"/>
        <w:gridCol w:w="1898"/>
      </w:tblGrid>
      <w:tr w:rsidR="00D3579B" w:rsidTr="00BE2227">
        <w:tc>
          <w:tcPr>
            <w:tcW w:w="2016" w:type="dxa"/>
          </w:tcPr>
          <w:p w:rsidR="00D3579B" w:rsidRDefault="00D3579B" w:rsidP="00BE2227">
            <w:pPr>
              <w:pStyle w:val="ListBullet"/>
              <w:tabs>
                <w:tab w:val="clear" w:pos="284"/>
              </w:tabs>
              <w:spacing w:before="80" w:after="80" w:line="240" w:lineRule="auto"/>
              <w:jc w:val="center"/>
              <w:rPr>
                <w:rFonts w:asciiTheme="majorHAnsi" w:eastAsiaTheme="majorEastAsia" w:hAnsiTheme="majorHAnsi" w:cstheme="majorBidi"/>
                <w:caps/>
                <w:color w:val="495965" w:themeColor="text2"/>
                <w:sz w:val="38"/>
                <w:szCs w:val="26"/>
                <w:lang w:val="en-GB" w:eastAsia="en-US"/>
              </w:rPr>
            </w:pPr>
            <w:r>
              <w:rPr>
                <w:rFonts w:asciiTheme="majorHAnsi" w:eastAsiaTheme="majorEastAsia" w:hAnsiTheme="majorHAnsi" w:cstheme="majorBidi"/>
                <w:caps/>
                <w:noProof/>
                <w:color w:val="495965" w:themeColor="text2"/>
                <w:sz w:val="38"/>
                <w:szCs w:val="26"/>
              </w:rPr>
              <w:drawing>
                <wp:inline distT="0" distB="0" distL="0" distR="0" wp14:anchorId="1F7AE7C2" wp14:editId="4919CE2D">
                  <wp:extent cx="1137600" cy="720000"/>
                  <wp:effectExtent l="0" t="0" r="5715" b="444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G Contribution.JPG"/>
                          <pic:cNvPicPr/>
                        </pic:nvPicPr>
                        <pic:blipFill>
                          <a:blip r:embed="rId17">
                            <a:extLst>
                              <a:ext uri="{28A0092B-C50C-407E-A947-70E740481C1C}">
                                <a14:useLocalDpi xmlns:a14="http://schemas.microsoft.com/office/drawing/2010/main" val="0"/>
                              </a:ext>
                            </a:extLst>
                          </a:blip>
                          <a:stretch>
                            <a:fillRect/>
                          </a:stretch>
                        </pic:blipFill>
                        <pic:spPr>
                          <a:xfrm>
                            <a:off x="0" y="0"/>
                            <a:ext cx="1137600" cy="720000"/>
                          </a:xfrm>
                          <a:prstGeom prst="rect">
                            <a:avLst/>
                          </a:prstGeom>
                        </pic:spPr>
                      </pic:pic>
                    </a:graphicData>
                  </a:graphic>
                </wp:inline>
              </w:drawing>
            </w:r>
          </w:p>
        </w:tc>
        <w:tc>
          <w:tcPr>
            <w:tcW w:w="1912" w:type="dxa"/>
          </w:tcPr>
          <w:p w:rsidR="00D3579B" w:rsidRDefault="00D3579B" w:rsidP="00BE2227">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7E075FDF" wp14:editId="7BF5F1CF">
                  <wp:extent cx="612000" cy="61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914" w:type="dxa"/>
          </w:tcPr>
          <w:p w:rsidR="00D3579B" w:rsidRDefault="00D3579B" w:rsidP="00BE2227">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254A7F86" wp14:editId="360AEBC1">
                  <wp:extent cx="612000" cy="6120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1898" w:type="dxa"/>
          </w:tcPr>
          <w:p w:rsidR="00D3579B" w:rsidRDefault="00D3579B" w:rsidP="00BE2227">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5C032E2B" wp14:editId="010F0669">
                  <wp:extent cx="612000" cy="6120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r>
              <w:rPr>
                <w:rFonts w:asciiTheme="majorHAnsi" w:eastAsiaTheme="majorEastAsia" w:hAnsiTheme="majorHAnsi" w:cstheme="majorBidi"/>
                <w:caps/>
                <w:color w:val="495965" w:themeColor="text2"/>
                <w:sz w:val="38"/>
                <w:szCs w:val="26"/>
                <w:lang w:val="en-GB" w:eastAsia="en-US"/>
              </w:rPr>
              <w:t xml:space="preserve">  </w:t>
            </w:r>
          </w:p>
        </w:tc>
        <w:tc>
          <w:tcPr>
            <w:tcW w:w="1898" w:type="dxa"/>
          </w:tcPr>
          <w:p w:rsidR="00D3579B" w:rsidRDefault="00D3579B" w:rsidP="00BE2227">
            <w:pPr>
              <w:pStyle w:val="ListBullet"/>
              <w:tabs>
                <w:tab w:val="clear" w:pos="284"/>
              </w:tabs>
              <w:spacing w:before="160" w:after="80" w:line="240" w:lineRule="auto"/>
              <w:jc w:val="center"/>
              <w:rPr>
                <w:rFonts w:asciiTheme="majorHAnsi" w:eastAsiaTheme="majorEastAsia" w:hAnsiTheme="majorHAnsi" w:cstheme="majorBidi"/>
                <w:caps/>
                <w:color w:val="495965" w:themeColor="text2"/>
                <w:sz w:val="38"/>
                <w:szCs w:val="26"/>
                <w:lang w:val="en-GB" w:eastAsia="en-US"/>
              </w:rPr>
            </w:pPr>
            <w:r>
              <w:rPr>
                <w:noProof/>
              </w:rPr>
              <w:drawing>
                <wp:inline distT="0" distB="0" distL="0" distR="0" wp14:anchorId="38759501" wp14:editId="11E21D4F">
                  <wp:extent cx="612000" cy="6120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r>
    </w:tbl>
    <w:p w:rsidR="00D84053" w:rsidRPr="000C58F1" w:rsidRDefault="00D84053" w:rsidP="00D84053">
      <w:pPr>
        <w:rPr>
          <w:b/>
        </w:rPr>
      </w:pPr>
      <w:r w:rsidRPr="000C58F1">
        <w:rPr>
          <w:b/>
        </w:rPr>
        <w:t xml:space="preserve">Supporting Human Development: More men, women, boys and girls benefit from quality health and basic and vocational education.   </w:t>
      </w:r>
      <w:r w:rsidRPr="000C58F1">
        <w:rPr>
          <w:rFonts w:eastAsia="Times New Roman"/>
          <w:i/>
        </w:rPr>
        <w:t xml:space="preserve">Progress towards this outcome is rated green as key outcome indicators were largely on track.   </w:t>
      </w:r>
    </w:p>
    <w:p w:rsidR="00D84053" w:rsidRPr="000C58F1" w:rsidRDefault="00D84053" w:rsidP="00D84053">
      <w:r w:rsidRPr="000C58F1">
        <w:rPr>
          <w:b/>
        </w:rPr>
        <w:t>Access to good quality basic education remains a significant challenge in Solomon Islands</w:t>
      </w:r>
      <w:r w:rsidRPr="000C58F1">
        <w:t xml:space="preserve">.  Improving literacy and numeracy is of key importance to the poor, as it provides a critical opportunity to address inequality and break cycles of poverty.  It is especially relevant to girls.  </w:t>
      </w:r>
      <w:r w:rsidRPr="000C58F1">
        <w:rPr>
          <w:lang w:val="en-US"/>
        </w:rPr>
        <w:t xml:space="preserve">Poor education outcomes and chronic skills shortages are also </w:t>
      </w:r>
      <w:r w:rsidR="00616313">
        <w:rPr>
          <w:lang w:val="en-US"/>
        </w:rPr>
        <w:t>constraints</w:t>
      </w:r>
      <w:r w:rsidRPr="000C58F1">
        <w:rPr>
          <w:lang w:val="en-US"/>
        </w:rPr>
        <w:t xml:space="preserve"> to</w:t>
      </w:r>
      <w:r w:rsidR="00767CE5" w:rsidRPr="000C58F1">
        <w:rPr>
          <w:lang w:val="en-US"/>
        </w:rPr>
        <w:t xml:space="preserve"> economic</w:t>
      </w:r>
      <w:r w:rsidRPr="000C58F1">
        <w:rPr>
          <w:lang w:val="en-US"/>
        </w:rPr>
        <w:t xml:space="preserve"> growth in Solomon Islands.  With major skills shortages across most professional categories, significant human capital investments are required.  </w:t>
      </w:r>
    </w:p>
    <w:p w:rsidR="00D84053" w:rsidRPr="000C58F1" w:rsidRDefault="00D84053" w:rsidP="00D84053">
      <w:r w:rsidRPr="000C58F1">
        <w:rPr>
          <w:b/>
        </w:rPr>
        <w:t>Australia</w:t>
      </w:r>
      <w:r w:rsidR="002C411C">
        <w:rPr>
          <w:b/>
        </w:rPr>
        <w:t xml:space="preserve"> </w:t>
      </w:r>
      <w:r w:rsidRPr="000C58F1">
        <w:rPr>
          <w:b/>
        </w:rPr>
        <w:t>work</w:t>
      </w:r>
      <w:r w:rsidR="002C411C">
        <w:rPr>
          <w:b/>
        </w:rPr>
        <w:t>ed</w:t>
      </w:r>
      <w:r w:rsidRPr="000C58F1">
        <w:rPr>
          <w:b/>
        </w:rPr>
        <w:t xml:space="preserve"> to improve access and quality of basic education and strengthen key education institutions</w:t>
      </w:r>
      <w:r w:rsidR="004F14EF" w:rsidRPr="004F14EF">
        <w:rPr>
          <w:b/>
        </w:rPr>
        <w:t xml:space="preserve"> </w:t>
      </w:r>
      <w:r w:rsidR="004F14EF" w:rsidRPr="000C58F1">
        <w:rPr>
          <w:b/>
        </w:rPr>
        <w:t>in Solomon Islands</w:t>
      </w:r>
      <w:r w:rsidRPr="000C58F1">
        <w:t xml:space="preserve">.  The program </w:t>
      </w:r>
      <w:r w:rsidR="002C411C">
        <w:t>supported</w:t>
      </w:r>
      <w:r w:rsidRPr="000C58F1">
        <w:t xml:space="preserve"> sustainable, long-term, structural change and results at the school level through budget support to the Ministry of Education and Human Resource Development</w:t>
      </w:r>
      <w:r w:rsidR="000A088D">
        <w:t xml:space="preserve"> (MEHRD)</w:t>
      </w:r>
      <w:r w:rsidRPr="000C58F1">
        <w:t>.  Australia</w:t>
      </w:r>
      <w:r w:rsidR="002C411C">
        <w:t xml:space="preserve"> </w:t>
      </w:r>
      <w:r w:rsidRPr="000C58F1">
        <w:t>support</w:t>
      </w:r>
      <w:r w:rsidR="002C411C">
        <w:t>ed</w:t>
      </w:r>
      <w:r w:rsidRPr="000C58F1">
        <w:t xml:space="preserve"> </w:t>
      </w:r>
      <w:r w:rsidR="003A7DD2" w:rsidRPr="000C58F1">
        <w:t xml:space="preserve">around </w:t>
      </w:r>
      <w:r w:rsidR="00095517">
        <w:t>5 per cent</w:t>
      </w:r>
      <w:r w:rsidRPr="000C58F1">
        <w:t xml:space="preserve"> of Solomon Islands</w:t>
      </w:r>
      <w:r w:rsidR="00095517">
        <w:t>’</w:t>
      </w:r>
      <w:r w:rsidRPr="000C58F1">
        <w:t xml:space="preserve"> </w:t>
      </w:r>
      <w:r w:rsidR="000C58F1" w:rsidRPr="000C58F1">
        <w:t xml:space="preserve">education </w:t>
      </w:r>
      <w:r w:rsidRPr="000C58F1">
        <w:t xml:space="preserve">budget.  Assistance </w:t>
      </w:r>
      <w:r w:rsidR="002C411C">
        <w:t xml:space="preserve">was </w:t>
      </w:r>
      <w:r w:rsidRPr="000C58F1">
        <w:t>linked to performance, with 2</w:t>
      </w:r>
      <w:r w:rsidR="00767CE5" w:rsidRPr="000C58F1">
        <w:t>0</w:t>
      </w:r>
      <w:r w:rsidR="00095517">
        <w:t xml:space="preserve"> per cent</w:t>
      </w:r>
      <w:r w:rsidRPr="000C58F1">
        <w:t xml:space="preserve"> of funding performance-linked aid.   </w:t>
      </w:r>
    </w:p>
    <w:p w:rsidR="00D84053" w:rsidRPr="000C58F1" w:rsidRDefault="00D84053" w:rsidP="00D84053">
      <w:r w:rsidRPr="000C58F1">
        <w:rPr>
          <w:rFonts w:cstheme="minorHAnsi"/>
          <w:b/>
        </w:rPr>
        <w:t>Performance on improving education quality in the reporting period was largely on track.</w:t>
      </w:r>
      <w:r w:rsidRPr="000C58F1">
        <w:rPr>
          <w:rFonts w:cstheme="minorHAnsi"/>
        </w:rPr>
        <w:t xml:space="preserve">  </w:t>
      </w:r>
      <w:r w:rsidR="000F67E6">
        <w:rPr>
          <w:rFonts w:cstheme="minorHAnsi"/>
        </w:rPr>
        <w:t>I</w:t>
      </w:r>
      <w:r w:rsidR="000607EF" w:rsidRPr="000C58F1">
        <w:t>mprov</w:t>
      </w:r>
      <w:r w:rsidR="002C411C">
        <w:t>ed</w:t>
      </w:r>
      <w:r w:rsidR="000607EF" w:rsidRPr="000C58F1">
        <w:t xml:space="preserve"> teacher effectiveness </w:t>
      </w:r>
      <w:r w:rsidR="004F14EF">
        <w:t>is</w:t>
      </w:r>
      <w:r w:rsidR="002C411C" w:rsidRPr="000C58F1">
        <w:t xml:space="preserve"> </w:t>
      </w:r>
      <w:r w:rsidR="000F67E6">
        <w:t>a key predictor</w:t>
      </w:r>
      <w:r w:rsidR="000607EF" w:rsidRPr="000C58F1">
        <w:t xml:space="preserve"> of improving student learning.</w:t>
      </w:r>
      <w:r w:rsidR="000607EF" w:rsidRPr="000C58F1">
        <w:rPr>
          <w:sz w:val="14"/>
          <w:szCs w:val="14"/>
        </w:rPr>
        <w:t xml:space="preserve"> </w:t>
      </w:r>
      <w:r w:rsidR="000F67E6">
        <w:rPr>
          <w:sz w:val="14"/>
          <w:szCs w:val="14"/>
        </w:rPr>
        <w:t xml:space="preserve"> </w:t>
      </w:r>
      <w:r w:rsidRPr="000C58F1">
        <w:rPr>
          <w:rFonts w:cstheme="minorHAnsi"/>
        </w:rPr>
        <w:t xml:space="preserve">Australia’s support </w:t>
      </w:r>
      <w:r w:rsidR="002C411C">
        <w:rPr>
          <w:rFonts w:cstheme="minorHAnsi"/>
        </w:rPr>
        <w:t>contributed to the</w:t>
      </w:r>
      <w:r w:rsidRPr="000C58F1">
        <w:rPr>
          <w:rFonts w:cstheme="minorHAnsi"/>
        </w:rPr>
        <w:t xml:space="preserve"> </w:t>
      </w:r>
      <w:r w:rsidR="00E22EA4" w:rsidRPr="000C58F1">
        <w:rPr>
          <w:rFonts w:cstheme="minorHAnsi"/>
        </w:rPr>
        <w:t xml:space="preserve">continuing </w:t>
      </w:r>
      <w:r w:rsidRPr="000C58F1">
        <w:rPr>
          <w:rFonts w:cstheme="minorHAnsi"/>
        </w:rPr>
        <w:t xml:space="preserve">professional development </w:t>
      </w:r>
      <w:r w:rsidR="004F14EF">
        <w:rPr>
          <w:rFonts w:cstheme="minorHAnsi"/>
        </w:rPr>
        <w:t>of</w:t>
      </w:r>
      <w:r w:rsidRPr="000C58F1">
        <w:rPr>
          <w:rFonts w:cstheme="minorHAnsi"/>
        </w:rPr>
        <w:t xml:space="preserve"> </w:t>
      </w:r>
      <w:r w:rsidR="004375AC">
        <w:rPr>
          <w:rFonts w:cstheme="minorHAnsi"/>
        </w:rPr>
        <w:t xml:space="preserve">1,440 </w:t>
      </w:r>
      <w:r w:rsidRPr="000C58F1">
        <w:rPr>
          <w:rFonts w:cstheme="minorHAnsi"/>
        </w:rPr>
        <w:t>teachers and school leaders</w:t>
      </w:r>
      <w:r w:rsidR="004375AC">
        <w:rPr>
          <w:rFonts w:cstheme="minorHAnsi"/>
        </w:rPr>
        <w:t xml:space="preserve"> (633 women and 807 men)</w:t>
      </w:r>
      <w:r w:rsidR="000607EF">
        <w:rPr>
          <w:rFonts w:cstheme="minorHAnsi"/>
        </w:rPr>
        <w:t xml:space="preserve">, and </w:t>
      </w:r>
      <w:r w:rsidR="000607EF">
        <w:lastRenderedPageBreak/>
        <w:t>s</w:t>
      </w:r>
      <w:r w:rsidRPr="000C58F1">
        <w:t>trong progress was made on outstanding elements of curriculum reform</w:t>
      </w:r>
      <w:r w:rsidR="003A7DD2" w:rsidRPr="000C58F1">
        <w:rPr>
          <w:rStyle w:val="FootnoteReference"/>
        </w:rPr>
        <w:footnoteReference w:id="13"/>
      </w:r>
      <w:r w:rsidRPr="000C58F1">
        <w:t>. The number of certified primary school teachers increased in 2017 to 72</w:t>
      </w:r>
      <w:r w:rsidR="00767CE5" w:rsidRPr="000C58F1">
        <w:t>.2</w:t>
      </w:r>
      <w:r w:rsidR="00B81CFB">
        <w:t xml:space="preserve"> per cent</w:t>
      </w:r>
      <w:r w:rsidRPr="000C58F1">
        <w:t>, from 65</w:t>
      </w:r>
      <w:r w:rsidR="00767CE5" w:rsidRPr="000C58F1">
        <w:t>.6</w:t>
      </w:r>
      <w:r w:rsidR="00B81CFB">
        <w:t xml:space="preserve"> per cent</w:t>
      </w:r>
      <w:r w:rsidRPr="000C58F1">
        <w:t xml:space="preserve"> in 2016</w:t>
      </w:r>
      <w:r w:rsidR="003A7DD2" w:rsidRPr="000C58F1">
        <w:rPr>
          <w:rStyle w:val="FootnoteReference"/>
        </w:rPr>
        <w:footnoteReference w:id="14"/>
      </w:r>
      <w:r w:rsidR="003A7DD2" w:rsidRPr="000C58F1">
        <w:t xml:space="preserve">.  </w:t>
      </w:r>
      <w:r w:rsidRPr="000C58F1">
        <w:rPr>
          <w:rFonts w:cstheme="minorHAnsi"/>
        </w:rPr>
        <w:t xml:space="preserve">Delays in carrying out the 2017 Solomon Islands Standardised Test of Achievement (SISTA) </w:t>
      </w:r>
      <w:r w:rsidR="00BE2227">
        <w:rPr>
          <w:rFonts w:cstheme="minorHAnsi"/>
        </w:rPr>
        <w:t>reduced</w:t>
      </w:r>
      <w:r w:rsidRPr="000C58F1">
        <w:rPr>
          <w:rFonts w:cstheme="minorHAnsi"/>
        </w:rPr>
        <w:t xml:space="preserve"> our ability to assess </w:t>
      </w:r>
      <w:r w:rsidR="004375AC">
        <w:rPr>
          <w:rFonts w:cstheme="minorHAnsi"/>
        </w:rPr>
        <w:t xml:space="preserve">the </w:t>
      </w:r>
      <w:r w:rsidRPr="000C58F1">
        <w:rPr>
          <w:rFonts w:cstheme="minorHAnsi"/>
        </w:rPr>
        <w:t xml:space="preserve">impact </w:t>
      </w:r>
      <w:r w:rsidR="00BE2227">
        <w:rPr>
          <w:rFonts w:cstheme="minorHAnsi"/>
        </w:rPr>
        <w:t xml:space="preserve">of our support </w:t>
      </w:r>
      <w:r w:rsidRPr="000C58F1">
        <w:rPr>
          <w:rFonts w:cstheme="minorHAnsi"/>
        </w:rPr>
        <w:t>on learning outcomes</w:t>
      </w:r>
      <w:r w:rsidR="00BE2227">
        <w:rPr>
          <w:rFonts w:cstheme="minorHAnsi"/>
        </w:rPr>
        <w:t xml:space="preserve"> in the reporting period</w:t>
      </w:r>
      <w:r w:rsidRPr="000C58F1">
        <w:rPr>
          <w:rFonts w:cstheme="minorHAnsi"/>
        </w:rPr>
        <w:t xml:space="preserve">.  </w:t>
      </w:r>
      <w:r w:rsidR="000F67E6" w:rsidRPr="000F67E6">
        <w:rPr>
          <w:rFonts w:cstheme="minorHAnsi"/>
        </w:rPr>
        <w:t>While more analysis is needed, initial findings indicate an improvement in literacy achievement since SISTA was last held in 2015</w:t>
      </w:r>
      <w:r w:rsidR="000F67E6">
        <w:rPr>
          <w:rFonts w:cstheme="minorHAnsi"/>
        </w:rPr>
        <w:t xml:space="preserve">. </w:t>
      </w:r>
    </w:p>
    <w:p w:rsidR="00D84053" w:rsidRPr="000C58F1" w:rsidRDefault="001D3145" w:rsidP="001D3145">
      <w:r w:rsidRPr="000C58F1">
        <w:rPr>
          <w:rFonts w:cstheme="minorHAnsi"/>
          <w:b/>
        </w:rPr>
        <w:t>Progress was made</w:t>
      </w:r>
      <w:r w:rsidR="00D84053" w:rsidRPr="000C58F1">
        <w:rPr>
          <w:rFonts w:cstheme="minorHAnsi"/>
          <w:b/>
        </w:rPr>
        <w:t xml:space="preserve"> on addressing blockages to</w:t>
      </w:r>
      <w:r w:rsidRPr="000C58F1">
        <w:rPr>
          <w:rFonts w:cstheme="minorHAnsi"/>
          <w:b/>
        </w:rPr>
        <w:t xml:space="preserve"> improved access to education, but this will remain a challenge.  </w:t>
      </w:r>
      <w:r w:rsidR="00545940" w:rsidRPr="000C58F1">
        <w:rPr>
          <w:rFonts w:cstheme="minorHAnsi"/>
        </w:rPr>
        <w:t>In 2017</w:t>
      </w:r>
      <w:r w:rsidR="005E4216">
        <w:rPr>
          <w:rFonts w:cstheme="minorHAnsi"/>
        </w:rPr>
        <w:t>,</w:t>
      </w:r>
      <w:r w:rsidR="00545940" w:rsidRPr="000C58F1">
        <w:rPr>
          <w:rFonts w:cstheme="minorHAnsi"/>
        </w:rPr>
        <w:t xml:space="preserve"> our support </w:t>
      </w:r>
      <w:r w:rsidR="002C411C">
        <w:rPr>
          <w:rFonts w:cstheme="minorHAnsi"/>
        </w:rPr>
        <w:t>contributed to</w:t>
      </w:r>
      <w:r w:rsidR="00E22EA4" w:rsidRPr="000C58F1">
        <w:rPr>
          <w:rFonts w:cstheme="minorHAnsi"/>
        </w:rPr>
        <w:t xml:space="preserve"> </w:t>
      </w:r>
      <w:r w:rsidR="00545940" w:rsidRPr="000C58F1">
        <w:rPr>
          <w:rFonts w:cstheme="minorHAnsi"/>
        </w:rPr>
        <w:t xml:space="preserve">101 </w:t>
      </w:r>
      <w:r w:rsidR="00A4679C">
        <w:rPr>
          <w:rFonts w:cstheme="minorHAnsi"/>
        </w:rPr>
        <w:t xml:space="preserve">school </w:t>
      </w:r>
      <w:r w:rsidR="00545940" w:rsidRPr="000C58F1">
        <w:rPr>
          <w:rFonts w:cstheme="minorHAnsi"/>
        </w:rPr>
        <w:t>infrastructure projects</w:t>
      </w:r>
      <w:r w:rsidR="00A4679C">
        <w:rPr>
          <w:rFonts w:cstheme="minorHAnsi"/>
        </w:rPr>
        <w:t>, including 74 classrooms</w:t>
      </w:r>
      <w:r w:rsidR="00545940" w:rsidRPr="000C58F1">
        <w:rPr>
          <w:rFonts w:cstheme="minorHAnsi"/>
        </w:rPr>
        <w:t xml:space="preserve">.  </w:t>
      </w:r>
      <w:r w:rsidR="00D84053" w:rsidRPr="000C58F1">
        <w:rPr>
          <w:rFonts w:cstheme="minorHAnsi"/>
        </w:rPr>
        <w:t>H</w:t>
      </w:r>
      <w:r w:rsidR="00545940" w:rsidRPr="000C58F1">
        <w:rPr>
          <w:rFonts w:cstheme="minorHAnsi"/>
        </w:rPr>
        <w:t>owever, h</w:t>
      </w:r>
      <w:r w:rsidR="00D84053" w:rsidRPr="000C58F1">
        <w:rPr>
          <w:rFonts w:cstheme="minorHAnsi"/>
        </w:rPr>
        <w:t>igh numbers of children remain out of school.  Transition rates have declined and, without interventions to improve transition, particularly for Year 6 and 9 students, these rates are likely to continue to drop</w:t>
      </w:r>
      <w:r w:rsidR="003A7DD2" w:rsidRPr="000C58F1">
        <w:rPr>
          <w:rStyle w:val="FootnoteReference"/>
          <w:rFonts w:cstheme="minorHAnsi"/>
        </w:rPr>
        <w:footnoteReference w:id="15"/>
      </w:r>
      <w:r w:rsidR="003A7DD2" w:rsidRPr="000C58F1">
        <w:rPr>
          <w:rFonts w:cstheme="minorHAnsi"/>
        </w:rPr>
        <w:t xml:space="preserve">.  </w:t>
      </w:r>
      <w:r w:rsidR="00BE2227">
        <w:rPr>
          <w:rFonts w:cstheme="minorHAnsi"/>
        </w:rPr>
        <w:t>The Ministry of Education &amp; Human Resources Development (</w:t>
      </w:r>
      <w:r w:rsidR="00A4679C" w:rsidRPr="000C58F1">
        <w:rPr>
          <w:rFonts w:cstheme="minorHAnsi"/>
        </w:rPr>
        <w:t>MEHRD</w:t>
      </w:r>
      <w:r w:rsidR="00BE2227">
        <w:rPr>
          <w:rFonts w:cstheme="minorHAnsi"/>
        </w:rPr>
        <w:t>)</w:t>
      </w:r>
      <w:r w:rsidR="00A4679C" w:rsidRPr="000C58F1">
        <w:rPr>
          <w:rFonts w:cstheme="minorHAnsi"/>
        </w:rPr>
        <w:t xml:space="preserve"> began work to remove a key barrier – a compulsory examination at Year 6 to enable progression to secondary education.  </w:t>
      </w:r>
      <w:r w:rsidR="00CC016B">
        <w:rPr>
          <w:rFonts w:cstheme="minorHAnsi"/>
        </w:rPr>
        <w:t>We support</w:t>
      </w:r>
      <w:r w:rsidR="002C411C">
        <w:rPr>
          <w:rFonts w:cstheme="minorHAnsi"/>
        </w:rPr>
        <w:t xml:space="preserve">ed </w:t>
      </w:r>
      <w:r w:rsidR="00CC016B">
        <w:rPr>
          <w:rFonts w:cstheme="minorHAnsi"/>
        </w:rPr>
        <w:t>MEHRD to develop a policy on disability-inclusive education, including systems to collect statistics on the number of children with disabilities attending school.</w:t>
      </w:r>
    </w:p>
    <w:p w:rsidR="00D84053" w:rsidRPr="000C58F1" w:rsidRDefault="00D84053" w:rsidP="001D3145">
      <w:r w:rsidRPr="000C58F1">
        <w:rPr>
          <w:b/>
        </w:rPr>
        <w:t xml:space="preserve">Up to twenty per cent of Australia’s funding for basic education in Solomon Islands </w:t>
      </w:r>
      <w:r w:rsidR="002C411C">
        <w:rPr>
          <w:b/>
        </w:rPr>
        <w:t>was</w:t>
      </w:r>
      <w:r w:rsidR="002C411C" w:rsidRPr="000C58F1">
        <w:rPr>
          <w:b/>
        </w:rPr>
        <w:t xml:space="preserve"> </w:t>
      </w:r>
      <w:r w:rsidRPr="000C58F1">
        <w:rPr>
          <w:b/>
        </w:rPr>
        <w:t>performance based.</w:t>
      </w:r>
      <w:r w:rsidRPr="000C58F1">
        <w:t xml:space="preserve">  MEHRD achieved an assessed performance score of 64</w:t>
      </w:r>
      <w:r w:rsidR="00B81CFB">
        <w:t xml:space="preserve"> per cent</w:t>
      </w:r>
      <w:r w:rsidRPr="000C58F1">
        <w:t xml:space="preserve"> in 2017, down from 91</w:t>
      </w:r>
      <w:r w:rsidR="00B81CFB">
        <w:t xml:space="preserve"> per cent </w:t>
      </w:r>
      <w:r w:rsidRPr="000C58F1">
        <w:t xml:space="preserve">in 2016. The independent assessment noted </w:t>
      </w:r>
      <w:r w:rsidR="00E22EA4" w:rsidRPr="000C58F1">
        <w:t>the shift between 2016 and 2017 did</w:t>
      </w:r>
      <w:r w:rsidR="002C411C">
        <w:t xml:space="preserve"> </w:t>
      </w:r>
      <w:r w:rsidR="00E22EA4" w:rsidRPr="000C58F1">
        <w:t>n</w:t>
      </w:r>
      <w:r w:rsidR="002C411C">
        <w:t>o</w:t>
      </w:r>
      <w:r w:rsidR="00E22EA4" w:rsidRPr="000C58F1">
        <w:t>t reflect worsening performance so much as increasingly ambitious targets and timeframes in 2017</w:t>
      </w:r>
      <w:r w:rsidR="003A7DD2" w:rsidRPr="000C58F1">
        <w:rPr>
          <w:rStyle w:val="FootnoteReference"/>
        </w:rPr>
        <w:footnoteReference w:id="16"/>
      </w:r>
      <w:r w:rsidRPr="000C58F1">
        <w:t xml:space="preserve">. Australia’s budget support and performance-linked aid enabled policy dialogue </w:t>
      </w:r>
      <w:r w:rsidR="00FE3688">
        <w:t>and influence</w:t>
      </w:r>
      <w:r w:rsidRPr="000C58F1">
        <w:t xml:space="preserve"> with MEHRD – including on the focus of reforms, annual budget allocation, </w:t>
      </w:r>
      <w:r w:rsidR="001D3145" w:rsidRPr="000C58F1">
        <w:t xml:space="preserve">and </w:t>
      </w:r>
      <w:r w:rsidRPr="000C58F1">
        <w:t xml:space="preserve">expenditure on scholarships. </w:t>
      </w:r>
      <w:r w:rsidR="004375AC">
        <w:t xml:space="preserve">Australia’s advocacy contributed to increased spending by </w:t>
      </w:r>
      <w:r w:rsidR="00FE3688">
        <w:t>Solomon Islands Government</w:t>
      </w:r>
      <w:r w:rsidR="004375AC">
        <w:t xml:space="preserve"> on basic education in the 2018 budget.</w:t>
      </w:r>
    </w:p>
    <w:p w:rsidR="00D84053" w:rsidRDefault="00D84053" w:rsidP="001D3145">
      <w:pPr>
        <w:spacing w:line="240" w:lineRule="auto"/>
      </w:pPr>
      <w:r w:rsidRPr="000C58F1">
        <w:rPr>
          <w:b/>
        </w:rPr>
        <w:t xml:space="preserve">Supporting future Solomon Island leaders, Australia </w:t>
      </w:r>
      <w:r w:rsidR="00767CE5" w:rsidRPr="000C58F1">
        <w:rPr>
          <w:b/>
        </w:rPr>
        <w:t xml:space="preserve">awarded </w:t>
      </w:r>
      <w:r w:rsidRPr="000C58F1">
        <w:rPr>
          <w:b/>
        </w:rPr>
        <w:t xml:space="preserve">42 </w:t>
      </w:r>
      <w:r w:rsidR="004375AC">
        <w:rPr>
          <w:b/>
        </w:rPr>
        <w:t xml:space="preserve">(21 women and 21 men) </w:t>
      </w:r>
      <w:r w:rsidRPr="000C58F1">
        <w:rPr>
          <w:b/>
        </w:rPr>
        <w:t>scholarships for students to study skills for economic and social development at universities in Australia</w:t>
      </w:r>
      <w:r w:rsidR="00767CE5" w:rsidRPr="000C58F1">
        <w:rPr>
          <w:b/>
        </w:rPr>
        <w:t xml:space="preserve"> and the Pacific</w:t>
      </w:r>
      <w:r w:rsidRPr="000C58F1">
        <w:rPr>
          <w:b/>
        </w:rPr>
        <w:t>.</w:t>
      </w:r>
      <w:r w:rsidRPr="000C58F1">
        <w:t xml:space="preserve"> This add</w:t>
      </w:r>
      <w:r w:rsidR="002C411C">
        <w:t>ed</w:t>
      </w:r>
      <w:r w:rsidRPr="000C58F1">
        <w:t xml:space="preserve"> to the existing pool of</w:t>
      </w:r>
      <w:r w:rsidR="002E4544" w:rsidRPr="000C58F1">
        <w:t xml:space="preserve"> more than 100</w:t>
      </w:r>
      <w:r w:rsidRPr="000C58F1">
        <w:t xml:space="preserve"> scholars. The </w:t>
      </w:r>
      <w:r w:rsidR="00462FDF" w:rsidRPr="000C58F1">
        <w:t xml:space="preserve">High Commission </w:t>
      </w:r>
      <w:r w:rsidRPr="000C58F1">
        <w:t xml:space="preserve">worked to engage alumni in Honiara, including </w:t>
      </w:r>
      <w:r w:rsidR="003C1D5C" w:rsidRPr="000C58F1">
        <w:t xml:space="preserve">supporting </w:t>
      </w:r>
      <w:r w:rsidRPr="000C58F1">
        <w:t xml:space="preserve">an event </w:t>
      </w:r>
      <w:r w:rsidR="003C1D5C" w:rsidRPr="000C58F1">
        <w:t xml:space="preserve">led by the Solomon Islands Australia Alumni Association </w:t>
      </w:r>
      <w:r w:rsidRPr="000C58F1">
        <w:t xml:space="preserve">at which </w:t>
      </w:r>
      <w:r w:rsidR="001D3145" w:rsidRPr="000C58F1">
        <w:t>the Solomon Islands</w:t>
      </w:r>
      <w:r w:rsidRPr="000C58F1">
        <w:t xml:space="preserve"> Prime </w:t>
      </w:r>
      <w:r w:rsidR="001D3145" w:rsidRPr="000C58F1">
        <w:t>Minister was a keynote speaker.</w:t>
      </w:r>
      <w:r>
        <w:t xml:space="preserve"> </w:t>
      </w:r>
    </w:p>
    <w:p w:rsidR="00F904A3" w:rsidRPr="00A4679C" w:rsidRDefault="00F904A3" w:rsidP="00F904A3">
      <w:r w:rsidRPr="00FB07BA">
        <w:rPr>
          <w:rFonts w:cs="Arial"/>
          <w:b/>
        </w:rPr>
        <w:t>Performance of support for health was</w:t>
      </w:r>
      <w:r w:rsidR="00C80308">
        <w:rPr>
          <w:rFonts w:cs="Arial"/>
          <w:b/>
        </w:rPr>
        <w:t xml:space="preserve"> in line with </w:t>
      </w:r>
      <w:r w:rsidRPr="00FB07BA">
        <w:rPr>
          <w:rFonts w:cs="Arial"/>
          <w:b/>
        </w:rPr>
        <w:t>expectations.</w:t>
      </w:r>
      <w:r w:rsidRPr="00FB07BA">
        <w:rPr>
          <w:b/>
        </w:rPr>
        <w:t xml:space="preserve"> </w:t>
      </w:r>
      <w:r w:rsidR="00095517">
        <w:rPr>
          <w:b/>
        </w:rPr>
        <w:t xml:space="preserve"> </w:t>
      </w:r>
      <w:r w:rsidR="002C411C" w:rsidRPr="00FB07BA">
        <w:t>Being healthy directly improves a person’s quality of life. It also contributes to a person’s productive capacity, and thereby their income earning potential and their ability to provide for their own needs and those of their family</w:t>
      </w:r>
      <w:r w:rsidR="002C411C">
        <w:t xml:space="preserve">.  </w:t>
      </w:r>
      <w:r w:rsidR="00A37BCD">
        <w:rPr>
          <w:rFonts w:cs="Arial"/>
        </w:rPr>
        <w:t xml:space="preserve">Australia’s investment </w:t>
      </w:r>
      <w:r w:rsidR="002C411C">
        <w:rPr>
          <w:rFonts w:cs="Arial"/>
        </w:rPr>
        <w:t xml:space="preserve">in health was </w:t>
      </w:r>
      <w:r w:rsidRPr="00FB07BA">
        <w:rPr>
          <w:rFonts w:cs="Arial"/>
        </w:rPr>
        <w:t>targeted at primary health service delivery, with 40</w:t>
      </w:r>
      <w:r w:rsidR="00B81CFB">
        <w:rPr>
          <w:rFonts w:cs="Arial"/>
        </w:rPr>
        <w:t xml:space="preserve"> per cent </w:t>
      </w:r>
      <w:r w:rsidRPr="00FB07BA">
        <w:rPr>
          <w:rFonts w:cs="Arial"/>
        </w:rPr>
        <w:t>of our budget support allocated to provincial health facilities. This enable</w:t>
      </w:r>
      <w:r w:rsidR="002C411C">
        <w:rPr>
          <w:rFonts w:cs="Arial"/>
        </w:rPr>
        <w:t>d</w:t>
      </w:r>
      <w:r w:rsidRPr="00FB07BA">
        <w:rPr>
          <w:rFonts w:cs="Arial"/>
        </w:rPr>
        <w:t xml:space="preserve"> our spending to </w:t>
      </w:r>
      <w:r w:rsidR="001F24D1">
        <w:rPr>
          <w:rFonts w:cs="Arial"/>
        </w:rPr>
        <w:t xml:space="preserve">reach </w:t>
      </w:r>
      <w:r w:rsidRPr="00E92016">
        <w:rPr>
          <w:rFonts w:cs="Arial"/>
        </w:rPr>
        <w:t>all 190 Wards in</w:t>
      </w:r>
      <w:r w:rsidRPr="00FB07BA">
        <w:rPr>
          <w:rFonts w:cs="Arial"/>
        </w:rPr>
        <w:t xml:space="preserve"> all </w:t>
      </w:r>
      <w:r w:rsidR="00BE2227">
        <w:rPr>
          <w:rFonts w:cs="Arial"/>
        </w:rPr>
        <w:t>ten</w:t>
      </w:r>
      <w:r w:rsidRPr="00FB07BA">
        <w:rPr>
          <w:rFonts w:cs="Arial"/>
        </w:rPr>
        <w:t xml:space="preserve"> Provinces</w:t>
      </w:r>
      <w:r w:rsidR="001F24D1">
        <w:rPr>
          <w:rFonts w:cs="Arial"/>
        </w:rPr>
        <w:t xml:space="preserve"> and Territories</w:t>
      </w:r>
      <w:r w:rsidRPr="00FB07BA">
        <w:rPr>
          <w:rFonts w:cs="Arial"/>
        </w:rPr>
        <w:t xml:space="preserve">. </w:t>
      </w:r>
      <w:r w:rsidR="00A4679C">
        <w:rPr>
          <w:rFonts w:cs="Arial"/>
        </w:rPr>
        <w:t xml:space="preserve"> </w:t>
      </w:r>
      <w:r w:rsidR="00A4679C" w:rsidRPr="00FB07BA">
        <w:rPr>
          <w:rFonts w:cs="Arial"/>
        </w:rPr>
        <w:t xml:space="preserve">Up to 22 per cent of Australia’s budget support for health in Solomon Islands </w:t>
      </w:r>
      <w:r w:rsidR="002C411C">
        <w:rPr>
          <w:rFonts w:cs="Arial"/>
        </w:rPr>
        <w:t>was</w:t>
      </w:r>
      <w:r w:rsidR="002C411C" w:rsidRPr="00FB07BA">
        <w:rPr>
          <w:rFonts w:cs="Arial"/>
        </w:rPr>
        <w:t xml:space="preserve"> </w:t>
      </w:r>
      <w:r w:rsidR="00A4679C" w:rsidRPr="00FB07BA">
        <w:rPr>
          <w:rFonts w:cs="Arial"/>
        </w:rPr>
        <w:t xml:space="preserve">performance based.  </w:t>
      </w:r>
      <w:r w:rsidR="00CF05BE">
        <w:rPr>
          <w:rFonts w:cs="Arial"/>
        </w:rPr>
        <w:t>The Ministry of Health (</w:t>
      </w:r>
      <w:r w:rsidR="00A4679C" w:rsidRPr="00FB07BA">
        <w:rPr>
          <w:rFonts w:cs="Arial"/>
        </w:rPr>
        <w:t>MHMS</w:t>
      </w:r>
      <w:r w:rsidR="00CF05BE">
        <w:rPr>
          <w:rFonts w:cs="Arial"/>
        </w:rPr>
        <w:t>)</w:t>
      </w:r>
      <w:r w:rsidR="00A4679C" w:rsidRPr="00FB07BA">
        <w:rPr>
          <w:rFonts w:cs="Arial"/>
        </w:rPr>
        <w:t xml:space="preserve"> achieved an assessed performance score of 64</w:t>
      </w:r>
      <w:r w:rsidR="00B81CFB">
        <w:rPr>
          <w:rFonts w:cs="Arial"/>
        </w:rPr>
        <w:t xml:space="preserve"> per cent</w:t>
      </w:r>
      <w:r w:rsidR="00A4679C" w:rsidRPr="00FB07BA">
        <w:rPr>
          <w:rFonts w:cs="Arial"/>
        </w:rPr>
        <w:t xml:space="preserve"> in 2017, down from 73</w:t>
      </w:r>
      <w:r w:rsidR="00B81CFB">
        <w:rPr>
          <w:rFonts w:cs="Arial"/>
        </w:rPr>
        <w:t xml:space="preserve"> per cent</w:t>
      </w:r>
      <w:r w:rsidR="00A4679C" w:rsidRPr="00FB07BA">
        <w:rPr>
          <w:rFonts w:cs="Arial"/>
        </w:rPr>
        <w:t xml:space="preserve"> in 2016.</w:t>
      </w:r>
      <w:r w:rsidR="00A4679C">
        <w:t xml:space="preserve">  </w:t>
      </w:r>
      <w:r w:rsidRPr="00FB07BA">
        <w:rPr>
          <w:rFonts w:cs="Arial"/>
        </w:rPr>
        <w:t xml:space="preserve">At the provincial level, there was strong performance in financial planning and </w:t>
      </w:r>
      <w:r w:rsidR="00A5188C">
        <w:rPr>
          <w:rFonts w:cs="Arial"/>
        </w:rPr>
        <w:t xml:space="preserve">expenditure </w:t>
      </w:r>
      <w:r w:rsidRPr="00FB07BA">
        <w:rPr>
          <w:rFonts w:cs="Arial"/>
        </w:rPr>
        <w:t>reporting</w:t>
      </w:r>
      <w:r w:rsidR="00BE2227">
        <w:rPr>
          <w:rFonts w:cs="Arial"/>
        </w:rPr>
        <w:t>.  However,</w:t>
      </w:r>
      <w:r w:rsidRPr="00FB07BA">
        <w:rPr>
          <w:rFonts w:cs="Arial"/>
        </w:rPr>
        <w:t xml:space="preserve"> few provinces demonstrated the targeted increase in service delivery and outreach indicators such as immunisation, family planning, and skilled birth attendance.</w:t>
      </w:r>
      <w:r w:rsidR="002D3270" w:rsidRPr="002D3270">
        <w:t xml:space="preserve"> </w:t>
      </w:r>
      <w:r w:rsidR="00CF05BE">
        <w:t xml:space="preserve"> </w:t>
      </w:r>
      <w:r w:rsidR="002D3270" w:rsidRPr="002D3270">
        <w:rPr>
          <w:rFonts w:cs="Arial"/>
        </w:rPr>
        <w:t xml:space="preserve">Australia supported </w:t>
      </w:r>
      <w:r w:rsidR="00A5188C">
        <w:rPr>
          <w:rFonts w:cs="Arial"/>
        </w:rPr>
        <w:t>MHMS</w:t>
      </w:r>
      <w:r w:rsidR="002D3270" w:rsidRPr="002D3270">
        <w:rPr>
          <w:rFonts w:cs="Arial"/>
        </w:rPr>
        <w:t xml:space="preserve"> </w:t>
      </w:r>
      <w:r w:rsidR="00A5188C">
        <w:rPr>
          <w:rFonts w:cs="Arial"/>
        </w:rPr>
        <w:t>to develop</w:t>
      </w:r>
      <w:r w:rsidR="002D3270" w:rsidRPr="002D3270">
        <w:rPr>
          <w:rFonts w:cs="Arial"/>
        </w:rPr>
        <w:t xml:space="preserve"> standard designs for all health facilities, which ensures accessibility by people with disabilities. </w:t>
      </w:r>
      <w:r w:rsidR="002C411C">
        <w:rPr>
          <w:rFonts w:cs="Arial"/>
        </w:rPr>
        <w:t xml:space="preserve"> </w:t>
      </w:r>
      <w:r w:rsidR="00A5188C">
        <w:rPr>
          <w:rFonts w:cs="Arial"/>
        </w:rPr>
        <w:t>Australia fund</w:t>
      </w:r>
      <w:r w:rsidR="002D332A">
        <w:rPr>
          <w:rFonts w:cs="Arial"/>
        </w:rPr>
        <w:t>ed</w:t>
      </w:r>
      <w:r w:rsidR="00A5188C">
        <w:rPr>
          <w:rFonts w:cs="Arial"/>
        </w:rPr>
        <w:t xml:space="preserve"> </w:t>
      </w:r>
      <w:r w:rsidR="002D3270" w:rsidRPr="002D3270">
        <w:rPr>
          <w:rFonts w:cs="Arial"/>
        </w:rPr>
        <w:t>a rehabilitation specialist through th</w:t>
      </w:r>
      <w:r w:rsidR="00616313">
        <w:rPr>
          <w:rFonts w:cs="Arial"/>
        </w:rPr>
        <w:t xml:space="preserve">e Australian Volunteer Program to work with </w:t>
      </w:r>
      <w:r w:rsidR="002D3270" w:rsidRPr="002D3270">
        <w:rPr>
          <w:rFonts w:cs="Arial"/>
        </w:rPr>
        <w:t xml:space="preserve">the Community Based Rehabilitation Unit which </w:t>
      </w:r>
      <w:r w:rsidR="00FE3688">
        <w:rPr>
          <w:rFonts w:cs="Arial"/>
        </w:rPr>
        <w:t>provides</w:t>
      </w:r>
      <w:r w:rsidR="002D3270" w:rsidRPr="002D3270">
        <w:rPr>
          <w:rFonts w:cs="Arial"/>
        </w:rPr>
        <w:t xml:space="preserve"> services to people with disabilities.</w:t>
      </w:r>
      <w:r w:rsidR="002D3270">
        <w:rPr>
          <w:rFonts w:cs="Arial"/>
        </w:rPr>
        <w:t xml:space="preserve"> </w:t>
      </w:r>
    </w:p>
    <w:p w:rsidR="00A4679C" w:rsidRDefault="001F24D1" w:rsidP="00D5352C">
      <w:pPr>
        <w:rPr>
          <w:rFonts w:cs="Arial"/>
        </w:rPr>
      </w:pPr>
      <w:r w:rsidRPr="001F24D1">
        <w:rPr>
          <w:b/>
        </w:rPr>
        <w:t>A major health reform was delivered in 2017-18, with cabinet approval of a policy setting out a pathway to achieve universal health coverage in Solomon Islands in May 2018.</w:t>
      </w:r>
      <w:r>
        <w:rPr>
          <w:rFonts w:cs="Arial"/>
        </w:rPr>
        <w:t xml:space="preserve">  </w:t>
      </w:r>
      <w:r w:rsidR="00F904A3" w:rsidRPr="00FB07BA">
        <w:rPr>
          <w:rFonts w:cs="Arial"/>
        </w:rPr>
        <w:t xml:space="preserve">This landmark </w:t>
      </w:r>
      <w:r>
        <w:rPr>
          <w:rFonts w:cs="Arial"/>
        </w:rPr>
        <w:t>‘Role Delineation P</w:t>
      </w:r>
      <w:r w:rsidR="00F904A3" w:rsidRPr="00FB07BA">
        <w:rPr>
          <w:rFonts w:cs="Arial"/>
        </w:rPr>
        <w:t>olicy</w:t>
      </w:r>
      <w:r>
        <w:rPr>
          <w:rFonts w:cs="Arial"/>
        </w:rPr>
        <w:t>’</w:t>
      </w:r>
      <w:r w:rsidR="00F904A3" w:rsidRPr="00FB07BA">
        <w:rPr>
          <w:rFonts w:cs="Arial"/>
        </w:rPr>
        <w:t xml:space="preserve"> </w:t>
      </w:r>
      <w:r w:rsidR="00721570">
        <w:rPr>
          <w:rFonts w:cs="Arial"/>
        </w:rPr>
        <w:t xml:space="preserve">(RDP) </w:t>
      </w:r>
      <w:r w:rsidR="00F904A3" w:rsidRPr="00FB07BA">
        <w:rPr>
          <w:rFonts w:cs="Arial"/>
        </w:rPr>
        <w:t xml:space="preserve">will guide future investment planning, by defining service quality standards for different levels of the health system. Australian funding to </w:t>
      </w:r>
      <w:r w:rsidR="002D332A">
        <w:rPr>
          <w:rFonts w:cs="Arial"/>
        </w:rPr>
        <w:t>World Health Organisation</w:t>
      </w:r>
      <w:r w:rsidR="002D332A" w:rsidRPr="00FB07BA">
        <w:rPr>
          <w:rFonts w:cs="Arial"/>
        </w:rPr>
        <w:t xml:space="preserve"> </w:t>
      </w:r>
      <w:r w:rsidR="002D332A">
        <w:rPr>
          <w:rFonts w:cs="Arial"/>
        </w:rPr>
        <w:t xml:space="preserve">(WHO) </w:t>
      </w:r>
      <w:r w:rsidR="00F904A3" w:rsidRPr="00FB07BA">
        <w:rPr>
          <w:rFonts w:cs="Arial"/>
        </w:rPr>
        <w:t xml:space="preserve">has been utilised to support the development of the RDP implementation </w:t>
      </w:r>
      <w:r w:rsidR="00721570">
        <w:rPr>
          <w:rFonts w:cs="Arial"/>
        </w:rPr>
        <w:t>strategy, including analysis of</w:t>
      </w:r>
      <w:r w:rsidR="00F904A3" w:rsidRPr="00FB07BA">
        <w:rPr>
          <w:rFonts w:cs="Arial"/>
        </w:rPr>
        <w:t xml:space="preserve"> data to inform decisions around reclassification of health facil</w:t>
      </w:r>
      <w:r w:rsidR="00BE2227">
        <w:rPr>
          <w:rFonts w:cs="Arial"/>
        </w:rPr>
        <w:t>ities</w:t>
      </w:r>
      <w:r w:rsidR="00F904A3" w:rsidRPr="00FB07BA">
        <w:rPr>
          <w:rFonts w:cs="Arial"/>
        </w:rPr>
        <w:t xml:space="preserve"> and prioritisation of investment to the most in need health zones. </w:t>
      </w:r>
      <w:r w:rsidR="00293F07" w:rsidRPr="00FB07BA">
        <w:rPr>
          <w:rFonts w:cs="Arial"/>
        </w:rPr>
        <w:t>S</w:t>
      </w:r>
      <w:r w:rsidR="00F904A3" w:rsidRPr="00FB07BA">
        <w:rPr>
          <w:rFonts w:cs="Arial"/>
        </w:rPr>
        <w:t>upport for RDP implementation will remain a priority in 2018</w:t>
      </w:r>
      <w:r w:rsidR="002D332A">
        <w:rPr>
          <w:rFonts w:cs="Arial"/>
        </w:rPr>
        <w:t>-19</w:t>
      </w:r>
      <w:r>
        <w:rPr>
          <w:rFonts w:cs="Arial"/>
        </w:rPr>
        <w:t xml:space="preserve">.  The success of its </w:t>
      </w:r>
      <w:r w:rsidR="00F904A3" w:rsidRPr="00FB07BA">
        <w:rPr>
          <w:rFonts w:cs="Arial"/>
        </w:rPr>
        <w:t xml:space="preserve">implementation will be </w:t>
      </w:r>
      <w:r w:rsidR="00F904A3" w:rsidRPr="00FB07BA">
        <w:rPr>
          <w:rFonts w:cs="Arial"/>
        </w:rPr>
        <w:lastRenderedPageBreak/>
        <w:t xml:space="preserve">dependent on improved management at the national level, including by filling vacancies of core </w:t>
      </w:r>
      <w:r w:rsidR="00A5188C">
        <w:rPr>
          <w:rFonts w:cs="Arial"/>
        </w:rPr>
        <w:t>MHMS</w:t>
      </w:r>
      <w:r w:rsidR="00CF05BE" w:rsidRPr="00FB07BA">
        <w:rPr>
          <w:rFonts w:cs="Arial"/>
        </w:rPr>
        <w:t xml:space="preserve"> </w:t>
      </w:r>
      <w:r w:rsidR="00F904A3" w:rsidRPr="00FB07BA">
        <w:rPr>
          <w:rFonts w:cs="Arial"/>
        </w:rPr>
        <w:t>positions in finance, procurement and infrastructure</w:t>
      </w:r>
      <w:r w:rsidR="00293F07" w:rsidRPr="00FB07BA">
        <w:rPr>
          <w:rFonts w:cs="Arial"/>
        </w:rPr>
        <w:t>, which have</w:t>
      </w:r>
      <w:r w:rsidR="00F904A3" w:rsidRPr="00FB07BA">
        <w:rPr>
          <w:rFonts w:cs="Arial"/>
        </w:rPr>
        <w:t xml:space="preserve"> hindered</w:t>
      </w:r>
      <w:r w:rsidR="0006590C" w:rsidRPr="00FB07BA">
        <w:rPr>
          <w:rFonts w:cs="Arial"/>
        </w:rPr>
        <w:t xml:space="preserve"> progress</w:t>
      </w:r>
      <w:r w:rsidR="00CF05BE">
        <w:rPr>
          <w:rFonts w:cs="Arial"/>
        </w:rPr>
        <w:t xml:space="preserve">. </w:t>
      </w:r>
    </w:p>
    <w:p w:rsidR="00D84053" w:rsidRPr="00D84053" w:rsidRDefault="00D84053" w:rsidP="00D84053">
      <w:pPr>
        <w:pStyle w:val="NormalIndented"/>
        <w:spacing w:before="240"/>
        <w:ind w:left="0"/>
        <w:jc w:val="both"/>
        <w:rPr>
          <w:rFonts w:asciiTheme="majorHAnsi" w:eastAsiaTheme="majorEastAsia" w:hAnsiTheme="majorHAnsi" w:cstheme="majorBidi"/>
          <w:caps/>
          <w:sz w:val="38"/>
          <w:szCs w:val="26"/>
        </w:rPr>
      </w:pPr>
      <w:r w:rsidRPr="00D84053">
        <w:rPr>
          <w:rFonts w:asciiTheme="majorHAnsi" w:eastAsiaTheme="majorEastAsia" w:hAnsiTheme="majorHAnsi" w:cstheme="majorBidi"/>
          <w:caps/>
          <w:sz w:val="38"/>
          <w:szCs w:val="26"/>
        </w:rPr>
        <w:t>GENDER EQUALITY</w:t>
      </w:r>
    </w:p>
    <w:p w:rsidR="0056022A" w:rsidRDefault="0056022A" w:rsidP="007E7622">
      <w:r w:rsidRPr="00570466">
        <w:rPr>
          <w:b/>
        </w:rPr>
        <w:t>Our support through Pacific Women Shaping Pacific Development continue</w:t>
      </w:r>
      <w:r w:rsidR="002D332A">
        <w:rPr>
          <w:b/>
        </w:rPr>
        <w:t>d</w:t>
      </w:r>
      <w:r w:rsidRPr="00570466">
        <w:rPr>
          <w:b/>
        </w:rPr>
        <w:t xml:space="preserve"> to provide important targeted support to promote gender equality and women’s rights</w:t>
      </w:r>
      <w:r>
        <w:t>. In line with international best practice, we complement</w:t>
      </w:r>
      <w:r w:rsidR="002D332A">
        <w:t>ed</w:t>
      </w:r>
      <w:r>
        <w:t xml:space="preserve"> our gender mainstreaming work across the aid program with targeted investments in women’s leadership and decision-making, women’s economic empowerment and ending violence against women. </w:t>
      </w:r>
      <w:r w:rsidRPr="007E7622">
        <w:t xml:space="preserve">A 2017 review of </w:t>
      </w:r>
      <w:r>
        <w:t xml:space="preserve">this work </w:t>
      </w:r>
      <w:r w:rsidRPr="007E7622">
        <w:t>found that outcomes were on track in all three areas</w:t>
      </w:r>
      <w:r>
        <w:t>.</w:t>
      </w:r>
      <w:r>
        <w:rPr>
          <w:rStyle w:val="FootnoteReference"/>
        </w:rPr>
        <w:footnoteReference w:id="17"/>
      </w:r>
      <w:r w:rsidRPr="007E7622">
        <w:t xml:space="preserve">   </w:t>
      </w:r>
    </w:p>
    <w:p w:rsidR="00C82315" w:rsidRDefault="0056022A" w:rsidP="00C82315">
      <w:r w:rsidRPr="00FB07BA">
        <w:rPr>
          <w:b/>
        </w:rPr>
        <w:t xml:space="preserve">Australia is driving work </w:t>
      </w:r>
      <w:r w:rsidR="0094506F">
        <w:rPr>
          <w:b/>
        </w:rPr>
        <w:t xml:space="preserve">with Solomon Islands </w:t>
      </w:r>
      <w:r w:rsidRPr="00FB07BA">
        <w:rPr>
          <w:b/>
        </w:rPr>
        <w:t xml:space="preserve">to help reduce </w:t>
      </w:r>
      <w:r>
        <w:rPr>
          <w:b/>
        </w:rPr>
        <w:t>family based violence, and provide betters services to victims</w:t>
      </w:r>
      <w:r w:rsidRPr="00FB07BA">
        <w:rPr>
          <w:b/>
        </w:rPr>
        <w:t xml:space="preserve">.  </w:t>
      </w:r>
      <w:r w:rsidR="00BE2227">
        <w:t>Australia supported O</w:t>
      </w:r>
      <w:r>
        <w:t>xfam’s Safe Families program</w:t>
      </w:r>
      <w:r w:rsidR="00BE2227">
        <w:t>, which re</w:t>
      </w:r>
      <w:r>
        <w:t>ach</w:t>
      </w:r>
      <w:r w:rsidR="00BE2227">
        <w:t>ed</w:t>
      </w:r>
      <w:r>
        <w:t xml:space="preserve"> the </w:t>
      </w:r>
      <w:r w:rsidR="00BE2227">
        <w:t xml:space="preserve">last of the 29 targeted communities in the reporting period.  The program </w:t>
      </w:r>
      <w:r>
        <w:t xml:space="preserve">began </w:t>
      </w:r>
      <w:r w:rsidR="00BE2227">
        <w:t>to</w:t>
      </w:r>
      <w:r>
        <w:t xml:space="preserve"> </w:t>
      </w:r>
      <w:r w:rsidR="00BE2227">
        <w:t>exit</w:t>
      </w:r>
      <w:r>
        <w:t xml:space="preserve"> five communities based on evidence of reduced violence in those communities.  Australia’s support to Safe Families and the World Vision led Channels of Ho</w:t>
      </w:r>
      <w:r w:rsidR="00BE2227">
        <w:t>pe Program resulted in increased</w:t>
      </w:r>
      <w:r>
        <w:t xml:space="preserve"> referrals to police and nurses and increased understanding of the seriousness of gender-based violence by both service deliverers and community members.  Our support to the Family Support Centre and Christian Care Centre </w:t>
      </w:r>
      <w:r w:rsidR="00BE2227">
        <w:t xml:space="preserve">helped to double </w:t>
      </w:r>
      <w:r>
        <w:t xml:space="preserve">services for survivors of violence in only six months, with services provided to 381 women and children in 2017, and expanded services to most Provinces. </w:t>
      </w:r>
      <w:r w:rsidR="00DE3739">
        <w:t xml:space="preserve">This </w:t>
      </w:r>
      <w:r w:rsidR="00BE2227">
        <w:t xml:space="preserve">new program, delivered through the International Women’s Development Agency, </w:t>
      </w:r>
      <w:r w:rsidR="00DE3739">
        <w:t>respond</w:t>
      </w:r>
      <w:r w:rsidR="002D332A">
        <w:t>ed</w:t>
      </w:r>
      <w:r w:rsidR="00DE3739">
        <w:t xml:space="preserve"> to increased demand for support following introduction of the </w:t>
      </w:r>
      <w:r w:rsidR="00DE3739" w:rsidRPr="00FE3688">
        <w:rPr>
          <w:i/>
        </w:rPr>
        <w:t>Family Protection Act</w:t>
      </w:r>
      <w:r w:rsidR="00FE3688">
        <w:rPr>
          <w:i/>
        </w:rPr>
        <w:t xml:space="preserve"> 2014</w:t>
      </w:r>
      <w:r w:rsidR="00DE3739">
        <w:t>.</w:t>
      </w:r>
      <w:r>
        <w:t xml:space="preserve"> </w:t>
      </w:r>
      <w:r w:rsidR="005E4216">
        <w:t xml:space="preserve"> </w:t>
      </w:r>
      <w:r w:rsidR="00DE3739">
        <w:t xml:space="preserve">The program </w:t>
      </w:r>
      <w:r w:rsidR="00C82315">
        <w:t xml:space="preserve">partnered with </w:t>
      </w:r>
      <w:r w:rsidR="00BE2227">
        <w:t xml:space="preserve">People with Disability Solomon Islands </w:t>
      </w:r>
      <w:r w:rsidR="00C82315">
        <w:t xml:space="preserve">to provide advice on disability inclusiveness. </w:t>
      </w:r>
    </w:p>
    <w:p w:rsidR="0056022A" w:rsidRDefault="0056022A" w:rsidP="0056022A">
      <w:r w:rsidRPr="00C3377C">
        <w:rPr>
          <w:rFonts w:eastAsia="Calibri"/>
          <w:b/>
        </w:rPr>
        <w:t>Australian funding to the UN Women Markets for Change project is ensuring marketplaces in rural and urban Solomon Islands are safe, inclusive and non-discriminatory.</w:t>
      </w:r>
      <w:r w:rsidRPr="000C58F1">
        <w:rPr>
          <w:rFonts w:eastAsia="Calibri"/>
        </w:rPr>
        <w:t xml:space="preserve"> The project improved the lives of women market vendors by providing access to financial services such as credit insurance and livelihood protection, and training in business management and leadership skills. Australia’s funding also enabled women market vendors to influence the management of marketplaces.</w:t>
      </w:r>
      <w:r>
        <w:rPr>
          <w:rFonts w:eastAsia="Calibri"/>
        </w:rPr>
        <w:t xml:space="preserve">  Delivering on broader economic empowerment objectives, </w:t>
      </w:r>
      <w:r>
        <w:t>Australia</w:t>
      </w:r>
      <w:r w:rsidRPr="00FB07BA">
        <w:t xml:space="preserve"> supported the Solomon Islands Women in Business Association (SIWIBA) in 2017, with 247 women participati</w:t>
      </w:r>
      <w:r>
        <w:t>ng in 10 business trainings</w:t>
      </w:r>
      <w:r w:rsidRPr="00FB07BA">
        <w:t>.   Five SIWIB</w:t>
      </w:r>
      <w:r>
        <w:t>A members registered businesses</w:t>
      </w:r>
      <w:r w:rsidRPr="00FB07BA">
        <w:t xml:space="preserve">. </w:t>
      </w:r>
      <w:r>
        <w:t>Ten</w:t>
      </w:r>
      <w:r w:rsidRPr="00FB07BA">
        <w:t xml:space="preserve"> members now use online platforms to promote their products after marketing training</w:t>
      </w:r>
      <w:r>
        <w:t>.</w:t>
      </w:r>
    </w:p>
    <w:p w:rsidR="00C82315" w:rsidRDefault="00C82315" w:rsidP="00537079">
      <w:pPr>
        <w:spacing w:after="120" w:line="260" w:lineRule="atLeast"/>
      </w:pPr>
      <w:r w:rsidDel="00F8009A">
        <w:rPr>
          <w:b/>
        </w:rPr>
        <w:t>Australia continued to support w</w:t>
      </w:r>
      <w:r w:rsidRPr="00545940" w:rsidDel="00F8009A">
        <w:rPr>
          <w:b/>
        </w:rPr>
        <w:t>omen’s leadership and decision making</w:t>
      </w:r>
      <w:r w:rsidDel="00F8009A">
        <w:rPr>
          <w:b/>
        </w:rPr>
        <w:t xml:space="preserve">.  </w:t>
      </w:r>
      <w:r>
        <w:t>In 2017</w:t>
      </w:r>
      <w:r w:rsidR="005E4216">
        <w:t>,</w:t>
      </w:r>
      <w:r>
        <w:t xml:space="preserve"> 44 mid-level female Solomon Islands managers completed a Cert</w:t>
      </w:r>
      <w:r w:rsidR="00FE3688">
        <w:t>ificate</w:t>
      </w:r>
      <w:r>
        <w:t xml:space="preserve"> III in Leadership Skills through the </w:t>
      </w:r>
      <w:r w:rsidR="00FE3688">
        <w:t xml:space="preserve">APTC. </w:t>
      </w:r>
      <w:r>
        <w:t xml:space="preserve"> Sixty per cent of those surveyed have since been promoted.</w:t>
      </w:r>
      <w:r w:rsidR="00537079">
        <w:t xml:space="preserve">  </w:t>
      </w:r>
      <w:r w:rsidDel="00F8009A">
        <w:t xml:space="preserve">Australia supported development of the Solomon Islands Women Peace and Security National Action Plan, the first </w:t>
      </w:r>
      <w:r>
        <w:t xml:space="preserve">national plan </w:t>
      </w:r>
      <w:r w:rsidDel="00F8009A">
        <w:t>in the Pacific.</w:t>
      </w:r>
    </w:p>
    <w:p w:rsidR="0056022A" w:rsidRDefault="0056022A" w:rsidP="0056022A">
      <w:r w:rsidRPr="00545940">
        <w:rPr>
          <w:b/>
        </w:rPr>
        <w:t xml:space="preserve">While performance on targeted </w:t>
      </w:r>
      <w:r>
        <w:rPr>
          <w:b/>
        </w:rPr>
        <w:t xml:space="preserve">gender equality </w:t>
      </w:r>
      <w:r w:rsidRPr="00545940">
        <w:rPr>
          <w:b/>
        </w:rPr>
        <w:t xml:space="preserve">activities is </w:t>
      </w:r>
      <w:r>
        <w:rPr>
          <w:b/>
        </w:rPr>
        <w:t xml:space="preserve">largely </w:t>
      </w:r>
      <w:r w:rsidRPr="00545940">
        <w:rPr>
          <w:b/>
        </w:rPr>
        <w:t>on track, more</w:t>
      </w:r>
      <w:r>
        <w:t xml:space="preserve"> </w:t>
      </w:r>
      <w:r w:rsidRPr="007E4717">
        <w:rPr>
          <w:b/>
        </w:rPr>
        <w:t xml:space="preserve">action </w:t>
      </w:r>
      <w:r>
        <w:rPr>
          <w:b/>
        </w:rPr>
        <w:t xml:space="preserve">is </w:t>
      </w:r>
      <w:r w:rsidRPr="007E4717">
        <w:rPr>
          <w:b/>
        </w:rPr>
        <w:t>needed on mainstreaming</w:t>
      </w:r>
      <w:r>
        <w:rPr>
          <w:b/>
        </w:rPr>
        <w:t xml:space="preserve"> g</w:t>
      </w:r>
      <w:r w:rsidR="00537079">
        <w:rPr>
          <w:b/>
        </w:rPr>
        <w:t>ender into development programs</w:t>
      </w:r>
      <w:r w:rsidR="00537079">
        <w:t xml:space="preserve">.  </w:t>
      </w:r>
      <w:r>
        <w:t xml:space="preserve">In annual </w:t>
      </w:r>
      <w:r w:rsidR="00FE3688">
        <w:t>quality (</w:t>
      </w:r>
      <w:r w:rsidRPr="000F67E6">
        <w:t>AQC</w:t>
      </w:r>
      <w:r>
        <w:t xml:space="preserve"> and FAQC</w:t>
      </w:r>
      <w:r w:rsidR="00FE3688">
        <w:t>)</w:t>
      </w:r>
      <w:r w:rsidRPr="000F67E6">
        <w:t xml:space="preserve"> checks </w:t>
      </w:r>
      <w:r w:rsidR="00CF05BE">
        <w:t>92</w:t>
      </w:r>
      <w:r>
        <w:t xml:space="preserve"> per cent</w:t>
      </w:r>
      <w:r w:rsidRPr="000F67E6">
        <w:t xml:space="preserve"> of investments were rated satisfactory or above on gender, above the target of 80</w:t>
      </w:r>
      <w:r>
        <w:t xml:space="preserve"> per cent</w:t>
      </w:r>
      <w:r w:rsidRPr="000F67E6">
        <w:t>.  Gender mainstreaming saw a number of successes, including through specific gender responsive activities in health, justice</w:t>
      </w:r>
      <w:r>
        <w:t xml:space="preserve">, and political programs.  Gender equality is prioritised across sectors, with objectives incorporated into annual planning, and relevant sex-disaggregated data collected.  However, there is room for improvement, and some longstanding issues remain with programs led by external partners.  </w:t>
      </w:r>
    </w:p>
    <w:p w:rsidR="002A51CA" w:rsidRPr="00B3585D" w:rsidRDefault="002A51CA" w:rsidP="00B3585D">
      <w:pPr>
        <w:pStyle w:val="NormalIndented"/>
        <w:spacing w:before="240"/>
        <w:ind w:left="0"/>
        <w:jc w:val="both"/>
        <w:rPr>
          <w:rFonts w:asciiTheme="majorHAnsi" w:eastAsiaTheme="majorEastAsia" w:hAnsiTheme="majorHAnsi" w:cstheme="majorBidi"/>
          <w:caps/>
          <w:sz w:val="38"/>
          <w:szCs w:val="26"/>
        </w:rPr>
      </w:pPr>
      <w:r w:rsidRPr="00B3585D">
        <w:rPr>
          <w:rFonts w:asciiTheme="majorHAnsi" w:eastAsiaTheme="majorEastAsia" w:hAnsiTheme="majorHAnsi" w:cstheme="majorBidi"/>
          <w:caps/>
          <w:sz w:val="38"/>
          <w:szCs w:val="26"/>
        </w:rPr>
        <w:t>Mutual obligations</w:t>
      </w:r>
    </w:p>
    <w:p w:rsidR="000E0E11" w:rsidRPr="00FB07BA" w:rsidRDefault="00E561A2" w:rsidP="000E0E11">
      <w:r>
        <w:rPr>
          <w:b/>
        </w:rPr>
        <w:t>M</w:t>
      </w:r>
      <w:r w:rsidR="00975799" w:rsidRPr="00E561A2">
        <w:rPr>
          <w:b/>
        </w:rPr>
        <w:t>utual obligations</w:t>
      </w:r>
      <w:r>
        <w:rPr>
          <w:b/>
        </w:rPr>
        <w:t xml:space="preserve"> for Solomon Islands,</w:t>
      </w:r>
      <w:r w:rsidR="00975799" w:rsidRPr="00E561A2">
        <w:rPr>
          <w:b/>
        </w:rPr>
        <w:t xml:space="preserve"> critical to the achievement of AIP objectives</w:t>
      </w:r>
      <w:r>
        <w:rPr>
          <w:b/>
        </w:rPr>
        <w:t>, are set out in the 2014-</w:t>
      </w:r>
      <w:r w:rsidRPr="00FB07BA">
        <w:rPr>
          <w:b/>
        </w:rPr>
        <w:t xml:space="preserve">15 Aid Investment Plan and </w:t>
      </w:r>
      <w:r w:rsidR="007264F7" w:rsidRPr="00FB07BA">
        <w:rPr>
          <w:b/>
        </w:rPr>
        <w:t xml:space="preserve">2017 </w:t>
      </w:r>
      <w:r w:rsidRPr="00FB07BA">
        <w:rPr>
          <w:b/>
        </w:rPr>
        <w:t>Solomon Islands-Australia Aid Partnership Arrangement</w:t>
      </w:r>
      <w:r w:rsidR="00975799" w:rsidRPr="00FB07BA">
        <w:rPr>
          <w:b/>
        </w:rPr>
        <w:t>.</w:t>
      </w:r>
      <w:r w:rsidR="00975799" w:rsidRPr="00FB07BA">
        <w:t xml:space="preserve"> </w:t>
      </w:r>
      <w:r w:rsidRPr="00FB07BA">
        <w:t xml:space="preserve">  </w:t>
      </w:r>
      <w:r w:rsidR="007264F7" w:rsidRPr="00FB07BA">
        <w:t>The two governments</w:t>
      </w:r>
      <w:r w:rsidR="000E0E11" w:rsidRPr="00FB07BA">
        <w:t xml:space="preserve"> review progress</w:t>
      </w:r>
      <w:r w:rsidRPr="00FB07BA">
        <w:t xml:space="preserve"> annually through</w:t>
      </w:r>
      <w:r w:rsidR="000E0E11" w:rsidRPr="00FB07BA">
        <w:t xml:space="preserve"> an annual partnership dialogue.   </w:t>
      </w:r>
    </w:p>
    <w:p w:rsidR="009A01A5" w:rsidRPr="00DD5130" w:rsidRDefault="00975799" w:rsidP="00DD5130">
      <w:r w:rsidRPr="00DD5130">
        <w:rPr>
          <w:b/>
        </w:rPr>
        <w:lastRenderedPageBreak/>
        <w:t>Across health, education</w:t>
      </w:r>
      <w:r w:rsidR="00857B05" w:rsidRPr="00DD5130">
        <w:rPr>
          <w:b/>
        </w:rPr>
        <w:t xml:space="preserve"> and</w:t>
      </w:r>
      <w:r w:rsidRPr="00DD5130">
        <w:rPr>
          <w:b/>
        </w:rPr>
        <w:t xml:space="preserve"> transport, performance-based funding from Australia is linked to the provision of funding from Solomon Islands for agreed priorities.  </w:t>
      </w:r>
      <w:r w:rsidRPr="00DD5130">
        <w:t>In health, the target for at least 12.5 per cent of domestically sourced revenue to be allocated to the recurrent health budget was not met (</w:t>
      </w:r>
      <w:r w:rsidR="00DB1F8A" w:rsidRPr="00DD5130">
        <w:t xml:space="preserve">final revised budget </w:t>
      </w:r>
      <w:r w:rsidR="000E0E11" w:rsidRPr="00DD5130">
        <w:t>11.8 per cent</w:t>
      </w:r>
      <w:r w:rsidRPr="00DD5130">
        <w:t xml:space="preserve">), </w:t>
      </w:r>
      <w:r w:rsidR="00DB1F8A" w:rsidRPr="00DD5130">
        <w:t xml:space="preserve">as a result of a mid-year supplementary budget which significantly increased allocation to other sectors. </w:t>
      </w:r>
      <w:r w:rsidR="002D332A" w:rsidRPr="00DD5130">
        <w:t xml:space="preserve">Australia </w:t>
      </w:r>
      <w:r w:rsidR="00DB1F8A" w:rsidRPr="00DD5130">
        <w:t xml:space="preserve">engaged in </w:t>
      </w:r>
      <w:r w:rsidR="009F2576" w:rsidRPr="00DD5130">
        <w:t>high-level</w:t>
      </w:r>
      <w:r w:rsidR="00DB1F8A" w:rsidRPr="00DD5130">
        <w:t xml:space="preserve"> dialogue with the Minister of Health to raise concerns that this pre-condition indicator was not met, which was a catalyst for valuable consultation between the Ministries of Health and Finance, and assurance from Government that future allocations to health would be protected. With this assurance, Australia resolved to </w:t>
      </w:r>
      <w:r w:rsidR="00ED0A6E" w:rsidRPr="00DD5130">
        <w:t>make a partial</w:t>
      </w:r>
      <w:r w:rsidR="00DB1F8A" w:rsidRPr="00DD5130">
        <w:t xml:space="preserve"> </w:t>
      </w:r>
      <w:r w:rsidR="00ED0A6E" w:rsidRPr="00DD5130">
        <w:t>payment at 8</w:t>
      </w:r>
      <w:r w:rsidR="00DB1F8A" w:rsidRPr="00DD5130">
        <w:t>0</w:t>
      </w:r>
      <w:r w:rsidR="00AE1522" w:rsidRPr="00DD5130">
        <w:t xml:space="preserve"> per cent</w:t>
      </w:r>
      <w:r w:rsidR="00ED0A6E" w:rsidRPr="00DD5130">
        <w:t xml:space="preserve"> of the assessed performance payment</w:t>
      </w:r>
      <w:r w:rsidR="00DB1F8A" w:rsidRPr="00DD5130">
        <w:t xml:space="preserve">. </w:t>
      </w:r>
      <w:r w:rsidR="00C952B9" w:rsidRPr="00DD5130">
        <w:t xml:space="preserve">Australia’s overall performance based funding for health was linked to 13 national-level and </w:t>
      </w:r>
      <w:r w:rsidR="00626F33" w:rsidRPr="00DD5130">
        <w:t>seven</w:t>
      </w:r>
      <w:r w:rsidR="00C952B9" w:rsidRPr="00DD5130">
        <w:t xml:space="preserve"> </w:t>
      </w:r>
      <w:r w:rsidR="00ED0A6E" w:rsidRPr="00DD5130">
        <w:t>p</w:t>
      </w:r>
      <w:r w:rsidR="00C952B9" w:rsidRPr="00DD5130">
        <w:t>rovincial</w:t>
      </w:r>
      <w:r w:rsidR="00ED0A6E" w:rsidRPr="00DD5130">
        <w:t>-</w:t>
      </w:r>
      <w:r w:rsidR="00C952B9" w:rsidRPr="00DD5130">
        <w:t>level targets</w:t>
      </w:r>
      <w:r w:rsidR="000E0E11" w:rsidRPr="00DD5130">
        <w:t>, which scored 63 per cent and 69 per cent</w:t>
      </w:r>
      <w:r w:rsidR="00C952B9" w:rsidRPr="00DD5130">
        <w:t xml:space="preserve"> respectively</w:t>
      </w:r>
      <w:r w:rsidR="007264F7" w:rsidRPr="00DD5130">
        <w:t xml:space="preserve"> in an independent assessment</w:t>
      </w:r>
      <w:r w:rsidR="000E0E11" w:rsidRPr="001D6CF9">
        <w:rPr>
          <w:rStyle w:val="FootnoteReference"/>
        </w:rPr>
        <w:footnoteReference w:id="18"/>
      </w:r>
      <w:r w:rsidR="00C952B9" w:rsidRPr="00DD5130">
        <w:t xml:space="preserve">.  In </w:t>
      </w:r>
      <w:r w:rsidR="00CC32B4" w:rsidRPr="00DD5130">
        <w:t>education</w:t>
      </w:r>
      <w:r w:rsidR="00C952B9" w:rsidRPr="00DD5130">
        <w:t>, the target for the SIG education budget was met</w:t>
      </w:r>
      <w:r w:rsidR="00462FDF" w:rsidRPr="00DD5130">
        <w:t xml:space="preserve"> and</w:t>
      </w:r>
      <w:r w:rsidR="00CC32B4" w:rsidRPr="00DD5130">
        <w:t xml:space="preserve"> recurrent expenditure on primary education increas</w:t>
      </w:r>
      <w:r w:rsidR="00462FDF" w:rsidRPr="00DD5130">
        <w:t>ed</w:t>
      </w:r>
      <w:r w:rsidR="00CC32B4" w:rsidRPr="00DD5130">
        <w:t xml:space="preserve">.  Australia’s overall performance based funding for </w:t>
      </w:r>
      <w:r w:rsidR="00C952B9" w:rsidRPr="00DD5130">
        <w:t xml:space="preserve">education </w:t>
      </w:r>
      <w:r w:rsidR="00CC32B4" w:rsidRPr="00DD5130">
        <w:t>was linked to</w:t>
      </w:r>
      <w:r w:rsidR="00C952B9" w:rsidRPr="00DD5130">
        <w:t xml:space="preserve"> 15 targets</w:t>
      </w:r>
      <w:r w:rsidR="00462FDF" w:rsidRPr="00DD5130">
        <w:t xml:space="preserve"> containing</w:t>
      </w:r>
      <w:r w:rsidR="00C952B9" w:rsidRPr="00DD5130">
        <w:t xml:space="preserve"> 31 indicators.  </w:t>
      </w:r>
      <w:r w:rsidR="00CC32B4" w:rsidRPr="00DD5130">
        <w:t>Overall, 64</w:t>
      </w:r>
      <w:r w:rsidR="00AE1522" w:rsidRPr="00DD5130">
        <w:t xml:space="preserve"> per cent</w:t>
      </w:r>
      <w:r w:rsidR="00CC32B4" w:rsidRPr="00DD5130">
        <w:t xml:space="preserve"> </w:t>
      </w:r>
      <w:r w:rsidR="00462FDF" w:rsidRPr="00DD5130">
        <w:t>was achieved</w:t>
      </w:r>
      <w:r w:rsidR="00CC32B4" w:rsidRPr="001D6CF9">
        <w:rPr>
          <w:rStyle w:val="FootnoteReference"/>
        </w:rPr>
        <w:footnoteReference w:id="19"/>
      </w:r>
      <w:r w:rsidR="00CC32B4" w:rsidRPr="00DD5130">
        <w:t xml:space="preserve">. </w:t>
      </w:r>
      <w:r w:rsidR="00E561A2" w:rsidRPr="00DD5130">
        <w:rPr>
          <w:b/>
        </w:rPr>
        <w:t xml:space="preserve"> </w:t>
      </w:r>
      <w:r w:rsidR="00E561A2" w:rsidRPr="00DD5130">
        <w:t xml:space="preserve">To maintain support for stability, Solomon Islands has committed over time to increase funding for policing and rearmament of the Royal Solomon Islands Police Force. </w:t>
      </w:r>
    </w:p>
    <w:p w:rsidR="009A01A5" w:rsidRPr="00DD5130" w:rsidRDefault="00714216" w:rsidP="00DD5130">
      <w:r w:rsidRPr="00DD5130">
        <w:rPr>
          <w:b/>
        </w:rPr>
        <w:t xml:space="preserve">The Solomon Islands Government and donors have mutually agreed priority policy reform actions, through </w:t>
      </w:r>
      <w:r w:rsidR="009F2576">
        <w:rPr>
          <w:b/>
        </w:rPr>
        <w:t xml:space="preserve">the Core Economic Working Group.  </w:t>
      </w:r>
      <w:r w:rsidR="009F2576" w:rsidRPr="009F2576">
        <w:t>This is</w:t>
      </w:r>
      <w:r w:rsidRPr="009F2576">
        <w:t xml:space="preserve"> designed to improve fiscal management and sustainability, strengthen public financial management and enable drivers of economic growth and promote investment.</w:t>
      </w:r>
      <w:r w:rsidRPr="00DD5130">
        <w:t xml:space="preserve">  Pending sufficient progress against these policy reform actions, development partners will disburse budget support.</w:t>
      </w:r>
      <w:r w:rsidR="00F6667A" w:rsidRPr="00DD5130">
        <w:t xml:space="preserve"> </w:t>
      </w:r>
      <w:r w:rsidRPr="00DD5130">
        <w:t xml:space="preserve"> Australia has committed up to $2 million in 2018-19. </w:t>
      </w:r>
    </w:p>
    <w:p w:rsidR="00975799" w:rsidRPr="00DD5130" w:rsidRDefault="004D13F0" w:rsidP="00DD5130">
      <w:r w:rsidRPr="00DD5130">
        <w:rPr>
          <w:b/>
        </w:rPr>
        <w:t xml:space="preserve">Agreed mutual obligations also </w:t>
      </w:r>
      <w:r w:rsidR="009A01A5" w:rsidRPr="00DD5130">
        <w:rPr>
          <w:b/>
        </w:rPr>
        <w:t>include</w:t>
      </w:r>
      <w:r w:rsidRPr="00DD5130">
        <w:rPr>
          <w:b/>
        </w:rPr>
        <w:t xml:space="preserve"> public financial management reforms, and progress towards eliminating violence against women</w:t>
      </w:r>
      <w:r w:rsidRPr="00DD5130">
        <w:t xml:space="preserve">.  </w:t>
      </w:r>
      <w:r w:rsidR="00975799" w:rsidRPr="00DD5130">
        <w:t>Solomon Islands has committed to implementing</w:t>
      </w:r>
      <w:r w:rsidR="000E0E11" w:rsidRPr="00DD5130">
        <w:t xml:space="preserve"> key public financial management (PFM) reforms, including an updated PFM roadmap, and to funding for Family Protection Act implementation</w:t>
      </w:r>
      <w:r w:rsidR="00975799" w:rsidRPr="00DD5130">
        <w:t>. Solomon Islands and Australia continue to operate under a mutually agreed Joint Statement on Zero Tolerance to Fraud in Solomon Islands.</w:t>
      </w:r>
    </w:p>
    <w:p w:rsidR="00626F33" w:rsidRDefault="000E0E11" w:rsidP="004D13F0">
      <w:pPr>
        <w:rPr>
          <w:b/>
        </w:rPr>
      </w:pPr>
      <w:r w:rsidRPr="009A01A5">
        <w:rPr>
          <w:b/>
        </w:rPr>
        <w:t>While the amount of performance-linked aid Australia</w:t>
      </w:r>
      <w:r w:rsidRPr="000E0E11">
        <w:rPr>
          <w:b/>
        </w:rPr>
        <w:t xml:space="preserve"> provides is small</w:t>
      </w:r>
      <w:r w:rsidR="0094506F">
        <w:rPr>
          <w:b/>
        </w:rPr>
        <w:t>,</w:t>
      </w:r>
      <w:r w:rsidRPr="000E0E11">
        <w:rPr>
          <w:b/>
        </w:rPr>
        <w:t xml:space="preserve"> relative to the overall budget of the Solomon Islands (</w:t>
      </w:r>
      <w:r w:rsidR="00BE2227">
        <w:rPr>
          <w:b/>
        </w:rPr>
        <w:t>approximately</w:t>
      </w:r>
      <w:r w:rsidRPr="000E0E11">
        <w:rPr>
          <w:b/>
        </w:rPr>
        <w:t xml:space="preserve"> SBD 3.4 billion</w:t>
      </w:r>
      <w:r w:rsidR="0094506F">
        <w:rPr>
          <w:b/>
        </w:rPr>
        <w:t xml:space="preserve"> or around AUD 596 million)</w:t>
      </w:r>
      <w:r w:rsidRPr="000E0E11">
        <w:rPr>
          <w:b/>
        </w:rPr>
        <w:t xml:space="preserve">, </w:t>
      </w:r>
      <w:r w:rsidR="002D332A">
        <w:rPr>
          <w:b/>
        </w:rPr>
        <w:t>it</w:t>
      </w:r>
      <w:r w:rsidR="002D332A" w:rsidRPr="000E0E11">
        <w:rPr>
          <w:b/>
        </w:rPr>
        <w:t xml:space="preserve"> </w:t>
      </w:r>
      <w:r w:rsidRPr="000E0E11">
        <w:rPr>
          <w:b/>
        </w:rPr>
        <w:t xml:space="preserve">provides an important platform for policy dialogue on reform priorities and budget allocations.  </w:t>
      </w:r>
    </w:p>
    <w:p w:rsidR="002A51CA" w:rsidRPr="00B3585D" w:rsidRDefault="002A51CA" w:rsidP="00B3585D">
      <w:pPr>
        <w:pStyle w:val="NormalIndented"/>
        <w:spacing w:before="240"/>
        <w:ind w:left="0"/>
        <w:jc w:val="both"/>
        <w:rPr>
          <w:rFonts w:asciiTheme="majorHAnsi" w:eastAsiaTheme="majorEastAsia" w:hAnsiTheme="majorHAnsi" w:cstheme="majorBidi"/>
          <w:caps/>
          <w:sz w:val="38"/>
          <w:szCs w:val="26"/>
        </w:rPr>
      </w:pPr>
      <w:r w:rsidRPr="00B3585D">
        <w:rPr>
          <w:rFonts w:asciiTheme="majorHAnsi" w:eastAsiaTheme="majorEastAsia" w:hAnsiTheme="majorHAnsi" w:cstheme="majorBidi"/>
          <w:caps/>
          <w:sz w:val="38"/>
          <w:szCs w:val="26"/>
        </w:rPr>
        <w:t xml:space="preserve">Program Quality and Partner Performance </w:t>
      </w:r>
    </w:p>
    <w:p w:rsidR="002A51CA" w:rsidRPr="002A51CA" w:rsidRDefault="002A51CA" w:rsidP="002A51CA">
      <w:pPr>
        <w:rPr>
          <w:b/>
          <w:lang w:eastAsia="zh-CN"/>
        </w:rPr>
      </w:pPr>
      <w:r w:rsidRPr="002A51CA">
        <w:rPr>
          <w:b/>
          <w:lang w:eastAsia="zh-CN"/>
        </w:rPr>
        <w:t>Overview</w:t>
      </w:r>
      <w:r w:rsidRPr="002A51CA">
        <w:rPr>
          <w:b/>
          <w:lang w:eastAsia="zh-CN"/>
        </w:rPr>
        <w:tab/>
      </w:r>
      <w:r w:rsidRPr="002A51CA">
        <w:rPr>
          <w:b/>
          <w:lang w:eastAsia="zh-CN"/>
        </w:rPr>
        <w:tab/>
      </w:r>
    </w:p>
    <w:p w:rsidR="0019066F" w:rsidRDefault="0019066F" w:rsidP="0019066F">
      <w:r w:rsidRPr="00AD44C4">
        <w:rPr>
          <w:b/>
        </w:rPr>
        <w:t>Australia continued to develop a systematic approach to monitoring and evaluating aid in Solomon Islands.</w:t>
      </w:r>
      <w:r>
        <w:t xml:space="preserve">  </w:t>
      </w:r>
      <w:r w:rsidR="00D154B3">
        <w:t>P</w:t>
      </w:r>
      <w:r>
        <w:t xml:space="preserve">rogram level performance </w:t>
      </w:r>
      <w:r w:rsidR="00D154B3">
        <w:t>is</w:t>
      </w:r>
      <w:r>
        <w:t xml:space="preserve"> </w:t>
      </w:r>
      <w:r w:rsidR="00D154B3">
        <w:t>assessed</w:t>
      </w:r>
      <w:r>
        <w:t xml:space="preserve"> </w:t>
      </w:r>
      <w:r w:rsidR="00D154B3">
        <w:t xml:space="preserve">annually </w:t>
      </w:r>
      <w:r>
        <w:t xml:space="preserve">against a detailed </w:t>
      </w:r>
      <w:r w:rsidR="00D154B3">
        <w:t>Performance Assessment Framework (PAF)</w:t>
      </w:r>
      <w:r>
        <w:t xml:space="preserve"> (a summary PAF is presented in Annex E) during </w:t>
      </w:r>
      <w:r w:rsidR="00D154B3">
        <w:t>an</w:t>
      </w:r>
      <w:r>
        <w:t xml:space="preserve"> annual performance workshop.  Performance evidence </w:t>
      </w:r>
      <w:r w:rsidR="00D154B3">
        <w:t>is</w:t>
      </w:r>
      <w:r>
        <w:t xml:space="preserve"> presented and critiqued and an agreed rating determined for each </w:t>
      </w:r>
      <w:r w:rsidR="001218D3">
        <w:t>Aid Investment Plan</w:t>
      </w:r>
      <w:r>
        <w:t xml:space="preserve"> objective.  Other key performance processes in 201</w:t>
      </w:r>
      <w:r w:rsidR="00AD44C4">
        <w:t>7-18</w:t>
      </w:r>
      <w:r>
        <w:t xml:space="preserve"> </w:t>
      </w:r>
      <w:r w:rsidR="001218D3">
        <w:t>included Aid Quality Checks</w:t>
      </w:r>
      <w:r>
        <w:t xml:space="preserve">, Partner Performance Assessments (PPAs) and program evaluations which informed decisions </w:t>
      </w:r>
      <w:r w:rsidR="00D154B3">
        <w:t>on</w:t>
      </w:r>
      <w:r>
        <w:t xml:space="preserve"> consolidation, program planning and design.</w:t>
      </w:r>
    </w:p>
    <w:p w:rsidR="0019066F" w:rsidRPr="00C61187" w:rsidRDefault="0019066F" w:rsidP="0019066F">
      <w:r w:rsidRPr="00AD44C4">
        <w:rPr>
          <w:b/>
        </w:rPr>
        <w:t xml:space="preserve">The program </w:t>
      </w:r>
      <w:r w:rsidR="00AD44C4" w:rsidRPr="00AD44C4">
        <w:rPr>
          <w:b/>
        </w:rPr>
        <w:t>made good progress in consolidating investments and agreements</w:t>
      </w:r>
      <w:r w:rsidR="00AD44C4">
        <w:t xml:space="preserve">.  </w:t>
      </w:r>
      <w:r w:rsidR="00AD44C4">
        <w:rPr>
          <w:b/>
        </w:rPr>
        <w:t>Between 2014 and 2018, the average investment size increased from $18.5 million to $25.1 million.</w:t>
      </w:r>
      <w:r w:rsidR="00AD44C4">
        <w:t xml:space="preserve">  </w:t>
      </w:r>
      <w:r w:rsidR="00437638">
        <w:t>This</w:t>
      </w:r>
      <w:r w:rsidRPr="00C61187">
        <w:t xml:space="preserve"> </w:t>
      </w:r>
      <w:r>
        <w:t>was</w:t>
      </w:r>
      <w:r w:rsidRPr="00C61187">
        <w:t xml:space="preserve"> achieved</w:t>
      </w:r>
      <w:r>
        <w:t xml:space="preserve"> through closure of poor</w:t>
      </w:r>
      <w:r w:rsidR="0074718B">
        <w:t>er</w:t>
      </w:r>
      <w:r>
        <w:t xml:space="preserve"> performing investments over the last </w:t>
      </w:r>
      <w:r w:rsidR="00AD44C4">
        <w:t>three</w:t>
      </w:r>
      <w:r>
        <w:t xml:space="preserve"> years and through the </w:t>
      </w:r>
      <w:r w:rsidR="00A37BCD">
        <w:t xml:space="preserve">design of the </w:t>
      </w:r>
      <w:r>
        <w:t>Solomon Island Growth Program as an umbrella initiative for new economic growth activities.</w:t>
      </w:r>
    </w:p>
    <w:p w:rsidR="00AD44C4" w:rsidRPr="00AD44C4" w:rsidRDefault="0019066F" w:rsidP="00BE6C6D">
      <w:r w:rsidRPr="00437638">
        <w:rPr>
          <w:b/>
        </w:rPr>
        <w:t>The DFAT Annual A</w:t>
      </w:r>
      <w:r w:rsidR="00AD44C4" w:rsidRPr="00437638">
        <w:rPr>
          <w:b/>
        </w:rPr>
        <w:t>id Evaluation Plan</w:t>
      </w:r>
      <w:r w:rsidRPr="00437638">
        <w:rPr>
          <w:b/>
        </w:rPr>
        <w:t xml:space="preserve"> identified three Solomon Islands investments </w:t>
      </w:r>
      <w:r w:rsidR="00EB0BDE">
        <w:rPr>
          <w:b/>
        </w:rPr>
        <w:t xml:space="preserve">requiring independent evaluations to be </w:t>
      </w:r>
      <w:r w:rsidR="00AD44C4" w:rsidRPr="00437638">
        <w:rPr>
          <w:b/>
        </w:rPr>
        <w:t>published in 2017-18</w:t>
      </w:r>
      <w:r w:rsidRPr="00437638">
        <w:rPr>
          <w:b/>
        </w:rPr>
        <w:t>.</w:t>
      </w:r>
      <w:r>
        <w:t xml:space="preserve">  The Independent Assessment of Performance Linked Funding Indicators for Education and Health </w:t>
      </w:r>
      <w:r w:rsidR="00AD44C4">
        <w:t xml:space="preserve">were </w:t>
      </w:r>
      <w:r w:rsidR="00AD44C4" w:rsidRPr="000F67E6">
        <w:t xml:space="preserve">published in </w:t>
      </w:r>
      <w:r w:rsidR="00EB0BDE" w:rsidRPr="000F67E6">
        <w:t>August</w:t>
      </w:r>
      <w:r w:rsidR="00AD44C4" w:rsidRPr="000F67E6">
        <w:t xml:space="preserve"> </w:t>
      </w:r>
      <w:r w:rsidR="00B81CFB">
        <w:t xml:space="preserve">and September </w:t>
      </w:r>
      <w:r w:rsidR="00AD44C4" w:rsidRPr="000F67E6">
        <w:t>2018</w:t>
      </w:r>
      <w:r w:rsidRPr="000F67E6">
        <w:t>.  These</w:t>
      </w:r>
      <w:r>
        <w:t xml:space="preserve"> annual assessments determined </w:t>
      </w:r>
      <w:r w:rsidR="00EB0BDE">
        <w:t>performance</w:t>
      </w:r>
      <w:r>
        <w:t xml:space="preserve"> payments for both sectors and enabled evidenced based discussion </w:t>
      </w:r>
      <w:r>
        <w:lastRenderedPageBreak/>
        <w:t>between the ministries and donor partners in the Annual Joint Review.  The Mid-term Review of the Educatio</w:t>
      </w:r>
      <w:r w:rsidR="00EB0BDE">
        <w:t xml:space="preserve">n Sector Program </w:t>
      </w:r>
      <w:r w:rsidR="00CA6526">
        <w:t xml:space="preserve">is currently being finalised.  </w:t>
      </w:r>
    </w:p>
    <w:p w:rsidR="00600479" w:rsidRDefault="00600479" w:rsidP="00BE6C6D">
      <w:pPr>
        <w:rPr>
          <w:b/>
          <w:lang w:eastAsia="zh-CN"/>
        </w:rPr>
      </w:pPr>
      <w:r>
        <w:rPr>
          <w:b/>
          <w:lang w:eastAsia="zh-CN"/>
        </w:rPr>
        <w:t>Aid Quality Checks (AQCs)</w:t>
      </w:r>
    </w:p>
    <w:p w:rsidR="00B24236" w:rsidRPr="00B24236" w:rsidRDefault="001218D3" w:rsidP="00B24236">
      <w:r>
        <w:rPr>
          <w:b/>
        </w:rPr>
        <w:t xml:space="preserve">The program </w:t>
      </w:r>
      <w:r w:rsidR="00B24236" w:rsidRPr="00437638">
        <w:rPr>
          <w:b/>
        </w:rPr>
        <w:t xml:space="preserve">conducted AQCs on </w:t>
      </w:r>
      <w:r w:rsidR="00734569" w:rsidRPr="00437638">
        <w:rPr>
          <w:b/>
        </w:rPr>
        <w:t xml:space="preserve">eleven </w:t>
      </w:r>
      <w:r>
        <w:rPr>
          <w:b/>
        </w:rPr>
        <w:t xml:space="preserve">current investments and one Final </w:t>
      </w:r>
      <w:r w:rsidR="00B24236" w:rsidRPr="00437638">
        <w:rPr>
          <w:b/>
        </w:rPr>
        <w:t>AQC – ratings are summarised in Annex D.</w:t>
      </w:r>
      <w:r>
        <w:t xml:space="preserve">  </w:t>
      </w:r>
      <w:r w:rsidR="00B24236" w:rsidRPr="00B24236">
        <w:t>The program continued to use the annual quality check process as an opportunity for critical reflection on the performance of invest</w:t>
      </w:r>
      <w:r>
        <w:t xml:space="preserve">ments greater than $3 million.  </w:t>
      </w:r>
      <w:r w:rsidR="00B24236" w:rsidRPr="00B24236">
        <w:t>All peer reviews were chaired by post leadership (Head or Deputy Hea</w:t>
      </w:r>
      <w:r w:rsidR="00B24236">
        <w:t>d of Mission), m</w:t>
      </w:r>
      <w:r w:rsidR="00437638">
        <w:t>oderated by a DFAT staff-member</w:t>
      </w:r>
      <w:r>
        <w:t xml:space="preserve"> external to the team</w:t>
      </w:r>
      <w:r w:rsidR="00B24236">
        <w:t>,</w:t>
      </w:r>
      <w:r w:rsidR="00B24236" w:rsidRPr="00B24236">
        <w:t xml:space="preserve"> and included participants from </w:t>
      </w:r>
      <w:r w:rsidR="00437638">
        <w:t xml:space="preserve">across </w:t>
      </w:r>
      <w:r>
        <w:t>DFAT</w:t>
      </w:r>
      <w:r w:rsidR="00B24236">
        <w:t>.  Th</w:t>
      </w:r>
      <w:r w:rsidR="00B24236" w:rsidRPr="00B24236">
        <w:t>is enabled consistent robust assessment of performance.</w:t>
      </w:r>
    </w:p>
    <w:p w:rsidR="00B24236" w:rsidRDefault="00D60C0A" w:rsidP="00EB0BDE">
      <w:r w:rsidRPr="00EB0BDE">
        <w:rPr>
          <w:b/>
        </w:rPr>
        <w:t>Overall</w:t>
      </w:r>
      <w:r w:rsidR="001218D3">
        <w:rPr>
          <w:b/>
        </w:rPr>
        <w:t>,</w:t>
      </w:r>
      <w:r w:rsidRPr="00EB0BDE">
        <w:rPr>
          <w:b/>
        </w:rPr>
        <w:t xml:space="preserve"> the effectiveness of investments remained relatively constant from the previous </w:t>
      </w:r>
      <w:r w:rsidR="00437638" w:rsidRPr="00EB0BDE">
        <w:rPr>
          <w:b/>
        </w:rPr>
        <w:t>year</w:t>
      </w:r>
      <w:r w:rsidR="00CF05BE">
        <w:rPr>
          <w:b/>
        </w:rPr>
        <w:t xml:space="preserve">.  </w:t>
      </w:r>
      <w:r w:rsidR="002D332A" w:rsidRPr="00DD5130">
        <w:t>I</w:t>
      </w:r>
      <w:r w:rsidR="002D332A">
        <w:t>n 2017-18, t</w:t>
      </w:r>
      <w:r w:rsidR="00CF05BE">
        <w:t>he SI Transport Sector Based Approach Phase 2 was the only</w:t>
      </w:r>
      <w:r>
        <w:t xml:space="preserve"> ‘</w:t>
      </w:r>
      <w:r w:rsidR="007D3F71">
        <w:t xml:space="preserve">Investment </w:t>
      </w:r>
      <w:r>
        <w:t>Requiring Improvement’</w:t>
      </w:r>
      <w:r w:rsidR="007D3F71">
        <w:t>, paving the way for a reassessment of our approach to delivering support to the sector in Solomon Islands</w:t>
      </w:r>
      <w:r>
        <w:t xml:space="preserve">.  </w:t>
      </w:r>
      <w:r w:rsidRPr="00D60C0A">
        <w:t xml:space="preserve"> </w:t>
      </w:r>
      <w:r w:rsidRPr="00B24236">
        <w:t xml:space="preserve">The Democratic Governance Phase 2 Investment rated as less than adequate on </w:t>
      </w:r>
      <w:r w:rsidR="001218D3">
        <w:t xml:space="preserve">Sustainability and Monitoring and </w:t>
      </w:r>
      <w:r w:rsidR="00E74790">
        <w:t>Evaluation</w:t>
      </w:r>
      <w:r>
        <w:t xml:space="preserve">.  Focused effort will be directed to </w:t>
      </w:r>
      <w:r w:rsidRPr="00B24236">
        <w:t>lift these ratings</w:t>
      </w:r>
      <w:r w:rsidR="00EB0BDE">
        <w:t xml:space="preserve"> in the coming year</w:t>
      </w:r>
      <w:r w:rsidRPr="00B24236">
        <w:t>.</w:t>
      </w:r>
      <w:r w:rsidR="00EB0BDE">
        <w:t xml:space="preserve">  </w:t>
      </w:r>
      <w:r>
        <w:t>There were no ‘Investments Requiring I</w:t>
      </w:r>
      <w:r w:rsidR="00437638">
        <w:t>mprovement’ in 2016-17.  T</w:t>
      </w:r>
      <w:r>
        <w:t xml:space="preserve">he </w:t>
      </w:r>
      <w:r w:rsidR="00B24236" w:rsidRPr="00B24236">
        <w:t xml:space="preserve">Solomon Islands Growth Program, which rated unsatisfactory for effectiveness </w:t>
      </w:r>
      <w:r w:rsidR="00437638">
        <w:t>in 2016-17</w:t>
      </w:r>
      <w:r w:rsidR="00B24236" w:rsidRPr="00B24236">
        <w:t xml:space="preserve"> achieved improved results </w:t>
      </w:r>
      <w:r w:rsidR="001218D3">
        <w:t xml:space="preserve">lifting its rating </w:t>
      </w:r>
      <w:r w:rsidR="00B24236" w:rsidRPr="00B24236">
        <w:t>to an adequate standard.</w:t>
      </w:r>
      <w:r w:rsidR="00437638">
        <w:t xml:space="preserve"> </w:t>
      </w:r>
      <w:r w:rsidR="00B24236" w:rsidRPr="00B24236">
        <w:t xml:space="preserve"> This was a </w:t>
      </w:r>
      <w:r w:rsidR="00437638">
        <w:t xml:space="preserve">result of work </w:t>
      </w:r>
      <w:r w:rsidR="00B24236" w:rsidRPr="00B24236">
        <w:t>to improve program coherence a</w:t>
      </w:r>
      <w:r w:rsidR="00EB0BDE">
        <w:t xml:space="preserve">nd performance evidence.  </w:t>
      </w:r>
      <w:r w:rsidR="00B24236" w:rsidRPr="00D60C0A">
        <w:t xml:space="preserve">In 2017-18, the majority of investments </w:t>
      </w:r>
      <w:r w:rsidR="00CF05BE">
        <w:t xml:space="preserve">(11/12) </w:t>
      </w:r>
      <w:r w:rsidR="00B24236" w:rsidRPr="00D60C0A">
        <w:t xml:space="preserve">achieved a gender equality rating of </w:t>
      </w:r>
      <w:r w:rsidR="002D332A">
        <w:t>four</w:t>
      </w:r>
      <w:r w:rsidR="00B24236" w:rsidRPr="00D60C0A">
        <w:t xml:space="preserve"> or above and provided evidence of progress against gender action plans and increased partner commitment to gender issues.  </w:t>
      </w:r>
    </w:p>
    <w:p w:rsidR="0019066F" w:rsidRDefault="00600479" w:rsidP="00FB07BA">
      <w:pPr>
        <w:suppressAutoHyphens w:val="0"/>
        <w:autoSpaceDE w:val="0"/>
        <w:autoSpaceDN w:val="0"/>
        <w:adjustRightInd w:val="0"/>
        <w:spacing w:before="0" w:after="0" w:line="240" w:lineRule="auto"/>
        <w:rPr>
          <w:b/>
          <w:lang w:eastAsia="zh-CN"/>
        </w:rPr>
      </w:pPr>
      <w:r>
        <w:rPr>
          <w:b/>
          <w:lang w:eastAsia="zh-CN"/>
        </w:rPr>
        <w:t>Performance of key delivery partners</w:t>
      </w:r>
    </w:p>
    <w:p w:rsidR="00B24236" w:rsidRDefault="00B24236" w:rsidP="00F0055F">
      <w:r w:rsidRPr="00EB0BDE">
        <w:rPr>
          <w:b/>
        </w:rPr>
        <w:t>In 2017-18, Australia delivered the majority of its aid through three types of partners</w:t>
      </w:r>
      <w:r w:rsidR="001218D3">
        <w:rPr>
          <w:b/>
        </w:rPr>
        <w:t>;</w:t>
      </w:r>
      <w:r w:rsidRPr="00EB0BDE">
        <w:rPr>
          <w:b/>
        </w:rPr>
        <w:t xml:space="preserve"> namely the </w:t>
      </w:r>
      <w:r w:rsidR="00437638" w:rsidRPr="00EB0BDE">
        <w:rPr>
          <w:b/>
        </w:rPr>
        <w:t>private sector</w:t>
      </w:r>
      <w:r w:rsidR="00B81CFB">
        <w:rPr>
          <w:b/>
        </w:rPr>
        <w:t xml:space="preserve"> (39 per cent)</w:t>
      </w:r>
      <w:r w:rsidR="00437638" w:rsidRPr="00EB0BDE">
        <w:rPr>
          <w:b/>
        </w:rPr>
        <w:t xml:space="preserve">, </w:t>
      </w:r>
      <w:r w:rsidRPr="00EB0BDE">
        <w:rPr>
          <w:b/>
        </w:rPr>
        <w:t xml:space="preserve">Government of Solomon Islands </w:t>
      </w:r>
      <w:r w:rsidR="00B81CFB">
        <w:rPr>
          <w:b/>
        </w:rPr>
        <w:t>(26 per cent)</w:t>
      </w:r>
      <w:r w:rsidR="001218D3">
        <w:rPr>
          <w:b/>
        </w:rPr>
        <w:t>,</w:t>
      </w:r>
      <w:r w:rsidR="00B81CFB">
        <w:rPr>
          <w:b/>
        </w:rPr>
        <w:t xml:space="preserve"> </w:t>
      </w:r>
      <w:r w:rsidRPr="00EB0BDE">
        <w:rPr>
          <w:b/>
        </w:rPr>
        <w:t>and multilateral organisations</w:t>
      </w:r>
      <w:r w:rsidR="00B81CFB">
        <w:rPr>
          <w:b/>
        </w:rPr>
        <w:t xml:space="preserve"> (25 per cent)</w:t>
      </w:r>
      <w:r w:rsidRPr="00EB0BDE">
        <w:rPr>
          <w:b/>
        </w:rPr>
        <w:t>.</w:t>
      </w:r>
      <w:r>
        <w:t xml:space="preserve"> </w:t>
      </w:r>
      <w:r w:rsidR="00B81CFB">
        <w:t xml:space="preserve"> </w:t>
      </w:r>
      <w:r>
        <w:t>This investment through the bilateral program is complemented by investment in non-government organisations through the Australian NGO Cooperation Program (ANCP).</w:t>
      </w:r>
    </w:p>
    <w:p w:rsidR="002A51CA" w:rsidRDefault="00F0055F" w:rsidP="00721570">
      <w:r w:rsidRPr="00721570">
        <w:rPr>
          <w:b/>
        </w:rPr>
        <w:t>An overall assessment of our partners in the Solomon Islands found that they were performing effecti</w:t>
      </w:r>
      <w:r w:rsidR="00437638" w:rsidRPr="00721570">
        <w:rPr>
          <w:b/>
        </w:rPr>
        <w:t>vely.</w:t>
      </w:r>
      <w:r w:rsidR="00437638">
        <w:t xml:space="preserve">  </w:t>
      </w:r>
      <w:r>
        <w:t xml:space="preserve">Seven Partner Performance Assessment (PPAs) were completed to assess the performance of delivery partners for agreements valued over $3 million.  A strength across </w:t>
      </w:r>
      <w:r w:rsidR="008A7233">
        <w:t>all</w:t>
      </w:r>
      <w:r>
        <w:t xml:space="preserve"> partnerships was a strong sense of collaboration, effective communication and res</w:t>
      </w:r>
      <w:r w:rsidR="00A37BCD">
        <w:t xml:space="preserve">ponsiveness to emerging issues.  </w:t>
      </w:r>
      <w:r>
        <w:t>In 2017-18, the World Bank delivered satisfactory result</w:t>
      </w:r>
      <w:r w:rsidR="00721570">
        <w:t xml:space="preserve">s for two of three agreements.  </w:t>
      </w:r>
      <w:r w:rsidR="00CF05BE">
        <w:t>T</w:t>
      </w:r>
      <w:r w:rsidR="008A7233">
        <w:t>he Tina River project</w:t>
      </w:r>
      <w:r w:rsidR="00B90521">
        <w:t>,</w:t>
      </w:r>
      <w:r w:rsidR="008A7233">
        <w:t xml:space="preserve"> funded by Australia through a World Bank trust fund</w:t>
      </w:r>
      <w:r w:rsidR="00B90521">
        <w:t xml:space="preserve">, </w:t>
      </w:r>
      <w:r w:rsidR="009F2576">
        <w:t>did not</w:t>
      </w:r>
      <w:r w:rsidR="008A7233">
        <w:t xml:space="preserve"> provide sufficient </w:t>
      </w:r>
      <w:r w:rsidR="002C5522">
        <w:t>reporting on progress and</w:t>
      </w:r>
      <w:r w:rsidR="008A7233">
        <w:t xml:space="preserve"> results.  </w:t>
      </w:r>
      <w:r>
        <w:t>In response to our concerns, the World Bank has undertaken</w:t>
      </w:r>
      <w:r w:rsidR="008A7233">
        <w:t xml:space="preserve"> to improve reporting standards</w:t>
      </w:r>
      <w:r w:rsidR="00B90521">
        <w:t xml:space="preserve"> for the Tina River project, including monthly stakeholder meetings</w:t>
      </w:r>
      <w:r>
        <w:t xml:space="preserve">. </w:t>
      </w:r>
    </w:p>
    <w:p w:rsidR="00874B3F" w:rsidRDefault="00874B3F" w:rsidP="00B3585D">
      <w:pPr>
        <w:pStyle w:val="NormalIndented"/>
        <w:spacing w:before="240"/>
        <w:ind w:left="0"/>
        <w:jc w:val="both"/>
        <w:rPr>
          <w:rFonts w:asciiTheme="majorHAnsi" w:eastAsiaTheme="majorEastAsia" w:hAnsiTheme="majorHAnsi" w:cstheme="majorBidi"/>
          <w:caps/>
          <w:sz w:val="38"/>
          <w:szCs w:val="26"/>
        </w:rPr>
      </w:pPr>
    </w:p>
    <w:p w:rsidR="00874B3F" w:rsidRDefault="00874B3F" w:rsidP="00B3585D">
      <w:pPr>
        <w:pStyle w:val="NormalIndented"/>
        <w:spacing w:before="240"/>
        <w:ind w:left="0"/>
        <w:jc w:val="both"/>
        <w:rPr>
          <w:rFonts w:asciiTheme="majorHAnsi" w:eastAsiaTheme="majorEastAsia" w:hAnsiTheme="majorHAnsi" w:cstheme="majorBidi"/>
          <w:caps/>
          <w:sz w:val="38"/>
          <w:szCs w:val="26"/>
        </w:rPr>
      </w:pPr>
    </w:p>
    <w:p w:rsidR="00874B3F" w:rsidRDefault="00874B3F" w:rsidP="00B3585D">
      <w:pPr>
        <w:pStyle w:val="NormalIndented"/>
        <w:spacing w:before="240"/>
        <w:ind w:left="0"/>
        <w:jc w:val="both"/>
        <w:rPr>
          <w:rFonts w:asciiTheme="majorHAnsi" w:eastAsiaTheme="majorEastAsia" w:hAnsiTheme="majorHAnsi" w:cstheme="majorBidi"/>
          <w:caps/>
          <w:sz w:val="38"/>
          <w:szCs w:val="26"/>
        </w:rPr>
      </w:pPr>
    </w:p>
    <w:p w:rsidR="00874B3F" w:rsidRDefault="00874B3F" w:rsidP="00B3585D">
      <w:pPr>
        <w:pStyle w:val="NormalIndented"/>
        <w:spacing w:before="240"/>
        <w:ind w:left="0"/>
        <w:jc w:val="both"/>
        <w:rPr>
          <w:rFonts w:asciiTheme="majorHAnsi" w:eastAsiaTheme="majorEastAsia" w:hAnsiTheme="majorHAnsi" w:cstheme="majorBidi"/>
          <w:caps/>
          <w:sz w:val="38"/>
          <w:szCs w:val="26"/>
        </w:rPr>
      </w:pPr>
    </w:p>
    <w:p w:rsidR="00874B3F" w:rsidRDefault="00874B3F" w:rsidP="00B3585D">
      <w:pPr>
        <w:pStyle w:val="NormalIndented"/>
        <w:spacing w:before="240"/>
        <w:ind w:left="0"/>
        <w:jc w:val="both"/>
        <w:rPr>
          <w:rFonts w:asciiTheme="majorHAnsi" w:eastAsiaTheme="majorEastAsia" w:hAnsiTheme="majorHAnsi" w:cstheme="majorBidi"/>
          <w:caps/>
          <w:sz w:val="38"/>
          <w:szCs w:val="26"/>
        </w:rPr>
      </w:pPr>
    </w:p>
    <w:p w:rsidR="0074718B" w:rsidRDefault="0074718B" w:rsidP="00B3585D">
      <w:pPr>
        <w:pStyle w:val="NormalIndented"/>
        <w:spacing w:before="240"/>
        <w:ind w:left="0"/>
        <w:jc w:val="both"/>
        <w:rPr>
          <w:rFonts w:asciiTheme="majorHAnsi" w:eastAsiaTheme="majorEastAsia" w:hAnsiTheme="majorHAnsi" w:cstheme="majorBidi"/>
          <w:caps/>
          <w:sz w:val="38"/>
          <w:szCs w:val="26"/>
        </w:rPr>
      </w:pPr>
    </w:p>
    <w:p w:rsidR="0074718B" w:rsidRDefault="0074718B" w:rsidP="00B3585D">
      <w:pPr>
        <w:pStyle w:val="NormalIndented"/>
        <w:spacing w:before="240"/>
        <w:ind w:left="0"/>
        <w:jc w:val="both"/>
        <w:rPr>
          <w:rFonts w:asciiTheme="majorHAnsi" w:eastAsiaTheme="majorEastAsia" w:hAnsiTheme="majorHAnsi" w:cstheme="majorBidi"/>
          <w:caps/>
          <w:sz w:val="38"/>
          <w:szCs w:val="26"/>
        </w:rPr>
      </w:pPr>
    </w:p>
    <w:p w:rsidR="002A51CA" w:rsidRPr="00B3585D" w:rsidRDefault="002A51CA" w:rsidP="00B3585D">
      <w:pPr>
        <w:pStyle w:val="NormalIndented"/>
        <w:spacing w:before="240"/>
        <w:ind w:left="0"/>
        <w:jc w:val="both"/>
        <w:rPr>
          <w:rFonts w:asciiTheme="majorHAnsi" w:eastAsiaTheme="majorEastAsia" w:hAnsiTheme="majorHAnsi" w:cstheme="majorBidi"/>
          <w:caps/>
          <w:sz w:val="38"/>
          <w:szCs w:val="26"/>
        </w:rPr>
      </w:pPr>
      <w:r w:rsidRPr="00B3585D">
        <w:rPr>
          <w:rFonts w:asciiTheme="majorHAnsi" w:eastAsiaTheme="majorEastAsia" w:hAnsiTheme="majorHAnsi" w:cstheme="majorBidi"/>
          <w:caps/>
          <w:sz w:val="38"/>
          <w:szCs w:val="26"/>
        </w:rPr>
        <w:lastRenderedPageBreak/>
        <w:t>Risks</w:t>
      </w:r>
    </w:p>
    <w:p w:rsidR="002A51CA" w:rsidRPr="008C2F58" w:rsidRDefault="002A51CA" w:rsidP="002A51CA">
      <w:pPr>
        <w:rPr>
          <w:b/>
          <w:sz w:val="24"/>
        </w:rPr>
      </w:pPr>
      <w:r w:rsidRPr="008C2F58">
        <w:rPr>
          <w:b/>
          <w:sz w:val="24"/>
        </w:rPr>
        <w:t>Table 3</w:t>
      </w:r>
      <w:r w:rsidR="00332EC9">
        <w:rPr>
          <w:b/>
          <w:sz w:val="24"/>
        </w:rPr>
        <w:t>:</w:t>
      </w:r>
      <w:r w:rsidRPr="008C2F58">
        <w:rPr>
          <w:b/>
          <w:sz w:val="24"/>
        </w:rPr>
        <w:t xml:space="preserve"> Management of Key Risks to Achieving Objectives</w:t>
      </w:r>
    </w:p>
    <w:tbl>
      <w:tblPr>
        <w:tblStyle w:val="APPR"/>
        <w:tblW w:w="5412" w:type="pct"/>
        <w:tblBorders>
          <w:top w:val="none" w:sz="0" w:space="0" w:color="auto"/>
          <w:bottom w:val="none" w:sz="0" w:space="0" w:color="auto"/>
        </w:tblBorders>
        <w:tblLook w:val="0600" w:firstRow="0" w:lastRow="0" w:firstColumn="0" w:lastColumn="0" w:noHBand="1" w:noVBand="1"/>
      </w:tblPr>
      <w:tblGrid>
        <w:gridCol w:w="2219"/>
        <w:gridCol w:w="3541"/>
        <w:gridCol w:w="2880"/>
        <w:gridCol w:w="720"/>
        <w:gridCol w:w="1072"/>
      </w:tblGrid>
      <w:tr w:rsidR="004A2839" w:rsidRPr="00C61187" w:rsidTr="001C1CDE">
        <w:tc>
          <w:tcPr>
            <w:tcW w:w="2177" w:type="dxa"/>
            <w:hideMark/>
          </w:tcPr>
          <w:p w:rsidR="002A6AC8" w:rsidRPr="00BE6C6D" w:rsidRDefault="002A6AC8" w:rsidP="00BE6C6D">
            <w:pPr>
              <w:rPr>
                <w:rFonts w:asciiTheme="minorHAnsi" w:hAnsiTheme="minorHAnsi"/>
                <w:b/>
              </w:rPr>
            </w:pPr>
            <w:r w:rsidRPr="00BE6C6D">
              <w:rPr>
                <w:rFonts w:asciiTheme="minorHAnsi" w:hAnsiTheme="minorHAnsi"/>
                <w:b/>
              </w:rPr>
              <w:t>Key risks</w:t>
            </w:r>
          </w:p>
        </w:tc>
        <w:tc>
          <w:tcPr>
            <w:tcW w:w="3513" w:type="dxa"/>
          </w:tcPr>
          <w:p w:rsidR="002A6AC8" w:rsidRPr="00BE6C6D" w:rsidRDefault="002A6AC8" w:rsidP="00BE6C6D">
            <w:pPr>
              <w:rPr>
                <w:rFonts w:asciiTheme="minorHAnsi" w:hAnsiTheme="minorHAnsi"/>
                <w:b/>
              </w:rPr>
            </w:pPr>
            <w:r w:rsidRPr="00BE6C6D">
              <w:rPr>
                <w:rFonts w:asciiTheme="minorHAnsi" w:hAnsiTheme="minorHAnsi"/>
                <w:b/>
              </w:rPr>
              <w:t>What actions were taken to manage the risks over the past year?</w:t>
            </w:r>
          </w:p>
        </w:tc>
        <w:tc>
          <w:tcPr>
            <w:tcW w:w="2852" w:type="dxa"/>
          </w:tcPr>
          <w:p w:rsidR="002A6AC8" w:rsidRPr="00BE6C6D" w:rsidRDefault="002A6AC8" w:rsidP="00BE6C6D">
            <w:pPr>
              <w:rPr>
                <w:rFonts w:asciiTheme="minorHAnsi" w:hAnsiTheme="minorHAnsi"/>
                <w:b/>
              </w:rPr>
            </w:pPr>
            <w:r w:rsidRPr="00BE6C6D">
              <w:rPr>
                <w:rFonts w:asciiTheme="minorHAnsi" w:hAnsiTheme="minorHAnsi"/>
                <w:b/>
              </w:rPr>
              <w:t>What further actions will be taken to manage the risks in the coming year?</w:t>
            </w:r>
          </w:p>
        </w:tc>
        <w:tc>
          <w:tcPr>
            <w:tcW w:w="692" w:type="dxa"/>
          </w:tcPr>
          <w:p w:rsidR="002A6AC8" w:rsidRPr="00BE6C6D" w:rsidRDefault="002A6AC8" w:rsidP="00721570">
            <w:pPr>
              <w:rPr>
                <w:rFonts w:asciiTheme="minorHAnsi" w:hAnsiTheme="minorHAnsi"/>
                <w:b/>
              </w:rPr>
            </w:pPr>
            <w:r w:rsidRPr="00BE6C6D">
              <w:rPr>
                <w:rFonts w:asciiTheme="minorHAnsi" w:hAnsiTheme="minorHAnsi"/>
                <w:b/>
              </w:rPr>
              <w:t>Risk Rating</w:t>
            </w:r>
          </w:p>
        </w:tc>
        <w:tc>
          <w:tcPr>
            <w:tcW w:w="1030" w:type="dxa"/>
          </w:tcPr>
          <w:p w:rsidR="002A6AC8" w:rsidRPr="00F6667A" w:rsidRDefault="00E619E3">
            <w:pPr>
              <w:rPr>
                <w:rFonts w:asciiTheme="minorHAnsi" w:hAnsiTheme="minorHAnsi"/>
                <w:b/>
              </w:rPr>
            </w:pPr>
            <w:r>
              <w:rPr>
                <w:rFonts w:asciiTheme="minorHAnsi" w:hAnsiTheme="minorHAnsi"/>
                <w:b/>
              </w:rPr>
              <w:t>I</w:t>
            </w:r>
            <w:r w:rsidR="0043564E" w:rsidRPr="00F6667A">
              <w:rPr>
                <w:rFonts w:asciiTheme="minorHAnsi" w:hAnsiTheme="minorHAnsi"/>
                <w:b/>
              </w:rPr>
              <w:t xml:space="preserve">n </w:t>
            </w:r>
            <w:r w:rsidR="00937C44" w:rsidRPr="00F6667A">
              <w:rPr>
                <w:rFonts w:asciiTheme="minorHAnsi" w:hAnsiTheme="minorHAnsi"/>
                <w:b/>
              </w:rPr>
              <w:t>Post’s Risk Register</w:t>
            </w:r>
            <w:r w:rsidR="002A6AC8" w:rsidRPr="00F6667A">
              <w:rPr>
                <w:rFonts w:asciiTheme="minorHAnsi" w:hAnsiTheme="minorHAnsi"/>
                <w:b/>
              </w:rPr>
              <w:t>*</w:t>
            </w:r>
          </w:p>
        </w:tc>
      </w:tr>
      <w:tr w:rsidR="004A2839" w:rsidRPr="00B962D4" w:rsidTr="001C1CDE">
        <w:tc>
          <w:tcPr>
            <w:tcW w:w="2177" w:type="dxa"/>
            <w:hideMark/>
          </w:tcPr>
          <w:p w:rsidR="002A6AC8" w:rsidRPr="00D154B3" w:rsidRDefault="00177E79" w:rsidP="00B10BC5">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rPr>
              <w:t>Security environment deteriorates.</w:t>
            </w:r>
          </w:p>
        </w:tc>
        <w:tc>
          <w:tcPr>
            <w:tcW w:w="3513" w:type="dxa"/>
          </w:tcPr>
          <w:p w:rsidR="002A6AC8" w:rsidRPr="00D154B3" w:rsidRDefault="00177E79" w:rsidP="00B10BC5">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rPr>
              <w:t>Updated and tested Crisis Action Plan; Security situati</w:t>
            </w:r>
            <w:r w:rsidR="002E61A6" w:rsidRPr="00D154B3">
              <w:rPr>
                <w:rFonts w:asciiTheme="minorHAnsi" w:eastAsia="Times New Roman" w:hAnsiTheme="minorHAnsi"/>
                <w:iCs/>
                <w:szCs w:val="17"/>
                <w:lang w:val="en-AU"/>
              </w:rPr>
              <w:t>on monitoring with AFP and partners; P</w:t>
            </w:r>
            <w:r w:rsidRPr="00D154B3">
              <w:rPr>
                <w:rFonts w:asciiTheme="minorHAnsi" w:eastAsia="Times New Roman" w:hAnsiTheme="minorHAnsi"/>
                <w:iCs/>
                <w:szCs w:val="17"/>
                <w:lang w:val="en-AU"/>
              </w:rPr>
              <w:t>olice development and Justice programs; and Defence Cooperation Program</w:t>
            </w:r>
            <w:r w:rsidR="00721570" w:rsidRPr="00D154B3">
              <w:rPr>
                <w:rFonts w:asciiTheme="minorHAnsi" w:eastAsia="Times New Roman" w:hAnsiTheme="minorHAnsi"/>
                <w:iCs/>
                <w:szCs w:val="17"/>
                <w:lang w:val="en-AU"/>
              </w:rPr>
              <w:t>; security treaty</w:t>
            </w:r>
            <w:r w:rsidR="00547BE9" w:rsidRPr="00D154B3">
              <w:rPr>
                <w:rFonts w:asciiTheme="minorHAnsi" w:eastAsia="Times New Roman" w:hAnsiTheme="minorHAnsi"/>
                <w:iCs/>
                <w:szCs w:val="17"/>
                <w:lang w:val="en-AU" w:eastAsia="en-US"/>
              </w:rPr>
              <w:t>.</w:t>
            </w:r>
          </w:p>
        </w:tc>
        <w:tc>
          <w:tcPr>
            <w:tcW w:w="2852" w:type="dxa"/>
          </w:tcPr>
          <w:p w:rsidR="002A6AC8" w:rsidRPr="00D154B3" w:rsidRDefault="009D5688" w:rsidP="00B10BC5">
            <w:pPr>
              <w:keepLines/>
              <w:spacing w:before="40" w:after="40" w:line="200" w:lineRule="atLeast"/>
              <w:rPr>
                <w:rFonts w:asciiTheme="minorHAnsi" w:eastAsia="Times New Roman" w:hAnsiTheme="minorHAnsi"/>
                <w:iCs/>
                <w:szCs w:val="17"/>
                <w:lang w:val="en-AU" w:eastAsia="en-US"/>
              </w:rPr>
            </w:pPr>
            <w:r w:rsidRPr="009D5688">
              <w:rPr>
                <w:rFonts w:asciiTheme="minorHAnsi" w:eastAsia="Times New Roman" w:hAnsiTheme="minorHAnsi"/>
                <w:iCs/>
                <w:szCs w:val="17"/>
                <w:lang w:val="en-AU" w:eastAsia="en-US"/>
              </w:rPr>
              <w:t>Democratic governance program to support election preparations;</w:t>
            </w:r>
            <w:r>
              <w:rPr>
                <w:rFonts w:asciiTheme="minorHAnsi" w:eastAsia="Times New Roman" w:hAnsiTheme="minorHAnsi"/>
                <w:iCs/>
                <w:szCs w:val="17"/>
                <w:lang w:val="en-AU" w:eastAsia="en-US"/>
              </w:rPr>
              <w:t xml:space="preserve"> New Humanitarian program to be designed</w:t>
            </w:r>
          </w:p>
        </w:tc>
        <w:tc>
          <w:tcPr>
            <w:tcW w:w="692" w:type="dxa"/>
          </w:tcPr>
          <w:p w:rsidR="002A6AC8" w:rsidRPr="00D154B3" w:rsidRDefault="00177E79" w:rsidP="00B10BC5">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rPr>
              <w:t>High</w:t>
            </w:r>
          </w:p>
        </w:tc>
        <w:tc>
          <w:tcPr>
            <w:tcW w:w="1030" w:type="dxa"/>
          </w:tcPr>
          <w:p w:rsidR="002A6AC8" w:rsidRPr="00D154B3" w:rsidRDefault="00177E79" w:rsidP="00B10BC5">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rPr>
              <w:t>Yes</w:t>
            </w:r>
          </w:p>
        </w:tc>
      </w:tr>
      <w:tr w:rsidR="004A2839" w:rsidRPr="00B962D4" w:rsidTr="001C1CDE">
        <w:tc>
          <w:tcPr>
            <w:tcW w:w="2177" w:type="dxa"/>
            <w:hideMark/>
          </w:tcPr>
          <w:p w:rsidR="002A6AC8" w:rsidRPr="00D154B3" w:rsidRDefault="00B962D4">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rPr>
              <w:t xml:space="preserve">Macro-economic reform slows or regresses </w:t>
            </w:r>
            <w:r w:rsidR="00421276" w:rsidRPr="00D154B3">
              <w:rPr>
                <w:rFonts w:asciiTheme="minorHAnsi" w:eastAsia="Times New Roman" w:hAnsiTheme="minorHAnsi"/>
                <w:iCs/>
                <w:szCs w:val="17"/>
                <w:lang w:val="en-AU" w:eastAsia="en-US"/>
              </w:rPr>
              <w:t xml:space="preserve">reducing </w:t>
            </w:r>
            <w:r w:rsidR="00421276" w:rsidRPr="00D154B3">
              <w:rPr>
                <w:rFonts w:asciiTheme="minorHAnsi" w:eastAsia="Times New Roman" w:hAnsiTheme="minorHAnsi"/>
                <w:iCs/>
                <w:szCs w:val="17"/>
                <w:lang w:val="en-AU"/>
              </w:rPr>
              <w:t>economic growth and causing</w:t>
            </w:r>
            <w:r w:rsidRPr="00D154B3">
              <w:rPr>
                <w:rFonts w:asciiTheme="minorHAnsi" w:eastAsia="Times New Roman" w:hAnsiTheme="minorHAnsi"/>
                <w:iCs/>
                <w:szCs w:val="17"/>
                <w:lang w:val="en-AU"/>
              </w:rPr>
              <w:t xml:space="preserve"> civil unrest.</w:t>
            </w:r>
          </w:p>
        </w:tc>
        <w:tc>
          <w:tcPr>
            <w:tcW w:w="3513" w:type="dxa"/>
          </w:tcPr>
          <w:p w:rsidR="002A6AC8" w:rsidRPr="00D154B3" w:rsidRDefault="00B962D4" w:rsidP="001C1CDE">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rPr>
              <w:t xml:space="preserve">Targeted </w:t>
            </w:r>
            <w:r w:rsidR="001145A0">
              <w:rPr>
                <w:rFonts w:asciiTheme="minorHAnsi" w:eastAsia="Times New Roman" w:hAnsiTheme="minorHAnsi"/>
                <w:iCs/>
                <w:szCs w:val="17"/>
                <w:lang w:val="en-AU"/>
              </w:rPr>
              <w:t>TA</w:t>
            </w:r>
            <w:r w:rsidRPr="00D154B3">
              <w:rPr>
                <w:rFonts w:asciiTheme="minorHAnsi" w:eastAsia="Times New Roman" w:hAnsiTheme="minorHAnsi"/>
                <w:iCs/>
                <w:szCs w:val="17"/>
                <w:lang w:val="en-AU"/>
              </w:rPr>
              <w:t xml:space="preserve"> to </w:t>
            </w:r>
            <w:r w:rsidR="001C1CDE">
              <w:rPr>
                <w:rFonts w:asciiTheme="minorHAnsi" w:eastAsia="Times New Roman" w:hAnsiTheme="minorHAnsi"/>
                <w:iCs/>
                <w:szCs w:val="17"/>
                <w:lang w:val="en-AU" w:eastAsia="en-US"/>
              </w:rPr>
              <w:t>economic</w:t>
            </w:r>
            <w:r w:rsidR="001145A0" w:rsidRPr="00D154B3">
              <w:rPr>
                <w:rFonts w:asciiTheme="minorHAnsi" w:eastAsia="Times New Roman" w:hAnsiTheme="minorHAnsi"/>
                <w:iCs/>
                <w:szCs w:val="17"/>
                <w:lang w:val="en-AU" w:eastAsia="en-US"/>
              </w:rPr>
              <w:t xml:space="preserve"> </w:t>
            </w:r>
            <w:r w:rsidR="002E61A6" w:rsidRPr="00D154B3">
              <w:rPr>
                <w:rFonts w:asciiTheme="minorHAnsi" w:eastAsia="Times New Roman" w:hAnsiTheme="minorHAnsi"/>
                <w:iCs/>
                <w:szCs w:val="17"/>
                <w:lang w:val="en-AU" w:eastAsia="en-US"/>
              </w:rPr>
              <w:t>reform,</w:t>
            </w:r>
            <w:r w:rsidRPr="00D154B3">
              <w:rPr>
                <w:rFonts w:asciiTheme="minorHAnsi" w:eastAsia="Times New Roman" w:hAnsiTheme="minorHAnsi"/>
                <w:iCs/>
                <w:szCs w:val="17"/>
                <w:lang w:val="en-AU"/>
              </w:rPr>
              <w:t xml:space="preserve"> budget, debt and customs</w:t>
            </w:r>
            <w:r w:rsidR="002E61A6" w:rsidRPr="00D154B3">
              <w:rPr>
                <w:rFonts w:asciiTheme="minorHAnsi" w:eastAsia="Times New Roman" w:hAnsiTheme="minorHAnsi"/>
                <w:iCs/>
                <w:szCs w:val="17"/>
                <w:lang w:val="en-AU" w:eastAsia="en-US"/>
              </w:rPr>
              <w:t xml:space="preserve"> areas</w:t>
            </w:r>
            <w:r w:rsidR="00B10BC5" w:rsidRPr="00D154B3">
              <w:rPr>
                <w:rFonts w:asciiTheme="minorHAnsi" w:eastAsia="Times New Roman" w:hAnsiTheme="minorHAnsi"/>
                <w:iCs/>
                <w:szCs w:val="17"/>
                <w:lang w:val="en-AU" w:eastAsia="en-US"/>
              </w:rPr>
              <w:t xml:space="preserve">. </w:t>
            </w:r>
            <w:r w:rsidR="00421276" w:rsidRPr="00D154B3">
              <w:rPr>
                <w:rFonts w:asciiTheme="minorHAnsi" w:eastAsia="Times New Roman" w:hAnsiTheme="minorHAnsi"/>
                <w:iCs/>
                <w:szCs w:val="17"/>
                <w:lang w:val="en-AU" w:eastAsia="en-US"/>
              </w:rPr>
              <w:t xml:space="preserve">Engagement in forums </w:t>
            </w:r>
            <w:r w:rsidR="001145A0">
              <w:rPr>
                <w:rFonts w:asciiTheme="minorHAnsi" w:eastAsia="Times New Roman" w:hAnsiTheme="minorHAnsi"/>
                <w:iCs/>
                <w:szCs w:val="17"/>
                <w:lang w:val="en-AU" w:eastAsia="en-US"/>
              </w:rPr>
              <w:t>incl.</w:t>
            </w:r>
            <w:r w:rsidR="00421276" w:rsidRPr="00D154B3">
              <w:rPr>
                <w:rFonts w:asciiTheme="minorHAnsi" w:eastAsia="Times New Roman" w:hAnsiTheme="minorHAnsi"/>
                <w:iCs/>
                <w:szCs w:val="17"/>
                <w:lang w:val="en-AU" w:eastAsia="en-US"/>
              </w:rPr>
              <w:t xml:space="preserve"> G20, </w:t>
            </w:r>
            <w:r w:rsidR="001C1CDE">
              <w:rPr>
                <w:rFonts w:asciiTheme="minorHAnsi" w:eastAsia="Times New Roman" w:hAnsiTheme="minorHAnsi"/>
                <w:iCs/>
                <w:szCs w:val="17"/>
                <w:lang w:val="en-AU" w:eastAsia="en-US"/>
              </w:rPr>
              <w:t>PIF</w:t>
            </w:r>
            <w:r w:rsidR="00421276" w:rsidRPr="00D154B3">
              <w:rPr>
                <w:rFonts w:asciiTheme="minorHAnsi" w:eastAsia="Times New Roman" w:hAnsiTheme="minorHAnsi"/>
                <w:iCs/>
                <w:szCs w:val="17"/>
                <w:lang w:val="en-AU" w:eastAsia="en-US"/>
              </w:rPr>
              <w:t xml:space="preserve">; </w:t>
            </w:r>
            <w:r w:rsidR="001145A0">
              <w:rPr>
                <w:rFonts w:asciiTheme="minorHAnsi" w:eastAsia="Times New Roman" w:hAnsiTheme="minorHAnsi"/>
                <w:iCs/>
                <w:szCs w:val="17"/>
                <w:lang w:val="en-AU" w:eastAsia="en-US"/>
              </w:rPr>
              <w:t>Econ</w:t>
            </w:r>
            <w:r w:rsidR="001C1CDE">
              <w:rPr>
                <w:rFonts w:asciiTheme="minorHAnsi" w:eastAsia="Times New Roman" w:hAnsiTheme="minorHAnsi"/>
                <w:iCs/>
                <w:szCs w:val="17"/>
                <w:lang w:val="en-AU" w:eastAsia="en-US"/>
              </w:rPr>
              <w:t>omic</w:t>
            </w:r>
            <w:r w:rsidR="001145A0" w:rsidRPr="00D154B3">
              <w:rPr>
                <w:rFonts w:asciiTheme="minorHAnsi" w:eastAsia="Times New Roman" w:hAnsiTheme="minorHAnsi"/>
                <w:iCs/>
                <w:szCs w:val="17"/>
                <w:lang w:val="en-AU" w:eastAsia="en-US"/>
              </w:rPr>
              <w:t xml:space="preserve"> </w:t>
            </w:r>
            <w:r w:rsidR="00421276" w:rsidRPr="00D154B3">
              <w:rPr>
                <w:rFonts w:asciiTheme="minorHAnsi" w:eastAsia="Times New Roman" w:hAnsiTheme="minorHAnsi"/>
                <w:iCs/>
                <w:szCs w:val="17"/>
                <w:lang w:val="en-AU" w:eastAsia="en-US"/>
              </w:rPr>
              <w:t>diplomacy with partner government and local</w:t>
            </w:r>
            <w:r w:rsidR="00937C44" w:rsidRPr="00D154B3">
              <w:rPr>
                <w:rFonts w:asciiTheme="minorHAnsi" w:eastAsia="Times New Roman" w:hAnsiTheme="minorHAnsi"/>
                <w:iCs/>
                <w:szCs w:val="17"/>
                <w:lang w:val="en-AU" w:eastAsia="en-US"/>
              </w:rPr>
              <w:t xml:space="preserve"> business </w:t>
            </w:r>
            <w:r w:rsidR="001C1CDE">
              <w:rPr>
                <w:rFonts w:asciiTheme="minorHAnsi" w:eastAsia="Times New Roman" w:hAnsiTheme="minorHAnsi"/>
                <w:iCs/>
                <w:szCs w:val="17"/>
                <w:lang w:val="en-AU" w:eastAsia="en-US"/>
              </w:rPr>
              <w:t>community</w:t>
            </w:r>
            <w:r w:rsidR="00937C44" w:rsidRPr="00D154B3">
              <w:rPr>
                <w:rFonts w:asciiTheme="minorHAnsi" w:eastAsia="Times New Roman" w:hAnsiTheme="minorHAnsi"/>
                <w:iCs/>
                <w:szCs w:val="17"/>
                <w:lang w:val="en-AU" w:eastAsia="en-US"/>
              </w:rPr>
              <w:t>;</w:t>
            </w:r>
            <w:r w:rsidR="00547BE9" w:rsidRPr="00D154B3">
              <w:rPr>
                <w:rFonts w:asciiTheme="minorHAnsi" w:eastAsia="Times New Roman" w:hAnsiTheme="minorHAnsi"/>
                <w:iCs/>
                <w:szCs w:val="17"/>
                <w:lang w:val="en-AU" w:eastAsia="en-US"/>
              </w:rPr>
              <w:t xml:space="preserve"> Support to IMF Article IV mission; </w:t>
            </w:r>
            <w:r w:rsidR="00421276" w:rsidRPr="00D154B3">
              <w:rPr>
                <w:rFonts w:asciiTheme="minorHAnsi" w:eastAsia="Times New Roman" w:hAnsiTheme="minorHAnsi"/>
                <w:iCs/>
                <w:szCs w:val="17"/>
                <w:lang w:val="en-AU" w:eastAsia="en-US"/>
              </w:rPr>
              <w:t xml:space="preserve">Quarterly trilateral </w:t>
            </w:r>
            <w:r w:rsidR="001C1CDE">
              <w:rPr>
                <w:rFonts w:asciiTheme="minorHAnsi" w:eastAsia="Times New Roman" w:hAnsiTheme="minorHAnsi"/>
                <w:iCs/>
                <w:szCs w:val="17"/>
                <w:lang w:val="en-AU" w:eastAsia="en-US"/>
              </w:rPr>
              <w:t>discussions</w:t>
            </w:r>
            <w:r w:rsidR="001145A0" w:rsidRPr="00D154B3">
              <w:rPr>
                <w:rFonts w:asciiTheme="minorHAnsi" w:eastAsia="Times New Roman" w:hAnsiTheme="minorHAnsi"/>
                <w:iCs/>
                <w:szCs w:val="17"/>
                <w:lang w:val="en-AU" w:eastAsia="en-US"/>
              </w:rPr>
              <w:t xml:space="preserve"> </w:t>
            </w:r>
            <w:r w:rsidR="00421276" w:rsidRPr="00D154B3">
              <w:rPr>
                <w:rFonts w:asciiTheme="minorHAnsi" w:eastAsia="Times New Roman" w:hAnsiTheme="minorHAnsi"/>
                <w:iCs/>
                <w:szCs w:val="17"/>
                <w:lang w:val="en-AU" w:eastAsia="en-US"/>
              </w:rPr>
              <w:t>with MDBs; Informal SIG - DP meetings; PACER plus readiness package</w:t>
            </w:r>
            <w:r w:rsidR="00547BE9" w:rsidRPr="00D154B3">
              <w:rPr>
                <w:rFonts w:asciiTheme="minorHAnsi" w:eastAsia="Times New Roman" w:hAnsiTheme="minorHAnsi"/>
                <w:iCs/>
                <w:szCs w:val="17"/>
                <w:lang w:val="en-AU" w:eastAsia="en-US"/>
              </w:rPr>
              <w:t>.</w:t>
            </w:r>
          </w:p>
        </w:tc>
        <w:tc>
          <w:tcPr>
            <w:tcW w:w="2852" w:type="dxa"/>
          </w:tcPr>
          <w:p w:rsidR="002A6AC8" w:rsidRPr="00D154B3" w:rsidRDefault="00B962D4" w:rsidP="00F6667A">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eastAsia="en-US"/>
              </w:rPr>
              <w:t xml:space="preserve">Leadership of donor group under the </w:t>
            </w:r>
            <w:r w:rsidR="00697BF6" w:rsidRPr="00D154B3">
              <w:rPr>
                <w:rFonts w:asciiTheme="minorHAnsi" w:eastAsia="Times New Roman" w:hAnsiTheme="minorHAnsi"/>
                <w:iCs/>
                <w:szCs w:val="17"/>
                <w:lang w:val="en-AU" w:eastAsia="en-US"/>
              </w:rPr>
              <w:t>Core Economic Working Group</w:t>
            </w:r>
            <w:r w:rsidRPr="00D154B3">
              <w:rPr>
                <w:rFonts w:asciiTheme="minorHAnsi" w:eastAsia="Times New Roman" w:hAnsiTheme="minorHAnsi"/>
                <w:iCs/>
                <w:szCs w:val="17"/>
                <w:lang w:val="en-AU" w:eastAsia="en-US"/>
              </w:rPr>
              <w:t xml:space="preserve"> </w:t>
            </w:r>
            <w:r w:rsidR="00421276" w:rsidRPr="00D154B3">
              <w:rPr>
                <w:rFonts w:asciiTheme="minorHAnsi" w:eastAsia="Times New Roman" w:hAnsiTheme="minorHAnsi"/>
                <w:iCs/>
                <w:szCs w:val="17"/>
                <w:lang w:val="en-AU" w:eastAsia="en-US"/>
              </w:rPr>
              <w:t>including</w:t>
            </w:r>
            <w:r w:rsidRPr="00D154B3">
              <w:rPr>
                <w:rFonts w:asciiTheme="minorHAnsi" w:eastAsia="Times New Roman" w:hAnsiTheme="minorHAnsi"/>
                <w:iCs/>
                <w:szCs w:val="17"/>
                <w:lang w:val="en-AU" w:eastAsia="en-US"/>
              </w:rPr>
              <w:t xml:space="preserve"> performance lin</w:t>
            </w:r>
            <w:r w:rsidR="002E61A6" w:rsidRPr="00D154B3">
              <w:rPr>
                <w:rFonts w:asciiTheme="minorHAnsi" w:eastAsia="Times New Roman" w:hAnsiTheme="minorHAnsi"/>
                <w:iCs/>
                <w:szCs w:val="17"/>
                <w:lang w:val="en-AU" w:eastAsia="en-US"/>
              </w:rPr>
              <w:t>ked core budget support; and Support for Solomon Islands Government-private sector dialogue through new MoU</w:t>
            </w:r>
            <w:r w:rsidR="00547BE9" w:rsidRPr="00D154B3">
              <w:rPr>
                <w:rFonts w:asciiTheme="minorHAnsi" w:eastAsia="Times New Roman" w:hAnsiTheme="minorHAnsi"/>
                <w:iCs/>
                <w:szCs w:val="17"/>
                <w:lang w:val="en-AU" w:eastAsia="en-US"/>
              </w:rPr>
              <w:t>.</w:t>
            </w:r>
          </w:p>
        </w:tc>
        <w:tc>
          <w:tcPr>
            <w:tcW w:w="692" w:type="dxa"/>
          </w:tcPr>
          <w:p w:rsidR="002A6AC8" w:rsidRPr="00D154B3" w:rsidRDefault="00B962D4" w:rsidP="00D15A00">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eastAsia="en-US"/>
              </w:rPr>
              <w:t>High</w:t>
            </w:r>
          </w:p>
        </w:tc>
        <w:tc>
          <w:tcPr>
            <w:tcW w:w="1030" w:type="dxa"/>
          </w:tcPr>
          <w:p w:rsidR="002A6AC8" w:rsidRPr="00D154B3" w:rsidRDefault="00B962D4" w:rsidP="00D15A00">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eastAsia="en-US"/>
              </w:rPr>
              <w:t>Yes</w:t>
            </w:r>
          </w:p>
        </w:tc>
      </w:tr>
      <w:tr w:rsidR="004A2839" w:rsidRPr="00B962D4" w:rsidTr="001C1CDE">
        <w:trPr>
          <w:trHeight w:val="56"/>
        </w:trPr>
        <w:tc>
          <w:tcPr>
            <w:tcW w:w="2177" w:type="dxa"/>
          </w:tcPr>
          <w:p w:rsidR="002A6AC8" w:rsidRPr="00D154B3" w:rsidRDefault="00B962D4" w:rsidP="00D15A00">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eastAsia="en-US"/>
              </w:rPr>
              <w:t>Opportunistic or planned fraud is committed, which would could result in in misallocation/misuse/theft of Australian money</w:t>
            </w:r>
            <w:r w:rsidR="00547BE9" w:rsidRPr="00D154B3">
              <w:rPr>
                <w:rFonts w:asciiTheme="minorHAnsi" w:eastAsia="Times New Roman" w:hAnsiTheme="minorHAnsi"/>
                <w:iCs/>
                <w:szCs w:val="17"/>
                <w:lang w:eastAsia="en-US"/>
              </w:rPr>
              <w:t>.</w:t>
            </w:r>
          </w:p>
        </w:tc>
        <w:tc>
          <w:tcPr>
            <w:tcW w:w="3513" w:type="dxa"/>
          </w:tcPr>
          <w:p w:rsidR="002A6AC8" w:rsidRPr="00D154B3" w:rsidRDefault="00B962D4">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eastAsia="en-US"/>
              </w:rPr>
              <w:t xml:space="preserve">Dedicated post fraud officer; Fraud Strategy; </w:t>
            </w:r>
            <w:r w:rsidR="00026F04" w:rsidRPr="00D154B3">
              <w:rPr>
                <w:rFonts w:asciiTheme="minorHAnsi" w:eastAsia="Times New Roman" w:hAnsiTheme="minorHAnsi"/>
                <w:iCs/>
                <w:szCs w:val="17"/>
                <w:lang w:eastAsia="en-US"/>
              </w:rPr>
              <w:t xml:space="preserve">Australian-funded Financial Advisers </w:t>
            </w:r>
            <w:r w:rsidR="00547BE9" w:rsidRPr="00D154B3">
              <w:rPr>
                <w:rFonts w:asciiTheme="minorHAnsi" w:eastAsia="Times New Roman" w:hAnsiTheme="minorHAnsi"/>
                <w:iCs/>
                <w:szCs w:val="17"/>
                <w:lang w:eastAsia="en-US"/>
              </w:rPr>
              <w:t xml:space="preserve">check </w:t>
            </w:r>
            <w:r w:rsidR="00026F04" w:rsidRPr="00D154B3">
              <w:rPr>
                <w:rFonts w:asciiTheme="minorHAnsi" w:eastAsia="Times New Roman" w:hAnsiTheme="minorHAnsi"/>
                <w:iCs/>
                <w:szCs w:val="17"/>
                <w:lang w:eastAsia="en-US"/>
              </w:rPr>
              <w:t xml:space="preserve">compliance for budget support payments; </w:t>
            </w:r>
            <w:r w:rsidRPr="00D154B3">
              <w:rPr>
                <w:rFonts w:asciiTheme="minorHAnsi" w:eastAsia="Times New Roman" w:hAnsiTheme="minorHAnsi"/>
                <w:iCs/>
                <w:szCs w:val="17"/>
                <w:lang w:eastAsia="en-US"/>
              </w:rPr>
              <w:t>Joint Statement on Zero Tolera</w:t>
            </w:r>
            <w:r w:rsidR="00547BE9" w:rsidRPr="00D154B3">
              <w:rPr>
                <w:rFonts w:asciiTheme="minorHAnsi" w:eastAsia="Times New Roman" w:hAnsiTheme="minorHAnsi"/>
                <w:iCs/>
                <w:szCs w:val="17"/>
                <w:lang w:eastAsia="en-US"/>
              </w:rPr>
              <w:t>nce to Fraud in S</w:t>
            </w:r>
            <w:r w:rsidR="00B74AC9">
              <w:rPr>
                <w:rFonts w:asciiTheme="minorHAnsi" w:eastAsia="Times New Roman" w:hAnsiTheme="minorHAnsi"/>
                <w:iCs/>
                <w:szCs w:val="17"/>
                <w:lang w:eastAsia="en-US"/>
              </w:rPr>
              <w:t>I</w:t>
            </w:r>
            <w:r w:rsidRPr="00D154B3">
              <w:rPr>
                <w:rFonts w:asciiTheme="minorHAnsi" w:eastAsia="Times New Roman" w:hAnsiTheme="minorHAnsi"/>
                <w:iCs/>
                <w:szCs w:val="17"/>
                <w:lang w:eastAsia="en-US"/>
              </w:rPr>
              <w:t>; Reimbursement model for budget suppor</w:t>
            </w:r>
            <w:r w:rsidR="00B74AC9">
              <w:rPr>
                <w:rFonts w:asciiTheme="minorHAnsi" w:eastAsia="Times New Roman" w:hAnsiTheme="minorHAnsi"/>
                <w:iCs/>
                <w:szCs w:val="17"/>
                <w:lang w:eastAsia="en-US"/>
              </w:rPr>
              <w:t>t</w:t>
            </w:r>
          </w:p>
        </w:tc>
        <w:tc>
          <w:tcPr>
            <w:tcW w:w="2852" w:type="dxa"/>
          </w:tcPr>
          <w:p w:rsidR="002A6AC8" w:rsidRPr="00D154B3" w:rsidRDefault="00B962D4" w:rsidP="001C1CDE">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eastAsia="en-US"/>
              </w:rPr>
              <w:t>Annual fraud training</w:t>
            </w:r>
            <w:r w:rsidR="008F08A9" w:rsidRPr="00D154B3">
              <w:rPr>
                <w:rFonts w:asciiTheme="minorHAnsi" w:eastAsia="Times New Roman" w:hAnsiTheme="minorHAnsi"/>
                <w:iCs/>
                <w:szCs w:val="17"/>
                <w:lang w:eastAsia="en-US"/>
              </w:rPr>
              <w:t>;</w:t>
            </w:r>
            <w:r w:rsidRPr="00D154B3">
              <w:rPr>
                <w:rFonts w:asciiTheme="minorHAnsi" w:eastAsia="Times New Roman" w:hAnsiTheme="minorHAnsi"/>
                <w:iCs/>
                <w:szCs w:val="17"/>
                <w:lang w:eastAsia="en-US"/>
              </w:rPr>
              <w:t xml:space="preserve"> Implementation of </w:t>
            </w:r>
            <w:r w:rsidR="001C1CDE">
              <w:rPr>
                <w:rFonts w:asciiTheme="minorHAnsi" w:eastAsia="Times New Roman" w:hAnsiTheme="minorHAnsi"/>
                <w:iCs/>
                <w:szCs w:val="17"/>
                <w:lang w:eastAsia="en-US"/>
              </w:rPr>
              <w:t>recommendations</w:t>
            </w:r>
            <w:r w:rsidR="002D332A" w:rsidRPr="00D154B3">
              <w:rPr>
                <w:rFonts w:asciiTheme="minorHAnsi" w:eastAsia="Times New Roman" w:hAnsiTheme="minorHAnsi"/>
                <w:iCs/>
                <w:szCs w:val="17"/>
                <w:lang w:eastAsia="en-US"/>
              </w:rPr>
              <w:t xml:space="preserve"> </w:t>
            </w:r>
            <w:r w:rsidRPr="00D154B3">
              <w:rPr>
                <w:rFonts w:asciiTheme="minorHAnsi" w:eastAsia="Times New Roman" w:hAnsiTheme="minorHAnsi"/>
                <w:iCs/>
                <w:szCs w:val="17"/>
                <w:lang w:eastAsia="en-US"/>
              </w:rPr>
              <w:t xml:space="preserve">of Post’s response to ANS (including 2017 fiduciary risk </w:t>
            </w:r>
            <w:r w:rsidR="00B74AC9">
              <w:rPr>
                <w:rFonts w:asciiTheme="minorHAnsi" w:eastAsia="Times New Roman" w:hAnsiTheme="minorHAnsi"/>
                <w:iCs/>
                <w:szCs w:val="17"/>
                <w:lang w:eastAsia="en-US"/>
              </w:rPr>
              <w:t>ass</w:t>
            </w:r>
            <w:r w:rsidR="00B74AC9" w:rsidRPr="00D154B3">
              <w:rPr>
                <w:rFonts w:asciiTheme="minorHAnsi" w:eastAsia="Times New Roman" w:hAnsiTheme="minorHAnsi"/>
                <w:iCs/>
                <w:szCs w:val="17"/>
                <w:lang w:eastAsia="en-US"/>
              </w:rPr>
              <w:t xml:space="preserve"> </w:t>
            </w:r>
            <w:r w:rsidRPr="00D154B3">
              <w:rPr>
                <w:rFonts w:asciiTheme="minorHAnsi" w:eastAsia="Times New Roman" w:hAnsiTheme="minorHAnsi"/>
                <w:iCs/>
                <w:szCs w:val="17"/>
                <w:lang w:eastAsia="en-US"/>
              </w:rPr>
              <w:t xml:space="preserve">update) </w:t>
            </w:r>
            <w:r w:rsidR="00B74AC9">
              <w:rPr>
                <w:rFonts w:asciiTheme="minorHAnsi" w:eastAsia="Times New Roman" w:hAnsiTheme="minorHAnsi"/>
                <w:iCs/>
                <w:szCs w:val="17"/>
                <w:lang w:eastAsia="en-US"/>
              </w:rPr>
              <w:t>&amp;</w:t>
            </w:r>
            <w:r w:rsidR="00B74AC9" w:rsidRPr="00D154B3">
              <w:rPr>
                <w:rFonts w:asciiTheme="minorHAnsi" w:eastAsia="Times New Roman" w:hAnsiTheme="minorHAnsi"/>
                <w:iCs/>
                <w:szCs w:val="17"/>
                <w:lang w:eastAsia="en-US"/>
              </w:rPr>
              <w:t xml:space="preserve"> </w:t>
            </w:r>
            <w:r w:rsidRPr="00D154B3">
              <w:rPr>
                <w:rFonts w:asciiTheme="minorHAnsi" w:eastAsia="Times New Roman" w:hAnsiTheme="minorHAnsi"/>
                <w:iCs/>
                <w:szCs w:val="17"/>
                <w:lang w:eastAsia="en-US"/>
              </w:rPr>
              <w:t xml:space="preserve">sector assessments for PFM </w:t>
            </w:r>
            <w:r w:rsidR="001C1CDE">
              <w:rPr>
                <w:rFonts w:asciiTheme="minorHAnsi" w:eastAsia="Times New Roman" w:hAnsiTheme="minorHAnsi"/>
                <w:iCs/>
                <w:szCs w:val="17"/>
                <w:lang w:eastAsia="en-US"/>
              </w:rPr>
              <w:t>&amp;</w:t>
            </w:r>
            <w:r w:rsidRPr="00D154B3">
              <w:rPr>
                <w:rFonts w:asciiTheme="minorHAnsi" w:eastAsia="Times New Roman" w:hAnsiTheme="minorHAnsi"/>
                <w:iCs/>
                <w:szCs w:val="17"/>
                <w:lang w:eastAsia="en-US"/>
              </w:rPr>
              <w:t xml:space="preserve"> procurement</w:t>
            </w:r>
            <w:r w:rsidR="00547BE9" w:rsidRPr="00D154B3">
              <w:rPr>
                <w:rFonts w:asciiTheme="minorHAnsi" w:eastAsia="Times New Roman" w:hAnsiTheme="minorHAnsi"/>
                <w:iCs/>
                <w:szCs w:val="17"/>
                <w:lang w:eastAsia="en-US"/>
              </w:rPr>
              <w:t>.</w:t>
            </w:r>
          </w:p>
        </w:tc>
        <w:tc>
          <w:tcPr>
            <w:tcW w:w="692" w:type="dxa"/>
          </w:tcPr>
          <w:p w:rsidR="002A6AC8" w:rsidRPr="00D154B3" w:rsidRDefault="004A2839" w:rsidP="00D15A00">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eastAsia="en-US"/>
              </w:rPr>
              <w:t>High</w:t>
            </w:r>
          </w:p>
        </w:tc>
        <w:tc>
          <w:tcPr>
            <w:tcW w:w="1030" w:type="dxa"/>
          </w:tcPr>
          <w:p w:rsidR="002A6AC8" w:rsidRPr="00D154B3" w:rsidRDefault="004A2839" w:rsidP="00D15A00">
            <w:pPr>
              <w:keepLines/>
              <w:spacing w:before="40" w:after="40" w:line="200" w:lineRule="atLeast"/>
              <w:rPr>
                <w:rFonts w:asciiTheme="minorHAnsi" w:eastAsia="Times New Roman" w:hAnsiTheme="minorHAnsi"/>
                <w:iCs/>
                <w:szCs w:val="17"/>
                <w:lang w:val="en-AU" w:eastAsia="en-US"/>
              </w:rPr>
            </w:pPr>
            <w:r w:rsidRPr="00D154B3">
              <w:rPr>
                <w:rFonts w:asciiTheme="minorHAnsi" w:eastAsia="Times New Roman" w:hAnsiTheme="minorHAnsi"/>
                <w:iCs/>
                <w:szCs w:val="17"/>
                <w:lang w:val="en-AU" w:eastAsia="en-US"/>
              </w:rPr>
              <w:t>Yes</w:t>
            </w:r>
          </w:p>
        </w:tc>
      </w:tr>
      <w:tr w:rsidR="004A2839" w:rsidRPr="00B962D4" w:rsidTr="001C1CDE">
        <w:trPr>
          <w:trHeight w:val="56"/>
        </w:trPr>
        <w:tc>
          <w:tcPr>
            <w:tcW w:w="2177" w:type="dxa"/>
          </w:tcPr>
          <w:p w:rsidR="00B962D4" w:rsidRPr="00D154B3" w:rsidRDefault="004A2839">
            <w:pPr>
              <w:keepLines/>
              <w:spacing w:before="40" w:after="40" w:line="200" w:lineRule="atLeast"/>
              <w:rPr>
                <w:rFonts w:asciiTheme="minorHAnsi" w:eastAsia="Times New Roman" w:hAnsiTheme="minorHAnsi"/>
                <w:iCs/>
                <w:szCs w:val="17"/>
                <w:lang w:val="en-AU"/>
              </w:rPr>
            </w:pPr>
            <w:r w:rsidRPr="00D154B3">
              <w:rPr>
                <w:rFonts w:asciiTheme="minorHAnsi" w:eastAsia="Times New Roman" w:hAnsiTheme="minorHAnsi"/>
                <w:iCs/>
                <w:szCs w:val="17"/>
              </w:rPr>
              <w:t xml:space="preserve">Delays in partner government payments to private sector and ministries </w:t>
            </w:r>
            <w:r w:rsidR="00E619E3">
              <w:rPr>
                <w:rFonts w:asciiTheme="minorHAnsi" w:eastAsia="Times New Roman" w:hAnsiTheme="minorHAnsi"/>
                <w:iCs/>
                <w:szCs w:val="17"/>
              </w:rPr>
              <w:t>a</w:t>
            </w:r>
            <w:r w:rsidRPr="00D154B3">
              <w:rPr>
                <w:rFonts w:asciiTheme="minorHAnsi" w:eastAsia="Times New Roman" w:hAnsiTheme="minorHAnsi"/>
                <w:iCs/>
                <w:szCs w:val="17"/>
              </w:rPr>
              <w:t xml:space="preserve">ffecting </w:t>
            </w:r>
            <w:r w:rsidR="00E619E3" w:rsidRPr="00D154B3">
              <w:rPr>
                <w:rFonts w:asciiTheme="minorHAnsi" w:eastAsia="Times New Roman" w:hAnsiTheme="minorHAnsi"/>
                <w:iCs/>
                <w:szCs w:val="17"/>
              </w:rPr>
              <w:t>economic growth</w:t>
            </w:r>
            <w:r w:rsidR="00E619E3">
              <w:rPr>
                <w:rFonts w:asciiTheme="minorHAnsi" w:eastAsia="Times New Roman" w:hAnsiTheme="minorHAnsi"/>
                <w:iCs/>
                <w:szCs w:val="17"/>
              </w:rPr>
              <w:t xml:space="preserve"> &amp; aid </w:t>
            </w:r>
            <w:r w:rsidRPr="00D154B3">
              <w:rPr>
                <w:rFonts w:asciiTheme="minorHAnsi" w:eastAsia="Times New Roman" w:hAnsiTheme="minorHAnsi"/>
                <w:iCs/>
                <w:szCs w:val="17"/>
              </w:rPr>
              <w:t>implementation</w:t>
            </w:r>
            <w:r w:rsidR="00E619E3">
              <w:rPr>
                <w:rFonts w:asciiTheme="minorHAnsi" w:eastAsia="Times New Roman" w:hAnsiTheme="minorHAnsi"/>
                <w:iCs/>
                <w:szCs w:val="17"/>
              </w:rPr>
              <w:t xml:space="preserve">. </w:t>
            </w:r>
          </w:p>
        </w:tc>
        <w:tc>
          <w:tcPr>
            <w:tcW w:w="3513" w:type="dxa"/>
          </w:tcPr>
          <w:p w:rsidR="00B962D4" w:rsidRPr="00D154B3" w:rsidRDefault="004A2839">
            <w:pPr>
              <w:keepLines/>
              <w:spacing w:before="40" w:after="40" w:line="200" w:lineRule="atLeast"/>
              <w:rPr>
                <w:rFonts w:asciiTheme="minorHAnsi" w:eastAsia="Times New Roman" w:hAnsiTheme="minorHAnsi"/>
                <w:iCs/>
                <w:szCs w:val="17"/>
                <w:lang w:val="en-AU"/>
              </w:rPr>
            </w:pPr>
            <w:r w:rsidRPr="00D154B3">
              <w:rPr>
                <w:rFonts w:asciiTheme="minorHAnsi" w:eastAsia="Times New Roman" w:hAnsiTheme="minorHAnsi"/>
                <w:iCs/>
                <w:szCs w:val="17"/>
                <w:lang w:val="en-AU"/>
              </w:rPr>
              <w:t xml:space="preserve">Advocacy with MOFT and line agencies; </w:t>
            </w:r>
            <w:r w:rsidR="00547BE9" w:rsidRPr="00D154B3">
              <w:rPr>
                <w:rFonts w:asciiTheme="minorHAnsi" w:eastAsia="Times New Roman" w:hAnsiTheme="minorHAnsi"/>
                <w:iCs/>
                <w:szCs w:val="17"/>
                <w:lang w:val="en-AU"/>
              </w:rPr>
              <w:t>E</w:t>
            </w:r>
            <w:r w:rsidRPr="00D154B3">
              <w:rPr>
                <w:rFonts w:asciiTheme="minorHAnsi" w:eastAsia="Times New Roman" w:hAnsiTheme="minorHAnsi"/>
                <w:iCs/>
                <w:szCs w:val="17"/>
                <w:lang w:val="en-AU"/>
              </w:rPr>
              <w:t>conomic diplomacy with G</w:t>
            </w:r>
            <w:r w:rsidR="00547BE9" w:rsidRPr="00D154B3">
              <w:rPr>
                <w:rFonts w:asciiTheme="minorHAnsi" w:eastAsia="Times New Roman" w:hAnsiTheme="minorHAnsi"/>
                <w:iCs/>
                <w:szCs w:val="17"/>
                <w:lang w:val="en-AU"/>
              </w:rPr>
              <w:t>overnment</w:t>
            </w:r>
            <w:r w:rsidRPr="00D154B3">
              <w:rPr>
                <w:rFonts w:asciiTheme="minorHAnsi" w:eastAsia="Times New Roman" w:hAnsiTheme="minorHAnsi"/>
                <w:iCs/>
                <w:szCs w:val="17"/>
                <w:lang w:val="en-AU"/>
              </w:rPr>
              <w:t xml:space="preserve"> and business community; </w:t>
            </w:r>
            <w:r w:rsidR="00547BE9" w:rsidRPr="00D154B3">
              <w:rPr>
                <w:rFonts w:asciiTheme="minorHAnsi" w:eastAsia="Times New Roman" w:hAnsiTheme="minorHAnsi"/>
                <w:iCs/>
                <w:szCs w:val="17"/>
                <w:lang w:val="en-AU"/>
              </w:rPr>
              <w:t>Monitoring</w:t>
            </w:r>
            <w:r w:rsidRPr="00D154B3">
              <w:rPr>
                <w:rFonts w:asciiTheme="minorHAnsi" w:eastAsia="Times New Roman" w:hAnsiTheme="minorHAnsi"/>
                <w:iCs/>
                <w:szCs w:val="17"/>
                <w:lang w:val="en-AU"/>
              </w:rPr>
              <w:t xml:space="preserve"> the fiscal situation through engagement with MOFT and other stakeholders.</w:t>
            </w:r>
          </w:p>
        </w:tc>
        <w:tc>
          <w:tcPr>
            <w:tcW w:w="2852" w:type="dxa"/>
          </w:tcPr>
          <w:p w:rsidR="00B962D4" w:rsidRPr="00D154B3" w:rsidRDefault="004A2839" w:rsidP="00D15A00">
            <w:pPr>
              <w:keepLines/>
              <w:spacing w:before="40" w:after="40" w:line="200" w:lineRule="atLeast"/>
              <w:rPr>
                <w:rFonts w:asciiTheme="minorHAnsi" w:eastAsia="Times New Roman" w:hAnsiTheme="minorHAnsi"/>
                <w:iCs/>
                <w:szCs w:val="17"/>
                <w:lang w:val="en-AU"/>
              </w:rPr>
            </w:pPr>
            <w:r w:rsidRPr="00D154B3">
              <w:rPr>
                <w:rFonts w:asciiTheme="minorHAnsi" w:eastAsia="Times New Roman" w:hAnsiTheme="minorHAnsi"/>
                <w:iCs/>
                <w:szCs w:val="17"/>
                <w:lang w:val="en-AU"/>
              </w:rPr>
              <w:t>Performance lin</w:t>
            </w:r>
            <w:r w:rsidR="00547BE9" w:rsidRPr="00D154B3">
              <w:rPr>
                <w:rFonts w:asciiTheme="minorHAnsi" w:eastAsia="Times New Roman" w:hAnsiTheme="minorHAnsi"/>
                <w:iCs/>
                <w:szCs w:val="17"/>
                <w:lang w:val="en-AU"/>
              </w:rPr>
              <w:t>ked aid to incentivise payments.</w:t>
            </w:r>
          </w:p>
        </w:tc>
        <w:tc>
          <w:tcPr>
            <w:tcW w:w="692" w:type="dxa"/>
          </w:tcPr>
          <w:p w:rsidR="00B962D4" w:rsidRPr="00D154B3" w:rsidRDefault="004A2839" w:rsidP="00D15A00">
            <w:pPr>
              <w:keepLines/>
              <w:spacing w:before="40" w:after="40" w:line="200" w:lineRule="atLeast"/>
              <w:rPr>
                <w:rFonts w:asciiTheme="minorHAnsi" w:eastAsia="Times New Roman" w:hAnsiTheme="minorHAnsi"/>
                <w:iCs/>
                <w:szCs w:val="17"/>
                <w:lang w:val="en-AU"/>
              </w:rPr>
            </w:pPr>
            <w:r w:rsidRPr="00D154B3">
              <w:rPr>
                <w:rFonts w:asciiTheme="minorHAnsi" w:eastAsia="Times New Roman" w:hAnsiTheme="minorHAnsi"/>
                <w:iCs/>
                <w:szCs w:val="17"/>
                <w:lang w:val="en-AU"/>
              </w:rPr>
              <w:t>High</w:t>
            </w:r>
          </w:p>
        </w:tc>
        <w:tc>
          <w:tcPr>
            <w:tcW w:w="1030" w:type="dxa"/>
          </w:tcPr>
          <w:p w:rsidR="00B962D4" w:rsidRPr="00D154B3" w:rsidRDefault="004A2839" w:rsidP="00D15A00">
            <w:pPr>
              <w:keepLines/>
              <w:spacing w:before="40" w:after="40" w:line="200" w:lineRule="atLeast"/>
              <w:rPr>
                <w:rFonts w:asciiTheme="minorHAnsi" w:eastAsia="Times New Roman" w:hAnsiTheme="minorHAnsi"/>
                <w:iCs/>
                <w:szCs w:val="17"/>
                <w:lang w:val="en-AU"/>
              </w:rPr>
            </w:pPr>
            <w:r w:rsidRPr="00D154B3">
              <w:rPr>
                <w:rFonts w:asciiTheme="minorHAnsi" w:eastAsia="Times New Roman" w:hAnsiTheme="minorHAnsi"/>
                <w:iCs/>
                <w:szCs w:val="17"/>
                <w:lang w:val="en-AU"/>
              </w:rPr>
              <w:t>Yes</w:t>
            </w:r>
          </w:p>
        </w:tc>
      </w:tr>
    </w:tbl>
    <w:p w:rsidR="002A51CA" w:rsidRPr="002A51CA" w:rsidRDefault="002A51CA" w:rsidP="00B3585D">
      <w:pPr>
        <w:pStyle w:val="NormalIndented"/>
        <w:spacing w:before="240"/>
        <w:ind w:left="0"/>
        <w:jc w:val="both"/>
      </w:pPr>
      <w:r w:rsidRPr="00B3585D">
        <w:rPr>
          <w:rFonts w:asciiTheme="majorHAnsi" w:eastAsiaTheme="majorEastAsia" w:hAnsiTheme="majorHAnsi" w:cstheme="majorBidi"/>
          <w:caps/>
          <w:sz w:val="38"/>
          <w:szCs w:val="26"/>
        </w:rPr>
        <w:t xml:space="preserve">Management </w:t>
      </w:r>
      <w:r w:rsidR="00AC302F" w:rsidRPr="00B3585D">
        <w:rPr>
          <w:rFonts w:asciiTheme="majorHAnsi" w:eastAsiaTheme="majorEastAsia" w:hAnsiTheme="majorHAnsi" w:cstheme="majorBidi"/>
          <w:caps/>
          <w:sz w:val="38"/>
          <w:szCs w:val="26"/>
        </w:rPr>
        <w:t>actions</w:t>
      </w:r>
      <w:r w:rsidRPr="002A51CA">
        <w:tab/>
      </w:r>
      <w:r w:rsidRPr="002A51CA">
        <w:tab/>
      </w:r>
    </w:p>
    <w:p w:rsidR="00F90D5F" w:rsidRDefault="005F5346" w:rsidP="005F5346">
      <w:r>
        <w:t>In 201</w:t>
      </w:r>
      <w:r w:rsidR="00874B3F">
        <w:t>7-18</w:t>
      </w:r>
      <w:r>
        <w:t xml:space="preserve">, </w:t>
      </w:r>
      <w:r w:rsidR="00721570">
        <w:t>three</w:t>
      </w:r>
      <w:r w:rsidR="00F90D5F">
        <w:t xml:space="preserve"> of</w:t>
      </w:r>
      <w:r>
        <w:t xml:space="preserve"> the four managemen</w:t>
      </w:r>
      <w:r w:rsidR="00F90D5F">
        <w:t>t actions identified in the 2016-17</w:t>
      </w:r>
      <w:r>
        <w:t xml:space="preserve"> APPR </w:t>
      </w:r>
      <w:r w:rsidR="008A19A2">
        <w:t xml:space="preserve">were fully achieved </w:t>
      </w:r>
      <w:r>
        <w:t xml:space="preserve">(Annex A).  </w:t>
      </w:r>
      <w:r w:rsidR="008A19A2">
        <w:t xml:space="preserve"> Management actions for the Solomon Islands aid program prioritised for the </w:t>
      </w:r>
      <w:r w:rsidR="00B8762E">
        <w:t>coming</w:t>
      </w:r>
      <w:r w:rsidR="008A19A2">
        <w:t xml:space="preserve"> 12 months are:</w:t>
      </w:r>
    </w:p>
    <w:p w:rsidR="00F90D5F" w:rsidRDefault="00937C44" w:rsidP="005F5346">
      <w:r>
        <w:t>1</w:t>
      </w:r>
      <w:r w:rsidR="00965387">
        <w:t xml:space="preserve">. </w:t>
      </w:r>
      <w:r w:rsidR="00F90D5F" w:rsidRPr="00815ECE">
        <w:rPr>
          <w:b/>
        </w:rPr>
        <w:t>Transport</w:t>
      </w:r>
      <w:r w:rsidR="00395BA4" w:rsidRPr="00815ECE">
        <w:rPr>
          <w:b/>
        </w:rPr>
        <w:t xml:space="preserve">: </w:t>
      </w:r>
      <w:r w:rsidR="008A19A2">
        <w:t>First Secretary, Infrastructure, will w</w:t>
      </w:r>
      <w:r w:rsidR="00395BA4" w:rsidRPr="00395BA4">
        <w:t xml:space="preserve">ork with </w:t>
      </w:r>
      <w:r w:rsidR="00815ECE">
        <w:t>the Ministry of Infrastructure Development</w:t>
      </w:r>
      <w:r w:rsidR="00395BA4" w:rsidRPr="00395BA4">
        <w:t xml:space="preserve"> and ADB to</w:t>
      </w:r>
      <w:r w:rsidR="00395BA4">
        <w:t xml:space="preserve"> devise and</w:t>
      </w:r>
      <w:r w:rsidR="00395BA4" w:rsidRPr="00395BA4">
        <w:t xml:space="preserve"> implement </w:t>
      </w:r>
      <w:r w:rsidR="00395BA4">
        <w:t xml:space="preserve">a new approach to Australia’s support for transport </w:t>
      </w:r>
      <w:r w:rsidR="00557C88">
        <w:t>by Febr</w:t>
      </w:r>
      <w:r w:rsidR="00A95709">
        <w:t>uary 2019</w:t>
      </w:r>
      <w:r w:rsidR="00395BA4" w:rsidRPr="00395BA4">
        <w:t>.</w:t>
      </w:r>
    </w:p>
    <w:p w:rsidR="001145A0" w:rsidRPr="00F90B9B" w:rsidRDefault="002D332A" w:rsidP="001145A0">
      <w:r w:rsidRPr="00F90B9B">
        <w:t xml:space="preserve">2.  </w:t>
      </w:r>
      <w:r w:rsidRPr="00F90B9B">
        <w:rPr>
          <w:b/>
        </w:rPr>
        <w:t>Cash-based incomes</w:t>
      </w:r>
      <w:r w:rsidRPr="00F90B9B">
        <w:t>:</w:t>
      </w:r>
      <w:r>
        <w:t xml:space="preserve"> </w:t>
      </w:r>
      <w:r w:rsidR="001145A0" w:rsidRPr="00F90B9B">
        <w:t xml:space="preserve">Second Secretary, Development (Economic Growth), will monitor implementation of work to improve cash-based incomes reporting to the Counsellor, Economic Cooperation quarterly and the aid management meeting bi-annually to monitor the collective impact of activities.  </w:t>
      </w:r>
    </w:p>
    <w:p w:rsidR="008A19A2" w:rsidRPr="001D4CF0" w:rsidRDefault="001C1CDE" w:rsidP="00D3579B">
      <w:r>
        <w:t>3</w:t>
      </w:r>
      <w:r w:rsidR="008A19A2">
        <w:t>.</w:t>
      </w:r>
      <w:r w:rsidR="008A19A2" w:rsidRPr="007E7622">
        <w:rPr>
          <w:b/>
        </w:rPr>
        <w:t xml:space="preserve"> Gender:</w:t>
      </w:r>
      <w:r w:rsidR="008A19A2">
        <w:rPr>
          <w:color w:val="1F497D"/>
        </w:rPr>
        <w:t xml:space="preserve"> T</w:t>
      </w:r>
      <w:r w:rsidR="008A19A2" w:rsidRPr="007E7622">
        <w:t xml:space="preserve">o improve accountability and senior leadership oversight of Gender equality mainstreaming across the </w:t>
      </w:r>
      <w:r w:rsidR="008A19A2">
        <w:t>program,</w:t>
      </w:r>
      <w:r w:rsidR="008A19A2" w:rsidRPr="007E7622">
        <w:t xml:space="preserve"> Second Secretary</w:t>
      </w:r>
      <w:r w:rsidR="008A19A2">
        <w:t>,</w:t>
      </w:r>
      <w:r w:rsidR="008A19A2" w:rsidRPr="007E7622">
        <w:t xml:space="preserve"> Gender </w:t>
      </w:r>
      <w:r w:rsidR="00557C88">
        <w:t xml:space="preserve">over </w:t>
      </w:r>
      <w:r w:rsidR="002D332A">
        <w:t>20</w:t>
      </w:r>
      <w:r w:rsidR="00557C88">
        <w:t>18</w:t>
      </w:r>
      <w:r w:rsidR="002D332A">
        <w:t>-</w:t>
      </w:r>
      <w:r w:rsidR="00557C88">
        <w:t xml:space="preserve">19 </w:t>
      </w:r>
      <w:r w:rsidR="008A19A2" w:rsidRPr="007E7622">
        <w:t>will:</w:t>
      </w:r>
      <w:r w:rsidR="00CF05BE">
        <w:t xml:space="preserve"> r</w:t>
      </w:r>
      <w:r w:rsidR="008A19A2" w:rsidRPr="001D4CF0">
        <w:t>einvigorate the Gender Equality Working Group</w:t>
      </w:r>
      <w:r w:rsidR="00CF05BE">
        <w:t>; p</w:t>
      </w:r>
      <w:r w:rsidR="008A19A2" w:rsidRPr="007E7622">
        <w:t>rovide a quarterly update at the Aid Management Meeting; and</w:t>
      </w:r>
      <w:r w:rsidR="00CF05BE">
        <w:t xml:space="preserve"> a</w:t>
      </w:r>
      <w:r w:rsidR="008A19A2" w:rsidRPr="001D4CF0">
        <w:t>ctively pursue gender training opportunities for staff with Canberra.</w:t>
      </w:r>
    </w:p>
    <w:p w:rsidR="00B8762E" w:rsidRDefault="001C1CDE" w:rsidP="008C16C3">
      <w:r>
        <w:t>4</w:t>
      </w:r>
      <w:r w:rsidR="00B8762E">
        <w:t xml:space="preserve">.  </w:t>
      </w:r>
      <w:r w:rsidR="00B8762E" w:rsidRPr="007E7622">
        <w:rPr>
          <w:b/>
        </w:rPr>
        <w:t>Elections:</w:t>
      </w:r>
      <w:r w:rsidR="00B8762E">
        <w:t xml:space="preserve"> </w:t>
      </w:r>
      <w:r w:rsidR="00AE4DD3">
        <w:t xml:space="preserve"> </w:t>
      </w:r>
      <w:r w:rsidR="008C16C3">
        <w:t>The Democratic Governance team will continue to work closely with the Solomon Islands Electoral Commission ahead of the 2019 national elections</w:t>
      </w:r>
      <w:r w:rsidR="008C16C3">
        <w:rPr>
          <w:i/>
        </w:rPr>
        <w:t xml:space="preserve"> </w:t>
      </w:r>
      <w:r w:rsidR="008C16C3">
        <w:t xml:space="preserve">to ensure the elections are technically sound. We will continue to work with the AEC to ensure training is conducted through the Solomon Islands Electoral Commission, and to support </w:t>
      </w:r>
      <w:r w:rsidR="002D332A">
        <w:t>female candidates</w:t>
      </w:r>
      <w:r w:rsidR="008C16C3">
        <w:t>. Following the elections, Post will commence a redesign of our electoral support to ensure appropriate modalities are used to effectively and efficiently achieve results, and that ODE evaluation recommendations are fully implemented.</w:t>
      </w:r>
    </w:p>
    <w:p w:rsidR="00B74AC9" w:rsidRDefault="001C1CDE" w:rsidP="002A51CA">
      <w:pPr>
        <w:sectPr w:rsidR="00B74AC9" w:rsidSect="002A4919">
          <w:pgSz w:w="11906" w:h="16838" w:code="9"/>
          <w:pgMar w:top="1527" w:right="1134" w:bottom="1134" w:left="1134" w:header="1418" w:footer="567" w:gutter="0"/>
          <w:pgNumType w:start="1"/>
          <w:cols w:space="397"/>
          <w:docGrid w:linePitch="360"/>
        </w:sectPr>
      </w:pPr>
      <w:r>
        <w:t>5</w:t>
      </w:r>
      <w:r w:rsidR="00965387">
        <w:t xml:space="preserve">. </w:t>
      </w:r>
      <w:r w:rsidR="00815ECE" w:rsidRPr="00815ECE">
        <w:rPr>
          <w:b/>
        </w:rPr>
        <w:t>Aid Investment Plan:</w:t>
      </w:r>
      <w:r w:rsidR="00815ECE">
        <w:t xml:space="preserve">  </w:t>
      </w:r>
      <w:r w:rsidR="002D332A">
        <w:t>DFAT Canberra and</w:t>
      </w:r>
      <w:r w:rsidR="0094506F">
        <w:t xml:space="preserve"> Australian High Commission</w:t>
      </w:r>
      <w:r w:rsidR="002D332A">
        <w:t xml:space="preserve"> Honiara</w:t>
      </w:r>
      <w:r w:rsidR="008A19A2">
        <w:t xml:space="preserve"> </w:t>
      </w:r>
      <w:r w:rsidR="00557C88">
        <w:t xml:space="preserve">will lead the ongoing preparation of a new plan for Australia’s support to Solomon Islands by June 2019. The Deputy High Commissioner will lead </w:t>
      </w:r>
      <w:r>
        <w:t xml:space="preserve">local </w:t>
      </w:r>
      <w:r w:rsidR="00815ECE">
        <w:t xml:space="preserve">consultations with </w:t>
      </w:r>
      <w:r w:rsidR="00E619E3">
        <w:t xml:space="preserve">Solomon Islands </w:t>
      </w:r>
      <w:r w:rsidR="00815ECE">
        <w:t>Government</w:t>
      </w:r>
      <w:r w:rsidR="00557C88">
        <w:t>, development partners and civil society</w:t>
      </w:r>
      <w:r w:rsidR="00815ECE">
        <w:t xml:space="preserve"> on a new </w:t>
      </w:r>
      <w:r w:rsidR="00E619E3">
        <w:t>A</w:t>
      </w:r>
      <w:r w:rsidR="0094506F">
        <w:t>id Investment Plan</w:t>
      </w:r>
      <w:r w:rsidR="00E619E3">
        <w:t xml:space="preserve"> </w:t>
      </w:r>
      <w:r w:rsidR="00557C88">
        <w:t>by February 2019.</w:t>
      </w:r>
      <w:r w:rsidR="00815ECE">
        <w:t xml:space="preserve"> </w:t>
      </w:r>
    </w:p>
    <w:p w:rsidR="00400B0F" w:rsidRPr="00400B0F" w:rsidRDefault="00400B0F" w:rsidP="00400B0F">
      <w:pPr>
        <w:pStyle w:val="Subtitle"/>
        <w:numPr>
          <w:ilvl w:val="0"/>
          <w:numId w:val="0"/>
        </w:numPr>
      </w:pPr>
      <w:r w:rsidRPr="00400B0F">
        <w:lastRenderedPageBreak/>
        <w:t xml:space="preserve">Annex A - Progress in Addressing Management </w:t>
      </w:r>
      <w:r w:rsidR="00AC302F">
        <w:t>actions</w:t>
      </w:r>
    </w:p>
    <w:p w:rsidR="00400B0F" w:rsidRPr="00C61187" w:rsidRDefault="00400B0F" w:rsidP="008C2F58">
      <w:r w:rsidRPr="00C61187">
        <w:t xml:space="preserve">Describe progress made against management </w:t>
      </w:r>
      <w:r w:rsidR="00A54034">
        <w:t>actions</w:t>
      </w:r>
      <w:r w:rsidRPr="00C61187">
        <w:t xml:space="preserve"> in 201</w:t>
      </w:r>
      <w:r w:rsidR="002D37BC">
        <w:t>6</w:t>
      </w:r>
      <w:r w:rsidRPr="00C61187">
        <w:t>-1</w:t>
      </w:r>
      <w:r w:rsidR="002D37BC">
        <w:t>7</w:t>
      </w:r>
      <w:r w:rsidRPr="00C61187">
        <w:t xml:space="preserve"> report</w:t>
      </w:r>
    </w:p>
    <w:tbl>
      <w:tblPr>
        <w:tblStyle w:val="APPR"/>
        <w:tblpPr w:leftFromText="180" w:rightFromText="180" w:vertAnchor="text" w:tblpY="1"/>
        <w:tblW w:w="5000" w:type="pct"/>
        <w:tblLayout w:type="fixed"/>
        <w:tblLook w:val="0000" w:firstRow="0" w:lastRow="0" w:firstColumn="0" w:lastColumn="0" w:noHBand="0" w:noVBand="0"/>
      </w:tblPr>
      <w:tblGrid>
        <w:gridCol w:w="6391"/>
        <w:gridCol w:w="977"/>
        <w:gridCol w:w="6805"/>
      </w:tblGrid>
      <w:tr w:rsidR="00400B0F" w:rsidRPr="00C61187" w:rsidTr="00965387">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400B0F" w:rsidP="006A7B62">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Management </w:t>
            </w:r>
            <w:r w:rsidR="00A54034">
              <w:rPr>
                <w:rFonts w:asciiTheme="minorHAnsi" w:eastAsia="Times New Roman" w:hAnsiTheme="minorHAnsi"/>
                <w:b/>
                <w:iCs/>
                <w:szCs w:val="17"/>
                <w:lang w:eastAsia="en-US"/>
              </w:rPr>
              <w:t>actions</w:t>
            </w:r>
            <w:r w:rsidRPr="00880004">
              <w:rPr>
                <w:rFonts w:asciiTheme="minorHAnsi" w:eastAsia="Times New Roman" w:hAnsiTheme="minorHAnsi"/>
                <w:b/>
                <w:iCs/>
                <w:szCs w:val="17"/>
                <w:lang w:eastAsia="en-US"/>
              </w:rPr>
              <w:t xml:space="preserve"> identified in 201</w:t>
            </w:r>
            <w:r w:rsidR="006A7B62">
              <w:rPr>
                <w:rFonts w:asciiTheme="minorHAnsi" w:eastAsia="Times New Roman" w:hAnsiTheme="minorHAnsi"/>
                <w:b/>
                <w:iCs/>
                <w:szCs w:val="17"/>
                <w:lang w:eastAsia="en-US"/>
              </w:rPr>
              <w:t>6</w:t>
            </w:r>
            <w:r w:rsidRPr="00880004">
              <w:rPr>
                <w:rFonts w:asciiTheme="minorHAnsi" w:eastAsia="Times New Roman" w:hAnsiTheme="minorHAnsi"/>
                <w:b/>
                <w:iCs/>
                <w:szCs w:val="17"/>
                <w:lang w:eastAsia="en-US"/>
              </w:rPr>
              <w:t>-1</w:t>
            </w:r>
            <w:r w:rsidR="006A7B62">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 xml:space="preserve"> APPR</w:t>
            </w:r>
            <w:r w:rsidRPr="00880004">
              <w:rPr>
                <w:rFonts w:asciiTheme="minorHAnsi" w:eastAsia="Times New Roman" w:hAnsiTheme="minorHAnsi"/>
                <w:b/>
                <w:iCs/>
                <w:szCs w:val="17"/>
                <w:lang w:eastAsia="en-US"/>
              </w:rPr>
              <w:tab/>
            </w:r>
          </w:p>
        </w:tc>
        <w:tc>
          <w:tcPr>
            <w:tcW w:w="949"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6763" w:type="dxa"/>
          </w:tcPr>
          <w:p w:rsidR="00400B0F" w:rsidRPr="00880004" w:rsidRDefault="00400B0F" w:rsidP="002D37B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made  in 201</w:t>
            </w:r>
            <w:r w:rsidR="002D37BC">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2D37BC">
              <w:rPr>
                <w:rFonts w:asciiTheme="minorHAnsi" w:eastAsia="Times New Roman" w:hAnsiTheme="minorHAnsi"/>
                <w:b/>
                <w:iCs/>
                <w:szCs w:val="17"/>
                <w:lang w:eastAsia="en-US"/>
              </w:rPr>
              <w:t>8</w:t>
            </w:r>
          </w:p>
        </w:tc>
      </w:tr>
      <w:tr w:rsidR="00400B0F" w:rsidRPr="00C61187" w:rsidTr="00687BAD">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965387" w:rsidP="00965387">
            <w:pPr>
              <w:keepLines/>
              <w:spacing w:before="40" w:after="40" w:line="200" w:lineRule="atLeast"/>
              <w:rPr>
                <w:rFonts w:asciiTheme="minorHAnsi" w:eastAsia="Times New Roman" w:hAnsiTheme="minorHAnsi"/>
                <w:iCs/>
                <w:szCs w:val="17"/>
                <w:lang w:eastAsia="en-US"/>
              </w:rPr>
            </w:pPr>
            <w:r w:rsidRPr="00965387">
              <w:rPr>
                <w:rFonts w:asciiTheme="minorHAnsi" w:eastAsia="Times New Roman" w:hAnsiTheme="minorHAnsi"/>
                <w:iCs/>
                <w:szCs w:val="17"/>
                <w:lang w:eastAsia="en-US"/>
              </w:rPr>
              <w:t xml:space="preserve">The Deputy High Commissioner will oversee a review of the AIP </w:t>
            </w:r>
            <w:r>
              <w:rPr>
                <w:rFonts w:asciiTheme="minorHAnsi" w:eastAsia="Times New Roman" w:hAnsiTheme="minorHAnsi"/>
                <w:iCs/>
                <w:szCs w:val="17"/>
                <w:lang w:eastAsia="en-US"/>
              </w:rPr>
              <w:t>by June 2018</w:t>
            </w:r>
          </w:p>
        </w:tc>
        <w:tc>
          <w:tcPr>
            <w:tcW w:w="949" w:type="dxa"/>
            <w:shd w:val="clear" w:color="auto" w:fill="7FB64D" w:themeFill="accent3" w:themeFillShade="BF"/>
          </w:tcPr>
          <w:p w:rsidR="00400B0F" w:rsidRPr="00880004" w:rsidRDefault="00687BAD" w:rsidP="006F27B1">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Achieved</w:t>
            </w:r>
          </w:p>
        </w:tc>
        <w:tc>
          <w:tcPr>
            <w:tcW w:w="6763" w:type="dxa"/>
          </w:tcPr>
          <w:p w:rsidR="00400B0F" w:rsidRPr="00696287" w:rsidRDefault="00734569" w:rsidP="00734569">
            <w:pPr>
              <w:keepLines/>
              <w:spacing w:before="40" w:after="40" w:line="200" w:lineRule="atLeast"/>
              <w:rPr>
                <w:rFonts w:asciiTheme="minorHAnsi" w:eastAsia="Times New Roman" w:hAnsiTheme="minorHAnsi"/>
                <w:iCs/>
                <w:color w:val="92D050"/>
                <w:szCs w:val="17"/>
                <w:lang w:eastAsia="en-US"/>
              </w:rPr>
            </w:pPr>
            <w:r w:rsidRPr="007E7622">
              <w:rPr>
                <w:rFonts w:eastAsia="Times New Roman"/>
                <w:iCs/>
                <w:szCs w:val="17"/>
              </w:rPr>
              <w:t>The Deputy High Commissioner has lead a series of activities over 17/18 to inform preparation of the new AIP, including: aid deep dive discussion</w:t>
            </w:r>
            <w:r w:rsidR="00F508B9" w:rsidRPr="007E7622">
              <w:rPr>
                <w:rFonts w:eastAsia="Times New Roman"/>
                <w:iCs/>
                <w:szCs w:val="17"/>
              </w:rPr>
              <w:t>s</w:t>
            </w:r>
            <w:r w:rsidRPr="007E7622">
              <w:rPr>
                <w:rFonts w:eastAsia="Times New Roman"/>
                <w:iCs/>
                <w:szCs w:val="17"/>
              </w:rPr>
              <w:t xml:space="preserve"> in Canberra and Honiara, preparation of a literature review on constraints to growth and mid-term reviews for key investments. An ‘Aid Health Check’ will be conducted in September 2018</w:t>
            </w:r>
            <w:r w:rsidR="00F508B9" w:rsidRPr="007E7622">
              <w:rPr>
                <w:rFonts w:eastAsia="Times New Roman"/>
                <w:iCs/>
                <w:szCs w:val="17"/>
              </w:rPr>
              <w:t xml:space="preserve"> and inform choices on future direction of the program.</w:t>
            </w:r>
          </w:p>
        </w:tc>
      </w:tr>
      <w:tr w:rsidR="00400B0F" w:rsidRPr="00C61187" w:rsidTr="00965387">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965387" w:rsidP="00965387">
            <w:pPr>
              <w:keepLines/>
              <w:spacing w:before="40" w:after="40" w:line="200" w:lineRule="atLeast"/>
              <w:rPr>
                <w:rFonts w:asciiTheme="minorHAnsi" w:eastAsia="Times New Roman" w:hAnsiTheme="minorHAnsi"/>
                <w:iCs/>
                <w:szCs w:val="17"/>
                <w:lang w:eastAsia="en-US"/>
              </w:rPr>
            </w:pPr>
            <w:r w:rsidRPr="00965387">
              <w:rPr>
                <w:rFonts w:asciiTheme="minorHAnsi" w:eastAsia="Times New Roman" w:hAnsiTheme="minorHAnsi"/>
                <w:iCs/>
                <w:szCs w:val="17"/>
                <w:lang w:eastAsia="en-US"/>
              </w:rPr>
              <w:t>To improve program coherence and performance evidence, the performance frameworks for key investments will be updated or developed</w:t>
            </w:r>
            <w:r>
              <w:rPr>
                <w:rFonts w:asciiTheme="minorHAnsi" w:eastAsia="Times New Roman" w:hAnsiTheme="minorHAnsi"/>
                <w:iCs/>
                <w:szCs w:val="17"/>
                <w:lang w:eastAsia="en-US"/>
              </w:rPr>
              <w:t xml:space="preserve"> (E</w:t>
            </w:r>
            <w:r w:rsidR="006A7B62">
              <w:rPr>
                <w:rFonts w:asciiTheme="minorHAnsi" w:eastAsia="Times New Roman" w:hAnsiTheme="minorHAnsi"/>
                <w:iCs/>
                <w:szCs w:val="17"/>
                <w:lang w:eastAsia="en-US"/>
              </w:rPr>
              <w:t>conomic Growth</w:t>
            </w:r>
            <w:r>
              <w:rPr>
                <w:rFonts w:asciiTheme="minorHAnsi" w:eastAsia="Times New Roman" w:hAnsiTheme="minorHAnsi"/>
                <w:iCs/>
                <w:szCs w:val="17"/>
                <w:lang w:eastAsia="en-US"/>
              </w:rPr>
              <w:t>, Stability, Gender Equality</w:t>
            </w:r>
          </w:p>
        </w:tc>
        <w:tc>
          <w:tcPr>
            <w:tcW w:w="949" w:type="dxa"/>
            <w:shd w:val="clear" w:color="auto" w:fill="72AF2F"/>
          </w:tcPr>
          <w:p w:rsidR="00400B0F" w:rsidRPr="00880004"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r w:rsidRPr="00880004">
              <w:rPr>
                <w:rFonts w:eastAsia="Times New Roman"/>
                <w:iCs/>
                <w:color w:val="FFFFFF" w:themeColor="background1"/>
                <w:szCs w:val="17"/>
              </w:rPr>
              <w:fldChar w:fldCharType="begin"/>
            </w:r>
            <w:r w:rsidRPr="00880004">
              <w:rPr>
                <w:rFonts w:asciiTheme="minorHAnsi" w:eastAsia="Times New Roman" w:hAnsiTheme="minorHAnsi"/>
                <w:iCs/>
                <w:color w:val="FFFFFF" w:themeColor="background1"/>
                <w:szCs w:val="17"/>
                <w:lang w:eastAsia="en-US"/>
              </w:rPr>
              <w:instrText xml:space="preserve"> AUTOTEXTLIST  \s "Rating bullet"\t "Right click to choose a rating" \* MERGEFORMAT </w:instrText>
            </w:r>
            <w:r w:rsidRPr="00880004">
              <w:rPr>
                <w:rFonts w:eastAsia="Times New Roman"/>
                <w:iCs/>
                <w:color w:val="FFFFFF" w:themeColor="background1"/>
                <w:szCs w:val="17"/>
              </w:rPr>
              <w:fldChar w:fldCharType="end"/>
            </w:r>
          </w:p>
        </w:tc>
        <w:tc>
          <w:tcPr>
            <w:tcW w:w="6763" w:type="dxa"/>
          </w:tcPr>
          <w:p w:rsidR="00EA5A95" w:rsidRPr="007E7622" w:rsidRDefault="00EA5A95" w:rsidP="00EA5A95">
            <w:pPr>
              <w:rPr>
                <w:rFonts w:asciiTheme="minorHAnsi" w:eastAsia="Times New Roman" w:hAnsiTheme="minorHAnsi"/>
                <w:iCs/>
                <w:szCs w:val="17"/>
              </w:rPr>
            </w:pPr>
            <w:r w:rsidRPr="00696287">
              <w:rPr>
                <w:rFonts w:eastAsia="Times New Roman"/>
                <w:iCs/>
                <w:szCs w:val="17"/>
              </w:rPr>
              <w:t>Monitoring, Evaluation and Learning (MEL) frameworks for the Solomon Islands Police Development Program, Solomon Islands Governance Program and Solomon Islan</w:t>
            </w:r>
            <w:r w:rsidR="00C10B7A">
              <w:rPr>
                <w:rFonts w:eastAsia="Times New Roman"/>
                <w:iCs/>
                <w:szCs w:val="17"/>
              </w:rPr>
              <w:t>ds Justice Program are in place</w:t>
            </w:r>
            <w:r w:rsidRPr="00696287">
              <w:rPr>
                <w:rFonts w:eastAsia="Times New Roman"/>
                <w:iCs/>
                <w:szCs w:val="17"/>
              </w:rPr>
              <w:t xml:space="preserve">. The overarching stability MEL framework is in progress.  Development has progressed slower than expected, due to inability to recruit suitable personnel for the MEL unit. A MEL unit is now in place.   </w:t>
            </w:r>
          </w:p>
          <w:p w:rsidR="00400B0F" w:rsidRPr="00696287" w:rsidRDefault="00687BAD" w:rsidP="00EA5A95">
            <w:pPr>
              <w:rPr>
                <w:rFonts w:asciiTheme="minorHAnsi" w:eastAsia="Times New Roman" w:hAnsiTheme="minorHAnsi"/>
                <w:iCs/>
                <w:color w:val="92D050"/>
                <w:szCs w:val="17"/>
                <w:lang w:eastAsia="en-US"/>
              </w:rPr>
            </w:pPr>
            <w:r w:rsidRPr="00696287">
              <w:rPr>
                <w:rFonts w:eastAsia="Times New Roman"/>
                <w:iCs/>
                <w:szCs w:val="17"/>
              </w:rPr>
              <w:t xml:space="preserve">SIGP </w:t>
            </w:r>
            <w:r w:rsidRPr="00696287">
              <w:rPr>
                <w:szCs w:val="17"/>
              </w:rPr>
              <w:t xml:space="preserve">Coordinator has assisted the section to finalise a PAF, which includes objectives for the program, as well as indicators and baselines data for progress to be measured against across the life of the program. </w:t>
            </w:r>
          </w:p>
        </w:tc>
      </w:tr>
      <w:tr w:rsidR="00400B0F" w:rsidRPr="00C61187" w:rsidTr="00965387">
        <w:trPr>
          <w:cnfStyle w:val="000000010000" w:firstRow="0" w:lastRow="0" w:firstColumn="0" w:lastColumn="0" w:oddVBand="0" w:evenVBand="0" w:oddHBand="0" w:evenHBand="1" w:firstRowFirstColumn="0" w:firstRowLastColumn="0" w:lastRowFirstColumn="0" w:lastRowLastColumn="0"/>
        </w:trPr>
        <w:tc>
          <w:tcPr>
            <w:tcW w:w="6349" w:type="dxa"/>
          </w:tcPr>
          <w:p w:rsidR="00965387" w:rsidRPr="00965387" w:rsidRDefault="00965387" w:rsidP="00965387">
            <w:pPr>
              <w:keepLines/>
              <w:spacing w:before="40" w:after="40" w:line="200" w:lineRule="atLeast"/>
              <w:rPr>
                <w:rFonts w:asciiTheme="minorHAnsi" w:eastAsia="Times New Roman" w:hAnsiTheme="minorHAnsi"/>
                <w:iCs/>
                <w:szCs w:val="17"/>
                <w:lang w:eastAsia="en-US"/>
              </w:rPr>
            </w:pPr>
            <w:r w:rsidRPr="00965387">
              <w:rPr>
                <w:rFonts w:asciiTheme="minorHAnsi" w:eastAsia="Times New Roman" w:hAnsiTheme="minorHAnsi"/>
                <w:iCs/>
                <w:szCs w:val="17"/>
                <w:lang w:eastAsia="en-US"/>
              </w:rPr>
              <w:t xml:space="preserve">To improve </w:t>
            </w:r>
            <w:r>
              <w:rPr>
                <w:rFonts w:asciiTheme="minorHAnsi" w:eastAsia="Times New Roman" w:hAnsiTheme="minorHAnsi"/>
                <w:iCs/>
                <w:szCs w:val="17"/>
                <w:lang w:eastAsia="en-US"/>
              </w:rPr>
              <w:t>c</w:t>
            </w:r>
            <w:r w:rsidRPr="00965387">
              <w:rPr>
                <w:rFonts w:asciiTheme="minorHAnsi" w:eastAsia="Times New Roman" w:hAnsiTheme="minorHAnsi"/>
                <w:iCs/>
                <w:szCs w:val="17"/>
                <w:lang w:eastAsia="en-US"/>
              </w:rPr>
              <w:t xml:space="preserve">limate change and resilience, </w:t>
            </w:r>
            <w:r>
              <w:rPr>
                <w:rFonts w:asciiTheme="minorHAnsi" w:eastAsia="Times New Roman" w:hAnsiTheme="minorHAnsi"/>
                <w:iCs/>
                <w:szCs w:val="17"/>
                <w:lang w:eastAsia="en-US"/>
              </w:rPr>
              <w:t>Post will m</w:t>
            </w:r>
            <w:r w:rsidRPr="00965387">
              <w:rPr>
                <w:rFonts w:asciiTheme="minorHAnsi" w:eastAsia="Times New Roman" w:hAnsiTheme="minorHAnsi"/>
                <w:iCs/>
                <w:szCs w:val="17"/>
                <w:lang w:eastAsia="en-US"/>
              </w:rPr>
              <w:t>ainstream climate change throughout relevant investments; and</w:t>
            </w:r>
            <w:r>
              <w:rPr>
                <w:rFonts w:asciiTheme="minorHAnsi" w:eastAsia="Times New Roman" w:hAnsiTheme="minorHAnsi"/>
                <w:iCs/>
                <w:szCs w:val="17"/>
                <w:lang w:eastAsia="en-US"/>
              </w:rPr>
              <w:t xml:space="preserve"> e</w:t>
            </w:r>
            <w:r w:rsidRPr="00965387">
              <w:rPr>
                <w:rFonts w:asciiTheme="minorHAnsi" w:eastAsia="Times New Roman" w:hAnsiTheme="minorHAnsi"/>
                <w:iCs/>
                <w:szCs w:val="17"/>
                <w:lang w:eastAsia="en-US"/>
              </w:rPr>
              <w:t>nsure Australian funded climate science information is reaching programs to inform decision-making.</w:t>
            </w:r>
          </w:p>
          <w:p w:rsidR="00400B0F" w:rsidRPr="00880004" w:rsidRDefault="00400B0F" w:rsidP="006A7B62">
            <w:pPr>
              <w:keepLines/>
              <w:spacing w:before="40" w:after="40" w:line="200" w:lineRule="atLeast"/>
              <w:rPr>
                <w:rFonts w:asciiTheme="minorHAnsi" w:eastAsia="Times New Roman" w:hAnsiTheme="minorHAnsi"/>
                <w:iCs/>
                <w:szCs w:val="17"/>
                <w:lang w:eastAsia="en-US"/>
              </w:rPr>
            </w:pPr>
          </w:p>
        </w:tc>
        <w:tc>
          <w:tcPr>
            <w:tcW w:w="949" w:type="dxa"/>
            <w:shd w:val="clear" w:color="auto" w:fill="72AF2F"/>
          </w:tcPr>
          <w:p w:rsidR="00400B0F" w:rsidRPr="00880004"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6763" w:type="dxa"/>
          </w:tcPr>
          <w:p w:rsidR="00400B0F" w:rsidRPr="00696287" w:rsidRDefault="00687BAD" w:rsidP="00734569">
            <w:pPr>
              <w:keepLines/>
              <w:spacing w:before="40" w:after="40" w:line="200" w:lineRule="atLeast"/>
              <w:rPr>
                <w:rFonts w:asciiTheme="minorHAnsi" w:eastAsia="Times New Roman" w:hAnsiTheme="minorHAnsi"/>
                <w:iCs/>
                <w:color w:val="000000" w:themeColor="text1"/>
                <w:szCs w:val="17"/>
                <w:highlight w:val="yellow"/>
                <w:lang w:eastAsia="en-US"/>
              </w:rPr>
            </w:pPr>
            <w:r w:rsidRPr="00696287">
              <w:rPr>
                <w:szCs w:val="17"/>
              </w:rPr>
              <w:t xml:space="preserve">Post continued to benefit from the support of the interim Pacific climate change support unit, though realising the benefits of mainstreaming climate change continues to be challenged by the considerable proportion of budget support programming at Post. </w:t>
            </w:r>
            <w:r w:rsidRPr="00696287">
              <w:rPr>
                <w:b/>
                <w:bCs/>
              </w:rPr>
              <w:t> </w:t>
            </w:r>
            <w:r w:rsidRPr="00696287">
              <w:rPr>
                <w:szCs w:val="17"/>
              </w:rPr>
              <w:t>Tina River remains the largest Australian aid funded project in the Solomon Islands with climate change as its primary objective.</w:t>
            </w:r>
          </w:p>
        </w:tc>
      </w:tr>
      <w:tr w:rsidR="00400B0F" w:rsidRPr="00C61187" w:rsidTr="00965387">
        <w:trPr>
          <w:cnfStyle w:val="000000010000" w:firstRow="0" w:lastRow="0" w:firstColumn="0" w:lastColumn="0" w:oddVBand="0" w:evenVBand="0" w:oddHBand="0" w:evenHBand="1" w:firstRowFirstColumn="0" w:firstRowLastColumn="0" w:lastRowFirstColumn="0" w:lastRowLastColumn="0"/>
        </w:trPr>
        <w:tc>
          <w:tcPr>
            <w:tcW w:w="6349" w:type="dxa"/>
          </w:tcPr>
          <w:p w:rsidR="00400B0F" w:rsidRPr="00880004" w:rsidRDefault="00965387" w:rsidP="00DE770F">
            <w:pPr>
              <w:rPr>
                <w:rFonts w:asciiTheme="minorHAnsi" w:eastAsia="Times New Roman" w:hAnsiTheme="minorHAnsi"/>
                <w:iCs/>
                <w:szCs w:val="17"/>
                <w:lang w:eastAsia="en-US"/>
              </w:rPr>
            </w:pPr>
            <w:r w:rsidRPr="00965387">
              <w:rPr>
                <w:rFonts w:asciiTheme="minorHAnsi" w:eastAsia="Times New Roman" w:hAnsiTheme="minorHAnsi"/>
                <w:iCs/>
                <w:szCs w:val="17"/>
                <w:lang w:eastAsia="en-US"/>
              </w:rPr>
              <w:t xml:space="preserve">To support the Solomon Islands Government to prepare for the first national elections of the post-RAMSI era, </w:t>
            </w:r>
            <w:r>
              <w:rPr>
                <w:rFonts w:asciiTheme="minorHAnsi" w:eastAsia="Times New Roman" w:hAnsiTheme="minorHAnsi"/>
                <w:iCs/>
                <w:szCs w:val="17"/>
                <w:lang w:eastAsia="en-US"/>
              </w:rPr>
              <w:t>Post</w:t>
            </w:r>
            <w:r w:rsidRPr="00965387">
              <w:rPr>
                <w:rFonts w:asciiTheme="minorHAnsi" w:eastAsia="Times New Roman" w:hAnsiTheme="minorHAnsi"/>
                <w:iCs/>
                <w:szCs w:val="17"/>
                <w:lang w:eastAsia="en-US"/>
              </w:rPr>
              <w:t xml:space="preserve"> will: work in partnership with the UNDP on the implementation of Phase 2 of Strengthening </w:t>
            </w:r>
            <w:r w:rsidR="00DE770F">
              <w:rPr>
                <w:rFonts w:asciiTheme="minorHAnsi" w:eastAsia="Times New Roman" w:hAnsiTheme="minorHAnsi"/>
                <w:iCs/>
                <w:szCs w:val="17"/>
                <w:lang w:eastAsia="en-US"/>
              </w:rPr>
              <w:t xml:space="preserve">the </w:t>
            </w:r>
            <w:r w:rsidRPr="00965387">
              <w:rPr>
                <w:rFonts w:asciiTheme="minorHAnsi" w:eastAsia="Times New Roman" w:hAnsiTheme="minorHAnsi"/>
                <w:iCs/>
                <w:szCs w:val="17"/>
                <w:lang w:eastAsia="en-US"/>
              </w:rPr>
              <w:t xml:space="preserve">Electoral Cycle in Solomon Islands Project (SECSIP); Work with the AEC to develop </w:t>
            </w:r>
            <w:r w:rsidR="008C16C3">
              <w:rPr>
                <w:rFonts w:asciiTheme="minorHAnsi" w:eastAsia="Times New Roman" w:hAnsiTheme="minorHAnsi"/>
                <w:iCs/>
                <w:szCs w:val="17"/>
                <w:lang w:eastAsia="en-US"/>
              </w:rPr>
              <w:t xml:space="preserve">and deliver </w:t>
            </w:r>
            <w:r w:rsidRPr="00965387">
              <w:rPr>
                <w:rFonts w:asciiTheme="minorHAnsi" w:eastAsia="Times New Roman" w:hAnsiTheme="minorHAnsi"/>
                <w:iCs/>
                <w:szCs w:val="17"/>
                <w:lang w:eastAsia="en-US"/>
              </w:rPr>
              <w:t xml:space="preserve">a new suite of training and support for the SIEC ahead of the next elections;   Manage a program design process for the bilateral technical advisor program that assesses and incorporates the multiple modalities employed in democratic governance;  Lead a cross-sectoral post team to focus intensively on how best to support and encourage women candidates for the 2019 elections; and incorporate recommendations from </w:t>
            </w:r>
            <w:r>
              <w:rPr>
                <w:rFonts w:asciiTheme="minorHAnsi" w:eastAsia="Times New Roman" w:hAnsiTheme="minorHAnsi"/>
                <w:iCs/>
                <w:szCs w:val="17"/>
                <w:lang w:eastAsia="en-US"/>
              </w:rPr>
              <w:t xml:space="preserve">the </w:t>
            </w:r>
            <w:r w:rsidRPr="00965387">
              <w:rPr>
                <w:rFonts w:asciiTheme="minorHAnsi" w:eastAsia="Times New Roman" w:hAnsiTheme="minorHAnsi"/>
                <w:iCs/>
                <w:szCs w:val="17"/>
                <w:lang w:eastAsia="en-US"/>
              </w:rPr>
              <w:t xml:space="preserve">ODE evaluation into Australia’s support. </w:t>
            </w:r>
          </w:p>
        </w:tc>
        <w:tc>
          <w:tcPr>
            <w:tcW w:w="949" w:type="dxa"/>
            <w:shd w:val="clear" w:color="auto" w:fill="E36C0A"/>
          </w:tcPr>
          <w:p w:rsidR="00400B0F" w:rsidRPr="00880004"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Partly achieved</w:t>
            </w:r>
          </w:p>
        </w:tc>
        <w:tc>
          <w:tcPr>
            <w:tcW w:w="6763" w:type="dxa"/>
          </w:tcPr>
          <w:p w:rsidR="00687BAD" w:rsidRPr="00696287" w:rsidRDefault="00696287" w:rsidP="00965387">
            <w:pPr>
              <w:keepLines/>
              <w:spacing w:before="40" w:after="40" w:line="200" w:lineRule="atLeast"/>
              <w:rPr>
                <w:rFonts w:asciiTheme="minorHAnsi" w:eastAsia="Times New Roman" w:hAnsiTheme="minorHAnsi"/>
                <w:iCs/>
                <w:color w:val="409F68" w:themeColor="accent6"/>
                <w:szCs w:val="17"/>
                <w:lang w:eastAsia="en-US"/>
              </w:rPr>
            </w:pPr>
            <w:r w:rsidRPr="007E7622">
              <w:rPr>
                <w:rFonts w:eastAsia="Times New Roman"/>
                <w:iCs/>
                <w:szCs w:val="17"/>
              </w:rPr>
              <w:t>Post continues to assist Solomon Islands prepare for the upcoming national elections through the UNDP-delivered Strengthening the Electoral Cycle in Solomon Islands Program</w:t>
            </w:r>
            <w:r w:rsidRPr="00696287">
              <w:rPr>
                <w:rFonts w:eastAsia="Times New Roman"/>
                <w:iCs/>
                <w:szCs w:val="17"/>
              </w:rPr>
              <w:t xml:space="preserve"> (SECSIP)</w:t>
            </w:r>
            <w:r w:rsidR="008C16C3">
              <w:rPr>
                <w:rFonts w:eastAsia="Times New Roman"/>
                <w:iCs/>
                <w:szCs w:val="17"/>
              </w:rPr>
              <w:t xml:space="preserve"> Phase II</w:t>
            </w:r>
            <w:r w:rsidRPr="00696287">
              <w:rPr>
                <w:rFonts w:eastAsia="Times New Roman"/>
                <w:iCs/>
                <w:szCs w:val="17"/>
              </w:rPr>
              <w:t>.  K</w:t>
            </w:r>
            <w:r w:rsidRPr="007E7622">
              <w:rPr>
                <w:rFonts w:eastAsia="Times New Roman"/>
                <w:iCs/>
                <w:szCs w:val="17"/>
              </w:rPr>
              <w:t xml:space="preserve">ey deliverables </w:t>
            </w:r>
            <w:r w:rsidRPr="00696287">
              <w:rPr>
                <w:rFonts w:eastAsia="Times New Roman"/>
                <w:iCs/>
                <w:szCs w:val="17"/>
              </w:rPr>
              <w:t>include</w:t>
            </w:r>
            <w:r w:rsidRPr="007E7622">
              <w:rPr>
                <w:rFonts w:eastAsia="Times New Roman"/>
                <w:iCs/>
                <w:szCs w:val="17"/>
              </w:rPr>
              <w:t xml:space="preserve"> an updated and accurate voter registration list (the update commenced </w:t>
            </w:r>
            <w:r w:rsidRPr="00696287">
              <w:rPr>
                <w:rFonts w:eastAsia="Times New Roman"/>
                <w:iCs/>
                <w:szCs w:val="17"/>
              </w:rPr>
              <w:t xml:space="preserve">outside the reporting period </w:t>
            </w:r>
            <w:r w:rsidRPr="007E7622">
              <w:rPr>
                <w:rFonts w:eastAsia="Times New Roman"/>
                <w:iCs/>
                <w:szCs w:val="17"/>
              </w:rPr>
              <w:t>on 3 September 2019); civic education, including voter awareness campaigns across Solomon Islands; and women in leadership training to support aspiring women candidates</w:t>
            </w:r>
            <w:r w:rsidRPr="00696287">
              <w:rPr>
                <w:rFonts w:eastAsia="Times New Roman"/>
                <w:iCs/>
                <w:szCs w:val="17"/>
              </w:rPr>
              <w:t xml:space="preserve"> to</w:t>
            </w:r>
            <w:r w:rsidRPr="007E7622">
              <w:rPr>
                <w:rFonts w:eastAsia="Times New Roman"/>
                <w:iCs/>
                <w:szCs w:val="17"/>
              </w:rPr>
              <w:t xml:space="preserve"> get elected in upcoming national and provincial elections. Work with the AEC commenced as they prepared to provide training and logistical support to the Solomon Islands Electoral Commission and relevant officials. Further training/inputs will be carried out in the lead up to the 2019 elections. Preliminary planning has commenced on the re-design process for the Democratic Governance program</w:t>
            </w:r>
            <w:r w:rsidR="008C16C3">
              <w:rPr>
                <w:rFonts w:eastAsia="Times New Roman"/>
                <w:iCs/>
                <w:szCs w:val="17"/>
              </w:rPr>
              <w:t>, which will formally commence post-elections 2019</w:t>
            </w:r>
            <w:r w:rsidRPr="007E7622">
              <w:rPr>
                <w:rFonts w:eastAsia="Times New Roman"/>
                <w:iCs/>
                <w:szCs w:val="17"/>
              </w:rPr>
              <w:t>. Significant progress was made on two key electoral reform Bills, with extensive support provided through technical advisers funded by our bilateral program. These key pieces of legislation have since passed into legislation</w:t>
            </w:r>
            <w:r w:rsidRPr="00696287">
              <w:rPr>
                <w:rFonts w:eastAsia="Times New Roman"/>
                <w:iCs/>
                <w:szCs w:val="17"/>
              </w:rPr>
              <w:t xml:space="preserve"> (just outside the </w:t>
            </w:r>
            <w:r w:rsidRPr="007E7622">
              <w:rPr>
                <w:rFonts w:eastAsia="Times New Roman"/>
                <w:iCs/>
                <w:szCs w:val="17"/>
              </w:rPr>
              <w:t>report</w:t>
            </w:r>
            <w:r w:rsidRPr="00696287">
              <w:rPr>
                <w:rFonts w:eastAsia="Times New Roman"/>
                <w:iCs/>
                <w:szCs w:val="17"/>
              </w:rPr>
              <w:t>ing</w:t>
            </w:r>
            <w:r w:rsidRPr="007E7622">
              <w:rPr>
                <w:rFonts w:eastAsia="Times New Roman"/>
                <w:iCs/>
                <w:szCs w:val="17"/>
              </w:rPr>
              <w:t xml:space="preserve"> period</w:t>
            </w:r>
            <w:r w:rsidRPr="00696287">
              <w:rPr>
                <w:rFonts w:eastAsia="Times New Roman"/>
                <w:iCs/>
                <w:szCs w:val="17"/>
              </w:rPr>
              <w:t xml:space="preserve">). </w:t>
            </w: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in addressing the issue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in addressing the issue, but the issue has not been resolved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in addressing the issue has been significantly below expectations</w:t>
      </w:r>
    </w:p>
    <w:p w:rsidR="00400B0F" w:rsidRPr="00C61187" w:rsidRDefault="00400B0F" w:rsidP="00400B0F">
      <w:pPr>
        <w:spacing w:after="160" w:line="280" w:lineRule="exact"/>
        <w:rPr>
          <w:rFonts w:ascii="Franklin Gothic Book" w:eastAsia="Times New Roman" w:hAnsi="Franklin Gothic Book"/>
          <w:sz w:val="21"/>
        </w:rPr>
      </w:pPr>
    </w:p>
    <w:p w:rsidR="00033AB7" w:rsidRDefault="00400B0F" w:rsidP="00400B0F">
      <w:pPr>
        <w:pStyle w:val="Subtitle"/>
        <w:numPr>
          <w:ilvl w:val="0"/>
          <w:numId w:val="0"/>
        </w:numPr>
      </w:pPr>
      <w:r w:rsidRPr="00400B0F">
        <w:t xml:space="preserve">Annex B </w:t>
      </w:r>
      <w:r w:rsidR="00033AB7">
        <w:t>–</w:t>
      </w:r>
      <w:r w:rsidRPr="00400B0F">
        <w:t xml:space="preserve"> </w:t>
      </w:r>
      <w:r w:rsidR="00033AB7">
        <w:t>PERFORMANCE BENCHMARKS</w:t>
      </w:r>
    </w:p>
    <w:p w:rsidR="00320251" w:rsidRPr="00320251" w:rsidRDefault="00320251" w:rsidP="00CE5DF0">
      <w:pPr>
        <w:rPr>
          <w:rFonts w:ascii="Franklin Gothic Book" w:eastAsia="Times New Roman" w:hAnsi="Franklin Gothic Book"/>
          <w:b/>
          <w:sz w:val="24"/>
          <w:szCs w:val="24"/>
        </w:rPr>
      </w:pPr>
      <w:r w:rsidRPr="00320251">
        <w:rPr>
          <w:rFonts w:ascii="Franklin Gothic Book" w:eastAsia="Times New Roman" w:hAnsi="Franklin Gothic Book"/>
          <w:b/>
          <w:sz w:val="24"/>
          <w:szCs w:val="24"/>
        </w:rPr>
        <w:t>Progress towards Performance Benchmarks in 201</w:t>
      </w:r>
      <w:r w:rsidR="002D37BC">
        <w:rPr>
          <w:rFonts w:ascii="Franklin Gothic Book" w:eastAsia="Times New Roman" w:hAnsi="Franklin Gothic Book"/>
          <w:b/>
          <w:sz w:val="24"/>
          <w:szCs w:val="24"/>
        </w:rPr>
        <w:t>7</w:t>
      </w:r>
      <w:r w:rsidRPr="00320251">
        <w:rPr>
          <w:rFonts w:ascii="Franklin Gothic Book" w:eastAsia="Times New Roman" w:hAnsi="Franklin Gothic Book"/>
          <w:b/>
          <w:sz w:val="24"/>
          <w:szCs w:val="24"/>
        </w:rPr>
        <w:t>-1</w:t>
      </w:r>
      <w:r w:rsidR="002D37BC">
        <w:rPr>
          <w:rFonts w:ascii="Franklin Gothic Book" w:eastAsia="Times New Roman" w:hAnsi="Franklin Gothic Book"/>
          <w:b/>
          <w:sz w:val="24"/>
          <w:szCs w:val="24"/>
        </w:rPr>
        <w:t>8</w:t>
      </w:r>
    </w:p>
    <w:p w:rsidR="00CE5DF0" w:rsidRPr="00CE5DF0" w:rsidRDefault="00CE5DF0" w:rsidP="00CE5DF0"/>
    <w:tbl>
      <w:tblPr>
        <w:tblStyle w:val="DFATTable"/>
        <w:tblW w:w="5000" w:type="pct"/>
        <w:tblLook w:val="04A0" w:firstRow="1" w:lastRow="0" w:firstColumn="1" w:lastColumn="0" w:noHBand="0" w:noVBand="1"/>
      </w:tblPr>
      <w:tblGrid>
        <w:gridCol w:w="3118"/>
        <w:gridCol w:w="2412"/>
        <w:gridCol w:w="1701"/>
        <w:gridCol w:w="6942"/>
      </w:tblGrid>
      <w:tr w:rsidR="00400B0F" w:rsidRPr="00C61187" w:rsidTr="00776A05">
        <w:trPr>
          <w:tblHeader/>
        </w:trPr>
        <w:tc>
          <w:tcPr>
            <w:tcW w:w="1100" w:type="pct"/>
            <w:tcMar>
              <w:top w:w="57" w:type="dxa"/>
              <w:bottom w:w="57" w:type="dxa"/>
            </w:tcMar>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Aid objective</w:t>
            </w:r>
          </w:p>
        </w:tc>
        <w:tc>
          <w:tcPr>
            <w:tcW w:w="851" w:type="pct"/>
          </w:tcPr>
          <w:p w:rsidR="00400B0F" w:rsidRPr="00880004" w:rsidRDefault="00320251" w:rsidP="00320251">
            <w:pPr>
              <w:keepLines/>
              <w:spacing w:before="80" w:after="80" w:line="200" w:lineRule="atLeast"/>
              <w:rPr>
                <w:rFonts w:asciiTheme="minorHAnsi" w:eastAsia="Times New Roman" w:hAnsiTheme="minorHAnsi"/>
                <w:b/>
                <w:iCs/>
                <w:szCs w:val="17"/>
                <w:lang w:eastAsia="en-US"/>
              </w:rPr>
            </w:pPr>
            <w:r>
              <w:rPr>
                <w:rFonts w:asciiTheme="minorHAnsi" w:eastAsia="Times New Roman" w:hAnsiTheme="minorHAnsi"/>
                <w:b/>
                <w:iCs/>
                <w:szCs w:val="17"/>
                <w:lang w:eastAsia="en-US"/>
              </w:rPr>
              <w:t>Performance B</w:t>
            </w:r>
            <w:r w:rsidR="00400B0F" w:rsidRPr="00880004">
              <w:rPr>
                <w:rFonts w:asciiTheme="minorHAnsi" w:eastAsia="Times New Roman" w:hAnsiTheme="minorHAnsi"/>
                <w:b/>
                <w:iCs/>
                <w:szCs w:val="17"/>
                <w:lang w:eastAsia="en-US"/>
              </w:rPr>
              <w:t xml:space="preserve">enchmark </w:t>
            </w:r>
          </w:p>
        </w:tc>
        <w:tc>
          <w:tcPr>
            <w:tcW w:w="600" w:type="pct"/>
          </w:tcPr>
          <w:p w:rsidR="00400B0F" w:rsidRPr="00880004" w:rsidRDefault="00400B0F" w:rsidP="009E7BB8">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Rating</w:t>
            </w:r>
          </w:p>
        </w:tc>
        <w:tc>
          <w:tcPr>
            <w:tcW w:w="2449" w:type="pct"/>
          </w:tcPr>
          <w:p w:rsidR="00400B0F" w:rsidRPr="00880004" w:rsidRDefault="00400B0F" w:rsidP="002D37BC">
            <w:pPr>
              <w:keepLines/>
              <w:spacing w:before="80" w:after="80" w:line="200" w:lineRule="atLeast"/>
              <w:jc w:val="center"/>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Progress in 201</w:t>
            </w:r>
            <w:r w:rsidR="002D37BC">
              <w:rPr>
                <w:rFonts w:asciiTheme="minorHAnsi" w:eastAsia="Times New Roman" w:hAnsiTheme="minorHAnsi"/>
                <w:b/>
                <w:iCs/>
                <w:szCs w:val="17"/>
                <w:lang w:eastAsia="en-US"/>
              </w:rPr>
              <w:t>7</w:t>
            </w:r>
            <w:r w:rsidRPr="00880004">
              <w:rPr>
                <w:rFonts w:asciiTheme="minorHAnsi" w:eastAsia="Times New Roman" w:hAnsiTheme="minorHAnsi"/>
                <w:b/>
                <w:iCs/>
                <w:szCs w:val="17"/>
                <w:lang w:eastAsia="en-US"/>
              </w:rPr>
              <w:t>-1</w:t>
            </w:r>
            <w:r w:rsidR="002D37BC">
              <w:rPr>
                <w:rFonts w:asciiTheme="minorHAnsi" w:eastAsia="Times New Roman" w:hAnsiTheme="minorHAnsi"/>
                <w:b/>
                <w:iCs/>
                <w:szCs w:val="17"/>
                <w:lang w:eastAsia="en-US"/>
              </w:rPr>
              <w:t>8</w:t>
            </w:r>
          </w:p>
        </w:tc>
      </w:tr>
      <w:tr w:rsidR="00D54F20" w:rsidRPr="00C61187" w:rsidTr="00776A05">
        <w:tc>
          <w:tcPr>
            <w:tcW w:w="1100" w:type="pct"/>
            <w:tcMar>
              <w:top w:w="57" w:type="dxa"/>
              <w:bottom w:w="57" w:type="dxa"/>
            </w:tcMar>
          </w:tcPr>
          <w:p w:rsidR="00D54F20" w:rsidRPr="007426F9" w:rsidRDefault="00D54F20" w:rsidP="00320251">
            <w:pPr>
              <w:keepLines/>
              <w:spacing w:before="40" w:after="40" w:line="200" w:lineRule="atLeast"/>
              <w:rPr>
                <w:rFonts w:eastAsia="Times New Roman"/>
                <w:b/>
                <w:iCs/>
                <w:szCs w:val="17"/>
              </w:rPr>
            </w:pPr>
            <w:r w:rsidRPr="007426F9">
              <w:rPr>
                <w:rFonts w:asciiTheme="minorHAnsi" w:eastAsia="Times New Roman" w:hAnsiTheme="minorHAnsi"/>
                <w:b/>
                <w:iCs/>
                <w:szCs w:val="17"/>
                <w:lang w:eastAsia="en-US"/>
              </w:rPr>
              <w:t>Supporting stability</w:t>
            </w:r>
          </w:p>
        </w:tc>
        <w:tc>
          <w:tcPr>
            <w:tcW w:w="851" w:type="pct"/>
          </w:tcPr>
          <w:p w:rsidR="00D54F20" w:rsidRPr="00D54F20" w:rsidRDefault="00D54F20" w:rsidP="006F27B1">
            <w:pPr>
              <w:keepLines/>
              <w:spacing w:before="40" w:after="40" w:line="200" w:lineRule="atLeast"/>
              <w:rPr>
                <w:rFonts w:eastAsia="Times New Roman"/>
                <w:iCs/>
                <w:szCs w:val="17"/>
              </w:rPr>
            </w:pPr>
          </w:p>
        </w:tc>
        <w:tc>
          <w:tcPr>
            <w:tcW w:w="600" w:type="pct"/>
            <w:shd w:val="clear" w:color="auto" w:fill="auto"/>
          </w:tcPr>
          <w:p w:rsidR="00D54F20" w:rsidRPr="00880004" w:rsidRDefault="00D54F20" w:rsidP="006F27B1">
            <w:pPr>
              <w:keepLines/>
              <w:spacing w:before="40" w:after="40" w:line="200" w:lineRule="atLeast"/>
              <w:jc w:val="center"/>
              <w:rPr>
                <w:rFonts w:eastAsia="Times New Roman"/>
                <w:iCs/>
                <w:color w:val="FFFFFF" w:themeColor="background1"/>
                <w:szCs w:val="17"/>
              </w:rPr>
            </w:pPr>
          </w:p>
        </w:tc>
        <w:tc>
          <w:tcPr>
            <w:tcW w:w="2449" w:type="pct"/>
          </w:tcPr>
          <w:p w:rsidR="00D54F20" w:rsidRPr="006956F3" w:rsidRDefault="00D54F20" w:rsidP="006F27B1">
            <w:pPr>
              <w:keepLines/>
              <w:spacing w:before="40" w:after="40" w:line="200" w:lineRule="atLeast"/>
              <w:rPr>
                <w:rFonts w:eastAsia="Times New Roman"/>
                <w:iCs/>
                <w:color w:val="auto"/>
                <w:szCs w:val="17"/>
              </w:rPr>
            </w:pPr>
          </w:p>
        </w:tc>
      </w:tr>
      <w:tr w:rsidR="00400B0F" w:rsidRPr="00C61187" w:rsidTr="00776A05">
        <w:tc>
          <w:tcPr>
            <w:tcW w:w="1100" w:type="pct"/>
            <w:tcMar>
              <w:top w:w="57" w:type="dxa"/>
              <w:bottom w:w="57" w:type="dxa"/>
            </w:tcMar>
          </w:tcPr>
          <w:p w:rsidR="00400B0F" w:rsidRPr="00880004" w:rsidRDefault="007426F9" w:rsidP="007A51E6">
            <w:pPr>
              <w:keepLines/>
              <w:spacing w:before="40" w:after="40" w:line="200" w:lineRule="atLeast"/>
              <w:rPr>
                <w:rFonts w:asciiTheme="minorHAnsi" w:eastAsia="Times New Roman" w:hAnsiTheme="minorHAnsi"/>
                <w:iCs/>
                <w:szCs w:val="17"/>
                <w:lang w:eastAsia="en-US"/>
              </w:rPr>
            </w:pPr>
            <w:r w:rsidRPr="00D54F20">
              <w:rPr>
                <w:rFonts w:asciiTheme="minorHAnsi" w:eastAsia="Times New Roman" w:hAnsiTheme="minorHAnsi"/>
                <w:iCs/>
                <w:szCs w:val="17"/>
                <w:lang w:eastAsia="en-US"/>
              </w:rPr>
              <w:t>Number of law and justice officials trained</w:t>
            </w:r>
          </w:p>
        </w:tc>
        <w:tc>
          <w:tcPr>
            <w:tcW w:w="851" w:type="pct"/>
          </w:tcPr>
          <w:p w:rsidR="00400B0F" w:rsidRPr="00880004" w:rsidRDefault="007A51E6" w:rsidP="006F27B1">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800</w:t>
            </w:r>
          </w:p>
        </w:tc>
        <w:tc>
          <w:tcPr>
            <w:tcW w:w="600" w:type="pct"/>
            <w:shd w:val="clear" w:color="auto" w:fill="92D050"/>
          </w:tcPr>
          <w:p w:rsidR="00400B0F" w:rsidRPr="00880004" w:rsidRDefault="00400B0F" w:rsidP="006F27B1">
            <w:pPr>
              <w:keepLines/>
              <w:spacing w:before="40" w:after="40" w:line="200" w:lineRule="atLeast"/>
              <w:jc w:val="center"/>
              <w:rPr>
                <w:rFonts w:asciiTheme="minorHAnsi" w:eastAsia="Times New Roman" w:hAnsiTheme="minorHAnsi"/>
                <w:iCs/>
                <w:color w:val="FFFFFF" w:themeColor="background1"/>
                <w:szCs w:val="17"/>
                <w:lang w:eastAsia="en-US"/>
              </w:rPr>
            </w:pPr>
            <w:r w:rsidRPr="00880004">
              <w:rPr>
                <w:rFonts w:asciiTheme="minorHAnsi" w:eastAsia="Times New Roman" w:hAnsiTheme="minorHAnsi"/>
                <w:iCs/>
                <w:color w:val="FFFFFF" w:themeColor="background1"/>
                <w:szCs w:val="17"/>
                <w:lang w:eastAsia="en-US"/>
              </w:rPr>
              <w:t>Achieved</w:t>
            </w:r>
          </w:p>
        </w:tc>
        <w:tc>
          <w:tcPr>
            <w:tcW w:w="2449" w:type="pct"/>
          </w:tcPr>
          <w:p w:rsidR="00400B0F" w:rsidRPr="00880004" w:rsidRDefault="00D54F20" w:rsidP="001C73B3">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 xml:space="preserve">The number of </w:t>
            </w:r>
            <w:r w:rsidR="007A51E6">
              <w:rPr>
                <w:rFonts w:asciiTheme="minorHAnsi" w:eastAsia="Times New Roman" w:hAnsiTheme="minorHAnsi"/>
                <w:iCs/>
                <w:szCs w:val="17"/>
                <w:lang w:eastAsia="en-US"/>
              </w:rPr>
              <w:t>law and</w:t>
            </w:r>
            <w:r w:rsidRPr="007A51E6">
              <w:rPr>
                <w:rFonts w:asciiTheme="minorHAnsi" w:eastAsia="Times New Roman" w:hAnsiTheme="minorHAnsi"/>
                <w:iCs/>
                <w:szCs w:val="17"/>
                <w:lang w:eastAsia="en-US"/>
              </w:rPr>
              <w:t xml:space="preserve"> justice officials trained was </w:t>
            </w:r>
            <w:r w:rsidR="007A51E6">
              <w:rPr>
                <w:rFonts w:asciiTheme="minorHAnsi" w:eastAsia="Times New Roman" w:hAnsiTheme="minorHAnsi"/>
                <w:iCs/>
                <w:szCs w:val="17"/>
                <w:lang w:eastAsia="en-US"/>
              </w:rPr>
              <w:t>934</w:t>
            </w:r>
            <w:r w:rsidRPr="007A51E6">
              <w:rPr>
                <w:rFonts w:asciiTheme="minorHAnsi" w:eastAsia="Times New Roman" w:hAnsiTheme="minorHAnsi"/>
                <w:iCs/>
                <w:szCs w:val="17"/>
                <w:lang w:eastAsia="en-US"/>
              </w:rPr>
              <w:t xml:space="preserve"> in 2017.  </w:t>
            </w:r>
          </w:p>
        </w:tc>
      </w:tr>
      <w:tr w:rsidR="00400B0F" w:rsidRPr="00C61187" w:rsidTr="00776A05">
        <w:tc>
          <w:tcPr>
            <w:tcW w:w="1100" w:type="pct"/>
            <w:tcMar>
              <w:top w:w="57" w:type="dxa"/>
              <w:bottom w:w="57" w:type="dxa"/>
            </w:tcMar>
          </w:tcPr>
          <w:p w:rsidR="00400B0F" w:rsidRPr="00880004" w:rsidRDefault="007426F9" w:rsidP="007426F9">
            <w:pPr>
              <w:keepLines/>
              <w:spacing w:before="40" w:after="40" w:line="200" w:lineRule="atLeast"/>
              <w:rPr>
                <w:rFonts w:asciiTheme="minorHAnsi" w:eastAsia="Times New Roman" w:hAnsiTheme="minorHAnsi"/>
                <w:iCs/>
                <w:szCs w:val="17"/>
                <w:lang w:eastAsia="en-US"/>
              </w:rPr>
            </w:pPr>
            <w:r w:rsidRPr="00D54F20">
              <w:rPr>
                <w:rFonts w:asciiTheme="minorHAnsi" w:eastAsia="Times New Roman" w:hAnsiTheme="minorHAnsi"/>
                <w:iCs/>
                <w:szCs w:val="17"/>
                <w:lang w:eastAsia="en-US"/>
              </w:rPr>
              <w:t>Courts and justice agencies are better able to deliver their core functions</w:t>
            </w:r>
            <w:r>
              <w:rPr>
                <w:rFonts w:asciiTheme="minorHAnsi" w:eastAsia="Times New Roman" w:hAnsiTheme="minorHAnsi"/>
                <w:iCs/>
                <w:szCs w:val="17"/>
                <w:lang w:eastAsia="en-US"/>
              </w:rPr>
              <w:t xml:space="preserve"> </w:t>
            </w:r>
          </w:p>
        </w:tc>
        <w:tc>
          <w:tcPr>
            <w:tcW w:w="851" w:type="pct"/>
          </w:tcPr>
          <w:p w:rsidR="00400B0F" w:rsidRPr="007426F9" w:rsidRDefault="00D54F20" w:rsidP="00D54F20">
            <w:pPr>
              <w:keepLines/>
              <w:spacing w:before="40" w:after="40" w:line="200" w:lineRule="atLeast"/>
              <w:rPr>
                <w:rFonts w:asciiTheme="minorHAnsi" w:eastAsia="Times New Roman" w:hAnsiTheme="minorHAnsi"/>
                <w:iCs/>
                <w:szCs w:val="17"/>
                <w:lang w:eastAsia="en-US"/>
              </w:rPr>
            </w:pPr>
            <w:r w:rsidRPr="007426F9">
              <w:rPr>
                <w:rFonts w:asciiTheme="minorHAnsi" w:eastAsia="Times New Roman" w:hAnsiTheme="minorHAnsi"/>
                <w:iCs/>
                <w:szCs w:val="17"/>
                <w:lang w:eastAsia="en-US"/>
              </w:rPr>
              <w:t>650 cases heard and disposed of in the Magistrates Court</w:t>
            </w:r>
          </w:p>
        </w:tc>
        <w:tc>
          <w:tcPr>
            <w:tcW w:w="600" w:type="pct"/>
            <w:shd w:val="clear" w:color="auto" w:fill="92D050"/>
          </w:tcPr>
          <w:p w:rsidR="00400B0F" w:rsidRPr="00880004" w:rsidRDefault="00D54F20" w:rsidP="006F27B1">
            <w:pPr>
              <w:keepLines/>
              <w:spacing w:before="40" w:after="40" w:line="200" w:lineRule="atLeast"/>
              <w:jc w:val="center"/>
              <w:rPr>
                <w:rFonts w:asciiTheme="minorHAnsi" w:eastAsia="Times New Roman" w:hAnsiTheme="minorHAnsi"/>
                <w:iCs/>
                <w:szCs w:val="17"/>
                <w:lang w:eastAsia="en-US"/>
              </w:rPr>
            </w:pPr>
            <w:r w:rsidRPr="00D54F20">
              <w:rPr>
                <w:rFonts w:asciiTheme="minorHAnsi" w:eastAsia="Times New Roman" w:hAnsiTheme="minorHAnsi"/>
                <w:iCs/>
                <w:color w:val="FFFFFF" w:themeColor="background1"/>
                <w:szCs w:val="17"/>
                <w:lang w:eastAsia="en-US"/>
              </w:rPr>
              <w:t>Achieved</w:t>
            </w:r>
          </w:p>
        </w:tc>
        <w:tc>
          <w:tcPr>
            <w:tcW w:w="2449" w:type="pct"/>
          </w:tcPr>
          <w:p w:rsidR="00400B0F" w:rsidRPr="00880004" w:rsidRDefault="00D54F20" w:rsidP="001E0297">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 xml:space="preserve">The Central Magistrates Court disposed of 885 criminal cases in 2017.  </w:t>
            </w:r>
          </w:p>
        </w:tc>
      </w:tr>
      <w:tr w:rsidR="007426F9" w:rsidRPr="00C61187" w:rsidTr="00776A05">
        <w:tc>
          <w:tcPr>
            <w:tcW w:w="1100" w:type="pct"/>
            <w:tcMar>
              <w:top w:w="57" w:type="dxa"/>
              <w:bottom w:w="57" w:type="dxa"/>
            </w:tcMar>
          </w:tcPr>
          <w:p w:rsidR="007426F9" w:rsidRDefault="00776A05" w:rsidP="00D54F20">
            <w:pPr>
              <w:keepLines/>
              <w:spacing w:before="40" w:after="40" w:line="200" w:lineRule="atLeast"/>
              <w:rPr>
                <w:rFonts w:eastAsia="Times New Roman"/>
                <w:iCs/>
                <w:szCs w:val="17"/>
              </w:rPr>
            </w:pPr>
            <w:r>
              <w:rPr>
                <w:rFonts w:asciiTheme="minorHAnsi" w:eastAsia="Times New Roman" w:hAnsiTheme="minorHAnsi"/>
                <w:b/>
                <w:iCs/>
                <w:szCs w:val="17"/>
                <w:lang w:eastAsia="en-US"/>
              </w:rPr>
              <w:t>Enabling e</w:t>
            </w:r>
            <w:r w:rsidR="007426F9" w:rsidRPr="007426F9">
              <w:rPr>
                <w:rFonts w:asciiTheme="minorHAnsi" w:eastAsia="Times New Roman" w:hAnsiTheme="minorHAnsi"/>
                <w:b/>
                <w:iCs/>
                <w:szCs w:val="17"/>
                <w:lang w:eastAsia="en-US"/>
              </w:rPr>
              <w:t xml:space="preserve">conomic </w:t>
            </w:r>
            <w:r>
              <w:rPr>
                <w:rFonts w:asciiTheme="minorHAnsi" w:eastAsia="Times New Roman" w:hAnsiTheme="minorHAnsi"/>
                <w:b/>
                <w:iCs/>
                <w:szCs w:val="17"/>
                <w:lang w:eastAsia="en-US"/>
              </w:rPr>
              <w:t>g</w:t>
            </w:r>
            <w:r w:rsidR="007426F9" w:rsidRPr="007426F9">
              <w:rPr>
                <w:rFonts w:asciiTheme="minorHAnsi" w:eastAsia="Times New Roman" w:hAnsiTheme="minorHAnsi"/>
                <w:b/>
                <w:iCs/>
                <w:szCs w:val="17"/>
                <w:lang w:eastAsia="en-US"/>
              </w:rPr>
              <w:t>rowth</w:t>
            </w:r>
          </w:p>
        </w:tc>
        <w:tc>
          <w:tcPr>
            <w:tcW w:w="851" w:type="pct"/>
          </w:tcPr>
          <w:p w:rsidR="007426F9" w:rsidRPr="006C2E33" w:rsidRDefault="007426F9" w:rsidP="00D54F20">
            <w:pPr>
              <w:keepLines/>
              <w:spacing w:before="40" w:after="40" w:line="200" w:lineRule="atLeast"/>
              <w:rPr>
                <w:rFonts w:eastAsia="Times New Roman"/>
                <w:iCs/>
                <w:color w:val="auto"/>
                <w:szCs w:val="17"/>
              </w:rPr>
            </w:pPr>
          </w:p>
        </w:tc>
        <w:tc>
          <w:tcPr>
            <w:tcW w:w="600" w:type="pct"/>
            <w:shd w:val="clear" w:color="auto" w:fill="auto"/>
          </w:tcPr>
          <w:p w:rsidR="007426F9" w:rsidRPr="00880004" w:rsidRDefault="007426F9" w:rsidP="00D54F20">
            <w:pPr>
              <w:keepLines/>
              <w:spacing w:before="40" w:after="40" w:line="200" w:lineRule="atLeast"/>
              <w:jc w:val="center"/>
              <w:rPr>
                <w:rFonts w:eastAsia="Times New Roman"/>
                <w:iCs/>
                <w:color w:val="FFFFFF" w:themeColor="background1"/>
                <w:szCs w:val="17"/>
              </w:rPr>
            </w:pPr>
          </w:p>
        </w:tc>
        <w:tc>
          <w:tcPr>
            <w:tcW w:w="2449" w:type="pct"/>
          </w:tcPr>
          <w:p w:rsidR="007426F9" w:rsidRPr="007A51E6" w:rsidRDefault="007426F9" w:rsidP="00D54F20">
            <w:pPr>
              <w:keepLines/>
              <w:spacing w:before="40" w:after="40" w:line="200" w:lineRule="atLeast"/>
              <w:rPr>
                <w:rFonts w:asciiTheme="minorHAnsi" w:eastAsia="Times New Roman" w:hAnsiTheme="minorHAnsi"/>
                <w:iCs/>
                <w:szCs w:val="17"/>
                <w:lang w:eastAsia="en-US"/>
              </w:rPr>
            </w:pPr>
          </w:p>
        </w:tc>
      </w:tr>
      <w:tr w:rsidR="007A51E6" w:rsidRPr="00C61187" w:rsidTr="001E0297">
        <w:tc>
          <w:tcPr>
            <w:tcW w:w="1100" w:type="pct"/>
            <w:tcMar>
              <w:top w:w="57" w:type="dxa"/>
              <w:bottom w:w="57" w:type="dxa"/>
            </w:tcMar>
          </w:tcPr>
          <w:p w:rsidR="007A51E6" w:rsidRPr="007426F9" w:rsidRDefault="007A51E6" w:rsidP="007A51E6">
            <w:pPr>
              <w:keepLines/>
              <w:spacing w:before="40" w:after="40" w:line="200" w:lineRule="atLeast"/>
              <w:rPr>
                <w:rFonts w:asciiTheme="minorHAnsi" w:eastAsia="Times New Roman" w:hAnsiTheme="minorHAnsi"/>
                <w:iCs/>
                <w:szCs w:val="17"/>
                <w:lang w:eastAsia="en-US"/>
              </w:rPr>
            </w:pPr>
            <w:r w:rsidRPr="007426F9">
              <w:rPr>
                <w:rFonts w:asciiTheme="minorHAnsi" w:eastAsia="Times New Roman" w:hAnsiTheme="minorHAnsi"/>
                <w:iCs/>
                <w:szCs w:val="17"/>
                <w:lang w:eastAsia="en-US"/>
              </w:rPr>
              <w:t>Women able to gain busine</w:t>
            </w:r>
            <w:r>
              <w:rPr>
                <w:rFonts w:asciiTheme="minorHAnsi" w:eastAsia="Times New Roman" w:hAnsiTheme="minorHAnsi"/>
                <w:iCs/>
                <w:szCs w:val="17"/>
                <w:lang w:eastAsia="en-US"/>
              </w:rPr>
              <w:t>ss or income-generating skills</w:t>
            </w:r>
          </w:p>
        </w:tc>
        <w:tc>
          <w:tcPr>
            <w:tcW w:w="851" w:type="pct"/>
          </w:tcPr>
          <w:p w:rsidR="007A51E6" w:rsidRPr="007426F9" w:rsidRDefault="007A51E6" w:rsidP="007A51E6">
            <w:pPr>
              <w:keepLines/>
              <w:spacing w:before="40" w:after="40" w:line="200" w:lineRule="atLeast"/>
              <w:rPr>
                <w:rFonts w:asciiTheme="minorHAnsi" w:eastAsia="Times New Roman" w:hAnsiTheme="minorHAnsi"/>
                <w:iCs/>
                <w:szCs w:val="17"/>
                <w:lang w:eastAsia="en-US"/>
              </w:rPr>
            </w:pPr>
            <w:r w:rsidRPr="007426F9">
              <w:rPr>
                <w:rFonts w:asciiTheme="minorHAnsi" w:eastAsia="Times New Roman" w:hAnsiTheme="minorHAnsi"/>
                <w:iCs/>
                <w:szCs w:val="17"/>
                <w:lang w:eastAsia="en-US"/>
              </w:rPr>
              <w:t>1,000 women are trained in business or income-generating skills</w:t>
            </w:r>
          </w:p>
        </w:tc>
        <w:tc>
          <w:tcPr>
            <w:tcW w:w="600" w:type="pct"/>
            <w:shd w:val="clear" w:color="auto" w:fill="92D050"/>
          </w:tcPr>
          <w:p w:rsidR="007A51E6" w:rsidRPr="00880004" w:rsidRDefault="001E0297" w:rsidP="007A51E6">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Achieved</w:t>
            </w:r>
          </w:p>
        </w:tc>
        <w:tc>
          <w:tcPr>
            <w:tcW w:w="2449" w:type="pct"/>
          </w:tcPr>
          <w:p w:rsidR="007A51E6" w:rsidRPr="007A51E6" w:rsidRDefault="005A0345" w:rsidP="00DE3739">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1,</w:t>
            </w:r>
            <w:r w:rsidR="00DE3739">
              <w:rPr>
                <w:rFonts w:asciiTheme="minorHAnsi" w:eastAsia="Times New Roman" w:hAnsiTheme="minorHAnsi"/>
                <w:iCs/>
                <w:szCs w:val="17"/>
                <w:lang w:eastAsia="en-US"/>
              </w:rPr>
              <w:t>559</w:t>
            </w:r>
            <w:r w:rsidR="007A51E6" w:rsidRPr="007A51E6">
              <w:rPr>
                <w:rFonts w:asciiTheme="minorHAnsi" w:eastAsia="Times New Roman" w:hAnsiTheme="minorHAnsi"/>
                <w:iCs/>
                <w:szCs w:val="17"/>
                <w:lang w:eastAsia="en-US"/>
              </w:rPr>
              <w:t xml:space="preserve"> women trained in business or income-generating skills: Youth@Work (</w:t>
            </w:r>
            <w:r w:rsidR="001843D6">
              <w:rPr>
                <w:rFonts w:asciiTheme="minorHAnsi" w:eastAsia="Times New Roman" w:hAnsiTheme="minorHAnsi"/>
                <w:iCs/>
                <w:szCs w:val="17"/>
                <w:lang w:eastAsia="en-US"/>
              </w:rPr>
              <w:t>158</w:t>
            </w:r>
            <w:r w:rsidR="007A51E6" w:rsidRPr="007A51E6">
              <w:rPr>
                <w:rFonts w:asciiTheme="minorHAnsi" w:eastAsia="Times New Roman" w:hAnsiTheme="minorHAnsi"/>
                <w:iCs/>
                <w:szCs w:val="17"/>
                <w:lang w:eastAsia="en-US"/>
              </w:rPr>
              <w:t xml:space="preserve">), </w:t>
            </w:r>
            <w:r w:rsidR="007A51E6" w:rsidRPr="00CD5827">
              <w:rPr>
                <w:rFonts w:asciiTheme="minorHAnsi" w:eastAsia="Times New Roman" w:hAnsiTheme="minorHAnsi"/>
                <w:iCs/>
                <w:szCs w:val="17"/>
                <w:lang w:eastAsia="en-US"/>
              </w:rPr>
              <w:t>APTC (</w:t>
            </w:r>
            <w:r w:rsidR="00FF3B4D" w:rsidRPr="00CD5827">
              <w:rPr>
                <w:rFonts w:asciiTheme="minorHAnsi" w:eastAsia="Times New Roman" w:hAnsiTheme="minorHAnsi"/>
                <w:iCs/>
                <w:szCs w:val="17"/>
                <w:lang w:eastAsia="en-US"/>
              </w:rPr>
              <w:t>71</w:t>
            </w:r>
            <w:r w:rsidR="007A51E6" w:rsidRPr="00CD5827">
              <w:rPr>
                <w:rFonts w:asciiTheme="minorHAnsi" w:eastAsia="Times New Roman" w:hAnsiTheme="minorHAnsi"/>
                <w:iCs/>
                <w:szCs w:val="17"/>
                <w:lang w:eastAsia="en-US"/>
              </w:rPr>
              <w:t>),</w:t>
            </w:r>
            <w:r w:rsidR="007A51E6" w:rsidRPr="007A51E6">
              <w:rPr>
                <w:rFonts w:asciiTheme="minorHAnsi" w:eastAsia="Times New Roman" w:hAnsiTheme="minorHAnsi"/>
                <w:iCs/>
                <w:szCs w:val="17"/>
                <w:lang w:eastAsia="en-US"/>
              </w:rPr>
              <w:t xml:space="preserve"> SIWIBA (</w:t>
            </w:r>
            <w:r w:rsidR="0083631C" w:rsidRPr="005A0345">
              <w:rPr>
                <w:rFonts w:eastAsia="Times New Roman"/>
                <w:iCs/>
                <w:szCs w:val="17"/>
              </w:rPr>
              <w:t>251</w:t>
            </w:r>
            <w:r w:rsidR="007A51E6" w:rsidRPr="007A51E6">
              <w:rPr>
                <w:rFonts w:asciiTheme="minorHAnsi" w:eastAsia="Times New Roman" w:hAnsiTheme="minorHAnsi"/>
                <w:iCs/>
                <w:szCs w:val="17"/>
                <w:lang w:eastAsia="en-US"/>
              </w:rPr>
              <w:t>), Market</w:t>
            </w:r>
            <w:r w:rsidR="0083631C">
              <w:rPr>
                <w:rFonts w:asciiTheme="minorHAnsi" w:eastAsia="Times New Roman" w:hAnsiTheme="minorHAnsi"/>
                <w:iCs/>
                <w:szCs w:val="17"/>
                <w:lang w:eastAsia="en-US"/>
              </w:rPr>
              <w:t>s</w:t>
            </w:r>
            <w:r w:rsidR="007A51E6" w:rsidRPr="007A51E6">
              <w:rPr>
                <w:rFonts w:asciiTheme="minorHAnsi" w:eastAsia="Times New Roman" w:hAnsiTheme="minorHAnsi"/>
                <w:iCs/>
                <w:szCs w:val="17"/>
                <w:lang w:eastAsia="en-US"/>
              </w:rPr>
              <w:t>4Change (</w:t>
            </w:r>
            <w:r w:rsidR="001D7C6A">
              <w:rPr>
                <w:rFonts w:asciiTheme="minorHAnsi" w:eastAsia="Times New Roman" w:hAnsiTheme="minorHAnsi"/>
                <w:iCs/>
                <w:szCs w:val="17"/>
                <w:lang w:eastAsia="en-US"/>
              </w:rPr>
              <w:t>216</w:t>
            </w:r>
            <w:r w:rsidR="007A51E6" w:rsidRPr="007A51E6">
              <w:rPr>
                <w:rFonts w:asciiTheme="minorHAnsi" w:eastAsia="Times New Roman" w:hAnsiTheme="minorHAnsi"/>
                <w:iCs/>
                <w:szCs w:val="17"/>
                <w:lang w:eastAsia="en-US"/>
              </w:rPr>
              <w:t>), Rural Development Program (</w:t>
            </w:r>
            <w:r w:rsidR="00815ECE">
              <w:rPr>
                <w:rFonts w:asciiTheme="minorHAnsi" w:eastAsia="Times New Roman" w:hAnsiTheme="minorHAnsi"/>
                <w:iCs/>
                <w:szCs w:val="17"/>
                <w:lang w:eastAsia="en-US"/>
              </w:rPr>
              <w:t>546</w:t>
            </w:r>
            <w:r w:rsidR="007A51E6" w:rsidRPr="007A51E6">
              <w:rPr>
                <w:rFonts w:asciiTheme="minorHAnsi" w:eastAsia="Times New Roman" w:hAnsiTheme="minorHAnsi"/>
                <w:iCs/>
                <w:szCs w:val="17"/>
                <w:lang w:eastAsia="en-US"/>
              </w:rPr>
              <w:t>) and PHARMA</w:t>
            </w:r>
            <w:r w:rsidR="007E7622">
              <w:rPr>
                <w:rFonts w:asciiTheme="minorHAnsi" w:eastAsia="Times New Roman" w:hAnsiTheme="minorHAnsi"/>
                <w:iCs/>
                <w:szCs w:val="17"/>
                <w:lang w:eastAsia="en-US"/>
              </w:rPr>
              <w:t xml:space="preserve"> (317).</w:t>
            </w:r>
            <w:r w:rsidR="007A51E6" w:rsidRPr="007A51E6">
              <w:rPr>
                <w:rFonts w:asciiTheme="minorHAnsi" w:eastAsia="Times New Roman" w:hAnsiTheme="minorHAnsi"/>
                <w:iCs/>
                <w:szCs w:val="17"/>
                <w:lang w:eastAsia="en-US"/>
              </w:rPr>
              <w:t xml:space="preserve">  </w:t>
            </w:r>
          </w:p>
        </w:tc>
      </w:tr>
      <w:tr w:rsidR="007A51E6" w:rsidRPr="00C61187" w:rsidTr="00616313">
        <w:tc>
          <w:tcPr>
            <w:tcW w:w="1100" w:type="pct"/>
            <w:tcMar>
              <w:top w:w="57" w:type="dxa"/>
              <w:bottom w:w="57" w:type="dxa"/>
            </w:tcMar>
          </w:tcPr>
          <w:p w:rsidR="007A51E6" w:rsidRPr="007426F9" w:rsidRDefault="007A51E6" w:rsidP="007A51E6">
            <w:pPr>
              <w:keepLines/>
              <w:spacing w:before="40" w:after="40" w:line="200" w:lineRule="atLeast"/>
              <w:rPr>
                <w:rFonts w:asciiTheme="minorHAnsi" w:eastAsia="Times New Roman" w:hAnsiTheme="minorHAnsi"/>
                <w:iCs/>
                <w:szCs w:val="17"/>
                <w:lang w:eastAsia="en-US"/>
              </w:rPr>
            </w:pPr>
            <w:r w:rsidRPr="007426F9">
              <w:rPr>
                <w:rFonts w:asciiTheme="minorHAnsi" w:eastAsia="Times New Roman" w:hAnsiTheme="minorHAnsi"/>
                <w:iCs/>
                <w:szCs w:val="17"/>
                <w:lang w:eastAsia="en-US"/>
              </w:rPr>
              <w:t xml:space="preserve">Improved transport infrastructure </w:t>
            </w:r>
          </w:p>
        </w:tc>
        <w:tc>
          <w:tcPr>
            <w:tcW w:w="851" w:type="pct"/>
          </w:tcPr>
          <w:p w:rsidR="007A51E6" w:rsidRPr="007426F9" w:rsidRDefault="001C73B3" w:rsidP="007A51E6">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75</w:t>
            </w:r>
            <w:r w:rsidR="007A51E6" w:rsidRPr="007426F9">
              <w:rPr>
                <w:rFonts w:asciiTheme="minorHAnsi" w:eastAsia="Times New Roman" w:hAnsiTheme="minorHAnsi"/>
                <w:iCs/>
                <w:szCs w:val="17"/>
                <w:lang w:eastAsia="en-US"/>
              </w:rPr>
              <w:t>0km of roads rehabilitated or maintained</w:t>
            </w:r>
          </w:p>
        </w:tc>
        <w:tc>
          <w:tcPr>
            <w:tcW w:w="600" w:type="pct"/>
            <w:shd w:val="clear" w:color="auto" w:fill="FF9900"/>
          </w:tcPr>
          <w:p w:rsidR="001C73B3" w:rsidRPr="001C73B3" w:rsidRDefault="001C73B3" w:rsidP="001C73B3">
            <w:pPr>
              <w:keepLines/>
              <w:spacing w:before="40" w:after="40" w:line="200" w:lineRule="atLeast"/>
              <w:jc w:val="center"/>
              <w:rPr>
                <w:rFonts w:asciiTheme="minorHAnsi" w:eastAsia="Times New Roman" w:hAnsiTheme="minorHAnsi"/>
                <w:iCs/>
                <w:color w:val="FFFFFF" w:themeColor="background1"/>
                <w:szCs w:val="17"/>
                <w:lang w:eastAsia="en-US"/>
              </w:rPr>
            </w:pPr>
            <w:r w:rsidRPr="001C73B3">
              <w:rPr>
                <w:rFonts w:asciiTheme="minorHAnsi" w:eastAsia="Times New Roman" w:hAnsiTheme="minorHAnsi"/>
                <w:iCs/>
                <w:color w:val="FFFFFF" w:themeColor="background1"/>
                <w:szCs w:val="17"/>
                <w:lang w:eastAsia="en-US"/>
              </w:rPr>
              <w:t>Partly achieved</w:t>
            </w:r>
          </w:p>
        </w:tc>
        <w:tc>
          <w:tcPr>
            <w:tcW w:w="2449" w:type="pct"/>
          </w:tcPr>
          <w:p w:rsidR="007A51E6" w:rsidRPr="007A51E6" w:rsidRDefault="007A51E6" w:rsidP="007E7622">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 xml:space="preserve">Through Australian support for the NTF, SIG maintained or rehabilitated </w:t>
            </w:r>
            <w:r w:rsidR="001C73B3">
              <w:rPr>
                <w:rFonts w:asciiTheme="minorHAnsi" w:eastAsia="Times New Roman" w:hAnsiTheme="minorHAnsi"/>
                <w:iCs/>
                <w:szCs w:val="17"/>
                <w:lang w:eastAsia="en-US"/>
              </w:rPr>
              <w:t>69</w:t>
            </w:r>
            <w:r w:rsidRPr="007A51E6">
              <w:rPr>
                <w:rFonts w:asciiTheme="minorHAnsi" w:eastAsia="Times New Roman" w:hAnsiTheme="minorHAnsi"/>
                <w:iCs/>
                <w:szCs w:val="17"/>
                <w:lang w:eastAsia="en-US"/>
              </w:rPr>
              <w:t xml:space="preserve">2km </w:t>
            </w:r>
            <w:r w:rsidR="001C73B3">
              <w:rPr>
                <w:rFonts w:asciiTheme="minorHAnsi" w:eastAsia="Times New Roman" w:hAnsiTheme="minorHAnsi"/>
                <w:iCs/>
                <w:szCs w:val="17"/>
                <w:lang w:eastAsia="en-US"/>
              </w:rPr>
              <w:t>of roads in 2017</w:t>
            </w:r>
            <w:r w:rsidR="007E7622">
              <w:rPr>
                <w:rFonts w:asciiTheme="minorHAnsi" w:eastAsia="Times New Roman" w:hAnsiTheme="minorHAnsi"/>
                <w:iCs/>
                <w:szCs w:val="17"/>
                <w:lang w:eastAsia="en-US"/>
              </w:rPr>
              <w:t>.</w:t>
            </w:r>
          </w:p>
        </w:tc>
      </w:tr>
      <w:tr w:rsidR="007A51E6" w:rsidRPr="00C61187" w:rsidTr="00616313">
        <w:tc>
          <w:tcPr>
            <w:tcW w:w="1100" w:type="pct"/>
            <w:tcMar>
              <w:top w:w="57" w:type="dxa"/>
              <w:bottom w:w="57" w:type="dxa"/>
            </w:tcMar>
          </w:tcPr>
          <w:p w:rsidR="007A51E6" w:rsidRPr="007426F9" w:rsidRDefault="007A51E6" w:rsidP="007A51E6">
            <w:pPr>
              <w:keepLines/>
              <w:spacing w:before="40" w:after="40" w:line="200" w:lineRule="atLeast"/>
              <w:rPr>
                <w:rFonts w:asciiTheme="minorHAnsi" w:eastAsia="Times New Roman" w:hAnsiTheme="minorHAnsi"/>
                <w:iCs/>
                <w:szCs w:val="17"/>
                <w:lang w:eastAsia="en-US"/>
              </w:rPr>
            </w:pPr>
            <w:r w:rsidRPr="007426F9">
              <w:rPr>
                <w:rFonts w:asciiTheme="minorHAnsi" w:eastAsia="Times New Roman" w:hAnsiTheme="minorHAnsi"/>
                <w:iCs/>
                <w:szCs w:val="17"/>
                <w:lang w:eastAsia="en-US"/>
              </w:rPr>
              <w:t>Improved environment for private sector investment, economic growth and trade</w:t>
            </w:r>
          </w:p>
        </w:tc>
        <w:tc>
          <w:tcPr>
            <w:tcW w:w="851" w:type="pct"/>
          </w:tcPr>
          <w:p w:rsidR="007A51E6" w:rsidRPr="007426F9" w:rsidRDefault="007A51E6" w:rsidP="00CD5827">
            <w:pPr>
              <w:keepLines/>
              <w:spacing w:before="40" w:after="40" w:line="200" w:lineRule="atLeast"/>
              <w:rPr>
                <w:rFonts w:asciiTheme="minorHAnsi" w:eastAsia="Times New Roman" w:hAnsiTheme="minorHAnsi"/>
                <w:iCs/>
                <w:szCs w:val="17"/>
                <w:lang w:eastAsia="en-US"/>
              </w:rPr>
            </w:pPr>
            <w:r w:rsidRPr="007426F9">
              <w:rPr>
                <w:rFonts w:asciiTheme="minorHAnsi" w:eastAsia="Times New Roman" w:hAnsiTheme="minorHAnsi"/>
                <w:iCs/>
                <w:szCs w:val="17"/>
                <w:lang w:eastAsia="en-US"/>
              </w:rPr>
              <w:t>50% of CEWG and Financial Reform Program actions achiev</w:t>
            </w:r>
            <w:r w:rsidR="00CD5827">
              <w:rPr>
                <w:rFonts w:asciiTheme="minorHAnsi" w:eastAsia="Times New Roman" w:hAnsiTheme="minorHAnsi"/>
                <w:iCs/>
                <w:szCs w:val="17"/>
                <w:lang w:eastAsia="en-US"/>
              </w:rPr>
              <w:t>ed</w:t>
            </w:r>
          </w:p>
        </w:tc>
        <w:tc>
          <w:tcPr>
            <w:tcW w:w="600" w:type="pct"/>
            <w:shd w:val="clear" w:color="auto" w:fill="FF9900"/>
          </w:tcPr>
          <w:p w:rsidR="007A51E6" w:rsidRPr="001C73B3" w:rsidRDefault="00616313" w:rsidP="007A51E6">
            <w:pPr>
              <w:keepLines/>
              <w:spacing w:before="40" w:after="40" w:line="200" w:lineRule="atLeast"/>
              <w:jc w:val="center"/>
              <w:rPr>
                <w:rFonts w:asciiTheme="minorHAnsi" w:eastAsia="Times New Roman" w:hAnsiTheme="minorHAnsi"/>
                <w:iCs/>
                <w:color w:val="FFFFFF" w:themeColor="background1"/>
                <w:szCs w:val="17"/>
                <w:lang w:eastAsia="en-US"/>
              </w:rPr>
            </w:pPr>
            <w:r>
              <w:rPr>
                <w:rFonts w:asciiTheme="minorHAnsi" w:eastAsia="Times New Roman" w:hAnsiTheme="minorHAnsi"/>
                <w:iCs/>
                <w:color w:val="FFFFFF" w:themeColor="background1"/>
                <w:szCs w:val="17"/>
                <w:lang w:eastAsia="en-US"/>
              </w:rPr>
              <w:t>Partly achieved</w:t>
            </w:r>
          </w:p>
        </w:tc>
        <w:tc>
          <w:tcPr>
            <w:tcW w:w="2449" w:type="pct"/>
          </w:tcPr>
          <w:p w:rsidR="007A51E6" w:rsidRPr="007A51E6" w:rsidRDefault="007A51E6" w:rsidP="00CD5827">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 xml:space="preserve">The CEWG </w:t>
            </w:r>
            <w:r w:rsidR="001C73B3">
              <w:rPr>
                <w:rFonts w:asciiTheme="minorHAnsi" w:eastAsia="Times New Roman" w:hAnsiTheme="minorHAnsi"/>
                <w:iCs/>
                <w:szCs w:val="17"/>
                <w:lang w:eastAsia="en-US"/>
              </w:rPr>
              <w:t xml:space="preserve">met and agreed a </w:t>
            </w:r>
            <w:r w:rsidR="00CD5827">
              <w:rPr>
                <w:rFonts w:asciiTheme="minorHAnsi" w:eastAsia="Times New Roman" w:hAnsiTheme="minorHAnsi"/>
                <w:iCs/>
                <w:szCs w:val="17"/>
                <w:lang w:eastAsia="en-US"/>
              </w:rPr>
              <w:t xml:space="preserve">2-year </w:t>
            </w:r>
            <w:r w:rsidR="001C73B3">
              <w:rPr>
                <w:rFonts w:asciiTheme="minorHAnsi" w:eastAsia="Times New Roman" w:hAnsiTheme="minorHAnsi"/>
                <w:iCs/>
                <w:szCs w:val="17"/>
                <w:lang w:eastAsia="en-US"/>
              </w:rPr>
              <w:t>reform program in 201</w:t>
            </w:r>
            <w:r w:rsidRPr="007A51E6">
              <w:rPr>
                <w:rFonts w:asciiTheme="minorHAnsi" w:eastAsia="Times New Roman" w:hAnsiTheme="minorHAnsi"/>
                <w:iCs/>
                <w:szCs w:val="17"/>
                <w:lang w:eastAsia="en-US"/>
              </w:rPr>
              <w:t>7</w:t>
            </w:r>
            <w:r w:rsidR="001C73B3">
              <w:rPr>
                <w:rFonts w:asciiTheme="minorHAnsi" w:eastAsia="Times New Roman" w:hAnsiTheme="minorHAnsi"/>
                <w:iCs/>
                <w:szCs w:val="17"/>
                <w:lang w:eastAsia="en-US"/>
              </w:rPr>
              <w:t>-18</w:t>
            </w:r>
            <w:r w:rsidR="00616313">
              <w:rPr>
                <w:rFonts w:asciiTheme="minorHAnsi" w:eastAsia="Times New Roman" w:hAnsiTheme="minorHAnsi"/>
                <w:iCs/>
                <w:szCs w:val="17"/>
                <w:lang w:eastAsia="en-US"/>
              </w:rPr>
              <w:t xml:space="preserve">. </w:t>
            </w:r>
            <w:r w:rsidR="001C73B3">
              <w:rPr>
                <w:rFonts w:asciiTheme="minorHAnsi" w:eastAsia="Times New Roman" w:hAnsiTheme="minorHAnsi"/>
                <w:iCs/>
                <w:szCs w:val="17"/>
                <w:lang w:eastAsia="en-US"/>
              </w:rPr>
              <w:t xml:space="preserve"> </w:t>
            </w:r>
            <w:r w:rsidR="00CD5827">
              <w:rPr>
                <w:rFonts w:asciiTheme="minorHAnsi" w:eastAsia="Times New Roman" w:hAnsiTheme="minorHAnsi"/>
                <w:iCs/>
                <w:szCs w:val="17"/>
                <w:lang w:eastAsia="en-US"/>
              </w:rPr>
              <w:t xml:space="preserve">Preliminary assessments indicate work is track to meet targets in 2018-19. </w:t>
            </w:r>
          </w:p>
        </w:tc>
      </w:tr>
      <w:tr w:rsidR="007A51E6" w:rsidRPr="00C61187" w:rsidTr="00776A05">
        <w:tc>
          <w:tcPr>
            <w:tcW w:w="1951" w:type="pct"/>
            <w:gridSpan w:val="2"/>
            <w:tcMar>
              <w:top w:w="57" w:type="dxa"/>
              <w:bottom w:w="57" w:type="dxa"/>
            </w:tcMar>
          </w:tcPr>
          <w:p w:rsidR="007A51E6" w:rsidRPr="00880004" w:rsidRDefault="007A51E6" w:rsidP="007A51E6">
            <w:pPr>
              <w:keepLines/>
              <w:spacing w:before="40" w:after="40" w:line="200" w:lineRule="atLeast"/>
              <w:rPr>
                <w:rFonts w:eastAsia="Times New Roman"/>
                <w:iCs/>
                <w:szCs w:val="17"/>
              </w:rPr>
            </w:pPr>
            <w:r w:rsidRPr="007A51E6">
              <w:rPr>
                <w:rFonts w:asciiTheme="minorHAnsi" w:eastAsia="Times New Roman" w:hAnsiTheme="minorHAnsi"/>
                <w:b/>
                <w:iCs/>
                <w:szCs w:val="17"/>
                <w:lang w:eastAsia="en-US"/>
              </w:rPr>
              <w:t xml:space="preserve">Enhancing </w:t>
            </w:r>
            <w:r>
              <w:rPr>
                <w:rFonts w:asciiTheme="minorHAnsi" w:eastAsia="Times New Roman" w:hAnsiTheme="minorHAnsi"/>
                <w:b/>
                <w:iCs/>
                <w:szCs w:val="17"/>
                <w:lang w:eastAsia="en-US"/>
              </w:rPr>
              <w:t>human</w:t>
            </w:r>
            <w:r w:rsidRPr="007A51E6">
              <w:rPr>
                <w:rFonts w:asciiTheme="minorHAnsi" w:eastAsia="Times New Roman" w:hAnsiTheme="minorHAnsi"/>
                <w:b/>
                <w:iCs/>
                <w:szCs w:val="17"/>
                <w:lang w:eastAsia="en-US"/>
              </w:rPr>
              <w:t xml:space="preserve"> development</w:t>
            </w:r>
            <w:r>
              <w:rPr>
                <w:rFonts w:eastAsia="Times New Roman"/>
                <w:iCs/>
                <w:szCs w:val="17"/>
              </w:rPr>
              <w:t xml:space="preserve"> </w:t>
            </w:r>
          </w:p>
        </w:tc>
        <w:tc>
          <w:tcPr>
            <w:tcW w:w="600" w:type="pct"/>
            <w:shd w:val="clear" w:color="auto" w:fill="auto"/>
          </w:tcPr>
          <w:p w:rsidR="007A51E6" w:rsidRPr="00880004" w:rsidRDefault="007A51E6" w:rsidP="007A51E6">
            <w:pPr>
              <w:keepLines/>
              <w:spacing w:before="40" w:after="40" w:line="200" w:lineRule="atLeast"/>
              <w:jc w:val="center"/>
              <w:rPr>
                <w:rFonts w:eastAsia="Times New Roman"/>
                <w:iCs/>
                <w:color w:val="FFFFFF" w:themeColor="background1"/>
                <w:szCs w:val="17"/>
              </w:rPr>
            </w:pPr>
          </w:p>
        </w:tc>
        <w:tc>
          <w:tcPr>
            <w:tcW w:w="2449" w:type="pct"/>
          </w:tcPr>
          <w:p w:rsidR="007A51E6" w:rsidRPr="007A51E6" w:rsidRDefault="007A51E6" w:rsidP="007A51E6">
            <w:pPr>
              <w:keepLines/>
              <w:spacing w:before="40" w:after="40" w:line="200" w:lineRule="atLeast"/>
              <w:rPr>
                <w:rFonts w:asciiTheme="minorHAnsi" w:eastAsia="Times New Roman" w:hAnsiTheme="minorHAnsi"/>
                <w:iCs/>
                <w:szCs w:val="17"/>
                <w:lang w:eastAsia="en-US"/>
              </w:rPr>
            </w:pPr>
          </w:p>
        </w:tc>
      </w:tr>
      <w:tr w:rsidR="007A51E6" w:rsidRPr="00C61187" w:rsidTr="00616313">
        <w:tc>
          <w:tcPr>
            <w:tcW w:w="1100" w:type="pct"/>
            <w:tcMar>
              <w:top w:w="57" w:type="dxa"/>
              <w:bottom w:w="57" w:type="dxa"/>
            </w:tcMar>
          </w:tcPr>
          <w:p w:rsidR="007A51E6" w:rsidRPr="007A51E6" w:rsidRDefault="007A51E6" w:rsidP="007A51E6">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 xml:space="preserve">Improved functioning of health system </w:t>
            </w:r>
          </w:p>
        </w:tc>
        <w:tc>
          <w:tcPr>
            <w:tcW w:w="851" w:type="pct"/>
          </w:tcPr>
          <w:p w:rsidR="007A51E6" w:rsidRPr="007A51E6" w:rsidRDefault="007A51E6" w:rsidP="001C73B3">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Availability of critical and essential medicines  is 9</w:t>
            </w:r>
            <w:r w:rsidR="001C73B3">
              <w:rPr>
                <w:rFonts w:asciiTheme="minorHAnsi" w:eastAsia="Times New Roman" w:hAnsiTheme="minorHAnsi"/>
                <w:iCs/>
                <w:szCs w:val="17"/>
                <w:lang w:eastAsia="en-US"/>
              </w:rPr>
              <w:t>2</w:t>
            </w:r>
            <w:r w:rsidRPr="007A51E6">
              <w:rPr>
                <w:rFonts w:asciiTheme="minorHAnsi" w:eastAsia="Times New Roman" w:hAnsiTheme="minorHAnsi"/>
                <w:iCs/>
                <w:szCs w:val="17"/>
                <w:lang w:eastAsia="en-US"/>
              </w:rPr>
              <w:t>%</w:t>
            </w:r>
          </w:p>
        </w:tc>
        <w:tc>
          <w:tcPr>
            <w:tcW w:w="600" w:type="pct"/>
            <w:shd w:val="clear" w:color="auto" w:fill="FF9900"/>
          </w:tcPr>
          <w:p w:rsidR="007A51E6" w:rsidRPr="00880004" w:rsidRDefault="001C73B3" w:rsidP="007A51E6">
            <w:pPr>
              <w:keepLines/>
              <w:spacing w:before="40" w:after="40" w:line="200" w:lineRule="atLeast"/>
              <w:jc w:val="center"/>
              <w:rPr>
                <w:rFonts w:eastAsia="Times New Roman"/>
                <w:iCs/>
                <w:color w:val="FFFFFF" w:themeColor="background1"/>
                <w:szCs w:val="17"/>
              </w:rPr>
            </w:pPr>
            <w:r w:rsidRPr="001C73B3">
              <w:rPr>
                <w:rFonts w:asciiTheme="minorHAnsi" w:eastAsia="Times New Roman" w:hAnsiTheme="minorHAnsi"/>
                <w:iCs/>
                <w:color w:val="FFFFFF" w:themeColor="background1"/>
                <w:szCs w:val="17"/>
                <w:lang w:eastAsia="en-US"/>
              </w:rPr>
              <w:t>Partly achieved</w:t>
            </w:r>
          </w:p>
        </w:tc>
        <w:tc>
          <w:tcPr>
            <w:tcW w:w="2449" w:type="pct"/>
          </w:tcPr>
          <w:p w:rsidR="007A51E6" w:rsidRPr="007A51E6" w:rsidRDefault="007A51E6" w:rsidP="00616313">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Availability of essential medicines at pro</w:t>
            </w:r>
            <w:r w:rsidR="001C73B3">
              <w:rPr>
                <w:rFonts w:asciiTheme="minorHAnsi" w:eastAsia="Times New Roman" w:hAnsiTheme="minorHAnsi"/>
                <w:iCs/>
                <w:szCs w:val="17"/>
                <w:lang w:eastAsia="en-US"/>
              </w:rPr>
              <w:t>vincial medical stores was 85</w:t>
            </w:r>
            <w:r w:rsidRPr="007A51E6">
              <w:rPr>
                <w:rFonts w:asciiTheme="minorHAnsi" w:eastAsia="Times New Roman" w:hAnsiTheme="minorHAnsi"/>
                <w:iCs/>
                <w:szCs w:val="17"/>
                <w:lang w:eastAsia="en-US"/>
              </w:rPr>
              <w:t>% in 201</w:t>
            </w:r>
            <w:r w:rsidR="001C73B3">
              <w:rPr>
                <w:rFonts w:asciiTheme="minorHAnsi" w:eastAsia="Times New Roman" w:hAnsiTheme="minorHAnsi"/>
                <w:iCs/>
                <w:szCs w:val="17"/>
                <w:lang w:eastAsia="en-US"/>
              </w:rPr>
              <w:t>7</w:t>
            </w:r>
            <w:r w:rsidR="00616313">
              <w:rPr>
                <w:rFonts w:asciiTheme="minorHAnsi" w:eastAsia="Times New Roman" w:hAnsiTheme="minorHAnsi"/>
                <w:iCs/>
                <w:szCs w:val="17"/>
                <w:lang w:eastAsia="en-US"/>
              </w:rPr>
              <w:t>.</w:t>
            </w:r>
          </w:p>
        </w:tc>
      </w:tr>
      <w:tr w:rsidR="007A51E6" w:rsidRPr="00C61187" w:rsidTr="00776A05">
        <w:tc>
          <w:tcPr>
            <w:tcW w:w="1100" w:type="pct"/>
            <w:tcMar>
              <w:top w:w="57" w:type="dxa"/>
              <w:bottom w:w="57" w:type="dxa"/>
            </w:tcMar>
          </w:tcPr>
          <w:p w:rsidR="007A51E6" w:rsidRPr="007A51E6" w:rsidRDefault="007A51E6" w:rsidP="007A51E6">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Year 4 literacy and numeracy rates – SISTA</w:t>
            </w:r>
          </w:p>
        </w:tc>
        <w:tc>
          <w:tcPr>
            <w:tcW w:w="851" w:type="pct"/>
          </w:tcPr>
          <w:p w:rsidR="007A51E6" w:rsidRPr="007A51E6" w:rsidRDefault="007A51E6" w:rsidP="00776A05">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Progress toward SIG’s 2020 target of 85%</w:t>
            </w:r>
          </w:p>
        </w:tc>
        <w:tc>
          <w:tcPr>
            <w:tcW w:w="600" w:type="pct"/>
            <w:shd w:val="clear" w:color="auto" w:fill="auto"/>
          </w:tcPr>
          <w:p w:rsidR="007A51E6" w:rsidRPr="001C73B3" w:rsidRDefault="001C73B3" w:rsidP="007A51E6">
            <w:pPr>
              <w:keepLines/>
              <w:spacing w:before="40" w:after="40" w:line="200" w:lineRule="atLeast"/>
              <w:jc w:val="center"/>
              <w:rPr>
                <w:rFonts w:asciiTheme="minorHAnsi" w:eastAsia="Times New Roman" w:hAnsiTheme="minorHAnsi"/>
                <w:iCs/>
                <w:color w:val="FFFFFF" w:themeColor="background1"/>
                <w:szCs w:val="17"/>
              </w:rPr>
            </w:pPr>
            <w:r w:rsidRPr="001C73B3">
              <w:rPr>
                <w:rFonts w:asciiTheme="minorHAnsi" w:eastAsia="Times New Roman" w:hAnsiTheme="minorHAnsi"/>
                <w:iCs/>
                <w:color w:val="000000" w:themeColor="text1"/>
                <w:szCs w:val="17"/>
              </w:rPr>
              <w:t>Data not yet available</w:t>
            </w:r>
          </w:p>
        </w:tc>
        <w:tc>
          <w:tcPr>
            <w:tcW w:w="2449" w:type="pct"/>
          </w:tcPr>
          <w:p w:rsidR="007A51E6" w:rsidRPr="007A51E6" w:rsidRDefault="007A51E6" w:rsidP="001C73B3">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SISTA was implemented in late 2017 as planned</w:t>
            </w:r>
            <w:r w:rsidR="001C73B3">
              <w:rPr>
                <w:rFonts w:asciiTheme="minorHAnsi" w:eastAsia="Times New Roman" w:hAnsiTheme="minorHAnsi"/>
                <w:iCs/>
                <w:szCs w:val="17"/>
                <w:lang w:eastAsia="en-US"/>
              </w:rPr>
              <w:t>, however results are not yet available</w:t>
            </w:r>
            <w:r w:rsidR="001E0297">
              <w:rPr>
                <w:rFonts w:asciiTheme="minorHAnsi" w:eastAsia="Times New Roman" w:hAnsiTheme="minorHAnsi"/>
                <w:iCs/>
                <w:szCs w:val="17"/>
                <w:lang w:eastAsia="en-US"/>
              </w:rPr>
              <w:t xml:space="preserve">. </w:t>
            </w:r>
          </w:p>
        </w:tc>
      </w:tr>
      <w:tr w:rsidR="007A51E6" w:rsidRPr="00C61187" w:rsidTr="00CD5827">
        <w:tc>
          <w:tcPr>
            <w:tcW w:w="1100" w:type="pct"/>
            <w:tcMar>
              <w:top w:w="57" w:type="dxa"/>
              <w:bottom w:w="57" w:type="dxa"/>
            </w:tcMar>
          </w:tcPr>
          <w:p w:rsidR="007A51E6" w:rsidRPr="007A51E6" w:rsidRDefault="007A51E6" w:rsidP="007A51E6">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Increase in percentage of primary teachers certified</w:t>
            </w:r>
          </w:p>
        </w:tc>
        <w:tc>
          <w:tcPr>
            <w:tcW w:w="851" w:type="pct"/>
          </w:tcPr>
          <w:p w:rsidR="007A51E6" w:rsidRPr="007A51E6" w:rsidRDefault="007A51E6" w:rsidP="001C73B3">
            <w:pPr>
              <w:keepLines/>
              <w:spacing w:before="40" w:after="40" w:line="200" w:lineRule="atLeast"/>
              <w:rPr>
                <w:rFonts w:asciiTheme="minorHAnsi" w:eastAsia="Times New Roman" w:hAnsiTheme="minorHAnsi"/>
                <w:iCs/>
                <w:szCs w:val="17"/>
                <w:lang w:eastAsia="en-US"/>
              </w:rPr>
            </w:pPr>
            <w:r w:rsidRPr="007A51E6">
              <w:rPr>
                <w:rFonts w:asciiTheme="minorHAnsi" w:eastAsia="Times New Roman" w:hAnsiTheme="minorHAnsi"/>
                <w:iCs/>
                <w:szCs w:val="17"/>
                <w:lang w:eastAsia="en-US"/>
              </w:rPr>
              <w:t xml:space="preserve">Progress towards </w:t>
            </w:r>
            <w:r w:rsidR="001C73B3">
              <w:rPr>
                <w:rFonts w:asciiTheme="minorHAnsi" w:eastAsia="Times New Roman" w:hAnsiTheme="minorHAnsi"/>
                <w:iCs/>
                <w:szCs w:val="17"/>
                <w:lang w:eastAsia="en-US"/>
              </w:rPr>
              <w:t xml:space="preserve">target of </w:t>
            </w:r>
            <w:r w:rsidR="001C73B3" w:rsidRPr="00CD5827">
              <w:rPr>
                <w:rFonts w:asciiTheme="minorHAnsi" w:eastAsia="Times New Roman" w:hAnsiTheme="minorHAnsi"/>
                <w:iCs/>
                <w:szCs w:val="17"/>
                <w:lang w:eastAsia="en-US"/>
              </w:rPr>
              <w:t>8</w:t>
            </w:r>
            <w:r w:rsidR="002D6EFD" w:rsidRPr="00CD5827">
              <w:rPr>
                <w:rFonts w:asciiTheme="minorHAnsi" w:eastAsia="Times New Roman" w:hAnsiTheme="minorHAnsi"/>
                <w:iCs/>
                <w:szCs w:val="17"/>
                <w:lang w:eastAsia="en-US"/>
              </w:rPr>
              <w:t>5</w:t>
            </w:r>
            <w:r w:rsidRPr="00CD5827">
              <w:rPr>
                <w:rFonts w:asciiTheme="minorHAnsi" w:eastAsia="Times New Roman" w:hAnsiTheme="minorHAnsi"/>
                <w:iCs/>
                <w:szCs w:val="17"/>
                <w:lang w:eastAsia="en-US"/>
              </w:rPr>
              <w:t>%</w:t>
            </w:r>
            <w:r w:rsidRPr="007A51E6">
              <w:rPr>
                <w:rFonts w:asciiTheme="minorHAnsi" w:eastAsia="Times New Roman" w:hAnsiTheme="minorHAnsi"/>
                <w:iCs/>
                <w:szCs w:val="17"/>
                <w:lang w:eastAsia="en-US"/>
              </w:rPr>
              <w:t xml:space="preserve"> of primary teachers certified</w:t>
            </w:r>
            <w:r w:rsidR="002D6EFD">
              <w:rPr>
                <w:rFonts w:asciiTheme="minorHAnsi" w:eastAsia="Times New Roman" w:hAnsiTheme="minorHAnsi"/>
                <w:iCs/>
                <w:szCs w:val="17"/>
                <w:lang w:eastAsia="en-US"/>
              </w:rPr>
              <w:t xml:space="preserve"> in 2020</w:t>
            </w:r>
          </w:p>
        </w:tc>
        <w:tc>
          <w:tcPr>
            <w:tcW w:w="600" w:type="pct"/>
            <w:shd w:val="clear" w:color="auto" w:fill="92D050"/>
          </w:tcPr>
          <w:p w:rsidR="007A51E6" w:rsidRPr="00880004" w:rsidRDefault="002D6EFD" w:rsidP="007A51E6">
            <w:pPr>
              <w:keepLines/>
              <w:spacing w:before="40" w:after="40" w:line="200" w:lineRule="atLeast"/>
              <w:jc w:val="center"/>
              <w:rPr>
                <w:rFonts w:eastAsia="Times New Roman"/>
                <w:iCs/>
                <w:color w:val="FFFFFF" w:themeColor="background1"/>
                <w:szCs w:val="17"/>
              </w:rPr>
            </w:pPr>
            <w:r>
              <w:rPr>
                <w:rFonts w:asciiTheme="minorHAnsi" w:eastAsia="Times New Roman" w:hAnsiTheme="minorHAnsi"/>
                <w:iCs/>
                <w:color w:val="FFFFFF" w:themeColor="background1"/>
                <w:szCs w:val="17"/>
                <w:lang w:eastAsia="en-US"/>
              </w:rPr>
              <w:t>A</w:t>
            </w:r>
            <w:r w:rsidR="001C73B3" w:rsidRPr="001C73B3">
              <w:rPr>
                <w:rFonts w:asciiTheme="minorHAnsi" w:eastAsia="Times New Roman" w:hAnsiTheme="minorHAnsi"/>
                <w:iCs/>
                <w:color w:val="FFFFFF" w:themeColor="background1"/>
                <w:szCs w:val="17"/>
                <w:lang w:eastAsia="en-US"/>
              </w:rPr>
              <w:t>chieved</w:t>
            </w:r>
          </w:p>
        </w:tc>
        <w:tc>
          <w:tcPr>
            <w:tcW w:w="2449" w:type="pct"/>
          </w:tcPr>
          <w:p w:rsidR="007A51E6" w:rsidRPr="007A51E6" w:rsidRDefault="002D6EFD" w:rsidP="002D6EFD">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72.2% of primary teachers were certified in 2017 up from 65.6% in 2016.</w:t>
            </w:r>
            <w:r w:rsidR="00776A05">
              <w:rPr>
                <w:rFonts w:asciiTheme="minorHAnsi" w:eastAsia="Times New Roman" w:hAnsiTheme="minorHAnsi"/>
                <w:iCs/>
                <w:szCs w:val="17"/>
                <w:lang w:eastAsia="en-US"/>
              </w:rPr>
              <w:t xml:space="preserve"> </w:t>
            </w:r>
            <w:r w:rsidR="007A51E6" w:rsidRPr="007A51E6">
              <w:rPr>
                <w:rFonts w:asciiTheme="minorHAnsi" w:eastAsia="Times New Roman" w:hAnsiTheme="minorHAnsi"/>
                <w:iCs/>
                <w:szCs w:val="17"/>
                <w:lang w:eastAsia="en-US"/>
              </w:rPr>
              <w:t xml:space="preserve"> </w:t>
            </w:r>
          </w:p>
        </w:tc>
      </w:tr>
    </w:tbl>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sz w:val="16"/>
          <w:szCs w:val="14"/>
        </w:rPr>
        <w:t xml:space="preserve">Note: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w:t>
      </w:r>
      <w:r w:rsidRPr="00880004">
        <w:rPr>
          <w:rFonts w:eastAsia="Times New Roman"/>
          <w:b/>
          <w:sz w:val="16"/>
          <w:szCs w:val="14"/>
        </w:rPr>
        <w:t xml:space="preserve"> Achieved.  Significant progress has been made and the performance benchmark was achieved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sz w:val="16"/>
          <w:szCs w:val="14"/>
        </w:rPr>
        <w:t> </w:t>
      </w:r>
      <w:r w:rsidRPr="00880004">
        <w:rPr>
          <w:rFonts w:eastAsia="Times New Roman"/>
          <w:b/>
          <w:sz w:val="16"/>
          <w:szCs w:val="14"/>
        </w:rPr>
        <w:t xml:space="preserve"> Partly achieved.  Some progress has been made towards achieving the performance benchmark, but progress was less than anticipated. </w:t>
      </w:r>
    </w:p>
    <w:p w:rsidR="00400B0F" w:rsidRPr="00880004" w:rsidRDefault="00400B0F" w:rsidP="00400B0F">
      <w:pPr>
        <w:spacing w:before="20" w:after="20" w:line="180" w:lineRule="atLeast"/>
        <w:jc w:val="both"/>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w:t>
      </w:r>
      <w:r w:rsidRPr="00880004">
        <w:rPr>
          <w:rFonts w:eastAsia="Times New Roman"/>
          <w:b/>
          <w:sz w:val="16"/>
          <w:szCs w:val="14"/>
        </w:rPr>
        <w:t xml:space="preserve"> Not achieved. Progress towards the performance benchmark has been significantly below expectations</w:t>
      </w:r>
    </w:p>
    <w:p w:rsidR="00776A05" w:rsidRDefault="00776A05" w:rsidP="007B4865">
      <w:pPr>
        <w:rPr>
          <w:rFonts w:ascii="Franklin Gothic Book" w:eastAsia="Times New Roman" w:hAnsi="Franklin Gothic Book"/>
          <w:b/>
          <w:sz w:val="24"/>
          <w:szCs w:val="24"/>
        </w:rPr>
      </w:pPr>
    </w:p>
    <w:p w:rsidR="00CE5DF0" w:rsidRDefault="00CE5DF0" w:rsidP="007B4865">
      <w:pPr>
        <w:rPr>
          <w:rFonts w:ascii="Franklin Gothic Book" w:eastAsia="Times New Roman" w:hAnsi="Franklin Gothic Book"/>
          <w:b/>
          <w:sz w:val="24"/>
          <w:szCs w:val="24"/>
        </w:rPr>
      </w:pPr>
      <w:r w:rsidRPr="007B4865">
        <w:rPr>
          <w:rFonts w:ascii="Franklin Gothic Book" w:eastAsia="Times New Roman" w:hAnsi="Franklin Gothic Book"/>
          <w:b/>
          <w:sz w:val="24"/>
          <w:szCs w:val="24"/>
        </w:rPr>
        <w:t xml:space="preserve">Performance Benchmarks </w:t>
      </w:r>
      <w:r w:rsidR="00320251" w:rsidRPr="007B4865">
        <w:rPr>
          <w:rFonts w:ascii="Franklin Gothic Book" w:eastAsia="Times New Roman" w:hAnsi="Franklin Gothic Book"/>
          <w:b/>
          <w:sz w:val="24"/>
          <w:szCs w:val="24"/>
        </w:rPr>
        <w:t>for remainder of A</w:t>
      </w:r>
      <w:r w:rsidR="007B4865">
        <w:rPr>
          <w:rFonts w:ascii="Franklin Gothic Book" w:eastAsia="Times New Roman" w:hAnsi="Franklin Gothic Book"/>
          <w:b/>
          <w:sz w:val="24"/>
          <w:szCs w:val="24"/>
        </w:rPr>
        <w:t xml:space="preserve">id </w:t>
      </w:r>
      <w:r w:rsidR="00320251" w:rsidRPr="007B4865">
        <w:rPr>
          <w:rFonts w:ascii="Franklin Gothic Book" w:eastAsia="Times New Roman" w:hAnsi="Franklin Gothic Book"/>
          <w:b/>
          <w:sz w:val="24"/>
          <w:szCs w:val="24"/>
        </w:rPr>
        <w:t>I</w:t>
      </w:r>
      <w:r w:rsidR="007B4865">
        <w:rPr>
          <w:rFonts w:ascii="Franklin Gothic Book" w:eastAsia="Times New Roman" w:hAnsi="Franklin Gothic Book"/>
          <w:b/>
          <w:sz w:val="24"/>
          <w:szCs w:val="24"/>
        </w:rPr>
        <w:t xml:space="preserve">nvestment </w:t>
      </w:r>
      <w:r w:rsidR="00320251" w:rsidRPr="007B4865">
        <w:rPr>
          <w:rFonts w:ascii="Franklin Gothic Book" w:eastAsia="Times New Roman" w:hAnsi="Franklin Gothic Book"/>
          <w:b/>
          <w:sz w:val="24"/>
          <w:szCs w:val="24"/>
        </w:rPr>
        <w:t>P</w:t>
      </w:r>
      <w:r w:rsidR="00C7297E">
        <w:rPr>
          <w:rFonts w:ascii="Franklin Gothic Book" w:eastAsia="Times New Roman" w:hAnsi="Franklin Gothic Book"/>
          <w:b/>
          <w:sz w:val="24"/>
          <w:szCs w:val="24"/>
        </w:rPr>
        <w:t>lan</w:t>
      </w:r>
    </w:p>
    <w:p w:rsidR="007B4865" w:rsidRPr="007B4865" w:rsidRDefault="007B4865" w:rsidP="007B4865">
      <w:pPr>
        <w:rPr>
          <w:rFonts w:ascii="Franklin Gothic Book" w:eastAsia="Times New Roman" w:hAnsi="Franklin Gothic Book"/>
          <w:b/>
          <w:sz w:val="24"/>
          <w:szCs w:val="24"/>
        </w:rPr>
      </w:pPr>
    </w:p>
    <w:tbl>
      <w:tblPr>
        <w:tblStyle w:val="DFATTable"/>
        <w:tblW w:w="5001" w:type="pct"/>
        <w:tblLook w:val="04A0" w:firstRow="1" w:lastRow="0" w:firstColumn="1" w:lastColumn="0" w:noHBand="0" w:noVBand="1"/>
      </w:tblPr>
      <w:tblGrid>
        <w:gridCol w:w="5353"/>
        <w:gridCol w:w="4712"/>
        <w:gridCol w:w="4111"/>
      </w:tblGrid>
      <w:tr w:rsidR="00776A05" w:rsidTr="00776A05">
        <w:trPr>
          <w:trHeight w:val="331"/>
        </w:trPr>
        <w:tc>
          <w:tcPr>
            <w:tcW w:w="1888" w:type="pct"/>
            <w:tcBorders>
              <w:top w:val="single" w:sz="12" w:space="0" w:color="auto"/>
              <w:left w:val="nil"/>
              <w:bottom w:val="nil"/>
              <w:right w:val="nil"/>
            </w:tcBorders>
          </w:tcPr>
          <w:p w:rsidR="00776A05" w:rsidRPr="00BE6C6D" w:rsidRDefault="00776A05" w:rsidP="00320251">
            <w:pPr>
              <w:pStyle w:val="NormalIndented"/>
              <w:rPr>
                <w:rFonts w:asciiTheme="minorHAnsi" w:hAnsiTheme="minorHAnsi"/>
              </w:rPr>
            </w:pPr>
            <w:r w:rsidRPr="00880004">
              <w:rPr>
                <w:rFonts w:asciiTheme="minorHAnsi" w:eastAsia="Times New Roman" w:hAnsiTheme="minorHAnsi"/>
                <w:b/>
                <w:iCs/>
                <w:szCs w:val="17"/>
                <w:lang w:eastAsia="en-US"/>
              </w:rPr>
              <w:t>Aid objective</w:t>
            </w:r>
          </w:p>
        </w:tc>
        <w:tc>
          <w:tcPr>
            <w:tcW w:w="1662" w:type="pct"/>
            <w:tcBorders>
              <w:top w:val="single" w:sz="12" w:space="0" w:color="auto"/>
              <w:left w:val="nil"/>
              <w:bottom w:val="nil"/>
              <w:right w:val="nil"/>
            </w:tcBorders>
          </w:tcPr>
          <w:p w:rsidR="00776A05" w:rsidRPr="00BE6C6D" w:rsidRDefault="00776A05" w:rsidP="00320251">
            <w:pPr>
              <w:pStyle w:val="NormalIndented"/>
              <w:rPr>
                <w:rFonts w:asciiTheme="minorHAnsi" w:hAnsiTheme="minorHAnsi"/>
              </w:rPr>
            </w:pPr>
            <w:r>
              <w:rPr>
                <w:rFonts w:asciiTheme="minorHAnsi" w:eastAsia="Times New Roman" w:hAnsiTheme="minorHAnsi"/>
                <w:b/>
                <w:iCs/>
                <w:szCs w:val="17"/>
                <w:lang w:eastAsia="en-US"/>
              </w:rPr>
              <w:t>Performance B</w:t>
            </w:r>
            <w:r w:rsidRPr="00880004">
              <w:rPr>
                <w:rFonts w:asciiTheme="minorHAnsi" w:eastAsia="Times New Roman" w:hAnsiTheme="minorHAnsi"/>
                <w:b/>
                <w:iCs/>
                <w:szCs w:val="17"/>
                <w:lang w:eastAsia="en-US"/>
              </w:rPr>
              <w:t xml:space="preserve">enchmark </w:t>
            </w:r>
          </w:p>
        </w:tc>
        <w:tc>
          <w:tcPr>
            <w:tcW w:w="1450" w:type="pct"/>
            <w:tcBorders>
              <w:top w:val="single" w:sz="12" w:space="0" w:color="auto"/>
              <w:left w:val="nil"/>
              <w:bottom w:val="nil"/>
              <w:right w:val="nil"/>
            </w:tcBorders>
            <w:hideMark/>
          </w:tcPr>
          <w:p w:rsidR="00776A05" w:rsidRPr="00BE6C6D" w:rsidRDefault="00776A05" w:rsidP="00320251">
            <w:pPr>
              <w:pStyle w:val="NormalIndented"/>
              <w:ind w:left="0"/>
              <w:jc w:val="center"/>
              <w:rPr>
                <w:rFonts w:asciiTheme="minorHAnsi" w:hAnsiTheme="minorHAnsi"/>
                <w:b/>
              </w:rPr>
            </w:pPr>
            <w:r w:rsidRPr="00BE6C6D">
              <w:rPr>
                <w:rFonts w:asciiTheme="minorHAnsi" w:hAnsiTheme="minorHAnsi"/>
                <w:b/>
              </w:rPr>
              <w:t>201</w:t>
            </w:r>
            <w:r>
              <w:rPr>
                <w:rFonts w:asciiTheme="minorHAnsi" w:hAnsiTheme="minorHAnsi"/>
                <w:b/>
              </w:rPr>
              <w:t>8</w:t>
            </w:r>
            <w:r w:rsidRPr="00BE6C6D">
              <w:rPr>
                <w:rFonts w:asciiTheme="minorHAnsi" w:hAnsiTheme="minorHAnsi"/>
                <w:b/>
              </w:rPr>
              <w:t>-1</w:t>
            </w:r>
            <w:r>
              <w:rPr>
                <w:rFonts w:asciiTheme="minorHAnsi" w:hAnsiTheme="minorHAnsi"/>
                <w:b/>
              </w:rPr>
              <w:t>9</w:t>
            </w:r>
          </w:p>
        </w:tc>
      </w:tr>
      <w:tr w:rsidR="00776A05" w:rsidTr="00776A05">
        <w:trPr>
          <w:trHeight w:val="614"/>
        </w:trPr>
        <w:tc>
          <w:tcPr>
            <w:tcW w:w="1888" w:type="pct"/>
            <w:tcBorders>
              <w:top w:val="nil"/>
              <w:left w:val="nil"/>
              <w:bottom w:val="nil"/>
              <w:right w:val="nil"/>
            </w:tcBorders>
          </w:tcPr>
          <w:p w:rsidR="00776A05" w:rsidRPr="00442CB4" w:rsidRDefault="00776A05" w:rsidP="00776A05">
            <w:pPr>
              <w:pStyle w:val="NormalIndented"/>
              <w:rPr>
                <w:rFonts w:asciiTheme="minorHAnsi" w:eastAsia="Times New Roman" w:hAnsiTheme="minorHAnsi"/>
                <w:b/>
                <w:iCs/>
                <w:szCs w:val="17"/>
                <w:lang w:eastAsia="en-US"/>
              </w:rPr>
            </w:pPr>
            <w:r w:rsidRPr="00442CB4">
              <w:rPr>
                <w:rFonts w:eastAsia="Times New Roman"/>
                <w:b/>
                <w:iCs/>
                <w:szCs w:val="17"/>
              </w:rPr>
              <w:t>Supporting stability</w:t>
            </w:r>
          </w:p>
        </w:tc>
        <w:tc>
          <w:tcPr>
            <w:tcW w:w="1662" w:type="pct"/>
            <w:tcBorders>
              <w:top w:val="nil"/>
              <w:left w:val="nil"/>
              <w:bottom w:val="nil"/>
              <w:right w:val="nil"/>
            </w:tcBorders>
          </w:tcPr>
          <w:p w:rsidR="00776A05" w:rsidRPr="00442CB4" w:rsidRDefault="00776A05" w:rsidP="00776A05">
            <w:pPr>
              <w:pStyle w:val="NormalIndented"/>
              <w:rPr>
                <w:rFonts w:eastAsia="Times New Roman"/>
                <w:iCs/>
                <w:szCs w:val="17"/>
              </w:rPr>
            </w:pPr>
          </w:p>
        </w:tc>
        <w:tc>
          <w:tcPr>
            <w:tcW w:w="1450" w:type="pct"/>
            <w:tcBorders>
              <w:top w:val="nil"/>
              <w:left w:val="nil"/>
              <w:bottom w:val="nil"/>
              <w:right w:val="nil"/>
            </w:tcBorders>
          </w:tcPr>
          <w:p w:rsidR="00776A05" w:rsidRPr="007E7622" w:rsidRDefault="00776A05" w:rsidP="00776A05">
            <w:pPr>
              <w:pStyle w:val="NormalIndented"/>
              <w:ind w:left="33"/>
              <w:jc w:val="center"/>
              <w:rPr>
                <w:i/>
                <w:szCs w:val="20"/>
              </w:rPr>
            </w:pPr>
          </w:p>
        </w:tc>
      </w:tr>
      <w:tr w:rsidR="00776A05" w:rsidTr="00776A05">
        <w:trPr>
          <w:trHeight w:val="614"/>
        </w:trPr>
        <w:tc>
          <w:tcPr>
            <w:tcW w:w="1888"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lang w:eastAsia="en-US"/>
              </w:rPr>
            </w:pPr>
            <w:r w:rsidRPr="00616313">
              <w:rPr>
                <w:rFonts w:asciiTheme="minorHAnsi" w:eastAsia="Times New Roman" w:hAnsiTheme="minorHAnsi"/>
                <w:iCs/>
                <w:szCs w:val="17"/>
              </w:rPr>
              <w:t>Number of police and other law and justice officials trained</w:t>
            </w:r>
          </w:p>
        </w:tc>
        <w:tc>
          <w:tcPr>
            <w:tcW w:w="1662"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rPr>
            </w:pPr>
            <w:r w:rsidRPr="00616313">
              <w:rPr>
                <w:rFonts w:asciiTheme="minorHAnsi" w:eastAsia="Times New Roman" w:hAnsiTheme="minorHAnsi"/>
                <w:iCs/>
                <w:szCs w:val="17"/>
              </w:rPr>
              <w:t>800#</w:t>
            </w:r>
          </w:p>
        </w:tc>
        <w:tc>
          <w:tcPr>
            <w:tcW w:w="1450" w:type="pct"/>
            <w:tcBorders>
              <w:top w:val="nil"/>
              <w:left w:val="nil"/>
              <w:bottom w:val="nil"/>
              <w:right w:val="nil"/>
            </w:tcBorders>
          </w:tcPr>
          <w:p w:rsidR="00776A05" w:rsidRPr="00616313" w:rsidRDefault="00776A05" w:rsidP="00776A05">
            <w:pPr>
              <w:pStyle w:val="NormalIndented"/>
              <w:ind w:left="33"/>
              <w:jc w:val="center"/>
              <w:rPr>
                <w:rFonts w:asciiTheme="minorHAnsi" w:hAnsiTheme="minorHAnsi"/>
                <w:i/>
                <w:szCs w:val="20"/>
              </w:rPr>
            </w:pPr>
            <w:r w:rsidRPr="00616313">
              <w:rPr>
                <w:rFonts w:asciiTheme="minorHAnsi" w:eastAsia="Times New Roman" w:hAnsiTheme="minorHAnsi"/>
                <w:iCs/>
                <w:szCs w:val="17"/>
              </w:rPr>
              <w:t>800#</w:t>
            </w:r>
          </w:p>
        </w:tc>
      </w:tr>
      <w:tr w:rsidR="00776A05" w:rsidTr="00776A05">
        <w:trPr>
          <w:trHeight w:val="614"/>
        </w:trPr>
        <w:tc>
          <w:tcPr>
            <w:tcW w:w="1888"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lang w:eastAsia="en-US"/>
              </w:rPr>
            </w:pPr>
            <w:r w:rsidRPr="00616313">
              <w:rPr>
                <w:rFonts w:asciiTheme="minorHAnsi" w:eastAsia="Times New Roman" w:hAnsiTheme="minorHAnsi"/>
                <w:iCs/>
                <w:szCs w:val="17"/>
              </w:rPr>
              <w:t>Courts and justice agencies are better able to deliver their core functions</w:t>
            </w:r>
          </w:p>
        </w:tc>
        <w:tc>
          <w:tcPr>
            <w:tcW w:w="1662"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rPr>
            </w:pPr>
            <w:r w:rsidRPr="00616313">
              <w:rPr>
                <w:rFonts w:asciiTheme="minorHAnsi" w:eastAsia="Times New Roman" w:hAnsiTheme="minorHAnsi"/>
                <w:iCs/>
                <w:szCs w:val="17"/>
              </w:rPr>
              <w:t>650 cases heard and disposed of in the Magistrates Court</w:t>
            </w:r>
          </w:p>
        </w:tc>
        <w:tc>
          <w:tcPr>
            <w:tcW w:w="1450" w:type="pct"/>
            <w:tcBorders>
              <w:top w:val="nil"/>
              <w:left w:val="nil"/>
              <w:bottom w:val="nil"/>
              <w:right w:val="nil"/>
            </w:tcBorders>
          </w:tcPr>
          <w:p w:rsidR="00776A05" w:rsidRPr="00616313" w:rsidRDefault="00776A05" w:rsidP="00616313">
            <w:pPr>
              <w:pStyle w:val="NormalIndented"/>
              <w:ind w:left="33"/>
              <w:rPr>
                <w:rFonts w:asciiTheme="minorHAnsi" w:hAnsiTheme="minorHAnsi"/>
                <w:i/>
                <w:szCs w:val="20"/>
              </w:rPr>
            </w:pPr>
            <w:r w:rsidRPr="00616313">
              <w:rPr>
                <w:rFonts w:asciiTheme="minorHAnsi" w:eastAsia="Times New Roman" w:hAnsiTheme="minorHAnsi"/>
                <w:iCs/>
                <w:szCs w:val="17"/>
              </w:rPr>
              <w:t>650 cases heard and disposed of in the Magistrates Court</w:t>
            </w:r>
          </w:p>
        </w:tc>
      </w:tr>
      <w:tr w:rsidR="00776A05" w:rsidTr="00776A05">
        <w:trPr>
          <w:trHeight w:val="614"/>
        </w:trPr>
        <w:tc>
          <w:tcPr>
            <w:tcW w:w="1888" w:type="pct"/>
            <w:tcBorders>
              <w:top w:val="nil"/>
              <w:left w:val="nil"/>
              <w:bottom w:val="nil"/>
              <w:right w:val="nil"/>
            </w:tcBorders>
          </w:tcPr>
          <w:p w:rsidR="00776A05" w:rsidRPr="00442CB4" w:rsidRDefault="00776A05" w:rsidP="00776A05">
            <w:pPr>
              <w:pStyle w:val="NormalIndented"/>
              <w:rPr>
                <w:rFonts w:asciiTheme="minorHAnsi" w:eastAsia="Times New Roman" w:hAnsiTheme="minorHAnsi"/>
                <w:b/>
                <w:iCs/>
                <w:szCs w:val="17"/>
                <w:lang w:eastAsia="en-US"/>
              </w:rPr>
            </w:pPr>
            <w:r w:rsidRPr="00442CB4">
              <w:rPr>
                <w:rFonts w:eastAsia="Times New Roman"/>
                <w:b/>
                <w:iCs/>
                <w:szCs w:val="17"/>
              </w:rPr>
              <w:t xml:space="preserve">Enabling economic growth </w:t>
            </w:r>
          </w:p>
        </w:tc>
        <w:tc>
          <w:tcPr>
            <w:tcW w:w="1662" w:type="pct"/>
            <w:tcBorders>
              <w:top w:val="nil"/>
              <w:left w:val="nil"/>
              <w:bottom w:val="nil"/>
              <w:right w:val="nil"/>
            </w:tcBorders>
          </w:tcPr>
          <w:p w:rsidR="00776A05" w:rsidRPr="00442CB4" w:rsidRDefault="00776A05" w:rsidP="00776A05">
            <w:pPr>
              <w:pStyle w:val="NormalIndented"/>
              <w:rPr>
                <w:rFonts w:eastAsia="Times New Roman"/>
                <w:iCs/>
                <w:szCs w:val="17"/>
              </w:rPr>
            </w:pPr>
          </w:p>
        </w:tc>
        <w:tc>
          <w:tcPr>
            <w:tcW w:w="1450" w:type="pct"/>
            <w:tcBorders>
              <w:top w:val="nil"/>
              <w:left w:val="nil"/>
              <w:bottom w:val="nil"/>
              <w:right w:val="nil"/>
            </w:tcBorders>
          </w:tcPr>
          <w:p w:rsidR="00776A05" w:rsidRPr="007E7622" w:rsidRDefault="00776A05" w:rsidP="00776A05">
            <w:pPr>
              <w:pStyle w:val="NormalIndented"/>
              <w:ind w:left="33"/>
              <w:jc w:val="center"/>
              <w:rPr>
                <w:i/>
                <w:szCs w:val="20"/>
              </w:rPr>
            </w:pPr>
          </w:p>
        </w:tc>
      </w:tr>
      <w:tr w:rsidR="00776A05" w:rsidTr="00776A05">
        <w:trPr>
          <w:trHeight w:val="614"/>
        </w:trPr>
        <w:tc>
          <w:tcPr>
            <w:tcW w:w="1888"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lang w:eastAsia="en-US"/>
              </w:rPr>
            </w:pPr>
            <w:r w:rsidRPr="00616313">
              <w:rPr>
                <w:rFonts w:asciiTheme="minorHAnsi" w:eastAsia="Times New Roman" w:hAnsiTheme="minorHAnsi"/>
                <w:iCs/>
                <w:szCs w:val="17"/>
              </w:rPr>
              <w:t>Women able to gain business or income-generating skills ~</w:t>
            </w:r>
          </w:p>
        </w:tc>
        <w:tc>
          <w:tcPr>
            <w:tcW w:w="1662"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rPr>
            </w:pPr>
            <w:r w:rsidRPr="00616313">
              <w:rPr>
                <w:rFonts w:asciiTheme="minorHAnsi" w:eastAsia="Times New Roman" w:hAnsiTheme="minorHAnsi"/>
                <w:iCs/>
                <w:szCs w:val="17"/>
              </w:rPr>
              <w:t>1,000 women are trained in business or income-generating skills</w:t>
            </w:r>
          </w:p>
        </w:tc>
        <w:tc>
          <w:tcPr>
            <w:tcW w:w="1450" w:type="pct"/>
            <w:tcBorders>
              <w:top w:val="nil"/>
              <w:left w:val="nil"/>
              <w:bottom w:val="nil"/>
              <w:right w:val="nil"/>
            </w:tcBorders>
          </w:tcPr>
          <w:p w:rsidR="00776A05" w:rsidRPr="00616313" w:rsidRDefault="00776A05" w:rsidP="00616313">
            <w:pPr>
              <w:pStyle w:val="NormalIndented"/>
              <w:ind w:left="33"/>
              <w:rPr>
                <w:rFonts w:asciiTheme="minorHAnsi" w:hAnsiTheme="minorHAnsi"/>
                <w:i/>
                <w:szCs w:val="20"/>
              </w:rPr>
            </w:pPr>
            <w:r w:rsidRPr="00616313">
              <w:rPr>
                <w:rFonts w:asciiTheme="minorHAnsi" w:eastAsia="Times New Roman" w:hAnsiTheme="minorHAnsi"/>
                <w:iCs/>
                <w:szCs w:val="17"/>
              </w:rPr>
              <w:t>1,000 women are trained in business or income-generating skills</w:t>
            </w:r>
          </w:p>
        </w:tc>
      </w:tr>
      <w:tr w:rsidR="00776A05" w:rsidTr="00776A05">
        <w:trPr>
          <w:trHeight w:val="614"/>
        </w:trPr>
        <w:tc>
          <w:tcPr>
            <w:tcW w:w="1888"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lang w:eastAsia="en-US"/>
              </w:rPr>
            </w:pPr>
            <w:r w:rsidRPr="00616313">
              <w:rPr>
                <w:rFonts w:asciiTheme="minorHAnsi" w:eastAsia="Times New Roman" w:hAnsiTheme="minorHAnsi"/>
                <w:iCs/>
                <w:szCs w:val="17"/>
              </w:rPr>
              <w:t>Improved transport infrastructure to support increased economic activity</w:t>
            </w:r>
          </w:p>
        </w:tc>
        <w:tc>
          <w:tcPr>
            <w:tcW w:w="1662"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rPr>
            </w:pPr>
            <w:r w:rsidRPr="00616313">
              <w:rPr>
                <w:rFonts w:asciiTheme="minorHAnsi" w:eastAsia="Times New Roman" w:hAnsiTheme="minorHAnsi"/>
                <w:iCs/>
                <w:szCs w:val="17"/>
              </w:rPr>
              <w:t>750km of roads rehabilitated or maintained</w:t>
            </w:r>
          </w:p>
        </w:tc>
        <w:tc>
          <w:tcPr>
            <w:tcW w:w="1450" w:type="pct"/>
            <w:tcBorders>
              <w:top w:val="nil"/>
              <w:left w:val="nil"/>
              <w:bottom w:val="nil"/>
              <w:right w:val="nil"/>
            </w:tcBorders>
          </w:tcPr>
          <w:p w:rsidR="00776A05" w:rsidRPr="00616313" w:rsidRDefault="00776A05" w:rsidP="00616313">
            <w:pPr>
              <w:pStyle w:val="NormalIndented"/>
              <w:ind w:left="33"/>
              <w:rPr>
                <w:rFonts w:asciiTheme="minorHAnsi" w:hAnsiTheme="minorHAnsi"/>
                <w:i/>
                <w:szCs w:val="20"/>
              </w:rPr>
            </w:pPr>
            <w:r w:rsidRPr="00616313">
              <w:rPr>
                <w:rFonts w:asciiTheme="minorHAnsi" w:eastAsia="Times New Roman" w:hAnsiTheme="minorHAnsi"/>
                <w:iCs/>
                <w:szCs w:val="17"/>
              </w:rPr>
              <w:t>800km of roads rehabilitated or maintained</w:t>
            </w:r>
          </w:p>
        </w:tc>
      </w:tr>
      <w:tr w:rsidR="00776A05" w:rsidTr="00776A05">
        <w:trPr>
          <w:trHeight w:val="614"/>
        </w:trPr>
        <w:tc>
          <w:tcPr>
            <w:tcW w:w="1888"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lang w:eastAsia="en-US"/>
              </w:rPr>
            </w:pPr>
            <w:r w:rsidRPr="00616313">
              <w:rPr>
                <w:rFonts w:asciiTheme="minorHAnsi" w:eastAsia="Times New Roman" w:hAnsiTheme="minorHAnsi"/>
                <w:iCs/>
                <w:szCs w:val="17"/>
              </w:rPr>
              <w:t>Improved environment for private sector investment, economic growth and trade</w:t>
            </w:r>
          </w:p>
        </w:tc>
        <w:tc>
          <w:tcPr>
            <w:tcW w:w="1662" w:type="pct"/>
            <w:tcBorders>
              <w:top w:val="nil"/>
              <w:left w:val="nil"/>
              <w:bottom w:val="nil"/>
              <w:right w:val="nil"/>
            </w:tcBorders>
          </w:tcPr>
          <w:p w:rsidR="00776A05" w:rsidRPr="00616313" w:rsidRDefault="00776A05" w:rsidP="00776A05">
            <w:pPr>
              <w:pStyle w:val="NormalIndented"/>
              <w:rPr>
                <w:rFonts w:asciiTheme="minorHAnsi" w:eastAsia="Times New Roman" w:hAnsiTheme="minorHAnsi"/>
                <w:iCs/>
                <w:szCs w:val="17"/>
              </w:rPr>
            </w:pPr>
            <w:r w:rsidRPr="00616313">
              <w:rPr>
                <w:rFonts w:asciiTheme="minorHAnsi" w:eastAsia="Times New Roman" w:hAnsiTheme="minorHAnsi"/>
                <w:iCs/>
                <w:szCs w:val="17"/>
              </w:rPr>
              <w:t>50% of CEWG and Financial Reform Program actions achieved for 2017-18</w:t>
            </w:r>
          </w:p>
        </w:tc>
        <w:tc>
          <w:tcPr>
            <w:tcW w:w="1450" w:type="pct"/>
            <w:tcBorders>
              <w:top w:val="nil"/>
              <w:left w:val="nil"/>
              <w:bottom w:val="nil"/>
              <w:right w:val="nil"/>
            </w:tcBorders>
          </w:tcPr>
          <w:p w:rsidR="00776A05" w:rsidRPr="00616313" w:rsidRDefault="00776A05" w:rsidP="00616313">
            <w:pPr>
              <w:pStyle w:val="NormalIndented"/>
              <w:ind w:left="33"/>
              <w:rPr>
                <w:rFonts w:asciiTheme="minorHAnsi" w:hAnsiTheme="minorHAnsi"/>
                <w:i/>
                <w:szCs w:val="20"/>
              </w:rPr>
            </w:pPr>
            <w:r w:rsidRPr="00616313">
              <w:rPr>
                <w:rFonts w:asciiTheme="minorHAnsi" w:eastAsia="Times New Roman" w:hAnsiTheme="minorHAnsi"/>
                <w:iCs/>
                <w:szCs w:val="17"/>
              </w:rPr>
              <w:t>50% of CEWG and Financial Reform Program actions achieved for 2018-19</w:t>
            </w:r>
          </w:p>
        </w:tc>
      </w:tr>
      <w:tr w:rsidR="00776A05" w:rsidTr="00776A05">
        <w:trPr>
          <w:trHeight w:val="614"/>
        </w:trPr>
        <w:tc>
          <w:tcPr>
            <w:tcW w:w="1888" w:type="pct"/>
            <w:tcBorders>
              <w:top w:val="nil"/>
              <w:left w:val="nil"/>
              <w:bottom w:val="nil"/>
              <w:right w:val="nil"/>
            </w:tcBorders>
          </w:tcPr>
          <w:p w:rsidR="00776A05" w:rsidRPr="00776A05" w:rsidRDefault="00776A05" w:rsidP="00776A05">
            <w:pPr>
              <w:pStyle w:val="NormalIndented"/>
              <w:rPr>
                <w:rFonts w:eastAsia="Times New Roman"/>
                <w:iCs/>
                <w:szCs w:val="17"/>
              </w:rPr>
            </w:pPr>
            <w:r w:rsidRPr="00776A05">
              <w:rPr>
                <w:rFonts w:asciiTheme="minorHAnsi" w:eastAsia="Times New Roman" w:hAnsiTheme="minorHAnsi"/>
                <w:b/>
                <w:iCs/>
                <w:szCs w:val="17"/>
                <w:lang w:eastAsia="en-US"/>
              </w:rPr>
              <w:t xml:space="preserve">Enhancing </w:t>
            </w:r>
            <w:r>
              <w:rPr>
                <w:rFonts w:asciiTheme="minorHAnsi" w:eastAsia="Times New Roman" w:hAnsiTheme="minorHAnsi"/>
                <w:b/>
                <w:iCs/>
                <w:szCs w:val="17"/>
                <w:lang w:eastAsia="en-US"/>
              </w:rPr>
              <w:t>h</w:t>
            </w:r>
            <w:r w:rsidRPr="00776A05">
              <w:rPr>
                <w:rFonts w:asciiTheme="minorHAnsi" w:eastAsia="Times New Roman" w:hAnsiTheme="minorHAnsi"/>
                <w:b/>
                <w:iCs/>
                <w:szCs w:val="17"/>
                <w:lang w:eastAsia="en-US"/>
              </w:rPr>
              <w:t xml:space="preserve">uman </w:t>
            </w:r>
            <w:r>
              <w:rPr>
                <w:rFonts w:asciiTheme="minorHAnsi" w:eastAsia="Times New Roman" w:hAnsiTheme="minorHAnsi"/>
                <w:b/>
                <w:iCs/>
                <w:szCs w:val="17"/>
                <w:lang w:eastAsia="en-US"/>
              </w:rPr>
              <w:t>d</w:t>
            </w:r>
            <w:r w:rsidRPr="00776A05">
              <w:rPr>
                <w:rFonts w:asciiTheme="minorHAnsi" w:eastAsia="Times New Roman" w:hAnsiTheme="minorHAnsi"/>
                <w:b/>
                <w:iCs/>
                <w:szCs w:val="17"/>
                <w:lang w:eastAsia="en-US"/>
              </w:rPr>
              <w:t>evelopment</w:t>
            </w:r>
          </w:p>
        </w:tc>
        <w:tc>
          <w:tcPr>
            <w:tcW w:w="1662" w:type="pct"/>
            <w:tcBorders>
              <w:top w:val="nil"/>
              <w:left w:val="nil"/>
              <w:bottom w:val="nil"/>
              <w:right w:val="nil"/>
            </w:tcBorders>
          </w:tcPr>
          <w:p w:rsidR="00776A05" w:rsidRPr="006C2E33" w:rsidRDefault="00776A05" w:rsidP="00776A05">
            <w:pPr>
              <w:pStyle w:val="NormalIndented"/>
              <w:rPr>
                <w:rFonts w:eastAsia="Times New Roman"/>
                <w:iCs/>
                <w:color w:val="auto"/>
                <w:szCs w:val="17"/>
              </w:rPr>
            </w:pPr>
          </w:p>
        </w:tc>
        <w:tc>
          <w:tcPr>
            <w:tcW w:w="1450" w:type="pct"/>
            <w:tcBorders>
              <w:top w:val="nil"/>
              <w:left w:val="nil"/>
              <w:bottom w:val="nil"/>
              <w:right w:val="nil"/>
            </w:tcBorders>
          </w:tcPr>
          <w:p w:rsidR="00776A05" w:rsidRPr="006C2E33" w:rsidRDefault="00776A05" w:rsidP="00776A05">
            <w:pPr>
              <w:pStyle w:val="NormalIndented"/>
              <w:ind w:left="33"/>
              <w:jc w:val="center"/>
              <w:rPr>
                <w:rFonts w:eastAsia="Times New Roman"/>
                <w:iCs/>
                <w:color w:val="auto"/>
                <w:szCs w:val="17"/>
              </w:rPr>
            </w:pPr>
          </w:p>
        </w:tc>
      </w:tr>
      <w:tr w:rsidR="00776A05" w:rsidTr="00776A05">
        <w:trPr>
          <w:trHeight w:val="614"/>
        </w:trPr>
        <w:tc>
          <w:tcPr>
            <w:tcW w:w="1888" w:type="pct"/>
            <w:tcBorders>
              <w:top w:val="nil"/>
              <w:left w:val="nil"/>
              <w:bottom w:val="nil"/>
              <w:right w:val="nil"/>
            </w:tcBorders>
          </w:tcPr>
          <w:p w:rsidR="00776A05" w:rsidRPr="00776A05" w:rsidRDefault="00776A05" w:rsidP="00776A05">
            <w:pPr>
              <w:pStyle w:val="NormalIndented"/>
              <w:rPr>
                <w:rFonts w:eastAsia="Times New Roman"/>
                <w:b/>
                <w:iCs/>
                <w:szCs w:val="17"/>
              </w:rPr>
            </w:pPr>
            <w:r w:rsidRPr="00776A05">
              <w:rPr>
                <w:rFonts w:asciiTheme="minorHAnsi" w:eastAsia="Times New Roman" w:hAnsiTheme="minorHAnsi"/>
                <w:iCs/>
                <w:szCs w:val="17"/>
                <w:lang w:eastAsia="en-US"/>
              </w:rPr>
              <w:t>Improved functioning of health system ^</w:t>
            </w:r>
          </w:p>
        </w:tc>
        <w:tc>
          <w:tcPr>
            <w:tcW w:w="1662" w:type="pct"/>
            <w:tcBorders>
              <w:top w:val="nil"/>
              <w:left w:val="nil"/>
              <w:bottom w:val="nil"/>
              <w:right w:val="nil"/>
            </w:tcBorders>
          </w:tcPr>
          <w:p w:rsidR="00776A05" w:rsidRPr="006C2E33" w:rsidRDefault="00776A05" w:rsidP="00776A05">
            <w:pPr>
              <w:pStyle w:val="NormalIndented"/>
              <w:rPr>
                <w:rFonts w:eastAsia="Times New Roman"/>
                <w:iCs/>
                <w:color w:val="auto"/>
                <w:szCs w:val="17"/>
              </w:rPr>
            </w:pPr>
            <w:r w:rsidRPr="00776A05">
              <w:rPr>
                <w:rFonts w:asciiTheme="minorHAnsi" w:eastAsia="Times New Roman" w:hAnsiTheme="minorHAnsi"/>
                <w:iCs/>
                <w:szCs w:val="17"/>
                <w:lang w:eastAsia="en-US"/>
              </w:rPr>
              <w:t>Availability of critical and essential medicines (includes contraceptives) at Second Level Medical Stores (provincial level) is 92%</w:t>
            </w:r>
          </w:p>
        </w:tc>
        <w:tc>
          <w:tcPr>
            <w:tcW w:w="1450" w:type="pct"/>
            <w:tcBorders>
              <w:top w:val="nil"/>
              <w:left w:val="nil"/>
              <w:bottom w:val="nil"/>
              <w:right w:val="nil"/>
            </w:tcBorders>
          </w:tcPr>
          <w:p w:rsidR="00776A05" w:rsidRPr="006C2E33" w:rsidRDefault="00776A05" w:rsidP="00616313">
            <w:pPr>
              <w:pStyle w:val="NormalIndented"/>
              <w:ind w:left="33"/>
              <w:rPr>
                <w:rFonts w:eastAsia="Times New Roman"/>
                <w:iCs/>
                <w:color w:val="auto"/>
                <w:szCs w:val="17"/>
              </w:rPr>
            </w:pPr>
            <w:r w:rsidRPr="00776A05">
              <w:rPr>
                <w:rFonts w:asciiTheme="minorHAnsi" w:eastAsia="Times New Roman" w:hAnsiTheme="minorHAnsi"/>
                <w:iCs/>
                <w:szCs w:val="17"/>
                <w:lang w:eastAsia="en-US"/>
              </w:rPr>
              <w:t>Availability of critical and essential medicines (includes contraceptives) at Second Level Medical Stores (provincial level) is 94%</w:t>
            </w:r>
          </w:p>
        </w:tc>
      </w:tr>
      <w:tr w:rsidR="00776A05" w:rsidTr="00776A05">
        <w:trPr>
          <w:trHeight w:val="614"/>
        </w:trPr>
        <w:tc>
          <w:tcPr>
            <w:tcW w:w="1888" w:type="pct"/>
            <w:tcBorders>
              <w:top w:val="nil"/>
              <w:left w:val="nil"/>
              <w:bottom w:val="nil"/>
              <w:right w:val="nil"/>
            </w:tcBorders>
          </w:tcPr>
          <w:p w:rsidR="00776A05" w:rsidRPr="00776A05" w:rsidRDefault="00776A05" w:rsidP="00776A05">
            <w:pPr>
              <w:pStyle w:val="NormalIndented"/>
              <w:rPr>
                <w:rFonts w:eastAsia="Times New Roman"/>
                <w:b/>
                <w:iCs/>
                <w:szCs w:val="17"/>
              </w:rPr>
            </w:pPr>
            <w:r w:rsidRPr="00776A05">
              <w:rPr>
                <w:rFonts w:asciiTheme="minorHAnsi" w:eastAsia="Times New Roman" w:hAnsiTheme="minorHAnsi"/>
                <w:iCs/>
                <w:szCs w:val="17"/>
                <w:lang w:eastAsia="en-US"/>
              </w:rPr>
              <w:t>Year 4 literacy and numeracy rates – SISTA</w:t>
            </w:r>
          </w:p>
        </w:tc>
        <w:tc>
          <w:tcPr>
            <w:tcW w:w="1662" w:type="pct"/>
            <w:tcBorders>
              <w:top w:val="nil"/>
              <w:left w:val="nil"/>
              <w:bottom w:val="nil"/>
              <w:right w:val="nil"/>
            </w:tcBorders>
          </w:tcPr>
          <w:p w:rsidR="00776A05" w:rsidRPr="006C2E33" w:rsidRDefault="00776A05" w:rsidP="00776A05">
            <w:pPr>
              <w:pStyle w:val="NormalIndented"/>
              <w:rPr>
                <w:rFonts w:eastAsia="Times New Roman"/>
                <w:iCs/>
                <w:color w:val="auto"/>
                <w:szCs w:val="17"/>
              </w:rPr>
            </w:pPr>
            <w:r w:rsidRPr="00776A05">
              <w:rPr>
                <w:rFonts w:asciiTheme="minorHAnsi" w:eastAsia="Times New Roman" w:hAnsiTheme="minorHAnsi"/>
                <w:iCs/>
                <w:szCs w:val="17"/>
                <w:lang w:eastAsia="en-US"/>
              </w:rPr>
              <w:t>Progress toward SIG’s 2020 target of 85%, from 75.6% (2015 result for reading)</w:t>
            </w:r>
          </w:p>
        </w:tc>
        <w:tc>
          <w:tcPr>
            <w:tcW w:w="1450" w:type="pct"/>
            <w:tcBorders>
              <w:top w:val="nil"/>
              <w:left w:val="nil"/>
              <w:bottom w:val="nil"/>
              <w:right w:val="nil"/>
            </w:tcBorders>
          </w:tcPr>
          <w:p w:rsidR="00776A05" w:rsidRPr="006C2E33" w:rsidRDefault="00776A05" w:rsidP="00616313">
            <w:pPr>
              <w:pStyle w:val="NormalIndented"/>
              <w:ind w:left="33"/>
              <w:rPr>
                <w:rFonts w:eastAsia="Times New Roman"/>
                <w:iCs/>
                <w:color w:val="auto"/>
                <w:szCs w:val="17"/>
              </w:rPr>
            </w:pPr>
            <w:r w:rsidRPr="00776A05">
              <w:rPr>
                <w:rFonts w:asciiTheme="minorHAnsi" w:eastAsia="Times New Roman" w:hAnsiTheme="minorHAnsi"/>
                <w:iCs/>
                <w:szCs w:val="17"/>
                <w:lang w:eastAsia="en-US"/>
              </w:rPr>
              <w:t>Progress toward SIG’s 2020 target of 85%, from 75.6% (2015 result for reading)</w:t>
            </w:r>
          </w:p>
        </w:tc>
      </w:tr>
      <w:tr w:rsidR="00776A05" w:rsidTr="00776A05">
        <w:trPr>
          <w:trHeight w:val="614"/>
        </w:trPr>
        <w:tc>
          <w:tcPr>
            <w:tcW w:w="1888" w:type="pct"/>
            <w:tcBorders>
              <w:top w:val="nil"/>
              <w:left w:val="nil"/>
              <w:bottom w:val="single" w:sz="12" w:space="0" w:color="auto"/>
              <w:right w:val="nil"/>
            </w:tcBorders>
          </w:tcPr>
          <w:p w:rsidR="00776A05" w:rsidRPr="00776A05" w:rsidRDefault="00776A05" w:rsidP="00776A05">
            <w:pPr>
              <w:pStyle w:val="NormalIndented"/>
              <w:rPr>
                <w:rFonts w:asciiTheme="minorHAnsi" w:eastAsia="Times New Roman" w:hAnsiTheme="minorHAnsi"/>
                <w:b/>
                <w:iCs/>
                <w:szCs w:val="17"/>
                <w:lang w:eastAsia="en-US"/>
              </w:rPr>
            </w:pPr>
            <w:r w:rsidRPr="00776A05">
              <w:rPr>
                <w:rFonts w:asciiTheme="minorHAnsi" w:eastAsia="Times New Roman" w:hAnsiTheme="minorHAnsi"/>
                <w:iCs/>
                <w:szCs w:val="17"/>
                <w:lang w:eastAsia="en-US"/>
              </w:rPr>
              <w:t>Increase in percentage of teachers certified</w:t>
            </w:r>
          </w:p>
        </w:tc>
        <w:tc>
          <w:tcPr>
            <w:tcW w:w="1662" w:type="pct"/>
            <w:tcBorders>
              <w:top w:val="nil"/>
              <w:left w:val="nil"/>
              <w:bottom w:val="single" w:sz="12" w:space="0" w:color="auto"/>
              <w:right w:val="nil"/>
            </w:tcBorders>
          </w:tcPr>
          <w:p w:rsidR="00776A05" w:rsidRPr="00880004" w:rsidRDefault="001E0297" w:rsidP="001E0297">
            <w:pPr>
              <w:pStyle w:val="NormalIndented"/>
              <w:rPr>
                <w:rFonts w:eastAsia="Times New Roman"/>
                <w:iCs/>
                <w:szCs w:val="17"/>
              </w:rPr>
            </w:pPr>
            <w:r>
              <w:rPr>
                <w:rFonts w:asciiTheme="minorHAnsi" w:eastAsia="Times New Roman" w:hAnsiTheme="minorHAnsi"/>
                <w:iCs/>
                <w:szCs w:val="17"/>
                <w:lang w:eastAsia="en-US"/>
              </w:rPr>
              <w:t>85</w:t>
            </w:r>
            <w:r w:rsidR="00776A05" w:rsidRPr="00776A05">
              <w:rPr>
                <w:rFonts w:asciiTheme="minorHAnsi" w:eastAsia="Times New Roman" w:hAnsiTheme="minorHAnsi"/>
                <w:iCs/>
                <w:szCs w:val="17"/>
                <w:lang w:eastAsia="en-US"/>
              </w:rPr>
              <w:t>% of teachers certified</w:t>
            </w:r>
          </w:p>
        </w:tc>
        <w:tc>
          <w:tcPr>
            <w:tcW w:w="1450" w:type="pct"/>
            <w:tcBorders>
              <w:top w:val="nil"/>
              <w:left w:val="nil"/>
              <w:bottom w:val="single" w:sz="12" w:space="0" w:color="auto"/>
              <w:right w:val="nil"/>
            </w:tcBorders>
          </w:tcPr>
          <w:p w:rsidR="00776A05" w:rsidRPr="00BE6C6D" w:rsidRDefault="001E0297" w:rsidP="00616313">
            <w:pPr>
              <w:pStyle w:val="NormalIndented"/>
              <w:ind w:left="33"/>
              <w:rPr>
                <w:i/>
                <w:color w:val="808080" w:themeColor="background1" w:themeShade="80"/>
                <w:szCs w:val="20"/>
              </w:rPr>
            </w:pPr>
            <w:r>
              <w:rPr>
                <w:rFonts w:asciiTheme="minorHAnsi" w:eastAsia="Times New Roman" w:hAnsiTheme="minorHAnsi"/>
                <w:iCs/>
                <w:szCs w:val="17"/>
                <w:lang w:eastAsia="en-US"/>
              </w:rPr>
              <w:t>8</w:t>
            </w:r>
            <w:r w:rsidR="00776A05" w:rsidRPr="00776A05">
              <w:rPr>
                <w:rFonts w:asciiTheme="minorHAnsi" w:eastAsia="Times New Roman" w:hAnsiTheme="minorHAnsi"/>
                <w:iCs/>
                <w:szCs w:val="17"/>
                <w:lang w:eastAsia="en-US"/>
              </w:rPr>
              <w:t>5% of teachers certified</w:t>
            </w:r>
          </w:p>
        </w:tc>
      </w:tr>
    </w:tbl>
    <w:p w:rsidR="00400B0F" w:rsidRPr="00784031" w:rsidRDefault="00400B0F" w:rsidP="00B3585D">
      <w:pPr>
        <w:pStyle w:val="Subtitle"/>
      </w:pPr>
      <w:r>
        <w:rPr>
          <w:rFonts w:ascii="Franklin Gothic Book" w:eastAsia="Times New Roman" w:hAnsi="Franklin Gothic Book"/>
          <w:sz w:val="21"/>
        </w:rPr>
        <w:br w:type="page"/>
      </w:r>
      <w:r w:rsidRPr="00784031">
        <w:lastRenderedPageBreak/>
        <w:t>Annex C - Evaluation Planning</w:t>
      </w:r>
    </w:p>
    <w:p w:rsidR="00400B0F" w:rsidRDefault="00400B0F" w:rsidP="008C2F58">
      <w:pPr>
        <w:rPr>
          <w:b/>
          <w:sz w:val="24"/>
        </w:rPr>
      </w:pPr>
      <w:r w:rsidRPr="008C2F58">
        <w:rPr>
          <w:b/>
          <w:sz w:val="24"/>
        </w:rPr>
        <w:t xml:space="preserve">List of evaluations completed in the reporting period </w:t>
      </w:r>
    </w:p>
    <w:p w:rsidR="00B3585D" w:rsidRPr="008C2F58" w:rsidRDefault="00B3585D" w:rsidP="008C2F58">
      <w:pPr>
        <w:rPr>
          <w:b/>
          <w:sz w:val="24"/>
        </w:rPr>
      </w:pPr>
    </w:p>
    <w:tbl>
      <w:tblPr>
        <w:tblStyle w:val="APPR"/>
        <w:tblW w:w="14453" w:type="dxa"/>
        <w:tblLayout w:type="fixed"/>
        <w:tblLook w:val="04A0" w:firstRow="1" w:lastRow="0" w:firstColumn="1" w:lastColumn="0" w:noHBand="0" w:noVBand="1"/>
      </w:tblPr>
      <w:tblGrid>
        <w:gridCol w:w="1557"/>
        <w:gridCol w:w="1549"/>
        <w:gridCol w:w="4685"/>
        <w:gridCol w:w="1425"/>
        <w:gridCol w:w="1981"/>
        <w:gridCol w:w="1699"/>
        <w:gridCol w:w="1557"/>
      </w:tblGrid>
      <w:tr w:rsidR="00400B0F" w:rsidRPr="00C61187" w:rsidTr="006F27B1">
        <w:trPr>
          <w:cnfStyle w:val="100000000000" w:firstRow="1" w:lastRow="0" w:firstColumn="0" w:lastColumn="0" w:oddVBand="0" w:evenVBand="0" w:oddHBand="0" w:evenHBand="0" w:firstRowFirstColumn="0" w:firstRowLastColumn="0" w:lastRowFirstColumn="0" w:lastRowLastColumn="0"/>
        </w:trPr>
        <w:tc>
          <w:tcPr>
            <w:tcW w:w="3064" w:type="dxa"/>
            <w:gridSpan w:val="2"/>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 xml:space="preserve">Investment number and name </w:t>
            </w:r>
          </w:p>
          <w:p w:rsidR="00400B0F" w:rsidRPr="00880004" w:rsidRDefault="00400B0F" w:rsidP="006F27B1">
            <w:pPr>
              <w:keepLines/>
              <w:spacing w:line="200" w:lineRule="atLeast"/>
              <w:rPr>
                <w:rFonts w:asciiTheme="minorHAnsi" w:eastAsia="Times New Roman" w:hAnsiTheme="minorHAnsi"/>
                <w:b w:val="0"/>
                <w:iCs/>
                <w:szCs w:val="17"/>
                <w:lang w:eastAsia="en-US"/>
              </w:rPr>
            </w:pPr>
          </w:p>
        </w:tc>
        <w:tc>
          <w:tcPr>
            <w:tcW w:w="4657"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Name of evaluation</w:t>
            </w:r>
          </w:p>
        </w:tc>
        <w:tc>
          <w:tcPr>
            <w:tcW w:w="1397"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completed</w:t>
            </w:r>
          </w:p>
        </w:tc>
        <w:tc>
          <w:tcPr>
            <w:tcW w:w="1953"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Evaluation report Uploaded into AidWorks</w:t>
            </w:r>
          </w:p>
        </w:tc>
        <w:tc>
          <w:tcPr>
            <w:tcW w:w="1671"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Date Management response uploaded into AidWorks</w:t>
            </w:r>
          </w:p>
        </w:tc>
        <w:tc>
          <w:tcPr>
            <w:tcW w:w="1515" w:type="dxa"/>
          </w:tcPr>
          <w:p w:rsidR="00400B0F" w:rsidRPr="00880004" w:rsidRDefault="00400B0F" w:rsidP="006F27B1">
            <w:pPr>
              <w:keepLines/>
              <w:spacing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Published on website</w:t>
            </w:r>
          </w:p>
        </w:tc>
      </w:tr>
      <w:tr w:rsidR="00F94C71"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gridSpan w:val="2"/>
          </w:tcPr>
          <w:p w:rsidR="00F94C71" w:rsidRPr="00880004" w:rsidRDefault="00F94C71" w:rsidP="00F94C71">
            <w:pPr>
              <w:keepLines/>
              <w:spacing w:before="40" w:after="40" w:line="200" w:lineRule="atLeast"/>
              <w:rPr>
                <w:rFonts w:asciiTheme="minorHAnsi" w:eastAsia="Times New Roman" w:hAnsiTheme="minorHAnsi"/>
                <w:b w:val="0"/>
                <w:iCs/>
                <w:szCs w:val="17"/>
                <w:lang w:eastAsia="en-US"/>
              </w:rPr>
            </w:pPr>
            <w:r w:rsidRPr="005D1352">
              <w:rPr>
                <w:rFonts w:asciiTheme="minorHAnsi" w:eastAsia="Times New Roman" w:hAnsiTheme="minorHAnsi"/>
                <w:b w:val="0"/>
                <w:iCs/>
                <w:szCs w:val="17"/>
                <w:lang w:eastAsia="en-US"/>
              </w:rPr>
              <w:t>INL129 Education Sector Program 2</w:t>
            </w:r>
          </w:p>
        </w:tc>
        <w:tc>
          <w:tcPr>
            <w:tcW w:w="4657" w:type="dxa"/>
          </w:tcPr>
          <w:p w:rsidR="00F94C71" w:rsidRPr="00880004" w:rsidRDefault="00F94C71" w:rsidP="00F94C71">
            <w:pPr>
              <w:keepLines/>
              <w:spacing w:before="40" w:after="40" w:line="200" w:lineRule="atLeast"/>
              <w:rPr>
                <w:rFonts w:asciiTheme="minorHAnsi" w:eastAsia="Times New Roman" w:hAnsiTheme="minorHAnsi"/>
                <w:b w:val="0"/>
                <w:iCs/>
                <w:szCs w:val="17"/>
                <w:lang w:eastAsia="en-US"/>
              </w:rPr>
            </w:pPr>
            <w:r w:rsidRPr="005D1352">
              <w:rPr>
                <w:rFonts w:asciiTheme="minorHAnsi" w:eastAsia="Times New Roman" w:hAnsiTheme="minorHAnsi"/>
                <w:b w:val="0"/>
                <w:iCs/>
                <w:szCs w:val="17"/>
                <w:lang w:eastAsia="en-US"/>
              </w:rPr>
              <w:t>2017 Independent assessment of Performance Linked Funding indicators</w:t>
            </w:r>
          </w:p>
        </w:tc>
        <w:tc>
          <w:tcPr>
            <w:tcW w:w="1397" w:type="dxa"/>
          </w:tcPr>
          <w:p w:rsidR="00F94C71" w:rsidRPr="00880004" w:rsidRDefault="00F94C71" w:rsidP="00F94C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July 2018</w:t>
            </w:r>
          </w:p>
        </w:tc>
        <w:tc>
          <w:tcPr>
            <w:tcW w:w="1953" w:type="dxa"/>
          </w:tcPr>
          <w:p w:rsidR="00F94C71" w:rsidRPr="001E0297" w:rsidRDefault="00F94C71" w:rsidP="001E0297">
            <w:pPr>
              <w:keepLines/>
              <w:spacing w:before="40" w:after="40" w:line="200" w:lineRule="atLeast"/>
              <w:rPr>
                <w:rFonts w:asciiTheme="minorHAnsi" w:eastAsia="Times New Roman" w:hAnsiTheme="minorHAnsi"/>
                <w:b w:val="0"/>
                <w:iCs/>
                <w:szCs w:val="17"/>
                <w:lang w:eastAsia="en-US"/>
              </w:rPr>
            </w:pPr>
            <w:r w:rsidRPr="001E0297">
              <w:rPr>
                <w:rFonts w:asciiTheme="minorHAnsi" w:eastAsia="Times New Roman" w:hAnsiTheme="minorHAnsi"/>
                <w:b w:val="0"/>
                <w:iCs/>
                <w:szCs w:val="17"/>
                <w:lang w:eastAsia="en-US"/>
              </w:rPr>
              <w:t xml:space="preserve">August 2018 </w:t>
            </w:r>
          </w:p>
        </w:tc>
        <w:tc>
          <w:tcPr>
            <w:tcW w:w="1671" w:type="dxa"/>
          </w:tcPr>
          <w:p w:rsidR="00F94C71" w:rsidRPr="001E0297" w:rsidRDefault="00F94C71" w:rsidP="001E0297">
            <w:pPr>
              <w:keepLines/>
              <w:spacing w:before="40" w:after="40" w:line="200" w:lineRule="atLeast"/>
              <w:rPr>
                <w:rFonts w:asciiTheme="minorHAnsi" w:eastAsia="Times New Roman" w:hAnsiTheme="minorHAnsi"/>
                <w:b w:val="0"/>
                <w:iCs/>
                <w:szCs w:val="17"/>
                <w:lang w:eastAsia="en-US"/>
              </w:rPr>
            </w:pPr>
            <w:r w:rsidRPr="001E0297">
              <w:rPr>
                <w:rFonts w:asciiTheme="minorHAnsi" w:eastAsia="Times New Roman" w:hAnsiTheme="minorHAnsi"/>
                <w:b w:val="0"/>
                <w:iCs/>
                <w:szCs w:val="17"/>
                <w:lang w:eastAsia="en-US"/>
              </w:rPr>
              <w:t xml:space="preserve">August 2018 </w:t>
            </w:r>
          </w:p>
        </w:tc>
        <w:tc>
          <w:tcPr>
            <w:tcW w:w="1515" w:type="dxa"/>
          </w:tcPr>
          <w:p w:rsidR="00F94C71" w:rsidRPr="001E0297" w:rsidRDefault="00F94C71" w:rsidP="001E0297">
            <w:pPr>
              <w:keepLines/>
              <w:spacing w:before="40" w:after="40" w:line="200" w:lineRule="atLeast"/>
              <w:rPr>
                <w:rFonts w:asciiTheme="minorHAnsi" w:eastAsia="Times New Roman" w:hAnsiTheme="minorHAnsi"/>
                <w:b w:val="0"/>
                <w:iCs/>
                <w:szCs w:val="17"/>
                <w:lang w:eastAsia="en-US"/>
              </w:rPr>
            </w:pPr>
            <w:r w:rsidRPr="001E0297">
              <w:rPr>
                <w:rFonts w:asciiTheme="minorHAnsi" w:eastAsia="Times New Roman" w:hAnsiTheme="minorHAnsi"/>
                <w:b w:val="0"/>
                <w:iCs/>
                <w:szCs w:val="17"/>
                <w:lang w:eastAsia="en-US"/>
              </w:rPr>
              <w:t xml:space="preserve">August 2018 </w:t>
            </w:r>
          </w:p>
        </w:tc>
      </w:tr>
      <w:tr w:rsidR="00F94C71"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gridSpan w:val="2"/>
          </w:tcPr>
          <w:p w:rsidR="00F94C71" w:rsidRPr="005D1352" w:rsidRDefault="00F94C71" w:rsidP="00F94C71">
            <w:pPr>
              <w:keepLines/>
              <w:spacing w:before="40" w:after="40" w:line="200" w:lineRule="atLeast"/>
              <w:rPr>
                <w:rFonts w:asciiTheme="minorHAnsi" w:eastAsia="Times New Roman" w:hAnsiTheme="minorHAnsi"/>
                <w:b w:val="0"/>
                <w:iCs/>
                <w:szCs w:val="17"/>
                <w:lang w:eastAsia="en-US"/>
              </w:rPr>
            </w:pPr>
            <w:r w:rsidRPr="005D1352">
              <w:rPr>
                <w:rFonts w:asciiTheme="minorHAnsi" w:eastAsia="Times New Roman" w:hAnsiTheme="minorHAnsi"/>
                <w:b w:val="0"/>
                <w:iCs/>
                <w:szCs w:val="17"/>
                <w:lang w:eastAsia="en-US"/>
              </w:rPr>
              <w:t>INL129 Education Sector Program 2</w:t>
            </w:r>
          </w:p>
        </w:tc>
        <w:tc>
          <w:tcPr>
            <w:tcW w:w="4657" w:type="dxa"/>
          </w:tcPr>
          <w:p w:rsidR="00F94C71" w:rsidRPr="005D1352" w:rsidRDefault="00F94C71" w:rsidP="00F94C71">
            <w:pPr>
              <w:keepLines/>
              <w:spacing w:before="40" w:after="40" w:line="200" w:lineRule="atLeast"/>
              <w:rPr>
                <w:rFonts w:asciiTheme="minorHAnsi" w:eastAsia="Times New Roman" w:hAnsiTheme="minorHAnsi"/>
                <w:b w:val="0"/>
                <w:iCs/>
                <w:szCs w:val="17"/>
                <w:lang w:eastAsia="en-US"/>
              </w:rPr>
            </w:pPr>
            <w:r w:rsidRPr="005D1352">
              <w:rPr>
                <w:rFonts w:asciiTheme="minorHAnsi" w:eastAsia="Times New Roman" w:hAnsiTheme="minorHAnsi"/>
                <w:b w:val="0"/>
                <w:iCs/>
                <w:szCs w:val="17"/>
                <w:lang w:eastAsia="en-US"/>
              </w:rPr>
              <w:t>Mid-term Review</w:t>
            </w:r>
          </w:p>
        </w:tc>
        <w:tc>
          <w:tcPr>
            <w:tcW w:w="1397" w:type="dxa"/>
          </w:tcPr>
          <w:p w:rsidR="00F94C71" w:rsidRDefault="00F94C71" w:rsidP="00F94C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Phase 1 </w:t>
            </w:r>
            <w:r w:rsidR="00084832">
              <w:rPr>
                <w:rFonts w:asciiTheme="minorHAnsi" w:eastAsia="Times New Roman" w:hAnsiTheme="minorHAnsi"/>
                <w:b w:val="0"/>
                <w:iCs/>
                <w:szCs w:val="17"/>
                <w:lang w:eastAsia="en-US"/>
              </w:rPr>
              <w:t>Nov 17</w:t>
            </w:r>
            <w:r>
              <w:rPr>
                <w:rFonts w:asciiTheme="minorHAnsi" w:eastAsia="Times New Roman" w:hAnsiTheme="minorHAnsi"/>
                <w:b w:val="0"/>
                <w:iCs/>
                <w:szCs w:val="17"/>
                <w:lang w:eastAsia="en-US"/>
              </w:rPr>
              <w:t xml:space="preserve"> </w:t>
            </w:r>
          </w:p>
          <w:p w:rsidR="00F94C71" w:rsidRPr="005D1352" w:rsidRDefault="001E0297" w:rsidP="00084832">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 xml:space="preserve">Phase 2 </w:t>
            </w:r>
            <w:r w:rsidR="00084832">
              <w:rPr>
                <w:rFonts w:asciiTheme="minorHAnsi" w:eastAsia="Times New Roman" w:hAnsiTheme="minorHAnsi"/>
                <w:b w:val="0"/>
                <w:iCs/>
                <w:szCs w:val="17"/>
                <w:lang w:eastAsia="en-US"/>
              </w:rPr>
              <w:t xml:space="preserve">Sept 18 </w:t>
            </w:r>
          </w:p>
        </w:tc>
        <w:tc>
          <w:tcPr>
            <w:tcW w:w="1953" w:type="dxa"/>
          </w:tcPr>
          <w:p w:rsidR="00F94C71" w:rsidRPr="001E0297" w:rsidRDefault="001E0297" w:rsidP="001E0297">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Being finalised at time of publication</w:t>
            </w:r>
          </w:p>
        </w:tc>
        <w:tc>
          <w:tcPr>
            <w:tcW w:w="1671" w:type="dxa"/>
          </w:tcPr>
          <w:p w:rsidR="00F94C71" w:rsidRPr="001E0297" w:rsidRDefault="00F94C71" w:rsidP="00F94C71">
            <w:pPr>
              <w:keepLines/>
              <w:spacing w:before="40" w:after="40" w:line="200" w:lineRule="atLeast"/>
              <w:rPr>
                <w:rFonts w:asciiTheme="minorHAnsi" w:eastAsia="Times New Roman" w:hAnsiTheme="minorHAnsi"/>
                <w:b w:val="0"/>
                <w:iCs/>
                <w:szCs w:val="17"/>
                <w:lang w:eastAsia="en-US"/>
              </w:rPr>
            </w:pPr>
          </w:p>
        </w:tc>
        <w:tc>
          <w:tcPr>
            <w:tcW w:w="1515" w:type="dxa"/>
          </w:tcPr>
          <w:p w:rsidR="00F94C71" w:rsidRPr="001E0297" w:rsidRDefault="00F94C71" w:rsidP="00F94C71">
            <w:pPr>
              <w:keepLines/>
              <w:spacing w:before="40" w:after="40" w:line="200" w:lineRule="atLeast"/>
              <w:rPr>
                <w:rFonts w:asciiTheme="minorHAnsi" w:eastAsia="Times New Roman" w:hAnsiTheme="minorHAnsi"/>
                <w:b w:val="0"/>
                <w:iCs/>
                <w:szCs w:val="17"/>
                <w:lang w:eastAsia="en-US"/>
              </w:rPr>
            </w:pPr>
          </w:p>
        </w:tc>
      </w:tr>
      <w:tr w:rsidR="00F94C71" w:rsidRPr="003B5EE5" w:rsidTr="006F27B1">
        <w:trPr>
          <w:cnfStyle w:val="100000000000" w:firstRow="1" w:lastRow="0" w:firstColumn="0" w:lastColumn="0" w:oddVBand="0" w:evenVBand="0" w:oddHBand="0" w:evenHBand="0" w:firstRowFirstColumn="0" w:firstRowLastColumn="0" w:lastRowFirstColumn="0" w:lastRowLastColumn="0"/>
        </w:trPr>
        <w:tc>
          <w:tcPr>
            <w:tcW w:w="3064" w:type="dxa"/>
            <w:gridSpan w:val="2"/>
          </w:tcPr>
          <w:p w:rsidR="00F94C71" w:rsidRPr="005D1352" w:rsidRDefault="00F94C71" w:rsidP="00F94C71">
            <w:pPr>
              <w:keepLines/>
              <w:spacing w:before="40" w:after="40" w:line="200" w:lineRule="atLeast"/>
              <w:rPr>
                <w:rFonts w:asciiTheme="minorHAnsi" w:eastAsia="Times New Roman" w:hAnsiTheme="minorHAnsi"/>
                <w:b w:val="0"/>
                <w:iCs/>
                <w:szCs w:val="17"/>
                <w:lang w:eastAsia="en-US"/>
              </w:rPr>
            </w:pPr>
            <w:r w:rsidRPr="005D1352">
              <w:rPr>
                <w:rFonts w:asciiTheme="minorHAnsi" w:eastAsia="Times New Roman" w:hAnsiTheme="minorHAnsi"/>
                <w:b w:val="0"/>
                <w:iCs/>
                <w:szCs w:val="17"/>
                <w:lang w:eastAsia="en-US"/>
              </w:rPr>
              <w:t>INL121 Health Sector Support Program – Phase 3</w:t>
            </w:r>
          </w:p>
        </w:tc>
        <w:tc>
          <w:tcPr>
            <w:tcW w:w="4657" w:type="dxa"/>
          </w:tcPr>
          <w:p w:rsidR="00F94C71" w:rsidRPr="005D1352" w:rsidRDefault="00F94C71" w:rsidP="00F94C71">
            <w:pPr>
              <w:keepLines/>
              <w:spacing w:before="40" w:after="40" w:line="200" w:lineRule="atLeast"/>
              <w:rPr>
                <w:rFonts w:asciiTheme="minorHAnsi" w:eastAsia="Times New Roman" w:hAnsiTheme="minorHAnsi"/>
                <w:b w:val="0"/>
                <w:iCs/>
                <w:szCs w:val="17"/>
                <w:lang w:eastAsia="en-US"/>
              </w:rPr>
            </w:pPr>
            <w:r w:rsidRPr="005D1352">
              <w:rPr>
                <w:rFonts w:asciiTheme="minorHAnsi" w:eastAsia="Times New Roman" w:hAnsiTheme="minorHAnsi"/>
                <w:b w:val="0"/>
                <w:iCs/>
                <w:szCs w:val="17"/>
                <w:lang w:eastAsia="en-US"/>
              </w:rPr>
              <w:t xml:space="preserve">2017 Independent assessment of Performance Linked Funding (PLF) indicators </w:t>
            </w:r>
          </w:p>
        </w:tc>
        <w:tc>
          <w:tcPr>
            <w:tcW w:w="1397" w:type="dxa"/>
          </w:tcPr>
          <w:p w:rsidR="00F94C71" w:rsidRPr="005D1352" w:rsidRDefault="00F94C71" w:rsidP="00F94C71">
            <w:pPr>
              <w:keepLines/>
              <w:spacing w:before="40" w:after="40" w:line="200" w:lineRule="atLeast"/>
              <w:rPr>
                <w:rFonts w:asciiTheme="minorHAnsi" w:eastAsia="Times New Roman" w:hAnsiTheme="minorHAnsi"/>
                <w:b w:val="0"/>
                <w:iCs/>
                <w:szCs w:val="17"/>
                <w:lang w:eastAsia="en-US"/>
              </w:rPr>
            </w:pPr>
            <w:r>
              <w:rPr>
                <w:rFonts w:asciiTheme="minorHAnsi" w:eastAsia="Times New Roman" w:hAnsiTheme="minorHAnsi"/>
                <w:b w:val="0"/>
                <w:iCs/>
                <w:szCs w:val="17"/>
                <w:lang w:eastAsia="en-US"/>
              </w:rPr>
              <w:t>June 2017</w:t>
            </w:r>
          </w:p>
        </w:tc>
        <w:tc>
          <w:tcPr>
            <w:tcW w:w="1953" w:type="dxa"/>
          </w:tcPr>
          <w:p w:rsidR="00F94C71" w:rsidRPr="001E0297" w:rsidRDefault="00F94C71" w:rsidP="001E0297">
            <w:pPr>
              <w:keepLines/>
              <w:spacing w:before="40" w:after="40" w:line="200" w:lineRule="atLeast"/>
              <w:rPr>
                <w:rFonts w:asciiTheme="minorHAnsi" w:eastAsia="Times New Roman" w:hAnsiTheme="minorHAnsi"/>
                <w:b w:val="0"/>
                <w:iCs/>
                <w:szCs w:val="17"/>
                <w:lang w:eastAsia="en-US"/>
              </w:rPr>
            </w:pPr>
            <w:r w:rsidRPr="001E0297">
              <w:rPr>
                <w:rFonts w:asciiTheme="minorHAnsi" w:eastAsia="Times New Roman" w:hAnsiTheme="minorHAnsi"/>
                <w:b w:val="0"/>
                <w:iCs/>
                <w:szCs w:val="17"/>
                <w:lang w:eastAsia="en-US"/>
              </w:rPr>
              <w:t>July 2018</w:t>
            </w:r>
          </w:p>
        </w:tc>
        <w:tc>
          <w:tcPr>
            <w:tcW w:w="1671" w:type="dxa"/>
          </w:tcPr>
          <w:p w:rsidR="00F94C71" w:rsidRPr="001E0297" w:rsidRDefault="001E0297" w:rsidP="001E0297">
            <w:pPr>
              <w:keepLines/>
              <w:spacing w:before="40" w:after="40" w:line="200" w:lineRule="atLeast"/>
              <w:rPr>
                <w:rFonts w:asciiTheme="minorHAnsi" w:eastAsia="Times New Roman" w:hAnsiTheme="minorHAnsi"/>
                <w:b w:val="0"/>
                <w:iCs/>
                <w:szCs w:val="17"/>
                <w:lang w:eastAsia="en-US"/>
              </w:rPr>
            </w:pPr>
            <w:r w:rsidRPr="001E0297">
              <w:rPr>
                <w:rFonts w:asciiTheme="minorHAnsi" w:eastAsia="Times New Roman" w:hAnsiTheme="minorHAnsi"/>
                <w:b w:val="0"/>
                <w:iCs/>
                <w:szCs w:val="17"/>
                <w:lang w:eastAsia="en-US"/>
              </w:rPr>
              <w:t>July 2018</w:t>
            </w:r>
          </w:p>
        </w:tc>
        <w:tc>
          <w:tcPr>
            <w:tcW w:w="1515" w:type="dxa"/>
          </w:tcPr>
          <w:p w:rsidR="00F94C71" w:rsidRPr="001E0297" w:rsidRDefault="001E0297" w:rsidP="00F94C71">
            <w:pPr>
              <w:keepLines/>
              <w:spacing w:before="40" w:after="40" w:line="200" w:lineRule="atLeast"/>
              <w:rPr>
                <w:rFonts w:asciiTheme="minorHAnsi" w:eastAsia="Times New Roman" w:hAnsiTheme="minorHAnsi"/>
                <w:b w:val="0"/>
                <w:iCs/>
                <w:szCs w:val="17"/>
                <w:lang w:eastAsia="en-US"/>
              </w:rPr>
            </w:pPr>
            <w:r w:rsidRPr="001E0297">
              <w:rPr>
                <w:rFonts w:asciiTheme="minorHAnsi" w:eastAsia="Times New Roman" w:hAnsiTheme="minorHAnsi"/>
                <w:b w:val="0"/>
                <w:iCs/>
                <w:szCs w:val="17"/>
                <w:lang w:eastAsia="en-US"/>
              </w:rPr>
              <w:t>September 2018</w:t>
            </w:r>
          </w:p>
        </w:tc>
      </w:tr>
      <w:tr w:rsidR="00EB0BDE" w:rsidRPr="003B5EE5" w:rsidTr="00505391">
        <w:trPr>
          <w:gridAfter w:val="6"/>
          <w:cnfStyle w:val="100000000000" w:firstRow="1" w:lastRow="0" w:firstColumn="0" w:lastColumn="0" w:oddVBand="0" w:evenVBand="0" w:oddHBand="0" w:evenHBand="0" w:firstRowFirstColumn="0" w:firstRowLastColumn="0" w:lastRowFirstColumn="0" w:lastRowLastColumn="0"/>
          <w:wAfter w:w="12854" w:type="dxa"/>
        </w:trPr>
        <w:tc>
          <w:tcPr>
            <w:tcW w:w="1515" w:type="dxa"/>
            <w:tcBorders>
              <w:top w:val="nil"/>
            </w:tcBorders>
          </w:tcPr>
          <w:p w:rsidR="00EB0BDE" w:rsidRDefault="00EB0BDE" w:rsidP="00EB0BDE">
            <w:pPr>
              <w:keepLines/>
              <w:spacing w:before="40" w:after="40" w:line="200" w:lineRule="atLeast"/>
              <w:rPr>
                <w:sz w:val="16"/>
                <w:szCs w:val="16"/>
              </w:rPr>
            </w:pPr>
          </w:p>
        </w:tc>
      </w:tr>
    </w:tbl>
    <w:p w:rsidR="00084832" w:rsidRDefault="00084832" w:rsidP="008C2F58">
      <w:pPr>
        <w:rPr>
          <w:b/>
          <w:sz w:val="24"/>
        </w:rPr>
      </w:pPr>
    </w:p>
    <w:p w:rsidR="00B3585D" w:rsidRDefault="00B3585D">
      <w:pPr>
        <w:suppressAutoHyphens w:val="0"/>
        <w:spacing w:before="0" w:after="120" w:line="440" w:lineRule="atLeast"/>
        <w:rPr>
          <w:b/>
          <w:sz w:val="24"/>
        </w:rPr>
      </w:pPr>
      <w:r>
        <w:rPr>
          <w:b/>
          <w:sz w:val="24"/>
        </w:rPr>
        <w:br w:type="page"/>
      </w:r>
    </w:p>
    <w:p w:rsidR="00B3585D" w:rsidRDefault="00400B0F" w:rsidP="008C2F58">
      <w:pPr>
        <w:rPr>
          <w:b/>
          <w:sz w:val="24"/>
        </w:rPr>
      </w:pPr>
      <w:r w:rsidRPr="008C2F58">
        <w:rPr>
          <w:b/>
          <w:sz w:val="24"/>
        </w:rPr>
        <w:lastRenderedPageBreak/>
        <w:t>List of program prioritised evaluations planned for the next 12 months</w:t>
      </w:r>
    </w:p>
    <w:p w:rsidR="00400B0F" w:rsidRPr="008C2F58" w:rsidRDefault="00400B0F" w:rsidP="008C2F58">
      <w:pPr>
        <w:rPr>
          <w:b/>
          <w:sz w:val="24"/>
        </w:rPr>
      </w:pPr>
      <w:r w:rsidRPr="008C2F58">
        <w:rPr>
          <w:b/>
          <w:sz w:val="24"/>
        </w:rPr>
        <w:t xml:space="preserve"> </w:t>
      </w:r>
    </w:p>
    <w:tbl>
      <w:tblPr>
        <w:tblStyle w:val="APPR"/>
        <w:tblW w:w="0" w:type="auto"/>
        <w:tblLook w:val="0600" w:firstRow="0" w:lastRow="0" w:firstColumn="0" w:lastColumn="0" w:noHBand="1" w:noVBand="1"/>
      </w:tblPr>
      <w:tblGrid>
        <w:gridCol w:w="2460"/>
        <w:gridCol w:w="2354"/>
        <w:gridCol w:w="2443"/>
        <w:gridCol w:w="2212"/>
        <w:gridCol w:w="2343"/>
        <w:gridCol w:w="2361"/>
      </w:tblGrid>
      <w:tr w:rsidR="00400B0F" w:rsidRPr="00C61187" w:rsidTr="00F94C71">
        <w:tc>
          <w:tcPr>
            <w:tcW w:w="2418"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title</w:t>
            </w:r>
          </w:p>
        </w:tc>
        <w:tc>
          <w:tcPr>
            <w:tcW w:w="2326"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 xml:space="preserve">Investment number and name (if applicable) </w:t>
            </w:r>
          </w:p>
        </w:tc>
        <w:tc>
          <w:tcPr>
            <w:tcW w:w="2415"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commencement (month/year)</w:t>
            </w:r>
          </w:p>
        </w:tc>
        <w:tc>
          <w:tcPr>
            <w:tcW w:w="2184"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Date – planned completion (month/year)</w:t>
            </w:r>
          </w:p>
        </w:tc>
        <w:tc>
          <w:tcPr>
            <w:tcW w:w="2315"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Purpose of evaluation</w:t>
            </w:r>
          </w:p>
        </w:tc>
        <w:tc>
          <w:tcPr>
            <w:tcW w:w="2319" w:type="dxa"/>
          </w:tcPr>
          <w:p w:rsidR="00400B0F" w:rsidRPr="00880004" w:rsidRDefault="00400B0F" w:rsidP="006F27B1">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Evaluation type</w:t>
            </w:r>
          </w:p>
        </w:tc>
      </w:tr>
      <w:tr w:rsidR="00400B0F" w:rsidRPr="00C61187" w:rsidTr="00F94C71">
        <w:tc>
          <w:tcPr>
            <w:tcW w:w="2418" w:type="dxa"/>
          </w:tcPr>
          <w:p w:rsidR="00400B0F" w:rsidRPr="001E0297" w:rsidRDefault="00505391" w:rsidP="006F27B1">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 xml:space="preserve">Solomon Islands Growth Program Mid-Term Review </w:t>
            </w:r>
            <w:r w:rsidR="00400B0F" w:rsidRPr="001E0297">
              <w:rPr>
                <w:rFonts w:asciiTheme="minorHAnsi" w:eastAsia="Times New Roman" w:hAnsiTheme="minorHAnsi"/>
                <w:iCs/>
                <w:szCs w:val="17"/>
                <w:lang w:eastAsia="en-US"/>
              </w:rPr>
              <w:t xml:space="preserve"> </w:t>
            </w:r>
          </w:p>
        </w:tc>
        <w:tc>
          <w:tcPr>
            <w:tcW w:w="2326" w:type="dxa"/>
          </w:tcPr>
          <w:p w:rsidR="00400B0F" w:rsidRPr="001E0297" w:rsidRDefault="00505391" w:rsidP="00505391">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 xml:space="preserve">INL596 – Solomon Islands Growth Program Mid-Term Review  </w:t>
            </w:r>
          </w:p>
        </w:tc>
        <w:tc>
          <w:tcPr>
            <w:tcW w:w="2415" w:type="dxa"/>
          </w:tcPr>
          <w:p w:rsidR="00400B0F" w:rsidRPr="001E0297" w:rsidRDefault="00507B0A" w:rsidP="006F27B1">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September 2018</w:t>
            </w:r>
          </w:p>
        </w:tc>
        <w:tc>
          <w:tcPr>
            <w:tcW w:w="2184" w:type="dxa"/>
          </w:tcPr>
          <w:p w:rsidR="00400B0F" w:rsidRPr="001E0297" w:rsidRDefault="00CF5F12" w:rsidP="006F27B1">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December 20</w:t>
            </w:r>
            <w:r w:rsidR="00505391" w:rsidRPr="001E0297">
              <w:rPr>
                <w:rFonts w:asciiTheme="minorHAnsi" w:eastAsia="Times New Roman" w:hAnsiTheme="minorHAnsi"/>
                <w:iCs/>
                <w:szCs w:val="17"/>
                <w:lang w:eastAsia="en-US"/>
              </w:rPr>
              <w:t>18</w:t>
            </w:r>
            <w:r w:rsidR="00400B0F" w:rsidRPr="001E0297">
              <w:rPr>
                <w:rFonts w:asciiTheme="minorHAnsi" w:eastAsia="Times New Roman" w:hAnsiTheme="minorHAnsi"/>
                <w:iCs/>
                <w:szCs w:val="17"/>
                <w:lang w:eastAsia="en-US"/>
              </w:rPr>
              <w:t xml:space="preserve"> </w:t>
            </w:r>
          </w:p>
        </w:tc>
        <w:tc>
          <w:tcPr>
            <w:tcW w:w="2315" w:type="dxa"/>
          </w:tcPr>
          <w:p w:rsidR="00400B0F" w:rsidRPr="001E0297" w:rsidRDefault="00505391" w:rsidP="00505391">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 xml:space="preserve">The evaluation will </w:t>
            </w:r>
            <w:r w:rsidR="00507B0A" w:rsidRPr="001E0297">
              <w:rPr>
                <w:rFonts w:asciiTheme="minorHAnsi" w:eastAsia="Times New Roman" w:hAnsiTheme="minorHAnsi"/>
                <w:iCs/>
                <w:szCs w:val="17"/>
                <w:lang w:eastAsia="en-US"/>
              </w:rPr>
              <w:t>assess relevance and efficiency</w:t>
            </w:r>
            <w:r w:rsidRPr="001E0297">
              <w:rPr>
                <w:rFonts w:asciiTheme="minorHAnsi" w:eastAsia="Times New Roman" w:hAnsiTheme="minorHAnsi"/>
                <w:iCs/>
                <w:szCs w:val="17"/>
                <w:lang w:eastAsia="en-US"/>
              </w:rPr>
              <w:t xml:space="preserve"> of Australia’s support to the economic growth portfolio</w:t>
            </w:r>
          </w:p>
          <w:p w:rsidR="00400B0F" w:rsidRPr="001E0297" w:rsidRDefault="00400B0F" w:rsidP="006F27B1">
            <w:pPr>
              <w:keepLines/>
              <w:spacing w:before="40" w:after="40" w:line="200" w:lineRule="atLeast"/>
              <w:rPr>
                <w:rFonts w:asciiTheme="minorHAnsi" w:eastAsia="Times New Roman" w:hAnsiTheme="minorHAnsi"/>
                <w:iCs/>
                <w:color w:val="000000" w:themeColor="text1" w:themeShade="BF"/>
                <w:szCs w:val="17"/>
                <w:lang w:eastAsia="en-US"/>
              </w:rPr>
            </w:pPr>
            <w:r w:rsidRPr="001E0297">
              <w:rPr>
                <w:rFonts w:asciiTheme="minorHAnsi" w:eastAsia="Times New Roman" w:hAnsiTheme="minorHAnsi"/>
                <w:iCs/>
                <w:szCs w:val="17"/>
                <w:lang w:eastAsia="en-US"/>
              </w:rPr>
              <w:t xml:space="preserve"> </w:t>
            </w:r>
          </w:p>
        </w:tc>
        <w:tc>
          <w:tcPr>
            <w:tcW w:w="2319" w:type="dxa"/>
          </w:tcPr>
          <w:p w:rsidR="00505391" w:rsidRPr="001E0297" w:rsidRDefault="00505391" w:rsidP="00505391">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DFAT led</w:t>
            </w:r>
          </w:p>
          <w:p w:rsidR="00400B0F" w:rsidRPr="001E0297" w:rsidRDefault="00400B0F" w:rsidP="006F27B1">
            <w:pPr>
              <w:keepLines/>
              <w:spacing w:before="40" w:after="40" w:line="200" w:lineRule="atLeast"/>
              <w:rPr>
                <w:rFonts w:asciiTheme="minorHAnsi" w:eastAsia="Times New Roman" w:hAnsiTheme="minorHAnsi"/>
                <w:iCs/>
                <w:szCs w:val="17"/>
                <w:lang w:eastAsia="en-US"/>
              </w:rPr>
            </w:pPr>
          </w:p>
        </w:tc>
      </w:tr>
      <w:tr w:rsidR="00F94C71" w:rsidRPr="00C61187" w:rsidTr="00EA5A95">
        <w:tc>
          <w:tcPr>
            <w:tcW w:w="2418"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lang w:eastAsia="en-US"/>
              </w:rPr>
              <w:t>Mid-term Review of Australia’s Support to Basic Education</w:t>
            </w:r>
          </w:p>
        </w:tc>
        <w:tc>
          <w:tcPr>
            <w:tcW w:w="2326"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lang w:eastAsia="en-US"/>
              </w:rPr>
              <w:t xml:space="preserve">INL129 </w:t>
            </w:r>
            <w:r w:rsidR="007E7622">
              <w:rPr>
                <w:rFonts w:asciiTheme="minorHAnsi" w:eastAsia="Times New Roman" w:hAnsiTheme="minorHAnsi"/>
                <w:iCs/>
                <w:szCs w:val="17"/>
                <w:lang w:eastAsia="en-US"/>
              </w:rPr>
              <w:t xml:space="preserve">- </w:t>
            </w:r>
            <w:r w:rsidRPr="001E0297">
              <w:rPr>
                <w:rFonts w:asciiTheme="minorHAnsi" w:eastAsia="Times New Roman" w:hAnsiTheme="minorHAnsi"/>
                <w:iCs/>
                <w:szCs w:val="17"/>
                <w:lang w:eastAsia="en-US"/>
              </w:rPr>
              <w:t>Education Sector Program 2</w:t>
            </w:r>
          </w:p>
        </w:tc>
        <w:tc>
          <w:tcPr>
            <w:tcW w:w="2415"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lang w:eastAsia="en-US"/>
              </w:rPr>
              <w:t>Phase 1 November 2017 Phase 2 July 2018</w:t>
            </w:r>
          </w:p>
        </w:tc>
        <w:tc>
          <w:tcPr>
            <w:tcW w:w="2184"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lang w:eastAsia="en-US"/>
              </w:rPr>
              <w:t>September 2018</w:t>
            </w:r>
          </w:p>
        </w:tc>
        <w:tc>
          <w:tcPr>
            <w:tcW w:w="2315" w:type="dxa"/>
          </w:tcPr>
          <w:p w:rsidR="00F94C71" w:rsidRPr="001E0297" w:rsidRDefault="00F94C71" w:rsidP="00084832">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lang w:eastAsia="en-US"/>
              </w:rPr>
              <w:t xml:space="preserve">Review progress since 2015 and provide </w:t>
            </w:r>
            <w:r w:rsidR="00084832">
              <w:rPr>
                <w:rFonts w:asciiTheme="minorHAnsi" w:eastAsia="Times New Roman" w:hAnsiTheme="minorHAnsi"/>
                <w:iCs/>
                <w:szCs w:val="17"/>
                <w:lang w:eastAsia="en-US"/>
              </w:rPr>
              <w:t>r</w:t>
            </w:r>
            <w:r w:rsidRPr="001E0297">
              <w:rPr>
                <w:rFonts w:asciiTheme="minorHAnsi" w:eastAsia="Times New Roman" w:hAnsiTheme="minorHAnsi"/>
                <w:iCs/>
                <w:szCs w:val="17"/>
                <w:lang w:eastAsia="en-US"/>
              </w:rPr>
              <w:t>ecommendations for future support</w:t>
            </w:r>
          </w:p>
        </w:tc>
        <w:tc>
          <w:tcPr>
            <w:tcW w:w="2319"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lang w:eastAsia="en-US"/>
              </w:rPr>
              <w:t>DFAT-commissioned Independent review</w:t>
            </w:r>
          </w:p>
        </w:tc>
      </w:tr>
      <w:tr w:rsidR="00F94C71" w:rsidRPr="00C61187" w:rsidTr="00EA5A95">
        <w:tc>
          <w:tcPr>
            <w:tcW w:w="2418"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2017 Independent assessment of Performance Linked Funding (PLF) indicators</w:t>
            </w:r>
          </w:p>
        </w:tc>
        <w:tc>
          <w:tcPr>
            <w:tcW w:w="2326"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lang w:eastAsia="en-US"/>
              </w:rPr>
              <w:t>INL129</w:t>
            </w:r>
            <w:r w:rsidR="007E7622">
              <w:rPr>
                <w:rFonts w:asciiTheme="minorHAnsi" w:eastAsia="Times New Roman" w:hAnsiTheme="minorHAnsi"/>
                <w:iCs/>
                <w:szCs w:val="17"/>
                <w:lang w:eastAsia="en-US"/>
              </w:rPr>
              <w:t xml:space="preserve"> -</w:t>
            </w:r>
            <w:r w:rsidRPr="001E0297">
              <w:rPr>
                <w:rFonts w:asciiTheme="minorHAnsi" w:eastAsia="Times New Roman" w:hAnsiTheme="minorHAnsi"/>
                <w:iCs/>
                <w:szCs w:val="17"/>
                <w:lang w:eastAsia="en-US"/>
              </w:rPr>
              <w:t xml:space="preserve"> Education Sector Program 2</w:t>
            </w:r>
          </w:p>
        </w:tc>
        <w:tc>
          <w:tcPr>
            <w:tcW w:w="2415"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May 2019</w:t>
            </w:r>
          </w:p>
        </w:tc>
        <w:tc>
          <w:tcPr>
            <w:tcW w:w="2184"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June 2019</w:t>
            </w:r>
          </w:p>
        </w:tc>
        <w:tc>
          <w:tcPr>
            <w:tcW w:w="2315"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To assess progress against PLF targets and recommend a PLF payment amount</w:t>
            </w:r>
          </w:p>
        </w:tc>
        <w:tc>
          <w:tcPr>
            <w:tcW w:w="2319"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lang w:eastAsia="en-US"/>
              </w:rPr>
              <w:t>DFAT-commissioned Independent review</w:t>
            </w:r>
          </w:p>
        </w:tc>
      </w:tr>
      <w:tr w:rsidR="00F94C71" w:rsidRPr="00C61187" w:rsidTr="00EA5A95">
        <w:tc>
          <w:tcPr>
            <w:tcW w:w="2418"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Review of the Skills for Economic Growth program</w:t>
            </w:r>
          </w:p>
        </w:tc>
        <w:tc>
          <w:tcPr>
            <w:tcW w:w="2326"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Activity 71942 under INL129 Education Sector Program 2</w:t>
            </w:r>
          </w:p>
        </w:tc>
        <w:tc>
          <w:tcPr>
            <w:tcW w:w="2415"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November 2018</w:t>
            </w:r>
          </w:p>
        </w:tc>
        <w:tc>
          <w:tcPr>
            <w:tcW w:w="2184"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January 2019</w:t>
            </w:r>
          </w:p>
        </w:tc>
        <w:tc>
          <w:tcPr>
            <w:tcW w:w="2315"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 xml:space="preserve">To inform the next phase of Australia’s support to the TVET sector </w:t>
            </w:r>
          </w:p>
        </w:tc>
        <w:tc>
          <w:tcPr>
            <w:tcW w:w="2319" w:type="dxa"/>
          </w:tcPr>
          <w:p w:rsidR="00F94C71" w:rsidRPr="001E0297" w:rsidRDefault="00F94C71" w:rsidP="00F94C71">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DFAT-Commissioned independent review</w:t>
            </w:r>
          </w:p>
        </w:tc>
      </w:tr>
      <w:tr w:rsidR="00EA5A95" w:rsidRPr="00C61187" w:rsidTr="00507B0A">
        <w:tc>
          <w:tcPr>
            <w:tcW w:w="2418" w:type="dxa"/>
          </w:tcPr>
          <w:p w:rsidR="00EA5A95" w:rsidRPr="001E0297" w:rsidRDefault="00EA5A95" w:rsidP="00507B0A">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Mid-Term review of the Solomon Islands Justice Program</w:t>
            </w:r>
          </w:p>
        </w:tc>
        <w:tc>
          <w:tcPr>
            <w:tcW w:w="2326" w:type="dxa"/>
          </w:tcPr>
          <w:p w:rsidR="00EA5A95" w:rsidRPr="001E0297" w:rsidRDefault="00EA5A95" w:rsidP="00507B0A">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INL942 – Solomon Islands Justice Program (2017-2021)</w:t>
            </w:r>
          </w:p>
        </w:tc>
        <w:tc>
          <w:tcPr>
            <w:tcW w:w="2415" w:type="dxa"/>
          </w:tcPr>
          <w:p w:rsidR="00EA5A95" w:rsidRPr="001E0297" w:rsidRDefault="00EA5A95" w:rsidP="00507B0A">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June 2019</w:t>
            </w:r>
          </w:p>
        </w:tc>
        <w:tc>
          <w:tcPr>
            <w:tcW w:w="2184" w:type="dxa"/>
          </w:tcPr>
          <w:p w:rsidR="00EA5A95" w:rsidRPr="001E0297" w:rsidRDefault="00EA5A95" w:rsidP="00507B0A">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August 2019</w:t>
            </w:r>
          </w:p>
        </w:tc>
        <w:tc>
          <w:tcPr>
            <w:tcW w:w="2315" w:type="dxa"/>
          </w:tcPr>
          <w:p w:rsidR="00EA5A95" w:rsidRPr="001E0297" w:rsidRDefault="00EA5A95" w:rsidP="00507B0A">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lang w:eastAsia="en-US"/>
              </w:rPr>
              <w:t>To assess results against program objectives and use evidence to ensure continuous improvement</w:t>
            </w:r>
          </w:p>
        </w:tc>
        <w:tc>
          <w:tcPr>
            <w:tcW w:w="2319" w:type="dxa"/>
          </w:tcPr>
          <w:p w:rsidR="00EA5A95" w:rsidRPr="001E0297" w:rsidRDefault="00EA5A95" w:rsidP="00507B0A">
            <w:pPr>
              <w:keepLines/>
              <w:spacing w:before="40" w:after="40" w:line="200" w:lineRule="atLeast"/>
              <w:rPr>
                <w:rFonts w:asciiTheme="minorHAnsi" w:eastAsia="Times New Roman" w:hAnsiTheme="minorHAnsi"/>
                <w:iCs/>
                <w:szCs w:val="17"/>
                <w:lang w:eastAsia="en-US"/>
              </w:rPr>
            </w:pPr>
            <w:r w:rsidRPr="001E0297">
              <w:rPr>
                <w:rFonts w:asciiTheme="minorHAnsi" w:eastAsia="Times New Roman" w:hAnsiTheme="minorHAnsi"/>
                <w:iCs/>
                <w:szCs w:val="17"/>
              </w:rPr>
              <w:t>DFAT-Commissioned independent review</w:t>
            </w:r>
          </w:p>
        </w:tc>
      </w:tr>
      <w:tr w:rsidR="00EA5A95" w:rsidRPr="00C61187" w:rsidTr="00EA5A95">
        <w:tc>
          <w:tcPr>
            <w:tcW w:w="2418" w:type="dxa"/>
          </w:tcPr>
          <w:p w:rsidR="00EA5A95" w:rsidRPr="001E0297" w:rsidRDefault="00EA5A95" w:rsidP="00507B0A">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Mid-Term review of the Solomon Islands Governance Program</w:t>
            </w:r>
          </w:p>
        </w:tc>
        <w:tc>
          <w:tcPr>
            <w:tcW w:w="2326" w:type="dxa"/>
          </w:tcPr>
          <w:p w:rsidR="00EA5A95" w:rsidRPr="001E0297" w:rsidRDefault="00EA5A95" w:rsidP="00507B0A">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INL941 – Solomon Islands Governance Program 2017-2021</w:t>
            </w:r>
          </w:p>
        </w:tc>
        <w:tc>
          <w:tcPr>
            <w:tcW w:w="2415" w:type="dxa"/>
          </w:tcPr>
          <w:p w:rsidR="00EA5A95" w:rsidRPr="001E0297" w:rsidRDefault="00EA5A95" w:rsidP="00507B0A">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June 2019</w:t>
            </w:r>
          </w:p>
        </w:tc>
        <w:tc>
          <w:tcPr>
            <w:tcW w:w="2184" w:type="dxa"/>
          </w:tcPr>
          <w:p w:rsidR="00EA5A95" w:rsidRPr="001E0297" w:rsidRDefault="00EA5A95" w:rsidP="00507B0A">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August 2019</w:t>
            </w:r>
          </w:p>
        </w:tc>
        <w:tc>
          <w:tcPr>
            <w:tcW w:w="2315" w:type="dxa"/>
          </w:tcPr>
          <w:p w:rsidR="00EA5A95" w:rsidRPr="001E0297" w:rsidRDefault="00EA5A95" w:rsidP="00507B0A">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lang w:eastAsia="en-US"/>
              </w:rPr>
              <w:t>To assess results against program objectives and use evidence to ensure continuous improvement</w:t>
            </w:r>
          </w:p>
        </w:tc>
        <w:tc>
          <w:tcPr>
            <w:tcW w:w="2319" w:type="dxa"/>
          </w:tcPr>
          <w:p w:rsidR="00EA5A95" w:rsidRPr="001E0297" w:rsidRDefault="00EA5A95" w:rsidP="00507B0A">
            <w:pPr>
              <w:keepLines/>
              <w:spacing w:before="40" w:after="40" w:line="200" w:lineRule="atLeast"/>
              <w:rPr>
                <w:rFonts w:asciiTheme="minorHAnsi" w:eastAsia="Times New Roman" w:hAnsiTheme="minorHAnsi"/>
                <w:iCs/>
                <w:szCs w:val="17"/>
              </w:rPr>
            </w:pPr>
            <w:r w:rsidRPr="001E0297">
              <w:rPr>
                <w:rFonts w:asciiTheme="minorHAnsi" w:eastAsia="Times New Roman" w:hAnsiTheme="minorHAnsi"/>
                <w:iCs/>
                <w:szCs w:val="17"/>
              </w:rPr>
              <w:t>DFAT-Commissioned independent review</w:t>
            </w:r>
          </w:p>
        </w:tc>
      </w:tr>
      <w:tr w:rsidR="00F94C71" w:rsidRPr="00C61187" w:rsidTr="00F94C71">
        <w:tc>
          <w:tcPr>
            <w:tcW w:w="2418" w:type="dxa"/>
          </w:tcPr>
          <w:p w:rsidR="00F94C71" w:rsidRPr="00C61187" w:rsidRDefault="00F94C71" w:rsidP="00F94C71">
            <w:pPr>
              <w:keepLines/>
              <w:spacing w:before="40" w:after="40" w:line="200" w:lineRule="atLeast"/>
              <w:rPr>
                <w:rFonts w:eastAsia="Times New Roman"/>
                <w:iCs/>
                <w:szCs w:val="17"/>
                <w:lang w:eastAsia="en-US"/>
              </w:rPr>
            </w:pPr>
          </w:p>
        </w:tc>
        <w:tc>
          <w:tcPr>
            <w:tcW w:w="2326" w:type="dxa"/>
          </w:tcPr>
          <w:p w:rsidR="00F94C71" w:rsidRPr="00C61187" w:rsidRDefault="00F94C71" w:rsidP="00F94C71">
            <w:pPr>
              <w:keepLines/>
              <w:spacing w:before="40" w:after="40" w:line="200" w:lineRule="atLeast"/>
              <w:rPr>
                <w:rFonts w:eastAsia="Times New Roman"/>
                <w:iCs/>
                <w:szCs w:val="17"/>
                <w:lang w:eastAsia="en-US"/>
              </w:rPr>
            </w:pPr>
          </w:p>
        </w:tc>
        <w:tc>
          <w:tcPr>
            <w:tcW w:w="2415" w:type="dxa"/>
          </w:tcPr>
          <w:p w:rsidR="00F94C71" w:rsidRPr="00C61187" w:rsidRDefault="00F94C71" w:rsidP="00F94C71">
            <w:pPr>
              <w:keepLines/>
              <w:spacing w:before="40" w:after="40" w:line="200" w:lineRule="atLeast"/>
              <w:rPr>
                <w:rFonts w:eastAsia="Times New Roman"/>
                <w:iCs/>
                <w:szCs w:val="17"/>
                <w:lang w:eastAsia="en-US"/>
              </w:rPr>
            </w:pPr>
          </w:p>
        </w:tc>
        <w:tc>
          <w:tcPr>
            <w:tcW w:w="2184" w:type="dxa"/>
          </w:tcPr>
          <w:p w:rsidR="00F94C71" w:rsidRPr="00C61187" w:rsidRDefault="00F94C71" w:rsidP="00F94C71">
            <w:pPr>
              <w:keepLines/>
              <w:spacing w:before="40" w:after="40" w:line="200" w:lineRule="atLeast"/>
              <w:rPr>
                <w:rFonts w:eastAsia="Times New Roman"/>
                <w:iCs/>
                <w:szCs w:val="17"/>
                <w:lang w:eastAsia="en-US"/>
              </w:rPr>
            </w:pPr>
          </w:p>
        </w:tc>
        <w:tc>
          <w:tcPr>
            <w:tcW w:w="2315" w:type="dxa"/>
          </w:tcPr>
          <w:p w:rsidR="00F94C71" w:rsidRPr="00C61187" w:rsidRDefault="00F94C71" w:rsidP="00F94C71">
            <w:pPr>
              <w:keepLines/>
              <w:spacing w:before="40" w:after="40" w:line="200" w:lineRule="atLeast"/>
              <w:rPr>
                <w:rFonts w:eastAsia="Times New Roman"/>
                <w:iCs/>
                <w:szCs w:val="17"/>
                <w:lang w:eastAsia="en-US"/>
              </w:rPr>
            </w:pPr>
          </w:p>
        </w:tc>
        <w:tc>
          <w:tcPr>
            <w:tcW w:w="2319" w:type="dxa"/>
          </w:tcPr>
          <w:p w:rsidR="00F94C71" w:rsidRPr="00C61187" w:rsidRDefault="00F94C71" w:rsidP="00F94C71">
            <w:pPr>
              <w:keepLines/>
              <w:spacing w:before="40" w:after="40" w:line="200" w:lineRule="atLeast"/>
              <w:rPr>
                <w:rFonts w:eastAsia="Times New Roman"/>
                <w:iCs/>
                <w:szCs w:val="17"/>
                <w:lang w:eastAsia="en-US"/>
              </w:rPr>
            </w:pPr>
          </w:p>
        </w:tc>
      </w:tr>
    </w:tbl>
    <w:p w:rsidR="00400B0F" w:rsidRPr="00C61187" w:rsidRDefault="00400B0F" w:rsidP="00400B0F">
      <w:pPr>
        <w:rPr>
          <w:b/>
        </w:rPr>
        <w:sectPr w:rsidR="00400B0F" w:rsidRPr="00C61187" w:rsidSect="008C2F58">
          <w:headerReference w:type="even" r:id="rId29"/>
          <w:headerReference w:type="default" r:id="rId30"/>
          <w:headerReference w:type="first" r:id="rId31"/>
          <w:footerReference w:type="first" r:id="rId32"/>
          <w:footnotePr>
            <w:numRestart w:val="eachPage"/>
          </w:footnotePr>
          <w:type w:val="continuous"/>
          <w:pgSz w:w="16838" w:h="11906" w:orient="landscape" w:code="9"/>
          <w:pgMar w:top="1272" w:right="1814" w:bottom="851" w:left="851" w:header="709" w:footer="230" w:gutter="0"/>
          <w:cols w:space="708"/>
          <w:titlePg/>
          <w:docGrid w:linePitch="360"/>
        </w:sectPr>
      </w:pPr>
    </w:p>
    <w:p w:rsidR="00400B0F" w:rsidRPr="00784031" w:rsidRDefault="00400B0F" w:rsidP="00B3585D">
      <w:pPr>
        <w:pStyle w:val="Subtitle"/>
      </w:pPr>
      <w:r w:rsidRPr="00784031">
        <w:lastRenderedPageBreak/>
        <w:t>Annex D - Aid Quality Check ratings</w:t>
      </w:r>
    </w:p>
    <w:p w:rsidR="005703C9" w:rsidRPr="00784031" w:rsidRDefault="005703C9" w:rsidP="005703C9">
      <w:pPr>
        <w:keepNext/>
        <w:numPr>
          <w:ilvl w:val="2"/>
          <w:numId w:val="0"/>
        </w:numPr>
        <w:spacing w:before="240" w:after="120"/>
        <w:ind w:firstLine="720"/>
        <w:outlineLvl w:val="2"/>
        <w:rPr>
          <w:rFonts w:asciiTheme="majorHAnsi" w:eastAsiaTheme="majorEastAsia" w:hAnsiTheme="majorHAnsi" w:cstheme="majorBidi"/>
          <w:caps/>
          <w:sz w:val="38"/>
          <w:szCs w:val="26"/>
        </w:rPr>
      </w:pPr>
      <w:r w:rsidRPr="00784031">
        <w:rPr>
          <w:rFonts w:asciiTheme="majorHAnsi" w:eastAsiaTheme="majorEastAsia" w:hAnsiTheme="majorHAnsi" w:cstheme="majorBidi"/>
          <w:caps/>
          <w:sz w:val="38"/>
          <w:szCs w:val="26"/>
        </w:rPr>
        <w:t>AQC ratings</w:t>
      </w:r>
    </w:p>
    <w:p w:rsidR="005703C9" w:rsidRDefault="005703C9" w:rsidP="005703C9">
      <w:pPr>
        <w:keepNext/>
        <w:spacing w:before="0" w:after="0" w:line="240" w:lineRule="auto"/>
        <w:ind w:firstLine="720"/>
      </w:pPr>
      <w:r w:rsidRPr="00C61187">
        <w:t>AQC investment performance over the previous 12 months and where available last year’s AQC ratings are included.</w:t>
      </w:r>
    </w:p>
    <w:tbl>
      <w:tblPr>
        <w:tblW w:w="12880" w:type="dxa"/>
        <w:jc w:val="center"/>
        <w:tblLook w:val="04A0" w:firstRow="1" w:lastRow="0" w:firstColumn="1" w:lastColumn="0" w:noHBand="0" w:noVBand="1"/>
      </w:tblPr>
      <w:tblGrid>
        <w:gridCol w:w="3440"/>
        <w:gridCol w:w="1280"/>
        <w:gridCol w:w="1200"/>
        <w:gridCol w:w="1100"/>
        <w:gridCol w:w="1200"/>
        <w:gridCol w:w="1100"/>
        <w:gridCol w:w="1100"/>
        <w:gridCol w:w="1220"/>
        <w:gridCol w:w="1240"/>
      </w:tblGrid>
      <w:tr w:rsidR="005703C9" w:rsidRPr="00ED131C" w:rsidTr="00BE2227">
        <w:trPr>
          <w:trHeight w:val="710"/>
          <w:tblHeader/>
          <w:jc w:val="center"/>
        </w:trPr>
        <w:tc>
          <w:tcPr>
            <w:tcW w:w="3440" w:type="dxa"/>
            <w:tcBorders>
              <w:top w:val="single" w:sz="12" w:space="0" w:color="000000"/>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20"/>
                <w:szCs w:val="20"/>
                <w:lang w:val="en-AU" w:eastAsia="en-AU"/>
              </w:rPr>
            </w:pPr>
            <w:r w:rsidRPr="00ED131C">
              <w:rPr>
                <w:rFonts w:ascii="Calibri Light" w:eastAsia="Times New Roman" w:hAnsi="Calibri Light" w:cs="Times New Roman"/>
                <w:b/>
                <w:bCs/>
                <w:iCs/>
                <w:noProof/>
                <w:color w:val="495965"/>
                <w:sz w:val="20"/>
                <w:szCs w:val="20"/>
                <w:lang w:val="en-AU" w:eastAsia="en-AU"/>
              </w:rPr>
              <w:drawing>
                <wp:anchor distT="0" distB="0" distL="114300" distR="114300" simplePos="0" relativeHeight="251688960" behindDoc="0" locked="0" layoutInCell="1" allowOverlap="1" wp14:anchorId="2A8B2BC1" wp14:editId="381A4C9A">
                  <wp:simplePos x="0" y="0"/>
                  <wp:positionH relativeFrom="column">
                    <wp:posOffset>0</wp:posOffset>
                  </wp:positionH>
                  <wp:positionV relativeFrom="paragraph">
                    <wp:posOffset>0</wp:posOffset>
                  </wp:positionV>
                  <wp:extent cx="3771900" cy="228600"/>
                  <wp:effectExtent l="0" t="0" r="0" b="0"/>
                  <wp:wrapNone/>
                  <wp:docPr id="64" name="Picture 64" hidden="1"/>
                  <wp:cNvGraphicFramePr/>
                  <a:graphic xmlns:a="http://schemas.openxmlformats.org/drawingml/2006/main">
                    <a:graphicData uri="http://schemas.openxmlformats.org/drawingml/2006/picture">
                      <pic:pic xmlns:pic="http://schemas.openxmlformats.org/drawingml/2006/picture">
                        <pic:nvPicPr>
                          <pic:cNvPr id="2" name="Picture 14"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420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bookmarkStart w:id="1" w:name="RANGE!A1:I23"/>
            <w:r w:rsidRPr="00ED131C">
              <w:rPr>
                <w:rFonts w:ascii="Calibri Light" w:eastAsia="Times New Roman" w:hAnsi="Calibri Light" w:cs="Times New Roman"/>
                <w:b/>
                <w:bCs/>
                <w:iCs/>
                <w:color w:val="495965"/>
                <w:sz w:val="20"/>
                <w:szCs w:val="20"/>
                <w:lang w:eastAsia="en-AU"/>
              </w:rPr>
              <w:t>Investment name</w:t>
            </w:r>
            <w:bookmarkEnd w:id="1"/>
          </w:p>
        </w:tc>
        <w:tc>
          <w:tcPr>
            <w:tcW w:w="1280" w:type="dxa"/>
            <w:tcBorders>
              <w:top w:val="single" w:sz="12" w:space="0" w:color="000000"/>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Approved budget and duration</w:t>
            </w:r>
          </w:p>
        </w:tc>
        <w:tc>
          <w:tcPr>
            <w:tcW w:w="1200" w:type="dxa"/>
            <w:tcBorders>
              <w:top w:val="single" w:sz="12" w:space="0" w:color="000000"/>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year on year</w:t>
            </w:r>
          </w:p>
        </w:tc>
        <w:tc>
          <w:tcPr>
            <w:tcW w:w="1100" w:type="dxa"/>
            <w:tcBorders>
              <w:top w:val="single" w:sz="12" w:space="0" w:color="000000"/>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Relevance</w:t>
            </w:r>
          </w:p>
        </w:tc>
        <w:tc>
          <w:tcPr>
            <w:tcW w:w="1200" w:type="dxa"/>
            <w:tcBorders>
              <w:top w:val="single" w:sz="12" w:space="0" w:color="000000"/>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Effectiveness</w:t>
            </w:r>
          </w:p>
        </w:tc>
        <w:tc>
          <w:tcPr>
            <w:tcW w:w="1100" w:type="dxa"/>
            <w:tcBorders>
              <w:top w:val="single" w:sz="12" w:space="0" w:color="000000"/>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Efficiency</w:t>
            </w:r>
          </w:p>
        </w:tc>
        <w:tc>
          <w:tcPr>
            <w:tcW w:w="1100" w:type="dxa"/>
            <w:tcBorders>
              <w:top w:val="single" w:sz="12" w:space="0" w:color="000000"/>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Monitoring and Evaluation</w:t>
            </w:r>
          </w:p>
        </w:tc>
        <w:tc>
          <w:tcPr>
            <w:tcW w:w="1220" w:type="dxa"/>
            <w:tcBorders>
              <w:top w:val="single" w:sz="12" w:space="0" w:color="000000"/>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Sustainability</w:t>
            </w:r>
          </w:p>
        </w:tc>
        <w:tc>
          <w:tcPr>
            <w:tcW w:w="1240" w:type="dxa"/>
            <w:tcBorders>
              <w:top w:val="single" w:sz="12" w:space="0" w:color="000000"/>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Gender equality</w:t>
            </w:r>
          </w:p>
        </w:tc>
      </w:tr>
      <w:tr w:rsidR="005703C9" w:rsidRPr="00ED131C" w:rsidTr="00BE2227">
        <w:trPr>
          <w:trHeight w:val="300"/>
          <w:tblHeader/>
          <w:jc w:val="center"/>
        </w:trPr>
        <w:tc>
          <w:tcPr>
            <w:tcW w:w="344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Rural Development Program</w:t>
            </w:r>
          </w:p>
        </w:tc>
        <w:tc>
          <w:tcPr>
            <w:tcW w:w="128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000000"/>
                <w:sz w:val="17"/>
                <w:szCs w:val="17"/>
                <w:lang w:val="en-AU" w:eastAsia="en-AU"/>
              </w:rPr>
            </w:pPr>
            <w:r w:rsidRPr="00ED131C">
              <w:rPr>
                <w:rFonts w:ascii="Calibri Light" w:eastAsia="Times New Roman" w:hAnsi="Calibri Light" w:cs="Times New Roman"/>
                <w:color w:val="000000"/>
                <w:sz w:val="17"/>
                <w:szCs w:val="17"/>
                <w:lang w:eastAsia="en-AU"/>
              </w:rPr>
              <w:t>$31,797,826</w:t>
            </w:r>
          </w:p>
        </w:tc>
        <w:tc>
          <w:tcPr>
            <w:tcW w:w="120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single" w:sz="8" w:space="0" w:color="auto"/>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eastAsia="en-AU"/>
              </w:rPr>
              <w:t>4</w:t>
            </w:r>
          </w:p>
        </w:tc>
        <w:tc>
          <w:tcPr>
            <w:tcW w:w="122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eastAsia="en-AU"/>
              </w:rPr>
              <w:t>4</w:t>
            </w:r>
          </w:p>
        </w:tc>
        <w:tc>
          <w:tcPr>
            <w:tcW w:w="124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eastAsia="en-AU"/>
              </w:rPr>
              <w:t>4</w:t>
            </w:r>
          </w:p>
        </w:tc>
      </w:tr>
      <w:tr w:rsidR="005703C9" w:rsidRPr="00ED131C" w:rsidTr="00BE2227">
        <w:trPr>
          <w:trHeight w:val="300"/>
          <w:tblHeader/>
          <w:jc w:val="center"/>
        </w:trPr>
        <w:tc>
          <w:tcPr>
            <w:tcW w:w="344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val="en-AU" w:eastAsia="en-AU"/>
              </w:rPr>
              <w:t> </w:t>
            </w:r>
          </w:p>
        </w:tc>
        <w:tc>
          <w:tcPr>
            <w:tcW w:w="128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 xml:space="preserve">2007-21 </w:t>
            </w:r>
          </w:p>
        </w:tc>
        <w:tc>
          <w:tcPr>
            <w:tcW w:w="120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100" w:type="dxa"/>
            <w:tcBorders>
              <w:top w:val="nil"/>
              <w:left w:val="nil"/>
              <w:bottom w:val="single" w:sz="8" w:space="0" w:color="auto"/>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w:t>
            </w:r>
          </w:p>
        </w:tc>
        <w:tc>
          <w:tcPr>
            <w:tcW w:w="11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22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40" w:type="dxa"/>
            <w:tcBorders>
              <w:top w:val="nil"/>
              <w:left w:val="nil"/>
              <w:bottom w:val="single" w:sz="8" w:space="0" w:color="auto"/>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w:t>
            </w:r>
          </w:p>
        </w:tc>
      </w:tr>
      <w:tr w:rsidR="005703C9" w:rsidRPr="00ED131C" w:rsidTr="00BE2227">
        <w:trPr>
          <w:trHeight w:val="300"/>
          <w:tblHeader/>
          <w:jc w:val="center"/>
        </w:trPr>
        <w:tc>
          <w:tcPr>
            <w:tcW w:w="344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Addressing Gender Equality in SI</w:t>
            </w:r>
          </w:p>
        </w:tc>
        <w:tc>
          <w:tcPr>
            <w:tcW w:w="128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$18,467,973</w:t>
            </w:r>
          </w:p>
        </w:tc>
        <w:tc>
          <w:tcPr>
            <w:tcW w:w="120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1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2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4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r>
      <w:tr w:rsidR="005703C9" w:rsidRPr="00ED131C" w:rsidTr="00BE2227">
        <w:trPr>
          <w:trHeight w:val="300"/>
          <w:tblHeader/>
          <w:jc w:val="center"/>
        </w:trPr>
        <w:tc>
          <w:tcPr>
            <w:tcW w:w="344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val="en-AU" w:eastAsia="en-AU"/>
              </w:rPr>
              <w:t> </w:t>
            </w:r>
          </w:p>
        </w:tc>
        <w:tc>
          <w:tcPr>
            <w:tcW w:w="128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2012-2020</w:t>
            </w:r>
          </w:p>
        </w:tc>
        <w:tc>
          <w:tcPr>
            <w:tcW w:w="120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1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10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2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24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r>
      <w:tr w:rsidR="005703C9" w:rsidRPr="00ED131C" w:rsidTr="00BE2227">
        <w:trPr>
          <w:trHeight w:val="290"/>
          <w:tblHeader/>
          <w:jc w:val="center"/>
        </w:trPr>
        <w:tc>
          <w:tcPr>
            <w:tcW w:w="344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Managing Urbanisation</w:t>
            </w:r>
          </w:p>
        </w:tc>
        <w:tc>
          <w:tcPr>
            <w:tcW w:w="128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$3,807,895</w:t>
            </w:r>
          </w:p>
        </w:tc>
        <w:tc>
          <w:tcPr>
            <w:tcW w:w="120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single" w:sz="8" w:space="0" w:color="auto"/>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nil"/>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100" w:type="dxa"/>
            <w:tcBorders>
              <w:top w:val="nil"/>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100" w:type="dxa"/>
            <w:tcBorders>
              <w:top w:val="nil"/>
              <w:left w:val="nil"/>
              <w:bottom w:val="nil"/>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3</w:t>
            </w:r>
          </w:p>
        </w:tc>
        <w:tc>
          <w:tcPr>
            <w:tcW w:w="1220" w:type="dxa"/>
            <w:tcBorders>
              <w:top w:val="nil"/>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40" w:type="dxa"/>
            <w:tcBorders>
              <w:top w:val="nil"/>
              <w:left w:val="nil"/>
              <w:bottom w:val="nil"/>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3</w:t>
            </w:r>
          </w:p>
        </w:tc>
      </w:tr>
      <w:tr w:rsidR="005703C9" w:rsidRPr="00ED131C" w:rsidTr="00BE2227">
        <w:trPr>
          <w:trHeight w:val="300"/>
          <w:tblHeader/>
          <w:jc w:val="center"/>
        </w:trPr>
        <w:tc>
          <w:tcPr>
            <w:tcW w:w="344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val="en-AU" w:eastAsia="en-AU"/>
              </w:rPr>
              <w:t> </w:t>
            </w:r>
          </w:p>
        </w:tc>
        <w:tc>
          <w:tcPr>
            <w:tcW w:w="128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2013-2019</w:t>
            </w:r>
          </w:p>
        </w:tc>
        <w:tc>
          <w:tcPr>
            <w:tcW w:w="120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nil"/>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0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10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10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2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4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r>
      <w:tr w:rsidR="005703C9" w:rsidRPr="00ED131C" w:rsidTr="00BE2227">
        <w:trPr>
          <w:trHeight w:val="300"/>
          <w:tblHeader/>
          <w:jc w:val="center"/>
        </w:trPr>
        <w:tc>
          <w:tcPr>
            <w:tcW w:w="344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Health Sector Support Phase 3</w:t>
            </w:r>
          </w:p>
        </w:tc>
        <w:tc>
          <w:tcPr>
            <w:tcW w:w="128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$66,050,000</w:t>
            </w:r>
          </w:p>
        </w:tc>
        <w:tc>
          <w:tcPr>
            <w:tcW w:w="120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single" w:sz="8" w:space="0" w:color="auto"/>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2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4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p>
        </w:tc>
        <w:tc>
          <w:tcPr>
            <w:tcW w:w="128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2016-2020</w:t>
            </w:r>
          </w:p>
        </w:tc>
        <w:tc>
          <w:tcPr>
            <w:tcW w:w="120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2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100" w:type="dxa"/>
            <w:tcBorders>
              <w:top w:val="nil"/>
              <w:left w:val="nil"/>
              <w:bottom w:val="single" w:sz="8" w:space="0" w:color="auto"/>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w:t>
            </w:r>
          </w:p>
        </w:tc>
        <w:tc>
          <w:tcPr>
            <w:tcW w:w="11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22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24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r>
      <w:tr w:rsidR="005703C9" w:rsidRPr="00ED131C" w:rsidTr="00BE2227">
        <w:trPr>
          <w:trHeight w:val="300"/>
          <w:tblHeader/>
          <w:jc w:val="center"/>
        </w:trPr>
        <w:tc>
          <w:tcPr>
            <w:tcW w:w="344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SI Resource Facility &amp; Program Enabling</w:t>
            </w:r>
          </w:p>
        </w:tc>
        <w:tc>
          <w:tcPr>
            <w:tcW w:w="128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$34,651,250</w:t>
            </w:r>
          </w:p>
        </w:tc>
        <w:tc>
          <w:tcPr>
            <w:tcW w:w="120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single" w:sz="8" w:space="0" w:color="auto"/>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1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2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4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r>
      <w:tr w:rsidR="005703C9" w:rsidRPr="00ED131C" w:rsidTr="00BE2227">
        <w:trPr>
          <w:trHeight w:val="300"/>
          <w:tblHeader/>
          <w:jc w:val="center"/>
        </w:trPr>
        <w:tc>
          <w:tcPr>
            <w:tcW w:w="344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val="en-AU" w:eastAsia="en-AU"/>
              </w:rPr>
              <w:t> </w:t>
            </w:r>
          </w:p>
        </w:tc>
        <w:tc>
          <w:tcPr>
            <w:tcW w:w="128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2015-2020</w:t>
            </w:r>
          </w:p>
        </w:tc>
        <w:tc>
          <w:tcPr>
            <w:tcW w:w="120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1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1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22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24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SI Transport Sector Based Approach Ph 2</w:t>
            </w:r>
          </w:p>
        </w:tc>
        <w:tc>
          <w:tcPr>
            <w:tcW w:w="128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$42,330,716</w:t>
            </w:r>
          </w:p>
        </w:tc>
        <w:tc>
          <w:tcPr>
            <w:tcW w:w="120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single" w:sz="8" w:space="0" w:color="auto"/>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00" w:type="dxa"/>
            <w:tcBorders>
              <w:top w:val="nil"/>
              <w:left w:val="nil"/>
              <w:bottom w:val="single" w:sz="8" w:space="0" w:color="FFFFFF"/>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3</w:t>
            </w:r>
          </w:p>
        </w:tc>
        <w:tc>
          <w:tcPr>
            <w:tcW w:w="1100" w:type="dxa"/>
            <w:tcBorders>
              <w:top w:val="nil"/>
              <w:left w:val="nil"/>
              <w:bottom w:val="single" w:sz="8" w:space="0" w:color="FFFFFF"/>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3</w:t>
            </w:r>
          </w:p>
        </w:tc>
        <w:tc>
          <w:tcPr>
            <w:tcW w:w="110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2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40" w:type="dxa"/>
            <w:tcBorders>
              <w:top w:val="single" w:sz="8" w:space="0" w:color="auto"/>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val="en-AU" w:eastAsia="en-AU"/>
              </w:rPr>
              <w:t> </w:t>
            </w:r>
          </w:p>
        </w:tc>
        <w:tc>
          <w:tcPr>
            <w:tcW w:w="128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2016-2021</w:t>
            </w:r>
          </w:p>
        </w:tc>
        <w:tc>
          <w:tcPr>
            <w:tcW w:w="120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0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100" w:type="dxa"/>
            <w:tcBorders>
              <w:top w:val="nil"/>
              <w:left w:val="nil"/>
              <w:bottom w:val="single" w:sz="8" w:space="0" w:color="auto"/>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w:t>
            </w:r>
          </w:p>
        </w:tc>
        <w:tc>
          <w:tcPr>
            <w:tcW w:w="1100" w:type="dxa"/>
            <w:tcBorders>
              <w:top w:val="nil"/>
              <w:left w:val="nil"/>
              <w:bottom w:val="single" w:sz="8" w:space="0" w:color="auto"/>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w:t>
            </w:r>
          </w:p>
        </w:tc>
        <w:tc>
          <w:tcPr>
            <w:tcW w:w="122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24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595959"/>
                <w:sz w:val="17"/>
                <w:szCs w:val="17"/>
                <w:lang w:val="en-AU" w:eastAsia="en-AU"/>
              </w:rPr>
            </w:pPr>
            <w:r w:rsidRPr="00ED131C">
              <w:rPr>
                <w:rFonts w:ascii="Calibri Light" w:eastAsia="Times New Roman" w:hAnsi="Calibri Light" w:cs="Times New Roman"/>
                <w:b/>
                <w:bCs/>
                <w:color w:val="595959"/>
                <w:sz w:val="17"/>
                <w:szCs w:val="17"/>
                <w:lang w:eastAsia="en-AU"/>
              </w:rPr>
              <w:t>Education Sector Program 2</w:t>
            </w:r>
          </w:p>
        </w:tc>
        <w:tc>
          <w:tcPr>
            <w:tcW w:w="128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$59,028,702</w:t>
            </w:r>
          </w:p>
        </w:tc>
        <w:tc>
          <w:tcPr>
            <w:tcW w:w="120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single" w:sz="8" w:space="0" w:color="auto"/>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single" w:sz="8" w:space="0" w:color="auto"/>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10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10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2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4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595959"/>
                <w:sz w:val="17"/>
                <w:szCs w:val="17"/>
                <w:lang w:val="en-AU" w:eastAsia="en-AU"/>
              </w:rPr>
            </w:pPr>
            <w:r w:rsidRPr="00ED131C">
              <w:rPr>
                <w:rFonts w:ascii="Calibri Light" w:eastAsia="Times New Roman" w:hAnsi="Calibri Light" w:cs="Times New Roman"/>
                <w:b/>
                <w:bCs/>
                <w:color w:val="595959"/>
                <w:sz w:val="17"/>
                <w:szCs w:val="17"/>
                <w:lang w:val="en-AU" w:eastAsia="en-AU"/>
              </w:rPr>
              <w:t> </w:t>
            </w:r>
          </w:p>
        </w:tc>
        <w:tc>
          <w:tcPr>
            <w:tcW w:w="128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2015-2020</w:t>
            </w:r>
          </w:p>
        </w:tc>
        <w:tc>
          <w:tcPr>
            <w:tcW w:w="120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0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10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10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2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4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SI Growth Program</w:t>
            </w:r>
          </w:p>
        </w:tc>
        <w:tc>
          <w:tcPr>
            <w:tcW w:w="128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$50,000,000</w:t>
            </w:r>
          </w:p>
        </w:tc>
        <w:tc>
          <w:tcPr>
            <w:tcW w:w="120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nil"/>
              <w:left w:val="nil"/>
              <w:bottom w:val="single" w:sz="8" w:space="0" w:color="FFFFFF"/>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2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40" w:type="dxa"/>
            <w:tcBorders>
              <w:top w:val="nil"/>
              <w:left w:val="nil"/>
              <w:bottom w:val="single" w:sz="8" w:space="0" w:color="FFFFFF"/>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val="en-AU" w:eastAsia="en-AU"/>
              </w:rPr>
              <w:t> </w:t>
            </w:r>
          </w:p>
        </w:tc>
        <w:tc>
          <w:tcPr>
            <w:tcW w:w="128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2016-2020</w:t>
            </w:r>
          </w:p>
        </w:tc>
        <w:tc>
          <w:tcPr>
            <w:tcW w:w="120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single" w:sz="8" w:space="0" w:color="auto"/>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5</w:t>
            </w:r>
          </w:p>
        </w:tc>
        <w:tc>
          <w:tcPr>
            <w:tcW w:w="1200" w:type="dxa"/>
            <w:tcBorders>
              <w:top w:val="nil"/>
              <w:left w:val="nil"/>
              <w:bottom w:val="single" w:sz="8" w:space="0" w:color="auto"/>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w:t>
            </w:r>
          </w:p>
        </w:tc>
        <w:tc>
          <w:tcPr>
            <w:tcW w:w="110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100" w:type="dxa"/>
            <w:tcBorders>
              <w:top w:val="nil"/>
              <w:left w:val="nil"/>
              <w:bottom w:val="single" w:sz="8" w:space="0" w:color="auto"/>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w:t>
            </w:r>
          </w:p>
        </w:tc>
        <w:tc>
          <w:tcPr>
            <w:tcW w:w="122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c>
          <w:tcPr>
            <w:tcW w:w="1240" w:type="dxa"/>
            <w:tcBorders>
              <w:top w:val="nil"/>
              <w:left w:val="nil"/>
              <w:bottom w:val="single" w:sz="8" w:space="0" w:color="auto"/>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4</w:t>
            </w:r>
          </w:p>
        </w:tc>
      </w:tr>
    </w:tbl>
    <w:p w:rsidR="005703C9" w:rsidRDefault="005703C9" w:rsidP="005703C9">
      <w:r>
        <w:br w:type="page"/>
      </w:r>
    </w:p>
    <w:tbl>
      <w:tblPr>
        <w:tblW w:w="12880" w:type="dxa"/>
        <w:jc w:val="center"/>
        <w:tblLook w:val="04A0" w:firstRow="1" w:lastRow="0" w:firstColumn="1" w:lastColumn="0" w:noHBand="0" w:noVBand="1"/>
      </w:tblPr>
      <w:tblGrid>
        <w:gridCol w:w="3440"/>
        <w:gridCol w:w="1280"/>
        <w:gridCol w:w="1200"/>
        <w:gridCol w:w="1100"/>
        <w:gridCol w:w="1200"/>
        <w:gridCol w:w="1100"/>
        <w:gridCol w:w="1100"/>
        <w:gridCol w:w="1220"/>
        <w:gridCol w:w="1240"/>
      </w:tblGrid>
      <w:tr w:rsidR="005703C9" w:rsidRPr="00ED131C" w:rsidTr="00BE2227">
        <w:trPr>
          <w:trHeight w:val="290"/>
          <w:tblHeader/>
          <w:jc w:val="center"/>
        </w:trPr>
        <w:tc>
          <w:tcPr>
            <w:tcW w:w="3440" w:type="dxa"/>
            <w:tcBorders>
              <w:top w:val="single" w:sz="8" w:space="0" w:color="auto"/>
              <w:left w:val="nil"/>
              <w:bottom w:val="single" w:sz="8" w:space="0" w:color="auto"/>
              <w:right w:val="nil"/>
            </w:tcBorders>
            <w:shd w:val="clear" w:color="auto" w:fill="auto"/>
            <w:vAlign w:val="center"/>
          </w:tcPr>
          <w:p w:rsidR="005703C9" w:rsidRPr="00ED131C" w:rsidRDefault="005703C9" w:rsidP="00BE2227">
            <w:pPr>
              <w:suppressAutoHyphens w:val="0"/>
              <w:spacing w:before="0" w:after="0" w:line="240" w:lineRule="auto"/>
              <w:rPr>
                <w:rFonts w:ascii="Calibri Light" w:eastAsia="Times New Roman" w:hAnsi="Calibri Light" w:cs="Times New Roman"/>
                <w:b/>
                <w:bCs/>
                <w:iCs/>
                <w:color w:val="495965"/>
                <w:sz w:val="17"/>
                <w:szCs w:val="17"/>
                <w:lang w:eastAsia="en-AU"/>
              </w:rPr>
            </w:pPr>
            <w:r w:rsidRPr="00ED131C">
              <w:rPr>
                <w:rFonts w:ascii="Calibri Light" w:eastAsia="Times New Roman" w:hAnsi="Calibri Light" w:cs="Times New Roman"/>
                <w:b/>
                <w:bCs/>
                <w:iCs/>
                <w:noProof/>
                <w:color w:val="495965"/>
                <w:sz w:val="20"/>
                <w:szCs w:val="20"/>
                <w:lang w:val="en-AU" w:eastAsia="en-AU"/>
              </w:rPr>
              <w:lastRenderedPageBreak/>
              <w:drawing>
                <wp:anchor distT="0" distB="0" distL="114300" distR="114300" simplePos="0" relativeHeight="251689984" behindDoc="0" locked="0" layoutInCell="1" allowOverlap="1" wp14:anchorId="63F98057" wp14:editId="75BD85FC">
                  <wp:simplePos x="0" y="0"/>
                  <wp:positionH relativeFrom="column">
                    <wp:posOffset>0</wp:posOffset>
                  </wp:positionH>
                  <wp:positionV relativeFrom="paragraph">
                    <wp:posOffset>0</wp:posOffset>
                  </wp:positionV>
                  <wp:extent cx="3771900" cy="228600"/>
                  <wp:effectExtent l="0" t="0" r="0" b="0"/>
                  <wp:wrapNone/>
                  <wp:docPr id="66" name="Picture 66" hidden="1"/>
                  <wp:cNvGraphicFramePr/>
                  <a:graphic xmlns:a="http://schemas.openxmlformats.org/drawingml/2006/main">
                    <a:graphicData uri="http://schemas.openxmlformats.org/drawingml/2006/picture">
                      <pic:pic xmlns:pic="http://schemas.openxmlformats.org/drawingml/2006/picture">
                        <pic:nvPicPr>
                          <pic:cNvPr id="2" name="Picture 14"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4200" cy="228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ED131C">
              <w:rPr>
                <w:rFonts w:ascii="Calibri Light" w:eastAsia="Times New Roman" w:hAnsi="Calibri Light" w:cs="Times New Roman"/>
                <w:b/>
                <w:bCs/>
                <w:iCs/>
                <w:color w:val="495965"/>
                <w:sz w:val="20"/>
                <w:szCs w:val="20"/>
                <w:lang w:eastAsia="en-AU"/>
              </w:rPr>
              <w:t>Investment name</w:t>
            </w:r>
          </w:p>
        </w:tc>
        <w:tc>
          <w:tcPr>
            <w:tcW w:w="1280" w:type="dxa"/>
            <w:tcBorders>
              <w:top w:val="single" w:sz="8" w:space="0" w:color="auto"/>
              <w:left w:val="nil"/>
              <w:bottom w:val="single" w:sz="8" w:space="0" w:color="auto"/>
              <w:right w:val="nil"/>
            </w:tcBorders>
            <w:shd w:val="clear" w:color="auto" w:fill="auto"/>
            <w:vAlign w:val="center"/>
          </w:tcPr>
          <w:p w:rsidR="005703C9" w:rsidRPr="00ED131C" w:rsidRDefault="005703C9" w:rsidP="00BE2227">
            <w:pPr>
              <w:suppressAutoHyphens w:val="0"/>
              <w:spacing w:before="0" w:after="0" w:line="240" w:lineRule="auto"/>
              <w:jc w:val="right"/>
              <w:rPr>
                <w:rFonts w:ascii="Calibri Light" w:eastAsia="Times New Roman" w:hAnsi="Calibri Light" w:cs="Times New Roman"/>
                <w:iCs/>
                <w:color w:val="495965"/>
                <w:sz w:val="17"/>
                <w:szCs w:val="17"/>
                <w:lang w:eastAsia="en-AU"/>
              </w:rPr>
            </w:pPr>
            <w:r w:rsidRPr="00ED131C">
              <w:rPr>
                <w:rFonts w:ascii="Calibri Light" w:eastAsia="Times New Roman" w:hAnsi="Calibri Light" w:cs="Times New Roman"/>
                <w:b/>
                <w:bCs/>
                <w:iCs/>
                <w:color w:val="495965"/>
                <w:sz w:val="17"/>
                <w:szCs w:val="17"/>
                <w:lang w:eastAsia="en-AU"/>
              </w:rPr>
              <w:t>Approved budget and duration</w:t>
            </w:r>
          </w:p>
        </w:tc>
        <w:tc>
          <w:tcPr>
            <w:tcW w:w="1200" w:type="dxa"/>
            <w:tcBorders>
              <w:top w:val="single" w:sz="8" w:space="0" w:color="auto"/>
              <w:left w:val="nil"/>
              <w:bottom w:val="single" w:sz="8" w:space="0" w:color="auto"/>
              <w:right w:val="nil"/>
            </w:tcBorders>
            <w:shd w:val="clear" w:color="auto" w:fill="auto"/>
            <w:vAlign w:val="center"/>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iCs/>
                <w:color w:val="495965"/>
                <w:sz w:val="17"/>
                <w:szCs w:val="17"/>
                <w:lang w:eastAsia="en-AU"/>
              </w:rPr>
            </w:pPr>
            <w:r w:rsidRPr="00ED131C">
              <w:rPr>
                <w:rFonts w:ascii="Calibri Light" w:eastAsia="Times New Roman" w:hAnsi="Calibri Light" w:cs="Times New Roman"/>
                <w:b/>
                <w:bCs/>
                <w:iCs/>
                <w:color w:val="495965"/>
                <w:sz w:val="17"/>
                <w:szCs w:val="17"/>
                <w:lang w:eastAsia="en-AU"/>
              </w:rPr>
              <w:t>year on year</w:t>
            </w:r>
          </w:p>
        </w:tc>
        <w:tc>
          <w:tcPr>
            <w:tcW w:w="1100" w:type="dxa"/>
            <w:tcBorders>
              <w:top w:val="single" w:sz="8" w:space="0" w:color="auto"/>
              <w:left w:val="nil"/>
              <w:bottom w:val="single" w:sz="8" w:space="0" w:color="auto"/>
              <w:right w:val="nil"/>
            </w:tcBorders>
            <w:shd w:val="clear" w:color="auto" w:fill="auto"/>
            <w:noWrap/>
            <w:vAlign w:val="center"/>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iCs/>
                <w:color w:val="495965"/>
                <w:sz w:val="17"/>
                <w:szCs w:val="17"/>
                <w:lang w:eastAsia="en-AU"/>
              </w:rPr>
            </w:pPr>
            <w:r w:rsidRPr="00ED131C">
              <w:rPr>
                <w:rFonts w:ascii="Calibri Light" w:eastAsia="Times New Roman" w:hAnsi="Calibri Light" w:cs="Times New Roman"/>
                <w:b/>
                <w:bCs/>
                <w:iCs/>
                <w:color w:val="495965"/>
                <w:sz w:val="17"/>
                <w:szCs w:val="17"/>
                <w:lang w:eastAsia="en-AU"/>
              </w:rPr>
              <w:t>Relevance</w:t>
            </w:r>
          </w:p>
        </w:tc>
        <w:tc>
          <w:tcPr>
            <w:tcW w:w="1200" w:type="dxa"/>
            <w:tcBorders>
              <w:top w:val="single" w:sz="8" w:space="0" w:color="auto"/>
              <w:left w:val="nil"/>
              <w:bottom w:val="single" w:sz="8" w:space="0" w:color="auto"/>
              <w:right w:val="nil"/>
            </w:tcBorders>
            <w:shd w:val="clear" w:color="auto" w:fill="auto"/>
            <w:noWrap/>
            <w:vAlign w:val="center"/>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iCs/>
                <w:color w:val="495965"/>
                <w:sz w:val="17"/>
                <w:szCs w:val="17"/>
                <w:lang w:eastAsia="en-AU"/>
              </w:rPr>
            </w:pPr>
            <w:r w:rsidRPr="00ED131C">
              <w:rPr>
                <w:rFonts w:ascii="Calibri Light" w:eastAsia="Times New Roman" w:hAnsi="Calibri Light" w:cs="Times New Roman"/>
                <w:b/>
                <w:bCs/>
                <w:iCs/>
                <w:color w:val="495965"/>
                <w:sz w:val="17"/>
                <w:szCs w:val="17"/>
                <w:lang w:eastAsia="en-AU"/>
              </w:rPr>
              <w:t>Effectiveness</w:t>
            </w:r>
          </w:p>
        </w:tc>
        <w:tc>
          <w:tcPr>
            <w:tcW w:w="1100" w:type="dxa"/>
            <w:tcBorders>
              <w:top w:val="single" w:sz="8" w:space="0" w:color="auto"/>
              <w:left w:val="nil"/>
              <w:bottom w:val="single" w:sz="8" w:space="0" w:color="auto"/>
              <w:right w:val="nil"/>
            </w:tcBorders>
            <w:shd w:val="clear" w:color="auto" w:fill="auto"/>
            <w:noWrap/>
            <w:vAlign w:val="center"/>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iCs/>
                <w:color w:val="495965"/>
                <w:sz w:val="17"/>
                <w:szCs w:val="17"/>
                <w:lang w:eastAsia="en-AU"/>
              </w:rPr>
            </w:pPr>
            <w:r w:rsidRPr="00ED131C">
              <w:rPr>
                <w:rFonts w:ascii="Calibri Light" w:eastAsia="Times New Roman" w:hAnsi="Calibri Light" w:cs="Times New Roman"/>
                <w:b/>
                <w:bCs/>
                <w:iCs/>
                <w:color w:val="495965"/>
                <w:sz w:val="17"/>
                <w:szCs w:val="17"/>
                <w:lang w:eastAsia="en-AU"/>
              </w:rPr>
              <w:t>Efficiency</w:t>
            </w:r>
          </w:p>
        </w:tc>
        <w:tc>
          <w:tcPr>
            <w:tcW w:w="1100" w:type="dxa"/>
            <w:tcBorders>
              <w:top w:val="single" w:sz="8" w:space="0" w:color="auto"/>
              <w:left w:val="nil"/>
              <w:bottom w:val="single" w:sz="8" w:space="0" w:color="auto"/>
              <w:right w:val="nil"/>
            </w:tcBorders>
            <w:shd w:val="clear" w:color="auto" w:fill="auto"/>
            <w:noWrap/>
            <w:vAlign w:val="center"/>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iCs/>
                <w:color w:val="495965"/>
                <w:sz w:val="17"/>
                <w:szCs w:val="17"/>
                <w:lang w:eastAsia="en-AU"/>
              </w:rPr>
            </w:pPr>
            <w:r w:rsidRPr="00ED131C">
              <w:rPr>
                <w:rFonts w:ascii="Calibri Light" w:eastAsia="Times New Roman" w:hAnsi="Calibri Light" w:cs="Times New Roman"/>
                <w:b/>
                <w:bCs/>
                <w:iCs/>
                <w:color w:val="495965"/>
                <w:sz w:val="17"/>
                <w:szCs w:val="17"/>
                <w:lang w:eastAsia="en-AU"/>
              </w:rPr>
              <w:t>Monitoring and Evaluation</w:t>
            </w:r>
          </w:p>
        </w:tc>
        <w:tc>
          <w:tcPr>
            <w:tcW w:w="1220" w:type="dxa"/>
            <w:tcBorders>
              <w:top w:val="single" w:sz="8" w:space="0" w:color="auto"/>
              <w:left w:val="nil"/>
              <w:bottom w:val="single" w:sz="8" w:space="0" w:color="auto"/>
              <w:right w:val="nil"/>
            </w:tcBorders>
            <w:shd w:val="clear" w:color="auto" w:fill="auto"/>
            <w:noWrap/>
            <w:vAlign w:val="center"/>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iCs/>
                <w:color w:val="495965"/>
                <w:sz w:val="17"/>
                <w:szCs w:val="17"/>
                <w:lang w:eastAsia="en-AU"/>
              </w:rPr>
            </w:pPr>
            <w:r w:rsidRPr="00ED131C">
              <w:rPr>
                <w:rFonts w:ascii="Calibri Light" w:eastAsia="Times New Roman" w:hAnsi="Calibri Light" w:cs="Times New Roman"/>
                <w:b/>
                <w:bCs/>
                <w:iCs/>
                <w:color w:val="495965"/>
                <w:sz w:val="17"/>
                <w:szCs w:val="17"/>
                <w:lang w:eastAsia="en-AU"/>
              </w:rPr>
              <w:t>Sustainability</w:t>
            </w:r>
          </w:p>
        </w:tc>
        <w:tc>
          <w:tcPr>
            <w:tcW w:w="1240" w:type="dxa"/>
            <w:tcBorders>
              <w:top w:val="single" w:sz="8" w:space="0" w:color="auto"/>
              <w:left w:val="nil"/>
              <w:bottom w:val="single" w:sz="8" w:space="0" w:color="auto"/>
              <w:right w:val="nil"/>
            </w:tcBorders>
            <w:shd w:val="clear" w:color="auto" w:fill="auto"/>
            <w:noWrap/>
            <w:vAlign w:val="center"/>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iCs/>
                <w:color w:val="495965"/>
                <w:sz w:val="17"/>
                <w:szCs w:val="17"/>
                <w:lang w:eastAsia="en-AU"/>
              </w:rPr>
            </w:pPr>
            <w:r w:rsidRPr="00ED131C">
              <w:rPr>
                <w:rFonts w:ascii="Calibri Light" w:eastAsia="Times New Roman" w:hAnsi="Calibri Light" w:cs="Times New Roman"/>
                <w:b/>
                <w:bCs/>
                <w:iCs/>
                <w:color w:val="495965"/>
                <w:sz w:val="17"/>
                <w:szCs w:val="17"/>
                <w:lang w:eastAsia="en-AU"/>
              </w:rPr>
              <w:t>Gender equality</w:t>
            </w:r>
          </w:p>
        </w:tc>
      </w:tr>
      <w:tr w:rsidR="005703C9" w:rsidRPr="00ED131C" w:rsidTr="00BE2227">
        <w:trPr>
          <w:trHeight w:val="290"/>
          <w:tblHeader/>
          <w:jc w:val="center"/>
        </w:trPr>
        <w:tc>
          <w:tcPr>
            <w:tcW w:w="344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SI Governance Program 2017-2021</w:t>
            </w:r>
          </w:p>
        </w:tc>
        <w:tc>
          <w:tcPr>
            <w:tcW w:w="128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$30,972,400</w:t>
            </w:r>
          </w:p>
        </w:tc>
        <w:tc>
          <w:tcPr>
            <w:tcW w:w="120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single" w:sz="8" w:space="0" w:color="auto"/>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single" w:sz="8" w:space="0" w:color="auto"/>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100" w:type="dxa"/>
            <w:tcBorders>
              <w:top w:val="single" w:sz="8" w:space="0" w:color="auto"/>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single" w:sz="8" w:space="0" w:color="auto"/>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20" w:type="dxa"/>
            <w:tcBorders>
              <w:top w:val="single" w:sz="8" w:space="0" w:color="auto"/>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40" w:type="dxa"/>
            <w:tcBorders>
              <w:top w:val="single" w:sz="8" w:space="0" w:color="auto"/>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single" w:sz="8" w:space="0" w:color="auto"/>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val="en-AU" w:eastAsia="en-AU"/>
              </w:rPr>
              <w:t> </w:t>
            </w:r>
          </w:p>
        </w:tc>
        <w:tc>
          <w:tcPr>
            <w:tcW w:w="128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2017-2021</w:t>
            </w:r>
          </w:p>
        </w:tc>
        <w:tc>
          <w:tcPr>
            <w:tcW w:w="120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nil"/>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0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10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10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2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4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r>
      <w:tr w:rsidR="005703C9" w:rsidRPr="00ED131C" w:rsidTr="00BE2227">
        <w:trPr>
          <w:trHeight w:val="290"/>
          <w:tblHeader/>
          <w:jc w:val="center"/>
        </w:trPr>
        <w:tc>
          <w:tcPr>
            <w:tcW w:w="344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SI Justice Program 2017-2021</w:t>
            </w:r>
          </w:p>
        </w:tc>
        <w:tc>
          <w:tcPr>
            <w:tcW w:w="128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$32,694,388</w:t>
            </w:r>
          </w:p>
        </w:tc>
        <w:tc>
          <w:tcPr>
            <w:tcW w:w="120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single" w:sz="8" w:space="0" w:color="auto"/>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nil"/>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10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3</w:t>
            </w:r>
          </w:p>
        </w:tc>
        <w:tc>
          <w:tcPr>
            <w:tcW w:w="110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2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24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p>
        </w:tc>
        <w:tc>
          <w:tcPr>
            <w:tcW w:w="128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2017-2021</w:t>
            </w:r>
          </w:p>
        </w:tc>
        <w:tc>
          <w:tcPr>
            <w:tcW w:w="1200" w:type="dxa"/>
            <w:tcBorders>
              <w:top w:val="nil"/>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nil"/>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0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10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10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2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40" w:type="dxa"/>
            <w:tcBorders>
              <w:top w:val="nil"/>
              <w:left w:val="nil"/>
              <w:bottom w:val="single" w:sz="8" w:space="0" w:color="auto"/>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r>
      <w:tr w:rsidR="005703C9" w:rsidRPr="00ED131C" w:rsidTr="00BE2227">
        <w:trPr>
          <w:trHeight w:val="290"/>
          <w:tblHeader/>
          <w:jc w:val="center"/>
        </w:trPr>
        <w:tc>
          <w:tcPr>
            <w:tcW w:w="344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SI Democratic Governance Phase 2</w:t>
            </w:r>
          </w:p>
        </w:tc>
        <w:tc>
          <w:tcPr>
            <w:tcW w:w="128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$2,200,000</w:t>
            </w:r>
          </w:p>
        </w:tc>
        <w:tc>
          <w:tcPr>
            <w:tcW w:w="1200" w:type="dxa"/>
            <w:tcBorders>
              <w:top w:val="single" w:sz="8" w:space="0" w:color="auto"/>
              <w:left w:val="nil"/>
              <w:bottom w:val="nil"/>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2018 AQC</w:t>
            </w:r>
          </w:p>
        </w:tc>
        <w:tc>
          <w:tcPr>
            <w:tcW w:w="1100" w:type="dxa"/>
            <w:tcBorders>
              <w:top w:val="single" w:sz="8" w:space="0" w:color="auto"/>
              <w:left w:val="nil"/>
              <w:bottom w:val="nil"/>
              <w:right w:val="nil"/>
            </w:tcBorders>
            <w:shd w:val="clear" w:color="000000" w:fill="92D05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5</w:t>
            </w:r>
          </w:p>
        </w:tc>
        <w:tc>
          <w:tcPr>
            <w:tcW w:w="120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c>
          <w:tcPr>
            <w:tcW w:w="1100" w:type="dxa"/>
            <w:tcBorders>
              <w:top w:val="nil"/>
              <w:left w:val="nil"/>
              <w:bottom w:val="nil"/>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3</w:t>
            </w:r>
          </w:p>
        </w:tc>
        <w:tc>
          <w:tcPr>
            <w:tcW w:w="1220" w:type="dxa"/>
            <w:tcBorders>
              <w:top w:val="nil"/>
              <w:left w:val="nil"/>
              <w:bottom w:val="nil"/>
              <w:right w:val="nil"/>
            </w:tcBorders>
            <w:shd w:val="clear" w:color="000000" w:fill="FFC0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3</w:t>
            </w:r>
          </w:p>
        </w:tc>
        <w:tc>
          <w:tcPr>
            <w:tcW w:w="1240" w:type="dxa"/>
            <w:tcBorders>
              <w:top w:val="nil"/>
              <w:left w:val="nil"/>
              <w:bottom w:val="nil"/>
              <w:right w:val="nil"/>
            </w:tcBorders>
            <w:shd w:val="clear" w:color="000000" w:fill="FFFF00"/>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iCs/>
                <w:color w:val="495965"/>
                <w:sz w:val="17"/>
                <w:szCs w:val="17"/>
                <w:lang w:eastAsia="en-AU"/>
              </w:rPr>
              <w:t>4</w:t>
            </w:r>
          </w:p>
        </w:tc>
      </w:tr>
      <w:tr w:rsidR="005703C9" w:rsidRPr="00ED131C" w:rsidTr="00BE2227">
        <w:trPr>
          <w:trHeight w:val="300"/>
          <w:tblHeader/>
          <w:jc w:val="center"/>
        </w:trPr>
        <w:tc>
          <w:tcPr>
            <w:tcW w:w="3440" w:type="dxa"/>
            <w:tcBorders>
              <w:top w:val="nil"/>
              <w:left w:val="nil"/>
              <w:bottom w:val="single" w:sz="12" w:space="0" w:color="000000"/>
              <w:right w:val="nil"/>
            </w:tcBorders>
            <w:shd w:val="clear" w:color="auto" w:fill="auto"/>
            <w:vAlign w:val="center"/>
            <w:hideMark/>
          </w:tcPr>
          <w:p w:rsidR="005703C9" w:rsidRPr="00ED131C" w:rsidRDefault="005703C9" w:rsidP="00BE2227">
            <w:pPr>
              <w:suppressAutoHyphens w:val="0"/>
              <w:spacing w:before="0" w:after="0" w:line="240" w:lineRule="auto"/>
              <w:rPr>
                <w:rFonts w:ascii="Calibri Light" w:eastAsia="Times New Roman" w:hAnsi="Calibri Light" w:cs="Times New Roman"/>
                <w:b/>
                <w:bCs/>
                <w:color w:val="495965"/>
                <w:sz w:val="17"/>
                <w:szCs w:val="17"/>
                <w:lang w:val="en-AU" w:eastAsia="en-AU"/>
              </w:rPr>
            </w:pPr>
            <w:r w:rsidRPr="00ED131C">
              <w:rPr>
                <w:rFonts w:ascii="Calibri Light" w:eastAsia="Times New Roman" w:hAnsi="Calibri Light" w:cs="Times New Roman"/>
                <w:b/>
                <w:bCs/>
                <w:color w:val="495965"/>
                <w:sz w:val="17"/>
                <w:szCs w:val="17"/>
                <w:lang w:val="en-AU" w:eastAsia="en-AU"/>
              </w:rPr>
              <w:t> </w:t>
            </w:r>
          </w:p>
        </w:tc>
        <w:tc>
          <w:tcPr>
            <w:tcW w:w="1280" w:type="dxa"/>
            <w:tcBorders>
              <w:top w:val="nil"/>
              <w:left w:val="nil"/>
              <w:bottom w:val="single" w:sz="12" w:space="0" w:color="000000"/>
              <w:right w:val="nil"/>
            </w:tcBorders>
            <w:shd w:val="clear" w:color="auto" w:fill="auto"/>
            <w:vAlign w:val="center"/>
            <w:hideMark/>
          </w:tcPr>
          <w:p w:rsidR="005703C9" w:rsidRPr="00ED131C" w:rsidRDefault="005703C9" w:rsidP="00BE2227">
            <w:pPr>
              <w:suppressAutoHyphens w:val="0"/>
              <w:spacing w:before="0" w:after="0" w:line="240" w:lineRule="auto"/>
              <w:jc w:val="right"/>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2017-2019</w:t>
            </w:r>
          </w:p>
        </w:tc>
        <w:tc>
          <w:tcPr>
            <w:tcW w:w="1200" w:type="dxa"/>
            <w:tcBorders>
              <w:top w:val="nil"/>
              <w:left w:val="nil"/>
              <w:bottom w:val="single" w:sz="12" w:space="0" w:color="000000"/>
              <w:right w:val="nil"/>
            </w:tcBorders>
            <w:shd w:val="clear" w:color="auto" w:fill="auto"/>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2017 AQC</w:t>
            </w:r>
          </w:p>
        </w:tc>
        <w:tc>
          <w:tcPr>
            <w:tcW w:w="1100" w:type="dxa"/>
            <w:tcBorders>
              <w:top w:val="nil"/>
              <w:left w:val="nil"/>
              <w:bottom w:val="single" w:sz="12" w:space="0" w:color="000000"/>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00" w:type="dxa"/>
            <w:tcBorders>
              <w:top w:val="nil"/>
              <w:left w:val="nil"/>
              <w:bottom w:val="single" w:sz="12" w:space="0" w:color="000000"/>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100" w:type="dxa"/>
            <w:tcBorders>
              <w:top w:val="nil"/>
              <w:left w:val="nil"/>
              <w:bottom w:val="single" w:sz="12" w:space="0" w:color="000000"/>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100" w:type="dxa"/>
            <w:tcBorders>
              <w:top w:val="nil"/>
              <w:left w:val="nil"/>
              <w:bottom w:val="single" w:sz="12" w:space="0" w:color="000000"/>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20" w:type="dxa"/>
            <w:tcBorders>
              <w:top w:val="nil"/>
              <w:left w:val="nil"/>
              <w:bottom w:val="single" w:sz="12" w:space="0" w:color="000000"/>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c>
          <w:tcPr>
            <w:tcW w:w="1240" w:type="dxa"/>
            <w:tcBorders>
              <w:top w:val="nil"/>
              <w:left w:val="nil"/>
              <w:bottom w:val="single" w:sz="12" w:space="0" w:color="000000"/>
              <w:right w:val="nil"/>
            </w:tcBorders>
            <w:shd w:val="clear" w:color="auto" w:fill="auto"/>
            <w:noWrap/>
            <w:vAlign w:val="center"/>
            <w:hideMark/>
          </w:tcPr>
          <w:p w:rsidR="005703C9" w:rsidRPr="00ED131C" w:rsidRDefault="005703C9" w:rsidP="00BE2227">
            <w:pPr>
              <w:suppressAutoHyphens w:val="0"/>
              <w:spacing w:before="0" w:after="0" w:line="240" w:lineRule="auto"/>
              <w:jc w:val="center"/>
              <w:rPr>
                <w:rFonts w:ascii="Calibri Light" w:eastAsia="Times New Roman" w:hAnsi="Calibri Light" w:cs="Times New Roman"/>
                <w:color w:val="495965"/>
                <w:sz w:val="17"/>
                <w:szCs w:val="17"/>
                <w:lang w:val="en-AU" w:eastAsia="en-AU"/>
              </w:rPr>
            </w:pPr>
            <w:r w:rsidRPr="00ED131C">
              <w:rPr>
                <w:rFonts w:ascii="Calibri Light" w:eastAsia="Times New Roman" w:hAnsi="Calibri Light" w:cs="Times New Roman"/>
                <w:iCs/>
                <w:color w:val="495965"/>
                <w:sz w:val="17"/>
                <w:szCs w:val="17"/>
                <w:lang w:eastAsia="en-AU"/>
              </w:rPr>
              <w:t>N/A</w:t>
            </w:r>
          </w:p>
        </w:tc>
      </w:tr>
    </w:tbl>
    <w:p w:rsidR="005703C9" w:rsidRPr="00C61187" w:rsidRDefault="005703C9" w:rsidP="005703C9">
      <w:pPr>
        <w:rPr>
          <w:iCs/>
        </w:rPr>
      </w:pPr>
    </w:p>
    <w:p w:rsidR="005703C9" w:rsidRPr="00C61187" w:rsidRDefault="005703C9" w:rsidP="005703C9">
      <w:pPr>
        <w:keepNext/>
        <w:numPr>
          <w:ilvl w:val="2"/>
          <w:numId w:val="0"/>
        </w:numPr>
        <w:spacing w:before="240" w:after="120"/>
        <w:ind w:firstLine="720"/>
        <w:outlineLvl w:val="2"/>
        <w:rPr>
          <w:rFonts w:ascii="Helvetica" w:eastAsia="Times New Roman" w:hAnsi="Helvetica" w:cs="Arial"/>
          <w:b/>
          <w:color w:val="124486"/>
          <w:kern w:val="28"/>
          <w:lang w:eastAsia="zh-CN"/>
        </w:rPr>
      </w:pPr>
      <w:r w:rsidRPr="00784031">
        <w:rPr>
          <w:rFonts w:asciiTheme="majorHAnsi" w:eastAsiaTheme="majorEastAsia" w:hAnsiTheme="majorHAnsi" w:cstheme="majorBidi"/>
          <w:caps/>
          <w:sz w:val="38"/>
          <w:szCs w:val="26"/>
        </w:rPr>
        <w:t>FAQC ratings</w:t>
      </w:r>
    </w:p>
    <w:p w:rsidR="005703C9" w:rsidRPr="00C61187" w:rsidRDefault="005703C9" w:rsidP="005703C9">
      <w:pPr>
        <w:ind w:firstLine="720"/>
      </w:pPr>
      <w:r w:rsidRPr="00C61187">
        <w:t>Final AQCs assess performance over the lifetime of the investment (ratings are not compared to previous years).</w:t>
      </w:r>
    </w:p>
    <w:tbl>
      <w:tblPr>
        <w:tblStyle w:val="APPR"/>
        <w:tblW w:w="4485" w:type="pct"/>
        <w:jc w:val="center"/>
        <w:tblLook w:val="0000" w:firstRow="0" w:lastRow="0" w:firstColumn="0" w:lastColumn="0" w:noHBand="0" w:noVBand="0"/>
      </w:tblPr>
      <w:tblGrid>
        <w:gridCol w:w="2215"/>
        <w:gridCol w:w="1840"/>
        <w:gridCol w:w="1173"/>
        <w:gridCol w:w="1114"/>
        <w:gridCol w:w="1145"/>
        <w:gridCol w:w="1140"/>
        <w:gridCol w:w="2061"/>
        <w:gridCol w:w="1150"/>
        <w:gridCol w:w="1133"/>
      </w:tblGrid>
      <w:tr w:rsidR="005703C9" w:rsidRPr="00C61187" w:rsidTr="006C67A5">
        <w:trPr>
          <w:cnfStyle w:val="000000010000" w:firstRow="0" w:lastRow="0" w:firstColumn="0" w:lastColumn="0" w:oddVBand="0" w:evenVBand="0" w:oddHBand="0" w:evenHBand="1" w:firstRowFirstColumn="0" w:firstRowLastColumn="0" w:lastRowFirstColumn="0" w:lastRowLastColumn="0"/>
          <w:trHeight w:val="527"/>
          <w:jc w:val="center"/>
        </w:trPr>
        <w:tc>
          <w:tcPr>
            <w:tcW w:w="838" w:type="pct"/>
          </w:tcPr>
          <w:p w:rsidR="005703C9" w:rsidRPr="00880004" w:rsidRDefault="005703C9" w:rsidP="00BE2227">
            <w:pPr>
              <w:keepLines/>
              <w:spacing w:before="80" w:after="80" w:line="200" w:lineRule="atLeast"/>
              <w:rPr>
                <w:rFonts w:asciiTheme="minorHAnsi" w:eastAsia="Times New Roman" w:hAnsiTheme="minorHAnsi"/>
                <w:b/>
                <w:iCs/>
                <w:szCs w:val="17"/>
                <w:lang w:eastAsia="en-US"/>
              </w:rPr>
            </w:pPr>
            <w:r w:rsidRPr="00880004">
              <w:rPr>
                <w:rFonts w:eastAsia="Times New Roman"/>
                <w:b/>
                <w:iCs/>
                <w:noProof/>
                <w:szCs w:val="17"/>
                <w:lang w:val="en-AU"/>
              </w:rPr>
              <w:drawing>
                <wp:anchor distT="0" distB="0" distL="114300" distR="114300" simplePos="0" relativeHeight="251687936" behindDoc="0" locked="0" layoutInCell="1" allowOverlap="1" wp14:anchorId="02CA0279" wp14:editId="1ACD7B0E">
                  <wp:simplePos x="0" y="0"/>
                  <wp:positionH relativeFrom="column">
                    <wp:posOffset>0</wp:posOffset>
                  </wp:positionH>
                  <wp:positionV relativeFrom="paragraph">
                    <wp:posOffset>0</wp:posOffset>
                  </wp:positionV>
                  <wp:extent cx="1857375" cy="228600"/>
                  <wp:effectExtent l="0" t="0" r="9525" b="0"/>
                  <wp:wrapNone/>
                  <wp:docPr id="88" name="Picture 8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004">
              <w:rPr>
                <w:rFonts w:asciiTheme="minorHAnsi" w:eastAsia="Times New Roman" w:hAnsiTheme="minorHAnsi"/>
                <w:b/>
                <w:iCs/>
                <w:szCs w:val="17"/>
                <w:lang w:eastAsia="en-US"/>
              </w:rPr>
              <w:t>Investment name</w:t>
            </w:r>
          </w:p>
        </w:tc>
        <w:tc>
          <w:tcPr>
            <w:tcW w:w="699" w:type="pct"/>
          </w:tcPr>
          <w:p w:rsidR="005703C9" w:rsidRPr="00880004" w:rsidRDefault="005703C9" w:rsidP="00BE222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Approved budget and duration</w:t>
            </w:r>
          </w:p>
        </w:tc>
        <w:tc>
          <w:tcPr>
            <w:tcW w:w="441" w:type="pct"/>
            <w:noWrap/>
          </w:tcPr>
          <w:p w:rsidR="005703C9" w:rsidRPr="00880004" w:rsidRDefault="005703C9" w:rsidP="00BE222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Overall rating</w:t>
            </w:r>
          </w:p>
        </w:tc>
        <w:tc>
          <w:tcPr>
            <w:tcW w:w="419" w:type="pct"/>
            <w:noWrap/>
          </w:tcPr>
          <w:p w:rsidR="005703C9" w:rsidRPr="00880004" w:rsidRDefault="005703C9" w:rsidP="00BE222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Relevance</w:t>
            </w:r>
          </w:p>
        </w:tc>
        <w:tc>
          <w:tcPr>
            <w:tcW w:w="431" w:type="pct"/>
            <w:noWrap/>
          </w:tcPr>
          <w:p w:rsidR="005703C9" w:rsidRPr="00880004" w:rsidRDefault="005703C9" w:rsidP="00BE222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Effectiveness</w:t>
            </w:r>
          </w:p>
        </w:tc>
        <w:tc>
          <w:tcPr>
            <w:tcW w:w="429" w:type="pct"/>
            <w:noWrap/>
          </w:tcPr>
          <w:p w:rsidR="005703C9" w:rsidRPr="00880004" w:rsidRDefault="005703C9" w:rsidP="00BE222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Efficiency</w:t>
            </w:r>
          </w:p>
        </w:tc>
        <w:tc>
          <w:tcPr>
            <w:tcW w:w="784" w:type="pct"/>
            <w:noWrap/>
          </w:tcPr>
          <w:p w:rsidR="005703C9" w:rsidRPr="00880004" w:rsidRDefault="005703C9" w:rsidP="00BE222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Monitoring and Evaluation</w:t>
            </w:r>
          </w:p>
        </w:tc>
        <w:tc>
          <w:tcPr>
            <w:tcW w:w="432" w:type="pct"/>
            <w:noWrap/>
          </w:tcPr>
          <w:p w:rsidR="005703C9" w:rsidRPr="00880004" w:rsidRDefault="005703C9" w:rsidP="00BE222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Sustainability</w:t>
            </w:r>
          </w:p>
        </w:tc>
        <w:tc>
          <w:tcPr>
            <w:tcW w:w="421" w:type="pct"/>
          </w:tcPr>
          <w:p w:rsidR="005703C9" w:rsidRPr="00880004" w:rsidRDefault="005703C9" w:rsidP="00BE2227">
            <w:pPr>
              <w:keepLines/>
              <w:spacing w:before="80" w:after="80" w:line="200" w:lineRule="atLeast"/>
              <w:rPr>
                <w:rFonts w:asciiTheme="minorHAnsi" w:eastAsia="Times New Roman" w:hAnsiTheme="minorHAnsi"/>
                <w:b/>
                <w:iCs/>
                <w:szCs w:val="17"/>
                <w:lang w:eastAsia="en-US"/>
              </w:rPr>
            </w:pPr>
            <w:r w:rsidRPr="00880004">
              <w:rPr>
                <w:rFonts w:asciiTheme="minorHAnsi" w:eastAsia="Times New Roman" w:hAnsiTheme="minorHAnsi"/>
                <w:b/>
                <w:iCs/>
                <w:szCs w:val="17"/>
                <w:lang w:eastAsia="en-US"/>
              </w:rPr>
              <w:t>Gender equality</w:t>
            </w:r>
          </w:p>
        </w:tc>
      </w:tr>
      <w:tr w:rsidR="005703C9" w:rsidRPr="00C61187" w:rsidTr="006C67A5">
        <w:trPr>
          <w:cnfStyle w:val="000000010000" w:firstRow="0" w:lastRow="0" w:firstColumn="0" w:lastColumn="0" w:oddVBand="0" w:evenVBand="0" w:oddHBand="0" w:evenHBand="1" w:firstRowFirstColumn="0" w:firstRowLastColumn="0" w:lastRowFirstColumn="0" w:lastRowLastColumn="0"/>
          <w:trHeight w:val="99"/>
          <w:jc w:val="center"/>
        </w:trPr>
        <w:tc>
          <w:tcPr>
            <w:tcW w:w="838" w:type="pct"/>
          </w:tcPr>
          <w:p w:rsidR="005703C9" w:rsidRDefault="005703C9" w:rsidP="00BE222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I</w:t>
            </w:r>
            <w:r w:rsidRPr="00880004">
              <w:rPr>
                <w:rFonts w:asciiTheme="minorHAnsi" w:eastAsia="Times New Roman" w:hAnsiTheme="minorHAnsi"/>
                <w:iCs/>
                <w:szCs w:val="17"/>
                <w:lang w:eastAsia="en-US"/>
              </w:rPr>
              <w:t>nvestment 5</w:t>
            </w:r>
            <w:r>
              <w:rPr>
                <w:rFonts w:asciiTheme="minorHAnsi" w:eastAsia="Times New Roman" w:hAnsiTheme="minorHAnsi"/>
                <w:iCs/>
                <w:szCs w:val="17"/>
                <w:lang w:eastAsia="en-US"/>
              </w:rPr>
              <w:t xml:space="preserve"> – INK143</w:t>
            </w:r>
          </w:p>
          <w:p w:rsidR="005703C9" w:rsidRPr="00817F9C" w:rsidRDefault="005703C9" w:rsidP="00BE2227">
            <w:pPr>
              <w:keepLines/>
              <w:spacing w:before="40" w:after="40" w:line="200" w:lineRule="atLeast"/>
              <w:rPr>
                <w:rFonts w:asciiTheme="minorHAnsi" w:eastAsia="Times New Roman" w:hAnsiTheme="minorHAnsi"/>
                <w:b/>
                <w:iCs/>
                <w:szCs w:val="17"/>
                <w:lang w:eastAsia="en-US"/>
              </w:rPr>
            </w:pPr>
            <w:r w:rsidRPr="00817F9C">
              <w:rPr>
                <w:rFonts w:asciiTheme="minorHAnsi" w:eastAsia="Times New Roman" w:hAnsiTheme="minorHAnsi"/>
                <w:b/>
                <w:iCs/>
                <w:szCs w:val="17"/>
                <w:lang w:eastAsia="en-US"/>
              </w:rPr>
              <w:t>SI Urban Water Supply</w:t>
            </w:r>
          </w:p>
        </w:tc>
        <w:tc>
          <w:tcPr>
            <w:tcW w:w="699" w:type="pct"/>
          </w:tcPr>
          <w:p w:rsidR="005703C9" w:rsidRPr="00880004" w:rsidRDefault="005703C9" w:rsidP="00BE2227">
            <w:pPr>
              <w:autoSpaceDE w:val="0"/>
              <w:autoSpaceDN w:val="0"/>
              <w:adjustRightInd w:val="0"/>
              <w:rPr>
                <w:rFonts w:asciiTheme="minorHAnsi" w:hAnsiTheme="minorHAnsi" w:cs="Franklin Gothic Book"/>
                <w:color w:val="000000"/>
                <w:szCs w:val="17"/>
              </w:rPr>
            </w:pPr>
            <w:r w:rsidRPr="00880004">
              <w:rPr>
                <w:rFonts w:asciiTheme="minorHAnsi" w:hAnsiTheme="minorHAnsi" w:cs="Franklin Gothic Book"/>
                <w:color w:val="000000"/>
                <w:szCs w:val="17"/>
              </w:rPr>
              <w:t>$</w:t>
            </w:r>
            <w:r>
              <w:rPr>
                <w:rFonts w:asciiTheme="minorHAnsi" w:hAnsiTheme="minorHAnsi" w:cs="Franklin Gothic Book"/>
                <w:color w:val="000000"/>
                <w:szCs w:val="17"/>
              </w:rPr>
              <w:t>16,182,905</w:t>
            </w:r>
            <w:r w:rsidRPr="00880004">
              <w:rPr>
                <w:rFonts w:asciiTheme="minorHAnsi" w:hAnsiTheme="minorHAnsi" w:cs="Franklin Gothic Book"/>
                <w:color w:val="000000"/>
                <w:szCs w:val="17"/>
              </w:rPr>
              <w:t xml:space="preserve"> </w:t>
            </w:r>
          </w:p>
          <w:p w:rsidR="005703C9" w:rsidRPr="00880004" w:rsidRDefault="005703C9" w:rsidP="00BE2227">
            <w:pPr>
              <w:keepLines/>
              <w:spacing w:before="40" w:after="40" w:line="200" w:lineRule="atLeast"/>
              <w:rPr>
                <w:rFonts w:asciiTheme="minorHAnsi" w:eastAsia="Times New Roman" w:hAnsiTheme="minorHAnsi"/>
                <w:iCs/>
                <w:szCs w:val="17"/>
                <w:lang w:eastAsia="en-US"/>
              </w:rPr>
            </w:pPr>
            <w:r w:rsidRPr="00880004">
              <w:rPr>
                <w:rFonts w:asciiTheme="minorHAnsi" w:eastAsia="Times New Roman" w:hAnsiTheme="minorHAnsi"/>
                <w:iCs/>
                <w:szCs w:val="17"/>
                <w:lang w:eastAsia="en-US"/>
              </w:rPr>
              <w:t>201</w:t>
            </w:r>
            <w:r>
              <w:rPr>
                <w:rFonts w:asciiTheme="minorHAnsi" w:eastAsia="Times New Roman" w:hAnsiTheme="minorHAnsi"/>
                <w:iCs/>
                <w:szCs w:val="17"/>
                <w:lang w:eastAsia="en-US"/>
              </w:rPr>
              <w:t>1-2018</w:t>
            </w:r>
            <w:r w:rsidRPr="00880004">
              <w:rPr>
                <w:rFonts w:asciiTheme="minorHAnsi" w:eastAsia="Times New Roman" w:hAnsiTheme="minorHAnsi"/>
                <w:iCs/>
                <w:szCs w:val="17"/>
                <w:lang w:eastAsia="en-US"/>
              </w:rPr>
              <w:t xml:space="preserve"> </w:t>
            </w:r>
          </w:p>
        </w:tc>
        <w:tc>
          <w:tcPr>
            <w:tcW w:w="441" w:type="pct"/>
            <w:shd w:val="clear" w:color="auto" w:fill="FFFF00"/>
            <w:noWrap/>
          </w:tcPr>
          <w:p w:rsidR="005703C9" w:rsidRPr="00817F9C" w:rsidRDefault="005703C9" w:rsidP="00BE2227">
            <w:pPr>
              <w:keepLines/>
              <w:spacing w:before="40" w:after="40" w:line="200" w:lineRule="atLeast"/>
              <w:jc w:val="center"/>
              <w:rPr>
                <w:rFonts w:asciiTheme="minorHAnsi" w:eastAsia="Times New Roman" w:hAnsiTheme="minorHAnsi"/>
                <w:b/>
                <w:iCs/>
                <w:szCs w:val="17"/>
                <w:lang w:eastAsia="en-US"/>
              </w:rPr>
            </w:pPr>
            <w:r w:rsidRPr="00817F9C">
              <w:rPr>
                <w:rFonts w:asciiTheme="minorHAnsi" w:eastAsia="Times New Roman" w:hAnsiTheme="minorHAnsi"/>
                <w:b/>
                <w:iCs/>
                <w:szCs w:val="17"/>
                <w:lang w:eastAsia="en-US"/>
              </w:rPr>
              <w:t>4</w:t>
            </w:r>
          </w:p>
        </w:tc>
        <w:tc>
          <w:tcPr>
            <w:tcW w:w="419" w:type="pct"/>
            <w:shd w:val="clear" w:color="auto" w:fill="92D050"/>
            <w:noWrap/>
          </w:tcPr>
          <w:p w:rsidR="005703C9" w:rsidRPr="00817F9C" w:rsidRDefault="005703C9" w:rsidP="00BE2227">
            <w:pPr>
              <w:keepLines/>
              <w:spacing w:before="40" w:after="40" w:line="200" w:lineRule="atLeast"/>
              <w:jc w:val="center"/>
              <w:rPr>
                <w:rFonts w:asciiTheme="minorHAnsi" w:eastAsia="Times New Roman" w:hAnsiTheme="minorHAnsi"/>
                <w:b/>
                <w:iCs/>
                <w:szCs w:val="17"/>
                <w:lang w:eastAsia="en-US"/>
              </w:rPr>
            </w:pPr>
            <w:r w:rsidRPr="00817F9C">
              <w:rPr>
                <w:rFonts w:asciiTheme="minorHAnsi" w:eastAsia="Times New Roman" w:hAnsiTheme="minorHAnsi"/>
                <w:b/>
                <w:iCs/>
                <w:szCs w:val="17"/>
                <w:lang w:eastAsia="en-US"/>
              </w:rPr>
              <w:t>5</w:t>
            </w:r>
          </w:p>
        </w:tc>
        <w:tc>
          <w:tcPr>
            <w:tcW w:w="431" w:type="pct"/>
            <w:shd w:val="clear" w:color="auto" w:fill="FFFF00"/>
            <w:noWrap/>
          </w:tcPr>
          <w:p w:rsidR="005703C9" w:rsidRPr="00817F9C" w:rsidRDefault="005703C9" w:rsidP="00BE2227">
            <w:pPr>
              <w:keepLines/>
              <w:spacing w:before="40" w:after="40" w:line="200" w:lineRule="atLeast"/>
              <w:jc w:val="center"/>
              <w:rPr>
                <w:rFonts w:asciiTheme="minorHAnsi" w:eastAsia="Times New Roman" w:hAnsiTheme="minorHAnsi"/>
                <w:b/>
                <w:iCs/>
                <w:szCs w:val="17"/>
                <w:lang w:eastAsia="en-US"/>
              </w:rPr>
            </w:pPr>
            <w:r w:rsidRPr="00817F9C">
              <w:rPr>
                <w:rFonts w:asciiTheme="minorHAnsi" w:eastAsia="Times New Roman" w:hAnsiTheme="minorHAnsi"/>
                <w:b/>
                <w:iCs/>
                <w:szCs w:val="17"/>
                <w:lang w:eastAsia="en-US"/>
              </w:rPr>
              <w:t>4</w:t>
            </w:r>
          </w:p>
        </w:tc>
        <w:tc>
          <w:tcPr>
            <w:tcW w:w="429" w:type="pct"/>
            <w:shd w:val="clear" w:color="auto" w:fill="FFFF00"/>
            <w:noWrap/>
          </w:tcPr>
          <w:p w:rsidR="005703C9" w:rsidRPr="00817F9C" w:rsidRDefault="005703C9" w:rsidP="00BE2227">
            <w:pPr>
              <w:keepLines/>
              <w:spacing w:before="40" w:after="40" w:line="200" w:lineRule="atLeast"/>
              <w:jc w:val="center"/>
              <w:rPr>
                <w:rFonts w:asciiTheme="minorHAnsi" w:eastAsia="Times New Roman" w:hAnsiTheme="minorHAnsi"/>
                <w:b/>
                <w:iCs/>
                <w:szCs w:val="17"/>
                <w:lang w:eastAsia="en-US"/>
              </w:rPr>
            </w:pPr>
            <w:r w:rsidRPr="00817F9C">
              <w:rPr>
                <w:rFonts w:asciiTheme="minorHAnsi" w:eastAsia="Times New Roman" w:hAnsiTheme="minorHAnsi"/>
                <w:b/>
                <w:iCs/>
                <w:szCs w:val="17"/>
                <w:lang w:eastAsia="en-US"/>
              </w:rPr>
              <w:t>4</w:t>
            </w:r>
          </w:p>
        </w:tc>
        <w:tc>
          <w:tcPr>
            <w:tcW w:w="784" w:type="pct"/>
            <w:shd w:val="clear" w:color="auto" w:fill="FFFF00"/>
            <w:noWrap/>
          </w:tcPr>
          <w:p w:rsidR="005703C9" w:rsidRPr="00817F9C" w:rsidRDefault="005703C9" w:rsidP="00BE2227">
            <w:pPr>
              <w:keepLines/>
              <w:spacing w:before="40" w:after="40" w:line="200" w:lineRule="atLeast"/>
              <w:jc w:val="center"/>
              <w:rPr>
                <w:rFonts w:asciiTheme="minorHAnsi" w:eastAsia="Times New Roman" w:hAnsiTheme="minorHAnsi"/>
                <w:b/>
                <w:iCs/>
                <w:szCs w:val="17"/>
                <w:lang w:eastAsia="en-US"/>
              </w:rPr>
            </w:pPr>
            <w:r w:rsidRPr="00817F9C">
              <w:rPr>
                <w:rFonts w:asciiTheme="minorHAnsi" w:eastAsia="Times New Roman" w:hAnsiTheme="minorHAnsi"/>
                <w:b/>
                <w:iCs/>
                <w:szCs w:val="17"/>
                <w:lang w:eastAsia="en-US"/>
              </w:rPr>
              <w:t>4</w:t>
            </w:r>
          </w:p>
        </w:tc>
        <w:tc>
          <w:tcPr>
            <w:tcW w:w="432" w:type="pct"/>
            <w:shd w:val="clear" w:color="auto" w:fill="92D050"/>
            <w:noWrap/>
          </w:tcPr>
          <w:p w:rsidR="005703C9" w:rsidRPr="00817F9C" w:rsidRDefault="005703C9" w:rsidP="00BE2227">
            <w:pPr>
              <w:keepLines/>
              <w:spacing w:before="40" w:after="40" w:line="200" w:lineRule="atLeast"/>
              <w:jc w:val="center"/>
              <w:rPr>
                <w:rFonts w:asciiTheme="minorHAnsi" w:eastAsia="Times New Roman" w:hAnsiTheme="minorHAnsi"/>
                <w:b/>
                <w:iCs/>
                <w:szCs w:val="17"/>
                <w:lang w:eastAsia="en-US"/>
              </w:rPr>
            </w:pPr>
            <w:r w:rsidRPr="00817F9C">
              <w:rPr>
                <w:rFonts w:asciiTheme="minorHAnsi" w:eastAsia="Times New Roman" w:hAnsiTheme="minorHAnsi"/>
                <w:b/>
                <w:iCs/>
                <w:szCs w:val="17"/>
                <w:lang w:eastAsia="en-US"/>
              </w:rPr>
              <w:t>5</w:t>
            </w:r>
          </w:p>
        </w:tc>
        <w:tc>
          <w:tcPr>
            <w:tcW w:w="421" w:type="pct"/>
            <w:shd w:val="clear" w:color="auto" w:fill="FFC000"/>
          </w:tcPr>
          <w:p w:rsidR="005703C9" w:rsidRPr="00817F9C" w:rsidRDefault="005703C9" w:rsidP="00BE2227">
            <w:pPr>
              <w:keepLines/>
              <w:spacing w:before="40" w:after="40" w:line="200" w:lineRule="atLeast"/>
              <w:jc w:val="center"/>
              <w:rPr>
                <w:rFonts w:asciiTheme="minorHAnsi" w:eastAsia="Times New Roman" w:hAnsiTheme="minorHAnsi"/>
                <w:b/>
                <w:iCs/>
                <w:szCs w:val="17"/>
                <w:lang w:eastAsia="en-US"/>
              </w:rPr>
            </w:pPr>
            <w:r w:rsidRPr="00817F9C">
              <w:rPr>
                <w:rFonts w:asciiTheme="minorHAnsi" w:eastAsia="Times New Roman" w:hAnsiTheme="minorHAnsi"/>
                <w:b/>
                <w:iCs/>
                <w:szCs w:val="17"/>
                <w:lang w:eastAsia="en-US"/>
              </w:rPr>
              <w:t>3</w:t>
            </w:r>
          </w:p>
        </w:tc>
      </w:tr>
    </w:tbl>
    <w:p w:rsidR="005703C9" w:rsidRPr="00C61187" w:rsidRDefault="005703C9" w:rsidP="005703C9">
      <w:pPr>
        <w:spacing w:before="20" w:after="20" w:line="180" w:lineRule="atLeast"/>
        <w:jc w:val="both"/>
        <w:rPr>
          <w:rFonts w:ascii="Franklin Gothic Book" w:eastAsia="Times New Roman" w:hAnsi="Franklin Gothic Book"/>
          <w:b/>
          <w:sz w:val="14"/>
          <w:szCs w:val="14"/>
        </w:rPr>
      </w:pPr>
    </w:p>
    <w:p w:rsidR="005703C9" w:rsidRPr="00880004" w:rsidRDefault="005703C9" w:rsidP="005703C9">
      <w:pPr>
        <w:spacing w:before="20" w:after="20" w:line="180" w:lineRule="atLeast"/>
        <w:ind w:left="720"/>
        <w:jc w:val="both"/>
        <w:rPr>
          <w:rFonts w:eastAsia="Times New Roman"/>
          <w:b/>
          <w:sz w:val="16"/>
          <w:szCs w:val="14"/>
        </w:rPr>
      </w:pPr>
      <w:r w:rsidRPr="00880004">
        <w:rPr>
          <w:rFonts w:eastAsia="Times New Roman"/>
          <w:b/>
          <w:sz w:val="16"/>
          <w:szCs w:val="14"/>
        </w:rPr>
        <w:t>Definitions of rating scale:</w:t>
      </w:r>
      <w:r w:rsidRPr="00880004">
        <w:rPr>
          <w:rFonts w:eastAsia="Times New Roman"/>
          <w:b/>
          <w:sz w:val="16"/>
          <w:szCs w:val="14"/>
        </w:rPr>
        <w:tab/>
      </w:r>
    </w:p>
    <w:p w:rsidR="005703C9" w:rsidRPr="00880004" w:rsidRDefault="005703C9" w:rsidP="005703C9">
      <w:pPr>
        <w:spacing w:before="20" w:after="20" w:line="180" w:lineRule="atLeast"/>
        <w:ind w:left="720"/>
        <w:jc w:val="both"/>
        <w:rPr>
          <w:rFonts w:eastAsia="Times New Roman"/>
          <w:b/>
          <w:sz w:val="16"/>
          <w:szCs w:val="14"/>
        </w:rPr>
      </w:pPr>
      <w:r w:rsidRPr="00880004">
        <w:rPr>
          <w:rFonts w:eastAsia="Times New Roman"/>
          <w:b/>
          <w:sz w:val="16"/>
          <w:szCs w:val="14"/>
        </w:rPr>
        <w:t>Satisfactory (4, 5 and 6)</w:t>
      </w:r>
    </w:p>
    <w:p w:rsidR="005703C9" w:rsidRPr="00880004" w:rsidRDefault="005703C9" w:rsidP="005703C9">
      <w:pPr>
        <w:spacing w:before="20" w:after="20" w:line="180" w:lineRule="atLeast"/>
        <w:ind w:left="720"/>
        <w:jc w:val="both"/>
        <w:rPr>
          <w:rFonts w:eastAsia="Times New Roman"/>
          <w:b/>
          <w:sz w:val="16"/>
          <w:szCs w:val="14"/>
        </w:rPr>
      </w:pPr>
      <w:r w:rsidRPr="00880004">
        <w:rPr>
          <w:rFonts w:eastAsia="Times New Roman"/>
          <w:b/>
          <w:color w:val="72AF2F"/>
          <w:sz w:val="16"/>
          <w:szCs w:val="14"/>
        </w:rPr>
        <w:sym w:font="Webdings" w:char="F067"/>
      </w:r>
      <w:r w:rsidRPr="00880004">
        <w:rPr>
          <w:rFonts w:eastAsia="Times New Roman"/>
          <w:b/>
          <w:sz w:val="16"/>
          <w:szCs w:val="14"/>
        </w:rPr>
        <w:t xml:space="preserve"> 6 = Very good; satisfies criteria in all areas.  </w:t>
      </w:r>
      <w:r w:rsidRPr="00880004">
        <w:rPr>
          <w:rFonts w:eastAsia="Times New Roman"/>
          <w:b/>
          <w:color w:val="72AF2F"/>
          <w:sz w:val="16"/>
          <w:szCs w:val="14"/>
        </w:rPr>
        <w:sym w:font="Webdings" w:char="F067"/>
      </w:r>
      <w:r w:rsidRPr="00880004">
        <w:rPr>
          <w:rFonts w:eastAsia="Times New Roman"/>
          <w:b/>
          <w:sz w:val="16"/>
          <w:szCs w:val="14"/>
        </w:rPr>
        <w:t xml:space="preserve"> 5 = Good; satisfies criteria in almost all areas.</w:t>
      </w:r>
    </w:p>
    <w:p w:rsidR="005703C9" w:rsidRPr="00880004" w:rsidRDefault="005703C9" w:rsidP="005703C9">
      <w:pPr>
        <w:spacing w:before="20" w:after="20" w:line="180" w:lineRule="atLeast"/>
        <w:ind w:left="720"/>
        <w:jc w:val="both"/>
        <w:rPr>
          <w:rFonts w:eastAsia="Times New Roman"/>
          <w:b/>
          <w:sz w:val="16"/>
          <w:szCs w:val="14"/>
        </w:rPr>
      </w:pPr>
      <w:r w:rsidRPr="00880004">
        <w:rPr>
          <w:rFonts w:eastAsia="Times New Roman"/>
          <w:b/>
          <w:color w:val="FFFF00"/>
          <w:sz w:val="16"/>
          <w:szCs w:val="14"/>
        </w:rPr>
        <w:sym w:font="Webdings" w:char="F067"/>
      </w:r>
      <w:r w:rsidRPr="00880004">
        <w:rPr>
          <w:rFonts w:eastAsia="Times New Roman"/>
          <w:b/>
          <w:sz w:val="16"/>
          <w:szCs w:val="14"/>
        </w:rPr>
        <w:t xml:space="preserve"> 4 = Adequate; on balance, satisfies criteria; does not fail in any major area.</w:t>
      </w:r>
    </w:p>
    <w:p w:rsidR="005703C9" w:rsidRPr="00880004" w:rsidRDefault="005703C9" w:rsidP="005703C9">
      <w:pPr>
        <w:spacing w:before="20" w:after="20" w:line="180" w:lineRule="atLeast"/>
        <w:ind w:left="720"/>
        <w:jc w:val="both"/>
        <w:rPr>
          <w:rFonts w:eastAsia="Times New Roman"/>
          <w:b/>
          <w:sz w:val="16"/>
          <w:szCs w:val="14"/>
        </w:rPr>
      </w:pPr>
      <w:r w:rsidRPr="00880004">
        <w:rPr>
          <w:rFonts w:eastAsia="Times New Roman"/>
          <w:b/>
          <w:sz w:val="16"/>
          <w:szCs w:val="14"/>
        </w:rPr>
        <w:t>Less than satisfactory (1, 2 and 3)</w:t>
      </w:r>
    </w:p>
    <w:p w:rsidR="005703C9" w:rsidRPr="00880004" w:rsidRDefault="005703C9" w:rsidP="005703C9">
      <w:pPr>
        <w:spacing w:before="20" w:after="20" w:line="180" w:lineRule="atLeast"/>
        <w:ind w:left="720"/>
        <w:jc w:val="both"/>
        <w:rPr>
          <w:rFonts w:eastAsia="Times New Roman"/>
          <w:b/>
          <w:sz w:val="16"/>
          <w:szCs w:val="14"/>
        </w:rPr>
      </w:pPr>
      <w:r w:rsidRPr="00880004">
        <w:rPr>
          <w:rFonts w:eastAsia="Times New Roman"/>
          <w:b/>
          <w:color w:val="E36C0A"/>
          <w:sz w:val="16"/>
          <w:szCs w:val="14"/>
        </w:rPr>
        <w:sym w:font="Webdings" w:char="F067"/>
      </w:r>
      <w:r w:rsidRPr="00880004">
        <w:rPr>
          <w:rFonts w:eastAsia="Times New Roman"/>
          <w:b/>
          <w:color w:val="E36C0A"/>
          <w:sz w:val="16"/>
          <w:szCs w:val="14"/>
        </w:rPr>
        <w:t xml:space="preserve"> </w:t>
      </w:r>
      <w:r w:rsidRPr="00880004">
        <w:rPr>
          <w:rFonts w:eastAsia="Times New Roman"/>
          <w:b/>
          <w:sz w:val="16"/>
          <w:szCs w:val="14"/>
        </w:rPr>
        <w:t>3 = Less than adequate; on balance does not satisfy criteria and/or fails in at least one major area.</w:t>
      </w:r>
    </w:p>
    <w:p w:rsidR="005703C9" w:rsidRPr="00880004" w:rsidRDefault="005703C9" w:rsidP="005703C9">
      <w:pPr>
        <w:spacing w:before="20" w:after="20" w:line="180" w:lineRule="atLeast"/>
        <w:ind w:left="720"/>
        <w:rPr>
          <w:rFonts w:eastAsia="Times New Roman"/>
          <w:b/>
          <w:sz w:val="16"/>
          <w:szCs w:val="14"/>
        </w:rPr>
      </w:pPr>
      <w:r w:rsidRPr="00880004">
        <w:rPr>
          <w:rFonts w:eastAsia="Times New Roman"/>
          <w:b/>
          <w:color w:val="FF0000"/>
          <w:sz w:val="16"/>
          <w:szCs w:val="14"/>
        </w:rPr>
        <w:sym w:font="Webdings" w:char="F067"/>
      </w:r>
      <w:r w:rsidRPr="00880004">
        <w:rPr>
          <w:rFonts w:eastAsia="Times New Roman"/>
          <w:b/>
          <w:sz w:val="16"/>
          <w:szCs w:val="14"/>
        </w:rPr>
        <w:t xml:space="preserve"> 2 = Poor; does not satisfy criteria in major areas.  </w:t>
      </w:r>
      <w:r w:rsidRPr="00880004">
        <w:rPr>
          <w:rFonts w:eastAsia="Times New Roman"/>
          <w:b/>
          <w:color w:val="FF0000"/>
          <w:sz w:val="16"/>
          <w:szCs w:val="14"/>
        </w:rPr>
        <w:sym w:font="Webdings" w:char="F067"/>
      </w:r>
      <w:r w:rsidRPr="00880004">
        <w:rPr>
          <w:rFonts w:eastAsia="Times New Roman"/>
          <w:b/>
          <w:sz w:val="16"/>
          <w:szCs w:val="14"/>
        </w:rPr>
        <w:t xml:space="preserve"> 1 = Very poor; does not satisfy criteria in many major area.</w:t>
      </w:r>
    </w:p>
    <w:p w:rsidR="004E0264" w:rsidRDefault="005703C9" w:rsidP="005703C9">
      <w:r>
        <w:br w:type="page"/>
      </w:r>
    </w:p>
    <w:p w:rsidR="00D012B2" w:rsidRPr="00784031" w:rsidRDefault="00D012B2" w:rsidP="00B3585D">
      <w:pPr>
        <w:pStyle w:val="Subtitle"/>
      </w:pPr>
      <w:r w:rsidRPr="00784031">
        <w:lastRenderedPageBreak/>
        <w:t>Annex E – Performance Assessment Framework</w:t>
      </w:r>
    </w:p>
    <w:tbl>
      <w:tblPr>
        <w:tblW w:w="15406" w:type="dxa"/>
        <w:tblLook w:val="04A0" w:firstRow="1" w:lastRow="0" w:firstColumn="1" w:lastColumn="0" w:noHBand="0" w:noVBand="1"/>
      </w:tblPr>
      <w:tblGrid>
        <w:gridCol w:w="2280"/>
        <w:gridCol w:w="2677"/>
        <w:gridCol w:w="1559"/>
        <w:gridCol w:w="1417"/>
        <w:gridCol w:w="1418"/>
        <w:gridCol w:w="1417"/>
        <w:gridCol w:w="1418"/>
        <w:gridCol w:w="1559"/>
        <w:gridCol w:w="1661"/>
      </w:tblGrid>
      <w:tr w:rsidR="00D012B2" w:rsidRPr="00CF1044" w:rsidTr="006C67A5">
        <w:trPr>
          <w:trHeight w:val="450"/>
        </w:trPr>
        <w:tc>
          <w:tcPr>
            <w:tcW w:w="15406" w:type="dxa"/>
            <w:gridSpan w:val="9"/>
            <w:tcBorders>
              <w:top w:val="single" w:sz="4" w:space="0" w:color="1F4E78"/>
              <w:left w:val="single" w:sz="4" w:space="0" w:color="1F4E78"/>
              <w:bottom w:val="single" w:sz="4" w:space="0" w:color="1F4E78"/>
              <w:right w:val="nil"/>
            </w:tcBorders>
            <w:shd w:val="clear" w:color="auto" w:fill="7FB64D" w:themeFill="accent3" w:themeFillShade="BF"/>
            <w:noWrap/>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i/>
                <w:iCs/>
                <w:color w:val="FFFFFF"/>
                <w:sz w:val="18"/>
                <w:szCs w:val="18"/>
                <w:lang w:val="en-AU" w:eastAsia="en-AU"/>
              </w:rPr>
            </w:pPr>
            <w:bookmarkStart w:id="2" w:name="RANGE!A1:I80"/>
            <w:r w:rsidRPr="00CF1044">
              <w:rPr>
                <w:rFonts w:ascii="Calibri" w:eastAsia="Times New Roman" w:hAnsi="Calibri" w:cs="Times New Roman"/>
                <w:b/>
                <w:bCs/>
                <w:i/>
                <w:iCs/>
                <w:color w:val="FFFFFF"/>
                <w:sz w:val="18"/>
                <w:szCs w:val="18"/>
                <w:lang w:val="en-AU" w:eastAsia="en-AU"/>
              </w:rPr>
              <w:t>AIP Objective 1: Supporting stability - Solomon Islanders increasingly recognise and participate in a legitimate state, free from conflict and economically stable</w:t>
            </w:r>
            <w:bookmarkEnd w:id="2"/>
          </w:p>
        </w:tc>
      </w:tr>
      <w:tr w:rsidR="006C67A5" w:rsidRPr="00CF1044" w:rsidTr="006C67A5">
        <w:trPr>
          <w:trHeight w:val="1035"/>
        </w:trPr>
        <w:tc>
          <w:tcPr>
            <w:tcW w:w="2280" w:type="dxa"/>
            <w:tcBorders>
              <w:top w:val="nil"/>
              <w:left w:val="single" w:sz="4" w:space="0" w:color="1F4E78"/>
              <w:bottom w:val="single" w:sz="4" w:space="0" w:color="auto"/>
              <w:right w:val="single" w:sz="4" w:space="0" w:color="1F4E78"/>
            </w:tcBorders>
            <w:shd w:val="clear" w:color="auto" w:fill="CDE2B9" w:themeFill="accent3" w:themeFillTint="99"/>
            <w:vAlign w:val="center"/>
            <w:hideMark/>
          </w:tcPr>
          <w:p w:rsidR="006C67A5" w:rsidRPr="00CF1044" w:rsidRDefault="006C67A5" w:rsidP="006C67A5">
            <w:pPr>
              <w:suppressAutoHyphens w:val="0"/>
              <w:spacing w:before="0" w:after="0" w:line="240" w:lineRule="auto"/>
              <w:jc w:val="center"/>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6C67A5">
            <w:pPr>
              <w:suppressAutoHyphens w:val="0"/>
              <w:spacing w:before="0" w:after="0" w:line="240" w:lineRule="auto"/>
              <w:jc w:val="center"/>
              <w:rPr>
                <w:rFonts w:ascii="Calibri" w:eastAsia="Times New Roman" w:hAnsi="Calibri" w:cs="Times New Roman"/>
                <w:b/>
                <w:bCs/>
                <w:color w:val="000000"/>
                <w:sz w:val="18"/>
                <w:szCs w:val="18"/>
                <w:lang w:val="en-AU" w:eastAsia="en-AU"/>
              </w:rPr>
            </w:pPr>
            <w:r>
              <w:rPr>
                <w:rFonts w:ascii="Calibri" w:eastAsia="Times New Roman" w:hAnsi="Calibri" w:cs="Times New Roman"/>
                <w:b/>
                <w:bCs/>
                <w:color w:val="000000"/>
                <w:sz w:val="18"/>
                <w:szCs w:val="18"/>
                <w:lang w:val="en-AU" w:eastAsia="en-AU"/>
              </w:rPr>
              <w:t>Indicator</w:t>
            </w:r>
            <w:r w:rsidRPr="00CF1044">
              <w:rPr>
                <w:rFonts w:ascii="Calibri" w:eastAsia="Times New Roman" w:hAnsi="Calibri" w:cs="Times New Roman"/>
                <w:b/>
                <w:bCs/>
                <w:color w:val="000000"/>
                <w:sz w:val="18"/>
                <w:szCs w:val="18"/>
                <w:lang w:val="en-AU" w:eastAsia="en-AU"/>
              </w:rPr>
              <w:t xml:space="preserve"> </w:t>
            </w:r>
          </w:p>
        </w:tc>
        <w:tc>
          <w:tcPr>
            <w:tcW w:w="1559"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6C67A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Baseline (2015/16)</w:t>
            </w:r>
          </w:p>
        </w:tc>
        <w:tc>
          <w:tcPr>
            <w:tcW w:w="1417"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6C67A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2016/17 </w:t>
            </w:r>
          </w:p>
        </w:tc>
        <w:tc>
          <w:tcPr>
            <w:tcW w:w="1418" w:type="dxa"/>
            <w:tcBorders>
              <w:top w:val="nil"/>
              <w:left w:val="nil"/>
              <w:bottom w:val="single" w:sz="4" w:space="0" w:color="auto"/>
              <w:right w:val="nil"/>
            </w:tcBorders>
            <w:shd w:val="clear" w:color="auto" w:fill="CDE2B9" w:themeFill="accent3" w:themeFillTint="99"/>
            <w:vAlign w:val="center"/>
            <w:hideMark/>
          </w:tcPr>
          <w:p w:rsidR="006C67A5" w:rsidRPr="00CF1044" w:rsidRDefault="006C67A5" w:rsidP="006C67A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2017/18 target</w:t>
            </w:r>
          </w:p>
        </w:tc>
        <w:tc>
          <w:tcPr>
            <w:tcW w:w="1417" w:type="dxa"/>
            <w:tcBorders>
              <w:top w:val="nil"/>
              <w:left w:val="single" w:sz="4" w:space="0" w:color="1F4E78"/>
              <w:bottom w:val="single" w:sz="4" w:space="0" w:color="auto"/>
              <w:right w:val="single" w:sz="4" w:space="0" w:color="1F4E78"/>
            </w:tcBorders>
            <w:shd w:val="clear" w:color="auto" w:fill="CDE2B9" w:themeFill="accent3" w:themeFillTint="99"/>
            <w:vAlign w:val="center"/>
            <w:hideMark/>
          </w:tcPr>
          <w:p w:rsidR="006C67A5" w:rsidRPr="00CF1044" w:rsidRDefault="006C67A5" w:rsidP="006C67A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2017/18 result</w:t>
            </w:r>
          </w:p>
        </w:tc>
        <w:tc>
          <w:tcPr>
            <w:tcW w:w="1418"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6C67A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2018/19 target</w:t>
            </w:r>
          </w:p>
        </w:tc>
        <w:tc>
          <w:tcPr>
            <w:tcW w:w="1559"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6C67A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DFAT investments contributing to outcome </w:t>
            </w:r>
          </w:p>
        </w:tc>
        <w:tc>
          <w:tcPr>
            <w:tcW w:w="1661"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6C67A5">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Data collection method</w:t>
            </w:r>
          </w:p>
        </w:tc>
      </w:tr>
      <w:tr w:rsidR="00D012B2" w:rsidRPr="00CF1044" w:rsidTr="006C67A5">
        <w:trPr>
          <w:trHeight w:val="420"/>
        </w:trPr>
        <w:tc>
          <w:tcPr>
            <w:tcW w:w="15406" w:type="dxa"/>
            <w:gridSpan w:val="9"/>
            <w:tcBorders>
              <w:top w:val="single" w:sz="4" w:space="0" w:color="auto"/>
              <w:left w:val="single" w:sz="4" w:space="0" w:color="auto"/>
              <w:bottom w:val="single" w:sz="4" w:space="0" w:color="auto"/>
              <w:right w:val="single" w:sz="4" w:space="0" w:color="auto"/>
            </w:tcBorders>
            <w:shd w:val="clear" w:color="auto" w:fill="DDECD0" w:themeFill="accent3" w:themeFillTint="66"/>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Sub-objective: Solomon Islanders' have greater access to an effective justice system</w:t>
            </w:r>
          </w:p>
        </w:tc>
      </w:tr>
      <w:tr w:rsidR="00D012B2" w:rsidRPr="00CF1044" w:rsidTr="006C67A5">
        <w:trPr>
          <w:trHeight w:val="720"/>
        </w:trPr>
        <w:tc>
          <w:tcPr>
            <w:tcW w:w="2280" w:type="dxa"/>
            <w:vMerge w:val="restart"/>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Sentinel indicators</w:t>
            </w: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Percentage of people satisfied with the way in which disputes are settled</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8"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66%</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UN Peacebuilding survey</w:t>
            </w:r>
          </w:p>
        </w:tc>
      </w:tr>
      <w:tr w:rsidR="00D012B2" w:rsidRPr="00CF1044" w:rsidTr="006C67A5">
        <w:trPr>
          <w:trHeight w:val="1080"/>
        </w:trPr>
        <w:tc>
          <w:tcPr>
            <w:tcW w:w="2280" w:type="dxa"/>
            <w:vMerge/>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FF0000"/>
                <w:sz w:val="18"/>
                <w:szCs w:val="18"/>
                <w:lang w:val="en-AU" w:eastAsia="en-AU"/>
              </w:rPr>
            </w:pPr>
            <w:r w:rsidRPr="00CF1044">
              <w:rPr>
                <w:rFonts w:ascii="Calibri" w:eastAsia="Times New Roman" w:hAnsi="Calibri" w:cs="Times New Roman"/>
                <w:color w:val="FF0000"/>
                <w:sz w:val="18"/>
                <w:szCs w:val="18"/>
                <w:lang w:val="en-AU" w:eastAsia="en-AU"/>
              </w:rPr>
              <w:t xml:space="preserve"> </w:t>
            </w:r>
            <w:r w:rsidRPr="00CF1044">
              <w:rPr>
                <w:rFonts w:ascii="Calibri" w:eastAsia="Times New Roman" w:hAnsi="Calibri" w:cs="Times New Roman"/>
                <w:color w:val="auto"/>
                <w:sz w:val="18"/>
                <w:szCs w:val="18"/>
                <w:lang w:val="en-AU" w:eastAsia="en-AU"/>
              </w:rPr>
              <w:t>Percentage of people happy with the national government's handling of key issues related to basic services and justice</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8"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60%</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UN Peacebuilding survey</w:t>
            </w:r>
          </w:p>
        </w:tc>
      </w:tr>
      <w:tr w:rsidR="00D012B2" w:rsidRPr="00CF1044" w:rsidTr="005B50CB">
        <w:trPr>
          <w:trHeight w:val="885"/>
        </w:trPr>
        <w:tc>
          <w:tcPr>
            <w:tcW w:w="2280" w:type="dxa"/>
            <w:vMerge w:val="restart"/>
            <w:tcBorders>
              <w:top w:val="nil"/>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Outcome 1: </w:t>
            </w:r>
            <w:r w:rsidRPr="00CF1044">
              <w:rPr>
                <w:rFonts w:ascii="Calibri" w:eastAsia="Times New Roman" w:hAnsi="Calibri" w:cs="Times New Roman"/>
                <w:color w:val="000000"/>
                <w:sz w:val="18"/>
                <w:szCs w:val="18"/>
                <w:lang w:val="en-AU" w:eastAsia="en-AU"/>
              </w:rPr>
              <w:t>Increasing access to justice and improved system efficiency (with a focus on reducing violence against women)</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 Number of criminal cases disposed of in Magistrates Court*</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707</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628</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650</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885</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650</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 Information Management System</w:t>
            </w:r>
          </w:p>
        </w:tc>
      </w:tr>
      <w:tr w:rsidR="00D012B2" w:rsidRPr="00CF1044" w:rsidTr="005B50CB">
        <w:trPr>
          <w:trHeight w:val="930"/>
        </w:trPr>
        <w:tc>
          <w:tcPr>
            <w:tcW w:w="2280" w:type="dxa"/>
            <w:vMerge/>
            <w:tcBorders>
              <w:top w:val="nil"/>
              <w:left w:val="single" w:sz="4" w:space="0" w:color="auto"/>
              <w:bottom w:val="single" w:sz="4" w:space="0" w:color="auto"/>
              <w:right w:val="single" w:sz="4" w:space="0" w:color="auto"/>
            </w:tcBorders>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nil"/>
              <w:right w:val="nil"/>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 Number of Provincial Court circuits by the Magistrates Court</w:t>
            </w:r>
          </w:p>
        </w:tc>
        <w:tc>
          <w:tcPr>
            <w:tcW w:w="1559" w:type="dxa"/>
            <w:tcBorders>
              <w:top w:val="nil"/>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25</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21</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25</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20</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Justice</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 Information Management System</w:t>
            </w:r>
          </w:p>
        </w:tc>
      </w:tr>
      <w:tr w:rsidR="00D012B2" w:rsidRPr="00CF1044" w:rsidTr="005B50CB">
        <w:trPr>
          <w:trHeight w:val="1245"/>
        </w:trPr>
        <w:tc>
          <w:tcPr>
            <w:tcW w:w="2280" w:type="dxa"/>
            <w:vMerge/>
            <w:tcBorders>
              <w:top w:val="nil"/>
              <w:left w:val="single" w:sz="4" w:space="0" w:color="auto"/>
              <w:bottom w:val="single" w:sz="4" w:space="0" w:color="auto"/>
              <w:right w:val="single" w:sz="4" w:space="0" w:color="auto"/>
            </w:tcBorders>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1.3 Number of Protection Orders issued by the courts, in line with the 2015 Family Protection Act (to address violence against women and girls)</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39</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PO's issued</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26</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POs issued</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Justice, Policing</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 Information Management System</w:t>
            </w:r>
          </w:p>
        </w:tc>
      </w:tr>
      <w:tr w:rsidR="00D012B2" w:rsidRPr="00CF1044" w:rsidTr="005B50CB">
        <w:trPr>
          <w:trHeight w:val="765"/>
        </w:trPr>
        <w:tc>
          <w:tcPr>
            <w:tcW w:w="2280" w:type="dxa"/>
            <w:vMerge/>
            <w:tcBorders>
              <w:top w:val="nil"/>
              <w:left w:val="single" w:sz="4" w:space="0" w:color="auto"/>
              <w:bottom w:val="single" w:sz="4" w:space="0" w:color="auto"/>
              <w:right w:val="single" w:sz="4" w:space="0" w:color="auto"/>
            </w:tcBorders>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1.4 # of Police and other law and justice officials trained*</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1408</w:t>
            </w:r>
          </w:p>
        </w:tc>
        <w:tc>
          <w:tcPr>
            <w:tcW w:w="141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1393</w:t>
            </w:r>
          </w:p>
        </w:tc>
        <w:tc>
          <w:tcPr>
            <w:tcW w:w="1418"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800</w:t>
            </w:r>
          </w:p>
        </w:tc>
        <w:tc>
          <w:tcPr>
            <w:tcW w:w="1417" w:type="dxa"/>
            <w:tcBorders>
              <w:top w:val="single" w:sz="4" w:space="0" w:color="auto"/>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934</w:t>
            </w:r>
          </w:p>
        </w:tc>
        <w:tc>
          <w:tcPr>
            <w:tcW w:w="1418"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800</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Justice, Policing</w:t>
            </w:r>
          </w:p>
        </w:tc>
        <w:tc>
          <w:tcPr>
            <w:tcW w:w="1661"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Project reports + AFP</w:t>
            </w:r>
          </w:p>
        </w:tc>
      </w:tr>
    </w:tbl>
    <w:p w:rsidR="00D012B2" w:rsidRDefault="00D012B2" w:rsidP="00D012B2">
      <w:r>
        <w:br w:type="page"/>
      </w:r>
    </w:p>
    <w:tbl>
      <w:tblPr>
        <w:tblW w:w="15406" w:type="dxa"/>
        <w:tblLook w:val="04A0" w:firstRow="1" w:lastRow="0" w:firstColumn="1" w:lastColumn="0" w:noHBand="0" w:noVBand="1"/>
      </w:tblPr>
      <w:tblGrid>
        <w:gridCol w:w="2280"/>
        <w:gridCol w:w="2677"/>
        <w:gridCol w:w="1559"/>
        <w:gridCol w:w="1417"/>
        <w:gridCol w:w="1418"/>
        <w:gridCol w:w="1417"/>
        <w:gridCol w:w="1418"/>
        <w:gridCol w:w="1559"/>
        <w:gridCol w:w="1661"/>
      </w:tblGrid>
      <w:tr w:rsidR="00D012B2" w:rsidRPr="00CF1044" w:rsidTr="006C67A5">
        <w:trPr>
          <w:trHeight w:val="450"/>
        </w:trPr>
        <w:tc>
          <w:tcPr>
            <w:tcW w:w="15406" w:type="dxa"/>
            <w:gridSpan w:val="9"/>
            <w:tcBorders>
              <w:top w:val="single" w:sz="4" w:space="0" w:color="auto"/>
              <w:left w:val="single" w:sz="4" w:space="0" w:color="auto"/>
              <w:bottom w:val="single" w:sz="4" w:space="0" w:color="auto"/>
              <w:right w:val="single" w:sz="4" w:space="0" w:color="auto"/>
            </w:tcBorders>
            <w:shd w:val="clear" w:color="auto" w:fill="DDECD0" w:themeFill="accent3" w:themeFillTint="66"/>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lastRenderedPageBreak/>
              <w:t>Sub-objective:  Solomon Islands has more efficient and effective public financial management and a reliable, transparent and efficiently administered budget</w:t>
            </w:r>
          </w:p>
        </w:tc>
      </w:tr>
      <w:tr w:rsidR="00D012B2" w:rsidRPr="00CF1044" w:rsidTr="006C67A5">
        <w:trPr>
          <w:trHeight w:val="975"/>
        </w:trPr>
        <w:tc>
          <w:tcPr>
            <w:tcW w:w="2280" w:type="dxa"/>
            <w:vMerge w:val="restart"/>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Sentinel indicators</w:t>
            </w: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Debt to GDP ratio</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w:t>
            </w:r>
          </w:p>
        </w:tc>
        <w:tc>
          <w:tcPr>
            <w:tcW w:w="1418"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&lt;30%</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9%</w:t>
            </w:r>
          </w:p>
        </w:tc>
        <w:tc>
          <w:tcPr>
            <w:tcW w:w="1418"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Remains &lt; debt ceiling (currently 35% of GDP) </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Annual Budget Strategy Outlook </w:t>
            </w:r>
          </w:p>
        </w:tc>
      </w:tr>
      <w:tr w:rsidR="00D012B2" w:rsidRPr="00CF1044" w:rsidTr="006C67A5">
        <w:trPr>
          <w:trHeight w:val="1200"/>
        </w:trPr>
        <w:tc>
          <w:tcPr>
            <w:tcW w:w="2280" w:type="dxa"/>
            <w:vMerge/>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PFM improvements at the central level are having a demonstrable impact at changing line ministry practices</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8"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Information collected shows positive PFM improvement  line ministry </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Governance MEL Unit through semi-structured interviews with SIG</w:t>
            </w:r>
          </w:p>
        </w:tc>
      </w:tr>
      <w:tr w:rsidR="00D012B2" w:rsidRPr="00CF1044" w:rsidTr="005B50CB">
        <w:trPr>
          <w:trHeight w:val="840"/>
        </w:trPr>
        <w:tc>
          <w:tcPr>
            <w:tcW w:w="2280" w:type="dxa"/>
            <w:vMerge w:val="restart"/>
            <w:tcBorders>
              <w:top w:val="nil"/>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Outcome 1:</w:t>
            </w:r>
            <w:r w:rsidRPr="00CF1044">
              <w:rPr>
                <w:rFonts w:ascii="Calibri" w:eastAsia="Times New Roman" w:hAnsi="Calibri" w:cs="Times New Roman"/>
                <w:color w:val="000000"/>
                <w:sz w:val="18"/>
                <w:szCs w:val="18"/>
                <w:lang w:val="en-AU" w:eastAsia="en-AU"/>
              </w:rPr>
              <w:t xml:space="preserve">  A credible and transparent fiscal strategy, budget and public financial management</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 Per cent of Core Economic Working Group Reforms programs actions achieved*</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417" w:type="dxa"/>
            <w:tcBorders>
              <w:top w:val="nil"/>
              <w:left w:val="nil"/>
              <w:bottom w:val="nil"/>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50%</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50%</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Economic Policy </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DFAT</w:t>
            </w:r>
          </w:p>
        </w:tc>
      </w:tr>
      <w:tr w:rsidR="00D012B2" w:rsidRPr="00CF1044" w:rsidTr="005B50CB">
        <w:trPr>
          <w:trHeight w:val="1035"/>
        </w:trPr>
        <w:tc>
          <w:tcPr>
            <w:tcW w:w="2280" w:type="dxa"/>
            <w:vMerge/>
            <w:tcBorders>
              <w:top w:val="nil"/>
              <w:left w:val="single" w:sz="4" w:space="0" w:color="auto"/>
              <w:bottom w:val="single" w:sz="4" w:space="0" w:color="auto"/>
              <w:right w:val="single" w:sz="4" w:space="0" w:color="auto"/>
            </w:tcBorders>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 Aggregate revenue turn out compared to approved budget (PEFA indicator P1.1 - Budget reliability)</w:t>
            </w:r>
          </w:p>
        </w:tc>
        <w:tc>
          <w:tcPr>
            <w:tcW w:w="1559" w:type="dxa"/>
            <w:tcBorders>
              <w:top w:val="nil"/>
              <w:left w:val="nil"/>
              <w:bottom w:val="single" w:sz="4" w:space="0" w:color="1F4E78"/>
              <w:right w:val="nil"/>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112% (2015)</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102% (2016)</w:t>
            </w:r>
          </w:p>
        </w:tc>
        <w:tc>
          <w:tcPr>
            <w:tcW w:w="1418" w:type="dxa"/>
            <w:tcBorders>
              <w:top w:val="single" w:sz="4" w:space="0" w:color="1F4E78"/>
              <w:left w:val="nil"/>
              <w:bottom w:val="single" w:sz="4" w:space="0" w:color="1F4E78"/>
              <w:right w:val="single" w:sz="4" w:space="0" w:color="1F4E78"/>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90-110%</w:t>
            </w:r>
          </w:p>
        </w:tc>
        <w:tc>
          <w:tcPr>
            <w:tcW w:w="1417" w:type="dxa"/>
            <w:tcBorders>
              <w:top w:val="single" w:sz="4" w:space="0" w:color="1F4E78"/>
              <w:left w:val="nil"/>
              <w:bottom w:val="single" w:sz="4" w:space="0" w:color="1F4E78"/>
              <w:right w:val="single" w:sz="4" w:space="0" w:color="1F4E78"/>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Pr>
                <w:rFonts w:ascii="Calibri" w:eastAsia="Times New Roman" w:hAnsi="Calibri" w:cs="Times New Roman"/>
                <w:color w:val="000000"/>
                <w:sz w:val="18"/>
                <w:szCs w:val="18"/>
                <w:lang w:val="en-AU" w:eastAsia="en-AU"/>
              </w:rPr>
              <w:t>99</w:t>
            </w:r>
            <w:r w:rsidRPr="00CF1044">
              <w:rPr>
                <w:rFonts w:ascii="Calibri" w:eastAsia="Times New Roman" w:hAnsi="Calibri" w:cs="Times New Roman"/>
                <w:color w:val="000000"/>
                <w:sz w:val="18"/>
                <w:szCs w:val="18"/>
                <w:lang w:val="en-AU" w:eastAsia="en-AU"/>
              </w:rPr>
              <w:t>% (2017)</w:t>
            </w:r>
          </w:p>
        </w:tc>
        <w:tc>
          <w:tcPr>
            <w:tcW w:w="1418" w:type="dxa"/>
            <w:tcBorders>
              <w:top w:val="single" w:sz="4" w:space="0" w:color="1F4E78"/>
              <w:left w:val="nil"/>
              <w:bottom w:val="single" w:sz="4" w:space="0" w:color="1F4E78"/>
              <w:right w:val="single" w:sz="4" w:space="0" w:color="1F4E78"/>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90-110%</w:t>
            </w:r>
          </w:p>
        </w:tc>
        <w:tc>
          <w:tcPr>
            <w:tcW w:w="1559" w:type="dxa"/>
            <w:tcBorders>
              <w:top w:val="nil"/>
              <w:left w:val="single" w:sz="4" w:space="0" w:color="auto"/>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Governance</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SIG</w:t>
            </w:r>
          </w:p>
        </w:tc>
      </w:tr>
      <w:tr w:rsidR="00D012B2" w:rsidRPr="00CF1044" w:rsidTr="005B50CB">
        <w:trPr>
          <w:trHeight w:val="1065"/>
        </w:trPr>
        <w:tc>
          <w:tcPr>
            <w:tcW w:w="2280" w:type="dxa"/>
            <w:vMerge/>
            <w:tcBorders>
              <w:top w:val="nil"/>
              <w:left w:val="single" w:sz="4" w:space="0" w:color="auto"/>
              <w:bottom w:val="single" w:sz="4" w:space="0" w:color="auto"/>
              <w:right w:val="single" w:sz="4" w:space="0" w:color="auto"/>
            </w:tcBorders>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nil"/>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1.3 Report of the Public Accounts Committee inquiry into budgets published (Linked to PEFA indicator P1.5 - Budget transparency)</w:t>
            </w:r>
          </w:p>
        </w:tc>
        <w:tc>
          <w:tcPr>
            <w:tcW w:w="1559" w:type="dxa"/>
            <w:tcBorders>
              <w:top w:val="nil"/>
              <w:left w:val="nil"/>
              <w:bottom w:val="nil"/>
              <w:right w:val="single" w:sz="4" w:space="0" w:color="1F4E78"/>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Yes</w:t>
            </w:r>
          </w:p>
        </w:tc>
        <w:tc>
          <w:tcPr>
            <w:tcW w:w="1417" w:type="dxa"/>
            <w:tcBorders>
              <w:top w:val="nil"/>
              <w:left w:val="nil"/>
              <w:bottom w:val="nil"/>
              <w:right w:val="single" w:sz="4" w:space="0" w:color="1F4E78"/>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Yes</w:t>
            </w:r>
          </w:p>
        </w:tc>
        <w:tc>
          <w:tcPr>
            <w:tcW w:w="1418" w:type="dxa"/>
            <w:tcBorders>
              <w:top w:val="nil"/>
              <w:left w:val="nil"/>
              <w:bottom w:val="nil"/>
              <w:right w:val="single" w:sz="4" w:space="0" w:color="1F4E78"/>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Yes</w:t>
            </w:r>
          </w:p>
        </w:tc>
        <w:tc>
          <w:tcPr>
            <w:tcW w:w="1417" w:type="dxa"/>
            <w:tcBorders>
              <w:top w:val="nil"/>
              <w:left w:val="nil"/>
              <w:bottom w:val="nil"/>
              <w:right w:val="single" w:sz="4" w:space="0" w:color="1F4E78"/>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Yes</w:t>
            </w:r>
          </w:p>
        </w:tc>
        <w:tc>
          <w:tcPr>
            <w:tcW w:w="1418" w:type="dxa"/>
            <w:tcBorders>
              <w:top w:val="nil"/>
              <w:left w:val="nil"/>
              <w:bottom w:val="nil"/>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Yes</w:t>
            </w:r>
          </w:p>
        </w:tc>
        <w:tc>
          <w:tcPr>
            <w:tcW w:w="1559" w:type="dxa"/>
            <w:tcBorders>
              <w:top w:val="nil"/>
              <w:left w:val="nil"/>
              <w:bottom w:val="nil"/>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Governance </w:t>
            </w:r>
          </w:p>
        </w:tc>
        <w:tc>
          <w:tcPr>
            <w:tcW w:w="1661" w:type="dxa"/>
            <w:tcBorders>
              <w:top w:val="nil"/>
              <w:left w:val="nil"/>
              <w:bottom w:val="nil"/>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DFAT</w:t>
            </w:r>
          </w:p>
        </w:tc>
      </w:tr>
      <w:tr w:rsidR="00D012B2" w:rsidRPr="00CF1044" w:rsidTr="006C67A5">
        <w:trPr>
          <w:trHeight w:val="450"/>
        </w:trPr>
        <w:tc>
          <w:tcPr>
            <w:tcW w:w="15406" w:type="dxa"/>
            <w:gridSpan w:val="9"/>
            <w:tcBorders>
              <w:top w:val="single" w:sz="4" w:space="0" w:color="auto"/>
              <w:left w:val="single" w:sz="4" w:space="0" w:color="auto"/>
              <w:bottom w:val="single" w:sz="4" w:space="0" w:color="auto"/>
              <w:right w:val="nil"/>
            </w:tcBorders>
            <w:shd w:val="clear" w:color="auto" w:fill="DDECD0" w:themeFill="accent3" w:themeFillTint="66"/>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Sub-objective:  Reduction in gender-based violence in pilot areas, and greater access to services for victims</w:t>
            </w:r>
            <w:r w:rsidRPr="00CF1044">
              <w:rPr>
                <w:rFonts w:ascii="Calibri" w:eastAsia="Times New Roman" w:hAnsi="Calibri" w:cs="Times New Roman"/>
                <w:b/>
                <w:bCs/>
                <w:color w:val="FF0000"/>
                <w:sz w:val="18"/>
                <w:szCs w:val="18"/>
                <w:lang w:val="en-AU" w:eastAsia="en-AU"/>
              </w:rPr>
              <w:t xml:space="preserve"> </w:t>
            </w:r>
          </w:p>
        </w:tc>
      </w:tr>
      <w:tr w:rsidR="00D012B2" w:rsidRPr="00CF1044" w:rsidTr="006C67A5">
        <w:trPr>
          <w:trHeight w:val="840"/>
        </w:trPr>
        <w:tc>
          <w:tcPr>
            <w:tcW w:w="2280" w:type="dxa"/>
            <w:tcBorders>
              <w:top w:val="nil"/>
              <w:left w:val="single" w:sz="4" w:space="0" w:color="auto"/>
              <w:bottom w:val="nil"/>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Sentinel indicators</w:t>
            </w: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Proportion of people in targeted communities who consider family violence unacceptable</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50%</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82%</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601D80" w:rsidP="00601D80">
            <w:pPr>
              <w:suppressAutoHyphens w:val="0"/>
              <w:spacing w:before="0" w:after="0" w:line="240" w:lineRule="auto"/>
              <w:jc w:val="center"/>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Not yet available</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 </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Gender</w:t>
            </w:r>
          </w:p>
        </w:tc>
        <w:tc>
          <w:tcPr>
            <w:tcW w:w="1661"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 xml:space="preserve">Program reporting </w:t>
            </w:r>
          </w:p>
        </w:tc>
      </w:tr>
      <w:tr w:rsidR="00D012B2" w:rsidRPr="00CF1044" w:rsidTr="005B50CB">
        <w:trPr>
          <w:trHeight w:val="690"/>
        </w:trPr>
        <w:tc>
          <w:tcPr>
            <w:tcW w:w="2280" w:type="dxa"/>
            <w:tcBorders>
              <w:top w:val="single" w:sz="4" w:space="0" w:color="auto"/>
              <w:left w:val="single" w:sz="4" w:space="0" w:color="auto"/>
              <w:bottom w:val="single" w:sz="4" w:space="0" w:color="000000"/>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auto"/>
                <w:sz w:val="18"/>
                <w:szCs w:val="18"/>
                <w:lang w:val="en-AU" w:eastAsia="en-AU"/>
              </w:rPr>
              <w:t xml:space="preserve">Outcome 1: </w:t>
            </w:r>
            <w:r w:rsidRPr="00CF1044">
              <w:rPr>
                <w:rFonts w:ascii="Calibri" w:eastAsia="Times New Roman" w:hAnsi="Calibri" w:cs="Times New Roman"/>
                <w:color w:val="auto"/>
                <w:sz w:val="18"/>
                <w:szCs w:val="18"/>
                <w:lang w:val="en-AU" w:eastAsia="en-AU"/>
              </w:rPr>
              <w:t xml:space="preserve"> Increased reporting of  violence against women</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1.1  Family violence 100 (police incident reports) reports lodged</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844</w:t>
            </w:r>
          </w:p>
        </w:tc>
        <w:tc>
          <w:tcPr>
            <w:tcW w:w="1417" w:type="dxa"/>
            <w:tcBorders>
              <w:top w:val="nil"/>
              <w:left w:val="nil"/>
              <w:bottom w:val="single" w:sz="4" w:space="0" w:color="auto"/>
              <w:right w:val="single" w:sz="4" w:space="0" w:color="auto"/>
            </w:tcBorders>
            <w:shd w:val="clear" w:color="auto" w:fill="auto"/>
            <w:hideMark/>
          </w:tcPr>
          <w:p w:rsidR="00D012B2" w:rsidRPr="00874B3F" w:rsidRDefault="00D012B2" w:rsidP="00874B3F">
            <w:pPr>
              <w:pStyle w:val="ListParagraph"/>
              <w:numPr>
                <w:ilvl w:val="0"/>
                <w:numId w:val="48"/>
              </w:numPr>
              <w:jc w:val="right"/>
              <w:rPr>
                <w:rFonts w:ascii="Calibri" w:hAnsi="Calibri"/>
                <w:sz w:val="18"/>
                <w:szCs w:val="18"/>
                <w:lang w:eastAsia="en-AU"/>
              </w:rPr>
            </w:pP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1687</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601D80"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1221</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FV</w:t>
            </w:r>
            <w:r w:rsidRPr="00CF1044">
              <w:rPr>
                <w:rFonts w:ascii="Calibri" w:eastAsia="Times New Roman" w:hAnsi="Calibri" w:cs="Times New Roman"/>
                <w:color w:val="auto"/>
                <w:sz w:val="18"/>
                <w:szCs w:val="18"/>
                <w:lang w:val="en-AU" w:eastAsia="en-AU"/>
              </w:rPr>
              <w:t xml:space="preserve"> 100s issued</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RSIPF</w:t>
            </w:r>
          </w:p>
        </w:tc>
      </w:tr>
    </w:tbl>
    <w:p w:rsidR="00D012B2" w:rsidRDefault="00D012B2" w:rsidP="00D012B2">
      <w:r>
        <w:br w:type="page"/>
      </w:r>
    </w:p>
    <w:tbl>
      <w:tblPr>
        <w:tblW w:w="15406" w:type="dxa"/>
        <w:tblLook w:val="04A0" w:firstRow="1" w:lastRow="0" w:firstColumn="1" w:lastColumn="0" w:noHBand="0" w:noVBand="1"/>
      </w:tblPr>
      <w:tblGrid>
        <w:gridCol w:w="2280"/>
        <w:gridCol w:w="2677"/>
        <w:gridCol w:w="1559"/>
        <w:gridCol w:w="1417"/>
        <w:gridCol w:w="1418"/>
        <w:gridCol w:w="1417"/>
        <w:gridCol w:w="1418"/>
        <w:gridCol w:w="1559"/>
        <w:gridCol w:w="1661"/>
      </w:tblGrid>
      <w:tr w:rsidR="00D012B2" w:rsidRPr="00CF1044" w:rsidTr="005B50CB">
        <w:trPr>
          <w:trHeight w:val="450"/>
        </w:trPr>
        <w:tc>
          <w:tcPr>
            <w:tcW w:w="2280" w:type="dxa"/>
            <w:tcBorders>
              <w:top w:val="single" w:sz="4" w:space="0" w:color="auto"/>
              <w:left w:val="single" w:sz="4" w:space="0" w:color="auto"/>
              <w:bottom w:val="single" w:sz="4" w:space="0" w:color="000000"/>
              <w:right w:val="single" w:sz="4" w:space="0" w:color="auto"/>
            </w:tcBorders>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p>
        </w:tc>
        <w:tc>
          <w:tcPr>
            <w:tcW w:w="267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24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1.2 # women calling Seif Ples hotline</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251</w:t>
            </w:r>
          </w:p>
        </w:tc>
        <w:tc>
          <w:tcPr>
            <w:tcW w:w="141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616</w:t>
            </w:r>
          </w:p>
        </w:tc>
        <w:tc>
          <w:tcPr>
            <w:tcW w:w="1418"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400</w:t>
            </w:r>
          </w:p>
        </w:tc>
        <w:tc>
          <w:tcPr>
            <w:tcW w:w="1417" w:type="dxa"/>
            <w:tcBorders>
              <w:top w:val="single" w:sz="4" w:space="0" w:color="auto"/>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407</w:t>
            </w:r>
          </w:p>
        </w:tc>
        <w:tc>
          <w:tcPr>
            <w:tcW w:w="1418"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500</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Justice</w:t>
            </w:r>
          </w:p>
        </w:tc>
        <w:tc>
          <w:tcPr>
            <w:tcW w:w="1661"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Program reporting</w:t>
            </w:r>
          </w:p>
        </w:tc>
      </w:tr>
      <w:tr w:rsidR="00D012B2" w:rsidRPr="00CF1044" w:rsidTr="005B50CB">
        <w:trPr>
          <w:trHeight w:val="780"/>
        </w:trPr>
        <w:tc>
          <w:tcPr>
            <w:tcW w:w="2280" w:type="dxa"/>
            <w:vMerge w:val="restart"/>
            <w:tcBorders>
              <w:top w:val="nil"/>
              <w:left w:val="single" w:sz="4" w:space="0" w:color="auto"/>
              <w:bottom w:val="single" w:sz="4" w:space="0" w:color="000000"/>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auto"/>
                <w:sz w:val="18"/>
                <w:szCs w:val="18"/>
                <w:lang w:val="en-AU" w:eastAsia="en-AU"/>
              </w:rPr>
              <w:t xml:space="preserve">Outcome 2: </w:t>
            </w:r>
            <w:r w:rsidRPr="00CF1044">
              <w:rPr>
                <w:rFonts w:ascii="Calibri" w:eastAsia="Times New Roman" w:hAnsi="Calibri" w:cs="Times New Roman"/>
                <w:color w:val="auto"/>
                <w:sz w:val="18"/>
                <w:szCs w:val="18"/>
                <w:lang w:val="en-AU" w:eastAsia="en-AU"/>
              </w:rPr>
              <w:t xml:space="preserve"> Survivors of gender-based violence can access high quality services</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24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2.1 # women survivors </w:t>
            </w:r>
            <w:r>
              <w:rPr>
                <w:rFonts w:ascii="Calibri" w:eastAsia="Times New Roman" w:hAnsi="Calibri" w:cs="Times New Roman"/>
                <w:color w:val="auto"/>
                <w:sz w:val="18"/>
                <w:szCs w:val="18"/>
                <w:lang w:val="en-AU" w:eastAsia="en-AU"/>
              </w:rPr>
              <w:t xml:space="preserve">of violence receiving services </w:t>
            </w:r>
            <w:r w:rsidRPr="00CF1044">
              <w:rPr>
                <w:rFonts w:ascii="Calibri" w:eastAsia="Times New Roman" w:hAnsi="Calibri" w:cs="Times New Roman"/>
                <w:color w:val="auto"/>
                <w:sz w:val="18"/>
                <w:szCs w:val="18"/>
                <w:lang w:val="en-AU" w:eastAsia="en-AU"/>
              </w:rPr>
              <w:t>such as counselling (Aggregate Development Goal)</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297</w:t>
            </w:r>
          </w:p>
        </w:tc>
        <w:tc>
          <w:tcPr>
            <w:tcW w:w="1418" w:type="dxa"/>
            <w:tcBorders>
              <w:top w:val="nil"/>
              <w:left w:val="nil"/>
              <w:bottom w:val="single" w:sz="4" w:space="0" w:color="auto"/>
              <w:right w:val="single" w:sz="4" w:space="0" w:color="auto"/>
            </w:tcBorders>
            <w:shd w:val="clear" w:color="auto" w:fill="auto"/>
            <w:hideMark/>
          </w:tcPr>
          <w:p w:rsidR="00D012B2" w:rsidRPr="00601D80" w:rsidRDefault="00D012B2" w:rsidP="00601D80">
            <w:pPr>
              <w:pStyle w:val="ListParagraph"/>
              <w:numPr>
                <w:ilvl w:val="0"/>
                <w:numId w:val="47"/>
              </w:numPr>
              <w:jc w:val="right"/>
              <w:rPr>
                <w:rFonts w:ascii="Calibri" w:hAnsi="Calibri"/>
                <w:sz w:val="18"/>
                <w:szCs w:val="18"/>
                <w:lang w:eastAsia="en-AU"/>
              </w:rPr>
            </w:pPr>
            <w:r w:rsidRPr="00601D80">
              <w:rPr>
                <w:rFonts w:ascii="Calibri" w:hAnsi="Calibri"/>
                <w:sz w:val="18"/>
                <w:szCs w:val="18"/>
                <w:lang w:eastAsia="en-AU"/>
              </w:rPr>
              <w:t> </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381</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Increase YOY</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Gender</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Program reporting </w:t>
            </w:r>
          </w:p>
        </w:tc>
      </w:tr>
      <w:tr w:rsidR="00D012B2" w:rsidRPr="00CF1044" w:rsidTr="005B50CB">
        <w:trPr>
          <w:trHeight w:val="780"/>
        </w:trPr>
        <w:tc>
          <w:tcPr>
            <w:tcW w:w="2280" w:type="dxa"/>
            <w:vMerge/>
            <w:tcBorders>
              <w:top w:val="nil"/>
              <w:left w:val="single" w:sz="4" w:space="0" w:color="auto"/>
              <w:bottom w:val="single" w:sz="4" w:space="0" w:color="000000"/>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2.2  Numbers of women</w:t>
            </w:r>
            <w:r>
              <w:rPr>
                <w:rFonts w:ascii="Calibri" w:eastAsia="Times New Roman" w:hAnsi="Calibri" w:cs="Times New Roman"/>
                <w:color w:val="auto"/>
                <w:sz w:val="18"/>
                <w:szCs w:val="18"/>
                <w:lang w:val="en-AU" w:eastAsia="en-AU"/>
              </w:rPr>
              <w:t xml:space="preserve"> </w:t>
            </w:r>
            <w:r w:rsidRPr="00CF1044">
              <w:rPr>
                <w:rFonts w:ascii="Calibri" w:eastAsia="Times New Roman" w:hAnsi="Calibri" w:cs="Times New Roman"/>
                <w:color w:val="auto"/>
                <w:sz w:val="18"/>
                <w:szCs w:val="18"/>
                <w:lang w:val="en-AU" w:eastAsia="en-AU"/>
              </w:rPr>
              <w:t>survivors of violence who receive case management through the Safenet referral system</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601D80"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9</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601D80"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223</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601D80"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117</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601D80"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(1000 for years 2017-2019)</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Gender</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DHIS Ministry of Health, Program Reporting</w:t>
            </w:r>
          </w:p>
        </w:tc>
      </w:tr>
      <w:tr w:rsidR="00D012B2" w:rsidRPr="00CF1044" w:rsidTr="006C67A5">
        <w:trPr>
          <w:trHeight w:val="465"/>
        </w:trPr>
        <w:tc>
          <w:tcPr>
            <w:tcW w:w="15406" w:type="dxa"/>
            <w:gridSpan w:val="9"/>
            <w:tcBorders>
              <w:top w:val="single" w:sz="4" w:space="0" w:color="auto"/>
              <w:left w:val="single" w:sz="4" w:space="0" w:color="auto"/>
              <w:bottom w:val="single" w:sz="4" w:space="0" w:color="auto"/>
              <w:right w:val="nil"/>
            </w:tcBorders>
            <w:shd w:val="clear" w:color="auto" w:fill="DDECD0" w:themeFill="accent3" w:themeFillTint="66"/>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Sub-objective: Women have expanded opportunities to effectively influence and lead in decision-making</w:t>
            </w:r>
          </w:p>
        </w:tc>
      </w:tr>
      <w:tr w:rsidR="00D012B2" w:rsidRPr="00CF1044" w:rsidTr="006C67A5">
        <w:trPr>
          <w:trHeight w:val="480"/>
        </w:trPr>
        <w:tc>
          <w:tcPr>
            <w:tcW w:w="2280" w:type="dxa"/>
            <w:tcBorders>
              <w:top w:val="nil"/>
              <w:left w:val="single" w:sz="4" w:space="0" w:color="auto"/>
              <w:bottom w:val="nil"/>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Sentinel indicators</w:t>
            </w:r>
          </w:p>
        </w:tc>
        <w:tc>
          <w:tcPr>
            <w:tcW w:w="2677" w:type="dxa"/>
            <w:tcBorders>
              <w:top w:val="nil"/>
              <w:left w:val="nil"/>
              <w:bottom w:val="nil"/>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Number of women in Parliament (National + Provincial levels)</w:t>
            </w:r>
          </w:p>
        </w:tc>
        <w:tc>
          <w:tcPr>
            <w:tcW w:w="1559" w:type="dxa"/>
            <w:tcBorders>
              <w:top w:val="nil"/>
              <w:left w:val="nil"/>
              <w:bottom w:val="nil"/>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417" w:type="dxa"/>
            <w:tcBorders>
              <w:top w:val="nil"/>
              <w:left w:val="nil"/>
              <w:bottom w:val="nil"/>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5 (1,4)</w:t>
            </w:r>
          </w:p>
        </w:tc>
        <w:tc>
          <w:tcPr>
            <w:tcW w:w="1418" w:type="dxa"/>
            <w:tcBorders>
              <w:top w:val="nil"/>
              <w:left w:val="nil"/>
              <w:bottom w:val="nil"/>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 </w:t>
            </w:r>
          </w:p>
        </w:tc>
        <w:tc>
          <w:tcPr>
            <w:tcW w:w="1417" w:type="dxa"/>
            <w:tcBorders>
              <w:top w:val="nil"/>
              <w:left w:val="nil"/>
              <w:bottom w:val="nil"/>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 (2,4)</w:t>
            </w:r>
          </w:p>
        </w:tc>
        <w:tc>
          <w:tcPr>
            <w:tcW w:w="1418" w:type="dxa"/>
            <w:tcBorders>
              <w:top w:val="nil"/>
              <w:left w:val="nil"/>
              <w:bottom w:val="nil"/>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 </w:t>
            </w:r>
          </w:p>
        </w:tc>
        <w:tc>
          <w:tcPr>
            <w:tcW w:w="1559" w:type="dxa"/>
            <w:tcBorders>
              <w:top w:val="nil"/>
              <w:left w:val="nil"/>
              <w:bottom w:val="nil"/>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661" w:type="dxa"/>
            <w:tcBorders>
              <w:top w:val="nil"/>
              <w:left w:val="nil"/>
              <w:bottom w:val="nil"/>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b/>
                <w:bCs/>
                <w:color w:val="auto"/>
                <w:sz w:val="18"/>
                <w:szCs w:val="18"/>
                <w:lang w:val="en-AU" w:eastAsia="en-AU"/>
              </w:rPr>
              <w:t> </w:t>
            </w:r>
          </w:p>
        </w:tc>
      </w:tr>
      <w:tr w:rsidR="00D012B2" w:rsidRPr="00CF1044" w:rsidTr="005B50CB">
        <w:trPr>
          <w:trHeight w:val="1965"/>
        </w:trPr>
        <w:tc>
          <w:tcPr>
            <w:tcW w:w="2280" w:type="dxa"/>
            <w:vMerge w:val="restart"/>
            <w:tcBorders>
              <w:top w:val="single" w:sz="4" w:space="0" w:color="auto"/>
              <w:left w:val="single" w:sz="4" w:space="0" w:color="auto"/>
              <w:bottom w:val="single" w:sz="4" w:space="0" w:color="auto"/>
              <w:right w:val="single" w:sz="4" w:space="0" w:color="auto"/>
            </w:tcBorders>
            <w:shd w:val="clear" w:color="auto" w:fill="F8F8F8"/>
            <w:hideMark/>
          </w:tcPr>
          <w:p w:rsidR="00D012B2" w:rsidRPr="00D012B2"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D012B2">
              <w:rPr>
                <w:rFonts w:ascii="Calibri" w:eastAsia="Times New Roman" w:hAnsi="Calibri" w:cs="Times New Roman"/>
                <w:b/>
                <w:bCs/>
                <w:color w:val="auto"/>
                <w:sz w:val="18"/>
                <w:szCs w:val="18"/>
                <w:lang w:val="en-AU" w:eastAsia="en-AU"/>
              </w:rPr>
              <w:t xml:space="preserve">Outcome 1: </w:t>
            </w:r>
            <w:r w:rsidRPr="00D012B2">
              <w:rPr>
                <w:rFonts w:ascii="Calibri" w:eastAsia="Times New Roman" w:hAnsi="Calibri" w:cs="Times New Roman"/>
                <w:color w:val="auto"/>
                <w:sz w:val="18"/>
                <w:szCs w:val="18"/>
                <w:lang w:val="en-AU" w:eastAsia="en-AU"/>
              </w:rPr>
              <w:t xml:space="preserve"> Increased women's leadership and electoral participation</w:t>
            </w:r>
          </w:p>
        </w:tc>
        <w:tc>
          <w:tcPr>
            <w:tcW w:w="2677" w:type="dxa"/>
            <w:tcBorders>
              <w:top w:val="single" w:sz="4" w:space="0" w:color="auto"/>
              <w:left w:val="nil"/>
              <w:bottom w:val="single" w:sz="4" w:space="0" w:color="auto"/>
              <w:right w:val="single" w:sz="4" w:space="0" w:color="auto"/>
            </w:tcBorders>
            <w:shd w:val="clear" w:color="auto" w:fill="F8F8F8"/>
            <w:hideMark/>
          </w:tcPr>
          <w:p w:rsidR="00D012B2" w:rsidRPr="00D012B2"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D012B2">
              <w:rPr>
                <w:rFonts w:ascii="Calibri" w:eastAsia="Times New Roman" w:hAnsi="Calibri" w:cs="Times New Roman"/>
                <w:color w:val="auto"/>
                <w:sz w:val="18"/>
                <w:szCs w:val="18"/>
                <w:lang w:val="en-AU" w:eastAsia="en-AU"/>
              </w:rPr>
              <w:t xml:space="preserve">1.1 Supporting female candidates in provincial and national parliament </w:t>
            </w:r>
          </w:p>
        </w:tc>
        <w:tc>
          <w:tcPr>
            <w:tcW w:w="1559"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21 and 26 female candidates contested the 2010 and 2014 National General Elections respectively</w:t>
            </w:r>
          </w:p>
        </w:tc>
        <w:tc>
          <w:tcPr>
            <w:tcW w:w="141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UNDP Pacific Parliamentary Effectiveness Initiative trained 29 participants</w:t>
            </w:r>
          </w:p>
        </w:tc>
        <w:tc>
          <w:tcPr>
            <w:tcW w:w="1418" w:type="dxa"/>
            <w:tcBorders>
              <w:top w:val="single" w:sz="4" w:space="0" w:color="auto"/>
              <w:left w:val="nil"/>
              <w:bottom w:val="single" w:sz="4" w:space="0" w:color="auto"/>
              <w:right w:val="single" w:sz="4" w:space="0" w:color="auto"/>
            </w:tcBorders>
            <w:shd w:val="clear" w:color="auto" w:fill="auto"/>
            <w:hideMark/>
          </w:tcPr>
          <w:p w:rsidR="00D012B2" w:rsidRPr="00CF1044" w:rsidRDefault="00601D80" w:rsidP="00601D80">
            <w:pPr>
              <w:suppressAutoHyphens w:val="0"/>
              <w:spacing w:before="0" w:after="0" w:line="240" w:lineRule="auto"/>
              <w:jc w:val="center"/>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w:t>
            </w:r>
          </w:p>
        </w:tc>
        <w:tc>
          <w:tcPr>
            <w:tcW w:w="1417" w:type="dxa"/>
            <w:tcBorders>
              <w:top w:val="single" w:sz="4" w:space="0" w:color="auto"/>
              <w:left w:val="nil"/>
              <w:bottom w:val="single" w:sz="4" w:space="0" w:color="auto"/>
              <w:right w:val="single" w:sz="4" w:space="0" w:color="auto"/>
            </w:tcBorders>
            <w:shd w:val="clear" w:color="auto" w:fill="D8DCDB" w:themeFill="background2"/>
            <w:hideMark/>
          </w:tcPr>
          <w:p w:rsidR="00D012B2" w:rsidRPr="00CF1044" w:rsidRDefault="00601D80"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Training provided for 60 aspiring political candidates </w:t>
            </w:r>
            <w:r w:rsidR="00D012B2" w:rsidRPr="00CF1044">
              <w:rPr>
                <w:rFonts w:ascii="Calibri" w:eastAsia="Times New Roman" w:hAnsi="Calibri" w:cs="Times New Roman"/>
                <w:color w:val="auto"/>
                <w:sz w:val="18"/>
                <w:szCs w:val="18"/>
                <w:lang w:val="en-AU" w:eastAsia="en-AU"/>
              </w:rPr>
              <w:t xml:space="preserve">- </w:t>
            </w:r>
          </w:p>
        </w:tc>
        <w:tc>
          <w:tcPr>
            <w:tcW w:w="1418"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National - 4                          Provincial - 20%</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Political</w:t>
            </w:r>
          </w:p>
        </w:tc>
        <w:tc>
          <w:tcPr>
            <w:tcW w:w="1661"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SECSIP </w:t>
            </w:r>
          </w:p>
        </w:tc>
      </w:tr>
      <w:tr w:rsidR="00D012B2" w:rsidRPr="00CF1044" w:rsidTr="005B50CB">
        <w:trPr>
          <w:trHeight w:val="825"/>
        </w:trPr>
        <w:tc>
          <w:tcPr>
            <w:tcW w:w="2280"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D012B2" w:rsidRPr="00D012B2"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D012B2"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D012B2">
              <w:rPr>
                <w:rFonts w:ascii="Calibri" w:eastAsia="Times New Roman" w:hAnsi="Calibri" w:cs="Times New Roman"/>
                <w:color w:val="auto"/>
                <w:sz w:val="18"/>
                <w:szCs w:val="18"/>
                <w:lang w:val="en-AU" w:eastAsia="en-AU"/>
              </w:rPr>
              <w:t>1.2  Increased number of women in public service decision making roles (PS Levels S1 - S5)</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27</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26</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Increase YOY</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28</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Increase YOY</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Governance</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Data from HRMIS</w:t>
            </w:r>
          </w:p>
        </w:tc>
      </w:tr>
      <w:tr w:rsidR="00D012B2" w:rsidRPr="00CF1044" w:rsidTr="006C67A5">
        <w:trPr>
          <w:trHeight w:val="450"/>
        </w:trPr>
        <w:tc>
          <w:tcPr>
            <w:tcW w:w="15406" w:type="dxa"/>
            <w:gridSpan w:val="9"/>
            <w:tcBorders>
              <w:top w:val="single" w:sz="4" w:space="0" w:color="auto"/>
              <w:left w:val="single" w:sz="4" w:space="0" w:color="auto"/>
              <w:bottom w:val="single" w:sz="4" w:space="0" w:color="auto"/>
              <w:right w:val="nil"/>
            </w:tcBorders>
            <w:shd w:val="clear" w:color="auto" w:fill="DDECD0" w:themeFill="accent3" w:themeFillTint="66"/>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Sub-objective: Solomon Islands has a free and fair election</w:t>
            </w:r>
          </w:p>
        </w:tc>
      </w:tr>
      <w:tr w:rsidR="00D012B2" w:rsidRPr="00CF1044" w:rsidTr="006C67A5">
        <w:trPr>
          <w:trHeight w:val="675"/>
        </w:trPr>
        <w:tc>
          <w:tcPr>
            <w:tcW w:w="2280" w:type="dxa"/>
            <w:vMerge w:val="restart"/>
            <w:tcBorders>
              <w:top w:val="nil"/>
              <w:left w:val="single" w:sz="4" w:space="0" w:color="auto"/>
              <w:bottom w:val="single" w:sz="4" w:space="0" w:color="000000"/>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Sentinel indicators</w:t>
            </w: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Freedom and legality of March 2019 national elections</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8"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8"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Free and fair election in 2019</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FF0000"/>
                <w:sz w:val="18"/>
                <w:szCs w:val="18"/>
                <w:lang w:val="en-AU" w:eastAsia="en-AU"/>
              </w:rPr>
            </w:pPr>
            <w:r w:rsidRPr="00CF1044">
              <w:rPr>
                <w:rFonts w:ascii="Calibri" w:eastAsia="Times New Roman" w:hAnsi="Calibri" w:cs="Times New Roman"/>
                <w:color w:val="FF0000"/>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w:t>
            </w:r>
          </w:p>
        </w:tc>
      </w:tr>
      <w:tr w:rsidR="00D012B2" w:rsidRPr="00CF1044" w:rsidTr="006C67A5">
        <w:trPr>
          <w:trHeight w:val="1440"/>
        </w:trPr>
        <w:tc>
          <w:tcPr>
            <w:tcW w:w="2280" w:type="dxa"/>
            <w:vMerge/>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Electoral reforms in place</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w:t>
            </w:r>
          </w:p>
        </w:tc>
        <w:tc>
          <w:tcPr>
            <w:tcW w:w="1418"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Electoral Reform Bill &amp; Electoral Bi</w:t>
            </w:r>
            <w:r>
              <w:rPr>
                <w:rFonts w:ascii="Calibri" w:eastAsia="Times New Roman" w:hAnsi="Calibri" w:cs="Times New Roman"/>
                <w:color w:val="000000"/>
                <w:sz w:val="18"/>
                <w:szCs w:val="18"/>
                <w:lang w:val="en-AU" w:eastAsia="en-AU"/>
              </w:rPr>
              <w:t>l</w:t>
            </w:r>
            <w:r w:rsidRPr="00CF1044">
              <w:rPr>
                <w:rFonts w:ascii="Calibri" w:eastAsia="Times New Roman" w:hAnsi="Calibri" w:cs="Times New Roman"/>
                <w:color w:val="000000"/>
                <w:sz w:val="18"/>
                <w:szCs w:val="18"/>
                <w:lang w:val="en-AU" w:eastAsia="en-AU"/>
              </w:rPr>
              <w:t>l passed</w:t>
            </w:r>
          </w:p>
        </w:tc>
        <w:tc>
          <w:tcPr>
            <w:tcW w:w="1417"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Electoral reform bill passed (August '18).  Electoral bill  under debate.</w:t>
            </w:r>
          </w:p>
        </w:tc>
        <w:tc>
          <w:tcPr>
            <w:tcW w:w="1418"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559"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Democratic Governance </w:t>
            </w:r>
          </w:p>
        </w:tc>
        <w:tc>
          <w:tcPr>
            <w:tcW w:w="1661" w:type="dxa"/>
            <w:tcBorders>
              <w:top w:val="nil"/>
              <w:left w:val="nil"/>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w:t>
            </w:r>
          </w:p>
        </w:tc>
      </w:tr>
      <w:tr w:rsidR="00D012B2" w:rsidRPr="00CF1044" w:rsidTr="005B50CB">
        <w:trPr>
          <w:trHeight w:val="1065"/>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lastRenderedPageBreak/>
              <w:t xml:space="preserve">Outcome 1: </w:t>
            </w:r>
            <w:r w:rsidRPr="00CF1044">
              <w:rPr>
                <w:rFonts w:ascii="Calibri" w:eastAsia="Times New Roman" w:hAnsi="Calibri" w:cs="Times New Roman"/>
                <w:color w:val="000000"/>
                <w:sz w:val="18"/>
                <w:szCs w:val="18"/>
                <w:lang w:val="en-AU" w:eastAsia="en-AU"/>
              </w:rPr>
              <w:t xml:space="preserve"> Solomon Islands has an electoral process that is technically sound</w:t>
            </w:r>
          </w:p>
        </w:tc>
        <w:tc>
          <w:tcPr>
            <w:tcW w:w="267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24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 Voter registration system is accurate / sustainable and inclusive voter registration system adopted</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Inclusive</w:t>
            </w:r>
          </w:p>
        </w:tc>
        <w:tc>
          <w:tcPr>
            <w:tcW w:w="141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Inclusive</w:t>
            </w:r>
          </w:p>
        </w:tc>
        <w:tc>
          <w:tcPr>
            <w:tcW w:w="1418"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Inclusive and sustainable</w:t>
            </w:r>
          </w:p>
        </w:tc>
        <w:tc>
          <w:tcPr>
            <w:tcW w:w="1417" w:type="dxa"/>
            <w:tcBorders>
              <w:top w:val="single" w:sz="4" w:space="0" w:color="auto"/>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Inclusive </w:t>
            </w:r>
          </w:p>
        </w:tc>
        <w:tc>
          <w:tcPr>
            <w:tcW w:w="1418"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Inclusive and sustainable</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Democratic Governance </w:t>
            </w:r>
          </w:p>
        </w:tc>
        <w:tc>
          <w:tcPr>
            <w:tcW w:w="1661"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DFAT</w:t>
            </w:r>
          </w:p>
        </w:tc>
      </w:tr>
      <w:tr w:rsidR="00D012B2" w:rsidRPr="00CF1044" w:rsidTr="00D012B2">
        <w:trPr>
          <w:trHeight w:val="465"/>
        </w:trPr>
        <w:tc>
          <w:tcPr>
            <w:tcW w:w="2280"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2677"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559"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7"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8"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7"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8"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559"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661"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r>
      <w:tr w:rsidR="00D012B2" w:rsidRPr="00CF1044" w:rsidTr="006C67A5">
        <w:trPr>
          <w:trHeight w:val="885"/>
        </w:trPr>
        <w:tc>
          <w:tcPr>
            <w:tcW w:w="15406" w:type="dxa"/>
            <w:gridSpan w:val="9"/>
            <w:tcBorders>
              <w:top w:val="single" w:sz="4" w:space="0" w:color="auto"/>
              <w:left w:val="single" w:sz="4" w:space="0" w:color="auto"/>
              <w:bottom w:val="single" w:sz="4" w:space="0" w:color="auto"/>
              <w:right w:val="single" w:sz="4" w:space="0" w:color="auto"/>
            </w:tcBorders>
            <w:shd w:val="clear" w:color="auto" w:fill="7FB64D" w:themeFill="accent3" w:themeFillShade="BF"/>
            <w:noWrap/>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i/>
                <w:iCs/>
                <w:color w:val="FFFFFF"/>
                <w:sz w:val="18"/>
                <w:szCs w:val="18"/>
                <w:lang w:val="en-AU" w:eastAsia="en-AU"/>
              </w:rPr>
            </w:pPr>
            <w:r w:rsidRPr="00CF1044">
              <w:rPr>
                <w:rFonts w:ascii="Calibri" w:eastAsia="Times New Roman" w:hAnsi="Calibri" w:cs="Times New Roman"/>
                <w:b/>
                <w:bCs/>
                <w:i/>
                <w:iCs/>
                <w:color w:val="FFFFFF"/>
                <w:sz w:val="18"/>
                <w:szCs w:val="18"/>
                <w:lang w:val="en-AU" w:eastAsia="en-AU"/>
              </w:rPr>
              <w:t>AIP Objective 2: Enabling economic growth - SI economic operating environment is more attractive to business &amp; men and women are able to earn a cash income</w:t>
            </w:r>
          </w:p>
        </w:tc>
      </w:tr>
      <w:tr w:rsidR="006C67A5" w:rsidRPr="00CF1044" w:rsidTr="00874B3F">
        <w:trPr>
          <w:trHeight w:val="1035"/>
        </w:trPr>
        <w:tc>
          <w:tcPr>
            <w:tcW w:w="2280" w:type="dxa"/>
            <w:tcBorders>
              <w:top w:val="nil"/>
              <w:left w:val="single" w:sz="4" w:space="0" w:color="1F4E78"/>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Pr>
                <w:rFonts w:ascii="Calibri" w:eastAsia="Times New Roman" w:hAnsi="Calibri" w:cs="Times New Roman"/>
                <w:b/>
                <w:bCs/>
                <w:color w:val="000000"/>
                <w:sz w:val="18"/>
                <w:szCs w:val="18"/>
                <w:lang w:val="en-AU" w:eastAsia="en-AU"/>
              </w:rPr>
              <w:t>Indicator</w:t>
            </w:r>
            <w:r w:rsidRPr="00CF1044">
              <w:rPr>
                <w:rFonts w:ascii="Calibri" w:eastAsia="Times New Roman" w:hAnsi="Calibri" w:cs="Times New Roman"/>
                <w:b/>
                <w:bCs/>
                <w:color w:val="000000"/>
                <w:sz w:val="18"/>
                <w:szCs w:val="18"/>
                <w:lang w:val="en-AU" w:eastAsia="en-AU"/>
              </w:rPr>
              <w:t xml:space="preserve"> </w:t>
            </w:r>
          </w:p>
        </w:tc>
        <w:tc>
          <w:tcPr>
            <w:tcW w:w="1559"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Baseline (2015/16)</w:t>
            </w:r>
          </w:p>
        </w:tc>
        <w:tc>
          <w:tcPr>
            <w:tcW w:w="1417"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2016/17 </w:t>
            </w:r>
          </w:p>
        </w:tc>
        <w:tc>
          <w:tcPr>
            <w:tcW w:w="1418" w:type="dxa"/>
            <w:tcBorders>
              <w:top w:val="nil"/>
              <w:left w:val="nil"/>
              <w:bottom w:val="single" w:sz="4" w:space="0" w:color="auto"/>
              <w:right w:val="nil"/>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2017/18 target</w:t>
            </w:r>
          </w:p>
        </w:tc>
        <w:tc>
          <w:tcPr>
            <w:tcW w:w="1417" w:type="dxa"/>
            <w:tcBorders>
              <w:top w:val="nil"/>
              <w:left w:val="single" w:sz="4" w:space="0" w:color="1F4E78"/>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2017/18 result</w:t>
            </w:r>
          </w:p>
        </w:tc>
        <w:tc>
          <w:tcPr>
            <w:tcW w:w="1418"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2018/19 target</w:t>
            </w:r>
          </w:p>
        </w:tc>
        <w:tc>
          <w:tcPr>
            <w:tcW w:w="1559"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DFAT investments contributing to outcome </w:t>
            </w:r>
          </w:p>
        </w:tc>
        <w:tc>
          <w:tcPr>
            <w:tcW w:w="1661"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Data collection method</w:t>
            </w:r>
          </w:p>
        </w:tc>
      </w:tr>
      <w:tr w:rsidR="00D012B2" w:rsidRPr="00CF1044" w:rsidTr="006C67A5">
        <w:trPr>
          <w:trHeight w:val="240"/>
        </w:trPr>
        <w:tc>
          <w:tcPr>
            <w:tcW w:w="15406" w:type="dxa"/>
            <w:gridSpan w:val="9"/>
            <w:tcBorders>
              <w:top w:val="single" w:sz="4" w:space="0" w:color="auto"/>
              <w:left w:val="single" w:sz="4" w:space="0" w:color="auto"/>
              <w:bottom w:val="single" w:sz="4" w:space="0" w:color="auto"/>
              <w:right w:val="single" w:sz="4" w:space="0" w:color="auto"/>
            </w:tcBorders>
            <w:shd w:val="clear" w:color="auto" w:fill="DDECD0" w:themeFill="accent3" w:themeFillTint="66"/>
            <w:noWrap/>
            <w:vAlign w:val="bottom"/>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Sub-objective: Solomon Islands' operating environment is more attractive to business</w:t>
            </w:r>
          </w:p>
        </w:tc>
      </w:tr>
      <w:tr w:rsidR="00D012B2" w:rsidRPr="00CF1044" w:rsidTr="006C67A5">
        <w:trPr>
          <w:trHeight w:val="675"/>
        </w:trPr>
        <w:tc>
          <w:tcPr>
            <w:tcW w:w="2280" w:type="dxa"/>
            <w:vMerge w:val="restart"/>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Sentinel indicators</w:t>
            </w: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Ease of doing business in Solomon Islands</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105 of 190 economies </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104 of 190 economies</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116 of 190 economies </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World Bank</w:t>
            </w:r>
          </w:p>
        </w:tc>
      </w:tr>
      <w:tr w:rsidR="00D012B2" w:rsidRPr="00CF1044" w:rsidTr="006C67A5">
        <w:trPr>
          <w:trHeight w:val="720"/>
        </w:trPr>
        <w:tc>
          <w:tcPr>
            <w:tcW w:w="2280" w:type="dxa"/>
            <w:vMerge/>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Businesses who feel that business experience with government has improved over past year</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23%</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SICCI survey</w:t>
            </w:r>
          </w:p>
        </w:tc>
      </w:tr>
      <w:tr w:rsidR="00D012B2" w:rsidRPr="00CF1044" w:rsidTr="005B50CB">
        <w:trPr>
          <w:trHeight w:val="720"/>
        </w:trPr>
        <w:tc>
          <w:tcPr>
            <w:tcW w:w="2280" w:type="dxa"/>
            <w:vMerge w:val="restart"/>
            <w:tcBorders>
              <w:top w:val="nil"/>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Outcome 1:</w:t>
            </w:r>
            <w:r w:rsidRPr="00CF1044">
              <w:rPr>
                <w:rFonts w:ascii="Calibri" w:eastAsia="Times New Roman" w:hAnsi="Calibri" w:cs="Times New Roman"/>
                <w:color w:val="000000"/>
                <w:sz w:val="18"/>
                <w:szCs w:val="18"/>
                <w:lang w:val="en-AU" w:eastAsia="en-AU"/>
              </w:rPr>
              <w:t xml:space="preserve"> Improved road infrastructure in target locations (NTF + East Guadalcanal Road and bridges)</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1.1 Roads rehabilitated or maintained through NTF contracts* </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887km </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992km</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750km</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692km</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800km</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Transport Sector-Based Approach Phase 2</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MID reporting</w:t>
            </w:r>
          </w:p>
        </w:tc>
      </w:tr>
      <w:tr w:rsidR="00D012B2" w:rsidRPr="00CF1044" w:rsidTr="005B50CB">
        <w:trPr>
          <w:trHeight w:val="795"/>
        </w:trPr>
        <w:tc>
          <w:tcPr>
            <w:tcW w:w="2280" w:type="dxa"/>
            <w:vMerge/>
            <w:tcBorders>
              <w:top w:val="nil"/>
              <w:left w:val="single" w:sz="4" w:space="0" w:color="auto"/>
              <w:bottom w:val="single" w:sz="4" w:space="0" w:color="auto"/>
              <w:right w:val="single" w:sz="4" w:space="0" w:color="auto"/>
            </w:tcBorders>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 Value of contracts let through the NTF</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SBD 39 million</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SBD 13 million</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SBD 21 million</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Transport Sector-Based Approach Phase 2</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MID reporting</w:t>
            </w:r>
          </w:p>
        </w:tc>
      </w:tr>
    </w:tbl>
    <w:p w:rsidR="00D012B2" w:rsidRDefault="00D012B2" w:rsidP="00D012B2">
      <w:r>
        <w:br w:type="page"/>
      </w:r>
    </w:p>
    <w:tbl>
      <w:tblPr>
        <w:tblW w:w="15406" w:type="dxa"/>
        <w:tblLook w:val="04A0" w:firstRow="1" w:lastRow="0" w:firstColumn="1" w:lastColumn="0" w:noHBand="0" w:noVBand="1"/>
      </w:tblPr>
      <w:tblGrid>
        <w:gridCol w:w="2280"/>
        <w:gridCol w:w="2677"/>
        <w:gridCol w:w="1559"/>
        <w:gridCol w:w="1417"/>
        <w:gridCol w:w="1418"/>
        <w:gridCol w:w="1417"/>
        <w:gridCol w:w="1418"/>
        <w:gridCol w:w="1559"/>
        <w:gridCol w:w="1661"/>
      </w:tblGrid>
      <w:tr w:rsidR="00D012B2" w:rsidRPr="00CF1044" w:rsidTr="005B50CB">
        <w:trPr>
          <w:trHeight w:val="1515"/>
        </w:trPr>
        <w:tc>
          <w:tcPr>
            <w:tcW w:w="2280" w:type="dxa"/>
            <w:vMerge w:val="restart"/>
            <w:tcBorders>
              <w:top w:val="single" w:sz="4" w:space="0" w:color="auto"/>
              <w:left w:val="single" w:sz="4" w:space="0" w:color="auto"/>
              <w:bottom w:val="single" w:sz="4" w:space="0" w:color="auto"/>
              <w:right w:val="single" w:sz="4" w:space="0" w:color="auto"/>
            </w:tcBorders>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1.3 Progress against work</w:t>
            </w:r>
            <w:r>
              <w:rPr>
                <w:rFonts w:ascii="Calibri" w:eastAsia="Times New Roman" w:hAnsi="Calibri" w:cs="Times New Roman"/>
                <w:color w:val="000000"/>
                <w:sz w:val="18"/>
                <w:szCs w:val="18"/>
                <w:lang w:val="en-AU" w:eastAsia="en-AU"/>
              </w:rPr>
              <w:t xml:space="preserve"> </w:t>
            </w:r>
            <w:r w:rsidRPr="00CF1044">
              <w:rPr>
                <w:rFonts w:ascii="Calibri" w:eastAsia="Times New Roman" w:hAnsi="Calibri" w:cs="Times New Roman"/>
                <w:color w:val="000000"/>
                <w:sz w:val="18"/>
                <w:szCs w:val="18"/>
                <w:lang w:val="en-AU" w:eastAsia="en-AU"/>
              </w:rPr>
              <w:t>plan for the construction of two Guadalcanal bridges</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41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*B1: Scoping study completed; construction contract signed. </w:t>
            </w:r>
          </w:p>
        </w:tc>
        <w:tc>
          <w:tcPr>
            <w:tcW w:w="1418"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B1: Bridge construction completed June 2018.</w:t>
            </w:r>
            <w:r w:rsidRPr="00CF1044">
              <w:rPr>
                <w:rFonts w:ascii="Calibri" w:eastAsia="Times New Roman" w:hAnsi="Calibri" w:cs="Times New Roman"/>
                <w:color w:val="000000"/>
                <w:sz w:val="18"/>
                <w:szCs w:val="18"/>
                <w:lang w:val="en-AU" w:eastAsia="en-AU"/>
              </w:rPr>
              <w:br/>
              <w:t xml:space="preserve">*B2: Design complete. </w:t>
            </w:r>
          </w:p>
        </w:tc>
        <w:tc>
          <w:tcPr>
            <w:tcW w:w="1417" w:type="dxa"/>
            <w:tcBorders>
              <w:top w:val="single" w:sz="4" w:space="0" w:color="auto"/>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*B1: Design &amp; procurement complete.  Construction started.</w:t>
            </w:r>
            <w:r w:rsidRPr="00CF1044">
              <w:rPr>
                <w:rFonts w:ascii="Calibri" w:eastAsia="Times New Roman" w:hAnsi="Calibri" w:cs="Times New Roman"/>
                <w:color w:val="000000"/>
                <w:sz w:val="18"/>
                <w:szCs w:val="18"/>
                <w:lang w:val="en-AU" w:eastAsia="en-AU"/>
              </w:rPr>
              <w:br/>
              <w:t xml:space="preserve">*B2: Design complete.   </w:t>
            </w:r>
          </w:p>
        </w:tc>
        <w:tc>
          <w:tcPr>
            <w:tcW w:w="1418"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 B1 Bridge construction complete Oct 2018. </w:t>
            </w:r>
            <w:r w:rsidRPr="00CF1044">
              <w:rPr>
                <w:rFonts w:ascii="Calibri" w:eastAsia="Times New Roman" w:hAnsi="Calibri" w:cs="Times New Roman"/>
                <w:color w:val="000000"/>
                <w:sz w:val="18"/>
                <w:szCs w:val="18"/>
                <w:lang w:val="en-AU" w:eastAsia="en-AU"/>
              </w:rPr>
              <w:br/>
              <w:t xml:space="preserve">*B2: Bridge construction started early 2019 (revised). </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Growth Program</w:t>
            </w:r>
          </w:p>
        </w:tc>
        <w:tc>
          <w:tcPr>
            <w:tcW w:w="1661"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MID reporting</w:t>
            </w:r>
          </w:p>
        </w:tc>
      </w:tr>
      <w:tr w:rsidR="00D012B2" w:rsidRPr="00CF1044" w:rsidTr="005B50CB">
        <w:trPr>
          <w:trHeight w:val="1515"/>
        </w:trPr>
        <w:tc>
          <w:tcPr>
            <w:tcW w:w="2280" w:type="dxa"/>
            <w:vMerge/>
            <w:tcBorders>
              <w:top w:val="single" w:sz="4" w:space="0" w:color="auto"/>
              <w:left w:val="single" w:sz="4" w:space="0" w:color="auto"/>
              <w:bottom w:val="single" w:sz="4" w:space="0" w:color="auto"/>
              <w:right w:val="single" w:sz="4" w:space="0" w:color="auto"/>
            </w:tcBorders>
            <w:vAlign w:val="center"/>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single" w:sz="4" w:space="0" w:color="auto"/>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1.4 Percentage of people employed by contractors for labour-based road works that are women</w:t>
            </w:r>
          </w:p>
        </w:tc>
        <w:tc>
          <w:tcPr>
            <w:tcW w:w="1559" w:type="dxa"/>
            <w:tcBorders>
              <w:top w:val="single" w:sz="4" w:space="0" w:color="auto"/>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60%</w:t>
            </w:r>
          </w:p>
        </w:tc>
        <w:tc>
          <w:tcPr>
            <w:tcW w:w="1417" w:type="dxa"/>
            <w:tcBorders>
              <w:top w:val="single" w:sz="4" w:space="0" w:color="auto"/>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46%</w:t>
            </w:r>
          </w:p>
        </w:tc>
        <w:tc>
          <w:tcPr>
            <w:tcW w:w="1418" w:type="dxa"/>
            <w:tcBorders>
              <w:top w:val="single" w:sz="4" w:space="0" w:color="auto"/>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40%</w:t>
            </w:r>
          </w:p>
        </w:tc>
        <w:tc>
          <w:tcPr>
            <w:tcW w:w="1417" w:type="dxa"/>
            <w:tcBorders>
              <w:top w:val="single" w:sz="4" w:space="0" w:color="auto"/>
              <w:left w:val="nil"/>
              <w:bottom w:val="single" w:sz="4" w:space="0" w:color="auto"/>
              <w:right w:val="single" w:sz="4" w:space="0" w:color="auto"/>
            </w:tcBorders>
            <w:shd w:val="clear" w:color="auto" w:fill="D8DCDB" w:themeFill="background2"/>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40%</w:t>
            </w:r>
          </w:p>
        </w:tc>
        <w:tc>
          <w:tcPr>
            <w:tcW w:w="1418" w:type="dxa"/>
            <w:tcBorders>
              <w:top w:val="single" w:sz="4" w:space="0" w:color="auto"/>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auto"/>
                <w:sz w:val="18"/>
                <w:szCs w:val="18"/>
                <w:lang w:val="en-AU" w:eastAsia="en-AU"/>
              </w:rPr>
              <w:t>40%</w:t>
            </w:r>
          </w:p>
        </w:tc>
        <w:tc>
          <w:tcPr>
            <w:tcW w:w="1559" w:type="dxa"/>
            <w:tcBorders>
              <w:top w:val="single" w:sz="4" w:space="0" w:color="auto"/>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Transport Sector-Based Approach Phase 2</w:t>
            </w:r>
          </w:p>
        </w:tc>
        <w:tc>
          <w:tcPr>
            <w:tcW w:w="1661" w:type="dxa"/>
            <w:tcBorders>
              <w:top w:val="single" w:sz="4" w:space="0" w:color="auto"/>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MID reporting</w:t>
            </w:r>
          </w:p>
        </w:tc>
      </w:tr>
      <w:tr w:rsidR="00D012B2" w:rsidRPr="00CF1044" w:rsidTr="005B50CB">
        <w:trPr>
          <w:trHeight w:val="1590"/>
        </w:trPr>
        <w:tc>
          <w:tcPr>
            <w:tcW w:w="2280" w:type="dxa"/>
            <w:tcBorders>
              <w:top w:val="nil"/>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Outcome 2:</w:t>
            </w:r>
            <w:r w:rsidRPr="00CF1044">
              <w:rPr>
                <w:rFonts w:ascii="Calibri" w:eastAsia="Times New Roman" w:hAnsi="Calibri" w:cs="Times New Roman"/>
                <w:color w:val="000000"/>
                <w:sz w:val="18"/>
                <w:szCs w:val="18"/>
                <w:lang w:val="en-AU" w:eastAsia="en-AU"/>
              </w:rPr>
              <w:t xml:space="preserve"> Reduced energy costs for commerce through improved energy supply (Tina River) </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2.1 Progress against work</w:t>
            </w:r>
            <w:r>
              <w:rPr>
                <w:rFonts w:ascii="Calibri" w:eastAsia="Times New Roman" w:hAnsi="Calibri" w:cs="Times New Roman"/>
                <w:color w:val="000000"/>
                <w:sz w:val="18"/>
                <w:szCs w:val="18"/>
                <w:lang w:val="en-AU" w:eastAsia="en-AU"/>
              </w:rPr>
              <w:t xml:space="preserve"> </w:t>
            </w:r>
            <w:r w:rsidRPr="00CF1044">
              <w:rPr>
                <w:rFonts w:ascii="Calibri" w:eastAsia="Times New Roman" w:hAnsi="Calibri" w:cs="Times New Roman"/>
                <w:color w:val="000000"/>
                <w:sz w:val="18"/>
                <w:szCs w:val="18"/>
                <w:lang w:val="en-AU" w:eastAsia="en-AU"/>
              </w:rPr>
              <w:t>plan for the construction of the Tina River hydropower station</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 Financing secured; Commercial negotiations completed. </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 Financing secured from 5/6 partners.  Good progress on commercial negotiations.   </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 Commercial agreements signed; Access rd construction started (revised) </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Growth Program</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World Bank</w:t>
            </w:r>
          </w:p>
        </w:tc>
      </w:tr>
      <w:tr w:rsidR="00D012B2" w:rsidRPr="00CF1044" w:rsidTr="005B50CB">
        <w:trPr>
          <w:trHeight w:val="1290"/>
        </w:trPr>
        <w:tc>
          <w:tcPr>
            <w:tcW w:w="2280" w:type="dxa"/>
            <w:tcBorders>
              <w:top w:val="nil"/>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Outcome 3:</w:t>
            </w:r>
            <w:r w:rsidRPr="00CF1044">
              <w:rPr>
                <w:rFonts w:ascii="Calibri" w:eastAsia="Times New Roman" w:hAnsi="Calibri" w:cs="Times New Roman"/>
                <w:color w:val="000000"/>
                <w:sz w:val="18"/>
                <w:szCs w:val="18"/>
                <w:lang w:val="en-AU" w:eastAsia="en-AU"/>
              </w:rPr>
              <w:t xml:space="preserve"> </w:t>
            </w:r>
            <w:r w:rsidRPr="00D012B2">
              <w:rPr>
                <w:rFonts w:ascii="Calibri" w:eastAsia="Times New Roman" w:hAnsi="Calibri" w:cs="Times New Roman"/>
                <w:color w:val="000000"/>
                <w:sz w:val="18"/>
                <w:szCs w:val="18"/>
                <w:lang w:val="en-AU" w:eastAsia="en-AU"/>
              </w:rPr>
              <w:t>Improved internet connectivity by 2020  through installation of a submarine telecommunications  cable system</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E81005">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3.1 Progress against work</w:t>
            </w:r>
            <w:r>
              <w:rPr>
                <w:rFonts w:ascii="Calibri" w:eastAsia="Times New Roman" w:hAnsi="Calibri" w:cs="Times New Roman"/>
                <w:color w:val="000000"/>
                <w:sz w:val="18"/>
                <w:szCs w:val="18"/>
                <w:lang w:val="en-AU" w:eastAsia="en-AU"/>
              </w:rPr>
              <w:t xml:space="preserve"> </w:t>
            </w:r>
            <w:r w:rsidRPr="00CF1044">
              <w:rPr>
                <w:rFonts w:ascii="Calibri" w:eastAsia="Times New Roman" w:hAnsi="Calibri" w:cs="Times New Roman"/>
                <w:color w:val="000000"/>
                <w:sz w:val="18"/>
                <w:szCs w:val="18"/>
                <w:lang w:val="en-AU" w:eastAsia="en-AU"/>
              </w:rPr>
              <w:t xml:space="preserve">plan for the construction of the Coral Sea </w:t>
            </w:r>
            <w:r w:rsidR="00E81005">
              <w:rPr>
                <w:rFonts w:ascii="Calibri" w:eastAsia="Times New Roman" w:hAnsi="Calibri" w:cs="Times New Roman"/>
                <w:color w:val="000000"/>
                <w:sz w:val="18"/>
                <w:szCs w:val="18"/>
                <w:lang w:val="en-AU" w:eastAsia="en-AU"/>
              </w:rPr>
              <w:t>Cable System and Solomon Islands Domestic Network</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8" w:type="dxa"/>
            <w:tcBorders>
              <w:top w:val="nil"/>
              <w:left w:val="nil"/>
              <w:bottom w:val="single" w:sz="4" w:space="0" w:color="auto"/>
              <w:right w:val="single" w:sz="4" w:space="0" w:color="auto"/>
            </w:tcBorders>
            <w:shd w:val="clear" w:color="auto" w:fill="auto"/>
            <w:hideMark/>
          </w:tcPr>
          <w:p w:rsidR="00D012B2" w:rsidRPr="00D012B2"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D012B2">
              <w:rPr>
                <w:rFonts w:ascii="Calibri" w:hAnsi="Calibri"/>
                <w:color w:val="000000"/>
                <w:sz w:val="18"/>
                <w:szCs w:val="18"/>
              </w:rPr>
              <w:t xml:space="preserve">* Scoping study completed; construction contract signed. </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D012B2"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D012B2">
              <w:rPr>
                <w:rFonts w:ascii="Calibri" w:hAnsi="Calibri"/>
                <w:color w:val="000000"/>
                <w:sz w:val="18"/>
                <w:szCs w:val="18"/>
              </w:rPr>
              <w:t>* Scoping study completed; construction contract signed.</w:t>
            </w:r>
          </w:p>
        </w:tc>
        <w:tc>
          <w:tcPr>
            <w:tcW w:w="1418" w:type="dxa"/>
            <w:tcBorders>
              <w:top w:val="nil"/>
              <w:left w:val="nil"/>
              <w:bottom w:val="single" w:sz="4" w:space="0" w:color="auto"/>
              <w:right w:val="single" w:sz="4" w:space="0" w:color="auto"/>
            </w:tcBorders>
            <w:shd w:val="clear" w:color="auto" w:fill="auto"/>
            <w:hideMark/>
          </w:tcPr>
          <w:p w:rsidR="00D012B2" w:rsidRPr="00D012B2"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D012B2">
              <w:rPr>
                <w:rFonts w:ascii="Calibri" w:hAnsi="Calibri"/>
                <w:color w:val="000000"/>
                <w:sz w:val="18"/>
                <w:szCs w:val="18"/>
              </w:rPr>
              <w:t>*Marine survey completed and cable manufactured</w:t>
            </w:r>
            <w:r>
              <w:rPr>
                <w:rFonts w:ascii="Calibri" w:hAnsi="Calibri"/>
                <w:color w:val="000000"/>
                <w:sz w:val="18"/>
                <w:szCs w:val="18"/>
              </w:rPr>
              <w:t xml:space="preserve"> (July 2019)</w:t>
            </w:r>
            <w:r w:rsidRPr="00D012B2">
              <w:rPr>
                <w:rFonts w:ascii="Calibri" w:hAnsi="Calibri"/>
                <w:color w:val="000000"/>
                <w:sz w:val="18"/>
                <w:szCs w:val="18"/>
              </w:rPr>
              <w:t xml:space="preserve">. </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 Growth Program</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DFAT reporting</w:t>
            </w:r>
          </w:p>
        </w:tc>
      </w:tr>
      <w:tr w:rsidR="00D012B2" w:rsidRPr="00CF1044" w:rsidTr="005B50CB">
        <w:trPr>
          <w:trHeight w:val="1560"/>
        </w:trPr>
        <w:tc>
          <w:tcPr>
            <w:tcW w:w="2280" w:type="dxa"/>
            <w:tcBorders>
              <w:top w:val="nil"/>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Outcome 4</w:t>
            </w:r>
            <w:r w:rsidRPr="00CF1044">
              <w:rPr>
                <w:rFonts w:ascii="Calibri" w:eastAsia="Times New Roman" w:hAnsi="Calibri" w:cs="Times New Roman"/>
                <w:color w:val="000000"/>
                <w:sz w:val="18"/>
                <w:szCs w:val="18"/>
                <w:lang w:val="en-AU" w:eastAsia="en-AU"/>
              </w:rPr>
              <w:t>: Solomon Islands Chamber of Commerce and Industry (SICCI) is an effective advocate to the Government on business policy reform</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4.1 Number of Government-Business Advisory Committee meetings held between SICCI and SIG</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0</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3  (↓due to election)</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SI Governance/ Economic reform </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Program reporting</w:t>
            </w:r>
          </w:p>
        </w:tc>
      </w:tr>
    </w:tbl>
    <w:p w:rsidR="00D012B2" w:rsidRDefault="00D012B2" w:rsidP="00D012B2">
      <w:r>
        <w:br w:type="page"/>
      </w:r>
    </w:p>
    <w:tbl>
      <w:tblPr>
        <w:tblW w:w="15406" w:type="dxa"/>
        <w:tblLook w:val="04A0" w:firstRow="1" w:lastRow="0" w:firstColumn="1" w:lastColumn="0" w:noHBand="0" w:noVBand="1"/>
      </w:tblPr>
      <w:tblGrid>
        <w:gridCol w:w="2275"/>
        <w:gridCol w:w="2672"/>
        <w:gridCol w:w="1556"/>
        <w:gridCol w:w="1415"/>
        <w:gridCol w:w="1436"/>
        <w:gridCol w:w="1417"/>
        <w:gridCol w:w="1418"/>
        <w:gridCol w:w="1559"/>
        <w:gridCol w:w="1658"/>
      </w:tblGrid>
      <w:tr w:rsidR="00D012B2" w:rsidRPr="00CF1044" w:rsidTr="006C67A5">
        <w:trPr>
          <w:trHeight w:val="465"/>
        </w:trPr>
        <w:tc>
          <w:tcPr>
            <w:tcW w:w="15406" w:type="dxa"/>
            <w:gridSpan w:val="9"/>
            <w:tcBorders>
              <w:top w:val="single" w:sz="4" w:space="0" w:color="auto"/>
              <w:left w:val="single" w:sz="4" w:space="0" w:color="auto"/>
              <w:bottom w:val="single" w:sz="4" w:space="0" w:color="auto"/>
              <w:right w:val="single" w:sz="4" w:space="0" w:color="auto"/>
            </w:tcBorders>
            <w:shd w:val="clear" w:color="auto" w:fill="DDECD0" w:themeFill="accent3" w:themeFillTint="66"/>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lastRenderedPageBreak/>
              <w:t>Sub-objective: More men and women are able to earn a cash-based income</w:t>
            </w:r>
          </w:p>
        </w:tc>
      </w:tr>
      <w:tr w:rsidR="00D012B2" w:rsidRPr="00CF1044" w:rsidTr="006C67A5">
        <w:trPr>
          <w:trHeight w:val="810"/>
        </w:trPr>
        <w:tc>
          <w:tcPr>
            <w:tcW w:w="2280" w:type="dxa"/>
            <w:vMerge w:val="restart"/>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Sentinel indicators</w:t>
            </w: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Active membership of the National Provident Fund (proxy for # employees at the national level)</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55,438</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55,820</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52,622</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SINPF Annual report</w:t>
            </w:r>
          </w:p>
        </w:tc>
      </w:tr>
      <w:tr w:rsidR="00D012B2" w:rsidRPr="00CF1044" w:rsidTr="006C67A5">
        <w:trPr>
          <w:trHeight w:val="690"/>
        </w:trPr>
        <w:tc>
          <w:tcPr>
            <w:tcW w:w="2280" w:type="dxa"/>
            <w:vMerge/>
            <w:tcBorders>
              <w:top w:val="nil"/>
              <w:left w:val="single" w:sz="4" w:space="0" w:color="auto"/>
              <w:bottom w:val="single" w:sz="4" w:space="0" w:color="auto"/>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International tourist arrivals</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21,623</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23,192</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25,192</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MOCT, Stats, SolAir, SVB</w:t>
            </w:r>
          </w:p>
        </w:tc>
      </w:tr>
      <w:tr w:rsidR="00D012B2" w:rsidRPr="00CF1044" w:rsidTr="005B50CB">
        <w:trPr>
          <w:trHeight w:val="780"/>
        </w:trPr>
        <w:tc>
          <w:tcPr>
            <w:tcW w:w="2280" w:type="dxa"/>
            <w:vMerge w:val="restart"/>
            <w:tcBorders>
              <w:top w:val="nil"/>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auto"/>
                <w:sz w:val="18"/>
                <w:szCs w:val="18"/>
                <w:lang w:val="en-AU" w:eastAsia="en-AU"/>
              </w:rPr>
              <w:t>Outcome 1:</w:t>
            </w:r>
            <w:r w:rsidRPr="00CF1044">
              <w:rPr>
                <w:rFonts w:ascii="Calibri" w:eastAsia="Times New Roman" w:hAnsi="Calibri" w:cs="Times New Roman"/>
                <w:color w:val="auto"/>
                <w:sz w:val="18"/>
                <w:szCs w:val="18"/>
                <w:lang w:val="en-AU" w:eastAsia="en-AU"/>
              </w:rPr>
              <w:t xml:space="preserve"> Increased opportunities to earn income arising from improved markets in key sectors (cocoa, coconut, tourism)</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1.1 Increased volume of boutique cocoa exports on improved terms of trade (mega tons)</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0</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&gt;8</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40</w:t>
            </w:r>
          </w:p>
        </w:tc>
        <w:tc>
          <w:tcPr>
            <w:tcW w:w="1418" w:type="dxa"/>
            <w:tcBorders>
              <w:top w:val="nil"/>
              <w:left w:val="nil"/>
              <w:bottom w:val="single" w:sz="4" w:space="0" w:color="auto"/>
              <w:right w:val="single" w:sz="4" w:space="0" w:color="auto"/>
            </w:tcBorders>
            <w:shd w:val="clear" w:color="auto" w:fill="auto"/>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100</w:t>
            </w:r>
          </w:p>
        </w:tc>
        <w:tc>
          <w:tcPr>
            <w:tcW w:w="1559" w:type="dxa"/>
            <w:tcBorders>
              <w:top w:val="nil"/>
              <w:left w:val="nil"/>
              <w:bottom w:val="single" w:sz="4" w:space="0" w:color="auto"/>
              <w:right w:val="single" w:sz="4" w:space="0" w:color="auto"/>
            </w:tcBorders>
            <w:shd w:val="clear" w:color="auto" w:fill="auto"/>
            <w:noWrap/>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SB/PHARMA</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Program reporting</w:t>
            </w:r>
          </w:p>
        </w:tc>
      </w:tr>
      <w:tr w:rsidR="00D012B2" w:rsidRPr="00CF1044" w:rsidTr="005B50CB">
        <w:trPr>
          <w:trHeight w:val="1065"/>
        </w:trPr>
        <w:tc>
          <w:tcPr>
            <w:tcW w:w="2280" w:type="dxa"/>
            <w:vMerge/>
            <w:tcBorders>
              <w:top w:val="nil"/>
              <w:left w:val="single" w:sz="4" w:space="0" w:color="auto"/>
              <w:bottom w:val="single" w:sz="4" w:space="0" w:color="auto"/>
              <w:right w:val="single" w:sz="4" w:space="0" w:color="auto"/>
            </w:tcBorders>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1.2 Number of men and women in farming households engaged in partnerships with commercial enterprises</w:t>
            </w:r>
            <w:r w:rsidR="004929E0">
              <w:rPr>
                <w:rFonts w:ascii="Calibri" w:eastAsia="Times New Roman" w:hAnsi="Calibri" w:cs="Times New Roman"/>
                <w:color w:val="auto"/>
                <w:sz w:val="18"/>
                <w:szCs w:val="18"/>
                <w:lang w:val="en-AU" w:eastAsia="en-AU"/>
              </w:rPr>
              <w:t xml:space="preserve"> (* note – cumulative results from 2015)</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NA</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4437</w:t>
            </w:r>
            <w:r w:rsidR="004929E0">
              <w:rPr>
                <w:rFonts w:ascii="Calibri" w:eastAsia="Times New Roman" w:hAnsi="Calibri" w:cs="Times New Roman"/>
                <w:color w:val="auto"/>
                <w:sz w:val="18"/>
                <w:szCs w:val="18"/>
                <w:lang w:val="en-AU" w:eastAsia="en-AU"/>
              </w:rPr>
              <w:t>*</w:t>
            </w:r>
            <w:r w:rsidRPr="00CF1044">
              <w:rPr>
                <w:rFonts w:ascii="Calibri" w:eastAsia="Times New Roman" w:hAnsi="Calibri" w:cs="Times New Roman"/>
                <w:color w:val="auto"/>
                <w:sz w:val="18"/>
                <w:szCs w:val="18"/>
                <w:lang w:val="en-AU" w:eastAsia="en-AU"/>
              </w:rPr>
              <w:t xml:space="preserve"> (1557 Female) </w:t>
            </w:r>
          </w:p>
        </w:tc>
        <w:tc>
          <w:tcPr>
            <w:tcW w:w="1418" w:type="dxa"/>
            <w:tcBorders>
              <w:top w:val="nil"/>
              <w:left w:val="nil"/>
              <w:bottom w:val="single" w:sz="4" w:space="0" w:color="auto"/>
              <w:right w:val="single" w:sz="4" w:space="0" w:color="auto"/>
            </w:tcBorders>
            <w:shd w:val="clear" w:color="auto" w:fill="auto"/>
            <w:hideMark/>
          </w:tcPr>
          <w:p w:rsidR="00D012B2" w:rsidRPr="004929E0" w:rsidRDefault="004929E0" w:rsidP="004929E0">
            <w:pPr>
              <w:pStyle w:val="ListParagraph"/>
              <w:jc w:val="right"/>
              <w:rPr>
                <w:rFonts w:ascii="Calibri" w:hAnsi="Calibri"/>
                <w:sz w:val="18"/>
                <w:szCs w:val="18"/>
                <w:lang w:eastAsia="en-AU"/>
              </w:rPr>
            </w:pPr>
            <w:r>
              <w:rPr>
                <w:rFonts w:ascii="Calibri" w:hAnsi="Calibri"/>
                <w:sz w:val="18"/>
                <w:szCs w:val="18"/>
                <w:lang w:eastAsia="en-AU"/>
              </w:rPr>
              <w:t>7,000*</w:t>
            </w:r>
            <w:r w:rsidR="00D012B2" w:rsidRPr="004929E0">
              <w:rPr>
                <w:rFonts w:ascii="Calibri" w:hAnsi="Calibri"/>
                <w:sz w:val="18"/>
                <w:szCs w:val="18"/>
                <w:lang w:eastAsia="en-AU"/>
              </w:rPr>
              <w:t xml:space="preserve"> </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6460</w:t>
            </w:r>
            <w:r w:rsidR="004929E0">
              <w:rPr>
                <w:rFonts w:ascii="Calibri" w:eastAsia="Times New Roman" w:hAnsi="Calibri" w:cs="Times New Roman"/>
                <w:color w:val="auto"/>
                <w:sz w:val="18"/>
                <w:szCs w:val="18"/>
                <w:lang w:val="en-AU" w:eastAsia="en-AU"/>
              </w:rPr>
              <w:t>*</w:t>
            </w:r>
            <w:r w:rsidRPr="00CF1044">
              <w:rPr>
                <w:rFonts w:ascii="Calibri" w:eastAsia="Times New Roman" w:hAnsi="Calibri" w:cs="Times New Roman"/>
                <w:color w:val="auto"/>
                <w:sz w:val="18"/>
                <w:szCs w:val="18"/>
                <w:lang w:val="en-AU" w:eastAsia="en-AU"/>
              </w:rPr>
              <w:t xml:space="preserve"> (3040 Female)</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4929E0"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9</w:t>
            </w:r>
            <w:r w:rsidR="00D012B2" w:rsidRPr="00CF1044">
              <w:rPr>
                <w:rFonts w:ascii="Calibri" w:eastAsia="Times New Roman" w:hAnsi="Calibri" w:cs="Times New Roman"/>
                <w:color w:val="auto"/>
                <w:sz w:val="18"/>
                <w:szCs w:val="18"/>
                <w:lang w:val="en-AU" w:eastAsia="en-AU"/>
              </w:rPr>
              <w:t>,000</w:t>
            </w:r>
            <w:r>
              <w:rPr>
                <w:rFonts w:ascii="Calibri" w:eastAsia="Times New Roman" w:hAnsi="Calibri" w:cs="Times New Roman"/>
                <w:color w:val="auto"/>
                <w:sz w:val="18"/>
                <w:szCs w:val="18"/>
                <w:lang w:val="en-AU" w:eastAsia="en-AU"/>
              </w:rPr>
              <w:t>*</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RDP II</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w:t>
            </w:r>
            <w:r>
              <w:rPr>
                <w:rFonts w:ascii="Calibri" w:eastAsia="Times New Roman" w:hAnsi="Calibri" w:cs="Times New Roman"/>
                <w:color w:val="auto"/>
                <w:sz w:val="18"/>
                <w:szCs w:val="18"/>
                <w:lang w:val="en-AU" w:eastAsia="en-AU"/>
              </w:rPr>
              <w:t>gr</w:t>
            </w:r>
            <w:r w:rsidRPr="00CF1044">
              <w:rPr>
                <w:rFonts w:ascii="Calibri" w:eastAsia="Times New Roman" w:hAnsi="Calibri" w:cs="Times New Roman"/>
                <w:color w:val="auto"/>
                <w:sz w:val="18"/>
                <w:szCs w:val="18"/>
                <w:lang w:val="en-AU" w:eastAsia="en-AU"/>
              </w:rPr>
              <w:t>am reporting</w:t>
            </w:r>
          </w:p>
        </w:tc>
      </w:tr>
      <w:tr w:rsidR="00D012B2" w:rsidRPr="00CF1044" w:rsidTr="005B50CB">
        <w:trPr>
          <w:trHeight w:val="735"/>
        </w:trPr>
        <w:tc>
          <w:tcPr>
            <w:tcW w:w="2280" w:type="dxa"/>
            <w:vMerge w:val="restart"/>
            <w:tcBorders>
              <w:top w:val="nil"/>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auto"/>
                <w:sz w:val="18"/>
                <w:szCs w:val="18"/>
                <w:lang w:val="en-AU" w:eastAsia="en-AU"/>
              </w:rPr>
              <w:t>Outcome 2:</w:t>
            </w:r>
            <w:r w:rsidRPr="00CF1044">
              <w:rPr>
                <w:rFonts w:ascii="Calibri" w:eastAsia="Times New Roman" w:hAnsi="Calibri" w:cs="Times New Roman"/>
                <w:color w:val="auto"/>
                <w:sz w:val="18"/>
                <w:szCs w:val="18"/>
                <w:lang w:val="en-AU" w:eastAsia="en-AU"/>
              </w:rPr>
              <w:t xml:space="preserve"> Increased access to quality vocational training</w:t>
            </w:r>
          </w:p>
        </w:tc>
        <w:tc>
          <w:tcPr>
            <w:tcW w:w="2677" w:type="dxa"/>
            <w:tcBorders>
              <w:top w:val="nil"/>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2.1 Number of graduates of vocational skills courses (fully funded or supported by Australia)</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213 (60 female)</w:t>
            </w:r>
          </w:p>
        </w:tc>
        <w:tc>
          <w:tcPr>
            <w:tcW w:w="1417"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102 (44 female)</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210 (71 Female)</w:t>
            </w:r>
          </w:p>
        </w:tc>
        <w:tc>
          <w:tcPr>
            <w:tcW w:w="1418"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w:t>
            </w:r>
          </w:p>
        </w:tc>
        <w:tc>
          <w:tcPr>
            <w:tcW w:w="1559"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Skills 4 Economic Growth</w:t>
            </w:r>
          </w:p>
        </w:tc>
        <w:tc>
          <w:tcPr>
            <w:tcW w:w="1661" w:type="dxa"/>
            <w:tcBorders>
              <w:top w:val="nil"/>
              <w:left w:val="nil"/>
              <w:bottom w:val="single" w:sz="4" w:space="0" w:color="auto"/>
              <w:right w:val="single" w:sz="4" w:space="0" w:color="auto"/>
            </w:tcBorders>
            <w:shd w:val="clear" w:color="auto" w:fill="auto"/>
            <w:hideMark/>
          </w:tcPr>
          <w:p w:rsidR="00D012B2" w:rsidRPr="00CF1044" w:rsidRDefault="00D012B2" w:rsidP="004929E0">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DFAT reporting</w:t>
            </w:r>
          </w:p>
        </w:tc>
      </w:tr>
      <w:tr w:rsidR="00D012B2" w:rsidRPr="00CF1044" w:rsidTr="005B50CB">
        <w:trPr>
          <w:trHeight w:val="735"/>
        </w:trPr>
        <w:tc>
          <w:tcPr>
            <w:tcW w:w="2280" w:type="dxa"/>
            <w:vMerge/>
            <w:tcBorders>
              <w:top w:val="nil"/>
              <w:left w:val="single" w:sz="4" w:space="0" w:color="auto"/>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b/>
                <w:bCs/>
                <w:color w:val="auto"/>
                <w:sz w:val="18"/>
                <w:szCs w:val="18"/>
                <w:lang w:val="en-AU" w:eastAsia="en-AU"/>
              </w:rPr>
            </w:pPr>
          </w:p>
        </w:tc>
        <w:tc>
          <w:tcPr>
            <w:tcW w:w="2677" w:type="dxa"/>
            <w:tcBorders>
              <w:top w:val="nil"/>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2.2 National Qualifications Framework in place and evidence of its use and institutionalisation</w:t>
            </w:r>
          </w:p>
        </w:tc>
        <w:tc>
          <w:tcPr>
            <w:tcW w:w="1559" w:type="dxa"/>
            <w:tcBorders>
              <w:top w:val="nil"/>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Partially achieved</w:t>
            </w:r>
          </w:p>
        </w:tc>
        <w:tc>
          <w:tcPr>
            <w:tcW w:w="1417" w:type="dxa"/>
            <w:tcBorders>
              <w:top w:val="nil"/>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Partially achieved</w:t>
            </w:r>
          </w:p>
        </w:tc>
        <w:tc>
          <w:tcPr>
            <w:tcW w:w="1418" w:type="dxa"/>
            <w:tcBorders>
              <w:top w:val="nil"/>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National Qualification Framework in Place</w:t>
            </w:r>
          </w:p>
        </w:tc>
        <w:tc>
          <w:tcPr>
            <w:tcW w:w="1417" w:type="dxa"/>
            <w:tcBorders>
              <w:top w:val="nil"/>
              <w:left w:val="nil"/>
              <w:bottom w:val="single" w:sz="4" w:space="0" w:color="auto"/>
              <w:right w:val="single" w:sz="4" w:space="0" w:color="auto"/>
            </w:tcBorders>
            <w:shd w:val="clear" w:color="auto" w:fill="D8DCDB" w:themeFill="background2"/>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NQF</w:t>
            </w:r>
            <w:r w:rsidRPr="00CF1044">
              <w:rPr>
                <w:rFonts w:ascii="Calibri" w:eastAsia="Times New Roman" w:hAnsi="Calibri" w:cs="Times New Roman"/>
                <w:color w:val="auto"/>
                <w:sz w:val="18"/>
                <w:szCs w:val="18"/>
                <w:lang w:val="en-AU" w:eastAsia="en-AU"/>
              </w:rPr>
              <w:t xml:space="preserve"> drafted. Implementation pending new tertiary ed. authority, SITESA. </w:t>
            </w:r>
          </w:p>
        </w:tc>
        <w:tc>
          <w:tcPr>
            <w:tcW w:w="1418" w:type="dxa"/>
            <w:tcBorders>
              <w:top w:val="nil"/>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National Qualification Framework in Place and in use</w:t>
            </w:r>
          </w:p>
        </w:tc>
        <w:tc>
          <w:tcPr>
            <w:tcW w:w="1559" w:type="dxa"/>
            <w:tcBorders>
              <w:top w:val="nil"/>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Skills 4 Economic Growth</w:t>
            </w:r>
          </w:p>
        </w:tc>
        <w:tc>
          <w:tcPr>
            <w:tcW w:w="1661" w:type="dxa"/>
            <w:tcBorders>
              <w:top w:val="nil"/>
              <w:left w:val="nil"/>
              <w:bottom w:val="single" w:sz="4" w:space="0" w:color="auto"/>
              <w:right w:val="single" w:sz="4" w:space="0" w:color="auto"/>
            </w:tcBorders>
            <w:shd w:val="clear" w:color="auto" w:fill="auto"/>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DFAT reporting</w:t>
            </w:r>
          </w:p>
        </w:tc>
      </w:tr>
    </w:tbl>
    <w:p w:rsidR="00D012B2" w:rsidRDefault="00D012B2" w:rsidP="00D012B2">
      <w:r>
        <w:br w:type="page"/>
      </w:r>
    </w:p>
    <w:tbl>
      <w:tblPr>
        <w:tblW w:w="15406" w:type="dxa"/>
        <w:tblLook w:val="04A0" w:firstRow="1" w:lastRow="0" w:firstColumn="1" w:lastColumn="0" w:noHBand="0" w:noVBand="1"/>
      </w:tblPr>
      <w:tblGrid>
        <w:gridCol w:w="2280"/>
        <w:gridCol w:w="2677"/>
        <w:gridCol w:w="1559"/>
        <w:gridCol w:w="1417"/>
        <w:gridCol w:w="1418"/>
        <w:gridCol w:w="1417"/>
        <w:gridCol w:w="1418"/>
        <w:gridCol w:w="1559"/>
        <w:gridCol w:w="1661"/>
      </w:tblGrid>
      <w:tr w:rsidR="00D012B2" w:rsidRPr="00CF1044" w:rsidTr="005B50CB">
        <w:trPr>
          <w:trHeight w:val="1305"/>
        </w:trPr>
        <w:tc>
          <w:tcPr>
            <w:tcW w:w="2280" w:type="dxa"/>
            <w:tcBorders>
              <w:top w:val="single" w:sz="4" w:space="0" w:color="auto"/>
              <w:left w:val="single" w:sz="4" w:space="0" w:color="auto"/>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auto"/>
                <w:sz w:val="18"/>
                <w:szCs w:val="18"/>
                <w:lang w:val="en-AU" w:eastAsia="en-AU"/>
              </w:rPr>
              <w:lastRenderedPageBreak/>
              <w:t xml:space="preserve">Outcome 3: </w:t>
            </w:r>
            <w:r w:rsidRPr="00CF1044">
              <w:rPr>
                <w:rFonts w:ascii="Calibri" w:eastAsia="Times New Roman" w:hAnsi="Calibri" w:cs="Times New Roman"/>
                <w:color w:val="auto"/>
                <w:sz w:val="18"/>
                <w:szCs w:val="18"/>
                <w:lang w:val="en-AU" w:eastAsia="en-AU"/>
              </w:rPr>
              <w:t>Increase in household incomes through participation in the seasonal worker program (SWP)</w:t>
            </w:r>
          </w:p>
        </w:tc>
        <w:tc>
          <w:tcPr>
            <w:tcW w:w="267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3.1 Number of SWP mobilisations</w:t>
            </w:r>
          </w:p>
        </w:tc>
        <w:tc>
          <w:tcPr>
            <w:tcW w:w="1559"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61</w:t>
            </w:r>
          </w:p>
        </w:tc>
        <w:tc>
          <w:tcPr>
            <w:tcW w:w="1417" w:type="dxa"/>
            <w:tcBorders>
              <w:top w:val="single" w:sz="4" w:space="0" w:color="auto"/>
              <w:left w:val="nil"/>
              <w:bottom w:val="single" w:sz="4" w:space="0" w:color="auto"/>
              <w:right w:val="single" w:sz="4" w:space="0" w:color="auto"/>
            </w:tcBorders>
            <w:shd w:val="clear" w:color="auto" w:fill="auto"/>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87 (0 F)</w:t>
            </w:r>
          </w:p>
        </w:tc>
        <w:tc>
          <w:tcPr>
            <w:tcW w:w="1418" w:type="dxa"/>
            <w:tcBorders>
              <w:top w:val="single" w:sz="4" w:space="0" w:color="auto"/>
              <w:left w:val="nil"/>
              <w:bottom w:val="single" w:sz="4" w:space="0" w:color="auto"/>
              <w:right w:val="single" w:sz="4" w:space="0" w:color="auto"/>
            </w:tcBorders>
            <w:shd w:val="clear" w:color="auto" w:fill="auto"/>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175</w:t>
            </w:r>
          </w:p>
        </w:tc>
        <w:tc>
          <w:tcPr>
            <w:tcW w:w="1417" w:type="dxa"/>
            <w:tcBorders>
              <w:top w:val="single" w:sz="4" w:space="0" w:color="auto"/>
              <w:left w:val="nil"/>
              <w:bottom w:val="single" w:sz="4" w:space="0" w:color="auto"/>
              <w:right w:val="single" w:sz="4" w:space="0" w:color="auto"/>
            </w:tcBorders>
            <w:shd w:val="clear" w:color="auto" w:fill="D8DCDB" w:themeFill="background2"/>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175 (9F)</w:t>
            </w:r>
          </w:p>
        </w:tc>
        <w:tc>
          <w:tcPr>
            <w:tcW w:w="1418" w:type="dxa"/>
            <w:tcBorders>
              <w:top w:val="single" w:sz="4" w:space="0" w:color="auto"/>
              <w:left w:val="nil"/>
              <w:bottom w:val="single" w:sz="4" w:space="0" w:color="auto"/>
              <w:right w:val="single" w:sz="4" w:space="0" w:color="auto"/>
            </w:tcBorders>
            <w:shd w:val="clear" w:color="auto" w:fill="F8F8F8"/>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350</w:t>
            </w:r>
          </w:p>
        </w:tc>
        <w:tc>
          <w:tcPr>
            <w:tcW w:w="1559" w:type="dxa"/>
            <w:tcBorders>
              <w:top w:val="single" w:sz="4" w:space="0" w:color="auto"/>
              <w:left w:val="nil"/>
              <w:bottom w:val="single" w:sz="4" w:space="0" w:color="auto"/>
              <w:right w:val="single" w:sz="4" w:space="0" w:color="auto"/>
            </w:tcBorders>
            <w:shd w:val="clear" w:color="auto" w:fill="F8F8F8"/>
            <w:noWrap/>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SWP</w:t>
            </w:r>
          </w:p>
        </w:tc>
        <w:tc>
          <w:tcPr>
            <w:tcW w:w="1661"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Program reporting.  </w:t>
            </w:r>
          </w:p>
        </w:tc>
      </w:tr>
      <w:tr w:rsidR="00D012B2" w:rsidRPr="00CF1044" w:rsidTr="005B50CB">
        <w:trPr>
          <w:trHeight w:val="780"/>
        </w:trPr>
        <w:tc>
          <w:tcPr>
            <w:tcW w:w="2280" w:type="dxa"/>
            <w:vMerge w:val="restart"/>
            <w:tcBorders>
              <w:top w:val="nil"/>
              <w:left w:val="single" w:sz="4" w:space="0" w:color="auto"/>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b/>
                <w:bCs/>
                <w:color w:val="auto"/>
                <w:sz w:val="18"/>
                <w:szCs w:val="18"/>
                <w:lang w:val="en-AU" w:eastAsia="en-AU"/>
              </w:rPr>
              <w:t>Outcome 4:</w:t>
            </w:r>
            <w:r w:rsidRPr="00CF1044">
              <w:rPr>
                <w:rFonts w:ascii="Calibri" w:eastAsia="Times New Roman" w:hAnsi="Calibri" w:cs="Times New Roman"/>
                <w:color w:val="auto"/>
                <w:sz w:val="18"/>
                <w:szCs w:val="18"/>
                <w:lang w:val="en-AU" w:eastAsia="en-AU"/>
              </w:rPr>
              <w:t xml:space="preserve"> Women have improved working conditions and opportunities to increase earnings and assets (Women's economic empowerment)</w:t>
            </w: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4.1 Number of women trained in business or income generating skills*</w:t>
            </w:r>
          </w:p>
        </w:tc>
        <w:tc>
          <w:tcPr>
            <w:tcW w:w="1559" w:type="dxa"/>
            <w:tcBorders>
              <w:top w:val="nil"/>
              <w:left w:val="nil"/>
              <w:bottom w:val="single" w:sz="4" w:space="0" w:color="auto"/>
              <w:right w:val="single" w:sz="4" w:space="0" w:color="auto"/>
            </w:tcBorders>
            <w:shd w:val="clear" w:color="auto" w:fill="F8F8F8"/>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293</w:t>
            </w:r>
          </w:p>
        </w:tc>
        <w:tc>
          <w:tcPr>
            <w:tcW w:w="1417" w:type="dxa"/>
            <w:tcBorders>
              <w:top w:val="nil"/>
              <w:left w:val="nil"/>
              <w:bottom w:val="single" w:sz="4" w:space="0" w:color="auto"/>
              <w:right w:val="single" w:sz="4" w:space="0" w:color="auto"/>
            </w:tcBorders>
            <w:shd w:val="clear" w:color="auto" w:fill="F8F8F8"/>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1160</w:t>
            </w:r>
          </w:p>
        </w:tc>
        <w:tc>
          <w:tcPr>
            <w:tcW w:w="1418" w:type="dxa"/>
            <w:tcBorders>
              <w:top w:val="nil"/>
              <w:left w:val="nil"/>
              <w:bottom w:val="single" w:sz="4" w:space="0" w:color="auto"/>
              <w:right w:val="single" w:sz="4" w:space="0" w:color="auto"/>
            </w:tcBorders>
            <w:shd w:val="clear" w:color="auto" w:fill="F8F8F8"/>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1000</w:t>
            </w:r>
          </w:p>
        </w:tc>
        <w:tc>
          <w:tcPr>
            <w:tcW w:w="1417" w:type="dxa"/>
            <w:tcBorders>
              <w:top w:val="nil"/>
              <w:left w:val="nil"/>
              <w:bottom w:val="single" w:sz="4" w:space="0" w:color="auto"/>
              <w:right w:val="single" w:sz="4" w:space="0" w:color="auto"/>
            </w:tcBorders>
            <w:shd w:val="clear" w:color="auto" w:fill="D8DCDB" w:themeFill="background2"/>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1241</w:t>
            </w:r>
          </w:p>
        </w:tc>
        <w:tc>
          <w:tcPr>
            <w:tcW w:w="1418" w:type="dxa"/>
            <w:tcBorders>
              <w:top w:val="nil"/>
              <w:left w:val="nil"/>
              <w:bottom w:val="single" w:sz="4" w:space="0" w:color="auto"/>
              <w:right w:val="single" w:sz="4" w:space="0" w:color="auto"/>
            </w:tcBorders>
            <w:shd w:val="clear" w:color="auto" w:fill="F8F8F8"/>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1000</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Youth@Work, APTC, SIWIBA, RDP, Markets4Change, </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Program reporting</w:t>
            </w:r>
          </w:p>
        </w:tc>
      </w:tr>
      <w:tr w:rsidR="00D012B2" w:rsidRPr="00CF1044" w:rsidTr="005B50CB">
        <w:trPr>
          <w:trHeight w:val="1065"/>
        </w:trPr>
        <w:tc>
          <w:tcPr>
            <w:tcW w:w="2280" w:type="dxa"/>
            <w:vMerge/>
            <w:tcBorders>
              <w:top w:val="nil"/>
              <w:left w:val="single" w:sz="4" w:space="0" w:color="auto"/>
              <w:bottom w:val="single" w:sz="4" w:space="0" w:color="auto"/>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4.2 Percent of businesses with over 100 employees that signed on to the </w:t>
            </w:r>
            <w:r w:rsidRPr="00CF1044">
              <w:rPr>
                <w:rFonts w:ascii="Calibri" w:eastAsia="Times New Roman" w:hAnsi="Calibri" w:cs="Times New Roman"/>
                <w:i/>
                <w:iCs/>
                <w:color w:val="auto"/>
                <w:sz w:val="18"/>
                <w:szCs w:val="18"/>
                <w:lang w:val="en-AU" w:eastAsia="en-AU"/>
              </w:rPr>
              <w:t>waka mere</w:t>
            </w:r>
            <w:r w:rsidRPr="00CF1044">
              <w:rPr>
                <w:rFonts w:ascii="Calibri" w:eastAsia="Times New Roman" w:hAnsi="Calibri" w:cs="Times New Roman"/>
                <w:color w:val="auto"/>
                <w:sz w:val="18"/>
                <w:szCs w:val="18"/>
                <w:lang w:val="en-AU" w:eastAsia="en-AU"/>
              </w:rPr>
              <w:t xml:space="preserve"> challenge to promote workplace gender equality</w:t>
            </w:r>
          </w:p>
        </w:tc>
        <w:tc>
          <w:tcPr>
            <w:tcW w:w="1559" w:type="dxa"/>
            <w:tcBorders>
              <w:top w:val="nil"/>
              <w:left w:val="nil"/>
              <w:bottom w:val="single" w:sz="4" w:space="0" w:color="auto"/>
              <w:right w:val="single" w:sz="4" w:space="0" w:color="auto"/>
            </w:tcBorders>
            <w:shd w:val="clear" w:color="auto" w:fill="F8F8F8"/>
            <w:noWrap/>
            <w:hideMark/>
          </w:tcPr>
          <w:p w:rsidR="00D012B2" w:rsidRPr="00D012B2"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0</w:t>
            </w:r>
          </w:p>
        </w:tc>
        <w:tc>
          <w:tcPr>
            <w:tcW w:w="1417" w:type="dxa"/>
            <w:tcBorders>
              <w:top w:val="nil"/>
              <w:left w:val="nil"/>
              <w:bottom w:val="single" w:sz="4" w:space="0" w:color="auto"/>
              <w:right w:val="single" w:sz="4" w:space="0" w:color="auto"/>
            </w:tcBorders>
            <w:shd w:val="clear" w:color="auto" w:fill="F8F8F8"/>
            <w:noWrap/>
            <w:hideMark/>
          </w:tcPr>
          <w:p w:rsidR="00D012B2" w:rsidRPr="00D012B2"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0</w:t>
            </w:r>
          </w:p>
        </w:tc>
        <w:tc>
          <w:tcPr>
            <w:tcW w:w="1418" w:type="dxa"/>
            <w:tcBorders>
              <w:top w:val="nil"/>
              <w:left w:val="nil"/>
              <w:bottom w:val="single" w:sz="4" w:space="0" w:color="auto"/>
              <w:right w:val="single" w:sz="4" w:space="0" w:color="auto"/>
            </w:tcBorders>
            <w:shd w:val="clear" w:color="auto" w:fill="F8F8F8"/>
            <w:hideMark/>
          </w:tcPr>
          <w:p w:rsidR="00D012B2" w:rsidRPr="00D012B2"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100</w:t>
            </w:r>
          </w:p>
        </w:tc>
        <w:tc>
          <w:tcPr>
            <w:tcW w:w="1417" w:type="dxa"/>
            <w:tcBorders>
              <w:top w:val="nil"/>
              <w:left w:val="nil"/>
              <w:bottom w:val="single" w:sz="4" w:space="0" w:color="auto"/>
              <w:right w:val="single" w:sz="4" w:space="0" w:color="auto"/>
            </w:tcBorders>
            <w:shd w:val="clear" w:color="auto" w:fill="D8DCDB" w:themeFill="background2"/>
            <w:noWrap/>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hAnsi="Calibri"/>
                <w:color w:val="auto"/>
                <w:sz w:val="18"/>
                <w:szCs w:val="18"/>
              </w:rPr>
              <w:t>100</w:t>
            </w:r>
          </w:p>
        </w:tc>
        <w:tc>
          <w:tcPr>
            <w:tcW w:w="1418" w:type="dxa"/>
            <w:tcBorders>
              <w:top w:val="nil"/>
              <w:left w:val="nil"/>
              <w:bottom w:val="single" w:sz="4" w:space="0" w:color="auto"/>
              <w:right w:val="single" w:sz="4" w:space="0" w:color="auto"/>
            </w:tcBorders>
            <w:shd w:val="clear" w:color="auto" w:fill="F8F8F8"/>
            <w:noWrap/>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hAnsi="Calibri"/>
                <w:color w:val="auto"/>
                <w:sz w:val="18"/>
                <w:szCs w:val="18"/>
              </w:rPr>
              <w:t>100</w:t>
            </w:r>
          </w:p>
        </w:tc>
        <w:tc>
          <w:tcPr>
            <w:tcW w:w="1559" w:type="dxa"/>
            <w:tcBorders>
              <w:top w:val="nil"/>
              <w:left w:val="nil"/>
              <w:bottom w:val="single" w:sz="4" w:space="0" w:color="auto"/>
              <w:right w:val="single" w:sz="4" w:space="0" w:color="auto"/>
            </w:tcBorders>
            <w:shd w:val="clear" w:color="auto" w:fill="F8F8F8"/>
            <w:noWrap/>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hAnsi="Calibri"/>
                <w:color w:val="auto"/>
                <w:sz w:val="18"/>
                <w:szCs w:val="18"/>
              </w:rPr>
              <w:t>S4G</w:t>
            </w:r>
          </w:p>
        </w:tc>
        <w:tc>
          <w:tcPr>
            <w:tcW w:w="1661" w:type="dxa"/>
            <w:tcBorders>
              <w:top w:val="nil"/>
              <w:left w:val="nil"/>
              <w:bottom w:val="single" w:sz="4" w:space="0" w:color="auto"/>
              <w:right w:val="single" w:sz="4" w:space="0" w:color="auto"/>
            </w:tcBorders>
            <w:shd w:val="clear" w:color="auto" w:fill="F8F8F8"/>
            <w:noWrap/>
            <w:vAlign w:val="bottom"/>
            <w:hideMark/>
          </w:tcPr>
          <w:p w:rsidR="00D012B2" w:rsidRPr="00CF1044" w:rsidRDefault="00D012B2" w:rsidP="005B50CB">
            <w:pPr>
              <w:suppressAutoHyphens w:val="0"/>
              <w:spacing w:before="0" w:after="0" w:line="240" w:lineRule="auto"/>
              <w:rPr>
                <w:rFonts w:ascii="Calibri" w:eastAsia="Times New Roman" w:hAnsi="Calibri" w:cs="Times New Roman"/>
                <w:color w:val="auto"/>
                <w:sz w:val="18"/>
                <w:szCs w:val="18"/>
                <w:lang w:val="en-AU" w:eastAsia="en-AU"/>
              </w:rPr>
            </w:pPr>
            <w:r>
              <w:rPr>
                <w:rFonts w:ascii="Calibri" w:eastAsia="Times New Roman" w:hAnsi="Calibri" w:cs="Times New Roman"/>
                <w:color w:val="auto"/>
                <w:sz w:val="18"/>
                <w:szCs w:val="18"/>
                <w:lang w:val="en-AU" w:eastAsia="en-AU"/>
              </w:rPr>
              <w:t>Progr</w:t>
            </w:r>
            <w:r w:rsidRPr="00CF1044">
              <w:rPr>
                <w:rFonts w:ascii="Calibri" w:eastAsia="Times New Roman" w:hAnsi="Calibri" w:cs="Times New Roman"/>
                <w:color w:val="auto"/>
                <w:sz w:val="18"/>
                <w:szCs w:val="18"/>
                <w:lang w:val="en-AU" w:eastAsia="en-AU"/>
              </w:rPr>
              <w:t>am reporting</w:t>
            </w:r>
          </w:p>
        </w:tc>
      </w:tr>
      <w:tr w:rsidR="00D012B2" w:rsidRPr="00CF1044" w:rsidTr="00D012B2">
        <w:trPr>
          <w:trHeight w:val="375"/>
        </w:trPr>
        <w:tc>
          <w:tcPr>
            <w:tcW w:w="2280"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2677" w:type="dxa"/>
            <w:tcBorders>
              <w:top w:val="nil"/>
              <w:left w:val="nil"/>
              <w:bottom w:val="nil"/>
              <w:right w:val="nil"/>
            </w:tcBorders>
            <w:shd w:val="clear" w:color="000000" w:fill="FFFFFF"/>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559" w:type="dxa"/>
            <w:tcBorders>
              <w:top w:val="nil"/>
              <w:left w:val="nil"/>
              <w:bottom w:val="nil"/>
              <w:right w:val="nil"/>
            </w:tcBorders>
            <w:shd w:val="clear" w:color="000000" w:fill="FFFFFF"/>
            <w:noWrap/>
            <w:vAlign w:val="bottom"/>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417" w:type="dxa"/>
            <w:tcBorders>
              <w:top w:val="nil"/>
              <w:left w:val="nil"/>
              <w:bottom w:val="nil"/>
              <w:right w:val="nil"/>
            </w:tcBorders>
            <w:shd w:val="clear" w:color="000000" w:fill="FFFFFF"/>
            <w:noWrap/>
            <w:vAlign w:val="bottom"/>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418" w:type="dxa"/>
            <w:tcBorders>
              <w:top w:val="nil"/>
              <w:left w:val="nil"/>
              <w:bottom w:val="nil"/>
              <w:right w:val="nil"/>
            </w:tcBorders>
            <w:shd w:val="clear" w:color="000000" w:fill="FFFFFF"/>
            <w:vAlign w:val="bottom"/>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417" w:type="dxa"/>
            <w:tcBorders>
              <w:top w:val="nil"/>
              <w:left w:val="nil"/>
              <w:bottom w:val="nil"/>
              <w:right w:val="nil"/>
            </w:tcBorders>
            <w:shd w:val="clear" w:color="000000" w:fill="FFFFFF"/>
            <w:noWrap/>
            <w:vAlign w:val="bottom"/>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418" w:type="dxa"/>
            <w:tcBorders>
              <w:top w:val="nil"/>
              <w:left w:val="nil"/>
              <w:bottom w:val="nil"/>
              <w:right w:val="nil"/>
            </w:tcBorders>
            <w:shd w:val="clear" w:color="000000" w:fill="FFFFFF"/>
            <w:noWrap/>
            <w:vAlign w:val="bottom"/>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559" w:type="dxa"/>
            <w:tcBorders>
              <w:top w:val="nil"/>
              <w:left w:val="nil"/>
              <w:bottom w:val="nil"/>
              <w:right w:val="nil"/>
            </w:tcBorders>
            <w:shd w:val="clear" w:color="000000" w:fill="FFFFFF"/>
            <w:noWrap/>
            <w:vAlign w:val="bottom"/>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661" w:type="dxa"/>
            <w:tcBorders>
              <w:top w:val="nil"/>
              <w:left w:val="nil"/>
              <w:bottom w:val="nil"/>
              <w:right w:val="nil"/>
            </w:tcBorders>
            <w:shd w:val="clear" w:color="000000" w:fill="FFFFFF"/>
            <w:noWrap/>
            <w:vAlign w:val="bottom"/>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r>
      <w:tr w:rsidR="00D012B2" w:rsidRPr="00CF1044" w:rsidTr="006C67A5">
        <w:trPr>
          <w:trHeight w:val="465"/>
        </w:trPr>
        <w:tc>
          <w:tcPr>
            <w:tcW w:w="15406" w:type="dxa"/>
            <w:gridSpan w:val="9"/>
            <w:tcBorders>
              <w:top w:val="single" w:sz="4" w:space="0" w:color="auto"/>
              <w:left w:val="single" w:sz="4" w:space="0" w:color="auto"/>
              <w:bottom w:val="single" w:sz="4" w:space="0" w:color="auto"/>
              <w:right w:val="single" w:sz="4" w:space="0" w:color="000000"/>
            </w:tcBorders>
            <w:shd w:val="clear" w:color="auto" w:fill="7FB64D" w:themeFill="accent3" w:themeFillShade="BF"/>
            <w:noWrap/>
            <w:vAlign w:val="center"/>
            <w:hideMark/>
          </w:tcPr>
          <w:p w:rsidR="00D012B2" w:rsidRPr="00CF1044" w:rsidRDefault="00D012B2" w:rsidP="00D012B2">
            <w:pPr>
              <w:suppressAutoHyphens w:val="0"/>
              <w:spacing w:before="0" w:after="0" w:line="240" w:lineRule="auto"/>
              <w:jc w:val="center"/>
              <w:rPr>
                <w:rFonts w:ascii="Calibri" w:eastAsia="Times New Roman" w:hAnsi="Calibri" w:cs="Times New Roman"/>
                <w:b/>
                <w:bCs/>
                <w:i/>
                <w:iCs/>
                <w:color w:val="FFFFFF"/>
                <w:sz w:val="18"/>
                <w:szCs w:val="18"/>
                <w:lang w:val="en-AU" w:eastAsia="en-AU"/>
              </w:rPr>
            </w:pPr>
            <w:r w:rsidRPr="00CF1044">
              <w:rPr>
                <w:rFonts w:ascii="Calibri" w:eastAsia="Times New Roman" w:hAnsi="Calibri" w:cs="Times New Roman"/>
                <w:b/>
                <w:bCs/>
                <w:i/>
                <w:iCs/>
                <w:color w:val="FFFFFF"/>
                <w:sz w:val="18"/>
                <w:szCs w:val="18"/>
                <w:lang w:val="en-AU" w:eastAsia="en-AU"/>
              </w:rPr>
              <w:t>AIP Objective 3: Improved Human Development - More men, women, girls and boys benefit from quality health and basic and vocational education</w:t>
            </w:r>
          </w:p>
        </w:tc>
      </w:tr>
      <w:tr w:rsidR="006C67A5" w:rsidRPr="00CF1044" w:rsidTr="00874B3F">
        <w:trPr>
          <w:trHeight w:val="1035"/>
        </w:trPr>
        <w:tc>
          <w:tcPr>
            <w:tcW w:w="2280" w:type="dxa"/>
            <w:tcBorders>
              <w:top w:val="nil"/>
              <w:left w:val="single" w:sz="4" w:space="0" w:color="1F4E78"/>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Pr>
                <w:rFonts w:ascii="Calibri" w:eastAsia="Times New Roman" w:hAnsi="Calibri" w:cs="Times New Roman"/>
                <w:b/>
                <w:bCs/>
                <w:color w:val="000000"/>
                <w:sz w:val="18"/>
                <w:szCs w:val="18"/>
                <w:lang w:val="en-AU" w:eastAsia="en-AU"/>
              </w:rPr>
              <w:t>Indicator</w:t>
            </w:r>
            <w:r w:rsidRPr="00CF1044">
              <w:rPr>
                <w:rFonts w:ascii="Calibri" w:eastAsia="Times New Roman" w:hAnsi="Calibri" w:cs="Times New Roman"/>
                <w:b/>
                <w:bCs/>
                <w:color w:val="000000"/>
                <w:sz w:val="18"/>
                <w:szCs w:val="18"/>
                <w:lang w:val="en-AU" w:eastAsia="en-AU"/>
              </w:rPr>
              <w:t xml:space="preserve"> </w:t>
            </w:r>
          </w:p>
        </w:tc>
        <w:tc>
          <w:tcPr>
            <w:tcW w:w="1559"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Baseline (2015/16)</w:t>
            </w:r>
          </w:p>
        </w:tc>
        <w:tc>
          <w:tcPr>
            <w:tcW w:w="1417"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2016/17 </w:t>
            </w:r>
          </w:p>
        </w:tc>
        <w:tc>
          <w:tcPr>
            <w:tcW w:w="1418" w:type="dxa"/>
            <w:tcBorders>
              <w:top w:val="nil"/>
              <w:left w:val="nil"/>
              <w:bottom w:val="single" w:sz="4" w:space="0" w:color="auto"/>
              <w:right w:val="nil"/>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2017/18 target</w:t>
            </w:r>
          </w:p>
        </w:tc>
        <w:tc>
          <w:tcPr>
            <w:tcW w:w="1417" w:type="dxa"/>
            <w:tcBorders>
              <w:top w:val="nil"/>
              <w:left w:val="single" w:sz="4" w:space="0" w:color="1F4E78"/>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2017/18 result</w:t>
            </w:r>
          </w:p>
        </w:tc>
        <w:tc>
          <w:tcPr>
            <w:tcW w:w="1418"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2018/19 target</w:t>
            </w:r>
          </w:p>
        </w:tc>
        <w:tc>
          <w:tcPr>
            <w:tcW w:w="1559"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DFAT investments contributing to outcome </w:t>
            </w:r>
          </w:p>
        </w:tc>
        <w:tc>
          <w:tcPr>
            <w:tcW w:w="1661" w:type="dxa"/>
            <w:tcBorders>
              <w:top w:val="nil"/>
              <w:left w:val="nil"/>
              <w:bottom w:val="single" w:sz="4" w:space="0" w:color="auto"/>
              <w:right w:val="single" w:sz="4" w:space="0" w:color="1F4E78"/>
            </w:tcBorders>
            <w:shd w:val="clear" w:color="auto" w:fill="CDE2B9" w:themeFill="accent3" w:themeFillTint="99"/>
            <w:vAlign w:val="center"/>
            <w:hideMark/>
          </w:tcPr>
          <w:p w:rsidR="006C67A5" w:rsidRPr="00CF1044" w:rsidRDefault="006C67A5" w:rsidP="00874B3F">
            <w:pPr>
              <w:suppressAutoHyphens w:val="0"/>
              <w:spacing w:before="0" w:after="0" w:line="240" w:lineRule="auto"/>
              <w:jc w:val="center"/>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Data collection method</w:t>
            </w:r>
          </w:p>
        </w:tc>
      </w:tr>
      <w:tr w:rsidR="00D012B2" w:rsidRPr="00CF1044" w:rsidTr="006C67A5">
        <w:trPr>
          <w:trHeight w:val="465"/>
        </w:trPr>
        <w:tc>
          <w:tcPr>
            <w:tcW w:w="15406" w:type="dxa"/>
            <w:gridSpan w:val="9"/>
            <w:tcBorders>
              <w:top w:val="single" w:sz="4" w:space="0" w:color="auto"/>
              <w:left w:val="single" w:sz="4" w:space="0" w:color="auto"/>
              <w:bottom w:val="single" w:sz="4" w:space="0" w:color="auto"/>
              <w:right w:val="single" w:sz="4" w:space="0" w:color="auto"/>
            </w:tcBorders>
            <w:shd w:val="clear" w:color="auto" w:fill="DDECD0" w:themeFill="accent3" w:themeFillTint="66"/>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Sub-objective: Education - More men, women and girls benefit from quality education</w:t>
            </w:r>
            <w:r w:rsidRPr="00CF1044">
              <w:rPr>
                <w:rFonts w:ascii="Calibri" w:eastAsia="Times New Roman" w:hAnsi="Calibri" w:cs="Times New Roman"/>
                <w:b/>
                <w:bCs/>
                <w:i/>
                <w:iCs/>
                <w:color w:val="000000"/>
                <w:sz w:val="18"/>
                <w:szCs w:val="18"/>
                <w:lang w:val="en-AU" w:eastAsia="en-AU"/>
              </w:rPr>
              <w:t>#</w:t>
            </w:r>
          </w:p>
        </w:tc>
      </w:tr>
      <w:tr w:rsidR="00D012B2" w:rsidRPr="00CF1044" w:rsidTr="005B50CB">
        <w:trPr>
          <w:trHeight w:val="720"/>
        </w:trPr>
        <w:tc>
          <w:tcPr>
            <w:tcW w:w="2280" w:type="dxa"/>
            <w:vMerge w:val="restart"/>
            <w:tcBorders>
              <w:top w:val="nil"/>
              <w:left w:val="single" w:sz="4" w:space="0" w:color="auto"/>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5B50CB">
              <w:rPr>
                <w:rFonts w:ascii="Calibri" w:eastAsia="Times New Roman" w:hAnsi="Calibri" w:cs="Times New Roman"/>
                <w:b/>
                <w:bCs/>
                <w:color w:val="000000"/>
                <w:sz w:val="18"/>
                <w:szCs w:val="18"/>
                <w:lang w:val="en-AU" w:eastAsia="en-AU"/>
              </w:rPr>
              <w:t xml:space="preserve">Outcome 1: </w:t>
            </w:r>
            <w:r w:rsidRPr="005B50CB">
              <w:rPr>
                <w:rFonts w:ascii="Calibri" w:eastAsia="Times New Roman" w:hAnsi="Calibri" w:cs="Times New Roman"/>
                <w:color w:val="000000"/>
                <w:sz w:val="18"/>
                <w:szCs w:val="18"/>
                <w:lang w:val="en-AU" w:eastAsia="en-AU"/>
              </w:rPr>
              <w:t xml:space="preserve">More children complete basic education and achieve improved learning outcomes </w:t>
            </w:r>
          </w:p>
        </w:tc>
        <w:tc>
          <w:tcPr>
            <w:tcW w:w="2677"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1.1 Net enrolment rate - Primary</w:t>
            </w:r>
          </w:p>
        </w:tc>
        <w:tc>
          <w:tcPr>
            <w:tcW w:w="1559"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91%</w:t>
            </w:r>
          </w:p>
        </w:tc>
        <w:tc>
          <w:tcPr>
            <w:tcW w:w="1417"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91.3%</w:t>
            </w:r>
          </w:p>
        </w:tc>
        <w:tc>
          <w:tcPr>
            <w:tcW w:w="1418"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Progress towards 95% in 2020</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92.3%</w:t>
            </w:r>
          </w:p>
        </w:tc>
        <w:tc>
          <w:tcPr>
            <w:tcW w:w="1418" w:type="dxa"/>
            <w:tcBorders>
              <w:top w:val="nil"/>
              <w:left w:val="nil"/>
              <w:bottom w:val="single" w:sz="4" w:space="0" w:color="auto"/>
              <w:right w:val="single" w:sz="4" w:space="0" w:color="auto"/>
            </w:tcBorders>
            <w:shd w:val="clear" w:color="auto" w:fill="auto"/>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Progress towards 95% in 2020</w:t>
            </w:r>
          </w:p>
        </w:tc>
        <w:tc>
          <w:tcPr>
            <w:tcW w:w="1559" w:type="dxa"/>
            <w:tcBorders>
              <w:top w:val="nil"/>
              <w:left w:val="nil"/>
              <w:bottom w:val="single" w:sz="4" w:space="0" w:color="auto"/>
              <w:right w:val="single" w:sz="4" w:space="0" w:color="auto"/>
            </w:tcBorders>
            <w:shd w:val="clear" w:color="auto" w:fill="auto"/>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Education Sector Program 2</w:t>
            </w:r>
          </w:p>
        </w:tc>
        <w:tc>
          <w:tcPr>
            <w:tcW w:w="1661" w:type="dxa"/>
            <w:tcBorders>
              <w:top w:val="nil"/>
              <w:left w:val="nil"/>
              <w:bottom w:val="single" w:sz="4" w:space="0" w:color="auto"/>
              <w:right w:val="single" w:sz="4" w:space="0" w:color="auto"/>
            </w:tcBorders>
            <w:shd w:val="clear" w:color="auto" w:fill="auto"/>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MEHRD Performance Assessment Report</w:t>
            </w:r>
          </w:p>
        </w:tc>
      </w:tr>
      <w:tr w:rsidR="00D012B2" w:rsidRPr="00CF1044" w:rsidTr="005B50CB">
        <w:trPr>
          <w:trHeight w:val="720"/>
        </w:trPr>
        <w:tc>
          <w:tcPr>
            <w:tcW w:w="2280" w:type="dxa"/>
            <w:vMerge/>
            <w:tcBorders>
              <w:top w:val="nil"/>
              <w:left w:val="single" w:sz="4" w:space="0" w:color="auto"/>
              <w:bottom w:val="single" w:sz="4" w:space="0" w:color="auto"/>
              <w:right w:val="single" w:sz="4" w:space="0" w:color="auto"/>
            </w:tcBorders>
            <w:shd w:val="clear" w:color="auto" w:fill="F8F8F8"/>
            <w:vAlign w:val="center"/>
            <w:hideMark/>
          </w:tcPr>
          <w:p w:rsidR="00D012B2" w:rsidRPr="005B50CB"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1.2 Net enrolment rate - Junior Secondary</w:t>
            </w:r>
          </w:p>
        </w:tc>
        <w:tc>
          <w:tcPr>
            <w:tcW w:w="1559"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40%</w:t>
            </w:r>
          </w:p>
        </w:tc>
        <w:tc>
          <w:tcPr>
            <w:tcW w:w="1417"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39.80%</w:t>
            </w:r>
          </w:p>
        </w:tc>
        <w:tc>
          <w:tcPr>
            <w:tcW w:w="1418"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Progress towards 42% in 2020</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38%</w:t>
            </w:r>
          </w:p>
        </w:tc>
        <w:tc>
          <w:tcPr>
            <w:tcW w:w="1418" w:type="dxa"/>
            <w:tcBorders>
              <w:top w:val="nil"/>
              <w:left w:val="nil"/>
              <w:bottom w:val="single" w:sz="4" w:space="0" w:color="auto"/>
              <w:right w:val="single" w:sz="4" w:space="0" w:color="auto"/>
            </w:tcBorders>
            <w:shd w:val="clear" w:color="auto" w:fill="auto"/>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Progress towards 42% in 2020</w:t>
            </w:r>
          </w:p>
        </w:tc>
        <w:tc>
          <w:tcPr>
            <w:tcW w:w="1559" w:type="dxa"/>
            <w:tcBorders>
              <w:top w:val="nil"/>
              <w:left w:val="nil"/>
              <w:bottom w:val="single" w:sz="4" w:space="0" w:color="auto"/>
              <w:right w:val="single" w:sz="4" w:space="0" w:color="auto"/>
            </w:tcBorders>
            <w:shd w:val="clear" w:color="auto" w:fill="auto"/>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Education Sector Program 2</w:t>
            </w:r>
          </w:p>
        </w:tc>
        <w:tc>
          <w:tcPr>
            <w:tcW w:w="1661" w:type="dxa"/>
            <w:tcBorders>
              <w:top w:val="nil"/>
              <w:left w:val="nil"/>
              <w:bottom w:val="single" w:sz="4" w:space="0" w:color="auto"/>
              <w:right w:val="single" w:sz="4" w:space="0" w:color="auto"/>
            </w:tcBorders>
            <w:shd w:val="clear" w:color="auto" w:fill="auto"/>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MEHRD Performance Assessment Report</w:t>
            </w:r>
          </w:p>
        </w:tc>
      </w:tr>
      <w:tr w:rsidR="00D012B2" w:rsidRPr="00CF1044" w:rsidTr="005B50CB">
        <w:trPr>
          <w:trHeight w:val="720"/>
        </w:trPr>
        <w:tc>
          <w:tcPr>
            <w:tcW w:w="2280" w:type="dxa"/>
            <w:vMerge/>
            <w:tcBorders>
              <w:top w:val="nil"/>
              <w:left w:val="single" w:sz="4" w:space="0" w:color="auto"/>
              <w:bottom w:val="single" w:sz="4" w:space="0" w:color="auto"/>
              <w:right w:val="single" w:sz="4" w:space="0" w:color="auto"/>
            </w:tcBorders>
            <w:shd w:val="clear" w:color="auto" w:fill="F8F8F8"/>
            <w:vAlign w:val="center"/>
            <w:hideMark/>
          </w:tcPr>
          <w:p w:rsidR="00D012B2" w:rsidRPr="005B50CB"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1.3 Percentage of students reaching national literacy standard in year 4*</w:t>
            </w:r>
          </w:p>
        </w:tc>
        <w:tc>
          <w:tcPr>
            <w:tcW w:w="1559"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75.60%</w:t>
            </w:r>
          </w:p>
        </w:tc>
        <w:tc>
          <w:tcPr>
            <w:tcW w:w="1417"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NA</w:t>
            </w:r>
          </w:p>
        </w:tc>
        <w:tc>
          <w:tcPr>
            <w:tcW w:w="1418" w:type="dxa"/>
            <w:tcBorders>
              <w:top w:val="nil"/>
              <w:left w:val="nil"/>
              <w:bottom w:val="single" w:sz="4" w:space="0" w:color="auto"/>
              <w:right w:val="single" w:sz="4" w:space="0" w:color="auto"/>
            </w:tcBorders>
            <w:shd w:val="clear" w:color="auto" w:fill="F8F8F8"/>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Progress towards 80% in 2020</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SISTA 2017 still in analysis</w:t>
            </w:r>
          </w:p>
        </w:tc>
        <w:tc>
          <w:tcPr>
            <w:tcW w:w="1418" w:type="dxa"/>
            <w:tcBorders>
              <w:top w:val="nil"/>
              <w:left w:val="nil"/>
              <w:bottom w:val="single" w:sz="4" w:space="0" w:color="auto"/>
              <w:right w:val="single" w:sz="4" w:space="0" w:color="auto"/>
            </w:tcBorders>
            <w:shd w:val="clear" w:color="auto" w:fill="auto"/>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Progress towards 80% in 2020</w:t>
            </w:r>
          </w:p>
        </w:tc>
        <w:tc>
          <w:tcPr>
            <w:tcW w:w="1559" w:type="dxa"/>
            <w:tcBorders>
              <w:top w:val="nil"/>
              <w:left w:val="nil"/>
              <w:bottom w:val="single" w:sz="4" w:space="0" w:color="auto"/>
              <w:right w:val="single" w:sz="4" w:space="0" w:color="auto"/>
            </w:tcBorders>
            <w:shd w:val="clear" w:color="auto" w:fill="auto"/>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Education Sector Program 2</w:t>
            </w:r>
          </w:p>
        </w:tc>
        <w:tc>
          <w:tcPr>
            <w:tcW w:w="1661" w:type="dxa"/>
            <w:tcBorders>
              <w:top w:val="nil"/>
              <w:left w:val="nil"/>
              <w:bottom w:val="single" w:sz="4" w:space="0" w:color="auto"/>
              <w:right w:val="single" w:sz="4" w:space="0" w:color="auto"/>
            </w:tcBorders>
            <w:shd w:val="clear" w:color="auto" w:fill="auto"/>
            <w:hideMark/>
          </w:tcPr>
          <w:p w:rsidR="00D012B2" w:rsidRPr="005B50CB"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5B50CB">
              <w:rPr>
                <w:rFonts w:ascii="Calibri" w:eastAsia="Times New Roman" w:hAnsi="Calibri" w:cs="Times New Roman"/>
                <w:color w:val="auto"/>
                <w:sz w:val="18"/>
                <w:szCs w:val="18"/>
                <w:lang w:val="en-AU" w:eastAsia="en-AU"/>
              </w:rPr>
              <w:t>SISTA</w:t>
            </w:r>
          </w:p>
        </w:tc>
      </w:tr>
    </w:tbl>
    <w:p w:rsidR="00D012B2" w:rsidRDefault="00D012B2" w:rsidP="00D012B2">
      <w:r>
        <w:br w:type="page"/>
      </w:r>
    </w:p>
    <w:tbl>
      <w:tblPr>
        <w:tblW w:w="15406" w:type="dxa"/>
        <w:tblLook w:val="04A0" w:firstRow="1" w:lastRow="0" w:firstColumn="1" w:lastColumn="0" w:noHBand="0" w:noVBand="1"/>
      </w:tblPr>
      <w:tblGrid>
        <w:gridCol w:w="2280"/>
        <w:gridCol w:w="2677"/>
        <w:gridCol w:w="1559"/>
        <w:gridCol w:w="1417"/>
        <w:gridCol w:w="1418"/>
        <w:gridCol w:w="1417"/>
        <w:gridCol w:w="1418"/>
        <w:gridCol w:w="1559"/>
        <w:gridCol w:w="1661"/>
      </w:tblGrid>
      <w:tr w:rsidR="00D012B2" w:rsidRPr="00CF1044" w:rsidTr="005B50CB">
        <w:trPr>
          <w:trHeight w:val="720"/>
        </w:trPr>
        <w:tc>
          <w:tcPr>
            <w:tcW w:w="2280" w:type="dxa"/>
            <w:vMerge w:val="restart"/>
            <w:tcBorders>
              <w:top w:val="single" w:sz="4" w:space="0" w:color="auto"/>
              <w:left w:val="single" w:sz="4" w:space="0" w:color="auto"/>
              <w:bottom w:val="single" w:sz="4" w:space="0" w:color="auto"/>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b/>
                <w:bCs/>
                <w:color w:val="auto"/>
                <w:sz w:val="18"/>
                <w:szCs w:val="18"/>
                <w:lang w:val="en-AU" w:eastAsia="en-AU"/>
              </w:rPr>
            </w:pPr>
            <w:r w:rsidRPr="00CF1044">
              <w:rPr>
                <w:rFonts w:ascii="Calibri" w:eastAsia="Times New Roman" w:hAnsi="Calibri" w:cs="Times New Roman"/>
                <w:color w:val="auto"/>
                <w:sz w:val="18"/>
                <w:szCs w:val="18"/>
                <w:lang w:val="en-AU" w:eastAsia="en-AU"/>
              </w:rPr>
              <w:t>1.4</w:t>
            </w:r>
            <w:r w:rsidRPr="00CF1044">
              <w:rPr>
                <w:rFonts w:ascii="Calibri" w:eastAsia="Times New Roman" w:hAnsi="Calibri" w:cs="Times New Roman"/>
                <w:b/>
                <w:bCs/>
                <w:color w:val="auto"/>
                <w:sz w:val="18"/>
                <w:szCs w:val="18"/>
                <w:lang w:val="en-AU" w:eastAsia="en-AU"/>
              </w:rPr>
              <w:t xml:space="preserve"> </w:t>
            </w:r>
            <w:r w:rsidRPr="00CF1044">
              <w:rPr>
                <w:rFonts w:ascii="Calibri" w:eastAsia="Times New Roman" w:hAnsi="Calibri" w:cs="Times New Roman"/>
                <w:color w:val="auto"/>
                <w:sz w:val="18"/>
                <w:szCs w:val="18"/>
                <w:lang w:val="en-AU" w:eastAsia="en-AU"/>
              </w:rPr>
              <w:t>Percentage of students reaching national numeracy standard in year 4</w:t>
            </w:r>
          </w:p>
        </w:tc>
        <w:tc>
          <w:tcPr>
            <w:tcW w:w="1559"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76%</w:t>
            </w:r>
          </w:p>
        </w:tc>
        <w:tc>
          <w:tcPr>
            <w:tcW w:w="1417"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NA</w:t>
            </w:r>
          </w:p>
        </w:tc>
        <w:tc>
          <w:tcPr>
            <w:tcW w:w="1418"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Progress towards 80% in 2020</w:t>
            </w:r>
          </w:p>
        </w:tc>
        <w:tc>
          <w:tcPr>
            <w:tcW w:w="1417" w:type="dxa"/>
            <w:tcBorders>
              <w:top w:val="single" w:sz="4" w:space="0" w:color="auto"/>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SISTA 2017 still in analysis</w:t>
            </w:r>
          </w:p>
        </w:tc>
        <w:tc>
          <w:tcPr>
            <w:tcW w:w="1418"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Progress towards 80% in 2020</w:t>
            </w:r>
          </w:p>
        </w:tc>
        <w:tc>
          <w:tcPr>
            <w:tcW w:w="1559"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Education Sector Program 2</w:t>
            </w:r>
          </w:p>
        </w:tc>
        <w:tc>
          <w:tcPr>
            <w:tcW w:w="1661"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SISTA</w:t>
            </w:r>
          </w:p>
        </w:tc>
      </w:tr>
      <w:tr w:rsidR="00D012B2" w:rsidRPr="00CF1044" w:rsidTr="005B50CB">
        <w:trPr>
          <w:trHeight w:val="720"/>
        </w:trPr>
        <w:tc>
          <w:tcPr>
            <w:tcW w:w="2280" w:type="dxa"/>
            <w:vMerge/>
            <w:tcBorders>
              <w:top w:val="single" w:sz="4" w:space="0" w:color="auto"/>
              <w:left w:val="single" w:sz="4" w:space="0" w:color="auto"/>
              <w:bottom w:val="single" w:sz="4" w:space="0" w:color="auto"/>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1.5 Percentage of primary teachers certified* </w:t>
            </w:r>
          </w:p>
        </w:tc>
        <w:tc>
          <w:tcPr>
            <w:tcW w:w="1559"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57.1% (2012)</w:t>
            </w:r>
          </w:p>
        </w:tc>
        <w:tc>
          <w:tcPr>
            <w:tcW w:w="1417"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66%</w:t>
            </w:r>
          </w:p>
        </w:tc>
        <w:tc>
          <w:tcPr>
            <w:tcW w:w="1418"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Progress towards 85% in 2020</w:t>
            </w:r>
          </w:p>
        </w:tc>
        <w:tc>
          <w:tcPr>
            <w:tcW w:w="1417" w:type="dxa"/>
            <w:tcBorders>
              <w:top w:val="single" w:sz="4" w:space="0" w:color="auto"/>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72%</w:t>
            </w:r>
          </w:p>
        </w:tc>
        <w:tc>
          <w:tcPr>
            <w:tcW w:w="1418"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Progress towards 85% in 2020</w:t>
            </w:r>
          </w:p>
        </w:tc>
        <w:tc>
          <w:tcPr>
            <w:tcW w:w="1559"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Education Sector Program 2</w:t>
            </w:r>
          </w:p>
        </w:tc>
        <w:tc>
          <w:tcPr>
            <w:tcW w:w="1661" w:type="dxa"/>
            <w:tcBorders>
              <w:top w:val="single" w:sz="4" w:space="0" w:color="auto"/>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MEHRD Performance Assessment Report</w:t>
            </w:r>
          </w:p>
        </w:tc>
      </w:tr>
      <w:tr w:rsidR="00D012B2" w:rsidRPr="00CF1044" w:rsidTr="005B50CB">
        <w:trPr>
          <w:trHeight w:val="720"/>
        </w:trPr>
        <w:tc>
          <w:tcPr>
            <w:tcW w:w="2280" w:type="dxa"/>
            <w:vMerge/>
            <w:tcBorders>
              <w:top w:val="nil"/>
              <w:left w:val="single" w:sz="4" w:space="0" w:color="auto"/>
              <w:bottom w:val="single" w:sz="4" w:space="0" w:color="auto"/>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1.6 Gender parity at Junior Secondary</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1.09</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0.96</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GPI between 0.97-1.03</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GPI between 0.97-1.03</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Education Sector Program 2</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MEHRD Performance Assessment Report</w:t>
            </w:r>
          </w:p>
        </w:tc>
      </w:tr>
      <w:tr w:rsidR="00D012B2" w:rsidRPr="00CF1044" w:rsidTr="005B50CB">
        <w:trPr>
          <w:trHeight w:val="570"/>
        </w:trPr>
        <w:tc>
          <w:tcPr>
            <w:tcW w:w="2280" w:type="dxa"/>
            <w:vMerge w:val="restart"/>
            <w:tcBorders>
              <w:top w:val="nil"/>
              <w:left w:val="single" w:sz="4" w:space="0" w:color="auto"/>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Outcome 2:</w:t>
            </w:r>
            <w:r w:rsidRPr="00CF1044">
              <w:rPr>
                <w:rFonts w:ascii="Calibri" w:eastAsia="Times New Roman" w:hAnsi="Calibri" w:cs="Times New Roman"/>
                <w:color w:val="000000"/>
                <w:sz w:val="18"/>
                <w:szCs w:val="18"/>
                <w:lang w:val="en-AU" w:eastAsia="en-AU"/>
              </w:rPr>
              <w:t xml:space="preserve"> Solomo</w:t>
            </w:r>
            <w:r w:rsidRPr="00CF1044">
              <w:rPr>
                <w:rFonts w:ascii="Calibri" w:eastAsia="Times New Roman" w:hAnsi="Calibri" w:cs="Times New Roman"/>
                <w:color w:val="auto"/>
                <w:sz w:val="18"/>
                <w:szCs w:val="18"/>
                <w:lang w:val="en-AU" w:eastAsia="en-AU"/>
              </w:rPr>
              <w:t>n Islands Government  manages education resources efficiently and effectively</w:t>
            </w: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2.1 Recurrent budget execution rate (%) for education </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95%</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90%</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90%</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90%</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90%</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Education Sector Program 2</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MEHRD Performance Assessment Report</w:t>
            </w:r>
          </w:p>
        </w:tc>
      </w:tr>
      <w:tr w:rsidR="00D012B2" w:rsidRPr="00CF1044" w:rsidTr="005B50CB">
        <w:trPr>
          <w:trHeight w:val="585"/>
        </w:trPr>
        <w:tc>
          <w:tcPr>
            <w:tcW w:w="2280" w:type="dxa"/>
            <w:vMerge/>
            <w:tcBorders>
              <w:top w:val="nil"/>
              <w:left w:val="single" w:sz="4" w:space="0" w:color="auto"/>
              <w:bottom w:val="single" w:sz="4" w:space="0" w:color="auto"/>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2.2 Percentage of national budget directed to education</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23%</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24%</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Greater or equal to 22%</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29%</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Greater or equal to 22%</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Education Sector Program 2</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MEHRD Annual Report</w:t>
            </w:r>
          </w:p>
        </w:tc>
      </w:tr>
      <w:tr w:rsidR="00D012B2" w:rsidRPr="00CF1044" w:rsidTr="005B50CB">
        <w:trPr>
          <w:trHeight w:val="975"/>
        </w:trPr>
        <w:tc>
          <w:tcPr>
            <w:tcW w:w="2280" w:type="dxa"/>
            <w:vMerge/>
            <w:tcBorders>
              <w:top w:val="nil"/>
              <w:left w:val="single" w:sz="4" w:space="0" w:color="auto"/>
              <w:bottom w:val="single" w:sz="4" w:space="0" w:color="auto"/>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2.3 Total budget allocated per unit to primary education</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$2,610 (by G Dawson methodology)</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$2,671 (by G Dawson methodology) $677 by B McNaughton meth</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Increases year-on-year</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$733 (by B McNaughton methodology)</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Increases year-on-year</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Education Sector Program 2</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Annual Independent Performance Assessment - Edcn</w:t>
            </w:r>
          </w:p>
        </w:tc>
      </w:tr>
      <w:tr w:rsidR="00D012B2" w:rsidRPr="00CF1044" w:rsidTr="005B50CB">
        <w:trPr>
          <w:trHeight w:val="1065"/>
        </w:trPr>
        <w:tc>
          <w:tcPr>
            <w:tcW w:w="2280" w:type="dxa"/>
            <w:vMerge/>
            <w:tcBorders>
              <w:top w:val="nil"/>
              <w:left w:val="single" w:sz="4" w:space="0" w:color="auto"/>
              <w:bottom w:val="single" w:sz="4" w:space="0" w:color="auto"/>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2.4 Number of new classrooms (including science labs, home economics labs &amp; technology workshops) built/upgraded </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xml:space="preserve">- </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79</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50 new classrooms per year from 2015</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74</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50 new classrooms per year from 2015</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Education Sector Program 2</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MEHRD Annual Report</w:t>
            </w:r>
          </w:p>
        </w:tc>
      </w:tr>
      <w:tr w:rsidR="00D012B2" w:rsidRPr="00CF1044" w:rsidTr="005B50CB">
        <w:trPr>
          <w:trHeight w:val="1560"/>
        </w:trPr>
        <w:tc>
          <w:tcPr>
            <w:tcW w:w="2280" w:type="dxa"/>
            <w:tcBorders>
              <w:top w:val="nil"/>
              <w:left w:val="single" w:sz="4" w:space="0" w:color="auto"/>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Outcome 3: </w:t>
            </w:r>
            <w:r w:rsidRPr="00CF1044">
              <w:rPr>
                <w:rFonts w:ascii="Calibri" w:eastAsia="Times New Roman" w:hAnsi="Calibri" w:cs="Times New Roman"/>
                <w:color w:val="000000"/>
                <w:sz w:val="18"/>
                <w:szCs w:val="18"/>
                <w:lang w:val="en-AU" w:eastAsia="en-AU"/>
              </w:rPr>
              <w:t xml:space="preserve"> </w:t>
            </w:r>
            <w:r w:rsidRPr="00CF1044">
              <w:rPr>
                <w:rFonts w:ascii="Calibri" w:eastAsia="Times New Roman" w:hAnsi="Calibri" w:cs="Times New Roman"/>
                <w:color w:val="auto"/>
                <w:sz w:val="18"/>
                <w:szCs w:val="18"/>
                <w:lang w:val="en-AU" w:eastAsia="en-AU"/>
              </w:rPr>
              <w:t>Scholarship graduates have the skills and knowledge needed to increase national productivity and competitiveness</w:t>
            </w: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3.1 Proportion of Australia Awards recipients (men and women) who complete their study successfully </w:t>
            </w:r>
          </w:p>
        </w:tc>
        <w:tc>
          <w:tcPr>
            <w:tcW w:w="1559" w:type="dxa"/>
            <w:tcBorders>
              <w:top w:val="nil"/>
              <w:left w:val="nil"/>
              <w:bottom w:val="single" w:sz="4" w:space="0" w:color="auto"/>
              <w:right w:val="single" w:sz="4" w:space="0" w:color="auto"/>
            </w:tcBorders>
            <w:shd w:val="clear" w:color="auto" w:fill="F8F8F8"/>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87%</w:t>
            </w:r>
          </w:p>
        </w:tc>
        <w:tc>
          <w:tcPr>
            <w:tcW w:w="1417" w:type="dxa"/>
            <w:tcBorders>
              <w:top w:val="nil"/>
              <w:left w:val="nil"/>
              <w:bottom w:val="single" w:sz="4" w:space="0" w:color="auto"/>
              <w:right w:val="single" w:sz="4" w:space="0" w:color="auto"/>
            </w:tcBorders>
            <w:shd w:val="clear" w:color="auto" w:fill="F8F8F8"/>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85.40%</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85%</w:t>
            </w:r>
          </w:p>
        </w:tc>
        <w:tc>
          <w:tcPr>
            <w:tcW w:w="1417" w:type="dxa"/>
            <w:tcBorders>
              <w:top w:val="nil"/>
              <w:left w:val="nil"/>
              <w:bottom w:val="single" w:sz="4" w:space="0" w:color="auto"/>
              <w:right w:val="single" w:sz="4" w:space="0" w:color="auto"/>
            </w:tcBorders>
            <w:shd w:val="clear" w:color="auto" w:fill="D8DCDB" w:themeFill="background2"/>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90%</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85%</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Australia Awards</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OASIS reports</w:t>
            </w:r>
          </w:p>
        </w:tc>
      </w:tr>
    </w:tbl>
    <w:p w:rsidR="00D012B2" w:rsidRDefault="00D012B2" w:rsidP="00D012B2">
      <w:r>
        <w:br w:type="page"/>
      </w:r>
    </w:p>
    <w:tbl>
      <w:tblPr>
        <w:tblW w:w="15406" w:type="dxa"/>
        <w:tblLook w:val="04A0" w:firstRow="1" w:lastRow="0" w:firstColumn="1" w:lastColumn="0" w:noHBand="0" w:noVBand="1"/>
      </w:tblPr>
      <w:tblGrid>
        <w:gridCol w:w="2280"/>
        <w:gridCol w:w="2677"/>
        <w:gridCol w:w="1559"/>
        <w:gridCol w:w="1417"/>
        <w:gridCol w:w="1418"/>
        <w:gridCol w:w="1417"/>
        <w:gridCol w:w="1418"/>
        <w:gridCol w:w="1559"/>
        <w:gridCol w:w="1661"/>
      </w:tblGrid>
      <w:tr w:rsidR="00D012B2" w:rsidRPr="00CF1044" w:rsidTr="006C67A5">
        <w:trPr>
          <w:trHeight w:val="465"/>
        </w:trPr>
        <w:tc>
          <w:tcPr>
            <w:tcW w:w="15406" w:type="dxa"/>
            <w:gridSpan w:val="9"/>
            <w:tcBorders>
              <w:top w:val="single" w:sz="4" w:space="0" w:color="auto"/>
              <w:left w:val="single" w:sz="4" w:space="0" w:color="auto"/>
              <w:bottom w:val="single" w:sz="4" w:space="0" w:color="auto"/>
              <w:right w:val="single" w:sz="4" w:space="0" w:color="auto"/>
            </w:tcBorders>
            <w:shd w:val="clear" w:color="auto" w:fill="DDECD0" w:themeFill="accent3" w:themeFillTint="66"/>
            <w:noWrap/>
            <w:vAlign w:val="bottom"/>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lastRenderedPageBreak/>
              <w:t>Sub-objective: Fewer lives lost and better health outcomes</w:t>
            </w:r>
          </w:p>
        </w:tc>
      </w:tr>
      <w:tr w:rsidR="00D012B2" w:rsidRPr="00CF1044" w:rsidTr="006C67A5">
        <w:trPr>
          <w:trHeight w:val="480"/>
        </w:trPr>
        <w:tc>
          <w:tcPr>
            <w:tcW w:w="2280" w:type="dxa"/>
            <w:vMerge w:val="restart"/>
            <w:tcBorders>
              <w:top w:val="nil"/>
              <w:left w:val="single" w:sz="4" w:space="0" w:color="auto"/>
              <w:bottom w:val="single" w:sz="4" w:space="0" w:color="000000"/>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Sentinel indicators </w:t>
            </w: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Under-five mortality (per 1,000 live births)</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21</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24</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21</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27</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21</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Core indicator report</w:t>
            </w:r>
          </w:p>
        </w:tc>
      </w:tr>
      <w:tr w:rsidR="00D012B2" w:rsidRPr="00CF1044" w:rsidTr="006C67A5">
        <w:trPr>
          <w:trHeight w:val="480"/>
        </w:trPr>
        <w:tc>
          <w:tcPr>
            <w:tcW w:w="2280" w:type="dxa"/>
            <w:vMerge/>
            <w:tcBorders>
              <w:top w:val="nil"/>
              <w:left w:val="single" w:sz="4" w:space="0" w:color="auto"/>
              <w:bottom w:val="single" w:sz="4" w:space="0" w:color="000000"/>
              <w:right w:val="single" w:sz="4" w:space="0" w:color="auto"/>
            </w:tcBorders>
            <w:shd w:val="clear" w:color="auto" w:fill="EEF5E7" w:themeFill="accent3" w:themeFillTint="33"/>
            <w:vAlign w:val="center"/>
            <w:hideMark/>
          </w:tcPr>
          <w:p w:rsidR="00D012B2" w:rsidRPr="00CF1044" w:rsidRDefault="00D012B2" w:rsidP="00D012B2">
            <w:pPr>
              <w:suppressAutoHyphens w:val="0"/>
              <w:spacing w:before="0" w:after="0" w:line="240" w:lineRule="auto"/>
              <w:rPr>
                <w:rFonts w:ascii="Calibri" w:eastAsia="Times New Roman" w:hAnsi="Calibri" w:cs="Times New Roman"/>
                <w:b/>
                <w:bCs/>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Child immunisation coverage</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75%</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83%</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87%</w:t>
            </w:r>
          </w:p>
        </w:tc>
        <w:tc>
          <w:tcPr>
            <w:tcW w:w="1417"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83%</w:t>
            </w:r>
          </w:p>
        </w:tc>
        <w:tc>
          <w:tcPr>
            <w:tcW w:w="1418"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87%</w:t>
            </w:r>
          </w:p>
        </w:tc>
        <w:tc>
          <w:tcPr>
            <w:tcW w:w="1559"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 </w:t>
            </w:r>
          </w:p>
        </w:tc>
        <w:tc>
          <w:tcPr>
            <w:tcW w:w="1661" w:type="dxa"/>
            <w:tcBorders>
              <w:top w:val="nil"/>
              <w:left w:val="nil"/>
              <w:bottom w:val="single" w:sz="4" w:space="0" w:color="auto"/>
              <w:right w:val="single" w:sz="4" w:space="0" w:color="auto"/>
            </w:tcBorders>
            <w:shd w:val="clear" w:color="auto" w:fill="EEF5E7" w:themeFill="accent3" w:themeFillTint="33"/>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Core indicator report</w:t>
            </w:r>
          </w:p>
        </w:tc>
      </w:tr>
      <w:tr w:rsidR="00D012B2" w:rsidRPr="00CF1044" w:rsidTr="005B50CB">
        <w:trPr>
          <w:trHeight w:val="720"/>
        </w:trPr>
        <w:tc>
          <w:tcPr>
            <w:tcW w:w="2280" w:type="dxa"/>
            <w:vMerge w:val="restart"/>
            <w:tcBorders>
              <w:top w:val="nil"/>
              <w:left w:val="single" w:sz="4" w:space="0" w:color="auto"/>
              <w:bottom w:val="nil"/>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Outcome 1:</w:t>
            </w:r>
            <w:r w:rsidRPr="00CF1044">
              <w:rPr>
                <w:rFonts w:ascii="Calibri" w:eastAsia="Times New Roman" w:hAnsi="Calibri" w:cs="Times New Roman"/>
                <w:color w:val="000000"/>
                <w:sz w:val="18"/>
                <w:szCs w:val="18"/>
                <w:lang w:val="en-AU" w:eastAsia="en-AU"/>
              </w:rPr>
              <w:t xml:space="preserve"> Improved health service delivery in targeted areas</w:t>
            </w: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 Availability of essential medicines at Provincial level medical stores *</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89%</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90%</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92%</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85%</w:t>
            </w:r>
          </w:p>
        </w:tc>
        <w:tc>
          <w:tcPr>
            <w:tcW w:w="1418" w:type="dxa"/>
            <w:tcBorders>
              <w:top w:val="nil"/>
              <w:left w:val="nil"/>
              <w:bottom w:val="single" w:sz="4" w:space="0" w:color="auto"/>
              <w:right w:val="nil"/>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FF0000"/>
                <w:sz w:val="18"/>
                <w:szCs w:val="18"/>
                <w:lang w:val="en-AU" w:eastAsia="en-AU"/>
              </w:rPr>
            </w:pPr>
            <w:r w:rsidRPr="00CF1044">
              <w:rPr>
                <w:rFonts w:ascii="Calibri" w:eastAsia="Times New Roman" w:hAnsi="Calibri" w:cs="Times New Roman"/>
                <w:color w:val="FF0000"/>
                <w:sz w:val="18"/>
                <w:szCs w:val="18"/>
                <w:lang w:val="en-AU" w:eastAsia="en-AU"/>
              </w:rPr>
              <w:t> </w:t>
            </w:r>
          </w:p>
        </w:tc>
        <w:tc>
          <w:tcPr>
            <w:tcW w:w="1559" w:type="dxa"/>
            <w:tcBorders>
              <w:top w:val="nil"/>
              <w:left w:val="single" w:sz="4" w:space="0" w:color="auto"/>
              <w:bottom w:val="nil"/>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Health Sector Support Program</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Program reporting</w:t>
            </w:r>
          </w:p>
        </w:tc>
      </w:tr>
      <w:tr w:rsidR="00D012B2" w:rsidRPr="00CF1044" w:rsidTr="005B50CB">
        <w:trPr>
          <w:trHeight w:val="1035"/>
        </w:trPr>
        <w:tc>
          <w:tcPr>
            <w:tcW w:w="2280" w:type="dxa"/>
            <w:vMerge/>
            <w:tcBorders>
              <w:top w:val="nil"/>
              <w:left w:val="single" w:sz="4" w:space="0" w:color="auto"/>
              <w:bottom w:val="nil"/>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 Number of family planning/contraceptive contacts at all health facilities per year (per 1000 of population)</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260</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344</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361</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413</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433.65</w:t>
            </w:r>
          </w:p>
        </w:tc>
        <w:tc>
          <w:tcPr>
            <w:tcW w:w="1559" w:type="dxa"/>
            <w:tcBorders>
              <w:top w:val="single" w:sz="4" w:space="0" w:color="auto"/>
              <w:left w:val="nil"/>
              <w:bottom w:val="nil"/>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Health Sector Support Program</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Core indicator report</w:t>
            </w:r>
          </w:p>
        </w:tc>
      </w:tr>
      <w:tr w:rsidR="00D012B2" w:rsidRPr="00CF1044" w:rsidTr="005B50CB">
        <w:trPr>
          <w:trHeight w:val="600"/>
        </w:trPr>
        <w:tc>
          <w:tcPr>
            <w:tcW w:w="2280" w:type="dxa"/>
            <w:vMerge/>
            <w:tcBorders>
              <w:top w:val="nil"/>
              <w:left w:val="single" w:sz="4" w:space="0" w:color="auto"/>
              <w:bottom w:val="nil"/>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1.3 Health care providers are trained in care of gender-based violence</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center"/>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75</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102</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auto"/>
                <w:sz w:val="18"/>
                <w:szCs w:val="18"/>
                <w:lang w:val="en-AU" w:eastAsia="en-AU"/>
              </w:rPr>
            </w:pPr>
            <w:r w:rsidRPr="00CF1044">
              <w:rPr>
                <w:rFonts w:ascii="Calibri" w:eastAsia="Times New Roman" w:hAnsi="Calibri" w:cs="Times New Roman"/>
                <w:color w:val="auto"/>
                <w:sz w:val="18"/>
                <w:szCs w:val="18"/>
                <w:lang w:val="en-AU" w:eastAsia="en-AU"/>
              </w:rPr>
              <w:t>150</w:t>
            </w:r>
          </w:p>
        </w:tc>
        <w:tc>
          <w:tcPr>
            <w:tcW w:w="1559" w:type="dxa"/>
            <w:tcBorders>
              <w:top w:val="single" w:sz="4" w:space="0" w:color="auto"/>
              <w:left w:val="nil"/>
              <w:bottom w:val="nil"/>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Health Sector Support Program</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Program reporting</w:t>
            </w:r>
          </w:p>
        </w:tc>
      </w:tr>
      <w:tr w:rsidR="00D012B2" w:rsidRPr="00CF1044" w:rsidTr="005B50CB">
        <w:trPr>
          <w:trHeight w:val="480"/>
        </w:trPr>
        <w:tc>
          <w:tcPr>
            <w:tcW w:w="2280" w:type="dxa"/>
            <w:vMerge/>
            <w:tcBorders>
              <w:top w:val="nil"/>
              <w:left w:val="single" w:sz="4" w:space="0" w:color="auto"/>
              <w:bottom w:val="nil"/>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1.4 Percentage of national budget directed to health</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12.0%</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12.5%</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12.5%</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11.8%</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12.5%</w:t>
            </w:r>
          </w:p>
        </w:tc>
        <w:tc>
          <w:tcPr>
            <w:tcW w:w="1559" w:type="dxa"/>
            <w:tcBorders>
              <w:top w:val="single" w:sz="4" w:space="0" w:color="auto"/>
              <w:left w:val="nil"/>
              <w:bottom w:val="nil"/>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Health Sector Support Program</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Program reporting</w:t>
            </w:r>
          </w:p>
        </w:tc>
      </w:tr>
      <w:tr w:rsidR="00D012B2" w:rsidRPr="00CF1044" w:rsidTr="005B50CB">
        <w:trPr>
          <w:trHeight w:val="720"/>
        </w:trPr>
        <w:tc>
          <w:tcPr>
            <w:tcW w:w="2280" w:type="dxa"/>
            <w:vMerge/>
            <w:tcBorders>
              <w:top w:val="nil"/>
              <w:left w:val="single" w:sz="4" w:space="0" w:color="auto"/>
              <w:bottom w:val="nil"/>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1.5  Percentage of national budget directed to provincial primary health services</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37%</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37.7%</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37%</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40%</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37%</w:t>
            </w:r>
          </w:p>
        </w:tc>
        <w:tc>
          <w:tcPr>
            <w:tcW w:w="1559" w:type="dxa"/>
            <w:tcBorders>
              <w:top w:val="single" w:sz="4" w:space="0" w:color="auto"/>
              <w:left w:val="nil"/>
              <w:bottom w:val="nil"/>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Health Sector Support Program</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Program reporting</w:t>
            </w:r>
          </w:p>
        </w:tc>
      </w:tr>
      <w:tr w:rsidR="00D012B2" w:rsidRPr="00CF1044" w:rsidTr="005B50CB">
        <w:trPr>
          <w:trHeight w:val="1200"/>
        </w:trPr>
        <w:tc>
          <w:tcPr>
            <w:tcW w:w="2280" w:type="dxa"/>
            <w:vMerge w:val="restart"/>
            <w:tcBorders>
              <w:top w:val="single" w:sz="4" w:space="0" w:color="auto"/>
              <w:left w:val="single" w:sz="4" w:space="0" w:color="auto"/>
              <w:bottom w:val="single" w:sz="4" w:space="0" w:color="000000"/>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b/>
                <w:bCs/>
                <w:color w:val="000000"/>
                <w:sz w:val="18"/>
                <w:szCs w:val="18"/>
                <w:lang w:val="en-AU" w:eastAsia="en-AU"/>
              </w:rPr>
              <w:t xml:space="preserve">Outcome 2: </w:t>
            </w:r>
            <w:r w:rsidRPr="00CF1044">
              <w:rPr>
                <w:rFonts w:ascii="Calibri" w:eastAsia="Times New Roman" w:hAnsi="Calibri" w:cs="Times New Roman"/>
                <w:color w:val="000000"/>
                <w:sz w:val="18"/>
                <w:szCs w:val="18"/>
                <w:lang w:val="en-AU" w:eastAsia="en-AU"/>
              </w:rPr>
              <w:t>Improved ability if the MoH to deliver health services</w:t>
            </w: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2.1 Priority national health reform policies adopted</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Role delineation policy adopted. </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Role delineation policy adopted. </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Role Delineation Policy impl'tn  targets agreed (various)</w:t>
            </w:r>
          </w:p>
        </w:tc>
        <w:tc>
          <w:tcPr>
            <w:tcW w:w="1559" w:type="dxa"/>
            <w:tcBorders>
              <w:top w:val="single" w:sz="4" w:space="0" w:color="auto"/>
              <w:left w:val="nil"/>
              <w:bottom w:val="nil"/>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Health Sector Support Program</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Program reporting</w:t>
            </w:r>
          </w:p>
        </w:tc>
      </w:tr>
      <w:tr w:rsidR="00D012B2" w:rsidRPr="00CF1044" w:rsidTr="005B50CB">
        <w:trPr>
          <w:trHeight w:val="480"/>
        </w:trPr>
        <w:tc>
          <w:tcPr>
            <w:tcW w:w="2280" w:type="dxa"/>
            <w:vMerge/>
            <w:tcBorders>
              <w:top w:val="single" w:sz="4" w:space="0" w:color="auto"/>
              <w:left w:val="single" w:sz="4" w:space="0" w:color="auto"/>
              <w:bottom w:val="single" w:sz="4" w:space="0" w:color="000000"/>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2.2  Percent of AOPs and budgets submitted by Provinces</w:t>
            </w:r>
          </w:p>
        </w:tc>
        <w:tc>
          <w:tcPr>
            <w:tcW w:w="1559"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100%</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100%</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100%</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100%</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100%</w:t>
            </w:r>
          </w:p>
        </w:tc>
        <w:tc>
          <w:tcPr>
            <w:tcW w:w="1559" w:type="dxa"/>
            <w:tcBorders>
              <w:top w:val="single" w:sz="4" w:space="0" w:color="auto"/>
              <w:left w:val="nil"/>
              <w:bottom w:val="nil"/>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Health Sector Support Program</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Program reporting</w:t>
            </w:r>
          </w:p>
        </w:tc>
      </w:tr>
      <w:tr w:rsidR="00D012B2" w:rsidRPr="00CF1044" w:rsidTr="005B50CB">
        <w:trPr>
          <w:trHeight w:val="480"/>
        </w:trPr>
        <w:tc>
          <w:tcPr>
            <w:tcW w:w="2280" w:type="dxa"/>
            <w:vMerge/>
            <w:tcBorders>
              <w:top w:val="single" w:sz="4" w:space="0" w:color="auto"/>
              <w:left w:val="single" w:sz="4" w:space="0" w:color="auto"/>
              <w:bottom w:val="single" w:sz="4" w:space="0" w:color="000000"/>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p>
        </w:tc>
        <w:tc>
          <w:tcPr>
            <w:tcW w:w="267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2.3 Percent of imprests that are less than 90 days overview from Provinces</w:t>
            </w:r>
          </w:p>
        </w:tc>
        <w:tc>
          <w:tcPr>
            <w:tcW w:w="1559" w:type="dxa"/>
            <w:tcBorders>
              <w:top w:val="nil"/>
              <w:left w:val="nil"/>
              <w:bottom w:val="single" w:sz="4" w:space="0" w:color="auto"/>
              <w:right w:val="single" w:sz="4" w:space="0" w:color="auto"/>
            </w:tcBorders>
            <w:shd w:val="clear" w:color="auto" w:fill="F8F8F8"/>
            <w:noWrap/>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7"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100%</w:t>
            </w:r>
          </w:p>
        </w:tc>
        <w:tc>
          <w:tcPr>
            <w:tcW w:w="1417" w:type="dxa"/>
            <w:tcBorders>
              <w:top w:val="nil"/>
              <w:left w:val="nil"/>
              <w:bottom w:val="single" w:sz="4" w:space="0" w:color="auto"/>
              <w:right w:val="single" w:sz="4" w:space="0" w:color="auto"/>
            </w:tcBorders>
            <w:shd w:val="clear" w:color="auto" w:fill="D8DCDB" w:themeFill="background2"/>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77%</w:t>
            </w:r>
          </w:p>
        </w:tc>
        <w:tc>
          <w:tcPr>
            <w:tcW w:w="1418"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jc w:val="right"/>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100%</w:t>
            </w:r>
          </w:p>
        </w:tc>
        <w:tc>
          <w:tcPr>
            <w:tcW w:w="1559" w:type="dxa"/>
            <w:tcBorders>
              <w:top w:val="single" w:sz="4" w:space="0" w:color="auto"/>
              <w:left w:val="nil"/>
              <w:bottom w:val="single" w:sz="4" w:space="0" w:color="auto"/>
              <w:right w:val="single" w:sz="4" w:space="0" w:color="auto"/>
            </w:tcBorders>
            <w:shd w:val="clear" w:color="auto" w:fill="F8F8F8"/>
            <w:vAlign w:val="center"/>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Health Sector Support Program</w:t>
            </w:r>
          </w:p>
        </w:tc>
        <w:tc>
          <w:tcPr>
            <w:tcW w:w="1661" w:type="dxa"/>
            <w:tcBorders>
              <w:top w:val="nil"/>
              <w:left w:val="nil"/>
              <w:bottom w:val="single" w:sz="4" w:space="0" w:color="auto"/>
              <w:right w:val="single" w:sz="4" w:space="0" w:color="auto"/>
            </w:tcBorders>
            <w:shd w:val="clear" w:color="auto" w:fill="F8F8F8"/>
            <w:hideMark/>
          </w:tcPr>
          <w:p w:rsidR="00D012B2" w:rsidRPr="00CF1044" w:rsidRDefault="00D012B2" w:rsidP="00D012B2">
            <w:pPr>
              <w:suppressAutoHyphens w:val="0"/>
              <w:spacing w:before="0" w:after="0" w:line="240" w:lineRule="auto"/>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Program reporting</w:t>
            </w:r>
          </w:p>
        </w:tc>
      </w:tr>
    </w:tbl>
    <w:p w:rsidR="00D012B2" w:rsidRDefault="00D012B2" w:rsidP="00D012B2">
      <w:pPr>
        <w:rPr>
          <w:rFonts w:ascii="Calibri" w:eastAsia="Times New Roman" w:hAnsi="Calibri" w:cs="Times New Roman"/>
          <w:color w:val="000000"/>
          <w:sz w:val="18"/>
          <w:szCs w:val="18"/>
          <w:lang w:val="en-AU" w:eastAsia="en-AU"/>
        </w:rPr>
      </w:pPr>
      <w:r w:rsidRPr="00CF1044">
        <w:rPr>
          <w:rFonts w:ascii="Calibri" w:eastAsia="Times New Roman" w:hAnsi="Calibri" w:cs="Times New Roman"/>
          <w:color w:val="000000"/>
          <w:sz w:val="18"/>
          <w:szCs w:val="18"/>
          <w:lang w:val="en-AU" w:eastAsia="en-AU"/>
        </w:rPr>
        <w:t xml:space="preserve">* AIP Performance benchmark </w:t>
      </w:r>
    </w:p>
    <w:p w:rsidR="00D012B2" w:rsidRPr="00CF1044" w:rsidRDefault="00D012B2" w:rsidP="00D012B2">
      <w:pPr>
        <w:rPr>
          <w:sz w:val="16"/>
        </w:rPr>
      </w:pPr>
      <w:r w:rsidRPr="00CF1044">
        <w:rPr>
          <w:rFonts w:ascii="Calibri" w:eastAsia="Times New Roman" w:hAnsi="Calibri" w:cs="Times New Roman"/>
          <w:color w:val="000000"/>
          <w:sz w:val="18"/>
          <w:szCs w:val="18"/>
          <w:lang w:val="en-AU" w:eastAsia="en-AU"/>
        </w:rPr>
        <w:t># Vocational education indicators are listed under Objective 2.</w:t>
      </w:r>
    </w:p>
    <w:p w:rsidR="00027E82" w:rsidRDefault="00027E82" w:rsidP="00784031"/>
    <w:p w:rsidR="00CA7DD8" w:rsidRDefault="00CA7DD8" w:rsidP="00784031">
      <w:pPr>
        <w:sectPr w:rsidR="00CA7DD8" w:rsidSect="00784031">
          <w:headerReference w:type="default" r:id="rId33"/>
          <w:pgSz w:w="16838" w:h="11906" w:orient="landscape" w:code="9"/>
          <w:pgMar w:top="1134" w:right="1527" w:bottom="1134" w:left="851" w:header="1418" w:footer="267" w:gutter="0"/>
          <w:cols w:space="397"/>
          <w:docGrid w:linePitch="360"/>
        </w:sectPr>
      </w:pPr>
    </w:p>
    <w:p w:rsidR="00CA7DD8" w:rsidRDefault="00CA7DD8" w:rsidP="00784031"/>
    <w:p w:rsidR="00BE737D" w:rsidRDefault="00BE737D" w:rsidP="00BE737D">
      <w:pPr>
        <w:rPr>
          <w:rFonts w:eastAsiaTheme="majorEastAsia" w:cstheme="majorBidi"/>
          <w:bCs/>
          <w:iCs/>
          <w:caps/>
          <w:spacing w:val="-10"/>
          <w:kern w:val="28"/>
          <w:sz w:val="38"/>
          <w:szCs w:val="24"/>
        </w:rPr>
      </w:pPr>
      <w:r w:rsidRPr="00BE737D">
        <w:rPr>
          <w:rFonts w:eastAsiaTheme="majorEastAsia" w:cstheme="majorBidi"/>
          <w:bCs/>
          <w:iCs/>
          <w:caps/>
          <w:spacing w:val="-10"/>
          <w:kern w:val="28"/>
          <w:sz w:val="38"/>
          <w:szCs w:val="24"/>
        </w:rPr>
        <w:t>Appendix 1: 2030 AGENDA FOR SUSTAINABLE DEVELOPMENT INFOGRAPHICS</w:t>
      </w:r>
    </w:p>
    <w:tbl>
      <w:tblPr>
        <w:tblStyle w:val="TableGrid"/>
        <w:tblW w:w="9351" w:type="dxa"/>
        <w:tblBorders>
          <w:top w:val="single" w:sz="4" w:space="0" w:color="FFFFFF" w:themeColor="background1"/>
          <w:left w:val="single" w:sz="4" w:space="0" w:color="FFFFFF" w:themeColor="background1"/>
          <w:bottom w:val="single" w:sz="4" w:space="0" w:color="FFFFFF" w:themeColor="background1"/>
          <w:right w:val="none" w:sz="0" w:space="0" w:color="auto"/>
          <w:insideH w:val="single" w:sz="4" w:space="0" w:color="FFFFFF" w:themeColor="background1"/>
          <w:insideV w:val="none" w:sz="0" w:space="0" w:color="auto"/>
        </w:tblBorders>
        <w:shd w:val="clear" w:color="auto" w:fill="D7DEE2" w:themeFill="text2" w:themeFillTint="33"/>
        <w:tblLook w:val="04A0" w:firstRow="1" w:lastRow="0" w:firstColumn="1" w:lastColumn="0" w:noHBand="0" w:noVBand="1"/>
      </w:tblPr>
      <w:tblGrid>
        <w:gridCol w:w="1271"/>
        <w:gridCol w:w="2977"/>
        <w:gridCol w:w="283"/>
        <w:gridCol w:w="1276"/>
        <w:gridCol w:w="3544"/>
      </w:tblGrid>
      <w:tr w:rsidR="00BE737D" w:rsidTr="00D85B01">
        <w:trPr>
          <w:trHeight w:val="1156"/>
        </w:trPr>
        <w:tc>
          <w:tcPr>
            <w:tcW w:w="1271" w:type="dxa"/>
            <w:shd w:val="clear" w:color="auto" w:fill="D7DEE2" w:themeFill="text2" w:themeFillTint="33"/>
          </w:tcPr>
          <w:p w:rsidR="00BE737D" w:rsidRDefault="00BE737D" w:rsidP="00D85B01">
            <w:pPr>
              <w:spacing w:before="80" w:after="80"/>
            </w:pPr>
            <w:r w:rsidRPr="00F75380">
              <w:rPr>
                <w:noProof/>
                <w:lang w:val="en-AU" w:eastAsia="en-AU"/>
              </w:rPr>
              <w:drawing>
                <wp:inline distT="0" distB="0" distL="0" distR="0" wp14:anchorId="333BB429" wp14:editId="147B5600">
                  <wp:extent cx="612000" cy="612000"/>
                  <wp:effectExtent l="0" t="0" r="0" b="0"/>
                  <wp:docPr id="20" name="Picture 20" descr="\\TITAN\CHCH\Desktop\scarpen2\Desktop\New folder (2)\SD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AN\CHCH\Desktop\scarpen2\Desktop\New folder (2)\SDG 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85B01">
            <w:pPr>
              <w:spacing w:before="80" w:after="80"/>
              <w:rPr>
                <w:sz w:val="16"/>
              </w:rPr>
            </w:pPr>
            <w:r w:rsidRPr="00AB289B">
              <w:rPr>
                <w:sz w:val="16"/>
              </w:rPr>
              <w:t>End poverty in all its</w:t>
            </w:r>
            <w:r>
              <w:rPr>
                <w:sz w:val="16"/>
              </w:rPr>
              <w:t xml:space="preserve"> </w:t>
            </w:r>
            <w:r w:rsidRPr="00AB289B">
              <w:rPr>
                <w:sz w:val="16"/>
              </w:rPr>
              <w:t>forms everywhere</w:t>
            </w:r>
          </w:p>
        </w:tc>
        <w:tc>
          <w:tcPr>
            <w:tcW w:w="283" w:type="dxa"/>
            <w:shd w:val="clear" w:color="auto" w:fill="D7DEE2" w:themeFill="text2" w:themeFillTint="33"/>
          </w:tcPr>
          <w:p w:rsidR="00BE737D" w:rsidRDefault="00BE737D" w:rsidP="00D85B01"/>
        </w:tc>
        <w:tc>
          <w:tcPr>
            <w:tcW w:w="1276"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5A9EEDF4" wp14:editId="1E1B8D13">
                  <wp:extent cx="612000" cy="612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DG 10.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85B01">
            <w:pPr>
              <w:spacing w:before="80" w:after="80"/>
              <w:rPr>
                <w:sz w:val="16"/>
              </w:rPr>
            </w:pPr>
            <w:r w:rsidRPr="00AB289B">
              <w:rPr>
                <w:sz w:val="16"/>
              </w:rPr>
              <w:t>Reduce inequality within</w:t>
            </w:r>
            <w:r>
              <w:rPr>
                <w:sz w:val="16"/>
              </w:rPr>
              <w:t xml:space="preserve"> </w:t>
            </w:r>
            <w:r w:rsidRPr="00AB289B">
              <w:rPr>
                <w:sz w:val="16"/>
              </w:rPr>
              <w:t>and among countries</w:t>
            </w:r>
          </w:p>
        </w:tc>
      </w:tr>
      <w:tr w:rsidR="00BE737D" w:rsidTr="00D85B01">
        <w:tc>
          <w:tcPr>
            <w:tcW w:w="1271"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21FFC6CE" wp14:editId="6C7A8973">
                  <wp:extent cx="612000" cy="612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G 2.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85B01">
            <w:pPr>
              <w:spacing w:before="80" w:after="80"/>
              <w:rPr>
                <w:sz w:val="16"/>
              </w:rPr>
            </w:pPr>
            <w:r w:rsidRPr="00AB289B">
              <w:rPr>
                <w:sz w:val="16"/>
              </w:rPr>
              <w:t>End hunger, achieve</w:t>
            </w:r>
            <w:r>
              <w:rPr>
                <w:sz w:val="16"/>
              </w:rPr>
              <w:t xml:space="preserve"> </w:t>
            </w:r>
            <w:r w:rsidRPr="00AB289B">
              <w:rPr>
                <w:sz w:val="16"/>
              </w:rPr>
              <w:t>food security and</w:t>
            </w:r>
            <w:r>
              <w:rPr>
                <w:sz w:val="16"/>
              </w:rPr>
              <w:t xml:space="preserve"> </w:t>
            </w:r>
            <w:r w:rsidRPr="00AB289B">
              <w:rPr>
                <w:sz w:val="16"/>
              </w:rPr>
              <w:t>improved nutrition and</w:t>
            </w:r>
            <w:r>
              <w:rPr>
                <w:sz w:val="16"/>
              </w:rPr>
              <w:t xml:space="preserve"> </w:t>
            </w:r>
            <w:r w:rsidRPr="00AB289B">
              <w:rPr>
                <w:sz w:val="16"/>
              </w:rPr>
              <w:t>promote sustainable</w:t>
            </w:r>
            <w:r>
              <w:rPr>
                <w:sz w:val="16"/>
              </w:rPr>
              <w:t xml:space="preserve"> </w:t>
            </w:r>
            <w:r w:rsidRPr="00AB289B">
              <w:rPr>
                <w:sz w:val="16"/>
              </w:rPr>
              <w:t>agriculture</w:t>
            </w:r>
          </w:p>
        </w:tc>
        <w:tc>
          <w:tcPr>
            <w:tcW w:w="283" w:type="dxa"/>
            <w:shd w:val="clear" w:color="auto" w:fill="D7DEE2" w:themeFill="text2" w:themeFillTint="33"/>
          </w:tcPr>
          <w:p w:rsidR="00BE737D" w:rsidRDefault="00BE737D" w:rsidP="00D85B01"/>
        </w:tc>
        <w:tc>
          <w:tcPr>
            <w:tcW w:w="1276"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33F7FEF5" wp14:editId="4BFCD259">
                  <wp:extent cx="612000" cy="612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 1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85B01">
            <w:pPr>
              <w:spacing w:before="80" w:after="80"/>
              <w:rPr>
                <w:sz w:val="16"/>
              </w:rPr>
            </w:pPr>
            <w:r w:rsidRPr="00AB289B">
              <w:rPr>
                <w:sz w:val="16"/>
              </w:rPr>
              <w:t>Make cities and human</w:t>
            </w:r>
            <w:r>
              <w:rPr>
                <w:sz w:val="16"/>
              </w:rPr>
              <w:t xml:space="preserve"> </w:t>
            </w:r>
            <w:r w:rsidRPr="00AB289B">
              <w:rPr>
                <w:sz w:val="16"/>
              </w:rPr>
              <w:t>settlements inclusive,</w:t>
            </w:r>
            <w:r>
              <w:rPr>
                <w:sz w:val="16"/>
              </w:rPr>
              <w:t xml:space="preserve"> </w:t>
            </w:r>
            <w:r w:rsidRPr="00AB289B">
              <w:rPr>
                <w:sz w:val="16"/>
              </w:rPr>
              <w:t>safe, resilient and</w:t>
            </w:r>
            <w:r>
              <w:rPr>
                <w:sz w:val="16"/>
              </w:rPr>
              <w:t xml:space="preserve"> </w:t>
            </w:r>
            <w:r w:rsidRPr="00AB289B">
              <w:rPr>
                <w:sz w:val="16"/>
              </w:rPr>
              <w:t>sustainable</w:t>
            </w:r>
          </w:p>
        </w:tc>
      </w:tr>
      <w:tr w:rsidR="00BE737D" w:rsidTr="00D85B01">
        <w:tc>
          <w:tcPr>
            <w:tcW w:w="1271"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3D1E75E7" wp14:editId="549DE307">
                  <wp:extent cx="612000" cy="612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 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85B01">
            <w:pPr>
              <w:spacing w:before="80" w:after="80"/>
              <w:rPr>
                <w:sz w:val="16"/>
              </w:rPr>
            </w:pPr>
            <w:r w:rsidRPr="00AB289B">
              <w:rPr>
                <w:sz w:val="16"/>
              </w:rPr>
              <w:t>Ensure healthy lives</w:t>
            </w:r>
            <w:r>
              <w:rPr>
                <w:sz w:val="16"/>
              </w:rPr>
              <w:t xml:space="preserve"> </w:t>
            </w:r>
            <w:r w:rsidRPr="00AB289B">
              <w:rPr>
                <w:sz w:val="16"/>
              </w:rPr>
              <w:t>and promote well-being</w:t>
            </w:r>
            <w:r>
              <w:rPr>
                <w:sz w:val="16"/>
              </w:rPr>
              <w:t xml:space="preserve"> </w:t>
            </w:r>
            <w:r w:rsidRPr="00AB289B">
              <w:rPr>
                <w:sz w:val="16"/>
              </w:rPr>
              <w:t>at all ages</w:t>
            </w:r>
          </w:p>
        </w:tc>
        <w:tc>
          <w:tcPr>
            <w:tcW w:w="283" w:type="dxa"/>
            <w:shd w:val="clear" w:color="auto" w:fill="D7DEE2" w:themeFill="text2" w:themeFillTint="33"/>
          </w:tcPr>
          <w:p w:rsidR="00BE737D" w:rsidRDefault="00BE737D" w:rsidP="00D85B01"/>
        </w:tc>
        <w:tc>
          <w:tcPr>
            <w:tcW w:w="1276"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481B61A7" wp14:editId="5D7E22E6">
                  <wp:extent cx="612000" cy="612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DG 1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85B01">
            <w:pPr>
              <w:spacing w:before="80" w:after="80"/>
              <w:rPr>
                <w:sz w:val="16"/>
              </w:rPr>
            </w:pPr>
            <w:r w:rsidRPr="00AB289B">
              <w:rPr>
                <w:sz w:val="16"/>
              </w:rPr>
              <w:t>Ensure sustainable</w:t>
            </w:r>
            <w:r>
              <w:rPr>
                <w:sz w:val="16"/>
              </w:rPr>
              <w:t xml:space="preserve"> </w:t>
            </w:r>
            <w:r w:rsidRPr="00AB289B">
              <w:rPr>
                <w:sz w:val="16"/>
              </w:rPr>
              <w:t>consumption and</w:t>
            </w:r>
            <w:r>
              <w:rPr>
                <w:sz w:val="16"/>
              </w:rPr>
              <w:t xml:space="preserve"> </w:t>
            </w:r>
            <w:r w:rsidRPr="00AB289B">
              <w:rPr>
                <w:sz w:val="16"/>
              </w:rPr>
              <w:t>production patterns</w:t>
            </w:r>
          </w:p>
        </w:tc>
      </w:tr>
      <w:tr w:rsidR="00BE737D" w:rsidTr="00D85B01">
        <w:tc>
          <w:tcPr>
            <w:tcW w:w="1271"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4B0DCC96" wp14:editId="6B6E7A12">
                  <wp:extent cx="612000" cy="612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DG 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85B01">
            <w:pPr>
              <w:spacing w:before="80" w:after="80"/>
              <w:rPr>
                <w:sz w:val="16"/>
              </w:rPr>
            </w:pPr>
            <w:r w:rsidRPr="00AB289B">
              <w:rPr>
                <w:sz w:val="16"/>
              </w:rPr>
              <w:t>Ensure inclusive and</w:t>
            </w:r>
            <w:r>
              <w:rPr>
                <w:sz w:val="16"/>
              </w:rPr>
              <w:t xml:space="preserve"> </w:t>
            </w:r>
            <w:r w:rsidRPr="00AB289B">
              <w:rPr>
                <w:sz w:val="16"/>
              </w:rPr>
              <w:t>equitable quality</w:t>
            </w:r>
            <w:r>
              <w:rPr>
                <w:sz w:val="16"/>
              </w:rPr>
              <w:t xml:space="preserve"> </w:t>
            </w:r>
            <w:r w:rsidRPr="00AB289B">
              <w:rPr>
                <w:sz w:val="16"/>
              </w:rPr>
              <w:t>education and promote</w:t>
            </w:r>
            <w:r>
              <w:rPr>
                <w:sz w:val="16"/>
              </w:rPr>
              <w:t xml:space="preserve"> </w:t>
            </w:r>
            <w:r w:rsidRPr="00AB289B">
              <w:rPr>
                <w:sz w:val="16"/>
              </w:rPr>
              <w:t>lifelong learning</w:t>
            </w:r>
            <w:r>
              <w:rPr>
                <w:sz w:val="16"/>
              </w:rPr>
              <w:t xml:space="preserve"> </w:t>
            </w:r>
            <w:r w:rsidRPr="00AB289B">
              <w:rPr>
                <w:sz w:val="16"/>
              </w:rPr>
              <w:t>opportunities for all</w:t>
            </w:r>
          </w:p>
        </w:tc>
        <w:tc>
          <w:tcPr>
            <w:tcW w:w="283" w:type="dxa"/>
            <w:shd w:val="clear" w:color="auto" w:fill="D7DEE2" w:themeFill="text2" w:themeFillTint="33"/>
          </w:tcPr>
          <w:p w:rsidR="00BE737D" w:rsidRDefault="00BE737D" w:rsidP="00D85B01"/>
        </w:tc>
        <w:tc>
          <w:tcPr>
            <w:tcW w:w="1276"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084DEDBE" wp14:editId="30A64666">
                  <wp:extent cx="612000" cy="61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DG 13.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85B01">
            <w:pPr>
              <w:spacing w:before="80" w:after="80"/>
              <w:rPr>
                <w:sz w:val="16"/>
              </w:rPr>
            </w:pPr>
            <w:r w:rsidRPr="00AB289B">
              <w:rPr>
                <w:sz w:val="16"/>
              </w:rPr>
              <w:t>Take urgent action to</w:t>
            </w:r>
            <w:r>
              <w:rPr>
                <w:sz w:val="16"/>
              </w:rPr>
              <w:t xml:space="preserve"> </w:t>
            </w:r>
            <w:r w:rsidRPr="00AB289B">
              <w:rPr>
                <w:sz w:val="16"/>
              </w:rPr>
              <w:t>combat climate change</w:t>
            </w:r>
            <w:r>
              <w:rPr>
                <w:sz w:val="16"/>
              </w:rPr>
              <w:t xml:space="preserve"> </w:t>
            </w:r>
            <w:r w:rsidRPr="00AB289B">
              <w:rPr>
                <w:sz w:val="16"/>
              </w:rPr>
              <w:t>and its impacts</w:t>
            </w:r>
          </w:p>
        </w:tc>
      </w:tr>
      <w:tr w:rsidR="00BE737D" w:rsidTr="00D85B01">
        <w:tc>
          <w:tcPr>
            <w:tcW w:w="1271"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75E78F9E" wp14:editId="4F7D9510">
                  <wp:extent cx="612000" cy="612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DG 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85B01">
            <w:pPr>
              <w:spacing w:before="80" w:after="80"/>
              <w:rPr>
                <w:sz w:val="16"/>
              </w:rPr>
            </w:pPr>
            <w:r w:rsidRPr="00AB289B">
              <w:rPr>
                <w:sz w:val="16"/>
              </w:rPr>
              <w:t>Achieve gender</w:t>
            </w:r>
            <w:r>
              <w:rPr>
                <w:sz w:val="16"/>
              </w:rPr>
              <w:t xml:space="preserve"> </w:t>
            </w:r>
            <w:r w:rsidRPr="00AB289B">
              <w:rPr>
                <w:sz w:val="16"/>
              </w:rPr>
              <w:t>equality and</w:t>
            </w:r>
            <w:r>
              <w:rPr>
                <w:sz w:val="16"/>
              </w:rPr>
              <w:t xml:space="preserve"> </w:t>
            </w:r>
            <w:r w:rsidRPr="00AB289B">
              <w:rPr>
                <w:sz w:val="16"/>
              </w:rPr>
              <w:t>empower all</w:t>
            </w:r>
            <w:r>
              <w:rPr>
                <w:sz w:val="16"/>
              </w:rPr>
              <w:t xml:space="preserve"> </w:t>
            </w:r>
            <w:r w:rsidRPr="00AB289B">
              <w:rPr>
                <w:sz w:val="16"/>
              </w:rPr>
              <w:t>women and girls</w:t>
            </w:r>
          </w:p>
        </w:tc>
        <w:tc>
          <w:tcPr>
            <w:tcW w:w="283" w:type="dxa"/>
            <w:shd w:val="clear" w:color="auto" w:fill="D7DEE2" w:themeFill="text2" w:themeFillTint="33"/>
          </w:tcPr>
          <w:p w:rsidR="00BE737D" w:rsidRDefault="00BE737D" w:rsidP="00D85B01"/>
        </w:tc>
        <w:tc>
          <w:tcPr>
            <w:tcW w:w="1276"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1FCC599C" wp14:editId="7D96847E">
                  <wp:extent cx="612000" cy="612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DG 14.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85B01">
            <w:pPr>
              <w:spacing w:before="80" w:after="80"/>
              <w:rPr>
                <w:sz w:val="16"/>
              </w:rPr>
            </w:pPr>
            <w:r w:rsidRPr="00AB289B">
              <w:rPr>
                <w:sz w:val="16"/>
              </w:rPr>
              <w:t>Conserve and sustainably</w:t>
            </w:r>
            <w:r>
              <w:rPr>
                <w:sz w:val="16"/>
              </w:rPr>
              <w:t xml:space="preserve"> </w:t>
            </w:r>
            <w:r w:rsidRPr="00AB289B">
              <w:rPr>
                <w:sz w:val="16"/>
              </w:rPr>
              <w:t>use the oceans, seas and</w:t>
            </w:r>
            <w:r>
              <w:rPr>
                <w:sz w:val="16"/>
              </w:rPr>
              <w:t xml:space="preserve"> </w:t>
            </w:r>
            <w:r w:rsidRPr="00AB289B">
              <w:rPr>
                <w:sz w:val="16"/>
              </w:rPr>
              <w:t>marine resources for</w:t>
            </w:r>
            <w:r>
              <w:rPr>
                <w:sz w:val="16"/>
              </w:rPr>
              <w:t xml:space="preserve"> </w:t>
            </w:r>
            <w:r w:rsidRPr="00AB289B">
              <w:rPr>
                <w:sz w:val="16"/>
              </w:rPr>
              <w:t>sustainable development</w:t>
            </w:r>
          </w:p>
        </w:tc>
      </w:tr>
      <w:tr w:rsidR="00BE737D" w:rsidTr="00D85B01">
        <w:tc>
          <w:tcPr>
            <w:tcW w:w="1271"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1265D947" wp14:editId="684D23E0">
                  <wp:extent cx="612000" cy="612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DG 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85B01">
            <w:pPr>
              <w:spacing w:before="80" w:after="80"/>
              <w:rPr>
                <w:sz w:val="16"/>
              </w:rPr>
            </w:pPr>
            <w:r w:rsidRPr="00AB289B">
              <w:rPr>
                <w:sz w:val="16"/>
              </w:rPr>
              <w:t>Ensure availability</w:t>
            </w:r>
            <w:r>
              <w:rPr>
                <w:sz w:val="16"/>
              </w:rPr>
              <w:t xml:space="preserve"> </w:t>
            </w:r>
            <w:r w:rsidRPr="00AB289B">
              <w:rPr>
                <w:sz w:val="16"/>
              </w:rPr>
              <w:t>and sustainability</w:t>
            </w:r>
            <w:r>
              <w:rPr>
                <w:sz w:val="16"/>
              </w:rPr>
              <w:t xml:space="preserve"> </w:t>
            </w:r>
            <w:r w:rsidRPr="00AB289B">
              <w:rPr>
                <w:sz w:val="16"/>
              </w:rPr>
              <w:t>management of water</w:t>
            </w:r>
            <w:r>
              <w:rPr>
                <w:sz w:val="16"/>
              </w:rPr>
              <w:t xml:space="preserve"> </w:t>
            </w:r>
            <w:r w:rsidRPr="00AB289B">
              <w:rPr>
                <w:sz w:val="16"/>
              </w:rPr>
              <w:t>and sanitation for all</w:t>
            </w:r>
          </w:p>
        </w:tc>
        <w:tc>
          <w:tcPr>
            <w:tcW w:w="283" w:type="dxa"/>
            <w:shd w:val="clear" w:color="auto" w:fill="D7DEE2" w:themeFill="text2" w:themeFillTint="33"/>
          </w:tcPr>
          <w:p w:rsidR="00BE737D" w:rsidRDefault="00BE737D" w:rsidP="00D85B01"/>
        </w:tc>
        <w:tc>
          <w:tcPr>
            <w:tcW w:w="1276"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72663338" wp14:editId="55C7EC4B">
                  <wp:extent cx="612000" cy="612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DG 15.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85B01">
            <w:pPr>
              <w:spacing w:before="80" w:after="80"/>
              <w:rPr>
                <w:sz w:val="16"/>
              </w:rPr>
            </w:pPr>
            <w:r w:rsidRPr="00AB289B">
              <w:rPr>
                <w:sz w:val="16"/>
              </w:rPr>
              <w:t>Protect, restore and</w:t>
            </w:r>
            <w:r>
              <w:rPr>
                <w:sz w:val="16"/>
              </w:rPr>
              <w:t xml:space="preserve"> </w:t>
            </w:r>
            <w:r w:rsidRPr="00AB289B">
              <w:rPr>
                <w:sz w:val="16"/>
              </w:rPr>
              <w:t>promote sustainable use</w:t>
            </w:r>
            <w:r>
              <w:rPr>
                <w:sz w:val="16"/>
              </w:rPr>
              <w:t xml:space="preserve"> </w:t>
            </w:r>
            <w:r w:rsidRPr="00AB289B">
              <w:rPr>
                <w:sz w:val="16"/>
              </w:rPr>
              <w:t>of terrestrial ecosystems</w:t>
            </w:r>
          </w:p>
        </w:tc>
      </w:tr>
      <w:tr w:rsidR="00BE737D" w:rsidTr="00D85B01">
        <w:tc>
          <w:tcPr>
            <w:tcW w:w="1271"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71C0EA4F" wp14:editId="10E9DC94">
                  <wp:extent cx="612000" cy="6120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DG 7.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85B01">
            <w:pPr>
              <w:spacing w:before="80" w:after="80"/>
              <w:rPr>
                <w:sz w:val="16"/>
              </w:rPr>
            </w:pPr>
            <w:r w:rsidRPr="00AB289B">
              <w:rPr>
                <w:sz w:val="16"/>
              </w:rPr>
              <w:t>Ensure access to affordable,</w:t>
            </w:r>
            <w:r>
              <w:rPr>
                <w:sz w:val="16"/>
              </w:rPr>
              <w:t xml:space="preserve"> </w:t>
            </w:r>
            <w:r w:rsidRPr="00AB289B">
              <w:rPr>
                <w:sz w:val="16"/>
              </w:rPr>
              <w:t>reliable sustainable and</w:t>
            </w:r>
            <w:r>
              <w:rPr>
                <w:sz w:val="16"/>
              </w:rPr>
              <w:t xml:space="preserve"> </w:t>
            </w:r>
            <w:r w:rsidRPr="00AB289B">
              <w:rPr>
                <w:sz w:val="16"/>
              </w:rPr>
              <w:t>modern energy for all</w:t>
            </w:r>
          </w:p>
        </w:tc>
        <w:tc>
          <w:tcPr>
            <w:tcW w:w="283" w:type="dxa"/>
            <w:shd w:val="clear" w:color="auto" w:fill="D7DEE2" w:themeFill="text2" w:themeFillTint="33"/>
          </w:tcPr>
          <w:p w:rsidR="00BE737D" w:rsidRDefault="00BE737D" w:rsidP="00D85B01"/>
        </w:tc>
        <w:tc>
          <w:tcPr>
            <w:tcW w:w="1276"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76BFC140" wp14:editId="3565A9E3">
                  <wp:extent cx="608400" cy="612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DG 16.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084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85B01">
            <w:pPr>
              <w:spacing w:before="80" w:after="80"/>
              <w:rPr>
                <w:sz w:val="16"/>
              </w:rPr>
            </w:pPr>
            <w:r w:rsidRPr="00AB289B">
              <w:rPr>
                <w:sz w:val="16"/>
              </w:rPr>
              <w:t>Promote peaceful and</w:t>
            </w:r>
            <w:r>
              <w:rPr>
                <w:sz w:val="16"/>
              </w:rPr>
              <w:t xml:space="preserve"> </w:t>
            </w:r>
            <w:r w:rsidRPr="00AB289B">
              <w:rPr>
                <w:sz w:val="16"/>
              </w:rPr>
              <w:t>inclusive societies for</w:t>
            </w:r>
            <w:r>
              <w:rPr>
                <w:sz w:val="16"/>
              </w:rPr>
              <w:t xml:space="preserve"> </w:t>
            </w:r>
            <w:r w:rsidRPr="00AB289B">
              <w:rPr>
                <w:sz w:val="16"/>
              </w:rPr>
              <w:t>sustainable development</w:t>
            </w:r>
            <w:r>
              <w:rPr>
                <w:sz w:val="16"/>
              </w:rPr>
              <w:t xml:space="preserve"> </w:t>
            </w:r>
            <w:r w:rsidRPr="00AB289B">
              <w:rPr>
                <w:sz w:val="16"/>
              </w:rPr>
              <w:t>and provide access to</w:t>
            </w:r>
            <w:r>
              <w:rPr>
                <w:sz w:val="16"/>
              </w:rPr>
              <w:t xml:space="preserve"> </w:t>
            </w:r>
            <w:r w:rsidRPr="00AB289B">
              <w:rPr>
                <w:sz w:val="16"/>
              </w:rPr>
              <w:t>justice for all</w:t>
            </w:r>
          </w:p>
        </w:tc>
      </w:tr>
      <w:tr w:rsidR="00BE737D" w:rsidTr="00D85B01">
        <w:tc>
          <w:tcPr>
            <w:tcW w:w="1271"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18334A33" wp14:editId="02B24D1D">
                  <wp:extent cx="609600" cy="609600"/>
                  <wp:effectExtent l="0" t="0" r="0" b="0"/>
                  <wp:docPr id="33" name="Picture 33" descr="C:\Users\scarpen2\AppData\Local\Microsoft\Windows\INetCache\Content.Word\SD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arpen2\AppData\Local\Microsoft\Windows\INetCache\Content.Word\SDG 8.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2977" w:type="dxa"/>
            <w:shd w:val="clear" w:color="auto" w:fill="D7DEE2" w:themeFill="text2" w:themeFillTint="33"/>
          </w:tcPr>
          <w:p w:rsidR="00BE737D" w:rsidRPr="00AB289B" w:rsidRDefault="00BE737D" w:rsidP="00D85B01">
            <w:pPr>
              <w:spacing w:before="80" w:after="80"/>
              <w:rPr>
                <w:sz w:val="16"/>
              </w:rPr>
            </w:pPr>
            <w:r w:rsidRPr="00AB289B">
              <w:rPr>
                <w:sz w:val="16"/>
              </w:rPr>
              <w:t>Promote sustained,</w:t>
            </w:r>
            <w:r>
              <w:rPr>
                <w:sz w:val="16"/>
              </w:rPr>
              <w:t xml:space="preserve"> </w:t>
            </w:r>
            <w:r w:rsidRPr="00AB289B">
              <w:rPr>
                <w:sz w:val="16"/>
              </w:rPr>
              <w:t>inclusive and sustainable</w:t>
            </w:r>
            <w:r>
              <w:rPr>
                <w:sz w:val="16"/>
              </w:rPr>
              <w:t xml:space="preserve"> </w:t>
            </w:r>
            <w:r w:rsidRPr="00AB289B">
              <w:rPr>
                <w:sz w:val="16"/>
              </w:rPr>
              <w:t>economic growth,</w:t>
            </w:r>
            <w:r>
              <w:rPr>
                <w:sz w:val="16"/>
              </w:rPr>
              <w:t xml:space="preserve"> </w:t>
            </w:r>
            <w:r w:rsidRPr="00AB289B">
              <w:rPr>
                <w:sz w:val="16"/>
              </w:rPr>
              <w:t>full and productive</w:t>
            </w:r>
            <w:r>
              <w:rPr>
                <w:sz w:val="16"/>
              </w:rPr>
              <w:t xml:space="preserve"> </w:t>
            </w:r>
            <w:r w:rsidRPr="00AB289B">
              <w:rPr>
                <w:sz w:val="16"/>
              </w:rPr>
              <w:t>employment</w:t>
            </w:r>
          </w:p>
        </w:tc>
        <w:tc>
          <w:tcPr>
            <w:tcW w:w="283" w:type="dxa"/>
            <w:shd w:val="clear" w:color="auto" w:fill="D7DEE2" w:themeFill="text2" w:themeFillTint="33"/>
          </w:tcPr>
          <w:p w:rsidR="00BE737D" w:rsidRDefault="00BE737D" w:rsidP="00D85B01"/>
        </w:tc>
        <w:tc>
          <w:tcPr>
            <w:tcW w:w="1276"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0D45090F" wp14:editId="2C794EC8">
                  <wp:extent cx="612000" cy="612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DF 17.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3544" w:type="dxa"/>
            <w:shd w:val="clear" w:color="auto" w:fill="D7DEE2" w:themeFill="text2" w:themeFillTint="33"/>
          </w:tcPr>
          <w:p w:rsidR="00BE737D" w:rsidRPr="00AB289B" w:rsidRDefault="00BE737D" w:rsidP="00D85B01">
            <w:pPr>
              <w:spacing w:before="80" w:after="80"/>
              <w:rPr>
                <w:sz w:val="16"/>
              </w:rPr>
            </w:pPr>
            <w:r w:rsidRPr="00AB289B">
              <w:rPr>
                <w:sz w:val="16"/>
              </w:rPr>
              <w:t>Strengthen the means</w:t>
            </w:r>
            <w:r>
              <w:rPr>
                <w:sz w:val="16"/>
              </w:rPr>
              <w:t xml:space="preserve"> </w:t>
            </w:r>
            <w:r w:rsidRPr="00AB289B">
              <w:rPr>
                <w:sz w:val="16"/>
              </w:rPr>
              <w:t>of implementation and</w:t>
            </w:r>
            <w:r>
              <w:rPr>
                <w:sz w:val="16"/>
              </w:rPr>
              <w:t xml:space="preserve"> </w:t>
            </w:r>
            <w:r w:rsidRPr="00AB289B">
              <w:rPr>
                <w:sz w:val="16"/>
              </w:rPr>
              <w:t>revitalise the global</w:t>
            </w:r>
            <w:r>
              <w:rPr>
                <w:sz w:val="16"/>
              </w:rPr>
              <w:t xml:space="preserve"> </w:t>
            </w:r>
            <w:r w:rsidRPr="00AB289B">
              <w:rPr>
                <w:sz w:val="16"/>
              </w:rPr>
              <w:t>partnership for</w:t>
            </w:r>
            <w:r>
              <w:rPr>
                <w:sz w:val="16"/>
              </w:rPr>
              <w:t xml:space="preserve"> </w:t>
            </w:r>
            <w:r w:rsidRPr="00AB289B">
              <w:rPr>
                <w:sz w:val="16"/>
              </w:rPr>
              <w:t>sustainable development</w:t>
            </w:r>
          </w:p>
        </w:tc>
      </w:tr>
      <w:tr w:rsidR="00BE737D" w:rsidTr="00D85B01">
        <w:tc>
          <w:tcPr>
            <w:tcW w:w="1271" w:type="dxa"/>
            <w:shd w:val="clear" w:color="auto" w:fill="D7DEE2" w:themeFill="text2" w:themeFillTint="33"/>
          </w:tcPr>
          <w:p w:rsidR="00BE737D" w:rsidRDefault="00BE737D" w:rsidP="00D85B01">
            <w:pPr>
              <w:spacing w:before="80" w:after="80"/>
            </w:pPr>
            <w:r>
              <w:rPr>
                <w:noProof/>
                <w:lang w:val="en-AU" w:eastAsia="en-AU"/>
              </w:rPr>
              <w:drawing>
                <wp:inline distT="0" distB="0" distL="0" distR="0" wp14:anchorId="44D02052" wp14:editId="7F74B3ED">
                  <wp:extent cx="612000" cy="6120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DG 9.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inline>
              </w:drawing>
            </w:r>
          </w:p>
        </w:tc>
        <w:tc>
          <w:tcPr>
            <w:tcW w:w="2977" w:type="dxa"/>
            <w:shd w:val="clear" w:color="auto" w:fill="D7DEE2" w:themeFill="text2" w:themeFillTint="33"/>
          </w:tcPr>
          <w:p w:rsidR="00BE737D" w:rsidRPr="00AB289B" w:rsidRDefault="00BE737D" w:rsidP="00D85B01">
            <w:pPr>
              <w:spacing w:before="80" w:after="80"/>
              <w:rPr>
                <w:sz w:val="16"/>
              </w:rPr>
            </w:pPr>
            <w:r w:rsidRPr="00AB289B">
              <w:rPr>
                <w:sz w:val="16"/>
              </w:rPr>
              <w:t>Build resilient</w:t>
            </w:r>
            <w:r>
              <w:rPr>
                <w:sz w:val="16"/>
              </w:rPr>
              <w:t xml:space="preserve"> </w:t>
            </w:r>
            <w:r w:rsidRPr="00AB289B">
              <w:rPr>
                <w:sz w:val="16"/>
              </w:rPr>
              <w:t>infrastructure, promote</w:t>
            </w:r>
            <w:r>
              <w:rPr>
                <w:sz w:val="16"/>
              </w:rPr>
              <w:t xml:space="preserve"> </w:t>
            </w:r>
            <w:r w:rsidRPr="00AB289B">
              <w:rPr>
                <w:sz w:val="16"/>
              </w:rPr>
              <w:t>inclusive and sustainable</w:t>
            </w:r>
            <w:r>
              <w:rPr>
                <w:sz w:val="16"/>
              </w:rPr>
              <w:t xml:space="preserve"> </w:t>
            </w:r>
            <w:r w:rsidRPr="00AB289B">
              <w:rPr>
                <w:sz w:val="16"/>
              </w:rPr>
              <w:t>Industrialisation</w:t>
            </w:r>
            <w:r>
              <w:rPr>
                <w:sz w:val="16"/>
              </w:rPr>
              <w:t xml:space="preserve"> </w:t>
            </w:r>
            <w:r w:rsidRPr="00AB289B">
              <w:rPr>
                <w:sz w:val="16"/>
              </w:rPr>
              <w:t>and foster innovation</w:t>
            </w:r>
          </w:p>
        </w:tc>
        <w:tc>
          <w:tcPr>
            <w:tcW w:w="283" w:type="dxa"/>
            <w:shd w:val="clear" w:color="auto" w:fill="D7DEE2" w:themeFill="text2" w:themeFillTint="33"/>
          </w:tcPr>
          <w:p w:rsidR="00BE737D" w:rsidRDefault="00BE737D" w:rsidP="00D85B01"/>
        </w:tc>
        <w:tc>
          <w:tcPr>
            <w:tcW w:w="1276" w:type="dxa"/>
            <w:shd w:val="clear" w:color="auto" w:fill="D7DEE2" w:themeFill="text2" w:themeFillTint="33"/>
          </w:tcPr>
          <w:p w:rsidR="00BE737D" w:rsidRPr="00AB289B" w:rsidRDefault="00BE737D" w:rsidP="00D85B01">
            <w:pPr>
              <w:spacing w:before="80" w:after="80"/>
              <w:rPr>
                <w:sz w:val="16"/>
              </w:rPr>
            </w:pPr>
          </w:p>
        </w:tc>
        <w:tc>
          <w:tcPr>
            <w:tcW w:w="3544" w:type="dxa"/>
            <w:shd w:val="clear" w:color="auto" w:fill="D7DEE2" w:themeFill="text2" w:themeFillTint="33"/>
          </w:tcPr>
          <w:p w:rsidR="00BE737D" w:rsidRPr="00AB289B" w:rsidRDefault="00BE737D" w:rsidP="00D85B01">
            <w:pPr>
              <w:spacing w:before="80" w:after="80"/>
              <w:rPr>
                <w:sz w:val="16"/>
              </w:rPr>
            </w:pPr>
          </w:p>
        </w:tc>
      </w:tr>
    </w:tbl>
    <w:p w:rsidR="006C4F09" w:rsidRPr="005C78DB" w:rsidRDefault="006C4F09" w:rsidP="006C4F09"/>
    <w:sectPr w:rsidR="006C4F09" w:rsidRPr="005C78DB" w:rsidSect="00CA7DD8">
      <w:headerReference w:type="default" r:id="rId41"/>
      <w:pgSz w:w="11906" w:h="16838" w:code="9"/>
      <w:pgMar w:top="1527" w:right="1134" w:bottom="851" w:left="1134" w:header="1418" w:footer="2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46" w:rsidRDefault="00F36646" w:rsidP="00EF4574">
      <w:pPr>
        <w:spacing w:before="0" w:after="0" w:line="240" w:lineRule="auto"/>
      </w:pPr>
      <w:r>
        <w:separator/>
      </w:r>
    </w:p>
  </w:endnote>
  <w:endnote w:type="continuationSeparator" w:id="0">
    <w:p w:rsidR="00F36646" w:rsidRDefault="00F36646" w:rsidP="00EF45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D1" w:rsidRDefault="0046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574468"/>
      <w:docPartObj>
        <w:docPartGallery w:val="Page Numbers (Bottom of Page)"/>
        <w:docPartUnique/>
      </w:docPartObj>
    </w:sdtPr>
    <w:sdtEndPr>
      <w:rPr>
        <w:noProof/>
      </w:rPr>
    </w:sdtEndPr>
    <w:sdtContent>
      <w:p w:rsidR="00874B3F" w:rsidRDefault="00874B3F">
        <w:pPr>
          <w:pStyle w:val="Footer"/>
        </w:pPr>
        <w:r>
          <w:fldChar w:fldCharType="begin"/>
        </w:r>
        <w:r>
          <w:instrText xml:space="preserve"> PAGE   \* MERGEFORMAT </w:instrText>
        </w:r>
        <w:r>
          <w:fldChar w:fldCharType="separate"/>
        </w:r>
        <w:r w:rsidR="004605D1">
          <w:rPr>
            <w:noProof/>
          </w:rPr>
          <w:t>3</w:t>
        </w:r>
        <w:r>
          <w:rPr>
            <w:noProof/>
          </w:rPr>
          <w:fldChar w:fldCharType="end"/>
        </w:r>
      </w:p>
    </w:sdtContent>
  </w:sdt>
  <w:p w:rsidR="00874B3F" w:rsidRDefault="00874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D1" w:rsidRDefault="004605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3F" w:rsidRPr="00CD0E4B" w:rsidRDefault="00874B3F" w:rsidP="00784031">
    <w:pPr>
      <w:pStyle w:val="Footer"/>
    </w:pPr>
    <w:r w:rsidRPr="00CD0E4B">
      <w:rPr>
        <w:noProof/>
        <w:lang w:val="en-AU" w:eastAsia="en-AU"/>
      </w:rPr>
      <w:drawing>
        <wp:inline distT="0" distB="0" distL="0" distR="0" wp14:anchorId="5313C381" wp14:editId="384003AE">
          <wp:extent cx="90000" cy="74520"/>
          <wp:effectExtent l="0" t="0" r="571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witter-icon.png"/>
                  <pic:cNvPicPr/>
                </pic:nvPicPr>
                <pic:blipFill>
                  <a:blip r:embed="rId1">
                    <a:extLst>
                      <a:ext uri="{28A0092B-C50C-407E-A947-70E740481C1C}">
                        <a14:useLocalDpi xmlns:a14="http://schemas.microsoft.com/office/drawing/2010/main" val="0"/>
                      </a:ext>
                    </a:extLst>
                  </a:blip>
                  <a:stretch>
                    <a:fillRect/>
                  </a:stretch>
                </pic:blipFill>
                <pic:spPr>
                  <a:xfrm>
                    <a:off x="0" y="0"/>
                    <a:ext cx="90000" cy="74520"/>
                  </a:xfrm>
                  <a:prstGeom prst="rect">
                    <a:avLst/>
                  </a:prstGeom>
                </pic:spPr>
              </pic:pic>
            </a:graphicData>
          </a:graphic>
        </wp:inline>
      </w:drawing>
    </w:r>
    <w:r w:rsidRPr="00CD0E4B">
      <w:t>@DFAT</w:t>
    </w:r>
  </w:p>
  <w:p w:rsidR="00874B3F" w:rsidRPr="00CD0E4B" w:rsidRDefault="00874B3F" w:rsidP="00784031">
    <w:pPr>
      <w:pStyle w:val="Footer"/>
      <w:rPr>
        <w:color w:val="ACD08C" w:themeColor="accent3"/>
      </w:rPr>
    </w:pPr>
    <w:r w:rsidRPr="00CD0E4B">
      <w:rPr>
        <w:color w:val="ACD08C" w:themeColor="accent3"/>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46" w:rsidRPr="008C5A0E" w:rsidRDefault="00F36646" w:rsidP="001D663E">
      <w:pPr>
        <w:pStyle w:val="Footer"/>
        <w:pBdr>
          <w:top w:val="single" w:sz="4" w:space="1" w:color="495965" w:themeColor="text2"/>
        </w:pBdr>
      </w:pPr>
    </w:p>
  </w:footnote>
  <w:footnote w:type="continuationSeparator" w:id="0">
    <w:p w:rsidR="00F36646" w:rsidRDefault="00F36646" w:rsidP="00EF4574">
      <w:pPr>
        <w:spacing w:before="0" w:after="0" w:line="240" w:lineRule="auto"/>
      </w:pPr>
      <w:r>
        <w:continuationSeparator/>
      </w:r>
    </w:p>
  </w:footnote>
  <w:footnote w:id="1">
    <w:p w:rsidR="00874B3F" w:rsidRPr="00441F59" w:rsidRDefault="00874B3F">
      <w:pPr>
        <w:pStyle w:val="FootnoteText"/>
        <w:rPr>
          <w:lang w:val="en-AU"/>
        </w:rPr>
      </w:pPr>
      <w:r>
        <w:rPr>
          <w:rStyle w:val="FootnoteReference"/>
        </w:rPr>
        <w:footnoteRef/>
      </w:r>
      <w:r>
        <w:t xml:space="preserve"> </w:t>
      </w:r>
      <w:r>
        <w:rPr>
          <w:lang w:val="en-AU"/>
        </w:rPr>
        <w:t xml:space="preserve">OECD, 2018, OECD.Stat, Available at </w:t>
      </w:r>
      <w:hyperlink r:id="rId1" w:history="1">
        <w:r w:rsidRPr="009E2927">
          <w:rPr>
            <w:rStyle w:val="Hyperlink"/>
            <w:rFonts w:cstheme="minorBidi"/>
            <w:lang w:val="en-AU"/>
          </w:rPr>
          <w:t>https://stats.oecd.org/Index.aspx?DataSetCode=CRS1</w:t>
        </w:r>
      </w:hyperlink>
      <w:r>
        <w:rPr>
          <w:lang w:val="en-AU"/>
        </w:rPr>
        <w:t xml:space="preserve"> </w:t>
      </w:r>
    </w:p>
  </w:footnote>
  <w:footnote w:id="2">
    <w:p w:rsidR="00874B3F" w:rsidRPr="00C36659" w:rsidRDefault="00874B3F">
      <w:pPr>
        <w:pStyle w:val="FootnoteText"/>
        <w:rPr>
          <w:lang w:val="en-AU"/>
        </w:rPr>
      </w:pPr>
      <w:r>
        <w:rPr>
          <w:rStyle w:val="FootnoteReference"/>
        </w:rPr>
        <w:footnoteRef/>
      </w:r>
      <w:r>
        <w:t xml:space="preserve"> </w:t>
      </w:r>
      <w:r>
        <w:rPr>
          <w:lang w:val="en-AU"/>
        </w:rPr>
        <w:t xml:space="preserve">CBSI, 2018,  Available at </w:t>
      </w:r>
      <w:hyperlink r:id="rId2" w:history="1">
        <w:r w:rsidRPr="009E2927">
          <w:rPr>
            <w:rStyle w:val="Hyperlink"/>
            <w:rFonts w:cstheme="minorBidi"/>
            <w:lang w:val="en-AU"/>
          </w:rPr>
          <w:t>http://www.cbsi.com.sb/</w:t>
        </w:r>
      </w:hyperlink>
      <w:r>
        <w:rPr>
          <w:lang w:val="en-AU"/>
        </w:rPr>
        <w:t xml:space="preserve"> </w:t>
      </w:r>
    </w:p>
  </w:footnote>
  <w:footnote w:id="3">
    <w:p w:rsidR="00874B3F" w:rsidRPr="007E7622" w:rsidRDefault="00874B3F">
      <w:pPr>
        <w:pStyle w:val="FootnoteText"/>
        <w:rPr>
          <w:lang w:val="en-AU"/>
        </w:rPr>
      </w:pPr>
      <w:r>
        <w:rPr>
          <w:rStyle w:val="FootnoteReference"/>
        </w:rPr>
        <w:footnoteRef/>
      </w:r>
      <w:r>
        <w:t xml:space="preserve"> </w:t>
      </w:r>
      <w:r>
        <w:rPr>
          <w:lang w:val="en-AU"/>
        </w:rPr>
        <w:t xml:space="preserve">World Bank, 2017, Solomon Islands Country Diagnostic.   Available </w:t>
      </w:r>
      <w:r w:rsidRPr="00856806">
        <w:rPr>
          <w:szCs w:val="12"/>
        </w:rPr>
        <w:t>at: https://openknowledge.worldbank.org/handle/10986/27562</w:t>
      </w:r>
      <w:r>
        <w:rPr>
          <w:lang w:val="en-AU"/>
        </w:rPr>
        <w:t xml:space="preserve">: </w:t>
      </w:r>
    </w:p>
  </w:footnote>
  <w:footnote w:id="4">
    <w:p w:rsidR="00874B3F" w:rsidRPr="007E7622" w:rsidRDefault="00874B3F" w:rsidP="00EF393E">
      <w:pPr>
        <w:pStyle w:val="FootnoteText"/>
        <w:rPr>
          <w:lang w:val="en-AU"/>
        </w:rPr>
      </w:pPr>
      <w:r>
        <w:rPr>
          <w:rStyle w:val="FootnoteReference"/>
        </w:rPr>
        <w:footnoteRef/>
      </w:r>
      <w:r>
        <w:t xml:space="preserve"> </w:t>
      </w:r>
      <w:r>
        <w:rPr>
          <w:lang w:val="en-AU"/>
        </w:rPr>
        <w:t>World Bank, 2017, Solomon Islands Country Diagnostic:</w:t>
      </w:r>
    </w:p>
  </w:footnote>
  <w:footnote w:id="5">
    <w:p w:rsidR="00874B3F" w:rsidRPr="00D11D4E" w:rsidRDefault="00874B3F" w:rsidP="00DA29D0">
      <w:pPr>
        <w:pStyle w:val="FootnoteText"/>
        <w:rPr>
          <w:lang w:val="en-AU"/>
        </w:rPr>
      </w:pPr>
      <w:r w:rsidRPr="00D84053">
        <w:rPr>
          <w:rStyle w:val="FootnoteReference"/>
          <w:sz w:val="16"/>
          <w:szCs w:val="16"/>
        </w:rPr>
        <w:footnoteRef/>
      </w:r>
      <w:r w:rsidRPr="00D84053">
        <w:rPr>
          <w:rStyle w:val="FootnoteReference"/>
          <w:sz w:val="16"/>
          <w:szCs w:val="16"/>
        </w:rPr>
        <w:t xml:space="preserve"> </w:t>
      </w:r>
      <w:r w:rsidRPr="00856806">
        <w:rPr>
          <w:szCs w:val="12"/>
        </w:rPr>
        <w:t>UNDP, 2017, Human Development Report 2016, Available at:</w:t>
      </w:r>
      <w:r>
        <w:rPr>
          <w:szCs w:val="12"/>
        </w:rPr>
        <w:t xml:space="preserve"> </w:t>
      </w:r>
      <w:r w:rsidRPr="00856806">
        <w:rPr>
          <w:szCs w:val="12"/>
        </w:rPr>
        <w:t>www.hdr.undp.org</w:t>
      </w:r>
      <w:r>
        <w:rPr>
          <w:szCs w:val="12"/>
        </w:rPr>
        <w:t>.</w:t>
      </w:r>
      <w:r>
        <w:rPr>
          <w:sz w:val="16"/>
          <w:szCs w:val="16"/>
        </w:rPr>
        <w:t xml:space="preserve"> </w:t>
      </w:r>
    </w:p>
  </w:footnote>
  <w:footnote w:id="6">
    <w:p w:rsidR="00874B3F" w:rsidRPr="007E7622" w:rsidRDefault="00874B3F">
      <w:pPr>
        <w:pStyle w:val="FootnoteText"/>
        <w:rPr>
          <w:lang w:val="en-AU"/>
        </w:rPr>
      </w:pPr>
      <w:r>
        <w:rPr>
          <w:rStyle w:val="FootnoteReference"/>
        </w:rPr>
        <w:footnoteRef/>
      </w:r>
      <w:r>
        <w:t xml:space="preserve"> World Bank, 2018, Solomon Islands poverty and equity brief. Avail at: </w:t>
      </w:r>
      <w:r w:rsidRPr="00831413">
        <w:t>http://documents.worldbank.org/curated/en/158941528204217521/Solomon-Islands-poverty-and-equity-brief-spring-2018</w:t>
      </w:r>
    </w:p>
  </w:footnote>
  <w:footnote w:id="7">
    <w:p w:rsidR="00874B3F" w:rsidRPr="007E7622" w:rsidRDefault="00874B3F">
      <w:pPr>
        <w:pStyle w:val="FootnoteText"/>
        <w:rPr>
          <w:lang w:val="en-AU"/>
        </w:rPr>
      </w:pPr>
      <w:r>
        <w:rPr>
          <w:rStyle w:val="FootnoteReference"/>
        </w:rPr>
        <w:footnoteRef/>
      </w:r>
      <w:r>
        <w:t xml:space="preserve"> </w:t>
      </w:r>
      <w:r>
        <w:rPr>
          <w:lang w:val="en-AU"/>
        </w:rPr>
        <w:t>Ibid</w:t>
      </w:r>
    </w:p>
  </w:footnote>
  <w:footnote w:id="8">
    <w:p w:rsidR="00874B3F" w:rsidRPr="00856806" w:rsidRDefault="00874B3F" w:rsidP="002737BD">
      <w:pPr>
        <w:suppressAutoHyphens w:val="0"/>
        <w:spacing w:before="0" w:after="0" w:line="240" w:lineRule="auto"/>
        <w:rPr>
          <w:lang w:val="en-AU"/>
        </w:rPr>
      </w:pPr>
      <w:r w:rsidRPr="007E7622">
        <w:rPr>
          <w:rStyle w:val="FootnoteReference"/>
          <w:sz w:val="12"/>
          <w:szCs w:val="12"/>
        </w:rPr>
        <w:footnoteRef/>
      </w:r>
      <w:r>
        <w:t xml:space="preserve"> </w:t>
      </w:r>
      <w:r w:rsidRPr="00856806">
        <w:rPr>
          <w:sz w:val="12"/>
          <w:szCs w:val="12"/>
        </w:rPr>
        <w:t>Asian Development Bank, 2016, Gender Statistics: The Pacific And Timor Leste.  Available at: https://www.adb.org/publications/gender-statistics-pacific-and-timor-leste</w:t>
      </w:r>
    </w:p>
  </w:footnote>
  <w:footnote w:id="9">
    <w:p w:rsidR="00874B3F" w:rsidRPr="004020F1" w:rsidRDefault="00874B3F" w:rsidP="00EE1FDC">
      <w:pPr>
        <w:pStyle w:val="FootnoteText"/>
        <w:rPr>
          <w:lang w:val="en-AU"/>
        </w:rPr>
      </w:pPr>
      <w:r>
        <w:rPr>
          <w:rStyle w:val="FootnoteReference"/>
        </w:rPr>
        <w:footnoteRef/>
      </w:r>
      <w:r>
        <w:t xml:space="preserve"> </w:t>
      </w:r>
      <w:r>
        <w:rPr>
          <w:lang w:val="en-AU"/>
        </w:rPr>
        <w:t xml:space="preserve">Fund For Peace, 2018, Fragile States Index 2018, Available at: </w:t>
      </w:r>
      <w:hyperlink r:id="rId3" w:history="1">
        <w:r w:rsidRPr="004C6B19">
          <w:rPr>
            <w:rStyle w:val="Hyperlink"/>
            <w:lang w:val="en-AU"/>
          </w:rPr>
          <w:t>www.fundforpeace.org/fsi/</w:t>
        </w:r>
      </w:hyperlink>
      <w:r>
        <w:rPr>
          <w:lang w:val="en-AU"/>
        </w:rPr>
        <w:t>.  The 1</w:t>
      </w:r>
      <w:r w:rsidRPr="003A41E6">
        <w:rPr>
          <w:vertAlign w:val="superscript"/>
          <w:lang w:val="en-AU"/>
        </w:rPr>
        <w:t>st</w:t>
      </w:r>
      <w:r>
        <w:rPr>
          <w:lang w:val="en-AU"/>
        </w:rPr>
        <w:t xml:space="preserve"> ranked country is assessed to be the most fragile, the 178</w:t>
      </w:r>
      <w:r w:rsidRPr="003A41E6">
        <w:rPr>
          <w:vertAlign w:val="superscript"/>
          <w:lang w:val="en-AU"/>
        </w:rPr>
        <w:t>th</w:t>
      </w:r>
      <w:r>
        <w:rPr>
          <w:lang w:val="en-AU"/>
        </w:rPr>
        <w:t xml:space="preserve"> country the least.    </w:t>
      </w:r>
    </w:p>
  </w:footnote>
  <w:footnote w:id="10">
    <w:p w:rsidR="00874B3F" w:rsidRPr="00DA2358" w:rsidRDefault="00874B3F" w:rsidP="00EA5A95">
      <w:pPr>
        <w:pStyle w:val="FootnoteText"/>
        <w:rPr>
          <w:lang w:val="en-AU"/>
        </w:rPr>
      </w:pPr>
      <w:r>
        <w:rPr>
          <w:rStyle w:val="FootnoteReference"/>
        </w:rPr>
        <w:footnoteRef/>
      </w:r>
      <w:r>
        <w:t xml:space="preserve"> </w:t>
      </w:r>
      <w:r>
        <w:rPr>
          <w:lang w:val="en-AU"/>
        </w:rPr>
        <w:t xml:space="preserve">Ministry of Women, Youth and Children’s Affairs, </w:t>
      </w:r>
      <w:r w:rsidRPr="00DA2358">
        <w:rPr>
          <w:i/>
          <w:lang w:val="en-AU"/>
        </w:rPr>
        <w:t xml:space="preserve">Solomon Islands Family Health and Safety Study: a study on Violence against Women and Children </w:t>
      </w:r>
      <w:r>
        <w:rPr>
          <w:lang w:val="en-AU"/>
        </w:rPr>
        <w:t xml:space="preserve">(Noumea, New Caledonia, Secretariat of the Pacific Community, 2009), Available at: </w:t>
      </w:r>
      <w:r w:rsidRPr="004E222B">
        <w:rPr>
          <w:lang w:val="en-AU"/>
        </w:rPr>
        <w:t>https://pacificwomen.org/resources/solomon-islands-family-health-and-safety-study/</w:t>
      </w:r>
    </w:p>
  </w:footnote>
  <w:footnote w:id="11">
    <w:p w:rsidR="00874B3F" w:rsidRDefault="00874B3F" w:rsidP="00EE1FDC">
      <w:pPr>
        <w:pStyle w:val="FootnoteText"/>
      </w:pPr>
      <w:r>
        <w:rPr>
          <w:rStyle w:val="FootnoteReference"/>
        </w:rPr>
        <w:footnoteRef/>
      </w:r>
      <w:r>
        <w:t xml:space="preserve"> World Bank, 2017, Solomon Islands Systematic Country Diagnostic  </w:t>
      </w:r>
    </w:p>
  </w:footnote>
  <w:footnote w:id="12">
    <w:p w:rsidR="00874B3F" w:rsidRDefault="00874B3F" w:rsidP="00B4341B">
      <w:pPr>
        <w:pStyle w:val="FootnoteText"/>
      </w:pPr>
      <w:r>
        <w:rPr>
          <w:rStyle w:val="FootnoteReference"/>
        </w:rPr>
        <w:footnoteRef/>
      </w:r>
      <w:r>
        <w:t xml:space="preserve"> </w:t>
      </w:r>
      <w:r w:rsidRPr="000F67E6">
        <w:t>World Bank, 2017, Pacific Possible</w:t>
      </w:r>
    </w:p>
  </w:footnote>
  <w:footnote w:id="13">
    <w:p w:rsidR="00874B3F" w:rsidRPr="003A7DD2" w:rsidRDefault="00874B3F">
      <w:pPr>
        <w:pStyle w:val="FootnoteText"/>
        <w:rPr>
          <w:lang w:val="en-AU"/>
        </w:rPr>
      </w:pPr>
      <w:r>
        <w:rPr>
          <w:rStyle w:val="FootnoteReference"/>
        </w:rPr>
        <w:footnoteRef/>
      </w:r>
      <w:r>
        <w:t xml:space="preserve"> DFAT, 2018, Independent Assessor Report 2018: Solomon Islands Education Sector Support Program</w:t>
      </w:r>
    </w:p>
  </w:footnote>
  <w:footnote w:id="14">
    <w:p w:rsidR="00874B3F" w:rsidRPr="003A7DD2" w:rsidRDefault="00874B3F">
      <w:pPr>
        <w:pStyle w:val="FootnoteText"/>
        <w:rPr>
          <w:lang w:val="en-AU"/>
        </w:rPr>
      </w:pPr>
      <w:r>
        <w:rPr>
          <w:rStyle w:val="FootnoteReference"/>
        </w:rPr>
        <w:footnoteRef/>
      </w:r>
      <w:r>
        <w:t xml:space="preserve"> Ibid</w:t>
      </w:r>
    </w:p>
  </w:footnote>
  <w:footnote w:id="15">
    <w:p w:rsidR="00874B3F" w:rsidRPr="003A7DD2" w:rsidRDefault="00874B3F" w:rsidP="000F67E6">
      <w:pPr>
        <w:pStyle w:val="FootnoteText"/>
        <w:rPr>
          <w:lang w:val="en-AU"/>
        </w:rPr>
      </w:pPr>
      <w:r>
        <w:rPr>
          <w:rStyle w:val="FootnoteReference"/>
        </w:rPr>
        <w:footnoteRef/>
      </w:r>
      <w:r>
        <w:t xml:space="preserve"> Ibid</w:t>
      </w:r>
    </w:p>
  </w:footnote>
  <w:footnote w:id="16">
    <w:p w:rsidR="00874B3F" w:rsidRPr="003A7DD2" w:rsidRDefault="00874B3F" w:rsidP="000F67E6">
      <w:pPr>
        <w:pStyle w:val="FootnoteText"/>
        <w:rPr>
          <w:lang w:val="en-AU"/>
        </w:rPr>
      </w:pPr>
      <w:r>
        <w:rPr>
          <w:rStyle w:val="FootnoteReference"/>
        </w:rPr>
        <w:footnoteRef/>
      </w:r>
      <w:r>
        <w:t xml:space="preserve"> Ibid</w:t>
      </w:r>
    </w:p>
  </w:footnote>
  <w:footnote w:id="17">
    <w:p w:rsidR="00874B3F" w:rsidRPr="007E7622" w:rsidRDefault="00874B3F">
      <w:pPr>
        <w:pStyle w:val="FootnoteText"/>
        <w:rPr>
          <w:lang w:val="en-AU"/>
        </w:rPr>
      </w:pPr>
      <w:r>
        <w:rPr>
          <w:rStyle w:val="FootnoteReference"/>
        </w:rPr>
        <w:footnoteRef/>
      </w:r>
      <w:r>
        <w:t xml:space="preserve"> </w:t>
      </w:r>
      <w:r>
        <w:rPr>
          <w:lang w:val="en-AU"/>
        </w:rPr>
        <w:t xml:space="preserve">DFAT, 2017, </w:t>
      </w:r>
      <w:r w:rsidRPr="003E0A28">
        <w:rPr>
          <w:i/>
          <w:lang w:val="en-AU"/>
        </w:rPr>
        <w:t>Independent Review of the Pacific Women Shaping Pacific Development Solomon Islands Country Plan 2013-20</w:t>
      </w:r>
      <w:r>
        <w:rPr>
          <w:i/>
          <w:lang w:val="en-AU"/>
        </w:rPr>
        <w:t>17</w:t>
      </w:r>
    </w:p>
  </w:footnote>
  <w:footnote w:id="18">
    <w:p w:rsidR="00874B3F" w:rsidRPr="000E0E11" w:rsidRDefault="00874B3F">
      <w:pPr>
        <w:pStyle w:val="FootnoteText"/>
        <w:rPr>
          <w:lang w:val="en-AU"/>
        </w:rPr>
      </w:pPr>
      <w:r>
        <w:rPr>
          <w:rStyle w:val="FootnoteReference"/>
        </w:rPr>
        <w:footnoteRef/>
      </w:r>
      <w:r>
        <w:t xml:space="preserve"> </w:t>
      </w:r>
      <w:r>
        <w:rPr>
          <w:lang w:val="en-AU"/>
        </w:rPr>
        <w:t xml:space="preserve">DFAT, 2018, Independent Performance Assessment of the Solomon Islands Health Sector Support Program 2017 </w:t>
      </w:r>
    </w:p>
  </w:footnote>
  <w:footnote w:id="19">
    <w:p w:rsidR="00874B3F" w:rsidRPr="00CC32B4" w:rsidRDefault="00874B3F">
      <w:pPr>
        <w:pStyle w:val="FootnoteText"/>
        <w:rPr>
          <w:lang w:val="en-AU"/>
        </w:rPr>
      </w:pPr>
      <w:r>
        <w:rPr>
          <w:rStyle w:val="FootnoteReference"/>
        </w:rPr>
        <w:footnoteRef/>
      </w:r>
      <w:r>
        <w:t>DFAT, 2018, Independent Assessor Report 2018: Solomon Islands Education Sector Support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D1" w:rsidRDefault="0046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3F" w:rsidRPr="00333501" w:rsidRDefault="00874B3F" w:rsidP="008F56A8">
    <w:pPr>
      <w:pStyle w:val="Header"/>
      <w:jc w:val="left"/>
    </w:pPr>
    <w:r>
      <w:rPr>
        <w:noProof/>
        <w:lang w:val="en-AU" w:eastAsia="en-AU"/>
      </w:rPr>
      <w:drawing>
        <wp:anchor distT="0" distB="0" distL="114300" distR="114300" simplePos="0" relativeHeight="251681792" behindDoc="1" locked="1" layoutInCell="1" allowOverlap="1" wp14:anchorId="68C0B99D" wp14:editId="449DA1CA">
          <wp:simplePos x="0" y="0"/>
          <wp:positionH relativeFrom="page">
            <wp:posOffset>7620</wp:posOffset>
          </wp:positionH>
          <wp:positionV relativeFrom="page">
            <wp:posOffset>55880</wp:posOffset>
          </wp:positionV>
          <wp:extent cx="7545705" cy="1070229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45705" cy="107022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5D1" w:rsidRDefault="004605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3F" w:rsidRDefault="00874B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3F" w:rsidRPr="00333501" w:rsidRDefault="00874B3F" w:rsidP="008F56A8">
    <w:pPr>
      <w:pStyle w:val="Header"/>
      <w:jc w:val="left"/>
    </w:pPr>
    <w:r>
      <w:rPr>
        <w:noProof/>
        <w:lang w:val="en-AU" w:eastAsia="en-AU"/>
      </w:rPr>
      <w:drawing>
        <wp:anchor distT="0" distB="0" distL="114300" distR="114300" simplePos="0" relativeHeight="251697152" behindDoc="1" locked="1" layoutInCell="1" allowOverlap="1" wp14:anchorId="6E548F7B" wp14:editId="3D115E5D">
          <wp:simplePos x="0" y="0"/>
          <wp:positionH relativeFrom="page">
            <wp:posOffset>160020</wp:posOffset>
          </wp:positionH>
          <wp:positionV relativeFrom="page">
            <wp:posOffset>160020</wp:posOffset>
          </wp:positionV>
          <wp:extent cx="10662285" cy="7545705"/>
          <wp:effectExtent l="0" t="0" r="5715" b="0"/>
          <wp:wrapNone/>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3F" w:rsidRPr="003D352D" w:rsidRDefault="00874B3F" w:rsidP="003D352D">
    <w:pPr>
      <w:pStyle w:val="Header"/>
      <w:jc w:val="left"/>
    </w:pPr>
    <w:r>
      <w:rPr>
        <w:noProof/>
        <w:lang w:val="en-AU" w:eastAsia="en-AU"/>
      </w:rPr>
      <w:drawing>
        <wp:anchor distT="0" distB="0" distL="114300" distR="114300" simplePos="0" relativeHeight="251695104" behindDoc="1" locked="1" layoutInCell="1" allowOverlap="1" wp14:anchorId="5E5DF937" wp14:editId="562E8E3E">
          <wp:simplePos x="0" y="0"/>
          <wp:positionH relativeFrom="page">
            <wp:posOffset>7620</wp:posOffset>
          </wp:positionH>
          <wp:positionV relativeFrom="page">
            <wp:posOffset>7620</wp:posOffset>
          </wp:positionV>
          <wp:extent cx="10662285" cy="7545705"/>
          <wp:effectExtent l="0" t="0" r="5715" b="0"/>
          <wp:wrapNone/>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662285" cy="7545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3F" w:rsidRPr="00333501" w:rsidRDefault="00874B3F" w:rsidP="008F56A8">
    <w:pPr>
      <w:pStyle w:val="Header"/>
      <w:jc w:val="left"/>
    </w:pPr>
    <w:r>
      <w:rPr>
        <w:noProof/>
        <w:lang w:val="en-AU" w:eastAsia="en-AU"/>
      </w:rPr>
      <w:drawing>
        <wp:anchor distT="0" distB="0" distL="114300" distR="114300" simplePos="0" relativeHeight="251683840" behindDoc="1" locked="1" layoutInCell="1" allowOverlap="1" wp14:anchorId="0AD9FF8F" wp14:editId="682DC027">
          <wp:simplePos x="0" y="0"/>
          <wp:positionH relativeFrom="page">
            <wp:posOffset>7620</wp:posOffset>
          </wp:positionH>
          <wp:positionV relativeFrom="page">
            <wp:posOffset>57785</wp:posOffset>
          </wp:positionV>
          <wp:extent cx="10800000" cy="7560000"/>
          <wp:effectExtent l="0" t="0" r="1905" b="3175"/>
          <wp:wrapNone/>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0800000" cy="75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B3F" w:rsidRPr="00333501" w:rsidRDefault="00874B3F" w:rsidP="008F56A8">
    <w:pPr>
      <w:pStyle w:val="Header"/>
      <w:jc w:val="left"/>
    </w:pPr>
    <w:r>
      <w:rPr>
        <w:noProof/>
        <w:lang w:val="en-AU" w:eastAsia="en-AU"/>
      </w:rPr>
      <w:drawing>
        <wp:anchor distT="0" distB="0" distL="114300" distR="114300" simplePos="0" relativeHeight="251699200" behindDoc="1" locked="1" layoutInCell="1" allowOverlap="1" wp14:anchorId="3E3182A4" wp14:editId="0C6DABB1">
          <wp:simplePos x="0" y="0"/>
          <wp:positionH relativeFrom="page">
            <wp:align>right</wp:align>
          </wp:positionH>
          <wp:positionV relativeFrom="page">
            <wp:align>top</wp:align>
          </wp:positionV>
          <wp:extent cx="7559040" cy="11025505"/>
          <wp:effectExtent l="0" t="0" r="3810" b="444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9040" cy="110255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F654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70750"/>
    <w:multiLevelType w:val="hybridMultilevel"/>
    <w:tmpl w:val="813C7C8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CE2552"/>
    <w:multiLevelType w:val="hybridMultilevel"/>
    <w:tmpl w:val="0DB091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7B371DC"/>
    <w:multiLevelType w:val="hybridMultilevel"/>
    <w:tmpl w:val="048CB0A2"/>
    <w:lvl w:ilvl="0" w:tplc="01CEAC06">
      <w:start w:val="100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4A520C"/>
    <w:multiLevelType w:val="hybridMultilevel"/>
    <w:tmpl w:val="B9E4FBEC"/>
    <w:lvl w:ilvl="0" w:tplc="EF9AA39E">
      <w:start w:val="2016"/>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46566B2"/>
    <w:multiLevelType w:val="hybridMultilevel"/>
    <w:tmpl w:val="33CA21CE"/>
    <w:lvl w:ilvl="0" w:tplc="3EE68596">
      <w:numFmt w:val="bullet"/>
      <w:lvlText w:val=""/>
      <w:lvlJc w:val="left"/>
      <w:pPr>
        <w:ind w:left="644" w:hanging="360"/>
      </w:pPr>
      <w:rPr>
        <w:rFonts w:ascii="Symbol" w:eastAsiaTheme="minorHAnsi" w:hAnsi="Symbol" w:cstheme="minorBidi" w:hint="default"/>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5196DE5"/>
    <w:multiLevelType w:val="hybridMultilevel"/>
    <w:tmpl w:val="8EBE999E"/>
    <w:lvl w:ilvl="0" w:tplc="D3225CD4">
      <w:numFmt w:val="bullet"/>
      <w:lvlText w:val="-"/>
      <w:lvlJc w:val="left"/>
      <w:pPr>
        <w:ind w:left="560" w:hanging="560"/>
      </w:pPr>
      <w:rPr>
        <w:rFonts w:ascii="Calibri Light" w:eastAsiaTheme="minorHAnsi"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D3A3DC5"/>
    <w:multiLevelType w:val="hybridMultilevel"/>
    <w:tmpl w:val="C1265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7B4CBA"/>
    <w:multiLevelType w:val="hybridMultilevel"/>
    <w:tmpl w:val="7E74897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3863AAC"/>
    <w:multiLevelType w:val="hybridMultilevel"/>
    <w:tmpl w:val="3A543928"/>
    <w:lvl w:ilvl="0" w:tplc="0C090001">
      <w:start w:val="1"/>
      <w:numFmt w:val="bullet"/>
      <w:lvlText w:val=""/>
      <w:lvlJc w:val="left"/>
      <w:pPr>
        <w:ind w:left="560" w:hanging="5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5E94BFC"/>
    <w:multiLevelType w:val="multilevel"/>
    <w:tmpl w:val="3E42FC86"/>
    <w:lvl w:ilvl="0">
      <w:start w:val="1"/>
      <w:numFmt w:val="bullet"/>
      <w:pStyle w:val="DFATStyle"/>
      <w:lvlText w:val=""/>
      <w:lvlJc w:val="left"/>
      <w:pPr>
        <w:tabs>
          <w:tab w:val="num" w:pos="567"/>
        </w:tabs>
        <w:ind w:left="567" w:hanging="567"/>
      </w:pPr>
      <w:rPr>
        <w:rFonts w:ascii="Symbol" w:hAnsi="Symbol" w:hint="default"/>
        <w:color w:val="000000"/>
        <w:sz w:val="24"/>
        <w:szCs w:val="24"/>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24" w15:restartNumberingAfterBreak="0">
    <w:nsid w:val="45FC273A"/>
    <w:multiLevelType w:val="hybridMultilevel"/>
    <w:tmpl w:val="A02E76A8"/>
    <w:lvl w:ilvl="0" w:tplc="BF6C0BC4">
      <w:start w:val="9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5A1F4B"/>
    <w:multiLevelType w:val="hybridMultilevel"/>
    <w:tmpl w:val="7056187E"/>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8" w15:restartNumberingAfterBreak="0">
    <w:nsid w:val="5A7C0560"/>
    <w:multiLevelType w:val="hybridMultilevel"/>
    <w:tmpl w:val="2C505C6A"/>
    <w:lvl w:ilvl="0" w:tplc="1AB2793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3C1EA7"/>
    <w:multiLevelType w:val="multilevel"/>
    <w:tmpl w:val="43428892"/>
    <w:numStyleLink w:val="BulletsList"/>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3FA36E3"/>
    <w:multiLevelType w:val="hybridMultilevel"/>
    <w:tmpl w:val="CD7E19A8"/>
    <w:lvl w:ilvl="0" w:tplc="72CC80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3E603FA"/>
    <w:multiLevelType w:val="hybridMultilevel"/>
    <w:tmpl w:val="82F44E32"/>
    <w:lvl w:ilvl="0" w:tplc="7B640FF6">
      <w:start w:val="1"/>
      <w:numFmt w:val="bullet"/>
      <w:lvlText w:val="›"/>
      <w:lvlJc w:val="left"/>
      <w:pPr>
        <w:ind w:left="720" w:hanging="360"/>
      </w:pPr>
      <w:rPr>
        <w:rFonts w:ascii="Times New Roman" w:hAnsi="Times New Roman" w:cs="Times New Roman" w:hint="default"/>
        <w:color w:val="auto"/>
        <w:position w:val="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D30597"/>
    <w:multiLevelType w:val="hybridMultilevel"/>
    <w:tmpl w:val="5EB6C62C"/>
    <w:lvl w:ilvl="0" w:tplc="43B848B4">
      <w:start w:val="1"/>
      <w:numFmt w:val="decimal"/>
      <w:lvlText w:val="%1."/>
      <w:lvlJc w:val="left"/>
      <w:pPr>
        <w:ind w:left="360" w:hanging="360"/>
      </w:pPr>
      <w:rPr>
        <w:rFonts w:asciiTheme="minorHAnsi" w:hAnsiTheme="minorHAnsi" w:hint="default"/>
        <w:color w:val="495965" w:themeColor="text2"/>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7"/>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 w:numId="22">
    <w:abstractNumId w:val="19"/>
  </w:num>
  <w:num w:numId="23">
    <w:abstractNumId w:val="19"/>
  </w:num>
  <w:num w:numId="24">
    <w:abstractNumId w:val="29"/>
  </w:num>
  <w:num w:numId="25">
    <w:abstractNumId w:val="29"/>
  </w:num>
  <w:num w:numId="26">
    <w:abstractNumId w:val="29"/>
  </w:num>
  <w:num w:numId="27">
    <w:abstractNumId w:val="27"/>
  </w:num>
  <w:num w:numId="28">
    <w:abstractNumId w:val="11"/>
  </w:num>
  <w:num w:numId="29">
    <w:abstractNumId w:val="11"/>
  </w:num>
  <w:num w:numId="30">
    <w:abstractNumId w:val="11"/>
  </w:num>
  <w:num w:numId="31">
    <w:abstractNumId w:val="21"/>
  </w:num>
  <w:num w:numId="32">
    <w:abstractNumId w:val="26"/>
  </w:num>
  <w:num w:numId="33">
    <w:abstractNumId w:val="33"/>
  </w:num>
  <w:num w:numId="34">
    <w:abstractNumId w:val="25"/>
  </w:num>
  <w:num w:numId="35">
    <w:abstractNumId w:val="14"/>
  </w:num>
  <w:num w:numId="36">
    <w:abstractNumId w:val="17"/>
  </w:num>
  <w:num w:numId="37">
    <w:abstractNumId w:val="16"/>
  </w:num>
  <w:num w:numId="38">
    <w:abstractNumId w:val="34"/>
  </w:num>
  <w:num w:numId="39">
    <w:abstractNumId w:val="10"/>
  </w:num>
  <w:num w:numId="40">
    <w:abstractNumId w:val="20"/>
  </w:num>
  <w:num w:numId="41">
    <w:abstractNumId w:val="13"/>
  </w:num>
  <w:num w:numId="42">
    <w:abstractNumId w:val="18"/>
  </w:num>
  <w:num w:numId="43">
    <w:abstractNumId w:val="22"/>
  </w:num>
  <w:num w:numId="44">
    <w:abstractNumId w:val="31"/>
  </w:num>
  <w:num w:numId="45">
    <w:abstractNumId w:val="23"/>
  </w:num>
  <w:num w:numId="46">
    <w:abstractNumId w:val="24"/>
  </w:num>
  <w:num w:numId="47">
    <w:abstractNumId w:val="1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B4F"/>
    <w:rsid w:val="00001DA8"/>
    <w:rsid w:val="000062E0"/>
    <w:rsid w:val="00010D86"/>
    <w:rsid w:val="00012974"/>
    <w:rsid w:val="00013F54"/>
    <w:rsid w:val="00015316"/>
    <w:rsid w:val="0002080A"/>
    <w:rsid w:val="0002157A"/>
    <w:rsid w:val="00023BD9"/>
    <w:rsid w:val="00026F04"/>
    <w:rsid w:val="0002782F"/>
    <w:rsid w:val="00027E82"/>
    <w:rsid w:val="00027F29"/>
    <w:rsid w:val="00031512"/>
    <w:rsid w:val="00033AB7"/>
    <w:rsid w:val="00042992"/>
    <w:rsid w:val="000437A7"/>
    <w:rsid w:val="00046412"/>
    <w:rsid w:val="00051A28"/>
    <w:rsid w:val="00052D16"/>
    <w:rsid w:val="00053547"/>
    <w:rsid w:val="00054D74"/>
    <w:rsid w:val="00054E4D"/>
    <w:rsid w:val="00055688"/>
    <w:rsid w:val="00057226"/>
    <w:rsid w:val="00060073"/>
    <w:rsid w:val="00060268"/>
    <w:rsid w:val="000607EF"/>
    <w:rsid w:val="0006590C"/>
    <w:rsid w:val="000718E1"/>
    <w:rsid w:val="00072CF3"/>
    <w:rsid w:val="00084483"/>
    <w:rsid w:val="00084832"/>
    <w:rsid w:val="00095517"/>
    <w:rsid w:val="000A088D"/>
    <w:rsid w:val="000A1530"/>
    <w:rsid w:val="000A24A1"/>
    <w:rsid w:val="000A3084"/>
    <w:rsid w:val="000A53A5"/>
    <w:rsid w:val="000B1916"/>
    <w:rsid w:val="000B43C5"/>
    <w:rsid w:val="000B597F"/>
    <w:rsid w:val="000C374D"/>
    <w:rsid w:val="000C58F1"/>
    <w:rsid w:val="000D2A63"/>
    <w:rsid w:val="000D5046"/>
    <w:rsid w:val="000D66D6"/>
    <w:rsid w:val="000E071E"/>
    <w:rsid w:val="000E0E11"/>
    <w:rsid w:val="000E314A"/>
    <w:rsid w:val="000E3CF5"/>
    <w:rsid w:val="000F4579"/>
    <w:rsid w:val="000F67E6"/>
    <w:rsid w:val="001103E6"/>
    <w:rsid w:val="0011053F"/>
    <w:rsid w:val="001145A0"/>
    <w:rsid w:val="00116FCE"/>
    <w:rsid w:val="001218D3"/>
    <w:rsid w:val="00125B05"/>
    <w:rsid w:val="0012719F"/>
    <w:rsid w:val="00130DFE"/>
    <w:rsid w:val="00135BFE"/>
    <w:rsid w:val="001372A7"/>
    <w:rsid w:val="001448B7"/>
    <w:rsid w:val="001541EA"/>
    <w:rsid w:val="00162218"/>
    <w:rsid w:val="00163390"/>
    <w:rsid w:val="00165DB7"/>
    <w:rsid w:val="0016659E"/>
    <w:rsid w:val="00166962"/>
    <w:rsid w:val="00174B8C"/>
    <w:rsid w:val="00177E79"/>
    <w:rsid w:val="001843D6"/>
    <w:rsid w:val="00184818"/>
    <w:rsid w:val="00186EA3"/>
    <w:rsid w:val="0019066F"/>
    <w:rsid w:val="00191C11"/>
    <w:rsid w:val="001A6766"/>
    <w:rsid w:val="001A75ED"/>
    <w:rsid w:val="001B3C09"/>
    <w:rsid w:val="001B5019"/>
    <w:rsid w:val="001C1CDE"/>
    <w:rsid w:val="001C5872"/>
    <w:rsid w:val="001C5BB0"/>
    <w:rsid w:val="001C73B3"/>
    <w:rsid w:val="001D3145"/>
    <w:rsid w:val="001D4CF0"/>
    <w:rsid w:val="001D663E"/>
    <w:rsid w:val="001D6CF9"/>
    <w:rsid w:val="001D7C6A"/>
    <w:rsid w:val="001E0297"/>
    <w:rsid w:val="001E1DC0"/>
    <w:rsid w:val="001F24D1"/>
    <w:rsid w:val="00200E64"/>
    <w:rsid w:val="0020363F"/>
    <w:rsid w:val="00203CE6"/>
    <w:rsid w:val="002070A7"/>
    <w:rsid w:val="00214AB1"/>
    <w:rsid w:val="00225880"/>
    <w:rsid w:val="002309D8"/>
    <w:rsid w:val="00236A53"/>
    <w:rsid w:val="00250124"/>
    <w:rsid w:val="002544AE"/>
    <w:rsid w:val="002728B9"/>
    <w:rsid w:val="00272E7D"/>
    <w:rsid w:val="002737BD"/>
    <w:rsid w:val="00275DB7"/>
    <w:rsid w:val="00275FD8"/>
    <w:rsid w:val="0027602A"/>
    <w:rsid w:val="0028249A"/>
    <w:rsid w:val="00284957"/>
    <w:rsid w:val="0028602A"/>
    <w:rsid w:val="00292B08"/>
    <w:rsid w:val="00293F07"/>
    <w:rsid w:val="00296AD2"/>
    <w:rsid w:val="00296E3E"/>
    <w:rsid w:val="002A3796"/>
    <w:rsid w:val="002A4919"/>
    <w:rsid w:val="002A51CA"/>
    <w:rsid w:val="002A6AC8"/>
    <w:rsid w:val="002B3E95"/>
    <w:rsid w:val="002B4BDF"/>
    <w:rsid w:val="002B5E10"/>
    <w:rsid w:val="002C06CC"/>
    <w:rsid w:val="002C2CC1"/>
    <w:rsid w:val="002C411C"/>
    <w:rsid w:val="002C5522"/>
    <w:rsid w:val="002D01A2"/>
    <w:rsid w:val="002D2B16"/>
    <w:rsid w:val="002D3270"/>
    <w:rsid w:val="002D332A"/>
    <w:rsid w:val="002D37BC"/>
    <w:rsid w:val="002D500A"/>
    <w:rsid w:val="002D6EFD"/>
    <w:rsid w:val="002E4544"/>
    <w:rsid w:val="002E50CE"/>
    <w:rsid w:val="002E61A6"/>
    <w:rsid w:val="002E6DA8"/>
    <w:rsid w:val="002F43F6"/>
    <w:rsid w:val="003002C0"/>
    <w:rsid w:val="00301144"/>
    <w:rsid w:val="00303A9E"/>
    <w:rsid w:val="00310656"/>
    <w:rsid w:val="00311D80"/>
    <w:rsid w:val="00312DCD"/>
    <w:rsid w:val="003148B7"/>
    <w:rsid w:val="00315344"/>
    <w:rsid w:val="003158C3"/>
    <w:rsid w:val="00320251"/>
    <w:rsid w:val="00324651"/>
    <w:rsid w:val="00325BC0"/>
    <w:rsid w:val="003274CD"/>
    <w:rsid w:val="00330A39"/>
    <w:rsid w:val="00332EC9"/>
    <w:rsid w:val="00333501"/>
    <w:rsid w:val="0034068C"/>
    <w:rsid w:val="00340F6F"/>
    <w:rsid w:val="003432D9"/>
    <w:rsid w:val="003445EB"/>
    <w:rsid w:val="003457C4"/>
    <w:rsid w:val="0035119D"/>
    <w:rsid w:val="0035133F"/>
    <w:rsid w:val="00353B12"/>
    <w:rsid w:val="00353C3F"/>
    <w:rsid w:val="00355ED2"/>
    <w:rsid w:val="0035757A"/>
    <w:rsid w:val="003715FF"/>
    <w:rsid w:val="00371619"/>
    <w:rsid w:val="00380CFF"/>
    <w:rsid w:val="00385DFD"/>
    <w:rsid w:val="00392A08"/>
    <w:rsid w:val="00392D66"/>
    <w:rsid w:val="00395BA4"/>
    <w:rsid w:val="003973EE"/>
    <w:rsid w:val="003A0F31"/>
    <w:rsid w:val="003A44F8"/>
    <w:rsid w:val="003A7588"/>
    <w:rsid w:val="003A7DD2"/>
    <w:rsid w:val="003B000A"/>
    <w:rsid w:val="003B1CA2"/>
    <w:rsid w:val="003B4F12"/>
    <w:rsid w:val="003C18C9"/>
    <w:rsid w:val="003C1D5C"/>
    <w:rsid w:val="003C225D"/>
    <w:rsid w:val="003D0F47"/>
    <w:rsid w:val="003D352D"/>
    <w:rsid w:val="003E44E5"/>
    <w:rsid w:val="003F4488"/>
    <w:rsid w:val="00400B0F"/>
    <w:rsid w:val="00402ACC"/>
    <w:rsid w:val="00407945"/>
    <w:rsid w:val="00407C28"/>
    <w:rsid w:val="004120EC"/>
    <w:rsid w:val="00414A09"/>
    <w:rsid w:val="00420545"/>
    <w:rsid w:val="00421276"/>
    <w:rsid w:val="00423F31"/>
    <w:rsid w:val="00430CB1"/>
    <w:rsid w:val="00431899"/>
    <w:rsid w:val="00431E2C"/>
    <w:rsid w:val="004349F2"/>
    <w:rsid w:val="0043564E"/>
    <w:rsid w:val="00437471"/>
    <w:rsid w:val="004375AC"/>
    <w:rsid w:val="00437638"/>
    <w:rsid w:val="004401D2"/>
    <w:rsid w:val="00441F59"/>
    <w:rsid w:val="00442CB4"/>
    <w:rsid w:val="00443D68"/>
    <w:rsid w:val="0044627C"/>
    <w:rsid w:val="004474CA"/>
    <w:rsid w:val="00451F05"/>
    <w:rsid w:val="004553CE"/>
    <w:rsid w:val="00455744"/>
    <w:rsid w:val="004605D1"/>
    <w:rsid w:val="00462FDF"/>
    <w:rsid w:val="00480480"/>
    <w:rsid w:val="00483301"/>
    <w:rsid w:val="004839C0"/>
    <w:rsid w:val="004858F4"/>
    <w:rsid w:val="00486804"/>
    <w:rsid w:val="00492576"/>
    <w:rsid w:val="004929E0"/>
    <w:rsid w:val="00494F00"/>
    <w:rsid w:val="0049504D"/>
    <w:rsid w:val="004977A1"/>
    <w:rsid w:val="004A0C5E"/>
    <w:rsid w:val="004A0E5A"/>
    <w:rsid w:val="004A2839"/>
    <w:rsid w:val="004B3775"/>
    <w:rsid w:val="004C5B65"/>
    <w:rsid w:val="004D0BA0"/>
    <w:rsid w:val="004D13F0"/>
    <w:rsid w:val="004D43F3"/>
    <w:rsid w:val="004D5436"/>
    <w:rsid w:val="004E0264"/>
    <w:rsid w:val="004E052E"/>
    <w:rsid w:val="004E058F"/>
    <w:rsid w:val="004E0C5D"/>
    <w:rsid w:val="004E222B"/>
    <w:rsid w:val="004E3B87"/>
    <w:rsid w:val="004E4C52"/>
    <w:rsid w:val="004E5E93"/>
    <w:rsid w:val="004E776D"/>
    <w:rsid w:val="004F14EF"/>
    <w:rsid w:val="004F1B4B"/>
    <w:rsid w:val="004F437F"/>
    <w:rsid w:val="004F78D3"/>
    <w:rsid w:val="0050395B"/>
    <w:rsid w:val="00503EBE"/>
    <w:rsid w:val="00505342"/>
    <w:rsid w:val="00505391"/>
    <w:rsid w:val="00507394"/>
    <w:rsid w:val="00507B0A"/>
    <w:rsid w:val="00510921"/>
    <w:rsid w:val="00510AD3"/>
    <w:rsid w:val="00510FAB"/>
    <w:rsid w:val="00512D92"/>
    <w:rsid w:val="00513220"/>
    <w:rsid w:val="00513348"/>
    <w:rsid w:val="005166AE"/>
    <w:rsid w:val="00516E54"/>
    <w:rsid w:val="00526F94"/>
    <w:rsid w:val="00533B5D"/>
    <w:rsid w:val="00537079"/>
    <w:rsid w:val="00537E31"/>
    <w:rsid w:val="00541ABC"/>
    <w:rsid w:val="00545940"/>
    <w:rsid w:val="00547451"/>
    <w:rsid w:val="00547BE9"/>
    <w:rsid w:val="005511BF"/>
    <w:rsid w:val="00553ECD"/>
    <w:rsid w:val="00557C88"/>
    <w:rsid w:val="0056022A"/>
    <w:rsid w:val="0056205B"/>
    <w:rsid w:val="00567357"/>
    <w:rsid w:val="005703C9"/>
    <w:rsid w:val="00571CE3"/>
    <w:rsid w:val="00573A32"/>
    <w:rsid w:val="00575DF9"/>
    <w:rsid w:val="00580517"/>
    <w:rsid w:val="00585BEA"/>
    <w:rsid w:val="005878AE"/>
    <w:rsid w:val="0059146A"/>
    <w:rsid w:val="0059150F"/>
    <w:rsid w:val="0059447D"/>
    <w:rsid w:val="00595877"/>
    <w:rsid w:val="0059790A"/>
    <w:rsid w:val="005A0345"/>
    <w:rsid w:val="005A2D7C"/>
    <w:rsid w:val="005A5B5C"/>
    <w:rsid w:val="005B0641"/>
    <w:rsid w:val="005B2292"/>
    <w:rsid w:val="005B50CB"/>
    <w:rsid w:val="005B5769"/>
    <w:rsid w:val="005C2979"/>
    <w:rsid w:val="005C6BF3"/>
    <w:rsid w:val="005D1352"/>
    <w:rsid w:val="005D3655"/>
    <w:rsid w:val="005D750E"/>
    <w:rsid w:val="005E03D2"/>
    <w:rsid w:val="005E4216"/>
    <w:rsid w:val="005E606B"/>
    <w:rsid w:val="005E7E09"/>
    <w:rsid w:val="005F1E9F"/>
    <w:rsid w:val="005F476F"/>
    <w:rsid w:val="005F5346"/>
    <w:rsid w:val="005F5A91"/>
    <w:rsid w:val="00600479"/>
    <w:rsid w:val="00601D80"/>
    <w:rsid w:val="00611C29"/>
    <w:rsid w:val="00615669"/>
    <w:rsid w:val="0061579C"/>
    <w:rsid w:val="00616313"/>
    <w:rsid w:val="00617620"/>
    <w:rsid w:val="00621525"/>
    <w:rsid w:val="00623283"/>
    <w:rsid w:val="00623BA1"/>
    <w:rsid w:val="00626DE5"/>
    <w:rsid w:val="00626F33"/>
    <w:rsid w:val="00630BD3"/>
    <w:rsid w:val="006333D7"/>
    <w:rsid w:val="006346BC"/>
    <w:rsid w:val="006471E9"/>
    <w:rsid w:val="006506F8"/>
    <w:rsid w:val="00652C86"/>
    <w:rsid w:val="006571EF"/>
    <w:rsid w:val="00657AEE"/>
    <w:rsid w:val="0066652A"/>
    <w:rsid w:val="006704A6"/>
    <w:rsid w:val="00680522"/>
    <w:rsid w:val="00681F08"/>
    <w:rsid w:val="00682167"/>
    <w:rsid w:val="00682CE9"/>
    <w:rsid w:val="00684C7E"/>
    <w:rsid w:val="00687BAD"/>
    <w:rsid w:val="006926A1"/>
    <w:rsid w:val="00692D20"/>
    <w:rsid w:val="00696287"/>
    <w:rsid w:val="00697471"/>
    <w:rsid w:val="00697BF6"/>
    <w:rsid w:val="006A5F02"/>
    <w:rsid w:val="006A7B62"/>
    <w:rsid w:val="006C42AF"/>
    <w:rsid w:val="006C4748"/>
    <w:rsid w:val="006C4F09"/>
    <w:rsid w:val="006C67A5"/>
    <w:rsid w:val="006C70E2"/>
    <w:rsid w:val="006E4DAC"/>
    <w:rsid w:val="006E6F12"/>
    <w:rsid w:val="006F27B1"/>
    <w:rsid w:val="006F7DA7"/>
    <w:rsid w:val="00702E30"/>
    <w:rsid w:val="00711D8E"/>
    <w:rsid w:val="00712672"/>
    <w:rsid w:val="00713852"/>
    <w:rsid w:val="00714216"/>
    <w:rsid w:val="00714B7F"/>
    <w:rsid w:val="00721570"/>
    <w:rsid w:val="007264F7"/>
    <w:rsid w:val="007300AC"/>
    <w:rsid w:val="00734569"/>
    <w:rsid w:val="00734E3F"/>
    <w:rsid w:val="00736985"/>
    <w:rsid w:val="007426F9"/>
    <w:rsid w:val="00745DF5"/>
    <w:rsid w:val="0074718B"/>
    <w:rsid w:val="00752121"/>
    <w:rsid w:val="00760C59"/>
    <w:rsid w:val="0076250F"/>
    <w:rsid w:val="0076268C"/>
    <w:rsid w:val="00763184"/>
    <w:rsid w:val="007666C7"/>
    <w:rsid w:val="00767CE5"/>
    <w:rsid w:val="00771B53"/>
    <w:rsid w:val="00776A05"/>
    <w:rsid w:val="00776B45"/>
    <w:rsid w:val="00782C64"/>
    <w:rsid w:val="00784031"/>
    <w:rsid w:val="007873C3"/>
    <w:rsid w:val="007A51E6"/>
    <w:rsid w:val="007A54A0"/>
    <w:rsid w:val="007B4865"/>
    <w:rsid w:val="007B6200"/>
    <w:rsid w:val="007C1EFE"/>
    <w:rsid w:val="007C2540"/>
    <w:rsid w:val="007C7418"/>
    <w:rsid w:val="007D0299"/>
    <w:rsid w:val="007D2E25"/>
    <w:rsid w:val="007D3F71"/>
    <w:rsid w:val="007D7736"/>
    <w:rsid w:val="007E3B10"/>
    <w:rsid w:val="007E7622"/>
    <w:rsid w:val="007E788F"/>
    <w:rsid w:val="007F00A8"/>
    <w:rsid w:val="007F28D7"/>
    <w:rsid w:val="007F3395"/>
    <w:rsid w:val="007F6BB7"/>
    <w:rsid w:val="00801B9F"/>
    <w:rsid w:val="00801E8C"/>
    <w:rsid w:val="00803C14"/>
    <w:rsid w:val="008057FD"/>
    <w:rsid w:val="008106A8"/>
    <w:rsid w:val="00811527"/>
    <w:rsid w:val="00811571"/>
    <w:rsid w:val="00815ECE"/>
    <w:rsid w:val="00817F9C"/>
    <w:rsid w:val="00831413"/>
    <w:rsid w:val="0083631C"/>
    <w:rsid w:val="00844A3C"/>
    <w:rsid w:val="008475F0"/>
    <w:rsid w:val="0084783D"/>
    <w:rsid w:val="008518C3"/>
    <w:rsid w:val="00854D7A"/>
    <w:rsid w:val="008552E3"/>
    <w:rsid w:val="00856806"/>
    <w:rsid w:val="00857B05"/>
    <w:rsid w:val="00864210"/>
    <w:rsid w:val="00864605"/>
    <w:rsid w:val="00866D4F"/>
    <w:rsid w:val="00870455"/>
    <w:rsid w:val="00874B3F"/>
    <w:rsid w:val="00880004"/>
    <w:rsid w:val="00883024"/>
    <w:rsid w:val="00891631"/>
    <w:rsid w:val="00893CDC"/>
    <w:rsid w:val="008947FC"/>
    <w:rsid w:val="00897EE2"/>
    <w:rsid w:val="008A19A2"/>
    <w:rsid w:val="008A2B05"/>
    <w:rsid w:val="008A36C7"/>
    <w:rsid w:val="008A3980"/>
    <w:rsid w:val="008A5AFE"/>
    <w:rsid w:val="008A7233"/>
    <w:rsid w:val="008B29B5"/>
    <w:rsid w:val="008B3E55"/>
    <w:rsid w:val="008B60A2"/>
    <w:rsid w:val="008B68D7"/>
    <w:rsid w:val="008B6FBF"/>
    <w:rsid w:val="008B7D42"/>
    <w:rsid w:val="008C16C3"/>
    <w:rsid w:val="008C2F58"/>
    <w:rsid w:val="008C3E0E"/>
    <w:rsid w:val="008C5A0E"/>
    <w:rsid w:val="008E1436"/>
    <w:rsid w:val="008F08A9"/>
    <w:rsid w:val="008F0C31"/>
    <w:rsid w:val="008F56A8"/>
    <w:rsid w:val="008F7B18"/>
    <w:rsid w:val="00917C69"/>
    <w:rsid w:val="00924794"/>
    <w:rsid w:val="00927569"/>
    <w:rsid w:val="009347AA"/>
    <w:rsid w:val="009364D6"/>
    <w:rsid w:val="00937C44"/>
    <w:rsid w:val="0094506F"/>
    <w:rsid w:val="00946861"/>
    <w:rsid w:val="00947BAD"/>
    <w:rsid w:val="00963768"/>
    <w:rsid w:val="0096503D"/>
    <w:rsid w:val="00965387"/>
    <w:rsid w:val="00970924"/>
    <w:rsid w:val="009723D6"/>
    <w:rsid w:val="00975799"/>
    <w:rsid w:val="009903F3"/>
    <w:rsid w:val="00992C76"/>
    <w:rsid w:val="009A01A5"/>
    <w:rsid w:val="009A453E"/>
    <w:rsid w:val="009B2719"/>
    <w:rsid w:val="009B4D3B"/>
    <w:rsid w:val="009B59AF"/>
    <w:rsid w:val="009D5688"/>
    <w:rsid w:val="009D7407"/>
    <w:rsid w:val="009E06B9"/>
    <w:rsid w:val="009E0866"/>
    <w:rsid w:val="009E3D6D"/>
    <w:rsid w:val="009E3DDE"/>
    <w:rsid w:val="009E6056"/>
    <w:rsid w:val="009E7BB8"/>
    <w:rsid w:val="009F2576"/>
    <w:rsid w:val="009F5488"/>
    <w:rsid w:val="009F6423"/>
    <w:rsid w:val="00A01D9E"/>
    <w:rsid w:val="00A07BC8"/>
    <w:rsid w:val="00A176DA"/>
    <w:rsid w:val="00A24A62"/>
    <w:rsid w:val="00A31C9F"/>
    <w:rsid w:val="00A361D9"/>
    <w:rsid w:val="00A37BCD"/>
    <w:rsid w:val="00A4144F"/>
    <w:rsid w:val="00A4679C"/>
    <w:rsid w:val="00A5188C"/>
    <w:rsid w:val="00A54034"/>
    <w:rsid w:val="00A56650"/>
    <w:rsid w:val="00A56F14"/>
    <w:rsid w:val="00A63FB4"/>
    <w:rsid w:val="00A653D6"/>
    <w:rsid w:val="00A67EFB"/>
    <w:rsid w:val="00A80F95"/>
    <w:rsid w:val="00A8197B"/>
    <w:rsid w:val="00A85346"/>
    <w:rsid w:val="00A856CE"/>
    <w:rsid w:val="00A95709"/>
    <w:rsid w:val="00A9745A"/>
    <w:rsid w:val="00AA0439"/>
    <w:rsid w:val="00AA7BE3"/>
    <w:rsid w:val="00AB5E7F"/>
    <w:rsid w:val="00AB60CF"/>
    <w:rsid w:val="00AB7FA7"/>
    <w:rsid w:val="00AC164A"/>
    <w:rsid w:val="00AC302F"/>
    <w:rsid w:val="00AC7E12"/>
    <w:rsid w:val="00AD15EC"/>
    <w:rsid w:val="00AD2306"/>
    <w:rsid w:val="00AD44C4"/>
    <w:rsid w:val="00AE1522"/>
    <w:rsid w:val="00AE3912"/>
    <w:rsid w:val="00AE4DD3"/>
    <w:rsid w:val="00AE56FB"/>
    <w:rsid w:val="00AF1B85"/>
    <w:rsid w:val="00AF2050"/>
    <w:rsid w:val="00AF5886"/>
    <w:rsid w:val="00B03164"/>
    <w:rsid w:val="00B03CA8"/>
    <w:rsid w:val="00B10BC5"/>
    <w:rsid w:val="00B1185D"/>
    <w:rsid w:val="00B22EB6"/>
    <w:rsid w:val="00B23923"/>
    <w:rsid w:val="00B24236"/>
    <w:rsid w:val="00B25620"/>
    <w:rsid w:val="00B3086D"/>
    <w:rsid w:val="00B331DC"/>
    <w:rsid w:val="00B337E2"/>
    <w:rsid w:val="00B3585D"/>
    <w:rsid w:val="00B3617C"/>
    <w:rsid w:val="00B3746D"/>
    <w:rsid w:val="00B37C19"/>
    <w:rsid w:val="00B406A2"/>
    <w:rsid w:val="00B4185D"/>
    <w:rsid w:val="00B4341B"/>
    <w:rsid w:val="00B438D3"/>
    <w:rsid w:val="00B438FE"/>
    <w:rsid w:val="00B44FB2"/>
    <w:rsid w:val="00B45937"/>
    <w:rsid w:val="00B50415"/>
    <w:rsid w:val="00B50DD5"/>
    <w:rsid w:val="00B53137"/>
    <w:rsid w:val="00B53E38"/>
    <w:rsid w:val="00B540C5"/>
    <w:rsid w:val="00B55E19"/>
    <w:rsid w:val="00B55E60"/>
    <w:rsid w:val="00B56DF4"/>
    <w:rsid w:val="00B60F98"/>
    <w:rsid w:val="00B623A2"/>
    <w:rsid w:val="00B62CC8"/>
    <w:rsid w:val="00B74035"/>
    <w:rsid w:val="00B74AC9"/>
    <w:rsid w:val="00B81CFB"/>
    <w:rsid w:val="00B8762E"/>
    <w:rsid w:val="00B902BB"/>
    <w:rsid w:val="00B90521"/>
    <w:rsid w:val="00B962D4"/>
    <w:rsid w:val="00BA4B6D"/>
    <w:rsid w:val="00BB0541"/>
    <w:rsid w:val="00BB0E82"/>
    <w:rsid w:val="00BB254C"/>
    <w:rsid w:val="00BB26C5"/>
    <w:rsid w:val="00BC12F4"/>
    <w:rsid w:val="00BC1AD9"/>
    <w:rsid w:val="00BC337C"/>
    <w:rsid w:val="00BC3E15"/>
    <w:rsid w:val="00BC6518"/>
    <w:rsid w:val="00BD0D4A"/>
    <w:rsid w:val="00BD282D"/>
    <w:rsid w:val="00BE2227"/>
    <w:rsid w:val="00BE275D"/>
    <w:rsid w:val="00BE6C6D"/>
    <w:rsid w:val="00BE6F1B"/>
    <w:rsid w:val="00BE737D"/>
    <w:rsid w:val="00BF3154"/>
    <w:rsid w:val="00BF4DE6"/>
    <w:rsid w:val="00BF7B97"/>
    <w:rsid w:val="00C10B7A"/>
    <w:rsid w:val="00C3377C"/>
    <w:rsid w:val="00C36659"/>
    <w:rsid w:val="00C37399"/>
    <w:rsid w:val="00C406F0"/>
    <w:rsid w:val="00C418B2"/>
    <w:rsid w:val="00C42CDE"/>
    <w:rsid w:val="00C500D7"/>
    <w:rsid w:val="00C5182A"/>
    <w:rsid w:val="00C60C68"/>
    <w:rsid w:val="00C60E1E"/>
    <w:rsid w:val="00C624F9"/>
    <w:rsid w:val="00C63EE9"/>
    <w:rsid w:val="00C6626C"/>
    <w:rsid w:val="00C7297E"/>
    <w:rsid w:val="00C75AA4"/>
    <w:rsid w:val="00C80308"/>
    <w:rsid w:val="00C8100A"/>
    <w:rsid w:val="00C81FE1"/>
    <w:rsid w:val="00C82315"/>
    <w:rsid w:val="00C90AA1"/>
    <w:rsid w:val="00C91AFB"/>
    <w:rsid w:val="00C93CF2"/>
    <w:rsid w:val="00C952B9"/>
    <w:rsid w:val="00CA37B1"/>
    <w:rsid w:val="00CA4284"/>
    <w:rsid w:val="00CA4786"/>
    <w:rsid w:val="00CA5B8A"/>
    <w:rsid w:val="00CA6526"/>
    <w:rsid w:val="00CA6697"/>
    <w:rsid w:val="00CA6EEA"/>
    <w:rsid w:val="00CA7DD8"/>
    <w:rsid w:val="00CB1959"/>
    <w:rsid w:val="00CB3241"/>
    <w:rsid w:val="00CB65AE"/>
    <w:rsid w:val="00CC016B"/>
    <w:rsid w:val="00CC32B4"/>
    <w:rsid w:val="00CD0E4B"/>
    <w:rsid w:val="00CD3F92"/>
    <w:rsid w:val="00CD5827"/>
    <w:rsid w:val="00CD5C03"/>
    <w:rsid w:val="00CD6B08"/>
    <w:rsid w:val="00CD6D85"/>
    <w:rsid w:val="00CE0155"/>
    <w:rsid w:val="00CE3333"/>
    <w:rsid w:val="00CE5DF0"/>
    <w:rsid w:val="00CF05BE"/>
    <w:rsid w:val="00CF5F12"/>
    <w:rsid w:val="00CF5F29"/>
    <w:rsid w:val="00D00802"/>
    <w:rsid w:val="00D012B2"/>
    <w:rsid w:val="00D02039"/>
    <w:rsid w:val="00D0296C"/>
    <w:rsid w:val="00D06012"/>
    <w:rsid w:val="00D1344E"/>
    <w:rsid w:val="00D146A2"/>
    <w:rsid w:val="00D14A17"/>
    <w:rsid w:val="00D154B3"/>
    <w:rsid w:val="00D15A00"/>
    <w:rsid w:val="00D15C84"/>
    <w:rsid w:val="00D20D6C"/>
    <w:rsid w:val="00D2125F"/>
    <w:rsid w:val="00D2532F"/>
    <w:rsid w:val="00D31C34"/>
    <w:rsid w:val="00D3315E"/>
    <w:rsid w:val="00D33BF8"/>
    <w:rsid w:val="00D34842"/>
    <w:rsid w:val="00D3579B"/>
    <w:rsid w:val="00D35B02"/>
    <w:rsid w:val="00D40AEB"/>
    <w:rsid w:val="00D4383A"/>
    <w:rsid w:val="00D45C21"/>
    <w:rsid w:val="00D460DC"/>
    <w:rsid w:val="00D5304A"/>
    <w:rsid w:val="00D5352C"/>
    <w:rsid w:val="00D54F20"/>
    <w:rsid w:val="00D555A6"/>
    <w:rsid w:val="00D56133"/>
    <w:rsid w:val="00D60C0A"/>
    <w:rsid w:val="00D61E04"/>
    <w:rsid w:val="00D61FFA"/>
    <w:rsid w:val="00D63783"/>
    <w:rsid w:val="00D64BD1"/>
    <w:rsid w:val="00D65DEA"/>
    <w:rsid w:val="00D72760"/>
    <w:rsid w:val="00D72F17"/>
    <w:rsid w:val="00D739D8"/>
    <w:rsid w:val="00D73EFE"/>
    <w:rsid w:val="00D74D4E"/>
    <w:rsid w:val="00D751A2"/>
    <w:rsid w:val="00D84053"/>
    <w:rsid w:val="00D85B01"/>
    <w:rsid w:val="00D86954"/>
    <w:rsid w:val="00D9065B"/>
    <w:rsid w:val="00D935C0"/>
    <w:rsid w:val="00D93D05"/>
    <w:rsid w:val="00D94FC8"/>
    <w:rsid w:val="00DA040F"/>
    <w:rsid w:val="00DA29D0"/>
    <w:rsid w:val="00DA4625"/>
    <w:rsid w:val="00DB1F8A"/>
    <w:rsid w:val="00DB2C62"/>
    <w:rsid w:val="00DB59DE"/>
    <w:rsid w:val="00DC33D3"/>
    <w:rsid w:val="00DD16DD"/>
    <w:rsid w:val="00DD1986"/>
    <w:rsid w:val="00DD5130"/>
    <w:rsid w:val="00DD52DF"/>
    <w:rsid w:val="00DE084C"/>
    <w:rsid w:val="00DE2F3E"/>
    <w:rsid w:val="00DE3739"/>
    <w:rsid w:val="00DE4E90"/>
    <w:rsid w:val="00DE5130"/>
    <w:rsid w:val="00DE770F"/>
    <w:rsid w:val="00DF2B19"/>
    <w:rsid w:val="00DF57ED"/>
    <w:rsid w:val="00DF7D82"/>
    <w:rsid w:val="00E02DA0"/>
    <w:rsid w:val="00E04ADC"/>
    <w:rsid w:val="00E0719C"/>
    <w:rsid w:val="00E13D63"/>
    <w:rsid w:val="00E152BB"/>
    <w:rsid w:val="00E17EDC"/>
    <w:rsid w:val="00E22EA4"/>
    <w:rsid w:val="00E245D7"/>
    <w:rsid w:val="00E24E11"/>
    <w:rsid w:val="00E27C3E"/>
    <w:rsid w:val="00E33D1B"/>
    <w:rsid w:val="00E357B7"/>
    <w:rsid w:val="00E36F91"/>
    <w:rsid w:val="00E37BE1"/>
    <w:rsid w:val="00E41785"/>
    <w:rsid w:val="00E43B51"/>
    <w:rsid w:val="00E47CE3"/>
    <w:rsid w:val="00E53800"/>
    <w:rsid w:val="00E561A2"/>
    <w:rsid w:val="00E56990"/>
    <w:rsid w:val="00E57394"/>
    <w:rsid w:val="00E6081F"/>
    <w:rsid w:val="00E60C7E"/>
    <w:rsid w:val="00E61120"/>
    <w:rsid w:val="00E619E3"/>
    <w:rsid w:val="00E65D3E"/>
    <w:rsid w:val="00E679AB"/>
    <w:rsid w:val="00E707AB"/>
    <w:rsid w:val="00E74790"/>
    <w:rsid w:val="00E76DE6"/>
    <w:rsid w:val="00E804A6"/>
    <w:rsid w:val="00E81005"/>
    <w:rsid w:val="00E92016"/>
    <w:rsid w:val="00E95836"/>
    <w:rsid w:val="00EA04B2"/>
    <w:rsid w:val="00EA06FB"/>
    <w:rsid w:val="00EA134A"/>
    <w:rsid w:val="00EA20F3"/>
    <w:rsid w:val="00EA5A95"/>
    <w:rsid w:val="00EA6AF1"/>
    <w:rsid w:val="00EB0BDE"/>
    <w:rsid w:val="00EB2D0F"/>
    <w:rsid w:val="00EB76E2"/>
    <w:rsid w:val="00EC3EED"/>
    <w:rsid w:val="00ED0A6E"/>
    <w:rsid w:val="00ED2831"/>
    <w:rsid w:val="00ED43D1"/>
    <w:rsid w:val="00EE1FDC"/>
    <w:rsid w:val="00EE2949"/>
    <w:rsid w:val="00EE4BE0"/>
    <w:rsid w:val="00EE4EE1"/>
    <w:rsid w:val="00EF2C9B"/>
    <w:rsid w:val="00EF393E"/>
    <w:rsid w:val="00EF4574"/>
    <w:rsid w:val="00EF6543"/>
    <w:rsid w:val="00F0055F"/>
    <w:rsid w:val="00F03CF2"/>
    <w:rsid w:val="00F04708"/>
    <w:rsid w:val="00F061F3"/>
    <w:rsid w:val="00F26475"/>
    <w:rsid w:val="00F2684E"/>
    <w:rsid w:val="00F27DD2"/>
    <w:rsid w:val="00F3376C"/>
    <w:rsid w:val="00F36646"/>
    <w:rsid w:val="00F36F1E"/>
    <w:rsid w:val="00F42867"/>
    <w:rsid w:val="00F467C0"/>
    <w:rsid w:val="00F508B9"/>
    <w:rsid w:val="00F52261"/>
    <w:rsid w:val="00F52772"/>
    <w:rsid w:val="00F5404C"/>
    <w:rsid w:val="00F54A39"/>
    <w:rsid w:val="00F6667A"/>
    <w:rsid w:val="00F729EF"/>
    <w:rsid w:val="00F759B4"/>
    <w:rsid w:val="00F76BCE"/>
    <w:rsid w:val="00F77CAE"/>
    <w:rsid w:val="00F77ECA"/>
    <w:rsid w:val="00F8009A"/>
    <w:rsid w:val="00F82271"/>
    <w:rsid w:val="00F8238B"/>
    <w:rsid w:val="00F83428"/>
    <w:rsid w:val="00F86626"/>
    <w:rsid w:val="00F904A3"/>
    <w:rsid w:val="00F90B9B"/>
    <w:rsid w:val="00F90D5F"/>
    <w:rsid w:val="00F91810"/>
    <w:rsid w:val="00F94C71"/>
    <w:rsid w:val="00F96116"/>
    <w:rsid w:val="00F96BB9"/>
    <w:rsid w:val="00F9729F"/>
    <w:rsid w:val="00FA3A5A"/>
    <w:rsid w:val="00FB07BA"/>
    <w:rsid w:val="00FB10BE"/>
    <w:rsid w:val="00FB57E0"/>
    <w:rsid w:val="00FC232F"/>
    <w:rsid w:val="00FC54D5"/>
    <w:rsid w:val="00FD0E8B"/>
    <w:rsid w:val="00FD3B36"/>
    <w:rsid w:val="00FD5DEC"/>
    <w:rsid w:val="00FE1093"/>
    <w:rsid w:val="00FE3688"/>
    <w:rsid w:val="00FE5DF7"/>
    <w:rsid w:val="00FE6D51"/>
    <w:rsid w:val="00FF09F3"/>
    <w:rsid w:val="00FF3B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97B"/>
    <w:pPr>
      <w:suppressAutoHyphens/>
      <w:spacing w:before="120" w:after="60" w:line="230" w:lineRule="atLeast"/>
    </w:pPr>
    <w:rPr>
      <w:color w:val="495965" w:themeColor="text2"/>
      <w:lang w:val="en-GB"/>
    </w:rPr>
  </w:style>
  <w:style w:type="paragraph" w:styleId="Heading1">
    <w:name w:val="heading 1"/>
    <w:basedOn w:val="Normal"/>
    <w:next w:val="Normal"/>
    <w:link w:val="Heading1Char"/>
    <w:uiPriority w:val="9"/>
    <w:qFormat/>
    <w:rsid w:val="00F83428"/>
    <w:pPr>
      <w:keepNext/>
      <w:keepLines/>
      <w:pageBreakBefore/>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pageBreakBefore w:val="0"/>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rsid w:val="00486804"/>
    <w:pPr>
      <w:outlineLvl w:val="6"/>
    </w:pPr>
    <w:rPr>
      <w:i/>
      <w:iCs w:val="0"/>
    </w:rPr>
  </w:style>
  <w:style w:type="paragraph" w:styleId="Heading8">
    <w:name w:val="heading 8"/>
    <w:basedOn w:val="Heading7"/>
    <w:next w:val="Normal"/>
    <w:link w:val="Heading8Char"/>
    <w:uiPriority w:val="9"/>
    <w:semiHidden/>
    <w:unhideWhenUsed/>
    <w:qFormat/>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428"/>
    <w:rPr>
      <w:rFonts w:asciiTheme="majorHAnsi" w:eastAsiaTheme="majorEastAsia" w:hAnsiTheme="majorHAnsi" w:cstheme="majorBidi"/>
      <w:b/>
      <w:bCs/>
      <w:caps/>
      <w:color w:val="495965" w:themeColor="text2"/>
      <w:sz w:val="38"/>
      <w:szCs w:val="28"/>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pageBreakBefore w:val="0"/>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pageBreakBefore w:val="0"/>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992C76"/>
    <w:pPr>
      <w:tabs>
        <w:tab w:val="center" w:pos="4513"/>
        <w:tab w:val="right" w:pos="9026"/>
      </w:tabs>
      <w:spacing w:before="0" w:after="0"/>
      <w:jc w:val="right"/>
    </w:pPr>
    <w:rPr>
      <w:b/>
      <w:caps/>
      <w:sz w:val="20"/>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D2831"/>
    <w:pPr>
      <w:spacing w:before="400" w:after="400" w:line="280" w:lineRule="exact"/>
    </w:pPr>
    <w:rPr>
      <w:b/>
      <w:caps/>
      <w:color w:val="ACD08C" w:themeColor="accent3"/>
      <w:sz w:val="28"/>
    </w:rPr>
  </w:style>
  <w:style w:type="table" w:styleId="TableGrid">
    <w:name w:val="Table Grid"/>
    <w:basedOn w:val="TableNormal"/>
    <w:uiPriority w:val="39"/>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2C76"/>
    <w:rPr>
      <w:b/>
      <w:caps/>
      <w:color w:val="495965" w:themeColor="text2"/>
      <w:sz w:val="20"/>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link w:val="CaptionChar"/>
    <w:uiPriority w:val="99"/>
    <w:unhideWhenUsed/>
    <w:qFormat/>
    <w:rsid w:val="00ED2831"/>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rsid w:val="00C5182A"/>
    <w:rPr>
      <w:b/>
      <w:sz w:val="20"/>
    </w:rPr>
  </w:style>
  <w:style w:type="paragraph" w:styleId="FootnoteText">
    <w:name w:val="footnote text"/>
    <w:aliases w:val="single space,fn,FOOTNOTES,ft,Footnote Text Char2,Footnote Text Char1 Char,Footnote Text Char Char Char1,Footnote Text Char1 Char Char Char1,Footnote Text Char1 Char1 Char,Footnote Text Char Char Char Char,ALTS FOOTNOTE,Char Char Char,footn"/>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single space Char,fn Char,FOOTNOTES Char,ft Char,Footnote Text Char2 Char,Footnote Text Char1 Char Char,Footnote Text Char Char Char1 Char,Footnote Text Char1 Char Char Char1 Char,Footnote Text Char1 Char1 Char Char,ALTS FOOTNOTE Char"/>
    <w:basedOn w:val="DefaultParagraphFont"/>
    <w:link w:val="FootnoteText"/>
    <w:uiPriority w:val="99"/>
    <w:rsid w:val="008C5A0E"/>
    <w:rPr>
      <w:color w:val="495965" w:themeColor="text2"/>
      <w:sz w:val="12"/>
      <w:szCs w:val="20"/>
    </w:rPr>
  </w:style>
  <w:style w:type="character" w:styleId="FootnoteReference">
    <w:name w:val="footnote reference"/>
    <w:aliases w:val="ftref,Normal + Font:9 Point,Superscript 3 Point Times,16 Point,Superscript 6 Point,Fußnotenzeichen DISS,fr,BVI fnr,(NECG) Footnote Reference,footnote ref,Char Char Char Char Car Char,Ref,de nota al pie,Superscript 6 Point + 11 pt"/>
    <w:basedOn w:val="DefaultParagraphFont"/>
    <w:link w:val="referencianotaalpieChar"/>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F83428"/>
    <w:rPr>
      <w:color w:val="ACD08C" w:themeColor="accent3"/>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F82271"/>
    <w:pPr>
      <w:spacing w:after="200" w:line="140" w:lineRule="atLeast"/>
      <w:jc w:val="right"/>
    </w:pPr>
    <w:rPr>
      <w:sz w:val="12"/>
    </w:rPr>
  </w:style>
  <w:style w:type="table" w:customStyle="1" w:styleId="DFATTable1">
    <w:name w:val="DFAT Table 1"/>
    <w:basedOn w:val="TableNormal"/>
    <w:uiPriority w:val="99"/>
    <w:rsid w:val="00ED2831"/>
    <w:pPr>
      <w:spacing w:before="60" w:after="60" w:line="220" w:lineRule="atLeast"/>
    </w:pPr>
    <w:rPr>
      <w:rFonts w:ascii="Calibri" w:hAnsi="Calibri"/>
      <w:sz w:val="18"/>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ED2831"/>
    <w:pPr>
      <w:pageBreakBefore w:val="0"/>
      <w:spacing w:after="60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ED2831"/>
    <w:pPr>
      <w:spacing w:before="60" w:line="220" w:lineRule="atLeast"/>
    </w:pPr>
    <w:rPr>
      <w:rFonts w:ascii="Calibri" w:hAnsi="Calibri"/>
      <w:b/>
      <w:sz w:val="18"/>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ED2831"/>
    <w:pPr>
      <w:spacing w:before="60" w:line="220" w:lineRule="atLeast"/>
    </w:pPr>
    <w:rPr>
      <w:rFonts w:ascii="Calibri" w:hAnsi="Calibri"/>
      <w:b/>
      <w:color w:val="FFFFFF" w:themeColor="background1"/>
      <w:sz w:val="18"/>
    </w:rPr>
  </w:style>
  <w:style w:type="paragraph" w:customStyle="1" w:styleId="BoxHeading">
    <w:name w:val="Box Heading"/>
    <w:basedOn w:val="Heading3"/>
    <w:qFormat/>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A80F95"/>
    <w:pPr>
      <w:spacing w:before="60" w:line="220" w:lineRule="atLeast"/>
    </w:pPr>
    <w:rPr>
      <w:rFonts w:ascii="Calibri" w:hAnsi="Calibri"/>
      <w:sz w:val="18"/>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rsid w:val="002B3E9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E95"/>
    <w:rPr>
      <w:rFonts w:ascii="Tahoma" w:hAnsi="Tahoma" w:cs="Tahoma"/>
      <w:color w:val="495965" w:themeColor="text2"/>
      <w:sz w:val="16"/>
      <w:szCs w:val="16"/>
      <w:lang w:val="en-GB"/>
    </w:rPr>
  </w:style>
  <w:style w:type="paragraph" w:styleId="BodyText">
    <w:name w:val="Body Text"/>
    <w:basedOn w:val="Normal"/>
    <w:link w:val="BodyTextChar"/>
    <w:qFormat/>
    <w:rsid w:val="008F56A8"/>
    <w:pPr>
      <w:suppressAutoHyphens w:val="0"/>
      <w:spacing w:before="0" w:after="160" w:line="280" w:lineRule="exact"/>
    </w:pPr>
    <w:rPr>
      <w:rFonts w:ascii="Franklin Gothic Book" w:eastAsia="Times New Roman" w:hAnsi="Franklin Gothic Book" w:cs="Times New Roman"/>
      <w:color w:val="auto"/>
      <w:sz w:val="21"/>
      <w:szCs w:val="24"/>
      <w:lang w:val="en-AU" w:eastAsia="en-AU"/>
    </w:rPr>
  </w:style>
  <w:style w:type="character" w:customStyle="1" w:styleId="BodyTextChar">
    <w:name w:val="Body Text Char"/>
    <w:basedOn w:val="DefaultParagraphFont"/>
    <w:link w:val="BodyText"/>
    <w:rsid w:val="008F56A8"/>
    <w:rPr>
      <w:rFonts w:ascii="Franklin Gothic Book" w:eastAsia="Times New Roman" w:hAnsi="Franklin Gothic Book" w:cs="Times New Roman"/>
      <w:sz w:val="21"/>
      <w:szCs w:val="24"/>
      <w:lang w:eastAsia="en-AU"/>
    </w:rPr>
  </w:style>
  <w:style w:type="paragraph" w:styleId="ListBullet">
    <w:name w:val="List Bullet"/>
    <w:basedOn w:val="BodyText"/>
    <w:qFormat/>
    <w:rsid w:val="008F56A8"/>
    <w:pPr>
      <w:tabs>
        <w:tab w:val="left" w:pos="284"/>
      </w:tabs>
      <w:spacing w:after="120"/>
    </w:pPr>
  </w:style>
  <w:style w:type="character" w:customStyle="1" w:styleId="CaptionChar">
    <w:name w:val="Caption Char"/>
    <w:link w:val="Caption"/>
    <w:uiPriority w:val="99"/>
    <w:locked/>
    <w:rsid w:val="008F56A8"/>
    <w:rPr>
      <w:b/>
      <w:iCs/>
      <w:color w:val="000000" w:themeColor="text1"/>
      <w:sz w:val="20"/>
      <w:szCs w:val="18"/>
      <w:lang w:val="en-GB"/>
    </w:rPr>
  </w:style>
  <w:style w:type="paragraph" w:customStyle="1" w:styleId="Note">
    <w:name w:val="Note"/>
    <w:basedOn w:val="TableTextEntries"/>
    <w:next w:val="BodyText"/>
    <w:link w:val="NoteCharChar"/>
    <w:autoRedefine/>
    <w:rsid w:val="005B5769"/>
    <w:pPr>
      <w:keepNext/>
      <w:spacing w:before="20" w:after="20" w:line="180" w:lineRule="atLeast"/>
      <w:jc w:val="both"/>
    </w:pPr>
    <w:rPr>
      <w:iCs w:val="0"/>
      <w:sz w:val="14"/>
      <w:szCs w:val="14"/>
      <w:lang w:eastAsia="en-AU"/>
    </w:rPr>
  </w:style>
  <w:style w:type="paragraph" w:customStyle="1" w:styleId="TableTextEntries">
    <w:name w:val="Table Text Entries"/>
    <w:rsid w:val="005B5769"/>
    <w:pPr>
      <w:keepLines/>
      <w:spacing w:before="40" w:after="40" w:line="200" w:lineRule="atLeast"/>
    </w:pPr>
    <w:rPr>
      <w:rFonts w:ascii="Franklin Gothic Book" w:eastAsia="Times New Roman" w:hAnsi="Franklin Gothic Book" w:cs="Times New Roman"/>
      <w:iCs/>
      <w:sz w:val="17"/>
      <w:szCs w:val="17"/>
    </w:rPr>
  </w:style>
  <w:style w:type="character" w:customStyle="1" w:styleId="NoteCharChar">
    <w:name w:val="Note Char Char"/>
    <w:link w:val="Note"/>
    <w:rsid w:val="005B5769"/>
    <w:rPr>
      <w:rFonts w:ascii="Franklin Gothic Book" w:eastAsia="Times New Roman" w:hAnsi="Franklin Gothic Book" w:cs="Times New Roman"/>
      <w:sz w:val="14"/>
      <w:szCs w:val="14"/>
      <w:lang w:eastAsia="en-AU"/>
    </w:rPr>
  </w:style>
  <w:style w:type="paragraph" w:customStyle="1" w:styleId="TableTextColumnHeading">
    <w:name w:val="Table Text Column Heading"/>
    <w:basedOn w:val="Normal"/>
    <w:autoRedefine/>
    <w:rsid w:val="005B5769"/>
    <w:pPr>
      <w:keepLines/>
      <w:suppressAutoHyphens w:val="0"/>
      <w:spacing w:before="80" w:after="80" w:line="200" w:lineRule="atLeast"/>
    </w:pPr>
    <w:rPr>
      <w:rFonts w:ascii="Franklin Gothic Medium" w:eastAsia="Times New Roman" w:hAnsi="Franklin Gothic Medium" w:cs="Times New Roman"/>
      <w:b/>
      <w:iCs/>
      <w:color w:val="auto"/>
      <w:sz w:val="17"/>
      <w:szCs w:val="17"/>
      <w:lang w:val="en-AU"/>
    </w:rPr>
  </w:style>
  <w:style w:type="table" w:customStyle="1" w:styleId="DFATTable">
    <w:name w:val="DFAT Table"/>
    <w:basedOn w:val="TableNormal"/>
    <w:uiPriority w:val="99"/>
    <w:rsid w:val="005B5769"/>
    <w:pPr>
      <w:spacing w:after="0" w:line="240" w:lineRule="auto"/>
    </w:pPr>
    <w:rPr>
      <w:rFonts w:ascii="Helvetica" w:hAnsi="Helvetica"/>
      <w:sz w:val="17"/>
      <w:lang w:eastAsia="en-AU"/>
    </w:rPr>
    <w:tblPr>
      <w:tblBorders>
        <w:top w:val="single" w:sz="12" w:space="0" w:color="auto"/>
        <w:bottom w:val="single" w:sz="12" w:space="0" w:color="auto"/>
      </w:tblBorders>
    </w:tblPr>
  </w:style>
  <w:style w:type="paragraph" w:customStyle="1" w:styleId="BoxListBullet">
    <w:name w:val="Box List Bullet"/>
    <w:basedOn w:val="Normal"/>
    <w:rsid w:val="005B5769"/>
    <w:pPr>
      <w:keepLines/>
      <w:numPr>
        <w:numId w:val="34"/>
      </w:numPr>
      <w:pBdr>
        <w:top w:val="single" w:sz="4" w:space="10" w:color="auto"/>
        <w:left w:val="single" w:sz="4" w:space="10" w:color="auto"/>
        <w:bottom w:val="single" w:sz="4" w:space="10" w:color="auto"/>
        <w:right w:val="single" w:sz="4" w:space="10" w:color="auto"/>
      </w:pBdr>
      <w:shd w:val="clear" w:color="auto" w:fill="C7D5E6"/>
      <w:suppressAutoHyphens w:val="0"/>
      <w:spacing w:before="0" w:after="120" w:line="240" w:lineRule="auto"/>
      <w:ind w:left="284" w:hanging="284"/>
      <w:contextualSpacing/>
      <w:mirrorIndents/>
    </w:pPr>
    <w:rPr>
      <w:rFonts w:ascii="Franklin Gothic Book" w:eastAsia="Times New Roman" w:hAnsi="Franklin Gothic Book" w:cs="Times New Roman"/>
      <w:iCs/>
      <w:color w:val="auto"/>
      <w:sz w:val="20"/>
      <w:szCs w:val="20"/>
      <w:lang w:val="en-AU" w:eastAsia="en-AU"/>
    </w:rPr>
  </w:style>
  <w:style w:type="paragraph" w:customStyle="1" w:styleId="TableHeading1">
    <w:name w:val="Table Heading 1"/>
    <w:basedOn w:val="TableTextEntries"/>
    <w:next w:val="TableTextEntries"/>
    <w:rsid w:val="005B5769"/>
    <w:pPr>
      <w:spacing w:before="80" w:after="80"/>
    </w:pPr>
    <w:rPr>
      <w:b/>
    </w:rPr>
  </w:style>
  <w:style w:type="table" w:customStyle="1" w:styleId="APPR">
    <w:name w:val="APPR"/>
    <w:basedOn w:val="TableNormal"/>
    <w:uiPriority w:val="99"/>
    <w:rsid w:val="005B5769"/>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TableListNumber2">
    <w:name w:val="Table List Number 2"/>
    <w:basedOn w:val="Normal"/>
    <w:rsid w:val="005B5769"/>
    <w:pPr>
      <w:keepLines/>
      <w:numPr>
        <w:numId w:val="35"/>
      </w:numPr>
      <w:suppressAutoHyphens w:val="0"/>
      <w:spacing w:before="40" w:after="40" w:line="200" w:lineRule="atLeast"/>
      <w:ind w:left="568" w:hanging="284"/>
    </w:pPr>
    <w:rPr>
      <w:rFonts w:ascii="Helvetica" w:eastAsia="Times New Roman" w:hAnsi="Helvetica" w:cs="Times New Roman"/>
      <w:iCs/>
      <w:color w:val="auto"/>
      <w:sz w:val="17"/>
      <w:szCs w:val="17"/>
      <w:lang w:val="en-AU"/>
    </w:rPr>
  </w:style>
  <w:style w:type="paragraph" w:styleId="ListParagraph">
    <w:name w:val="List Paragraph"/>
    <w:aliases w:val="List Paragraph (numbered (a)),Normal 2,Main numbered paragraph,List Paragraph1,Recommendation,List Paragraph11,L,F5 List Paragraph,Dot pt,CV text,Table text,List Paragraph111,Medium Grid 1 - Accent 21,Numbered Paragraph,List Paragraph2"/>
    <w:basedOn w:val="Normal"/>
    <w:link w:val="ListParagraphChar"/>
    <w:uiPriority w:val="34"/>
    <w:qFormat/>
    <w:rsid w:val="00E36F91"/>
    <w:pPr>
      <w:suppressAutoHyphens w:val="0"/>
      <w:spacing w:before="0" w:after="0" w:line="240" w:lineRule="auto"/>
      <w:ind w:left="720"/>
      <w:contextualSpacing/>
    </w:pPr>
    <w:rPr>
      <w:rFonts w:ascii="Times New Roman" w:eastAsia="Times New Roman" w:hAnsi="Times New Roman" w:cs="Times New Roman"/>
      <w:color w:val="auto"/>
      <w:sz w:val="24"/>
      <w:szCs w:val="24"/>
      <w:lang w:val="en-AU"/>
    </w:rPr>
  </w:style>
  <w:style w:type="character" w:customStyle="1" w:styleId="ListParagraphChar">
    <w:name w:val="List Paragraph Char"/>
    <w:aliases w:val="List Paragraph (numbered (a)) Char,Normal 2 Char,Main numbered paragraph Char,List Paragraph1 Char,Recommendation Char,List Paragraph11 Char,L Char,F5 List Paragraph Char,Dot pt Char,CV text Char,Table text Char,List Paragraph2 Char"/>
    <w:basedOn w:val="DefaultParagraphFont"/>
    <w:link w:val="ListParagraph"/>
    <w:uiPriority w:val="34"/>
    <w:qFormat/>
    <w:locked/>
    <w:rsid w:val="00E36F91"/>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7418"/>
    <w:rPr>
      <w:color w:val="800080" w:themeColor="followedHyperlink"/>
      <w:u w:val="single"/>
    </w:rPr>
  </w:style>
  <w:style w:type="paragraph" w:customStyle="1" w:styleId="Default">
    <w:name w:val="Default"/>
    <w:rsid w:val="005D135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DA29D0"/>
    <w:rPr>
      <w:sz w:val="16"/>
      <w:szCs w:val="16"/>
    </w:rPr>
  </w:style>
  <w:style w:type="paragraph" w:styleId="CommentText">
    <w:name w:val="annotation text"/>
    <w:basedOn w:val="Normal"/>
    <w:link w:val="CommentTextChar"/>
    <w:uiPriority w:val="99"/>
    <w:semiHidden/>
    <w:unhideWhenUsed/>
    <w:rsid w:val="00DA29D0"/>
    <w:pPr>
      <w:suppressAutoHyphens w:val="0"/>
      <w:spacing w:before="0" w:after="200" w:line="240" w:lineRule="auto"/>
    </w:pPr>
    <w:rPr>
      <w:rFonts w:asciiTheme="majorHAnsi" w:eastAsiaTheme="majorEastAsia" w:hAnsiTheme="majorHAnsi" w:cstheme="majorBidi"/>
      <w:color w:val="auto"/>
      <w:sz w:val="20"/>
      <w:szCs w:val="20"/>
      <w:lang w:val="en-US"/>
    </w:rPr>
  </w:style>
  <w:style w:type="character" w:customStyle="1" w:styleId="CommentTextChar">
    <w:name w:val="Comment Text Char"/>
    <w:basedOn w:val="DefaultParagraphFont"/>
    <w:link w:val="CommentText"/>
    <w:uiPriority w:val="99"/>
    <w:semiHidden/>
    <w:rsid w:val="00DA29D0"/>
    <w:rPr>
      <w:rFonts w:asciiTheme="majorHAnsi" w:eastAsiaTheme="majorEastAsia" w:hAnsiTheme="majorHAnsi" w:cstheme="majorBidi"/>
      <w:sz w:val="20"/>
      <w:szCs w:val="20"/>
      <w:lang w:val="en-US"/>
    </w:rPr>
  </w:style>
  <w:style w:type="paragraph" w:styleId="NormalWeb">
    <w:name w:val="Normal (Web)"/>
    <w:basedOn w:val="Normal"/>
    <w:uiPriority w:val="99"/>
    <w:unhideWhenUsed/>
    <w:rsid w:val="00DA29D0"/>
    <w:pPr>
      <w:suppressAutoHyphens w:val="0"/>
      <w:spacing w:before="0" w:after="150" w:line="240" w:lineRule="auto"/>
      <w:textAlignment w:val="baseline"/>
    </w:pPr>
    <w:rPr>
      <w:rFonts w:ascii="Times New Roman" w:eastAsia="Times New Roman" w:hAnsi="Times New Roman" w:cs="Times New Roman"/>
      <w:color w:val="auto"/>
      <w:sz w:val="29"/>
      <w:szCs w:val="29"/>
      <w:lang w:val="en-AU" w:eastAsia="en-AU"/>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DA29D0"/>
    <w:pPr>
      <w:suppressAutoHyphens w:val="0"/>
      <w:spacing w:before="0" w:after="160" w:line="240" w:lineRule="exact"/>
    </w:pPr>
    <w:rPr>
      <w:color w:val="auto"/>
      <w:vertAlign w:val="superscript"/>
      <w:lang w:val="en-AU"/>
    </w:rPr>
  </w:style>
  <w:style w:type="paragraph" w:styleId="CommentSubject">
    <w:name w:val="annotation subject"/>
    <w:basedOn w:val="CommentText"/>
    <w:next w:val="CommentText"/>
    <w:link w:val="CommentSubjectChar"/>
    <w:uiPriority w:val="99"/>
    <w:semiHidden/>
    <w:unhideWhenUsed/>
    <w:rsid w:val="00C418B2"/>
    <w:pPr>
      <w:suppressAutoHyphens/>
      <w:spacing w:before="120" w:after="60"/>
    </w:pPr>
    <w:rPr>
      <w:rFonts w:asciiTheme="minorHAnsi" w:eastAsiaTheme="minorHAnsi" w:hAnsiTheme="minorHAnsi" w:cstheme="minorBidi"/>
      <w:b/>
      <w:bCs/>
      <w:color w:val="495965" w:themeColor="text2"/>
      <w:lang w:val="en-GB"/>
    </w:rPr>
  </w:style>
  <w:style w:type="character" w:customStyle="1" w:styleId="CommentSubjectChar">
    <w:name w:val="Comment Subject Char"/>
    <w:basedOn w:val="CommentTextChar"/>
    <w:link w:val="CommentSubject"/>
    <w:uiPriority w:val="99"/>
    <w:semiHidden/>
    <w:rsid w:val="00C418B2"/>
    <w:rPr>
      <w:rFonts w:asciiTheme="majorHAnsi" w:eastAsiaTheme="majorEastAsia" w:hAnsiTheme="majorHAnsi" w:cstheme="majorBidi"/>
      <w:b/>
      <w:bCs/>
      <w:color w:val="495965" w:themeColor="text2"/>
      <w:sz w:val="20"/>
      <w:szCs w:val="20"/>
      <w:lang w:val="en-GB"/>
    </w:rPr>
  </w:style>
  <w:style w:type="paragraph" w:styleId="Revision">
    <w:name w:val="Revision"/>
    <w:hidden/>
    <w:uiPriority w:val="99"/>
    <w:semiHidden/>
    <w:rsid w:val="00B10BC5"/>
    <w:pPr>
      <w:spacing w:after="0" w:line="240" w:lineRule="auto"/>
    </w:pPr>
    <w:rPr>
      <w:color w:val="495965" w:themeColor="text2"/>
      <w:lang w:val="en-GB"/>
    </w:rPr>
  </w:style>
  <w:style w:type="character" w:styleId="HTMLCite">
    <w:name w:val="HTML Cite"/>
    <w:basedOn w:val="DefaultParagraphFont"/>
    <w:uiPriority w:val="99"/>
    <w:semiHidden/>
    <w:unhideWhenUsed/>
    <w:rsid w:val="002737BD"/>
    <w:rPr>
      <w:i/>
      <w:iCs/>
    </w:rPr>
  </w:style>
  <w:style w:type="character" w:customStyle="1" w:styleId="DFATStyleChar">
    <w:name w:val="DFAT Style Char"/>
    <w:basedOn w:val="DefaultParagraphFont"/>
    <w:link w:val="DFATStyle"/>
    <w:locked/>
    <w:rsid w:val="000B43C5"/>
    <w:rPr>
      <w:rFonts w:ascii="Arial" w:hAnsi="Arial" w:cs="Arial"/>
    </w:rPr>
  </w:style>
  <w:style w:type="paragraph" w:customStyle="1" w:styleId="DFATStyle">
    <w:name w:val="DFAT Style"/>
    <w:basedOn w:val="Normal"/>
    <w:link w:val="DFATStyleChar"/>
    <w:rsid w:val="000B43C5"/>
    <w:pPr>
      <w:numPr>
        <w:numId w:val="45"/>
      </w:numPr>
      <w:suppressAutoHyphens w:val="0"/>
      <w:spacing w:before="0" w:after="0" w:line="240" w:lineRule="auto"/>
      <w:contextualSpacing/>
    </w:pPr>
    <w:rPr>
      <w:rFonts w:ascii="Arial" w:hAnsi="Arial" w:cs="Arial"/>
      <w:color w:val="auto"/>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4852">
      <w:bodyDiv w:val="1"/>
      <w:marLeft w:val="0"/>
      <w:marRight w:val="0"/>
      <w:marTop w:val="0"/>
      <w:marBottom w:val="0"/>
      <w:divBdr>
        <w:top w:val="none" w:sz="0" w:space="0" w:color="auto"/>
        <w:left w:val="none" w:sz="0" w:space="0" w:color="auto"/>
        <w:bottom w:val="none" w:sz="0" w:space="0" w:color="auto"/>
        <w:right w:val="none" w:sz="0" w:space="0" w:color="auto"/>
      </w:divBdr>
    </w:div>
    <w:div w:id="274216398">
      <w:bodyDiv w:val="1"/>
      <w:marLeft w:val="0"/>
      <w:marRight w:val="0"/>
      <w:marTop w:val="0"/>
      <w:marBottom w:val="0"/>
      <w:divBdr>
        <w:top w:val="none" w:sz="0" w:space="0" w:color="auto"/>
        <w:left w:val="none" w:sz="0" w:space="0" w:color="auto"/>
        <w:bottom w:val="none" w:sz="0" w:space="0" w:color="auto"/>
        <w:right w:val="none" w:sz="0" w:space="0" w:color="auto"/>
      </w:divBdr>
    </w:div>
    <w:div w:id="284234749">
      <w:bodyDiv w:val="1"/>
      <w:marLeft w:val="0"/>
      <w:marRight w:val="0"/>
      <w:marTop w:val="0"/>
      <w:marBottom w:val="0"/>
      <w:divBdr>
        <w:top w:val="none" w:sz="0" w:space="0" w:color="auto"/>
        <w:left w:val="none" w:sz="0" w:space="0" w:color="auto"/>
        <w:bottom w:val="none" w:sz="0" w:space="0" w:color="auto"/>
        <w:right w:val="none" w:sz="0" w:space="0" w:color="auto"/>
      </w:divBdr>
    </w:div>
    <w:div w:id="304970626">
      <w:bodyDiv w:val="1"/>
      <w:marLeft w:val="0"/>
      <w:marRight w:val="0"/>
      <w:marTop w:val="0"/>
      <w:marBottom w:val="0"/>
      <w:divBdr>
        <w:top w:val="none" w:sz="0" w:space="0" w:color="auto"/>
        <w:left w:val="none" w:sz="0" w:space="0" w:color="auto"/>
        <w:bottom w:val="none" w:sz="0" w:space="0" w:color="auto"/>
        <w:right w:val="none" w:sz="0" w:space="0" w:color="auto"/>
      </w:divBdr>
    </w:div>
    <w:div w:id="305477302">
      <w:bodyDiv w:val="1"/>
      <w:marLeft w:val="0"/>
      <w:marRight w:val="0"/>
      <w:marTop w:val="0"/>
      <w:marBottom w:val="0"/>
      <w:divBdr>
        <w:top w:val="none" w:sz="0" w:space="0" w:color="auto"/>
        <w:left w:val="none" w:sz="0" w:space="0" w:color="auto"/>
        <w:bottom w:val="none" w:sz="0" w:space="0" w:color="auto"/>
        <w:right w:val="none" w:sz="0" w:space="0" w:color="auto"/>
      </w:divBdr>
    </w:div>
    <w:div w:id="432017388">
      <w:bodyDiv w:val="1"/>
      <w:marLeft w:val="0"/>
      <w:marRight w:val="0"/>
      <w:marTop w:val="0"/>
      <w:marBottom w:val="0"/>
      <w:divBdr>
        <w:top w:val="none" w:sz="0" w:space="0" w:color="auto"/>
        <w:left w:val="none" w:sz="0" w:space="0" w:color="auto"/>
        <w:bottom w:val="none" w:sz="0" w:space="0" w:color="auto"/>
        <w:right w:val="none" w:sz="0" w:space="0" w:color="auto"/>
      </w:divBdr>
    </w:div>
    <w:div w:id="521673742">
      <w:bodyDiv w:val="1"/>
      <w:marLeft w:val="0"/>
      <w:marRight w:val="0"/>
      <w:marTop w:val="0"/>
      <w:marBottom w:val="0"/>
      <w:divBdr>
        <w:top w:val="none" w:sz="0" w:space="0" w:color="auto"/>
        <w:left w:val="none" w:sz="0" w:space="0" w:color="auto"/>
        <w:bottom w:val="none" w:sz="0" w:space="0" w:color="auto"/>
        <w:right w:val="none" w:sz="0" w:space="0" w:color="auto"/>
      </w:divBdr>
    </w:div>
    <w:div w:id="554587746">
      <w:bodyDiv w:val="1"/>
      <w:marLeft w:val="0"/>
      <w:marRight w:val="0"/>
      <w:marTop w:val="0"/>
      <w:marBottom w:val="0"/>
      <w:divBdr>
        <w:top w:val="none" w:sz="0" w:space="0" w:color="auto"/>
        <w:left w:val="none" w:sz="0" w:space="0" w:color="auto"/>
        <w:bottom w:val="none" w:sz="0" w:space="0" w:color="auto"/>
        <w:right w:val="none" w:sz="0" w:space="0" w:color="auto"/>
      </w:divBdr>
    </w:div>
    <w:div w:id="583302316">
      <w:bodyDiv w:val="1"/>
      <w:marLeft w:val="0"/>
      <w:marRight w:val="0"/>
      <w:marTop w:val="0"/>
      <w:marBottom w:val="0"/>
      <w:divBdr>
        <w:top w:val="none" w:sz="0" w:space="0" w:color="auto"/>
        <w:left w:val="none" w:sz="0" w:space="0" w:color="auto"/>
        <w:bottom w:val="none" w:sz="0" w:space="0" w:color="auto"/>
        <w:right w:val="none" w:sz="0" w:space="0" w:color="auto"/>
      </w:divBdr>
    </w:div>
    <w:div w:id="677928353">
      <w:bodyDiv w:val="1"/>
      <w:marLeft w:val="0"/>
      <w:marRight w:val="0"/>
      <w:marTop w:val="0"/>
      <w:marBottom w:val="0"/>
      <w:divBdr>
        <w:top w:val="none" w:sz="0" w:space="0" w:color="auto"/>
        <w:left w:val="none" w:sz="0" w:space="0" w:color="auto"/>
        <w:bottom w:val="none" w:sz="0" w:space="0" w:color="auto"/>
        <w:right w:val="none" w:sz="0" w:space="0" w:color="auto"/>
      </w:divBdr>
    </w:div>
    <w:div w:id="729426570">
      <w:bodyDiv w:val="1"/>
      <w:marLeft w:val="0"/>
      <w:marRight w:val="0"/>
      <w:marTop w:val="0"/>
      <w:marBottom w:val="0"/>
      <w:divBdr>
        <w:top w:val="none" w:sz="0" w:space="0" w:color="auto"/>
        <w:left w:val="none" w:sz="0" w:space="0" w:color="auto"/>
        <w:bottom w:val="none" w:sz="0" w:space="0" w:color="auto"/>
        <w:right w:val="none" w:sz="0" w:space="0" w:color="auto"/>
      </w:divBdr>
    </w:div>
    <w:div w:id="792406760">
      <w:bodyDiv w:val="1"/>
      <w:marLeft w:val="0"/>
      <w:marRight w:val="0"/>
      <w:marTop w:val="0"/>
      <w:marBottom w:val="0"/>
      <w:divBdr>
        <w:top w:val="none" w:sz="0" w:space="0" w:color="auto"/>
        <w:left w:val="none" w:sz="0" w:space="0" w:color="auto"/>
        <w:bottom w:val="none" w:sz="0" w:space="0" w:color="auto"/>
        <w:right w:val="none" w:sz="0" w:space="0" w:color="auto"/>
      </w:divBdr>
    </w:div>
    <w:div w:id="813529246">
      <w:bodyDiv w:val="1"/>
      <w:marLeft w:val="0"/>
      <w:marRight w:val="0"/>
      <w:marTop w:val="0"/>
      <w:marBottom w:val="0"/>
      <w:divBdr>
        <w:top w:val="none" w:sz="0" w:space="0" w:color="auto"/>
        <w:left w:val="none" w:sz="0" w:space="0" w:color="auto"/>
        <w:bottom w:val="none" w:sz="0" w:space="0" w:color="auto"/>
        <w:right w:val="none" w:sz="0" w:space="0" w:color="auto"/>
      </w:divBdr>
    </w:div>
    <w:div w:id="829370933">
      <w:bodyDiv w:val="1"/>
      <w:marLeft w:val="0"/>
      <w:marRight w:val="0"/>
      <w:marTop w:val="0"/>
      <w:marBottom w:val="0"/>
      <w:divBdr>
        <w:top w:val="none" w:sz="0" w:space="0" w:color="auto"/>
        <w:left w:val="none" w:sz="0" w:space="0" w:color="auto"/>
        <w:bottom w:val="none" w:sz="0" w:space="0" w:color="auto"/>
        <w:right w:val="none" w:sz="0" w:space="0" w:color="auto"/>
      </w:divBdr>
    </w:div>
    <w:div w:id="874201025">
      <w:bodyDiv w:val="1"/>
      <w:marLeft w:val="0"/>
      <w:marRight w:val="0"/>
      <w:marTop w:val="0"/>
      <w:marBottom w:val="0"/>
      <w:divBdr>
        <w:top w:val="none" w:sz="0" w:space="0" w:color="auto"/>
        <w:left w:val="none" w:sz="0" w:space="0" w:color="auto"/>
        <w:bottom w:val="none" w:sz="0" w:space="0" w:color="auto"/>
        <w:right w:val="none" w:sz="0" w:space="0" w:color="auto"/>
      </w:divBdr>
    </w:div>
    <w:div w:id="1116480798">
      <w:bodyDiv w:val="1"/>
      <w:marLeft w:val="0"/>
      <w:marRight w:val="0"/>
      <w:marTop w:val="0"/>
      <w:marBottom w:val="0"/>
      <w:divBdr>
        <w:top w:val="none" w:sz="0" w:space="0" w:color="auto"/>
        <w:left w:val="none" w:sz="0" w:space="0" w:color="auto"/>
        <w:bottom w:val="none" w:sz="0" w:space="0" w:color="auto"/>
        <w:right w:val="none" w:sz="0" w:space="0" w:color="auto"/>
      </w:divBdr>
    </w:div>
    <w:div w:id="1128202345">
      <w:bodyDiv w:val="1"/>
      <w:marLeft w:val="0"/>
      <w:marRight w:val="0"/>
      <w:marTop w:val="0"/>
      <w:marBottom w:val="0"/>
      <w:divBdr>
        <w:top w:val="none" w:sz="0" w:space="0" w:color="auto"/>
        <w:left w:val="none" w:sz="0" w:space="0" w:color="auto"/>
        <w:bottom w:val="none" w:sz="0" w:space="0" w:color="auto"/>
        <w:right w:val="none" w:sz="0" w:space="0" w:color="auto"/>
      </w:divBdr>
    </w:div>
    <w:div w:id="1144011179">
      <w:bodyDiv w:val="1"/>
      <w:marLeft w:val="0"/>
      <w:marRight w:val="0"/>
      <w:marTop w:val="0"/>
      <w:marBottom w:val="0"/>
      <w:divBdr>
        <w:top w:val="none" w:sz="0" w:space="0" w:color="auto"/>
        <w:left w:val="none" w:sz="0" w:space="0" w:color="auto"/>
        <w:bottom w:val="none" w:sz="0" w:space="0" w:color="auto"/>
        <w:right w:val="none" w:sz="0" w:space="0" w:color="auto"/>
      </w:divBdr>
    </w:div>
    <w:div w:id="1164475643">
      <w:bodyDiv w:val="1"/>
      <w:marLeft w:val="0"/>
      <w:marRight w:val="0"/>
      <w:marTop w:val="0"/>
      <w:marBottom w:val="0"/>
      <w:divBdr>
        <w:top w:val="none" w:sz="0" w:space="0" w:color="auto"/>
        <w:left w:val="none" w:sz="0" w:space="0" w:color="auto"/>
        <w:bottom w:val="none" w:sz="0" w:space="0" w:color="auto"/>
        <w:right w:val="none" w:sz="0" w:space="0" w:color="auto"/>
      </w:divBdr>
    </w:div>
    <w:div w:id="1232692413">
      <w:bodyDiv w:val="1"/>
      <w:marLeft w:val="0"/>
      <w:marRight w:val="0"/>
      <w:marTop w:val="0"/>
      <w:marBottom w:val="0"/>
      <w:divBdr>
        <w:top w:val="none" w:sz="0" w:space="0" w:color="auto"/>
        <w:left w:val="none" w:sz="0" w:space="0" w:color="auto"/>
        <w:bottom w:val="none" w:sz="0" w:space="0" w:color="auto"/>
        <w:right w:val="none" w:sz="0" w:space="0" w:color="auto"/>
      </w:divBdr>
    </w:div>
    <w:div w:id="1288587936">
      <w:bodyDiv w:val="1"/>
      <w:marLeft w:val="0"/>
      <w:marRight w:val="0"/>
      <w:marTop w:val="0"/>
      <w:marBottom w:val="0"/>
      <w:divBdr>
        <w:top w:val="none" w:sz="0" w:space="0" w:color="auto"/>
        <w:left w:val="none" w:sz="0" w:space="0" w:color="auto"/>
        <w:bottom w:val="none" w:sz="0" w:space="0" w:color="auto"/>
        <w:right w:val="none" w:sz="0" w:space="0" w:color="auto"/>
      </w:divBdr>
    </w:div>
    <w:div w:id="1312907453">
      <w:bodyDiv w:val="1"/>
      <w:marLeft w:val="0"/>
      <w:marRight w:val="0"/>
      <w:marTop w:val="0"/>
      <w:marBottom w:val="0"/>
      <w:divBdr>
        <w:top w:val="none" w:sz="0" w:space="0" w:color="auto"/>
        <w:left w:val="none" w:sz="0" w:space="0" w:color="auto"/>
        <w:bottom w:val="none" w:sz="0" w:space="0" w:color="auto"/>
        <w:right w:val="none" w:sz="0" w:space="0" w:color="auto"/>
      </w:divBdr>
    </w:div>
    <w:div w:id="1426151094">
      <w:bodyDiv w:val="1"/>
      <w:marLeft w:val="0"/>
      <w:marRight w:val="0"/>
      <w:marTop w:val="0"/>
      <w:marBottom w:val="0"/>
      <w:divBdr>
        <w:top w:val="none" w:sz="0" w:space="0" w:color="auto"/>
        <w:left w:val="none" w:sz="0" w:space="0" w:color="auto"/>
        <w:bottom w:val="none" w:sz="0" w:space="0" w:color="auto"/>
        <w:right w:val="none" w:sz="0" w:space="0" w:color="auto"/>
      </w:divBdr>
      <w:divsChild>
        <w:div w:id="1153831776">
          <w:marLeft w:val="0"/>
          <w:marRight w:val="0"/>
          <w:marTop w:val="0"/>
          <w:marBottom w:val="0"/>
          <w:divBdr>
            <w:top w:val="none" w:sz="0" w:space="0" w:color="auto"/>
            <w:left w:val="none" w:sz="0" w:space="0" w:color="auto"/>
            <w:bottom w:val="none" w:sz="0" w:space="0" w:color="auto"/>
            <w:right w:val="none" w:sz="0" w:space="0" w:color="auto"/>
          </w:divBdr>
          <w:divsChild>
            <w:div w:id="346057293">
              <w:marLeft w:val="0"/>
              <w:marRight w:val="0"/>
              <w:marTop w:val="0"/>
              <w:marBottom w:val="0"/>
              <w:divBdr>
                <w:top w:val="none" w:sz="0" w:space="0" w:color="auto"/>
                <w:left w:val="none" w:sz="0" w:space="0" w:color="auto"/>
                <w:bottom w:val="none" w:sz="0" w:space="0" w:color="auto"/>
                <w:right w:val="none" w:sz="0" w:space="0" w:color="auto"/>
              </w:divBdr>
              <w:divsChild>
                <w:div w:id="880749708">
                  <w:marLeft w:val="0"/>
                  <w:marRight w:val="0"/>
                  <w:marTop w:val="0"/>
                  <w:marBottom w:val="0"/>
                  <w:divBdr>
                    <w:top w:val="none" w:sz="0" w:space="0" w:color="auto"/>
                    <w:left w:val="none" w:sz="0" w:space="0" w:color="auto"/>
                    <w:bottom w:val="none" w:sz="0" w:space="0" w:color="auto"/>
                    <w:right w:val="none" w:sz="0" w:space="0" w:color="auto"/>
                  </w:divBdr>
                  <w:divsChild>
                    <w:div w:id="718287677">
                      <w:marLeft w:val="0"/>
                      <w:marRight w:val="0"/>
                      <w:marTop w:val="45"/>
                      <w:marBottom w:val="0"/>
                      <w:divBdr>
                        <w:top w:val="none" w:sz="0" w:space="0" w:color="auto"/>
                        <w:left w:val="none" w:sz="0" w:space="0" w:color="auto"/>
                        <w:bottom w:val="none" w:sz="0" w:space="0" w:color="auto"/>
                        <w:right w:val="none" w:sz="0" w:space="0" w:color="auto"/>
                      </w:divBdr>
                      <w:divsChild>
                        <w:div w:id="1812212587">
                          <w:marLeft w:val="0"/>
                          <w:marRight w:val="0"/>
                          <w:marTop w:val="0"/>
                          <w:marBottom w:val="0"/>
                          <w:divBdr>
                            <w:top w:val="none" w:sz="0" w:space="0" w:color="auto"/>
                            <w:left w:val="none" w:sz="0" w:space="0" w:color="auto"/>
                            <w:bottom w:val="none" w:sz="0" w:space="0" w:color="auto"/>
                            <w:right w:val="none" w:sz="0" w:space="0" w:color="auto"/>
                          </w:divBdr>
                          <w:divsChild>
                            <w:div w:id="1707025049">
                              <w:marLeft w:val="2070"/>
                              <w:marRight w:val="3960"/>
                              <w:marTop w:val="0"/>
                              <w:marBottom w:val="0"/>
                              <w:divBdr>
                                <w:top w:val="none" w:sz="0" w:space="0" w:color="auto"/>
                                <w:left w:val="none" w:sz="0" w:space="0" w:color="auto"/>
                                <w:bottom w:val="none" w:sz="0" w:space="0" w:color="auto"/>
                                <w:right w:val="none" w:sz="0" w:space="0" w:color="auto"/>
                              </w:divBdr>
                              <w:divsChild>
                                <w:div w:id="364913666">
                                  <w:marLeft w:val="0"/>
                                  <w:marRight w:val="0"/>
                                  <w:marTop w:val="0"/>
                                  <w:marBottom w:val="0"/>
                                  <w:divBdr>
                                    <w:top w:val="none" w:sz="0" w:space="0" w:color="auto"/>
                                    <w:left w:val="none" w:sz="0" w:space="0" w:color="auto"/>
                                    <w:bottom w:val="none" w:sz="0" w:space="0" w:color="auto"/>
                                    <w:right w:val="none" w:sz="0" w:space="0" w:color="auto"/>
                                  </w:divBdr>
                                  <w:divsChild>
                                    <w:div w:id="579681218">
                                      <w:marLeft w:val="0"/>
                                      <w:marRight w:val="0"/>
                                      <w:marTop w:val="0"/>
                                      <w:marBottom w:val="0"/>
                                      <w:divBdr>
                                        <w:top w:val="none" w:sz="0" w:space="0" w:color="auto"/>
                                        <w:left w:val="none" w:sz="0" w:space="0" w:color="auto"/>
                                        <w:bottom w:val="none" w:sz="0" w:space="0" w:color="auto"/>
                                        <w:right w:val="none" w:sz="0" w:space="0" w:color="auto"/>
                                      </w:divBdr>
                                      <w:divsChild>
                                        <w:div w:id="1932205102">
                                          <w:marLeft w:val="0"/>
                                          <w:marRight w:val="0"/>
                                          <w:marTop w:val="0"/>
                                          <w:marBottom w:val="0"/>
                                          <w:divBdr>
                                            <w:top w:val="none" w:sz="0" w:space="0" w:color="auto"/>
                                            <w:left w:val="none" w:sz="0" w:space="0" w:color="auto"/>
                                            <w:bottom w:val="none" w:sz="0" w:space="0" w:color="auto"/>
                                            <w:right w:val="none" w:sz="0" w:space="0" w:color="auto"/>
                                          </w:divBdr>
                                          <w:divsChild>
                                            <w:div w:id="743793444">
                                              <w:marLeft w:val="0"/>
                                              <w:marRight w:val="0"/>
                                              <w:marTop w:val="90"/>
                                              <w:marBottom w:val="0"/>
                                              <w:divBdr>
                                                <w:top w:val="none" w:sz="0" w:space="0" w:color="auto"/>
                                                <w:left w:val="none" w:sz="0" w:space="0" w:color="auto"/>
                                                <w:bottom w:val="none" w:sz="0" w:space="0" w:color="auto"/>
                                                <w:right w:val="none" w:sz="0" w:space="0" w:color="auto"/>
                                              </w:divBdr>
                                              <w:divsChild>
                                                <w:div w:id="2043239478">
                                                  <w:marLeft w:val="0"/>
                                                  <w:marRight w:val="0"/>
                                                  <w:marTop w:val="0"/>
                                                  <w:marBottom w:val="0"/>
                                                  <w:divBdr>
                                                    <w:top w:val="none" w:sz="0" w:space="0" w:color="auto"/>
                                                    <w:left w:val="none" w:sz="0" w:space="0" w:color="auto"/>
                                                    <w:bottom w:val="none" w:sz="0" w:space="0" w:color="auto"/>
                                                    <w:right w:val="none" w:sz="0" w:space="0" w:color="auto"/>
                                                  </w:divBdr>
                                                  <w:divsChild>
                                                    <w:div w:id="493692126">
                                                      <w:marLeft w:val="0"/>
                                                      <w:marRight w:val="0"/>
                                                      <w:marTop w:val="0"/>
                                                      <w:marBottom w:val="0"/>
                                                      <w:divBdr>
                                                        <w:top w:val="none" w:sz="0" w:space="0" w:color="auto"/>
                                                        <w:left w:val="none" w:sz="0" w:space="0" w:color="auto"/>
                                                        <w:bottom w:val="none" w:sz="0" w:space="0" w:color="auto"/>
                                                        <w:right w:val="none" w:sz="0" w:space="0" w:color="auto"/>
                                                      </w:divBdr>
                                                      <w:divsChild>
                                                        <w:div w:id="898638601">
                                                          <w:marLeft w:val="0"/>
                                                          <w:marRight w:val="0"/>
                                                          <w:marTop w:val="0"/>
                                                          <w:marBottom w:val="0"/>
                                                          <w:divBdr>
                                                            <w:top w:val="none" w:sz="0" w:space="0" w:color="auto"/>
                                                            <w:left w:val="none" w:sz="0" w:space="0" w:color="auto"/>
                                                            <w:bottom w:val="none" w:sz="0" w:space="0" w:color="auto"/>
                                                            <w:right w:val="none" w:sz="0" w:space="0" w:color="auto"/>
                                                          </w:divBdr>
                                                          <w:divsChild>
                                                            <w:div w:id="1072702978">
                                                              <w:marLeft w:val="0"/>
                                                              <w:marRight w:val="0"/>
                                                              <w:marTop w:val="0"/>
                                                              <w:marBottom w:val="390"/>
                                                              <w:divBdr>
                                                                <w:top w:val="none" w:sz="0" w:space="0" w:color="auto"/>
                                                                <w:left w:val="none" w:sz="0" w:space="0" w:color="auto"/>
                                                                <w:bottom w:val="none" w:sz="0" w:space="0" w:color="auto"/>
                                                                <w:right w:val="none" w:sz="0" w:space="0" w:color="auto"/>
                                                              </w:divBdr>
                                                              <w:divsChild>
                                                                <w:div w:id="172377852">
                                                                  <w:marLeft w:val="0"/>
                                                                  <w:marRight w:val="0"/>
                                                                  <w:marTop w:val="0"/>
                                                                  <w:marBottom w:val="0"/>
                                                                  <w:divBdr>
                                                                    <w:top w:val="none" w:sz="0" w:space="0" w:color="auto"/>
                                                                    <w:left w:val="none" w:sz="0" w:space="0" w:color="auto"/>
                                                                    <w:bottom w:val="none" w:sz="0" w:space="0" w:color="auto"/>
                                                                    <w:right w:val="none" w:sz="0" w:space="0" w:color="auto"/>
                                                                  </w:divBdr>
                                                                  <w:divsChild>
                                                                    <w:div w:id="1472753308">
                                                                      <w:marLeft w:val="0"/>
                                                                      <w:marRight w:val="0"/>
                                                                      <w:marTop w:val="0"/>
                                                                      <w:marBottom w:val="0"/>
                                                                      <w:divBdr>
                                                                        <w:top w:val="none" w:sz="0" w:space="0" w:color="auto"/>
                                                                        <w:left w:val="none" w:sz="0" w:space="0" w:color="auto"/>
                                                                        <w:bottom w:val="none" w:sz="0" w:space="0" w:color="auto"/>
                                                                        <w:right w:val="none" w:sz="0" w:space="0" w:color="auto"/>
                                                                      </w:divBdr>
                                                                      <w:divsChild>
                                                                        <w:div w:id="1850678413">
                                                                          <w:marLeft w:val="0"/>
                                                                          <w:marRight w:val="0"/>
                                                                          <w:marTop w:val="0"/>
                                                                          <w:marBottom w:val="0"/>
                                                                          <w:divBdr>
                                                                            <w:top w:val="none" w:sz="0" w:space="0" w:color="auto"/>
                                                                            <w:left w:val="none" w:sz="0" w:space="0" w:color="auto"/>
                                                                            <w:bottom w:val="none" w:sz="0" w:space="0" w:color="auto"/>
                                                                            <w:right w:val="none" w:sz="0" w:space="0" w:color="auto"/>
                                                                          </w:divBdr>
                                                                          <w:divsChild>
                                                                            <w:div w:id="405537271">
                                                                              <w:marLeft w:val="0"/>
                                                                              <w:marRight w:val="0"/>
                                                                              <w:marTop w:val="0"/>
                                                                              <w:marBottom w:val="0"/>
                                                                              <w:divBdr>
                                                                                <w:top w:val="none" w:sz="0" w:space="0" w:color="auto"/>
                                                                                <w:left w:val="none" w:sz="0" w:space="0" w:color="auto"/>
                                                                                <w:bottom w:val="none" w:sz="0" w:space="0" w:color="auto"/>
                                                                                <w:right w:val="none" w:sz="0" w:space="0" w:color="auto"/>
                                                                              </w:divBdr>
                                                                              <w:divsChild>
                                                                                <w:div w:id="8943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1068453">
      <w:bodyDiv w:val="1"/>
      <w:marLeft w:val="0"/>
      <w:marRight w:val="0"/>
      <w:marTop w:val="0"/>
      <w:marBottom w:val="0"/>
      <w:divBdr>
        <w:top w:val="none" w:sz="0" w:space="0" w:color="auto"/>
        <w:left w:val="none" w:sz="0" w:space="0" w:color="auto"/>
        <w:bottom w:val="none" w:sz="0" w:space="0" w:color="auto"/>
        <w:right w:val="none" w:sz="0" w:space="0" w:color="auto"/>
      </w:divBdr>
    </w:div>
    <w:div w:id="1655178827">
      <w:bodyDiv w:val="1"/>
      <w:marLeft w:val="0"/>
      <w:marRight w:val="0"/>
      <w:marTop w:val="0"/>
      <w:marBottom w:val="0"/>
      <w:divBdr>
        <w:top w:val="none" w:sz="0" w:space="0" w:color="auto"/>
        <w:left w:val="none" w:sz="0" w:space="0" w:color="auto"/>
        <w:bottom w:val="none" w:sz="0" w:space="0" w:color="auto"/>
        <w:right w:val="none" w:sz="0" w:space="0" w:color="auto"/>
      </w:divBdr>
    </w:div>
    <w:div w:id="1682664527">
      <w:bodyDiv w:val="1"/>
      <w:marLeft w:val="0"/>
      <w:marRight w:val="0"/>
      <w:marTop w:val="0"/>
      <w:marBottom w:val="0"/>
      <w:divBdr>
        <w:top w:val="none" w:sz="0" w:space="0" w:color="auto"/>
        <w:left w:val="none" w:sz="0" w:space="0" w:color="auto"/>
        <w:bottom w:val="none" w:sz="0" w:space="0" w:color="auto"/>
        <w:right w:val="none" w:sz="0" w:space="0" w:color="auto"/>
      </w:divBdr>
    </w:div>
    <w:div w:id="1696806115">
      <w:bodyDiv w:val="1"/>
      <w:marLeft w:val="0"/>
      <w:marRight w:val="0"/>
      <w:marTop w:val="0"/>
      <w:marBottom w:val="0"/>
      <w:divBdr>
        <w:top w:val="none" w:sz="0" w:space="0" w:color="auto"/>
        <w:left w:val="none" w:sz="0" w:space="0" w:color="auto"/>
        <w:bottom w:val="none" w:sz="0" w:space="0" w:color="auto"/>
        <w:right w:val="none" w:sz="0" w:space="0" w:color="auto"/>
      </w:divBdr>
    </w:div>
    <w:div w:id="1765760164">
      <w:bodyDiv w:val="1"/>
      <w:marLeft w:val="0"/>
      <w:marRight w:val="0"/>
      <w:marTop w:val="0"/>
      <w:marBottom w:val="0"/>
      <w:divBdr>
        <w:top w:val="none" w:sz="0" w:space="0" w:color="auto"/>
        <w:left w:val="none" w:sz="0" w:space="0" w:color="auto"/>
        <w:bottom w:val="none" w:sz="0" w:space="0" w:color="auto"/>
        <w:right w:val="none" w:sz="0" w:space="0" w:color="auto"/>
      </w:divBdr>
    </w:div>
    <w:div w:id="1957985761">
      <w:bodyDiv w:val="1"/>
      <w:marLeft w:val="0"/>
      <w:marRight w:val="0"/>
      <w:marTop w:val="0"/>
      <w:marBottom w:val="0"/>
      <w:divBdr>
        <w:top w:val="none" w:sz="0" w:space="0" w:color="auto"/>
        <w:left w:val="none" w:sz="0" w:space="0" w:color="auto"/>
        <w:bottom w:val="none" w:sz="0" w:space="0" w:color="auto"/>
        <w:right w:val="none" w:sz="0" w:space="0" w:color="auto"/>
      </w:divBdr>
    </w:div>
    <w:div w:id="1962420801">
      <w:bodyDiv w:val="1"/>
      <w:marLeft w:val="0"/>
      <w:marRight w:val="0"/>
      <w:marTop w:val="0"/>
      <w:marBottom w:val="0"/>
      <w:divBdr>
        <w:top w:val="none" w:sz="0" w:space="0" w:color="auto"/>
        <w:left w:val="none" w:sz="0" w:space="0" w:color="auto"/>
        <w:bottom w:val="none" w:sz="0" w:space="0" w:color="auto"/>
        <w:right w:val="none" w:sz="0" w:space="0" w:color="auto"/>
      </w:divBdr>
    </w:div>
    <w:div w:id="2051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jpeg"/><Relationship Id="rId26" Type="http://schemas.openxmlformats.org/officeDocument/2006/relationships/image" Target="media/image14.png"/><Relationship Id="rId39" Type="http://schemas.openxmlformats.org/officeDocument/2006/relationships/image" Target="media/image23.png"/><Relationship Id="rId21" Type="http://schemas.openxmlformats.org/officeDocument/2006/relationships/image" Target="media/image9.png"/><Relationship Id="rId34" Type="http://schemas.openxmlformats.org/officeDocument/2006/relationships/image" Target="media/image18.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footer" Target="footer4.xml"/><Relationship Id="rId37" Type="http://schemas.openxmlformats.org/officeDocument/2006/relationships/image" Target="media/image21.jpeg"/><Relationship Id="rId40" Type="http://schemas.openxmlformats.org/officeDocument/2006/relationships/image" Target="media/image24.png"/><Relationship Id="rId45"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jpeg"/><Relationship Id="rId36" Type="http://schemas.openxmlformats.org/officeDocument/2006/relationships/image" Target="media/image20.pn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header" Target="header6.xml"/><Relationship Id="rId4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header" Target="header5.xml"/><Relationship Id="rId35" Type="http://schemas.openxmlformats.org/officeDocument/2006/relationships/image" Target="media/image19.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image" Target="media/image13.png"/><Relationship Id="rId33" Type="http://schemas.openxmlformats.org/officeDocument/2006/relationships/header" Target="header7.xml"/><Relationship Id="rId38" Type="http://schemas.openxmlformats.org/officeDocument/2006/relationships/image" Target="media/image22.png"/><Relationship Id="rId46" Type="http://schemas.openxmlformats.org/officeDocument/2006/relationships/customXml" Target="../customXml/item4.xml"/><Relationship Id="rId20" Type="http://schemas.openxmlformats.org/officeDocument/2006/relationships/image" Target="media/image8.png"/><Relationship Id="rId41" Type="http://schemas.openxmlformats.org/officeDocument/2006/relationships/header" Target="header8.xml"/></Relationships>
</file>

<file path=word/_rels/footer4.xml.rels><?xml version="1.0" encoding="UTF-8" standalone="yes"?>
<Relationships xmlns="http://schemas.openxmlformats.org/package/2006/relationships"><Relationship Id="rId1" Type="http://schemas.openxmlformats.org/officeDocument/2006/relationships/image" Target="media/image17.png"/></Relationships>
</file>

<file path=word/_rels/footnotes.xml.rels><?xml version="1.0" encoding="UTF-8" standalone="yes"?>
<Relationships xmlns="http://schemas.openxmlformats.org/package/2006/relationships"><Relationship Id="rId3" Type="http://schemas.openxmlformats.org/officeDocument/2006/relationships/hyperlink" Target="http://www.fundforpeace.org/fsi/" TargetMode="External"/><Relationship Id="rId2" Type="http://schemas.openxmlformats.org/officeDocument/2006/relationships/hyperlink" Target="http://www.cbsi.com.sb/" TargetMode="External"/><Relationship Id="rId1" Type="http://schemas.openxmlformats.org/officeDocument/2006/relationships/hyperlink" Target="https://stats.oecd.org/Index.aspx?DataSetCode=CRS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FAT Corporate">
      <a:dk1>
        <a:sysClr val="windowText" lastClr="000000"/>
      </a:dk1>
      <a:lt1>
        <a:sysClr val="window" lastClr="FFFFFF"/>
      </a:lt1>
      <a:dk2>
        <a:srgbClr val="495965"/>
      </a:dk2>
      <a:lt2>
        <a:srgbClr val="D8DCDB"/>
      </a:lt2>
      <a:accent1>
        <a:srgbClr val="65C5B4"/>
      </a:accent1>
      <a:accent2>
        <a:srgbClr val="D3875F"/>
      </a:accent2>
      <a:accent3>
        <a:srgbClr val="ACD08C"/>
      </a:accent3>
      <a:accent4>
        <a:srgbClr val="007C89"/>
      </a:accent4>
      <a:accent5>
        <a:srgbClr val="C15A2D"/>
      </a:accent5>
      <a:accent6>
        <a:srgbClr val="409F68"/>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92E589-1DA4-4F64-BB4A-B5873A77CA52}"/>
</file>

<file path=customXml/itemProps2.xml><?xml version="1.0" encoding="utf-8"?>
<ds:datastoreItem xmlns:ds="http://schemas.openxmlformats.org/officeDocument/2006/customXml" ds:itemID="{B8C55897-D2CC-4F29-A991-26E9579E67A1}"/>
</file>

<file path=customXml/itemProps3.xml><?xml version="1.0" encoding="utf-8"?>
<ds:datastoreItem xmlns:ds="http://schemas.openxmlformats.org/officeDocument/2006/customXml" ds:itemID="{49433FEB-010B-454A-8C0B-B40A84085B68}"/>
</file>

<file path=customXml/itemProps4.xml><?xml version="1.0" encoding="utf-8"?>
<ds:datastoreItem xmlns:ds="http://schemas.openxmlformats.org/officeDocument/2006/customXml" ds:itemID="{FCB312F2-4419-4223-A83B-53CD83A8D4C7}"/>
</file>

<file path=docProps/app.xml><?xml version="1.0" encoding="utf-8"?>
<Properties xmlns="http://schemas.openxmlformats.org/officeDocument/2006/extended-properties" xmlns:vt="http://schemas.openxmlformats.org/officeDocument/2006/docPropsVTypes">
  <Template>Normal.dotm</Template>
  <TotalTime>0</TotalTime>
  <Pages>33</Pages>
  <Words>14628</Words>
  <Characters>76212</Characters>
  <Application>Microsoft Office Word</Application>
  <DocSecurity>0</DocSecurity>
  <Lines>1137</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Solomon Islands Aid Program Performance Report 2017-18</dc:title>
  <dc:creator/>
  <cp:lastModifiedBy/>
  <cp:revision>1</cp:revision>
  <dcterms:created xsi:type="dcterms:W3CDTF">2018-09-24T05:03:00Z</dcterms:created>
  <dcterms:modified xsi:type="dcterms:W3CDTF">2018-09-24T05:04:00Z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f45ceb66-0889-40fa-bf3a-c52fbcf0ca53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1197100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