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D2E1" w14:textId="77777777" w:rsidR="0059146A" w:rsidRDefault="0059146A" w:rsidP="005B5769">
      <w:pPr>
        <w:pStyle w:val="ListBullet"/>
        <w:tabs>
          <w:tab w:val="clear" w:pos="284"/>
        </w:tabs>
      </w:pPr>
    </w:p>
    <w:p w14:paraId="581EDDC0" w14:textId="77777777" w:rsidR="0059146A" w:rsidRDefault="0059146A" w:rsidP="005B5769">
      <w:pPr>
        <w:pStyle w:val="ListBullet"/>
        <w:tabs>
          <w:tab w:val="clear" w:pos="284"/>
        </w:tabs>
      </w:pPr>
    </w:p>
    <w:p w14:paraId="332DEAB0" w14:textId="77777777" w:rsidR="0059146A" w:rsidRPr="0059146A" w:rsidRDefault="0059146A" w:rsidP="005B5769">
      <w:pPr>
        <w:pStyle w:val="ListBullet"/>
        <w:tabs>
          <w:tab w:val="clear" w:pos="284"/>
        </w:tabs>
      </w:pPr>
    </w:p>
    <w:p w14:paraId="039136E9" w14:textId="77777777" w:rsidR="00A56F14" w:rsidRPr="0059146A" w:rsidRDefault="00A56F14" w:rsidP="0059146A">
      <w:pPr>
        <w:pStyle w:val="ListBullet"/>
        <w:tabs>
          <w:tab w:val="clear" w:pos="284"/>
        </w:tabs>
      </w:pPr>
    </w:p>
    <w:p w14:paraId="74F43B5E" w14:textId="77777777" w:rsidR="00A56F14" w:rsidRDefault="00A56F14" w:rsidP="00A56F14">
      <w:pPr>
        <w:spacing w:after="200" w:line="276" w:lineRule="auto"/>
        <w:rPr>
          <w:b/>
        </w:rPr>
      </w:pPr>
    </w:p>
    <w:p w14:paraId="5896843A" w14:textId="77777777" w:rsidR="00A56F14" w:rsidRDefault="00A56F14" w:rsidP="00A56F14">
      <w:pPr>
        <w:spacing w:after="200" w:line="276" w:lineRule="auto"/>
        <w:rPr>
          <w:b/>
        </w:rPr>
      </w:pPr>
    </w:p>
    <w:p w14:paraId="215B814F" w14:textId="77777777" w:rsidR="00C6626C" w:rsidRDefault="00C6626C" w:rsidP="00A56F14"/>
    <w:p w14:paraId="4E7C7E2D" w14:textId="77777777" w:rsidR="00C6626C" w:rsidRDefault="00C6626C" w:rsidP="00A56F14"/>
    <w:p w14:paraId="19017352" w14:textId="77777777" w:rsidR="00C6626C" w:rsidRDefault="00C6626C" w:rsidP="00A56F14"/>
    <w:p w14:paraId="67B1C4A3" w14:textId="77777777" w:rsidR="00C6626C" w:rsidRDefault="00C6626C" w:rsidP="00A56F14"/>
    <w:p w14:paraId="29D195BB" w14:textId="77777777" w:rsidR="00C6626C" w:rsidRDefault="00C6626C" w:rsidP="00A56F14"/>
    <w:p w14:paraId="6869EBB7" w14:textId="77777777" w:rsidR="00C6626C" w:rsidRDefault="00C6626C" w:rsidP="00A56F14"/>
    <w:p w14:paraId="4284C1F1" w14:textId="77777777" w:rsidR="00C6626C" w:rsidRDefault="00C6626C" w:rsidP="00A56F14"/>
    <w:p w14:paraId="7A111B0E" w14:textId="77777777" w:rsidR="00C6626C" w:rsidRDefault="00C6626C" w:rsidP="00A56F14"/>
    <w:p w14:paraId="7D47E67D" w14:textId="77777777" w:rsidR="00C6626C" w:rsidRDefault="00C6626C" w:rsidP="00A56F14"/>
    <w:p w14:paraId="4A6233BC" w14:textId="77777777" w:rsidR="00C6626C" w:rsidRDefault="00C6626C" w:rsidP="00A56F14"/>
    <w:p w14:paraId="3467838C" w14:textId="77777777" w:rsidR="00C6626C" w:rsidRDefault="00C6626C" w:rsidP="00A56F14"/>
    <w:p w14:paraId="022E59F2" w14:textId="77777777" w:rsidR="00C6626C" w:rsidRDefault="00C6626C" w:rsidP="00A56F14"/>
    <w:p w14:paraId="473D4259" w14:textId="77777777" w:rsidR="00C6626C" w:rsidRDefault="00C6626C" w:rsidP="00A56F14"/>
    <w:p w14:paraId="14273B56" w14:textId="77777777" w:rsidR="00C6626C" w:rsidRDefault="00C6626C" w:rsidP="00A56F14"/>
    <w:p w14:paraId="401C050B" w14:textId="77777777" w:rsidR="00C6626C" w:rsidRDefault="00C6626C" w:rsidP="00A56F14"/>
    <w:p w14:paraId="0DFA56AF" w14:textId="77777777" w:rsidR="00C6626C" w:rsidRDefault="00C6626C" w:rsidP="00A56F14"/>
    <w:p w14:paraId="57DC2953" w14:textId="77777777" w:rsidR="00C6626C" w:rsidRDefault="00C6626C" w:rsidP="00A56F14"/>
    <w:p w14:paraId="342A465F" w14:textId="77777777" w:rsidR="00C6626C" w:rsidRDefault="00C6626C" w:rsidP="00A56F14"/>
    <w:p w14:paraId="54DA6F98" w14:textId="77777777" w:rsidR="00C6626C" w:rsidRDefault="00C6626C" w:rsidP="00A56F14"/>
    <w:p w14:paraId="5AF80630" w14:textId="77777777" w:rsidR="00C6626C" w:rsidRDefault="00C6626C" w:rsidP="00A56F14"/>
    <w:p w14:paraId="781255D2" w14:textId="77777777" w:rsidR="00C6626C" w:rsidRDefault="00C6626C" w:rsidP="00A56F14"/>
    <w:p w14:paraId="72735930" w14:textId="77777777"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3327CB6B" wp14:editId="18B39919">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3D0503A9" wp14:editId="046A515A">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14:paraId="4E318909" w14:textId="77777777" w:rsidR="00C6626C" w:rsidRPr="002A51CA" w:rsidRDefault="00C6626C" w:rsidP="002A51CA">
      <w:pPr>
        <w:pStyle w:val="Title"/>
        <w:spacing w:after="120" w:line="600" w:lineRule="exact"/>
        <w:rPr>
          <w:spacing w:val="-20"/>
          <w:sz w:val="60"/>
        </w:rPr>
      </w:pPr>
      <w:r w:rsidRPr="002A51CA">
        <w:rPr>
          <w:spacing w:val="-20"/>
          <w:sz w:val="60"/>
        </w:rPr>
        <w:t>Report 201</w:t>
      </w:r>
      <w:r w:rsidR="002309D8">
        <w:rPr>
          <w:spacing w:val="-20"/>
          <w:sz w:val="60"/>
        </w:rPr>
        <w:t>6</w:t>
      </w:r>
      <w:r w:rsidRPr="002A51CA">
        <w:rPr>
          <w:spacing w:val="-20"/>
          <w:sz w:val="60"/>
        </w:rPr>
        <w:t>-1</w:t>
      </w:r>
      <w:r w:rsidR="002309D8">
        <w:rPr>
          <w:spacing w:val="-20"/>
          <w:sz w:val="60"/>
        </w:rPr>
        <w:t>7</w:t>
      </w:r>
    </w:p>
    <w:p w14:paraId="5D630F2F" w14:textId="77777777" w:rsidR="00C6626C" w:rsidRDefault="00962490" w:rsidP="00A56F14">
      <w:r>
        <w:rPr>
          <w:sz w:val="40"/>
        </w:rPr>
        <w:t>Solomon Islands</w:t>
      </w:r>
    </w:p>
    <w:p w14:paraId="3C4A7403" w14:textId="77777777" w:rsidR="00C6626C" w:rsidRPr="002A51CA" w:rsidRDefault="00C6626C" w:rsidP="00A56F14">
      <w:pPr>
        <w:rPr>
          <w:sz w:val="24"/>
        </w:rPr>
      </w:pPr>
      <w:r w:rsidRPr="002A51CA">
        <w:rPr>
          <w:sz w:val="24"/>
        </w:rPr>
        <w:t>September 201</w:t>
      </w:r>
      <w:r w:rsidR="002309D8">
        <w:rPr>
          <w:sz w:val="24"/>
        </w:rPr>
        <w:t>7</w:t>
      </w:r>
    </w:p>
    <w:p w14:paraId="0F516D30" w14:textId="77777777" w:rsidR="00C6626C" w:rsidRDefault="00C6626C" w:rsidP="00A56F14">
      <w:pPr>
        <w:sectPr w:rsidR="00C6626C" w:rsidSect="00C6626C">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docGrid w:linePitch="360"/>
        </w:sectPr>
      </w:pPr>
    </w:p>
    <w:p w14:paraId="41D67299" w14:textId="154E5C3F"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p>
    <w:p w14:paraId="5AF73F35" w14:textId="70DDE7C7" w:rsidR="00874CD5" w:rsidRDefault="00046D77" w:rsidP="002A51CA">
      <w:r>
        <w:t xml:space="preserve">This report summarises the performance of Australia’s aid program in </w:t>
      </w:r>
      <w:r w:rsidR="00B8475A">
        <w:t>Solomon Islands</w:t>
      </w:r>
      <w:r>
        <w:t xml:space="preserve"> from July 2016 to June 2017 against the 2015 Aid Investment Plan</w:t>
      </w:r>
      <w:r w:rsidR="00874CD5">
        <w:t xml:space="preserve"> (AIP)</w:t>
      </w:r>
      <w:r w:rsidR="003A3C85">
        <w:t xml:space="preserve">.  </w:t>
      </w:r>
      <w:r w:rsidR="00874CD5">
        <w:t xml:space="preserve">The aid program performed strongly in this review period </w:t>
      </w:r>
      <w:r w:rsidR="000A3A39">
        <w:t xml:space="preserve">with tangible progress towards </w:t>
      </w:r>
      <w:r w:rsidR="0005513F">
        <w:t xml:space="preserve">supporting </w:t>
      </w:r>
      <w:r w:rsidR="00874CD5">
        <w:t>stability</w:t>
      </w:r>
      <w:r w:rsidR="00042E6C">
        <w:t xml:space="preserve">, </w:t>
      </w:r>
      <w:r w:rsidR="0005513F">
        <w:t xml:space="preserve">enabling </w:t>
      </w:r>
      <w:r w:rsidR="00042E6C">
        <w:t>economic growth and</w:t>
      </w:r>
      <w:r w:rsidR="00874CD5">
        <w:t xml:space="preserve"> enhanc</w:t>
      </w:r>
      <w:r w:rsidR="0005513F">
        <w:t>ing</w:t>
      </w:r>
      <w:r w:rsidR="00874CD5">
        <w:t xml:space="preserve"> </w:t>
      </w:r>
      <w:r w:rsidR="00042E6C">
        <w:t>h</w:t>
      </w:r>
      <w:r w:rsidR="00874CD5">
        <w:t>uman development</w:t>
      </w:r>
      <w:r w:rsidR="000F7180">
        <w:t>.</w:t>
      </w:r>
    </w:p>
    <w:p w14:paraId="5A40B61C" w14:textId="571DD380" w:rsidR="004739F3" w:rsidRDefault="00E660AC" w:rsidP="004739F3">
      <w:r>
        <w:t>Our investments in the law, justice and governance sectors supported stability and enabled the de</w:t>
      </w:r>
      <w:r w:rsidR="0070206E">
        <w:t>livery of key public services</w:t>
      </w:r>
      <w:r w:rsidR="003A3C85">
        <w:t xml:space="preserve">.  </w:t>
      </w:r>
      <w:r>
        <w:t>This included progress in support for elections, delivery of justice services, policing, fiscal manage</w:t>
      </w:r>
      <w:bookmarkStart w:id="0" w:name="_GoBack"/>
      <w:bookmarkEnd w:id="0"/>
      <w:r>
        <w:t>ment, debt management and attitudes towards family violence</w:t>
      </w:r>
      <w:r w:rsidR="003A3C85">
        <w:t xml:space="preserve">.  </w:t>
      </w:r>
      <w:r w:rsidR="004739F3">
        <w:t>Australia responded to a major earthquake in December 2016 and provided ongoing support for disaster management</w:t>
      </w:r>
      <w:r w:rsidR="000F7180">
        <w:t>.</w:t>
      </w:r>
    </w:p>
    <w:p w14:paraId="7F97328D" w14:textId="0C151547" w:rsidR="00DC59A1" w:rsidRDefault="00874CD5" w:rsidP="00DC59A1">
      <w:r>
        <w:t>Australia continued the shift towards investments that enable economic growth and fostered closer links between</w:t>
      </w:r>
      <w:r w:rsidR="0070206E">
        <w:t xml:space="preserve"> the</w:t>
      </w:r>
      <w:r>
        <w:t xml:space="preserve"> private sector and </w:t>
      </w:r>
      <w:r w:rsidR="0070206E">
        <w:t xml:space="preserve">the </w:t>
      </w:r>
      <w:r>
        <w:t xml:space="preserve">Solomon Islands </w:t>
      </w:r>
      <w:r w:rsidR="003A613F">
        <w:t>G</w:t>
      </w:r>
      <w:r>
        <w:t>overnment</w:t>
      </w:r>
      <w:r w:rsidR="003A3C85">
        <w:t xml:space="preserve">.  </w:t>
      </w:r>
      <w:r w:rsidR="00042E6C">
        <w:t>Our support for infrastructure has improved the investment climate and increased formal employment opportunities</w:t>
      </w:r>
      <w:r w:rsidR="003A3C85">
        <w:t xml:space="preserve">.  </w:t>
      </w:r>
      <w:r w:rsidR="00DE2E8F">
        <w:t xml:space="preserve">We have </w:t>
      </w:r>
      <w:r w:rsidR="007C4A39">
        <w:t xml:space="preserve">finalised the development of the </w:t>
      </w:r>
      <w:r w:rsidR="00DE2E8F">
        <w:t>Tina River Hydropower Development Project</w:t>
      </w:r>
      <w:r w:rsidR="004A3D60">
        <w:t xml:space="preserve"> design</w:t>
      </w:r>
      <w:r w:rsidR="007C4A39">
        <w:t>, whi</w:t>
      </w:r>
      <w:r w:rsidR="003D5EF4">
        <w:t>ch, if approved by the Solomon</w:t>
      </w:r>
      <w:r w:rsidR="007C4A39">
        <w:t xml:space="preserve"> Islands Government, would transform energy production and deliver on climate change priorities</w:t>
      </w:r>
      <w:r w:rsidR="003A3C85">
        <w:t xml:space="preserve">.  </w:t>
      </w:r>
      <w:r w:rsidR="007C4A39">
        <w:t xml:space="preserve">Our </w:t>
      </w:r>
      <w:r w:rsidR="00DE2E8F">
        <w:t>transport infrastructure maintenance</w:t>
      </w:r>
      <w:r w:rsidR="007C4A39">
        <w:t xml:space="preserve"> work continues</w:t>
      </w:r>
      <w:r w:rsidR="00DE2E8F">
        <w:t xml:space="preserve">, but the </w:t>
      </w:r>
      <w:r w:rsidR="000A3A39">
        <w:t xml:space="preserve">slow </w:t>
      </w:r>
      <w:r w:rsidR="00DE2E8F">
        <w:t xml:space="preserve">performance of the National Transport Fund </w:t>
      </w:r>
      <w:r w:rsidR="00350612">
        <w:t xml:space="preserve">(NTF) </w:t>
      </w:r>
      <w:r w:rsidR="00DE2E8F">
        <w:t>remains a concern</w:t>
      </w:r>
      <w:r w:rsidR="003A3C85">
        <w:t xml:space="preserve">.  </w:t>
      </w:r>
      <w:r w:rsidR="007C4A39">
        <w:t>There is still work needed to translate our work on e</w:t>
      </w:r>
      <w:r w:rsidR="00DC59A1">
        <w:t xml:space="preserve">nabling economic growth </w:t>
      </w:r>
      <w:r w:rsidR="007C4A39">
        <w:t xml:space="preserve">in to more cash-based income opportunities for </w:t>
      </w:r>
      <w:r w:rsidR="00DC59A1">
        <w:t>men and women</w:t>
      </w:r>
      <w:r w:rsidR="000F7180">
        <w:t>.</w:t>
      </w:r>
    </w:p>
    <w:p w14:paraId="667B3804" w14:textId="5BC19131" w:rsidR="00BF7CE1" w:rsidRDefault="00874CD5" w:rsidP="00874CD5">
      <w:r w:rsidRPr="0070206E">
        <w:t>Our support to education and health benefited Solomon Islanders in every province</w:t>
      </w:r>
      <w:r w:rsidR="003A3C85">
        <w:t xml:space="preserve">.  </w:t>
      </w:r>
      <w:r w:rsidR="003D5EF4">
        <w:t xml:space="preserve">The </w:t>
      </w:r>
      <w:r w:rsidR="0070206E" w:rsidRPr="0070206E">
        <w:t>Solomon</w:t>
      </w:r>
      <w:r w:rsidR="0070206E">
        <w:t xml:space="preserve"> Islands</w:t>
      </w:r>
      <w:r w:rsidR="003D5EF4">
        <w:t>’</w:t>
      </w:r>
      <w:r w:rsidR="0070206E">
        <w:t xml:space="preserve"> target of 85 per cent of students meeting national standards for literacy and numeracy at year 4 by 2020 is on track, but performance at the national standard for writing remains a concern</w:t>
      </w:r>
      <w:r w:rsidR="003A3C85">
        <w:t xml:space="preserve">.  </w:t>
      </w:r>
      <w:r w:rsidR="0070206E">
        <w:t>In 2016, 960,000 new school books were distributed and 79 classrooms</w:t>
      </w:r>
      <w:r w:rsidR="002114B8">
        <w:t xml:space="preserve"> were built or reconstructed</w:t>
      </w:r>
      <w:r w:rsidR="003A3C85">
        <w:t xml:space="preserve">.  </w:t>
      </w:r>
      <w:r w:rsidR="0070206E">
        <w:t xml:space="preserve">The delivery of health services </w:t>
      </w:r>
      <w:r w:rsidR="00AC6772">
        <w:t>through Solomon Islands’ systems was mixed, but our support for the use of the Jadelle contraceptive implant is proving transformational for rural women.</w:t>
      </w:r>
    </w:p>
    <w:p w14:paraId="2020E7C4" w14:textId="65AB0E36" w:rsidR="00C6626C" w:rsidRDefault="00B8475A" w:rsidP="002A51CA">
      <w:r>
        <w:t xml:space="preserve">The Regional Assistance Mission to Solomon Islands (RAMSI) concluded and </w:t>
      </w:r>
      <w:r w:rsidR="00D579E8">
        <w:t>new program designs for economic growth, law and justice, civilian policing and governance were finalised</w:t>
      </w:r>
      <w:r w:rsidR="003A3C85">
        <w:t xml:space="preserve">.  </w:t>
      </w:r>
      <w:r>
        <w:t xml:space="preserve">There has been reduced appetite for reform amongst </w:t>
      </w:r>
      <w:r w:rsidR="00D579E8">
        <w:t xml:space="preserve">some </w:t>
      </w:r>
      <w:r>
        <w:t>politicians</w:t>
      </w:r>
      <w:r w:rsidR="00D579E8">
        <w:t xml:space="preserve">, particularly in the area of </w:t>
      </w:r>
      <w:r w:rsidR="00F91F91">
        <w:t>P</w:t>
      </w:r>
      <w:r w:rsidR="00D579E8">
        <w:t xml:space="preserve">ublic </w:t>
      </w:r>
      <w:r w:rsidR="00F91F91">
        <w:t>F</w:t>
      </w:r>
      <w:r w:rsidR="00D579E8">
        <w:t xml:space="preserve">inancial </w:t>
      </w:r>
      <w:r w:rsidR="00F91F91">
        <w:t>M</w:t>
      </w:r>
      <w:r w:rsidR="00F0432C">
        <w:t>anagement</w:t>
      </w:r>
      <w:r w:rsidR="00F91F91">
        <w:t xml:space="preserve"> (PFM)</w:t>
      </w:r>
      <w:r w:rsidR="003A3C85">
        <w:t xml:space="preserve">.  </w:t>
      </w:r>
      <w:r w:rsidR="000A3A39">
        <w:t>However, w</w:t>
      </w:r>
      <w:r w:rsidR="007C4A39">
        <w:t>e continue to channel a significant proportion of our aid through government systems in order to build capacity</w:t>
      </w:r>
      <w:r w:rsidR="003A3C85">
        <w:t xml:space="preserve">.  </w:t>
      </w:r>
      <w:r w:rsidR="000A3A39">
        <w:t xml:space="preserve">The reduction in numbers of independent advisers in the Ministry of Finance </w:t>
      </w:r>
      <w:r w:rsidR="00350612">
        <w:t xml:space="preserve">and Treasury (MoFT) </w:t>
      </w:r>
      <w:r w:rsidR="000A3A39">
        <w:t xml:space="preserve">required us to </w:t>
      </w:r>
      <w:r w:rsidR="00425908">
        <w:t xml:space="preserve">implement </w:t>
      </w:r>
      <w:r w:rsidR="00D579E8">
        <w:t xml:space="preserve">enhanced measures to </w:t>
      </w:r>
      <w:r w:rsidR="00425908">
        <w:t xml:space="preserve">ensure </w:t>
      </w:r>
      <w:r w:rsidR="007C4A39">
        <w:t xml:space="preserve">Australia’s </w:t>
      </w:r>
      <w:r w:rsidR="00D579E8">
        <w:t>funding</w:t>
      </w:r>
      <w:r w:rsidR="00425908">
        <w:t xml:space="preserve"> was effective</w:t>
      </w:r>
      <w:r w:rsidR="000F7180">
        <w:t>.</w:t>
      </w:r>
    </w:p>
    <w:p w14:paraId="29681CC7" w14:textId="06667A10" w:rsidR="009B0F23" w:rsidRDefault="00A31EA0" w:rsidP="009B0F23">
      <w:r>
        <w:t xml:space="preserve">New work </w:t>
      </w:r>
      <w:r w:rsidR="009B0F23">
        <w:t>commenced to deepen engagement with civil society, community and faith based groups</w:t>
      </w:r>
      <w:r w:rsidR="003A3C85">
        <w:t xml:space="preserve">.  </w:t>
      </w:r>
      <w:r w:rsidR="009B0F23">
        <w:t xml:space="preserve">This will lead to an increased focus on building demand for better service </w:t>
      </w:r>
      <w:r w:rsidR="009B0F23" w:rsidRPr="00C346A2">
        <w:t xml:space="preserve">delivery and development reforms </w:t>
      </w:r>
      <w:r w:rsidR="009B0F23">
        <w:t>over the next 5 years</w:t>
      </w:r>
      <w:r w:rsidR="000F7180">
        <w:t>.</w:t>
      </w:r>
    </w:p>
    <w:p w14:paraId="1A24B837" w14:textId="40CB328B" w:rsidR="009B0F23" w:rsidRDefault="009B0F23" w:rsidP="009B0F23">
      <w:r w:rsidRPr="00CD62B4">
        <w:t>In June 2017, the Minister for International Development and the Pacific and</w:t>
      </w:r>
      <w:r>
        <w:t xml:space="preserve"> the Solomon Islands</w:t>
      </w:r>
      <w:r w:rsidRPr="00CD62B4">
        <w:t xml:space="preserve"> Minister for Development Planning and Coordination signed</w:t>
      </w:r>
      <w:r>
        <w:t xml:space="preserve"> the</w:t>
      </w:r>
      <w:r w:rsidR="003A613F">
        <w:t xml:space="preserve"> Solomon Islands - </w:t>
      </w:r>
      <w:r w:rsidRPr="00CD62B4">
        <w:t>Australia Aid Partnership</w:t>
      </w:r>
      <w:r w:rsidR="003A3C85">
        <w:t xml:space="preserve">.  </w:t>
      </w:r>
      <w:r w:rsidRPr="00CD62B4">
        <w:t xml:space="preserve">The Partnership established a shared vision for cooperation and </w:t>
      </w:r>
      <w:r>
        <w:t>aligned</w:t>
      </w:r>
      <w:r w:rsidRPr="00CD62B4">
        <w:t xml:space="preserve"> </w:t>
      </w:r>
      <w:r w:rsidR="005A4E16">
        <w:t xml:space="preserve">the AIP </w:t>
      </w:r>
      <w:r w:rsidRPr="00CD62B4">
        <w:t xml:space="preserve">to </w:t>
      </w:r>
      <w:r>
        <w:t>Solomon Islands’</w:t>
      </w:r>
      <w:r w:rsidRPr="00CD62B4">
        <w:t xml:space="preserve"> National Development Strategy (NDS)</w:t>
      </w:r>
      <w:r w:rsidR="003A3C85">
        <w:t xml:space="preserve">.  </w:t>
      </w:r>
      <w:r>
        <w:t>It set out mutual obligations and agreed areas of focus</w:t>
      </w:r>
      <w:r w:rsidR="000F7180">
        <w:t>.</w:t>
      </w:r>
    </w:p>
    <w:p w14:paraId="0DBBD91F" w14:textId="01E637F5" w:rsidR="00C6626C" w:rsidRPr="00C61187" w:rsidRDefault="00C6626C" w:rsidP="00BD607E">
      <w:pPr>
        <w:pStyle w:val="ListBullet"/>
        <w:tabs>
          <w:tab w:val="clear" w:pos="284"/>
        </w:tabs>
        <w:spacing w:before="240"/>
        <w:rPr>
          <w:kern w:val="28"/>
        </w:rPr>
      </w:pPr>
      <w:r w:rsidRPr="002A51CA">
        <w:rPr>
          <w:rFonts w:asciiTheme="majorHAnsi" w:eastAsiaTheme="majorEastAsia" w:hAnsiTheme="majorHAnsi" w:cstheme="majorBidi"/>
          <w:caps/>
          <w:color w:val="495965" w:themeColor="text2"/>
          <w:sz w:val="38"/>
          <w:szCs w:val="26"/>
          <w:lang w:val="en-GB" w:eastAsia="en-US"/>
        </w:rPr>
        <w:t>Context</w:t>
      </w:r>
    </w:p>
    <w:p w14:paraId="7A852425" w14:textId="6E4D262D" w:rsidR="005A4E16" w:rsidRDefault="005A4E16" w:rsidP="005A4E16">
      <w:r w:rsidRPr="00CD62B4">
        <w:t xml:space="preserve">In 2016-17, </w:t>
      </w:r>
      <w:r w:rsidRPr="007C5B43">
        <w:rPr>
          <w:b/>
        </w:rPr>
        <w:t xml:space="preserve">Australia </w:t>
      </w:r>
      <w:r>
        <w:rPr>
          <w:b/>
        </w:rPr>
        <w:t>remained</w:t>
      </w:r>
      <w:r w:rsidRPr="007C5B43">
        <w:rPr>
          <w:b/>
        </w:rPr>
        <w:t xml:space="preserve"> the largest donor to Solomon Islands</w:t>
      </w:r>
      <w:r w:rsidR="007E058A">
        <w:t xml:space="preserve">, constituting </w:t>
      </w:r>
      <w:r>
        <w:t>approximately two thirds of total Official Development Assistance (ODA) to the country</w:t>
      </w:r>
      <w:r w:rsidR="000F7180">
        <w:t>.</w:t>
      </w:r>
    </w:p>
    <w:p w14:paraId="60C88DE2" w14:textId="6F0AD015" w:rsidR="005A4E16" w:rsidRDefault="005A4E16" w:rsidP="00985226">
      <w:r>
        <w:t xml:space="preserve">The </w:t>
      </w:r>
      <w:r w:rsidR="00F70151">
        <w:t>AIP</w:t>
      </w:r>
      <w:r w:rsidR="00465190">
        <w:t xml:space="preserve"> </w:t>
      </w:r>
      <w:r w:rsidR="00985226">
        <w:t>guide</w:t>
      </w:r>
      <w:r w:rsidR="00BC7C9E">
        <w:t>d</w:t>
      </w:r>
      <w:r w:rsidR="00985226">
        <w:t xml:space="preserve"> </w:t>
      </w:r>
      <w:r w:rsidR="00C31702">
        <w:t xml:space="preserve">Australia’s </w:t>
      </w:r>
      <w:r w:rsidR="00151561">
        <w:t xml:space="preserve">aid </w:t>
      </w:r>
      <w:r w:rsidR="00C31702">
        <w:t>investments in</w:t>
      </w:r>
      <w:r w:rsidR="001E4528">
        <w:t xml:space="preserve"> Solomon Islands</w:t>
      </w:r>
      <w:r w:rsidR="00A31EA0">
        <w:t>, identifying</w:t>
      </w:r>
      <w:r>
        <w:t xml:space="preserve"> three strategic</w:t>
      </w:r>
      <w:r w:rsidR="005E2F06">
        <w:t xml:space="preserve"> pillars</w:t>
      </w:r>
      <w:r>
        <w:t xml:space="preserve"> – supporting stability, enabling economic growth and enhancing human development</w:t>
      </w:r>
      <w:r w:rsidR="003A3C85">
        <w:t xml:space="preserve">.  </w:t>
      </w:r>
      <w:r w:rsidR="00465190">
        <w:t xml:space="preserve">The plan acknowledged Solomon Islands would remain fragile, but assessed </w:t>
      </w:r>
      <w:r w:rsidR="00214C41">
        <w:t>that on balance was likely to</w:t>
      </w:r>
      <w:r w:rsidR="00465190">
        <w:t xml:space="preserve"> remain</w:t>
      </w:r>
      <w:r w:rsidR="00214C41">
        <w:t xml:space="preserve"> relatively</w:t>
      </w:r>
      <w:r w:rsidR="00465190">
        <w:t xml:space="preserve"> politically stable</w:t>
      </w:r>
      <w:r w:rsidR="00FE27B4">
        <w:t xml:space="preserve"> and secure</w:t>
      </w:r>
      <w:r w:rsidR="00465190">
        <w:t xml:space="preserve">, </w:t>
      </w:r>
      <w:r w:rsidR="00BF7CE1">
        <w:t xml:space="preserve">with </w:t>
      </w:r>
      <w:r w:rsidR="00901EE5">
        <w:t>scope for external support for</w:t>
      </w:r>
      <w:r w:rsidR="00465190">
        <w:t xml:space="preserve"> reform</w:t>
      </w:r>
      <w:r w:rsidR="003A3C85">
        <w:t xml:space="preserve">.  </w:t>
      </w:r>
      <w:r w:rsidR="000A3A39">
        <w:t xml:space="preserve">Implementation approaches are informed by </w:t>
      </w:r>
      <w:r w:rsidR="00985226">
        <w:t xml:space="preserve">a number of key </w:t>
      </w:r>
      <w:r w:rsidR="00FE27B4">
        <w:t xml:space="preserve">development </w:t>
      </w:r>
      <w:r w:rsidR="00985226">
        <w:t xml:space="preserve">challenges including weak public sector administration and financial management, </w:t>
      </w:r>
      <w:r w:rsidR="00FE27B4">
        <w:t xml:space="preserve">a </w:t>
      </w:r>
      <w:r w:rsidR="00985226">
        <w:t>challenging business environment, gender inequality and violence, low literacy and limited employment opportunities</w:t>
      </w:r>
      <w:r w:rsidR="000F7180">
        <w:t>.</w:t>
      </w:r>
    </w:p>
    <w:p w14:paraId="08F80D6B" w14:textId="39B0607B" w:rsidR="00FE27B4" w:rsidRDefault="00FE27B4" w:rsidP="00985226">
      <w:r>
        <w:lastRenderedPageBreak/>
        <w:t>T</w:t>
      </w:r>
      <w:r w:rsidR="00985226">
        <w:t>he</w:t>
      </w:r>
      <w:r w:rsidR="005A4E16">
        <w:t xml:space="preserve"> AIP</w:t>
      </w:r>
      <w:r w:rsidR="00985226">
        <w:t xml:space="preserve"> identified working through </w:t>
      </w:r>
      <w:r w:rsidR="003D5EF4">
        <w:t>Solomon Islands</w:t>
      </w:r>
      <w:r w:rsidR="003A613F">
        <w:t xml:space="preserve"> </w:t>
      </w:r>
      <w:r w:rsidR="00985226">
        <w:t>systems</w:t>
      </w:r>
      <w:r w:rsidR="00465190">
        <w:t xml:space="preserve"> </w:t>
      </w:r>
      <w:r w:rsidR="00985226">
        <w:t xml:space="preserve">as </w:t>
      </w:r>
      <w:r w:rsidR="00BC7C9E">
        <w:t xml:space="preserve">the </w:t>
      </w:r>
      <w:r w:rsidR="009D7D67">
        <w:t xml:space="preserve">preferred approach where the government system </w:t>
      </w:r>
      <w:r w:rsidR="00733426">
        <w:t>wa</w:t>
      </w:r>
      <w:r w:rsidR="009D7D67">
        <w:t>s sufficiently robust</w:t>
      </w:r>
      <w:r w:rsidR="00733426">
        <w:t xml:space="preserve"> (education, health and transport)</w:t>
      </w:r>
      <w:r w:rsidR="009D7D67">
        <w:t xml:space="preserve">, </w:t>
      </w:r>
      <w:r w:rsidR="00985226">
        <w:t xml:space="preserve">but noted that technical assistance would continue to be the principal modality for </w:t>
      </w:r>
      <w:r w:rsidR="00733426">
        <w:t xml:space="preserve">stability </w:t>
      </w:r>
      <w:r w:rsidR="00985226">
        <w:t>program</w:t>
      </w:r>
      <w:r w:rsidR="00733426">
        <w:t>s</w:t>
      </w:r>
      <w:r w:rsidR="004304DB">
        <w:t xml:space="preserve"> due </w:t>
      </w:r>
      <w:r w:rsidR="00C346A2">
        <w:t xml:space="preserve">to </w:t>
      </w:r>
      <w:r w:rsidR="004304DB">
        <w:t>ongoing skill shortages and staff retention issues</w:t>
      </w:r>
      <w:r w:rsidR="003A3C85">
        <w:t xml:space="preserve">.  </w:t>
      </w:r>
      <w:r>
        <w:t>Finally, the AIP foreshadowed a shift to investments that directly facilitate economic growth and enable wealth creation</w:t>
      </w:r>
      <w:r w:rsidR="00E72C4E">
        <w:t xml:space="preserve"> including working more with the private</w:t>
      </w:r>
      <w:r w:rsidR="00E90226">
        <w:t xml:space="preserve"> sector</w:t>
      </w:r>
      <w:r w:rsidR="000F7180">
        <w:t>.</w:t>
      </w:r>
    </w:p>
    <w:p w14:paraId="2F276E15" w14:textId="4126DC6B" w:rsidR="00151561" w:rsidRDefault="00E72C4E" w:rsidP="00EC7E82">
      <w:r>
        <w:t xml:space="preserve">Two years on, many of the assumptions </w:t>
      </w:r>
      <w:r w:rsidR="00414B2C">
        <w:t>of</w:t>
      </w:r>
      <w:r>
        <w:t xml:space="preserve"> the AIP hold true</w:t>
      </w:r>
      <w:r w:rsidR="003A3C85">
        <w:t xml:space="preserve">.  </w:t>
      </w:r>
      <w:r>
        <w:t xml:space="preserve">2016-17 was </w:t>
      </w:r>
      <w:r w:rsidR="00EC7E82" w:rsidRPr="00EC7E82">
        <w:t xml:space="preserve">a year of </w:t>
      </w:r>
      <w:r w:rsidR="00837BB8" w:rsidRPr="002F5D50">
        <w:rPr>
          <w:b/>
        </w:rPr>
        <w:t xml:space="preserve">moderate economic growth and </w:t>
      </w:r>
      <w:r w:rsidR="00EC7E82" w:rsidRPr="002F5D50">
        <w:rPr>
          <w:b/>
        </w:rPr>
        <w:t>relative stability for Solomon Islands</w:t>
      </w:r>
      <w:r w:rsidR="00733426">
        <w:t>;</w:t>
      </w:r>
      <w:r w:rsidR="00EC7E82" w:rsidRPr="00EC7E82">
        <w:t xml:space="preserve"> there were no major security incidents</w:t>
      </w:r>
      <w:r w:rsidR="00837BB8">
        <w:t xml:space="preserve">, </w:t>
      </w:r>
      <w:r w:rsidR="00EC7E82">
        <w:t>large scale natural disasters</w:t>
      </w:r>
      <w:r w:rsidR="00837BB8">
        <w:t xml:space="preserve"> or external economic shocks</w:t>
      </w:r>
      <w:r w:rsidR="003A3C85">
        <w:t xml:space="preserve">.  </w:t>
      </w:r>
      <w:r>
        <w:t>Solomon Islands experience</w:t>
      </w:r>
      <w:r w:rsidR="00837BB8">
        <w:t>d</w:t>
      </w:r>
      <w:r>
        <w:t xml:space="preserve"> a year of </w:t>
      </w:r>
      <w:r w:rsidR="00414B2C">
        <w:t xml:space="preserve">relative </w:t>
      </w:r>
      <w:r>
        <w:t>political stability</w:t>
      </w:r>
      <w:r w:rsidR="003A3C85">
        <w:t xml:space="preserve">.  </w:t>
      </w:r>
      <w:r w:rsidR="00151561">
        <w:t xml:space="preserve">Within the public sector, the bureaucracy was </w:t>
      </w:r>
      <w:r w:rsidR="00837BB8">
        <w:t xml:space="preserve">mostly </w:t>
      </w:r>
      <w:r w:rsidR="00151561">
        <w:t>stable and development partners were permitted to further develop working relationships with senior public servants in most ministries</w:t>
      </w:r>
      <w:r w:rsidR="000F7180">
        <w:t>.</w:t>
      </w:r>
    </w:p>
    <w:p w14:paraId="16B6D58D" w14:textId="2D577E72" w:rsidR="004304DB" w:rsidRDefault="004304DB" w:rsidP="004304DB">
      <w:r w:rsidRPr="00EC7E82">
        <w:t>Following years of careful planning</w:t>
      </w:r>
      <w:r>
        <w:t xml:space="preserve">, the </w:t>
      </w:r>
      <w:r w:rsidRPr="002F5D50">
        <w:rPr>
          <w:b/>
        </w:rPr>
        <w:t>Regional Assistance Mission to Solomon Islands (RAMSI) concluded on 30 June 2017</w:t>
      </w:r>
      <w:r w:rsidR="00901EE5">
        <w:t xml:space="preserve"> and the transition of RAMSI support to bilateral programs was completed</w:t>
      </w:r>
      <w:r w:rsidR="003A3C85">
        <w:t xml:space="preserve">.  </w:t>
      </w:r>
      <w:r>
        <w:t xml:space="preserve">The Australian Federal Police’s </w:t>
      </w:r>
      <w:r w:rsidR="00350612">
        <w:t xml:space="preserve">(AFP) </w:t>
      </w:r>
      <w:r>
        <w:t xml:space="preserve">new Solomon Island Police Development Program </w:t>
      </w:r>
      <w:r w:rsidR="00254CF2">
        <w:t xml:space="preserve">(SIPDP) </w:t>
      </w:r>
      <w:r>
        <w:t>will continue to support the Royal Solomon Islands Police Force (RSIPF)</w:t>
      </w:r>
      <w:r w:rsidR="003A3C85">
        <w:t xml:space="preserve">.  </w:t>
      </w:r>
      <w:r>
        <w:t xml:space="preserve">Key milestones over the last year included the last round of weapons surrender, rearmament of selected units in the RSIPF, departure of RAMSI forces and finalisation of </w:t>
      </w:r>
      <w:r w:rsidR="00254CF2">
        <w:t>SIPDP</w:t>
      </w:r>
      <w:r w:rsidR="003A3C85">
        <w:t xml:space="preserve">.  </w:t>
      </w:r>
      <w:r w:rsidR="00921A74">
        <w:t>The inaugural Bilateral Security Dialogue was held to engage on shared regional security challenges</w:t>
      </w:r>
      <w:r w:rsidR="003A3C85">
        <w:t xml:space="preserve">.  </w:t>
      </w:r>
      <w:r w:rsidR="00254CF2">
        <w:t xml:space="preserve">While </w:t>
      </w:r>
      <w:r w:rsidR="003D5EF4">
        <w:t>some</w:t>
      </w:r>
      <w:r w:rsidR="00254CF2">
        <w:t xml:space="preserve"> of the so-called root causes of the </w:t>
      </w:r>
      <w:r w:rsidR="005E2F06">
        <w:t>T</w:t>
      </w:r>
      <w:r>
        <w:t xml:space="preserve">ensions </w:t>
      </w:r>
      <w:r w:rsidR="003D5EF4">
        <w:t>persist</w:t>
      </w:r>
      <w:r w:rsidR="00254CF2">
        <w:t xml:space="preserve">, they have not </w:t>
      </w:r>
      <w:r>
        <w:t>resulted in a renewed security crisis with most interest groups and broader society not interested in provoking a return to violence.</w:t>
      </w:r>
    </w:p>
    <w:p w14:paraId="7F2B455B" w14:textId="486B3BD5" w:rsidR="004304DB" w:rsidRDefault="004304DB" w:rsidP="004304DB">
      <w:pPr>
        <w:rPr>
          <w:highlight w:val="yellow"/>
        </w:rPr>
      </w:pPr>
      <w:r>
        <w:t>The</w:t>
      </w:r>
      <w:r w:rsidR="005A4E16">
        <w:t xml:space="preserve"> economy </w:t>
      </w:r>
      <w:r>
        <w:t>remain</w:t>
      </w:r>
      <w:r w:rsidR="00254CF2">
        <w:t>ed heavily</w:t>
      </w:r>
      <w:r>
        <w:t xml:space="preserve"> </w:t>
      </w:r>
      <w:r w:rsidR="00901EE5">
        <w:t xml:space="preserve">dependent </w:t>
      </w:r>
      <w:r>
        <w:t xml:space="preserve">on </w:t>
      </w:r>
      <w:r w:rsidR="00254CF2">
        <w:t xml:space="preserve">unsustainable </w:t>
      </w:r>
      <w:r>
        <w:t>logging exports</w:t>
      </w:r>
      <w:r w:rsidR="003A3C85">
        <w:t xml:space="preserve">.  </w:t>
      </w:r>
      <w:r w:rsidR="005C1EC9" w:rsidRPr="00DC59A1">
        <w:rPr>
          <w:b/>
        </w:rPr>
        <w:t>The</w:t>
      </w:r>
      <w:r w:rsidR="00901EE5" w:rsidRPr="00DC59A1">
        <w:rPr>
          <w:b/>
        </w:rPr>
        <w:t xml:space="preserve"> pace of</w:t>
      </w:r>
      <w:r w:rsidRPr="00DC59A1">
        <w:rPr>
          <w:b/>
        </w:rPr>
        <w:t xml:space="preserve"> </w:t>
      </w:r>
      <w:r w:rsidR="00F91F91">
        <w:rPr>
          <w:b/>
        </w:rPr>
        <w:t>PFM</w:t>
      </w:r>
      <w:r w:rsidRPr="00DC59A1">
        <w:rPr>
          <w:b/>
        </w:rPr>
        <w:t xml:space="preserve"> reform </w:t>
      </w:r>
      <w:r w:rsidR="00901EE5" w:rsidRPr="00DC59A1">
        <w:rPr>
          <w:b/>
        </w:rPr>
        <w:t>slowed</w:t>
      </w:r>
      <w:r w:rsidR="00901EE5">
        <w:t xml:space="preserve"> </w:t>
      </w:r>
      <w:r>
        <w:t>and the Core Economic Work Group (CEWG)</w:t>
      </w:r>
      <w:r w:rsidR="00901EE5">
        <w:t>,</w:t>
      </w:r>
      <w:r>
        <w:t xml:space="preserve"> </w:t>
      </w:r>
      <w:r w:rsidR="00901EE5">
        <w:t>intended as the main vehicle of</w:t>
      </w:r>
      <w:r>
        <w:t xml:space="preserve"> dialogue </w:t>
      </w:r>
      <w:r w:rsidR="00254CF2">
        <w:t xml:space="preserve">on </w:t>
      </w:r>
      <w:r>
        <w:t>economic reform</w:t>
      </w:r>
      <w:r w:rsidR="00901EE5">
        <w:t xml:space="preserve">, </w:t>
      </w:r>
      <w:r w:rsidR="003D5EF4">
        <w:t>did</w:t>
      </w:r>
      <w:r w:rsidR="00901EE5">
        <w:t xml:space="preserve"> not </w:t>
      </w:r>
      <w:r w:rsidR="00921A74">
        <w:t>me</w:t>
      </w:r>
      <w:r w:rsidR="003D5EF4">
        <w:t>e</w:t>
      </w:r>
      <w:r w:rsidR="00921A74">
        <w:t>t</w:t>
      </w:r>
      <w:r w:rsidR="003A3C85">
        <w:t xml:space="preserve">.  </w:t>
      </w:r>
      <w:r>
        <w:t>The Solomon Islands Government continues to follow an expansionary fiscal policy with expenditure outstripping revenue, earning widespread public criticism</w:t>
      </w:r>
      <w:r w:rsidR="003A3C85">
        <w:t xml:space="preserve">.  </w:t>
      </w:r>
      <w:r w:rsidR="00414B2C">
        <w:t xml:space="preserve">As a </w:t>
      </w:r>
      <w:r w:rsidR="007E058A">
        <w:t>result,</w:t>
      </w:r>
      <w:r w:rsidR="00414B2C">
        <w:t xml:space="preserve"> </w:t>
      </w:r>
      <w:r w:rsidR="005A4E16">
        <w:t>Government</w:t>
      </w:r>
      <w:r>
        <w:t xml:space="preserve"> cash reserves</w:t>
      </w:r>
      <w:r w:rsidR="00414B2C">
        <w:t xml:space="preserve"> have been largely </w:t>
      </w:r>
      <w:r w:rsidR="00F0432C">
        <w:t>eroded</w:t>
      </w:r>
      <w:r>
        <w:t>, leaving it less able to deal with economic shocks</w:t>
      </w:r>
      <w:r w:rsidR="00901EE5">
        <w:t xml:space="preserve"> and facing potential implications for the wider economy if the deficit continues</w:t>
      </w:r>
      <w:r w:rsidR="003A3C85">
        <w:t xml:space="preserve">.  </w:t>
      </w:r>
      <w:r>
        <w:t xml:space="preserve">Australia’s work through and with partner systems has been directly impacted; for example, in the transport sector </w:t>
      </w:r>
      <w:r w:rsidR="00DE2E8F">
        <w:t>S</w:t>
      </w:r>
      <w:r w:rsidR="005A4E16">
        <w:t>ol</w:t>
      </w:r>
      <w:r w:rsidR="00DE2E8F">
        <w:t xml:space="preserve">omon Islands </w:t>
      </w:r>
      <w:r>
        <w:t>reduced allocations and delayed payments to the NTF through which Australia del</w:t>
      </w:r>
      <w:r w:rsidR="00DE2E8F">
        <w:t>i</w:t>
      </w:r>
      <w:r>
        <w:t>vers its suppor</w:t>
      </w:r>
      <w:r w:rsidR="007E058A">
        <w:t>t</w:t>
      </w:r>
      <w:r>
        <w:t>.</w:t>
      </w:r>
    </w:p>
    <w:p w14:paraId="3A10AAAC" w14:textId="3982F9C1" w:rsidR="004304DB" w:rsidRPr="007B79B8" w:rsidRDefault="004304DB" w:rsidP="004304DB">
      <w:r>
        <w:t xml:space="preserve">During the reporting period, </w:t>
      </w:r>
      <w:r w:rsidR="00254CF2">
        <w:t>three</w:t>
      </w:r>
      <w:r>
        <w:t xml:space="preserve"> positions in the </w:t>
      </w:r>
      <w:r w:rsidR="006757B9">
        <w:t xml:space="preserve">MoFT </w:t>
      </w:r>
      <w:r w:rsidR="00901EE5">
        <w:t xml:space="preserve">filled by external personnel with Australian financial support </w:t>
      </w:r>
      <w:r>
        <w:t>were removed</w:t>
      </w:r>
      <w:r w:rsidR="00254CF2" w:rsidRPr="00254CF2">
        <w:t xml:space="preserve"> </w:t>
      </w:r>
      <w:r w:rsidR="00254CF2">
        <w:t>at</w:t>
      </w:r>
      <w:r w:rsidR="003A613F">
        <w:t xml:space="preserve"> the Solomon Island</w:t>
      </w:r>
      <w:r w:rsidR="003D5EF4">
        <w:t>s</w:t>
      </w:r>
      <w:r w:rsidR="003A613F">
        <w:t xml:space="preserve"> Government’s </w:t>
      </w:r>
      <w:r w:rsidR="00254CF2">
        <w:t>request</w:t>
      </w:r>
      <w:r w:rsidR="003A3C85">
        <w:t xml:space="preserve">.  </w:t>
      </w:r>
      <w:r>
        <w:t>Australia conducted a review</w:t>
      </w:r>
      <w:r w:rsidR="00F91F91">
        <w:t xml:space="preserve"> (Assessment of National Systems – ANS)</w:t>
      </w:r>
      <w:r>
        <w:t xml:space="preserve"> of the impact of</w:t>
      </w:r>
      <w:r w:rsidR="00254CF2">
        <w:t xml:space="preserve"> this</w:t>
      </w:r>
      <w:r w:rsidR="00A13388">
        <w:t xml:space="preserve"> step</w:t>
      </w:r>
      <w:r>
        <w:t xml:space="preserve">, </w:t>
      </w:r>
      <w:r w:rsidR="00353351">
        <w:t xml:space="preserve">and </w:t>
      </w:r>
      <w:r>
        <w:t>additional risk mitigation measures</w:t>
      </w:r>
      <w:r w:rsidR="00353351">
        <w:t xml:space="preserve"> were </w:t>
      </w:r>
      <w:r w:rsidR="00640FE1">
        <w:t xml:space="preserve">put in place </w:t>
      </w:r>
      <w:r>
        <w:t>to ensure fiduciary risk remains at acceptable levels</w:t>
      </w:r>
      <w:r w:rsidR="003A3C85">
        <w:t xml:space="preserve">.  </w:t>
      </w:r>
      <w:r>
        <w:t xml:space="preserve">Last year </w:t>
      </w:r>
      <w:r w:rsidRPr="007B79B8">
        <w:t xml:space="preserve">Australia </w:t>
      </w:r>
      <w:r w:rsidRPr="00B90389">
        <w:t>spent 33</w:t>
      </w:r>
      <w:r>
        <w:t xml:space="preserve"> per cent</w:t>
      </w:r>
      <w:r w:rsidRPr="00B90389">
        <w:t xml:space="preserve"> </w:t>
      </w:r>
      <w:r w:rsidRPr="007B79B8">
        <w:t xml:space="preserve">of the total </w:t>
      </w:r>
      <w:r>
        <w:t xml:space="preserve">bilateral </w:t>
      </w:r>
      <w:r w:rsidRPr="007B79B8">
        <w:t xml:space="preserve">aid budget through </w:t>
      </w:r>
      <w:r w:rsidR="007C2597">
        <w:t>Solomon Island</w:t>
      </w:r>
      <w:r w:rsidR="00DE2E8F">
        <w:t>s’</w:t>
      </w:r>
      <w:r w:rsidR="007C2597">
        <w:t xml:space="preserve"> </w:t>
      </w:r>
      <w:r w:rsidRPr="007B79B8">
        <w:t>systems in health, education and transport</w:t>
      </w:r>
      <w:r w:rsidR="003A3C85">
        <w:t xml:space="preserve">.  </w:t>
      </w:r>
      <w:r w:rsidRPr="007B79B8">
        <w:t xml:space="preserve">Where </w:t>
      </w:r>
      <w:r w:rsidR="007C2597">
        <w:t>Solomon Islands</w:t>
      </w:r>
      <w:r w:rsidR="005E2F06">
        <w:t>’</w:t>
      </w:r>
      <w:r w:rsidR="007C2597">
        <w:t xml:space="preserve"> </w:t>
      </w:r>
      <w:r w:rsidRPr="007B79B8">
        <w:t>financial commitment is uncertain (transport) a revised approach may be considered</w:t>
      </w:r>
      <w:r w:rsidR="00F816A7">
        <w:t>.</w:t>
      </w:r>
    </w:p>
    <w:p w14:paraId="2C7050A4" w14:textId="734765C7" w:rsidR="00A10C43" w:rsidRDefault="004C2A6E" w:rsidP="00A10C43">
      <w:r w:rsidRPr="00CD62B4">
        <w:t xml:space="preserve">In 2016-17, the World Bank and Asian Development Bank </w:t>
      </w:r>
      <w:r w:rsidR="00350612">
        <w:t xml:space="preserve">(ADB) </w:t>
      </w:r>
      <w:r w:rsidRPr="00CD62B4">
        <w:t xml:space="preserve">both announced increased </w:t>
      </w:r>
      <w:r>
        <w:t xml:space="preserve">(approximately tripling) </w:t>
      </w:r>
      <w:r w:rsidR="00A10C43" w:rsidRPr="00CD62B4">
        <w:t xml:space="preserve">allocations </w:t>
      </w:r>
      <w:r w:rsidRPr="00CD62B4">
        <w:t xml:space="preserve">to Solomon Islands from </w:t>
      </w:r>
      <w:r w:rsidRPr="00B90389">
        <w:t>201</w:t>
      </w:r>
      <w:r w:rsidR="00B90389" w:rsidRPr="00B90389">
        <w:t>7</w:t>
      </w:r>
      <w:r w:rsidRPr="00B90389">
        <w:t xml:space="preserve"> </w:t>
      </w:r>
      <w:r>
        <w:t xml:space="preserve">and Australia was actively engaged in </w:t>
      </w:r>
      <w:r w:rsidR="00BA070F">
        <w:t>Honiara</w:t>
      </w:r>
      <w:r>
        <w:t>, Canberra, Washington and Manila discussions on joint pipeline priorities, development effectiveness and human resourcing</w:t>
      </w:r>
      <w:r w:rsidR="003A3C85">
        <w:t xml:space="preserve">.  </w:t>
      </w:r>
      <w:r w:rsidR="00B90389" w:rsidRPr="00B45FF0">
        <w:t xml:space="preserve">High level policy discussions between </w:t>
      </w:r>
      <w:r w:rsidR="007C2597" w:rsidRPr="00B45FF0">
        <w:t xml:space="preserve">Solomon Islands </w:t>
      </w:r>
      <w:r w:rsidR="00B90389" w:rsidRPr="00B45FF0">
        <w:t xml:space="preserve">and development partners </w:t>
      </w:r>
      <w:r w:rsidR="00901EE5" w:rsidRPr="00B45FF0">
        <w:t xml:space="preserve">were </w:t>
      </w:r>
      <w:r w:rsidR="00B90389" w:rsidRPr="00B45FF0">
        <w:t>maintained in 2016-17</w:t>
      </w:r>
      <w:r w:rsidR="00D57058" w:rsidRPr="00DC59A1">
        <w:rPr>
          <w:b/>
        </w:rPr>
        <w:t xml:space="preserve"> </w:t>
      </w:r>
      <w:r w:rsidR="00D57058">
        <w:t xml:space="preserve">through the joint bi-annual dialogue and </w:t>
      </w:r>
      <w:r w:rsidR="00CD61D1" w:rsidRPr="00CD62B4">
        <w:t>Au</w:t>
      </w:r>
      <w:r w:rsidR="007A6ABD" w:rsidRPr="00CD62B4">
        <w:t xml:space="preserve">stralia supported the inaugural development partner profiles </w:t>
      </w:r>
      <w:r w:rsidR="00CD62B4" w:rsidRPr="00CD62B4">
        <w:t>which mapped donor support against</w:t>
      </w:r>
      <w:r w:rsidR="007A6ABD" w:rsidRPr="00CD62B4">
        <w:t xml:space="preserve"> the </w:t>
      </w:r>
      <w:r w:rsidR="00CD62B4" w:rsidRPr="00CD62B4">
        <w:t>NDS</w:t>
      </w:r>
      <w:r w:rsidR="003A3C85">
        <w:t xml:space="preserve">.  </w:t>
      </w:r>
      <w:r w:rsidR="00BA070F">
        <w:t>During the dialogue, d</w:t>
      </w:r>
      <w:r>
        <w:t xml:space="preserve">onor partners and </w:t>
      </w:r>
      <w:r w:rsidR="00B84818">
        <w:t>heads of ministries</w:t>
      </w:r>
      <w:r>
        <w:t xml:space="preserve"> </w:t>
      </w:r>
      <w:r w:rsidR="00A10C43">
        <w:t>both noted t</w:t>
      </w:r>
      <w:r>
        <w:t xml:space="preserve">he need for open </w:t>
      </w:r>
      <w:r w:rsidRPr="00A10C43">
        <w:t xml:space="preserve">policy dialogue </w:t>
      </w:r>
      <w:r w:rsidR="00A10C43" w:rsidRPr="00A10C43">
        <w:t xml:space="preserve">on </w:t>
      </w:r>
      <w:r w:rsidR="00214C41">
        <w:t xml:space="preserve">economic </w:t>
      </w:r>
      <w:r w:rsidR="00A10C43" w:rsidRPr="00A10C43">
        <w:t xml:space="preserve">reform and </w:t>
      </w:r>
      <w:r w:rsidR="00901EE5">
        <w:t xml:space="preserve">agreed </w:t>
      </w:r>
      <w:r w:rsidR="00A10C43" w:rsidRPr="00A10C43">
        <w:t>that policy dialogue has become</w:t>
      </w:r>
      <w:r w:rsidR="00214C41">
        <w:t xml:space="preserve"> more</w:t>
      </w:r>
      <w:r w:rsidR="00A10C43" w:rsidRPr="00A10C43">
        <w:t xml:space="preserve"> sporadic without the CEWG</w:t>
      </w:r>
      <w:r w:rsidR="00EB77B8">
        <w:t xml:space="preserve"> or a similar mechanism</w:t>
      </w:r>
      <w:r w:rsidR="00453A53">
        <w:t>.</w:t>
      </w:r>
    </w:p>
    <w:p w14:paraId="6BD27A58" w14:textId="0CDD971D" w:rsidR="004C2A6E" w:rsidRDefault="00A10C43" w:rsidP="00A10C43">
      <w:r>
        <w:t xml:space="preserve">In 2016-17 </w:t>
      </w:r>
      <w:r w:rsidRPr="00DC59A1">
        <w:rPr>
          <w:b/>
        </w:rPr>
        <w:t xml:space="preserve">Australia worked to strengthen its relationship with non-state actors and </w:t>
      </w:r>
      <w:r w:rsidR="00EB77B8" w:rsidRPr="00DC59A1">
        <w:rPr>
          <w:b/>
        </w:rPr>
        <w:t xml:space="preserve">to </w:t>
      </w:r>
      <w:r w:rsidRPr="00DC59A1">
        <w:rPr>
          <w:b/>
        </w:rPr>
        <w:t xml:space="preserve">facilitate dialogue with </w:t>
      </w:r>
      <w:r w:rsidR="007C2597" w:rsidRPr="00DC59A1">
        <w:rPr>
          <w:b/>
        </w:rPr>
        <w:t>the Solomon Islands Government</w:t>
      </w:r>
      <w:r w:rsidR="003A3C85">
        <w:t xml:space="preserve">.  </w:t>
      </w:r>
      <w:r>
        <w:t xml:space="preserve">There continued </w:t>
      </w:r>
      <w:r w:rsidR="00BA070F">
        <w:t xml:space="preserve">to be </w:t>
      </w:r>
      <w:r w:rsidR="004C2A6E" w:rsidRPr="00A10C43">
        <w:t>strong interest in reform among civil society and the media</w:t>
      </w:r>
      <w:r w:rsidR="00D579E8">
        <w:t>;</w:t>
      </w:r>
      <w:r w:rsidR="004C2A6E" w:rsidRPr="00A10C43">
        <w:t xml:space="preserve"> </w:t>
      </w:r>
      <w:r w:rsidR="00D579E8">
        <w:t>m</w:t>
      </w:r>
      <w:r w:rsidR="004C2A6E" w:rsidRPr="00A10C43">
        <w:t xml:space="preserve">any </w:t>
      </w:r>
      <w:r w:rsidR="00BA070F">
        <w:t xml:space="preserve">groups were active in promoting </w:t>
      </w:r>
      <w:r w:rsidR="004C2A6E" w:rsidRPr="00A10C43">
        <w:t>good citizenship, combatting corruption, women’s and youth economic empowerment and in the prevention of violence against women and servi</w:t>
      </w:r>
      <w:r w:rsidR="00BA070F">
        <w:t xml:space="preserve">ces for </w:t>
      </w:r>
      <w:r w:rsidR="001562A7">
        <w:t>survivors</w:t>
      </w:r>
      <w:r w:rsidR="003A3C85">
        <w:t xml:space="preserve">.  </w:t>
      </w:r>
      <w:r w:rsidR="00D57058">
        <w:t xml:space="preserve">During 2016-17, the private sector became more organised and vocal in its policy advocacy </w:t>
      </w:r>
      <w:r w:rsidR="00B84818">
        <w:t>on key issues affecting the econom</w:t>
      </w:r>
      <w:r w:rsidR="00353351">
        <w:t>y</w:t>
      </w:r>
      <w:r w:rsidR="003A3C85">
        <w:t xml:space="preserve">.  </w:t>
      </w:r>
      <w:r w:rsidR="00353351">
        <w:t xml:space="preserve">With support from Australia, </w:t>
      </w:r>
      <w:r w:rsidR="007C2597">
        <w:t xml:space="preserve">the Solomon Islands Government </w:t>
      </w:r>
      <w:r w:rsidR="00353351">
        <w:t>and the Solomon Islands Chamber of Commerce and Investment (SICCI) have entered into a Memorandum of Understanding</w:t>
      </w:r>
      <w:r w:rsidR="0005513F">
        <w:t xml:space="preserve"> (MOU)</w:t>
      </w:r>
      <w:r w:rsidR="00353351">
        <w:t>.</w:t>
      </w:r>
    </w:p>
    <w:p w14:paraId="653F0F71" w14:textId="77777777" w:rsidR="00C6626C" w:rsidRPr="002A51CA" w:rsidRDefault="00C6626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Expenditure</w:t>
      </w:r>
    </w:p>
    <w:p w14:paraId="3F404E3F" w14:textId="710ABE7A" w:rsidR="00D40AEB"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4B7DEA">
        <w:rPr>
          <w:b/>
          <w:noProof/>
          <w:sz w:val="24"/>
        </w:rPr>
        <w:t>1</w:t>
      </w:r>
      <w:r w:rsidRPr="008C2F58">
        <w:rPr>
          <w:b/>
          <w:noProof/>
          <w:sz w:val="24"/>
        </w:rPr>
        <w:fldChar w:fldCharType="end"/>
      </w:r>
      <w:r w:rsidR="00F90415">
        <w:rPr>
          <w:b/>
          <w:sz w:val="24"/>
        </w:rPr>
        <w:t xml:space="preserve"> Total ODA e</w:t>
      </w:r>
      <w:r w:rsidRPr="008C2F58">
        <w:rPr>
          <w:b/>
          <w:sz w:val="24"/>
        </w:rPr>
        <w:t>xpenditure in FY 201</w:t>
      </w:r>
      <w:r w:rsidR="001103E6">
        <w:rPr>
          <w:b/>
          <w:sz w:val="24"/>
        </w:rPr>
        <w:t>6</w:t>
      </w:r>
      <w:r w:rsidRPr="008C2F58">
        <w:rPr>
          <w:b/>
          <w:sz w:val="24"/>
        </w:rPr>
        <w:t>-1</w:t>
      </w:r>
      <w:r w:rsidR="001103E6">
        <w:rPr>
          <w:b/>
          <w:sz w:val="24"/>
        </w:rPr>
        <w:t>7</w:t>
      </w:r>
    </w:p>
    <w:tbl>
      <w:tblPr>
        <w:tblStyle w:val="TableGrid"/>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842"/>
      </w:tblGrid>
      <w:tr w:rsidR="00184818" w14:paraId="424C0D3E" w14:textId="77777777" w:rsidTr="00F77ECA">
        <w:tc>
          <w:tcPr>
            <w:tcW w:w="6374" w:type="dxa"/>
          </w:tcPr>
          <w:p w14:paraId="2106ABD1" w14:textId="77777777" w:rsidR="00184818" w:rsidRPr="00893C38" w:rsidRDefault="00184818" w:rsidP="002A51CA">
            <w:pPr>
              <w:rPr>
                <w:b/>
                <w:sz w:val="24"/>
              </w:rPr>
            </w:pPr>
            <w:r w:rsidRPr="00893C38">
              <w:rPr>
                <w:b/>
                <w:sz w:val="20"/>
              </w:rPr>
              <w:t>Objective</w:t>
            </w:r>
          </w:p>
        </w:tc>
        <w:tc>
          <w:tcPr>
            <w:tcW w:w="1423" w:type="dxa"/>
          </w:tcPr>
          <w:p w14:paraId="17FA3E1B" w14:textId="5CBEFA3E" w:rsidR="00184818" w:rsidRPr="00893C38" w:rsidRDefault="00184818" w:rsidP="002F2BE6">
            <w:pPr>
              <w:jc w:val="center"/>
              <w:rPr>
                <w:b/>
                <w:sz w:val="24"/>
              </w:rPr>
            </w:pPr>
            <w:r w:rsidRPr="00893C38">
              <w:rPr>
                <w:b/>
                <w:sz w:val="20"/>
              </w:rPr>
              <w:t>A</w:t>
            </w:r>
            <w:r w:rsidR="002F2BE6">
              <w:rPr>
                <w:b/>
                <w:sz w:val="20"/>
              </w:rPr>
              <w:t>UD</w:t>
            </w:r>
            <w:r w:rsidRPr="00893C38">
              <w:rPr>
                <w:b/>
                <w:sz w:val="20"/>
              </w:rPr>
              <w:t xml:space="preserve"> </w:t>
            </w:r>
            <w:r w:rsidR="00EC481D">
              <w:rPr>
                <w:b/>
                <w:sz w:val="20"/>
              </w:rPr>
              <w:t>million</w:t>
            </w:r>
          </w:p>
        </w:tc>
        <w:tc>
          <w:tcPr>
            <w:tcW w:w="1842" w:type="dxa"/>
          </w:tcPr>
          <w:p w14:paraId="762D48BA" w14:textId="12C05296" w:rsidR="00184818" w:rsidRPr="00893C38" w:rsidRDefault="00184818" w:rsidP="003A3C85">
            <w:pPr>
              <w:ind w:right="-546"/>
              <w:rPr>
                <w:b/>
                <w:sz w:val="24"/>
              </w:rPr>
            </w:pPr>
            <w:r w:rsidRPr="00893C38">
              <w:rPr>
                <w:b/>
                <w:sz w:val="20"/>
              </w:rPr>
              <w:t>% of total ODA</w:t>
            </w:r>
          </w:p>
        </w:tc>
      </w:tr>
      <w:tr w:rsidR="00A577A0" w14:paraId="272A7B07" w14:textId="77777777" w:rsidTr="00F77ECA">
        <w:tc>
          <w:tcPr>
            <w:tcW w:w="6374" w:type="dxa"/>
          </w:tcPr>
          <w:p w14:paraId="7AA4DF28" w14:textId="77777777" w:rsidR="00A577A0" w:rsidRPr="00893C38" w:rsidRDefault="00A577A0" w:rsidP="00A577A0">
            <w:pPr>
              <w:ind w:left="170"/>
              <w:rPr>
                <w:sz w:val="20"/>
              </w:rPr>
            </w:pPr>
            <w:r>
              <w:rPr>
                <w:sz w:val="20"/>
              </w:rPr>
              <w:t xml:space="preserve">Objective 1: Supporting </w:t>
            </w:r>
            <w:r w:rsidR="001562A7">
              <w:rPr>
                <w:sz w:val="20"/>
              </w:rPr>
              <w:t>Stability</w:t>
            </w:r>
          </w:p>
        </w:tc>
        <w:tc>
          <w:tcPr>
            <w:tcW w:w="1423" w:type="dxa"/>
          </w:tcPr>
          <w:p w14:paraId="2212075B" w14:textId="77777777" w:rsidR="00A577A0" w:rsidRPr="002B2930" w:rsidRDefault="00A577A0" w:rsidP="00A577A0">
            <w:pPr>
              <w:jc w:val="center"/>
              <w:rPr>
                <w:sz w:val="24"/>
              </w:rPr>
            </w:pPr>
            <w:r w:rsidRPr="002B2930">
              <w:rPr>
                <w:sz w:val="24"/>
              </w:rPr>
              <w:t>20.9</w:t>
            </w:r>
          </w:p>
        </w:tc>
        <w:tc>
          <w:tcPr>
            <w:tcW w:w="1842" w:type="dxa"/>
          </w:tcPr>
          <w:p w14:paraId="28B0F16C" w14:textId="77777777" w:rsidR="00A577A0" w:rsidRPr="002B2930" w:rsidRDefault="00A577A0" w:rsidP="003A3C85">
            <w:pPr>
              <w:jc w:val="center"/>
              <w:rPr>
                <w:sz w:val="24"/>
              </w:rPr>
            </w:pPr>
            <w:r w:rsidRPr="002B2930">
              <w:rPr>
                <w:sz w:val="24"/>
              </w:rPr>
              <w:t>13%</w:t>
            </w:r>
          </w:p>
        </w:tc>
      </w:tr>
      <w:tr w:rsidR="00184818" w14:paraId="778AC500" w14:textId="77777777" w:rsidTr="00F77ECA">
        <w:tc>
          <w:tcPr>
            <w:tcW w:w="6374" w:type="dxa"/>
          </w:tcPr>
          <w:p w14:paraId="23BE7743" w14:textId="77777777" w:rsidR="00184818" w:rsidRDefault="00A577A0" w:rsidP="00A577A0">
            <w:pPr>
              <w:ind w:left="170"/>
              <w:rPr>
                <w:b/>
                <w:sz w:val="24"/>
              </w:rPr>
            </w:pPr>
            <w:r>
              <w:rPr>
                <w:sz w:val="20"/>
              </w:rPr>
              <w:t>Objective 2</w:t>
            </w:r>
            <w:r w:rsidR="002B2930">
              <w:rPr>
                <w:sz w:val="20"/>
              </w:rPr>
              <w:t xml:space="preserve">: </w:t>
            </w:r>
            <w:r>
              <w:rPr>
                <w:sz w:val="20"/>
              </w:rPr>
              <w:t xml:space="preserve">Enabling </w:t>
            </w:r>
            <w:r w:rsidR="001562A7">
              <w:rPr>
                <w:sz w:val="20"/>
              </w:rPr>
              <w:t xml:space="preserve">Economic </w:t>
            </w:r>
            <w:r w:rsidR="002B2930">
              <w:rPr>
                <w:sz w:val="20"/>
              </w:rPr>
              <w:t>Growth</w:t>
            </w:r>
          </w:p>
        </w:tc>
        <w:tc>
          <w:tcPr>
            <w:tcW w:w="1423" w:type="dxa"/>
          </w:tcPr>
          <w:p w14:paraId="5CF21643" w14:textId="77777777" w:rsidR="00184818" w:rsidRPr="002B2930" w:rsidRDefault="00AA0ED3" w:rsidP="00AA0ED3">
            <w:pPr>
              <w:jc w:val="center"/>
              <w:rPr>
                <w:sz w:val="24"/>
              </w:rPr>
            </w:pPr>
            <w:r>
              <w:rPr>
                <w:sz w:val="24"/>
              </w:rPr>
              <w:t>34.2</w:t>
            </w:r>
          </w:p>
        </w:tc>
        <w:tc>
          <w:tcPr>
            <w:tcW w:w="1842" w:type="dxa"/>
          </w:tcPr>
          <w:p w14:paraId="4E4CE8C6" w14:textId="77777777" w:rsidR="00184818" w:rsidRPr="002B2930" w:rsidRDefault="00AA0ED3" w:rsidP="003A3C85">
            <w:pPr>
              <w:jc w:val="center"/>
              <w:rPr>
                <w:sz w:val="24"/>
              </w:rPr>
            </w:pPr>
            <w:r>
              <w:rPr>
                <w:sz w:val="24"/>
              </w:rPr>
              <w:t>21</w:t>
            </w:r>
            <w:r w:rsidR="002B2930" w:rsidRPr="002B2930">
              <w:rPr>
                <w:sz w:val="24"/>
              </w:rPr>
              <w:t>%</w:t>
            </w:r>
          </w:p>
        </w:tc>
      </w:tr>
      <w:tr w:rsidR="00184818" w14:paraId="0B548B40" w14:textId="77777777" w:rsidTr="00F77ECA">
        <w:tc>
          <w:tcPr>
            <w:tcW w:w="6374" w:type="dxa"/>
          </w:tcPr>
          <w:p w14:paraId="21B47F5F" w14:textId="77777777" w:rsidR="00184818" w:rsidRPr="00893C38" w:rsidRDefault="00A577A0" w:rsidP="00A577A0">
            <w:pPr>
              <w:ind w:left="170"/>
              <w:rPr>
                <w:sz w:val="20"/>
              </w:rPr>
            </w:pPr>
            <w:r>
              <w:rPr>
                <w:sz w:val="20"/>
              </w:rPr>
              <w:t>Objective 3</w:t>
            </w:r>
            <w:r w:rsidR="002B2930">
              <w:rPr>
                <w:sz w:val="20"/>
              </w:rPr>
              <w:t xml:space="preserve">: </w:t>
            </w:r>
            <w:r>
              <w:rPr>
                <w:sz w:val="20"/>
              </w:rPr>
              <w:t xml:space="preserve">Enhancing </w:t>
            </w:r>
            <w:r w:rsidR="001562A7">
              <w:rPr>
                <w:sz w:val="20"/>
              </w:rPr>
              <w:t xml:space="preserve">Human </w:t>
            </w:r>
            <w:r w:rsidR="002B2930">
              <w:rPr>
                <w:sz w:val="20"/>
              </w:rPr>
              <w:t>Development</w:t>
            </w:r>
          </w:p>
        </w:tc>
        <w:tc>
          <w:tcPr>
            <w:tcW w:w="1423" w:type="dxa"/>
          </w:tcPr>
          <w:p w14:paraId="2487286B" w14:textId="77777777" w:rsidR="00184818" w:rsidRPr="002B2930" w:rsidRDefault="00AA0ED3" w:rsidP="002B2930">
            <w:pPr>
              <w:jc w:val="center"/>
              <w:rPr>
                <w:sz w:val="24"/>
              </w:rPr>
            </w:pPr>
            <w:r>
              <w:rPr>
                <w:sz w:val="24"/>
              </w:rPr>
              <w:t>38.1</w:t>
            </w:r>
          </w:p>
        </w:tc>
        <w:tc>
          <w:tcPr>
            <w:tcW w:w="1842" w:type="dxa"/>
          </w:tcPr>
          <w:p w14:paraId="70266098" w14:textId="77777777" w:rsidR="00184818" w:rsidRPr="002B2930" w:rsidRDefault="002B2930" w:rsidP="003A3C85">
            <w:pPr>
              <w:jc w:val="center"/>
              <w:rPr>
                <w:sz w:val="24"/>
              </w:rPr>
            </w:pPr>
            <w:r w:rsidRPr="002B2930">
              <w:rPr>
                <w:sz w:val="24"/>
              </w:rPr>
              <w:t>23%</w:t>
            </w:r>
          </w:p>
        </w:tc>
      </w:tr>
      <w:tr w:rsidR="00184818" w14:paraId="7A5D6F54" w14:textId="77777777" w:rsidTr="00F77ECA">
        <w:tc>
          <w:tcPr>
            <w:tcW w:w="6374" w:type="dxa"/>
          </w:tcPr>
          <w:p w14:paraId="456EDC9C" w14:textId="77777777" w:rsidR="00184818" w:rsidRPr="002B2930" w:rsidRDefault="00184818" w:rsidP="002A51CA">
            <w:pPr>
              <w:rPr>
                <w:b/>
                <w:sz w:val="24"/>
              </w:rPr>
            </w:pPr>
            <w:r w:rsidRPr="002B2930">
              <w:rPr>
                <w:b/>
                <w:sz w:val="20"/>
              </w:rPr>
              <w:t>Sub-Total Bilateral</w:t>
            </w:r>
          </w:p>
        </w:tc>
        <w:tc>
          <w:tcPr>
            <w:tcW w:w="1423" w:type="dxa"/>
          </w:tcPr>
          <w:p w14:paraId="491215A7" w14:textId="77777777" w:rsidR="00184818" w:rsidRDefault="002B2930" w:rsidP="002B2930">
            <w:pPr>
              <w:jc w:val="center"/>
              <w:rPr>
                <w:b/>
                <w:sz w:val="24"/>
              </w:rPr>
            </w:pPr>
            <w:r>
              <w:rPr>
                <w:b/>
                <w:sz w:val="24"/>
              </w:rPr>
              <w:t>93.2</w:t>
            </w:r>
          </w:p>
        </w:tc>
        <w:tc>
          <w:tcPr>
            <w:tcW w:w="1842" w:type="dxa"/>
          </w:tcPr>
          <w:p w14:paraId="55D57E5C" w14:textId="77777777" w:rsidR="00184818" w:rsidRDefault="002B2930" w:rsidP="003A3C85">
            <w:pPr>
              <w:jc w:val="center"/>
              <w:rPr>
                <w:b/>
                <w:sz w:val="24"/>
              </w:rPr>
            </w:pPr>
            <w:r>
              <w:rPr>
                <w:b/>
                <w:sz w:val="24"/>
              </w:rPr>
              <w:t>57%</w:t>
            </w:r>
          </w:p>
        </w:tc>
      </w:tr>
      <w:tr w:rsidR="00184818" w14:paraId="34FEA20C" w14:textId="77777777" w:rsidTr="00F77ECA">
        <w:tc>
          <w:tcPr>
            <w:tcW w:w="6374" w:type="dxa"/>
          </w:tcPr>
          <w:p w14:paraId="6D84D689" w14:textId="77777777" w:rsidR="00184818" w:rsidRPr="00893C38" w:rsidRDefault="00184818" w:rsidP="00893C38">
            <w:pPr>
              <w:ind w:left="170"/>
              <w:rPr>
                <w:sz w:val="20"/>
              </w:rPr>
            </w:pPr>
            <w:r w:rsidRPr="00BE6C6D">
              <w:rPr>
                <w:sz w:val="20"/>
              </w:rPr>
              <w:t>Regional and Global</w:t>
            </w:r>
          </w:p>
        </w:tc>
        <w:tc>
          <w:tcPr>
            <w:tcW w:w="1423" w:type="dxa"/>
          </w:tcPr>
          <w:p w14:paraId="1C272AB3" w14:textId="77777777" w:rsidR="00184818" w:rsidRPr="002B2930" w:rsidRDefault="002B2930" w:rsidP="002B2930">
            <w:pPr>
              <w:jc w:val="center"/>
              <w:rPr>
                <w:sz w:val="24"/>
              </w:rPr>
            </w:pPr>
            <w:r w:rsidRPr="002B2930">
              <w:rPr>
                <w:sz w:val="24"/>
              </w:rPr>
              <w:t>24.6</w:t>
            </w:r>
          </w:p>
        </w:tc>
        <w:tc>
          <w:tcPr>
            <w:tcW w:w="1842" w:type="dxa"/>
          </w:tcPr>
          <w:p w14:paraId="259DE248" w14:textId="77777777" w:rsidR="00184818" w:rsidRPr="002B2930" w:rsidRDefault="002B2930" w:rsidP="003A3C85">
            <w:pPr>
              <w:jc w:val="center"/>
              <w:rPr>
                <w:sz w:val="24"/>
              </w:rPr>
            </w:pPr>
            <w:r w:rsidRPr="002B2930">
              <w:rPr>
                <w:sz w:val="24"/>
              </w:rPr>
              <w:t>15%</w:t>
            </w:r>
          </w:p>
        </w:tc>
      </w:tr>
      <w:tr w:rsidR="00135E92" w14:paraId="61C5383F" w14:textId="77777777" w:rsidTr="00F77ECA">
        <w:tc>
          <w:tcPr>
            <w:tcW w:w="6374" w:type="dxa"/>
          </w:tcPr>
          <w:p w14:paraId="279B818D" w14:textId="497D0894" w:rsidR="00135E92" w:rsidRPr="00BE6C6D" w:rsidRDefault="00350612" w:rsidP="00893C38">
            <w:pPr>
              <w:ind w:left="170"/>
              <w:rPr>
                <w:sz w:val="20"/>
              </w:rPr>
            </w:pPr>
            <w:r>
              <w:rPr>
                <w:sz w:val="20"/>
              </w:rPr>
              <w:t>AFP</w:t>
            </w:r>
            <w:r w:rsidR="00135E92">
              <w:rPr>
                <w:sz w:val="20"/>
              </w:rPr>
              <w:t xml:space="preserve"> (Objective 1: Supporting Stability)</w:t>
            </w:r>
          </w:p>
        </w:tc>
        <w:tc>
          <w:tcPr>
            <w:tcW w:w="1423" w:type="dxa"/>
          </w:tcPr>
          <w:p w14:paraId="13C5B3E0" w14:textId="77777777" w:rsidR="00135E92" w:rsidRPr="002B2930" w:rsidRDefault="00135E92" w:rsidP="002B2930">
            <w:pPr>
              <w:jc w:val="center"/>
              <w:rPr>
                <w:sz w:val="24"/>
              </w:rPr>
            </w:pPr>
            <w:r>
              <w:rPr>
                <w:sz w:val="24"/>
              </w:rPr>
              <w:t>44.4</w:t>
            </w:r>
          </w:p>
        </w:tc>
        <w:tc>
          <w:tcPr>
            <w:tcW w:w="1842" w:type="dxa"/>
          </w:tcPr>
          <w:p w14:paraId="22924DF3" w14:textId="77777777" w:rsidR="00135E92" w:rsidRPr="002B2930" w:rsidRDefault="00135E92" w:rsidP="003A3C85">
            <w:pPr>
              <w:jc w:val="center"/>
              <w:rPr>
                <w:sz w:val="24"/>
              </w:rPr>
            </w:pPr>
            <w:r>
              <w:rPr>
                <w:sz w:val="24"/>
              </w:rPr>
              <w:t>27%</w:t>
            </w:r>
          </w:p>
        </w:tc>
      </w:tr>
      <w:tr w:rsidR="00184818" w14:paraId="21DB9735" w14:textId="77777777" w:rsidTr="00F77ECA">
        <w:tc>
          <w:tcPr>
            <w:tcW w:w="6374" w:type="dxa"/>
          </w:tcPr>
          <w:p w14:paraId="660BA1F9" w14:textId="77777777" w:rsidR="00184818" w:rsidRPr="00893C38" w:rsidRDefault="00184818" w:rsidP="00893C38">
            <w:pPr>
              <w:ind w:left="170"/>
              <w:rPr>
                <w:sz w:val="20"/>
              </w:rPr>
            </w:pPr>
            <w:r w:rsidRPr="00BE6C6D">
              <w:rPr>
                <w:sz w:val="20"/>
              </w:rPr>
              <w:t>Other Government Departments</w:t>
            </w:r>
          </w:p>
        </w:tc>
        <w:tc>
          <w:tcPr>
            <w:tcW w:w="1423" w:type="dxa"/>
          </w:tcPr>
          <w:p w14:paraId="6751CC89" w14:textId="77777777" w:rsidR="00184818" w:rsidRPr="002B2930" w:rsidRDefault="00135E92" w:rsidP="002B2930">
            <w:pPr>
              <w:jc w:val="center"/>
              <w:rPr>
                <w:sz w:val="24"/>
              </w:rPr>
            </w:pPr>
            <w:r>
              <w:rPr>
                <w:sz w:val="24"/>
              </w:rPr>
              <w:t>2.0</w:t>
            </w:r>
          </w:p>
        </w:tc>
        <w:tc>
          <w:tcPr>
            <w:tcW w:w="1842" w:type="dxa"/>
          </w:tcPr>
          <w:p w14:paraId="48208002" w14:textId="77777777" w:rsidR="00184818" w:rsidRPr="002B2930" w:rsidRDefault="00135E92" w:rsidP="003A3C85">
            <w:pPr>
              <w:jc w:val="center"/>
              <w:rPr>
                <w:sz w:val="24"/>
              </w:rPr>
            </w:pPr>
            <w:r>
              <w:rPr>
                <w:sz w:val="24"/>
              </w:rPr>
              <w:t>1</w:t>
            </w:r>
            <w:r w:rsidR="002B2930" w:rsidRPr="002B2930">
              <w:rPr>
                <w:sz w:val="24"/>
              </w:rPr>
              <w:t>%</w:t>
            </w:r>
          </w:p>
        </w:tc>
      </w:tr>
      <w:tr w:rsidR="00184818" w14:paraId="087F39D3" w14:textId="77777777" w:rsidTr="00F77ECA">
        <w:tc>
          <w:tcPr>
            <w:tcW w:w="6374" w:type="dxa"/>
          </w:tcPr>
          <w:p w14:paraId="004494DD" w14:textId="77777777" w:rsidR="00184818" w:rsidRPr="002B2930" w:rsidRDefault="00184818" w:rsidP="002A51CA">
            <w:pPr>
              <w:rPr>
                <w:b/>
                <w:sz w:val="24"/>
              </w:rPr>
            </w:pPr>
            <w:r w:rsidRPr="002B2930">
              <w:rPr>
                <w:b/>
                <w:sz w:val="20"/>
              </w:rPr>
              <w:t>Total ODA Expenditure</w:t>
            </w:r>
          </w:p>
        </w:tc>
        <w:tc>
          <w:tcPr>
            <w:tcW w:w="1423" w:type="dxa"/>
          </w:tcPr>
          <w:p w14:paraId="620F9622" w14:textId="77777777" w:rsidR="00184818" w:rsidRDefault="008F2B44" w:rsidP="008F2B44">
            <w:pPr>
              <w:jc w:val="center"/>
              <w:rPr>
                <w:b/>
                <w:sz w:val="24"/>
              </w:rPr>
            </w:pPr>
            <w:r>
              <w:rPr>
                <w:b/>
                <w:sz w:val="24"/>
              </w:rPr>
              <w:t>164.1</w:t>
            </w:r>
          </w:p>
        </w:tc>
        <w:tc>
          <w:tcPr>
            <w:tcW w:w="1842" w:type="dxa"/>
          </w:tcPr>
          <w:p w14:paraId="0AFF8ADF" w14:textId="77777777" w:rsidR="00184818" w:rsidRDefault="002B2930" w:rsidP="003A3C85">
            <w:pPr>
              <w:jc w:val="center"/>
              <w:rPr>
                <w:b/>
                <w:sz w:val="24"/>
              </w:rPr>
            </w:pPr>
            <w:r>
              <w:rPr>
                <w:b/>
                <w:sz w:val="24"/>
              </w:rPr>
              <w:t>100%</w:t>
            </w:r>
          </w:p>
        </w:tc>
      </w:tr>
    </w:tbl>
    <w:p w14:paraId="13D9F898" w14:textId="40DE8E26" w:rsidR="00DA040F" w:rsidRPr="00F0432C" w:rsidRDefault="00F0432C" w:rsidP="00DA040F">
      <w:pPr>
        <w:rPr>
          <w:b/>
          <w:sz w:val="24"/>
        </w:rPr>
      </w:pPr>
      <w:r>
        <w:t>In 2016-17, Australia provided $164.1</w:t>
      </w:r>
      <w:r w:rsidR="00EC481D">
        <w:t xml:space="preserve"> million</w:t>
      </w:r>
      <w:r>
        <w:t xml:space="preserve"> in ODA to Solomon Islands</w:t>
      </w:r>
      <w:r w:rsidR="003A3C85">
        <w:t xml:space="preserve">.  </w:t>
      </w:r>
      <w:r>
        <w:t xml:space="preserve">Over the </w:t>
      </w:r>
      <w:r w:rsidR="007C2597">
        <w:t>past</w:t>
      </w:r>
      <w:r>
        <w:t xml:space="preserve"> four years, the bilateral program has been stable at around $92</w:t>
      </w:r>
      <w:r w:rsidR="00EC481D">
        <w:t xml:space="preserve"> million</w:t>
      </w:r>
      <w:r>
        <w:t>, with future budget allocations expected at similar levels</w:t>
      </w:r>
      <w:r w:rsidR="003A3C85">
        <w:t xml:space="preserve">.  </w:t>
      </w:r>
      <w:r>
        <w:t>More than a quarter of total expenditure was by other government departments, primarily through the AFP</w:t>
      </w:r>
      <w:r w:rsidR="003A3C85">
        <w:t xml:space="preserve">.  </w:t>
      </w:r>
      <w:r w:rsidR="00AE1F4D">
        <w:t xml:space="preserve">As foreshadowed in the </w:t>
      </w:r>
      <w:r w:rsidR="00813824">
        <w:t xml:space="preserve">AIP </w:t>
      </w:r>
      <w:r w:rsidR="00EB77B8">
        <w:t xml:space="preserve">(see </w:t>
      </w:r>
      <w:r w:rsidR="00813824">
        <w:t>C</w:t>
      </w:r>
      <w:r w:rsidR="00AE1F4D">
        <w:t>hart 1</w:t>
      </w:r>
      <w:r w:rsidR="00EB77B8">
        <w:t>)</w:t>
      </w:r>
      <w:r w:rsidR="00AE1F4D">
        <w:t xml:space="preserve">, the relative weight of </w:t>
      </w:r>
      <w:r w:rsidR="00AE1F4D" w:rsidRPr="007C5B43">
        <w:rPr>
          <w:b/>
        </w:rPr>
        <w:t xml:space="preserve">bilateral expenditure continued </w:t>
      </w:r>
      <w:r w:rsidR="00E025F8" w:rsidRPr="007C5B43">
        <w:rPr>
          <w:b/>
        </w:rPr>
        <w:t>t</w:t>
      </w:r>
      <w:r w:rsidR="00EB77B8" w:rsidRPr="007C5B43">
        <w:rPr>
          <w:b/>
        </w:rPr>
        <w:t>o</w:t>
      </w:r>
      <w:r w:rsidR="00AE1F4D" w:rsidRPr="007C5B43">
        <w:rPr>
          <w:b/>
        </w:rPr>
        <w:t xml:space="preserve"> shift towards enabling economic growth</w:t>
      </w:r>
      <w:r w:rsidR="003A3C85">
        <w:t xml:space="preserve">.  </w:t>
      </w:r>
      <w:r w:rsidR="00AE1F4D">
        <w:t>In 2016-17, 3</w:t>
      </w:r>
      <w:r w:rsidR="00A70D3E">
        <w:t>7</w:t>
      </w:r>
      <w:r w:rsidR="00AE1F4D">
        <w:t xml:space="preserve"> per cent of bilateral ODA was expended on activities that enable</w:t>
      </w:r>
      <w:r w:rsidR="00EB77B8">
        <w:t>d</w:t>
      </w:r>
      <w:r w:rsidR="00AE1F4D">
        <w:t xml:space="preserve"> economic growth</w:t>
      </w:r>
      <w:r w:rsidR="00EB77B8">
        <w:t>, up from</w:t>
      </w:r>
      <w:r w:rsidR="00AE1F4D">
        <w:t xml:space="preserve"> 3</w:t>
      </w:r>
      <w:r w:rsidR="00A70D3E">
        <w:t>1</w:t>
      </w:r>
      <w:r w:rsidR="00AE1F4D">
        <w:t xml:space="preserve"> per cent in 2015-16</w:t>
      </w:r>
      <w:r w:rsidR="003A3C85">
        <w:t xml:space="preserve">.  </w:t>
      </w:r>
      <w:r w:rsidR="00E025F8">
        <w:t>The proportion of</w:t>
      </w:r>
      <w:r w:rsidR="000F7BC7">
        <w:t xml:space="preserve"> bilateral</w:t>
      </w:r>
      <w:r w:rsidR="00E025F8">
        <w:t xml:space="preserve"> expenditure on supporting stability reduced from 28 to 22 per cent as part of the ongoing gradual and careful shi</w:t>
      </w:r>
      <w:r w:rsidR="00EC7E82">
        <w:t>f</w:t>
      </w:r>
      <w:r w:rsidR="00E025F8">
        <w:t>t out of aid investments that underpin stability and prevent wealth destruction.</w:t>
      </w:r>
    </w:p>
    <w:p w14:paraId="2C22A7C0" w14:textId="50CC4FE2" w:rsidR="00653999" w:rsidRDefault="000F7BC7" w:rsidP="00DA040F">
      <w:pPr>
        <w:rPr>
          <w:color w:val="auto"/>
          <w:sz w:val="18"/>
        </w:rPr>
      </w:pPr>
      <w:r>
        <w:rPr>
          <w:noProof/>
          <w:lang w:val="en-AU" w:eastAsia="en-AU"/>
        </w:rPr>
        <w:drawing>
          <wp:inline distT="0" distB="0" distL="0" distR="0" wp14:anchorId="31313787" wp14:editId="544AB345">
            <wp:extent cx="6120130" cy="401828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4018280"/>
                    </a:xfrm>
                    <a:prstGeom prst="rect">
                      <a:avLst/>
                    </a:prstGeom>
                  </pic:spPr>
                </pic:pic>
              </a:graphicData>
            </a:graphic>
          </wp:inline>
        </w:drawing>
      </w:r>
    </w:p>
    <w:p w14:paraId="488A43FF" w14:textId="77777777" w:rsidR="00B5776B" w:rsidRDefault="00B5776B" w:rsidP="00DA040F">
      <w:pPr>
        <w:rPr>
          <w:color w:val="auto"/>
          <w:sz w:val="18"/>
        </w:rPr>
      </w:pPr>
    </w:p>
    <w:p w14:paraId="7B5F5FE8" w14:textId="49739EF3"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008601E4">
        <w:rPr>
          <w:rFonts w:asciiTheme="majorHAnsi" w:eastAsiaTheme="majorEastAsia" w:hAnsiTheme="majorHAnsi" w:cstheme="majorBidi"/>
          <w:caps/>
          <w:color w:val="495965" w:themeColor="text2"/>
          <w:sz w:val="38"/>
          <w:szCs w:val="26"/>
          <w:lang w:val="en-GB" w:eastAsia="en-US"/>
        </w:rPr>
        <w:t>Objectives</w:t>
      </w:r>
    </w:p>
    <w:p w14:paraId="14EF320F" w14:textId="5754E0A7" w:rsidR="002A51CA" w:rsidRPr="00C61187" w:rsidRDefault="000C74E1" w:rsidP="00E44C21">
      <w:pPr>
        <w:rPr>
          <w:rFonts w:ascii="Franklin Gothic Book" w:eastAsia="Times New Roman" w:hAnsi="Franklin Gothic Book" w:cs="Arial"/>
          <w:b/>
          <w:szCs w:val="19"/>
        </w:rPr>
      </w:pPr>
      <w:r>
        <w:t>Australia’s performance against the four AIP objectives is measured using the Solomon Islands Performance Assessment Framework (PAF) detailed in Annex E</w:t>
      </w:r>
      <w:r w:rsidR="003A3C85">
        <w:t xml:space="preserve">.  </w:t>
      </w:r>
      <w:r w:rsidR="00E44C21">
        <w:t xml:space="preserve">In 2016-17, Australia progressed </w:t>
      </w:r>
      <w:r w:rsidR="00813824">
        <w:t xml:space="preserve">as expected </w:t>
      </w:r>
      <w:r w:rsidR="00E44C21">
        <w:t>towards achieving three of the four objectives of the AIP as shown in Table 2</w:t>
      </w:r>
      <w:r w:rsidR="003A3C85">
        <w:t xml:space="preserve">.  </w:t>
      </w:r>
      <w:r w:rsidR="00E44C21">
        <w:t xml:space="preserve">Progress was less than expected for Australia’s objective to enable more men and women to earn a cash-based income and consequently the objective </w:t>
      </w:r>
      <w:r w:rsidR="00BC212D">
        <w:t>wa</w:t>
      </w:r>
      <w:r w:rsidR="00E44C21">
        <w:t>s rated amber</w:t>
      </w:r>
      <w:r w:rsidR="003A3C85">
        <w:t>.</w:t>
      </w:r>
    </w:p>
    <w:p w14:paraId="376016C8" w14:textId="2E2A21E6"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4B7DEA">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5000" w:type="pct"/>
        <w:tblLook w:val="0000" w:firstRow="0" w:lastRow="0" w:firstColumn="0" w:lastColumn="0" w:noHBand="0" w:noVBand="0"/>
      </w:tblPr>
      <w:tblGrid>
        <w:gridCol w:w="6960"/>
        <w:gridCol w:w="1362"/>
        <w:gridCol w:w="1316"/>
      </w:tblGrid>
      <w:tr w:rsidR="00DA040F" w:rsidRPr="00C61187" w14:paraId="2E0D2ACD" w14:textId="77777777" w:rsidTr="003446ED">
        <w:trPr>
          <w:cnfStyle w:val="000000010000" w:firstRow="0" w:lastRow="0" w:firstColumn="0" w:lastColumn="0" w:oddVBand="0" w:evenVBand="0" w:oddHBand="0" w:evenHBand="1" w:firstRowFirstColumn="0" w:firstRowLastColumn="0" w:lastRowFirstColumn="0" w:lastRowLastColumn="0"/>
          <w:trHeight w:val="436"/>
        </w:trPr>
        <w:tc>
          <w:tcPr>
            <w:tcW w:w="6927" w:type="dxa"/>
          </w:tcPr>
          <w:p w14:paraId="7C56CC5F" w14:textId="77777777" w:rsidR="00DA040F" w:rsidRPr="003446ED" w:rsidRDefault="00DA040F" w:rsidP="003446ED">
            <w:pPr>
              <w:pStyle w:val="NormalIndented"/>
              <w:spacing w:before="0" w:after="0"/>
              <w:rPr>
                <w:sz w:val="16"/>
                <w:szCs w:val="16"/>
                <w:lang w:eastAsia="en-US"/>
              </w:rPr>
            </w:pPr>
            <w:r w:rsidRPr="003446ED">
              <w:rPr>
                <w:noProof/>
                <w:sz w:val="16"/>
                <w:szCs w:val="16"/>
                <w:lang w:val="en-AU"/>
              </w:rPr>
              <w:drawing>
                <wp:anchor distT="0" distB="0" distL="114300" distR="114300" simplePos="0" relativeHeight="251685888" behindDoc="0" locked="0" layoutInCell="1" allowOverlap="1" wp14:anchorId="402E4442" wp14:editId="49FD6142">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6ED">
              <w:rPr>
                <w:sz w:val="16"/>
                <w:szCs w:val="16"/>
                <w:lang w:eastAsia="en-US"/>
              </w:rPr>
              <w:t>Objective</w:t>
            </w:r>
          </w:p>
        </w:tc>
        <w:tc>
          <w:tcPr>
            <w:tcW w:w="1334" w:type="dxa"/>
          </w:tcPr>
          <w:p w14:paraId="28EB50EC" w14:textId="77777777" w:rsidR="00DA040F" w:rsidRPr="003446ED" w:rsidRDefault="00DA040F" w:rsidP="003446ED">
            <w:pPr>
              <w:pStyle w:val="NormalIndented"/>
              <w:spacing w:before="0" w:after="0"/>
              <w:ind w:left="0"/>
              <w:rPr>
                <w:sz w:val="16"/>
                <w:szCs w:val="16"/>
                <w:lang w:eastAsia="en-US"/>
              </w:rPr>
            </w:pPr>
            <w:r w:rsidRPr="003446ED">
              <w:rPr>
                <w:sz w:val="16"/>
                <w:szCs w:val="16"/>
                <w:lang w:eastAsia="en-US"/>
              </w:rPr>
              <w:t>Previous Rating</w:t>
            </w:r>
          </w:p>
        </w:tc>
        <w:tc>
          <w:tcPr>
            <w:tcW w:w="1274" w:type="dxa"/>
          </w:tcPr>
          <w:p w14:paraId="668C43AD" w14:textId="77777777" w:rsidR="00DA040F" w:rsidRPr="003446ED" w:rsidRDefault="00DA040F" w:rsidP="003446ED">
            <w:pPr>
              <w:pStyle w:val="NormalIndented"/>
              <w:spacing w:before="0" w:after="0"/>
              <w:ind w:left="0"/>
              <w:rPr>
                <w:sz w:val="16"/>
                <w:szCs w:val="16"/>
                <w:lang w:eastAsia="en-US"/>
              </w:rPr>
            </w:pPr>
            <w:r w:rsidRPr="003446ED">
              <w:rPr>
                <w:sz w:val="16"/>
                <w:szCs w:val="16"/>
                <w:lang w:eastAsia="en-US"/>
              </w:rPr>
              <w:t>Current Rating</w:t>
            </w:r>
          </w:p>
        </w:tc>
      </w:tr>
      <w:tr w:rsidR="00146A3E" w:rsidRPr="00C61187" w14:paraId="7CD56DB7" w14:textId="77777777" w:rsidTr="003446ED">
        <w:trPr>
          <w:cnfStyle w:val="000000010000" w:firstRow="0" w:lastRow="0" w:firstColumn="0" w:lastColumn="0" w:oddVBand="0" w:evenVBand="0" w:oddHBand="0" w:evenHBand="1" w:firstRowFirstColumn="0" w:firstRowLastColumn="0" w:lastRowFirstColumn="0" w:lastRowLastColumn="0"/>
          <w:trHeight w:val="827"/>
        </w:trPr>
        <w:tc>
          <w:tcPr>
            <w:tcW w:w="69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2FC3FA" w14:textId="77777777" w:rsidR="00146A3E" w:rsidRDefault="00146A3E" w:rsidP="003446ED">
            <w:pPr>
              <w:pStyle w:val="NormalIndented"/>
              <w:spacing w:before="0" w:after="0"/>
              <w:rPr>
                <w:b/>
                <w:sz w:val="16"/>
                <w:lang w:eastAsia="en-US"/>
              </w:rPr>
            </w:pPr>
            <w:r w:rsidRPr="003D5F1B">
              <w:rPr>
                <w:b/>
                <w:sz w:val="16"/>
                <w:lang w:eastAsia="en-US"/>
              </w:rPr>
              <w:t>Objective 1: Supporting stability</w:t>
            </w:r>
          </w:p>
          <w:p w14:paraId="257E2EEE" w14:textId="77777777" w:rsidR="00146A3E" w:rsidRPr="00364935" w:rsidRDefault="00146A3E" w:rsidP="003446ED">
            <w:pPr>
              <w:pStyle w:val="NormalIndented"/>
              <w:spacing w:before="0" w:after="0"/>
              <w:rPr>
                <w:b/>
                <w:sz w:val="16"/>
                <w:lang w:eastAsia="en-US"/>
              </w:rPr>
            </w:pPr>
            <w:r w:rsidRPr="003D5F1B">
              <w:rPr>
                <w:sz w:val="16"/>
                <w:lang w:eastAsia="en-US"/>
              </w:rPr>
              <w:t>Solomon Islanders increasingly recognise and participate in a legitimate state, free from co</w:t>
            </w:r>
            <w:r>
              <w:rPr>
                <w:sz w:val="16"/>
                <w:lang w:eastAsia="en-US"/>
              </w:rPr>
              <w:t>nflict and economically stable</w:t>
            </w:r>
          </w:p>
        </w:tc>
        <w:tc>
          <w:tcPr>
            <w:tcW w:w="1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noWrap/>
          </w:tcPr>
          <w:p w14:paraId="74DB2385" w14:textId="77777777" w:rsidR="00146A3E" w:rsidRPr="00BE6C6D" w:rsidRDefault="00146A3E" w:rsidP="003446ED">
            <w:pPr>
              <w:pStyle w:val="NormalIndented"/>
              <w:spacing w:before="0" w:after="0"/>
              <w:rPr>
                <w:color w:val="FFFFFF" w:themeColor="background1"/>
                <w:sz w:val="16"/>
                <w:lang w:eastAsia="en-US"/>
              </w:rPr>
            </w:pPr>
            <w:r w:rsidRPr="00BE6C6D">
              <w:rPr>
                <w:color w:val="FFFFFF" w:themeColor="background1"/>
                <w:sz w:val="16"/>
                <w:lang w:eastAsia="en-US"/>
              </w:rPr>
              <w:t>Green</w:t>
            </w:r>
          </w:p>
        </w:tc>
        <w:tc>
          <w:tcPr>
            <w:tcW w:w="127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noWrap/>
          </w:tcPr>
          <w:p w14:paraId="15EE94F6" w14:textId="77777777" w:rsidR="00146A3E" w:rsidRPr="00BE6C6D" w:rsidRDefault="00146A3E" w:rsidP="003446ED">
            <w:pPr>
              <w:pStyle w:val="NormalIndented"/>
              <w:spacing w:before="0" w:after="0"/>
              <w:rPr>
                <w:color w:val="FFFFFF" w:themeColor="background1"/>
                <w:sz w:val="16"/>
                <w:lang w:eastAsia="en-US"/>
              </w:rPr>
            </w:pPr>
            <w:r w:rsidRPr="00BE6C6D">
              <w:rPr>
                <w:color w:val="FFFFFF" w:themeColor="background1"/>
                <w:sz w:val="16"/>
                <w:lang w:eastAsia="en-US"/>
              </w:rPr>
              <w:t>Green</w:t>
            </w:r>
          </w:p>
        </w:tc>
      </w:tr>
      <w:tr w:rsidR="00146A3E" w:rsidRPr="00C61187" w14:paraId="07318652" w14:textId="77777777" w:rsidTr="003446ED">
        <w:trPr>
          <w:cnfStyle w:val="000000010000" w:firstRow="0" w:lastRow="0" w:firstColumn="0" w:lastColumn="0" w:oddVBand="0" w:evenVBand="0" w:oddHBand="0" w:evenHBand="1" w:firstRowFirstColumn="0" w:firstRowLastColumn="0" w:lastRowFirstColumn="0" w:lastRowLastColumn="0"/>
          <w:trHeight w:val="527"/>
        </w:trPr>
        <w:tc>
          <w:tcPr>
            <w:tcW w:w="6927" w:type="dxa"/>
          </w:tcPr>
          <w:p w14:paraId="22DF0935" w14:textId="77777777" w:rsidR="00146A3E" w:rsidRDefault="00146A3E" w:rsidP="003446ED">
            <w:pPr>
              <w:pStyle w:val="NormalIndented"/>
              <w:spacing w:before="0" w:after="0"/>
              <w:rPr>
                <w:sz w:val="16"/>
                <w:lang w:eastAsia="en-US"/>
              </w:rPr>
            </w:pPr>
            <w:r w:rsidRPr="003D5F1B">
              <w:rPr>
                <w:b/>
                <w:sz w:val="16"/>
                <w:lang w:eastAsia="en-US"/>
              </w:rPr>
              <w:t>Objective 2.A</w:t>
            </w:r>
            <w:r>
              <w:rPr>
                <w:b/>
                <w:sz w:val="16"/>
                <w:lang w:eastAsia="en-US"/>
              </w:rPr>
              <w:t>:</w:t>
            </w:r>
            <w:r w:rsidRPr="003D5F1B">
              <w:rPr>
                <w:b/>
                <w:sz w:val="16"/>
                <w:lang w:eastAsia="en-US"/>
              </w:rPr>
              <w:t xml:space="preserve"> Enabling econom</w:t>
            </w:r>
            <w:r>
              <w:rPr>
                <w:b/>
                <w:sz w:val="16"/>
                <w:lang w:eastAsia="en-US"/>
              </w:rPr>
              <w:t>ic growth</w:t>
            </w:r>
            <w:r>
              <w:rPr>
                <w:sz w:val="16"/>
                <w:lang w:eastAsia="en-US"/>
              </w:rPr>
              <w:t xml:space="preserve"> </w:t>
            </w:r>
          </w:p>
          <w:p w14:paraId="6170F651" w14:textId="77777777" w:rsidR="00146A3E" w:rsidRPr="00BE6C6D" w:rsidRDefault="00146A3E" w:rsidP="003446ED">
            <w:pPr>
              <w:pStyle w:val="NormalIndented"/>
              <w:spacing w:before="0" w:after="0"/>
              <w:rPr>
                <w:sz w:val="16"/>
                <w:lang w:eastAsia="en-US"/>
              </w:rPr>
            </w:pPr>
            <w:r>
              <w:rPr>
                <w:sz w:val="16"/>
                <w:lang w:eastAsia="en-US"/>
              </w:rPr>
              <w:t>Solomon Islands’ economic operating environment is more attract</w:t>
            </w:r>
            <w:r w:rsidR="00E413E1">
              <w:rPr>
                <w:sz w:val="16"/>
                <w:lang w:eastAsia="en-US"/>
              </w:rPr>
              <w:t>ive</w:t>
            </w:r>
            <w:r>
              <w:rPr>
                <w:sz w:val="16"/>
                <w:lang w:eastAsia="en-US"/>
              </w:rPr>
              <w:t xml:space="preserve"> to business</w:t>
            </w:r>
          </w:p>
        </w:tc>
        <w:tc>
          <w:tcPr>
            <w:tcW w:w="1334" w:type="dxa"/>
            <w:shd w:val="clear" w:color="auto" w:fill="92D050"/>
            <w:noWrap/>
          </w:tcPr>
          <w:p w14:paraId="45A666E1" w14:textId="77777777" w:rsidR="00146A3E" w:rsidRPr="00BE6C6D" w:rsidRDefault="00146A3E" w:rsidP="003446ED">
            <w:pPr>
              <w:pStyle w:val="NormalIndented"/>
              <w:spacing w:before="0" w:after="0"/>
              <w:rPr>
                <w:color w:val="FFFFFF" w:themeColor="background1"/>
                <w:sz w:val="16"/>
                <w:lang w:eastAsia="en-US"/>
              </w:rPr>
            </w:pPr>
            <w:r w:rsidRPr="00BE6C6D">
              <w:rPr>
                <w:color w:val="FFFFFF" w:themeColor="background1"/>
                <w:sz w:val="16"/>
                <w:lang w:eastAsia="en-US"/>
              </w:rPr>
              <w:t>Green</w:t>
            </w:r>
          </w:p>
        </w:tc>
        <w:tc>
          <w:tcPr>
            <w:tcW w:w="1274" w:type="dxa"/>
            <w:shd w:val="clear" w:color="auto" w:fill="92D050"/>
            <w:noWrap/>
          </w:tcPr>
          <w:p w14:paraId="1BC59D55" w14:textId="77777777" w:rsidR="00146A3E" w:rsidRPr="00BE6C6D" w:rsidRDefault="00146A3E" w:rsidP="003446ED">
            <w:pPr>
              <w:pStyle w:val="NormalIndented"/>
              <w:spacing w:before="0" w:after="0"/>
              <w:rPr>
                <w:color w:val="FFFFFF" w:themeColor="background1"/>
                <w:sz w:val="16"/>
                <w:lang w:eastAsia="en-US"/>
              </w:rPr>
            </w:pPr>
            <w:r w:rsidRPr="00BE6C6D">
              <w:rPr>
                <w:color w:val="FFFFFF" w:themeColor="background1"/>
                <w:sz w:val="16"/>
                <w:lang w:eastAsia="en-US"/>
              </w:rPr>
              <w:t>Green</w:t>
            </w:r>
          </w:p>
        </w:tc>
      </w:tr>
      <w:tr w:rsidR="00146A3E" w:rsidRPr="00C61187" w14:paraId="5F3D5910" w14:textId="77777777" w:rsidTr="003446ED">
        <w:trPr>
          <w:cnfStyle w:val="000000010000" w:firstRow="0" w:lastRow="0" w:firstColumn="0" w:lastColumn="0" w:oddVBand="0" w:evenVBand="0" w:oddHBand="0" w:evenHBand="1" w:firstRowFirstColumn="0" w:firstRowLastColumn="0" w:lastRowFirstColumn="0" w:lastRowLastColumn="0"/>
          <w:trHeight w:val="549"/>
        </w:trPr>
        <w:tc>
          <w:tcPr>
            <w:tcW w:w="6927" w:type="dxa"/>
          </w:tcPr>
          <w:p w14:paraId="11FAB35C" w14:textId="77777777" w:rsidR="00146A3E" w:rsidRDefault="00146A3E" w:rsidP="003446ED">
            <w:pPr>
              <w:pStyle w:val="NormalIndented"/>
              <w:spacing w:before="0" w:after="0"/>
              <w:rPr>
                <w:b/>
                <w:sz w:val="16"/>
                <w:lang w:eastAsia="en-US"/>
              </w:rPr>
            </w:pPr>
            <w:r w:rsidRPr="003D5F1B">
              <w:rPr>
                <w:b/>
                <w:sz w:val="16"/>
                <w:lang w:eastAsia="en-US"/>
              </w:rPr>
              <w:t>Objective 2</w:t>
            </w:r>
            <w:r>
              <w:rPr>
                <w:b/>
                <w:sz w:val="16"/>
                <w:lang w:eastAsia="en-US"/>
              </w:rPr>
              <w:t>.B:</w:t>
            </w:r>
            <w:r w:rsidRPr="003D5F1B">
              <w:rPr>
                <w:b/>
                <w:sz w:val="16"/>
                <w:lang w:eastAsia="en-US"/>
              </w:rPr>
              <w:t xml:space="preserve"> Enabling econom</w:t>
            </w:r>
            <w:r>
              <w:rPr>
                <w:b/>
                <w:sz w:val="16"/>
                <w:lang w:eastAsia="en-US"/>
              </w:rPr>
              <w:t>ic growth</w:t>
            </w:r>
          </w:p>
          <w:p w14:paraId="59BF9368" w14:textId="77777777" w:rsidR="00146A3E" w:rsidRPr="003D5F1B" w:rsidRDefault="00146A3E" w:rsidP="003446ED">
            <w:pPr>
              <w:pStyle w:val="NormalIndented"/>
              <w:spacing w:before="0" w:after="0"/>
              <w:rPr>
                <w:sz w:val="16"/>
                <w:lang w:eastAsia="en-US"/>
              </w:rPr>
            </w:pPr>
            <w:r>
              <w:rPr>
                <w:sz w:val="16"/>
                <w:lang w:eastAsia="en-US"/>
              </w:rPr>
              <w:t>More men and women are able to earn a cash-based income</w:t>
            </w:r>
          </w:p>
        </w:tc>
        <w:tc>
          <w:tcPr>
            <w:tcW w:w="1334" w:type="dxa"/>
            <w:shd w:val="clear" w:color="auto" w:fill="EA8F16"/>
            <w:noWrap/>
          </w:tcPr>
          <w:p w14:paraId="2586E575" w14:textId="77777777" w:rsidR="00146A3E" w:rsidRPr="00BE6C6D" w:rsidRDefault="00146A3E" w:rsidP="003446ED">
            <w:pPr>
              <w:pStyle w:val="NormalIndented"/>
              <w:spacing w:before="0" w:after="0"/>
              <w:rPr>
                <w:color w:val="FFFFFF" w:themeColor="background1"/>
                <w:sz w:val="16"/>
                <w:lang w:eastAsia="en-US"/>
              </w:rPr>
            </w:pPr>
            <w:r w:rsidRPr="00BE6C6D">
              <w:rPr>
                <w:color w:val="FFFFFF" w:themeColor="background1"/>
                <w:sz w:val="16"/>
                <w:lang w:eastAsia="en-US"/>
              </w:rPr>
              <w:t>Amber</w:t>
            </w:r>
          </w:p>
        </w:tc>
        <w:tc>
          <w:tcPr>
            <w:tcW w:w="1274" w:type="dxa"/>
            <w:shd w:val="clear" w:color="auto" w:fill="EA8F16"/>
            <w:noWrap/>
          </w:tcPr>
          <w:p w14:paraId="431D89D4" w14:textId="77777777" w:rsidR="00146A3E" w:rsidRPr="00BE6C6D" w:rsidRDefault="00146A3E" w:rsidP="003446ED">
            <w:pPr>
              <w:pStyle w:val="NormalIndented"/>
              <w:spacing w:before="0" w:after="0"/>
              <w:rPr>
                <w:color w:val="FFFFFF" w:themeColor="background1"/>
                <w:sz w:val="16"/>
                <w:lang w:eastAsia="en-US"/>
              </w:rPr>
            </w:pPr>
            <w:r w:rsidRPr="00BE6C6D">
              <w:rPr>
                <w:color w:val="FFFFFF" w:themeColor="background1"/>
                <w:sz w:val="16"/>
                <w:lang w:eastAsia="en-US"/>
              </w:rPr>
              <w:t>Amber</w:t>
            </w:r>
          </w:p>
        </w:tc>
      </w:tr>
      <w:tr w:rsidR="00146A3E" w:rsidRPr="00C61187" w14:paraId="5EDA9839" w14:textId="77777777" w:rsidTr="007E28AC">
        <w:trPr>
          <w:cnfStyle w:val="000000010000" w:firstRow="0" w:lastRow="0" w:firstColumn="0" w:lastColumn="0" w:oddVBand="0" w:evenVBand="0" w:oddHBand="0" w:evenHBand="1" w:firstRowFirstColumn="0" w:firstRowLastColumn="0" w:lastRowFirstColumn="0" w:lastRowLastColumn="0"/>
          <w:trHeight w:val="845"/>
        </w:trPr>
        <w:tc>
          <w:tcPr>
            <w:tcW w:w="6927" w:type="dxa"/>
          </w:tcPr>
          <w:p w14:paraId="4F8EACDA" w14:textId="77777777" w:rsidR="00146A3E" w:rsidRDefault="00146A3E" w:rsidP="003446ED">
            <w:pPr>
              <w:pStyle w:val="NormalIndented"/>
              <w:spacing w:before="0" w:after="0"/>
              <w:rPr>
                <w:b/>
                <w:sz w:val="16"/>
                <w:lang w:eastAsia="en-US"/>
              </w:rPr>
            </w:pPr>
            <w:r w:rsidRPr="003D5F1B">
              <w:rPr>
                <w:b/>
                <w:sz w:val="16"/>
                <w:lang w:eastAsia="en-US"/>
              </w:rPr>
              <w:t>Objective 3</w:t>
            </w:r>
            <w:r>
              <w:rPr>
                <w:b/>
                <w:sz w:val="16"/>
                <w:lang w:eastAsia="en-US"/>
              </w:rPr>
              <w:t>: Enhancing human development</w:t>
            </w:r>
          </w:p>
          <w:p w14:paraId="2F8A1292" w14:textId="77777777" w:rsidR="00146A3E" w:rsidRPr="003D5F1B" w:rsidRDefault="00146A3E" w:rsidP="003446ED">
            <w:pPr>
              <w:pStyle w:val="NormalIndented"/>
              <w:spacing w:before="0" w:after="0"/>
              <w:rPr>
                <w:sz w:val="16"/>
                <w:lang w:eastAsia="en-US"/>
              </w:rPr>
            </w:pPr>
            <w:r>
              <w:rPr>
                <w:sz w:val="16"/>
                <w:lang w:eastAsia="en-US"/>
              </w:rPr>
              <w:t>More men, women, girls and boys benefit from quality health and basic and vocational education services</w:t>
            </w:r>
          </w:p>
        </w:tc>
        <w:tc>
          <w:tcPr>
            <w:tcW w:w="1334" w:type="dxa"/>
            <w:shd w:val="clear" w:color="auto" w:fill="92D050"/>
            <w:noWrap/>
          </w:tcPr>
          <w:p w14:paraId="5EF729AD" w14:textId="77777777" w:rsidR="00146A3E" w:rsidRPr="00BE6C6D" w:rsidRDefault="00146A3E" w:rsidP="003446ED">
            <w:pPr>
              <w:pStyle w:val="NormalIndented"/>
              <w:spacing w:before="0" w:after="0"/>
              <w:rPr>
                <w:color w:val="FFFFFF" w:themeColor="background1"/>
                <w:sz w:val="16"/>
                <w:lang w:eastAsia="en-US"/>
              </w:rPr>
            </w:pPr>
            <w:r w:rsidRPr="00BE6C6D">
              <w:rPr>
                <w:color w:val="FFFFFF" w:themeColor="background1"/>
                <w:sz w:val="16"/>
                <w:lang w:eastAsia="en-US"/>
              </w:rPr>
              <w:t>Green</w:t>
            </w:r>
          </w:p>
        </w:tc>
        <w:tc>
          <w:tcPr>
            <w:tcW w:w="1274" w:type="dxa"/>
            <w:shd w:val="clear" w:color="auto" w:fill="92D050"/>
            <w:noWrap/>
          </w:tcPr>
          <w:p w14:paraId="4B06CC5B" w14:textId="77777777" w:rsidR="00146A3E" w:rsidRPr="00BE6C6D" w:rsidRDefault="00146A3E" w:rsidP="003446ED">
            <w:pPr>
              <w:pStyle w:val="NormalIndented"/>
              <w:spacing w:before="0" w:after="0"/>
              <w:rPr>
                <w:color w:val="FFFFFF" w:themeColor="background1"/>
                <w:sz w:val="16"/>
                <w:lang w:eastAsia="en-US"/>
              </w:rPr>
            </w:pPr>
            <w:r w:rsidRPr="00BE6C6D">
              <w:rPr>
                <w:color w:val="FFFFFF" w:themeColor="background1"/>
                <w:sz w:val="16"/>
                <w:lang w:eastAsia="en-US"/>
              </w:rPr>
              <w:t>Green</w:t>
            </w:r>
          </w:p>
        </w:tc>
      </w:tr>
    </w:tbl>
    <w:p w14:paraId="030EA265" w14:textId="5D333FB0" w:rsidR="002A51CA" w:rsidRPr="00BE6C6D" w:rsidRDefault="002A51CA" w:rsidP="00BE6C6D">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003A3C85">
        <w:rPr>
          <w:sz w:val="16"/>
        </w:rPr>
        <w:t xml:space="preserve">.  </w:t>
      </w:r>
      <w:r w:rsidRPr="00BE6C6D">
        <w:rPr>
          <w:sz w:val="16"/>
        </w:rPr>
        <w:t>Progress is as expected at this stage of implementation and it is likely that the objective will be achieved</w:t>
      </w:r>
      <w:r w:rsidR="003A3C85">
        <w:rPr>
          <w:sz w:val="16"/>
        </w:rPr>
        <w:t xml:space="preserve">.  </w:t>
      </w:r>
      <w:r w:rsidRPr="00BE6C6D">
        <w:rPr>
          <w:sz w:val="16"/>
        </w:rPr>
        <w:t>Standard program management practices are sufficient.</w:t>
      </w:r>
    </w:p>
    <w:p w14:paraId="6378AE71" w14:textId="7C0C2249" w:rsidR="002A51CA" w:rsidRPr="00BE6C6D" w:rsidRDefault="002A51CA" w:rsidP="00BE6C6D">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003A3C85">
        <w:rPr>
          <w:sz w:val="16"/>
        </w:rPr>
        <w:t xml:space="preserve">.  </w:t>
      </w:r>
      <w:r w:rsidRPr="00BE6C6D">
        <w:rPr>
          <w:sz w:val="16"/>
        </w:rPr>
        <w:t>Progress is somewhat less than expected at this stage of implementation and restorative action will be necessary if the objective is to be achieved</w:t>
      </w:r>
      <w:r w:rsidR="003A3C85">
        <w:rPr>
          <w:sz w:val="16"/>
        </w:rPr>
        <w:t xml:space="preserve">.  </w:t>
      </w:r>
      <w:r w:rsidRPr="00BE6C6D">
        <w:rPr>
          <w:sz w:val="16"/>
        </w:rPr>
        <w:t>Close performance monitoring is recommended.</w:t>
      </w:r>
    </w:p>
    <w:p w14:paraId="27C91646" w14:textId="1A5A21FD" w:rsidR="00F0432C" w:rsidRDefault="002A51CA" w:rsidP="00F0432C">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003A3C85">
        <w:rPr>
          <w:b/>
          <w:sz w:val="16"/>
        </w:rPr>
        <w:t xml:space="preserve">.  </w:t>
      </w:r>
      <w:r w:rsidRPr="00BE6C6D">
        <w:rPr>
          <w:sz w:val="16"/>
        </w:rPr>
        <w:t>Progress is significantly less than expected at this stage of implementation and the objective is not likely to be met given available resources and priorities</w:t>
      </w:r>
      <w:r w:rsidR="003A3C85">
        <w:rPr>
          <w:sz w:val="16"/>
        </w:rPr>
        <w:t xml:space="preserve">.  </w:t>
      </w:r>
      <w:r w:rsidRPr="00BE6C6D">
        <w:rPr>
          <w:sz w:val="16"/>
        </w:rPr>
        <w:t>Recasting the objective may be required.</w:t>
      </w:r>
    </w:p>
    <w:p w14:paraId="68683127" w14:textId="77777777" w:rsidR="00AF5DEB" w:rsidRPr="00F0432C" w:rsidRDefault="00EB3F29" w:rsidP="00BD607E">
      <w:pPr>
        <w:pStyle w:val="NormalIndented"/>
        <w:spacing w:before="240"/>
        <w:ind w:left="0"/>
        <w:jc w:val="both"/>
        <w:rPr>
          <w:sz w:val="16"/>
        </w:rPr>
      </w:pPr>
      <w:r>
        <w:rPr>
          <w:rFonts w:asciiTheme="majorHAnsi" w:eastAsiaTheme="majorEastAsia" w:hAnsiTheme="majorHAnsi" w:cstheme="majorBidi"/>
          <w:caps/>
          <w:sz w:val="38"/>
          <w:szCs w:val="26"/>
        </w:rPr>
        <w:t>O</w:t>
      </w:r>
      <w:r w:rsidR="002A51CA" w:rsidRPr="002A51CA">
        <w:rPr>
          <w:rFonts w:asciiTheme="majorHAnsi" w:eastAsiaTheme="majorEastAsia" w:hAnsiTheme="majorHAnsi" w:cstheme="majorBidi"/>
          <w:caps/>
          <w:sz w:val="38"/>
          <w:szCs w:val="26"/>
        </w:rPr>
        <w:t>bjective 1</w:t>
      </w:r>
      <w:r w:rsidR="006A40B2">
        <w:rPr>
          <w:rFonts w:asciiTheme="majorHAnsi" w:eastAsiaTheme="majorEastAsia" w:hAnsiTheme="majorHAnsi" w:cstheme="majorBidi"/>
          <w:caps/>
          <w:sz w:val="38"/>
          <w:szCs w:val="26"/>
        </w:rPr>
        <w:t xml:space="preserve">: </w:t>
      </w:r>
      <w:r w:rsidR="006A40B2" w:rsidRPr="006A40B2">
        <w:rPr>
          <w:rFonts w:asciiTheme="majorHAnsi" w:eastAsiaTheme="majorEastAsia" w:hAnsiTheme="majorHAnsi" w:cstheme="majorBidi"/>
          <w:caps/>
          <w:sz w:val="38"/>
          <w:szCs w:val="26"/>
        </w:rPr>
        <w:t>Supporting stability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247"/>
        <w:gridCol w:w="1247"/>
        <w:gridCol w:w="1247"/>
        <w:gridCol w:w="1247"/>
      </w:tblGrid>
      <w:tr w:rsidR="00CA7DD8" w14:paraId="63E20C8A" w14:textId="77777777" w:rsidTr="00166B1E">
        <w:tc>
          <w:tcPr>
            <w:tcW w:w="1925" w:type="dxa"/>
          </w:tcPr>
          <w:p w14:paraId="00328814" w14:textId="77777777" w:rsidR="00CA7DD8" w:rsidRDefault="00CA7DD8" w:rsidP="00CA7DD8">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1888ED2E" wp14:editId="57FFCD22">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9">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247" w:type="dxa"/>
          </w:tcPr>
          <w:p w14:paraId="2D9B11C0" w14:textId="77777777" w:rsidR="00CA7DD8" w:rsidRDefault="00166B1E"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B6D7FE0" wp14:editId="02CF64C8">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47" w:type="dxa"/>
          </w:tcPr>
          <w:p w14:paraId="3104CC38" w14:textId="77777777" w:rsidR="00CA7DD8" w:rsidRDefault="000743D0"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695A0D2B" wp14:editId="3EB81386">
                  <wp:extent cx="608400" cy="61200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247" w:type="dxa"/>
          </w:tcPr>
          <w:p w14:paraId="201B3D90" w14:textId="77777777" w:rsidR="00CA7DD8" w:rsidRDefault="00CA7DD8"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c>
          <w:tcPr>
            <w:tcW w:w="1247" w:type="dxa"/>
          </w:tcPr>
          <w:p w14:paraId="50158026" w14:textId="77777777" w:rsidR="00CA7DD8" w:rsidRDefault="00CA7DD8"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14:paraId="7208090F" w14:textId="077BE01D" w:rsidR="002C5836" w:rsidRDefault="00DE14F2" w:rsidP="00A70D3E">
      <w:r>
        <w:t>The final year of RAMSI saw a significant community engagement program being completed to ensure Solomon Islanders understood why RAMSI was leaving</w:t>
      </w:r>
      <w:r w:rsidR="003A3C85">
        <w:t xml:space="preserve">.  </w:t>
      </w:r>
      <w:r>
        <w:t>It also led to a number of high profile achievements including</w:t>
      </w:r>
      <w:r w:rsidRPr="00EC7E82">
        <w:t xml:space="preserve"> </w:t>
      </w:r>
      <w:r>
        <w:t>a final round of weapons surrender, rearmament of selected units in the RSIPF, opening of a forensic centre and improvement in the gender balance in the police force (50% of the latest recruits being women)</w:t>
      </w:r>
      <w:r w:rsidR="003A3C85">
        <w:t xml:space="preserve">.  </w:t>
      </w:r>
      <w:r>
        <w:t xml:space="preserve">Progress was made on the implementation of the Crime Prevention Strategy and the </w:t>
      </w:r>
      <w:r w:rsidRPr="002F5D50">
        <w:rPr>
          <w:b/>
        </w:rPr>
        <w:t>budget allocated to RSIPF</w:t>
      </w:r>
      <w:r w:rsidR="00A31EA0">
        <w:rPr>
          <w:b/>
        </w:rPr>
        <w:t xml:space="preserve"> </w:t>
      </w:r>
      <w:r w:rsidRPr="002F5D50">
        <w:rPr>
          <w:b/>
        </w:rPr>
        <w:t>increased steadily</w:t>
      </w:r>
      <w:r>
        <w:t xml:space="preserve"> for the last three years (3.33% in 2015, 3.82% in 2016 and 4.37% in 2017)</w:t>
      </w:r>
      <w:r w:rsidR="003A3C85">
        <w:t xml:space="preserve">.  </w:t>
      </w:r>
      <w:r>
        <w:t>Of concern, however, i</w:t>
      </w:r>
      <w:r w:rsidR="00585AF5">
        <w:t>s</w:t>
      </w:r>
      <w:r>
        <w:t xml:space="preserve"> that the 2017 increase was due to a one off increase in the development budget rather than an ongoing increase in the recurrent budget (the recurrent budget</w:t>
      </w:r>
      <w:r w:rsidR="00585AF5">
        <w:t xml:space="preserve"> was reduced</w:t>
      </w:r>
      <w:r>
        <w:t>)</w:t>
      </w:r>
      <w:r w:rsidR="003A3C85">
        <w:t xml:space="preserve">.  </w:t>
      </w:r>
      <w:r>
        <w:t xml:space="preserve">There was a strong focus on preparing for the </w:t>
      </w:r>
      <w:r w:rsidR="00350612">
        <w:t>AFP</w:t>
      </w:r>
      <w:r>
        <w:t>’s new SIPDP which will continue to support the RSIPF</w:t>
      </w:r>
      <w:r w:rsidR="003A3C85">
        <w:t xml:space="preserve">.  </w:t>
      </w:r>
      <w:r>
        <w:t>This completes the transition of all development programs to the bilateral aid program</w:t>
      </w:r>
      <w:r w:rsidR="003A3C85">
        <w:t xml:space="preserve">.  </w:t>
      </w:r>
      <w:r>
        <w:t>RAMSI’s departure reflects the confidence in both Solomon Islands and the region that the nation’s law enforcement agencies were in the best position possible to resume responsibility for policing and national security.</w:t>
      </w:r>
    </w:p>
    <w:p w14:paraId="3950791D" w14:textId="779966E2" w:rsidR="00072D74" w:rsidRPr="001875E0" w:rsidRDefault="00C812C5" w:rsidP="00A70D3E">
      <w:r w:rsidRPr="001875E0">
        <w:t>Australia’s democratic governance support</w:t>
      </w:r>
      <w:r w:rsidR="00414B2C">
        <w:t>ed</w:t>
      </w:r>
      <w:r w:rsidRPr="001875E0">
        <w:t xml:space="preserve"> </w:t>
      </w:r>
      <w:r w:rsidR="001A44EB" w:rsidRPr="001875E0">
        <w:t>the Solomon Islands Electoral Commission (SIEC) prepare</w:t>
      </w:r>
      <w:r w:rsidR="005C1EC9" w:rsidRPr="001875E0">
        <w:t xml:space="preserve"> for</w:t>
      </w:r>
      <w:r w:rsidR="001A44EB" w:rsidRPr="001875E0">
        <w:t xml:space="preserve"> </w:t>
      </w:r>
      <w:r w:rsidRPr="001875E0">
        <w:t xml:space="preserve">national elections </w:t>
      </w:r>
      <w:r w:rsidR="00113A18" w:rsidRPr="001875E0">
        <w:t>in early 2019</w:t>
      </w:r>
      <w:r w:rsidR="003A3C85">
        <w:t xml:space="preserve">.  </w:t>
      </w:r>
      <w:r w:rsidR="001A44EB" w:rsidRPr="001875E0">
        <w:t>Three advisors provided direct t</w:t>
      </w:r>
      <w:r w:rsidR="00113A18" w:rsidRPr="001875E0">
        <w:t>echnical support</w:t>
      </w:r>
      <w:r w:rsidR="003A3C85">
        <w:t xml:space="preserve">.  </w:t>
      </w:r>
      <w:r w:rsidR="001A44EB" w:rsidRPr="001875E0">
        <w:t xml:space="preserve">A complementary multi-lateral program jointly funded with the UNDP and EU, provided technical advice, voter education, civic awareness, training, capacity-building </w:t>
      </w:r>
      <w:r w:rsidR="00113A18" w:rsidRPr="001875E0">
        <w:t>and</w:t>
      </w:r>
      <w:r w:rsidR="001A44EB" w:rsidRPr="001875E0">
        <w:t xml:space="preserve"> IT support</w:t>
      </w:r>
      <w:r w:rsidR="003A3C85">
        <w:t xml:space="preserve">.  </w:t>
      </w:r>
      <w:r w:rsidR="005C1EC9" w:rsidRPr="001875E0">
        <w:t>Delivered by the UNDP, t</w:t>
      </w:r>
      <w:r w:rsidR="001A44EB" w:rsidRPr="001875E0">
        <w:t>his program</w:t>
      </w:r>
      <w:r w:rsidR="005C1EC9" w:rsidRPr="001875E0">
        <w:t xml:space="preserve"> e</w:t>
      </w:r>
      <w:r w:rsidR="001A44EB" w:rsidRPr="001875E0">
        <w:t xml:space="preserve">ntered its final </w:t>
      </w:r>
      <w:r w:rsidR="001A44EB" w:rsidRPr="001875E0">
        <w:lastRenderedPageBreak/>
        <w:t>year in 2017</w:t>
      </w:r>
      <w:r w:rsidR="003A3C85">
        <w:t xml:space="preserve">.  </w:t>
      </w:r>
      <w:r w:rsidR="001A44EB" w:rsidRPr="001875E0">
        <w:t xml:space="preserve">Australia funded </w:t>
      </w:r>
      <w:r w:rsidR="00113A18" w:rsidRPr="001875E0">
        <w:t>the Australia Electoral Commission</w:t>
      </w:r>
      <w:r w:rsidR="0005513F">
        <w:t xml:space="preserve"> (AEC)</w:t>
      </w:r>
      <w:r w:rsidR="001A44EB" w:rsidRPr="001875E0">
        <w:t xml:space="preserve"> </w:t>
      </w:r>
      <w:r w:rsidR="005C1EC9" w:rsidRPr="001875E0">
        <w:t xml:space="preserve">to </w:t>
      </w:r>
      <w:r w:rsidR="001A44EB" w:rsidRPr="001875E0">
        <w:t>provide training to SIEC and regional counterparts through the Pacific Islands, Australia and New Zealand Network of Electoral Administrators (PIA</w:t>
      </w:r>
      <w:r w:rsidR="007E058A">
        <w:t>N</w:t>
      </w:r>
      <w:r w:rsidR="001A44EB" w:rsidRPr="001875E0">
        <w:t>ZEA)</w:t>
      </w:r>
      <w:r w:rsidR="003A3C85">
        <w:t xml:space="preserve">.  </w:t>
      </w:r>
      <w:r w:rsidR="001A44EB" w:rsidRPr="001875E0">
        <w:t xml:space="preserve">A key achievement was AEC and SIEC co-hosting the world-first delivery of </w:t>
      </w:r>
      <w:r w:rsidR="005C1EC9" w:rsidRPr="001875E0">
        <w:t>a</w:t>
      </w:r>
      <w:r w:rsidR="001A44EB" w:rsidRPr="001875E0">
        <w:t xml:space="preserve"> </w:t>
      </w:r>
      <w:r w:rsidR="005C1EC9" w:rsidRPr="001875E0">
        <w:t xml:space="preserve">new BRIDGE course </w:t>
      </w:r>
      <w:r w:rsidR="001A44EB" w:rsidRPr="001875E0">
        <w:t xml:space="preserve">on </w:t>
      </w:r>
      <w:r w:rsidR="005C1EC9" w:rsidRPr="001875E0">
        <w:t>electoral preparedness</w:t>
      </w:r>
      <w:r w:rsidR="003A3C85">
        <w:t xml:space="preserve">.  </w:t>
      </w:r>
      <w:r w:rsidR="005C1EC9" w:rsidRPr="001875E0">
        <w:t>Despite n</w:t>
      </w:r>
      <w:r w:rsidR="00113A18" w:rsidRPr="001875E0">
        <w:t>ation-wide consultation</w:t>
      </w:r>
      <w:r w:rsidR="00AF5DEB" w:rsidRPr="001875E0">
        <w:t>s</w:t>
      </w:r>
      <w:r w:rsidR="00113A18" w:rsidRPr="001875E0">
        <w:t xml:space="preserve"> </w:t>
      </w:r>
      <w:r w:rsidR="005C1EC9" w:rsidRPr="001875E0">
        <w:t xml:space="preserve">and parliamentary debate on a white paper </w:t>
      </w:r>
      <w:r w:rsidR="00113A18" w:rsidRPr="001875E0">
        <w:t>on limited preferential voting</w:t>
      </w:r>
      <w:r w:rsidR="005C1EC9" w:rsidRPr="001875E0">
        <w:t>, these reforms will not</w:t>
      </w:r>
      <w:r w:rsidR="00113A18" w:rsidRPr="001875E0">
        <w:t xml:space="preserve"> be in place </w:t>
      </w:r>
      <w:r w:rsidR="005C1EC9" w:rsidRPr="001875E0">
        <w:t xml:space="preserve">for </w:t>
      </w:r>
      <w:r w:rsidR="00113A18" w:rsidRPr="001875E0">
        <w:t>the 2019 election</w:t>
      </w:r>
      <w:r w:rsidR="003A3C85">
        <w:t xml:space="preserve">.  </w:t>
      </w:r>
      <w:r w:rsidR="005C1EC9" w:rsidRPr="001875E0">
        <w:t xml:space="preserve">With the support of UNDP, </w:t>
      </w:r>
      <w:r w:rsidR="00113A18" w:rsidRPr="001875E0">
        <w:t xml:space="preserve">Australia </w:t>
      </w:r>
      <w:r w:rsidR="005C1EC9" w:rsidRPr="001875E0">
        <w:t>initiated</w:t>
      </w:r>
      <w:r w:rsidR="00113A18" w:rsidRPr="001875E0">
        <w:t xml:space="preserve"> </w:t>
      </w:r>
      <w:r w:rsidR="005C1EC9" w:rsidRPr="001875E0">
        <w:t xml:space="preserve">new </w:t>
      </w:r>
      <w:r w:rsidR="00113A18" w:rsidRPr="001875E0">
        <w:t>partnerships with</w:t>
      </w:r>
      <w:r w:rsidR="005C1EC9" w:rsidRPr="001875E0">
        <w:t xml:space="preserve"> </w:t>
      </w:r>
      <w:r w:rsidR="00113A18" w:rsidRPr="001875E0">
        <w:t>Transparency</w:t>
      </w:r>
      <w:r w:rsidR="00072D74" w:rsidRPr="001875E0">
        <w:t xml:space="preserve"> Solomon Islands </w:t>
      </w:r>
      <w:r w:rsidR="005C1EC9" w:rsidRPr="001875E0">
        <w:t xml:space="preserve">and the Media Association of Solomon Islands to help </w:t>
      </w:r>
      <w:r w:rsidR="005C1EC9" w:rsidRPr="002F5D50">
        <w:rPr>
          <w:b/>
        </w:rPr>
        <w:t>build dem</w:t>
      </w:r>
      <w:r w:rsidR="00072D74" w:rsidRPr="002F5D50">
        <w:rPr>
          <w:b/>
        </w:rPr>
        <w:t>and for transparency of government decision making</w:t>
      </w:r>
      <w:r w:rsidR="003A3C85">
        <w:t xml:space="preserve">.  </w:t>
      </w:r>
      <w:r w:rsidR="00072D74" w:rsidRPr="001875E0">
        <w:t xml:space="preserve">Given the slow pace of electoral reform, Australia’s next phase of democratic governance support (to be designed in 2017-18) will </w:t>
      </w:r>
      <w:r w:rsidR="00341BDF" w:rsidRPr="001875E0">
        <w:t>go beyond</w:t>
      </w:r>
      <w:r w:rsidR="00AF5DEB" w:rsidRPr="001875E0">
        <w:t xml:space="preserve"> technical electoral improvements </w:t>
      </w:r>
      <w:r w:rsidR="00BA25F7">
        <w:t xml:space="preserve">to seek to build </w:t>
      </w:r>
      <w:r w:rsidR="00BF403B" w:rsidRPr="001875E0">
        <w:t xml:space="preserve">community demand for better </w:t>
      </w:r>
      <w:r w:rsidR="00D544D1" w:rsidRPr="001875E0">
        <w:t>elections</w:t>
      </w:r>
      <w:r w:rsidR="00BF403B" w:rsidRPr="001875E0">
        <w:t xml:space="preserve"> and </w:t>
      </w:r>
      <w:r w:rsidR="00813824" w:rsidRPr="001875E0">
        <w:t>governance</w:t>
      </w:r>
      <w:r w:rsidR="000743D0" w:rsidRPr="001875E0">
        <w:t xml:space="preserve"> especially in rural areas</w:t>
      </w:r>
      <w:r w:rsidR="001562A7" w:rsidRPr="001875E0">
        <w:t xml:space="preserve">, </w:t>
      </w:r>
      <w:r w:rsidR="00BA25F7">
        <w:t xml:space="preserve">and </w:t>
      </w:r>
      <w:r w:rsidR="001562A7" w:rsidRPr="001875E0">
        <w:t>women’s engagement with elections, as voters and candidates</w:t>
      </w:r>
      <w:r w:rsidR="00BF403B" w:rsidRPr="001875E0">
        <w:t>.</w:t>
      </w:r>
    </w:p>
    <w:p w14:paraId="5F432054" w14:textId="3651626C" w:rsidR="004F7BB0" w:rsidRDefault="004304DB" w:rsidP="006736DB">
      <w:pPr>
        <w:spacing w:before="240" w:line="240" w:lineRule="auto"/>
      </w:pPr>
      <w:r>
        <w:t xml:space="preserve">In the justice sector, services </w:t>
      </w:r>
      <w:r w:rsidR="00640FE1">
        <w:t xml:space="preserve">continued to be </w:t>
      </w:r>
      <w:r>
        <w:t xml:space="preserve">delivered reliably with </w:t>
      </w:r>
      <w:r w:rsidR="00414B2C">
        <w:t xml:space="preserve">a </w:t>
      </w:r>
      <w:r>
        <w:t>decreased dependence on advisory support</w:t>
      </w:r>
      <w:r w:rsidR="003A3C85">
        <w:t xml:space="preserve">.  </w:t>
      </w:r>
      <w:r>
        <w:t>The Magistrates Court disposed of 877 criminal cases in 2016-17, an increase over 2015-16 (736)</w:t>
      </w:r>
      <w:r w:rsidR="003A3C85">
        <w:t xml:space="preserve">.  </w:t>
      </w:r>
      <w:r>
        <w:t>An independent security audit in 2017 found that while there was scope for improvement, the three largest correctional centres were secure and staffed by a dedicated and professional service</w:t>
      </w:r>
      <w:r w:rsidR="003A3C85">
        <w:t xml:space="preserve">.  </w:t>
      </w:r>
      <w:r w:rsidR="002A6406">
        <w:t>This shows the correctional systems has consolidated the huge improvements made in this area since the complete breakdown of the system during the Tensions</w:t>
      </w:r>
      <w:r w:rsidR="003A3C85">
        <w:t xml:space="preserve">.  </w:t>
      </w:r>
      <w:r w:rsidR="00585AF5">
        <w:t xml:space="preserve">The Solomon Island Government’s </w:t>
      </w:r>
      <w:r>
        <w:t>capacity to deliver justice services was demonstrated by further reductions in the number of long term advisors to 14 (down from 32 in 2013) with only nine of these based in justice agencies (the remainder working across the sector)</w:t>
      </w:r>
      <w:r w:rsidR="003A3C85">
        <w:t xml:space="preserve">.  </w:t>
      </w:r>
      <w:r>
        <w:t>The Justice Information Management System (JIMS) is becoming more embedded in justice agencies, helping the sector capture more data and driving efficiency gains</w:t>
      </w:r>
      <w:r w:rsidR="003A3C85">
        <w:t xml:space="preserve">.  </w:t>
      </w:r>
      <w:r>
        <w:t>In 2016-17, JIMS was installed in the Public Solicitor</w:t>
      </w:r>
      <w:r w:rsidR="006757B9">
        <w:t>’</w:t>
      </w:r>
      <w:r>
        <w:t>s Office, the Office of the Director of Public Prosecutions and the Police Prosecutions Directorate, and helped to improve efficiency by linking those agencies to the police and courts</w:t>
      </w:r>
      <w:r w:rsidR="003A3C85">
        <w:t xml:space="preserve">.  </w:t>
      </w:r>
      <w:r>
        <w:t xml:space="preserve">There was further progress on the AIP intermediate outcome </w:t>
      </w:r>
      <w:r w:rsidR="00341BDF">
        <w:t xml:space="preserve">that </w:t>
      </w:r>
      <w:r w:rsidRPr="004F7BB0">
        <w:rPr>
          <w:i/>
        </w:rPr>
        <w:t>courts are more accessible and communities are effectively resolving disputes</w:t>
      </w:r>
      <w:r w:rsidR="003A3C85">
        <w:t xml:space="preserve">.  </w:t>
      </w:r>
      <w:r>
        <w:t>Staff in provincial centres benefitted from training and mentoring, and JIM</w:t>
      </w:r>
      <w:r w:rsidR="0005513F">
        <w:t>S</w:t>
      </w:r>
      <w:r>
        <w:t xml:space="preserve"> was rolled out in major provincial centres</w:t>
      </w:r>
      <w:r w:rsidR="003A3C85">
        <w:t xml:space="preserve">.  </w:t>
      </w:r>
      <w:r>
        <w:t xml:space="preserve">However, the tight fiscal situation meant </w:t>
      </w:r>
      <w:r w:rsidR="00341BDF">
        <w:t xml:space="preserve">fewer </w:t>
      </w:r>
      <w:r>
        <w:t>court circuits</w:t>
      </w:r>
      <w:r w:rsidR="003A3C85">
        <w:t xml:space="preserve">.  </w:t>
      </w:r>
      <w:r>
        <w:t>The Australian funded World Bank pilot project supporting community officers in Makira and Renbel provinces resulted in 77% of citizens declaring they had experienced improvements in community grievance management</w:t>
      </w:r>
      <w:r w:rsidR="003A3C85">
        <w:t xml:space="preserve">.  </w:t>
      </w:r>
      <w:r>
        <w:t>The pilot will be expanded to two more provinces in 2017-18.</w:t>
      </w:r>
    </w:p>
    <w:p w14:paraId="2D3C2BB4" w14:textId="6B399150" w:rsidR="00BF403B" w:rsidRDefault="004304DB" w:rsidP="006736DB">
      <w:pPr>
        <w:spacing w:before="240" w:line="240" w:lineRule="auto"/>
      </w:pPr>
      <w:r>
        <w:t xml:space="preserve">In governance, Australia’s focus was on </w:t>
      </w:r>
      <w:r w:rsidRPr="002F5D50">
        <w:rPr>
          <w:b/>
        </w:rPr>
        <w:t>consolidating existing reforms and continuing systemic improvements</w:t>
      </w:r>
      <w:r w:rsidR="003A3C85">
        <w:t xml:space="preserve">.  </w:t>
      </w:r>
      <w:r>
        <w:t>A major setback was the removal</w:t>
      </w:r>
      <w:r w:rsidR="00585AF5">
        <w:t xml:space="preserve">, </w:t>
      </w:r>
      <w:r>
        <w:t>at</w:t>
      </w:r>
      <w:r w:rsidR="00585AF5">
        <w:t xml:space="preserve"> the Solomon Islands Government’s</w:t>
      </w:r>
      <w:r>
        <w:t xml:space="preserve"> request, of a number of Australian-funded positions in </w:t>
      </w:r>
      <w:r w:rsidR="006757B9">
        <w:t>MoFT</w:t>
      </w:r>
      <w:r>
        <w:t xml:space="preserve">, </w:t>
      </w:r>
      <w:r w:rsidR="008A4D1D">
        <w:t>affecting</w:t>
      </w:r>
      <w:r>
        <w:t xml:space="preserve"> advisory support </w:t>
      </w:r>
      <w:r w:rsidR="00F53568">
        <w:t>and</w:t>
      </w:r>
      <w:r w:rsidR="00585AF5">
        <w:t xml:space="preserve"> Government </w:t>
      </w:r>
      <w:r w:rsidR="00F53568">
        <w:t>delivery of</w:t>
      </w:r>
      <w:r>
        <w:t xml:space="preserve"> procurement</w:t>
      </w:r>
      <w:r w:rsidR="00F53568">
        <w:t xml:space="preserve"> processes</w:t>
      </w:r>
      <w:r>
        <w:t>, cash flow management, and financial reporting and accounting</w:t>
      </w:r>
      <w:r w:rsidR="003A3C85">
        <w:t xml:space="preserve">.  </w:t>
      </w:r>
      <w:r>
        <w:t>However, Australia supported continued progress in</w:t>
      </w:r>
      <w:r w:rsidR="00585AF5">
        <w:t>:</w:t>
      </w:r>
      <w:r>
        <w:t xml:space="preserve"> debt management (an updated debt management framework was finalised and the debt to </w:t>
      </w:r>
      <w:r w:rsidR="0005513F">
        <w:t>Gross Domestic Product (</w:t>
      </w:r>
      <w:r>
        <w:t>GDP</w:t>
      </w:r>
      <w:r w:rsidR="0005513F">
        <w:t>)</w:t>
      </w:r>
      <w:r>
        <w:t xml:space="preserve"> ratio remains low by regional standards at 9 per cent); 92 per cent of </w:t>
      </w:r>
      <w:r w:rsidR="00585AF5">
        <w:t>Government</w:t>
      </w:r>
      <w:r>
        <w:t xml:space="preserve"> payments are now via electronic funds transfer</w:t>
      </w:r>
      <w:r w:rsidR="006B10C3">
        <w:t xml:space="preserve"> from zero two years</w:t>
      </w:r>
      <w:r w:rsidR="001D3EE3">
        <w:t xml:space="preserve"> ago</w:t>
      </w:r>
      <w:r w:rsidR="00585AF5">
        <w:t xml:space="preserve">; </w:t>
      </w:r>
      <w:r w:rsidR="006B10C3">
        <w:t xml:space="preserve">54 per cent of public servants </w:t>
      </w:r>
      <w:r w:rsidR="00585AF5">
        <w:t xml:space="preserve">are </w:t>
      </w:r>
      <w:r w:rsidR="001D3EE3">
        <w:t xml:space="preserve">able to </w:t>
      </w:r>
      <w:r w:rsidR="006B10C3">
        <w:t>access their payslips electronically</w:t>
      </w:r>
      <w:r w:rsidR="007E058A">
        <w:t>,</w:t>
      </w:r>
      <w:r w:rsidR="00585AF5">
        <w:t xml:space="preserve"> reducing </w:t>
      </w:r>
      <w:r w:rsidR="006B10C3">
        <w:t>opportunities for leakages</w:t>
      </w:r>
      <w:r w:rsidR="00DD0CC1">
        <w:t xml:space="preserve"> and increas</w:t>
      </w:r>
      <w:r w:rsidR="007E058A">
        <w:t>ing</w:t>
      </w:r>
      <w:r w:rsidR="00DD0CC1">
        <w:t xml:space="preserve"> efficiencies</w:t>
      </w:r>
      <w:r w:rsidR="003A3C85">
        <w:t xml:space="preserve">.  </w:t>
      </w:r>
      <w:r>
        <w:t xml:space="preserve">There were continued improvements in external and internal audit – internal audit regulations were approved by the Minister, and a </w:t>
      </w:r>
      <w:r w:rsidR="00585AF5">
        <w:t>Government</w:t>
      </w:r>
      <w:r>
        <w:t>-wide audit committee was established, which has already been active in demanding progress on audits</w:t>
      </w:r>
      <w:r w:rsidR="003A3C85">
        <w:t xml:space="preserve">.  </w:t>
      </w:r>
      <w:r>
        <w:t>The Office of the Auditor-General continued to operate effectively, following the phasing out of inline advisory support</w:t>
      </w:r>
      <w:r w:rsidR="003A3C85">
        <w:t xml:space="preserve">.  </w:t>
      </w:r>
      <w:r>
        <w:t>Cooperation between M</w:t>
      </w:r>
      <w:r w:rsidR="00585AF5">
        <w:t>o</w:t>
      </w:r>
      <w:r>
        <w:t>FT internal audit and the RSIPF led to several high profile arrests for fraud</w:t>
      </w:r>
      <w:r w:rsidR="003A3C85">
        <w:t>.</w:t>
      </w:r>
    </w:p>
    <w:p w14:paraId="78657586" w14:textId="3D2DF9A5" w:rsidR="007B5B7E" w:rsidRDefault="00086952" w:rsidP="002D19A8">
      <w:pPr>
        <w:spacing w:before="240" w:line="240" w:lineRule="auto"/>
      </w:pPr>
      <w:r>
        <w:t xml:space="preserve">Australia </w:t>
      </w:r>
      <w:r w:rsidR="001562A7">
        <w:t xml:space="preserve">supported </w:t>
      </w:r>
      <w:r>
        <w:t xml:space="preserve">strong </w:t>
      </w:r>
      <w:r w:rsidR="006757B9">
        <w:t xml:space="preserve">action </w:t>
      </w:r>
      <w:r w:rsidRPr="00DC59A1">
        <w:rPr>
          <w:b/>
        </w:rPr>
        <w:t>on violence against women in Solomon Islands</w:t>
      </w:r>
      <w:r w:rsidR="00DE14F2" w:rsidRPr="00DC59A1">
        <w:rPr>
          <w:b/>
        </w:rPr>
        <w:t xml:space="preserve">, under the framework of the </w:t>
      </w:r>
      <w:r w:rsidRPr="00DC59A1">
        <w:rPr>
          <w:b/>
        </w:rPr>
        <w:t>Family Protection Act</w:t>
      </w:r>
      <w:r w:rsidR="0056653E" w:rsidRPr="00DC59A1">
        <w:rPr>
          <w:b/>
        </w:rPr>
        <w:t xml:space="preserve"> (FPA)</w:t>
      </w:r>
      <w:r w:rsidR="003A3C85">
        <w:t xml:space="preserve">.  </w:t>
      </w:r>
      <w:r w:rsidR="00BA2B02">
        <w:t>Australia supported the development of the FPA, and continues to support its implementation with coordinated support through the justice, police</w:t>
      </w:r>
      <w:r w:rsidR="00585AF5">
        <w:t>,</w:t>
      </w:r>
      <w:r w:rsidR="00BA2B02">
        <w:t xml:space="preserve"> gender and health programs</w:t>
      </w:r>
      <w:r w:rsidR="003A3C85">
        <w:t xml:space="preserve">.  </w:t>
      </w:r>
      <w:r w:rsidR="00BA2B02">
        <w:t>The new mechanisms in the Act are being utilised, with the police issuing 360 police safety notices from April 2016 (when the Act commenced) to June 2017</w:t>
      </w:r>
      <w:r w:rsidR="003A3C85">
        <w:t xml:space="preserve">.  </w:t>
      </w:r>
      <w:r w:rsidR="00BA2B02">
        <w:t>Eighteen people were convicted of the new offence of domestic violence and the Public Solicitor’s Office helped survivors obtain over 40 protection orders</w:t>
      </w:r>
      <w:r w:rsidR="003A3C85">
        <w:t xml:space="preserve">.  </w:t>
      </w:r>
      <w:r w:rsidR="00BA2B02">
        <w:t>Public awareness increased with RSIPF</w:t>
      </w:r>
      <w:r w:rsidR="00B5776B">
        <w:t xml:space="preserve"> (supported by RAMSI) conduct</w:t>
      </w:r>
      <w:r w:rsidR="00585AF5">
        <w:t>ing</w:t>
      </w:r>
      <w:r w:rsidR="00BA2B02">
        <w:t xml:space="preserve"> community consultations with 83,000 people across </w:t>
      </w:r>
      <w:r w:rsidR="00BA2B02">
        <w:lastRenderedPageBreak/>
        <w:t>all nine provinces</w:t>
      </w:r>
      <w:r w:rsidR="003A3C85">
        <w:t xml:space="preserve">.  </w:t>
      </w:r>
      <w:r w:rsidR="00BA2B02">
        <w:t>Support services still need to be improved, and programs are working together on this issue.</w:t>
      </w:r>
    </w:p>
    <w:p w14:paraId="01C01DF1" w14:textId="1A88A03A" w:rsidR="000F7180" w:rsidRDefault="007B5B7E" w:rsidP="000F7180">
      <w:r>
        <w:t xml:space="preserve">In December 2016, when Solomon Islands was struck by a 7.8 magnitude earthquake, </w:t>
      </w:r>
      <w:r w:rsidRPr="00DC59A1">
        <w:rPr>
          <w:b/>
        </w:rPr>
        <w:t>Australia supported the early response and recovery</w:t>
      </w:r>
      <w:r>
        <w:t xml:space="preserve"> with a $1 </w:t>
      </w:r>
      <w:r w:rsidR="00EC481D">
        <w:t>million</w:t>
      </w:r>
      <w:r>
        <w:t xml:space="preserve"> package of support</w:t>
      </w:r>
      <w:r w:rsidR="003A3C85">
        <w:t xml:space="preserve">.  </w:t>
      </w:r>
      <w:r>
        <w:t>In partnership with local authorities, Australia arranged and participated in aerial and sea damage assessments, and funded the provision of humanitarian supplies</w:t>
      </w:r>
      <w:r w:rsidR="0005513F">
        <w:t xml:space="preserve"> to the affected province</w:t>
      </w:r>
      <w:r w:rsidR="003A3C85">
        <w:t xml:space="preserve">.  </w:t>
      </w:r>
      <w:r>
        <w:t>Ongoing recovery will include the structural reinforcement of Kirakira Hospital and repairing of damaged school dormitories and classrooms across Makira province.</w:t>
      </w:r>
    </w:p>
    <w:p w14:paraId="17EFFF8A" w14:textId="756D9400" w:rsidR="006A40B2" w:rsidRPr="000F7180" w:rsidRDefault="006A40B2" w:rsidP="00BD607E">
      <w:pPr>
        <w:spacing w:before="240"/>
        <w:rPr>
          <w:color w:val="auto"/>
          <w:lang w:val="en-AU"/>
        </w:rPr>
      </w:pPr>
      <w:r>
        <w:rPr>
          <w:rFonts w:asciiTheme="majorHAnsi" w:eastAsiaTheme="majorEastAsia" w:hAnsiTheme="majorHAnsi" w:cstheme="majorBidi"/>
          <w:caps/>
          <w:sz w:val="38"/>
          <w:szCs w:val="26"/>
        </w:rPr>
        <w:t>Objective 2.a</w:t>
      </w:r>
      <w:r w:rsidR="00862783">
        <w:rPr>
          <w:rFonts w:asciiTheme="majorHAnsi" w:eastAsiaTheme="majorEastAsia" w:hAnsiTheme="majorHAnsi" w:cstheme="majorBidi"/>
          <w:caps/>
          <w:sz w:val="38"/>
          <w:szCs w:val="26"/>
        </w:rPr>
        <w:t>:</w:t>
      </w:r>
      <w:r w:rsidR="00862783" w:rsidRPr="006A40B2">
        <w:rPr>
          <w:rFonts w:asciiTheme="majorHAnsi" w:eastAsiaTheme="majorEastAsia" w:hAnsiTheme="majorHAnsi" w:cstheme="majorBidi"/>
          <w:caps/>
          <w:sz w:val="38"/>
          <w:szCs w:val="26"/>
        </w:rPr>
        <w:t xml:space="preserve"> </w:t>
      </w:r>
      <w:r w:rsidR="00862783">
        <w:rPr>
          <w:rFonts w:asciiTheme="majorHAnsi" w:eastAsiaTheme="majorEastAsia" w:hAnsiTheme="majorHAnsi" w:cstheme="majorBidi"/>
          <w:caps/>
          <w:sz w:val="38"/>
          <w:szCs w:val="26"/>
        </w:rPr>
        <w:t>more attractive business enviroment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247"/>
        <w:gridCol w:w="1247"/>
        <w:gridCol w:w="1247"/>
        <w:gridCol w:w="1247"/>
        <w:gridCol w:w="1247"/>
      </w:tblGrid>
      <w:tr w:rsidR="00166B1E" w14:paraId="31CD5991" w14:textId="77777777" w:rsidTr="00166B1E">
        <w:tc>
          <w:tcPr>
            <w:tcW w:w="2016" w:type="dxa"/>
          </w:tcPr>
          <w:p w14:paraId="6D2B176A" w14:textId="77777777" w:rsidR="00166B1E" w:rsidRDefault="00166B1E" w:rsidP="007E5A85">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36D1D18C" wp14:editId="2A60C7D8">
                  <wp:extent cx="1137600" cy="720000"/>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9">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247" w:type="dxa"/>
          </w:tcPr>
          <w:p w14:paraId="292E25E2" w14:textId="77777777" w:rsidR="00166B1E" w:rsidRDefault="00166B1E" w:rsidP="007E5A8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DDF7718" wp14:editId="60E8B473">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47" w:type="dxa"/>
          </w:tcPr>
          <w:p w14:paraId="6A7029FD" w14:textId="77777777" w:rsidR="00166B1E" w:rsidRDefault="00374614" w:rsidP="007E5A8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A5F8CB9" wp14:editId="1EA67318">
                  <wp:extent cx="612000" cy="61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47" w:type="dxa"/>
          </w:tcPr>
          <w:p w14:paraId="6C07B569" w14:textId="77777777" w:rsidR="00166B1E" w:rsidRDefault="00374614" w:rsidP="007E5A8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29A2A0B" wp14:editId="1F4BEF65">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47" w:type="dxa"/>
          </w:tcPr>
          <w:p w14:paraId="7EC76990" w14:textId="067795C9" w:rsidR="00166B1E" w:rsidRDefault="004503E3" w:rsidP="007E5A8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4503E3">
              <w:rPr>
                <w:rFonts w:asciiTheme="majorHAnsi" w:eastAsiaTheme="majorEastAsia" w:hAnsiTheme="majorHAnsi" w:cstheme="majorBidi"/>
                <w:caps/>
                <w:noProof/>
                <w:color w:val="495965" w:themeColor="text2"/>
                <w:sz w:val="38"/>
                <w:szCs w:val="26"/>
              </w:rPr>
              <w:drawing>
                <wp:inline distT="0" distB="0" distL="0" distR="0" wp14:anchorId="30FE19F4" wp14:editId="5F340D59">
                  <wp:extent cx="612000" cy="612000"/>
                  <wp:effectExtent l="0" t="0" r="0" b="0"/>
                  <wp:docPr id="7" name="Picture 7" descr="\\TITAN\CHCH\Desktop\Aregnaul\Desktop\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Aregnaul\Desktop\sdg-0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247" w:type="dxa"/>
          </w:tcPr>
          <w:p w14:paraId="4329B339" w14:textId="77777777" w:rsidR="00166B1E" w:rsidRDefault="00166B1E" w:rsidP="007E5A85">
            <w:pPr>
              <w:pStyle w:val="ListBullet"/>
              <w:tabs>
                <w:tab w:val="clear" w:pos="284"/>
              </w:tabs>
              <w:spacing w:before="160" w:after="80" w:line="240" w:lineRule="auto"/>
              <w:jc w:val="center"/>
              <w:rPr>
                <w:noProof/>
              </w:rPr>
            </w:pPr>
            <w:r>
              <w:rPr>
                <w:noProof/>
              </w:rPr>
              <w:drawing>
                <wp:inline distT="0" distB="0" distL="0" distR="0" wp14:anchorId="07CB4E9C" wp14:editId="1D9376F6">
                  <wp:extent cx="612000" cy="61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2DF1CA92" w14:textId="65BA9D34" w:rsidR="00B21613" w:rsidRDefault="0047208D" w:rsidP="00417BAB">
      <w:pPr>
        <w:spacing w:before="240" w:line="240" w:lineRule="auto"/>
      </w:pPr>
      <w:r>
        <w:t>A key objective for Australia’</w:t>
      </w:r>
      <w:r w:rsidR="00F94C20">
        <w:t>s economic growth portfolio wa</w:t>
      </w:r>
      <w:r>
        <w:t xml:space="preserve">s to catalyse one new large scale investment </w:t>
      </w:r>
      <w:r w:rsidR="009219F1">
        <w:t>that</w:t>
      </w:r>
      <w:r>
        <w:t xml:space="preserve"> </w:t>
      </w:r>
      <w:r w:rsidR="00813824">
        <w:t xml:space="preserve">could </w:t>
      </w:r>
      <w:r>
        <w:t xml:space="preserve">address a constraint to growth </w:t>
      </w:r>
      <w:r w:rsidR="00996705">
        <w:t xml:space="preserve">(namely high energy prices) </w:t>
      </w:r>
      <w:r>
        <w:t>and simultaneously increase private sector investor confidence</w:t>
      </w:r>
      <w:r w:rsidR="003A3C85">
        <w:t xml:space="preserve">.  </w:t>
      </w:r>
      <w:r>
        <w:t>With fin</w:t>
      </w:r>
      <w:r w:rsidR="00996705">
        <w:t>ancial support and substantial</w:t>
      </w:r>
      <w:r>
        <w:t xml:space="preserve"> advocacy efforts by Australia, the Tina River Hydropower </w:t>
      </w:r>
      <w:r w:rsidR="00196DAD">
        <w:t>Development P</w:t>
      </w:r>
      <w:r>
        <w:t>roject progressed as expected in 2016-17</w:t>
      </w:r>
      <w:r w:rsidR="003A3C85">
        <w:t xml:space="preserve">.  </w:t>
      </w:r>
      <w:r w:rsidR="00996705">
        <w:t>The Australian</w:t>
      </w:r>
      <w:r w:rsidR="00196DAD">
        <w:t>-</w:t>
      </w:r>
      <w:r w:rsidR="00996705">
        <w:t>funded</w:t>
      </w:r>
      <w:r>
        <w:t xml:space="preserve"> planning </w:t>
      </w:r>
      <w:r w:rsidR="00996705">
        <w:t xml:space="preserve">phase </w:t>
      </w:r>
      <w:r w:rsidR="00196DAD">
        <w:t xml:space="preserve">will be </w:t>
      </w:r>
      <w:r>
        <w:t>completed</w:t>
      </w:r>
      <w:r w:rsidR="00996705">
        <w:t xml:space="preserve"> </w:t>
      </w:r>
      <w:r w:rsidR="00196DAD">
        <w:t xml:space="preserve">by the end of October </w:t>
      </w:r>
      <w:r>
        <w:t>2017</w:t>
      </w:r>
      <w:r w:rsidR="003A3C85">
        <w:t xml:space="preserve">.  </w:t>
      </w:r>
      <w:r w:rsidR="00D57058">
        <w:t xml:space="preserve">With extensive policy dialogue and advocacy using </w:t>
      </w:r>
      <w:r w:rsidR="0005513F">
        <w:t>Australia</w:t>
      </w:r>
      <w:r w:rsidR="00D57058">
        <w:t xml:space="preserve">’s global footprint, </w:t>
      </w:r>
      <w:r w:rsidR="00D57058" w:rsidRPr="00ED5BB5">
        <w:rPr>
          <w:b/>
        </w:rPr>
        <w:t>Australia</w:t>
      </w:r>
      <w:r w:rsidR="00D57058" w:rsidRPr="008A4D1D">
        <w:rPr>
          <w:rFonts w:asciiTheme="majorHAnsi" w:hAnsiTheme="majorHAnsi"/>
          <w:b/>
        </w:rPr>
        <w:t xml:space="preserve"> </w:t>
      </w:r>
      <w:r w:rsidR="00D57058" w:rsidRPr="00ED5BB5">
        <w:rPr>
          <w:b/>
        </w:rPr>
        <w:t xml:space="preserve">played a catalytic role in supporting </w:t>
      </w:r>
      <w:r w:rsidR="003A613F">
        <w:rPr>
          <w:b/>
        </w:rPr>
        <w:t xml:space="preserve">Solomon Islands Government </w:t>
      </w:r>
      <w:r w:rsidR="00D57058" w:rsidRPr="00ED5BB5">
        <w:rPr>
          <w:b/>
        </w:rPr>
        <w:t>and the World Bank to secure over US</w:t>
      </w:r>
      <w:r w:rsidR="0056653E" w:rsidRPr="00ED5BB5">
        <w:rPr>
          <w:b/>
        </w:rPr>
        <w:t>$</w:t>
      </w:r>
      <w:r w:rsidR="00D57058" w:rsidRPr="00ED5BB5">
        <w:rPr>
          <w:b/>
        </w:rPr>
        <w:t>145</w:t>
      </w:r>
      <w:r w:rsidR="00FE15D5">
        <w:rPr>
          <w:b/>
        </w:rPr>
        <w:t xml:space="preserve"> </w:t>
      </w:r>
      <w:r w:rsidR="00EC481D">
        <w:rPr>
          <w:b/>
        </w:rPr>
        <w:t>million</w:t>
      </w:r>
      <w:r w:rsidR="00D57058" w:rsidRPr="00ED5BB5">
        <w:rPr>
          <w:b/>
        </w:rPr>
        <w:t xml:space="preserve"> in donor commitments for the </w:t>
      </w:r>
      <w:r w:rsidR="007C5B43">
        <w:rPr>
          <w:b/>
        </w:rPr>
        <w:t xml:space="preserve">hydropower </w:t>
      </w:r>
      <w:r w:rsidR="00D57058" w:rsidRPr="00ED5BB5">
        <w:rPr>
          <w:b/>
        </w:rPr>
        <w:t>project</w:t>
      </w:r>
      <w:r w:rsidR="00925F90">
        <w:t xml:space="preserve">; </w:t>
      </w:r>
      <w:r w:rsidR="00D35387">
        <w:t xml:space="preserve">the Green Climate </w:t>
      </w:r>
      <w:r w:rsidR="0056653E">
        <w:t>F</w:t>
      </w:r>
      <w:r w:rsidR="00D35387">
        <w:t>und</w:t>
      </w:r>
      <w:r w:rsidR="0056653E">
        <w:t xml:space="preserve"> (GCF)</w:t>
      </w:r>
      <w:r w:rsidR="00D35387">
        <w:t xml:space="preserve"> committed US$86</w:t>
      </w:r>
      <w:r w:rsidR="00FE15D5">
        <w:t xml:space="preserve"> </w:t>
      </w:r>
      <w:r w:rsidR="00EC481D">
        <w:t>million</w:t>
      </w:r>
      <w:r w:rsidR="00D35387">
        <w:t xml:space="preserve"> </w:t>
      </w:r>
      <w:r w:rsidR="00B7133D">
        <w:t>i</w:t>
      </w:r>
      <w:r w:rsidR="00996705">
        <w:t>n recognition of the substantial contribution the project will make to Solomon Islands</w:t>
      </w:r>
      <w:r w:rsidR="00196DAD">
        <w:t>’</w:t>
      </w:r>
      <w:r w:rsidR="00996705">
        <w:t xml:space="preserve"> climate change efforts</w:t>
      </w:r>
      <w:r w:rsidR="003A3C85">
        <w:t xml:space="preserve">.  </w:t>
      </w:r>
      <w:r w:rsidR="00D35387">
        <w:t>In May 2017, Australia committed up to $17</w:t>
      </w:r>
      <w:r w:rsidR="00EC481D">
        <w:t xml:space="preserve"> million</w:t>
      </w:r>
      <w:r w:rsidR="00D35387">
        <w:t xml:space="preserve"> to build the site access road and provide ongoing technical assistance for the project</w:t>
      </w:r>
      <w:r w:rsidR="003A3C85">
        <w:t xml:space="preserve">.  </w:t>
      </w:r>
      <w:r w:rsidR="00B7133D">
        <w:t>Despite these achievements, decreased energy prices will only be achieved if</w:t>
      </w:r>
      <w:r w:rsidR="008719EF">
        <w:t xml:space="preserve"> </w:t>
      </w:r>
      <w:r w:rsidR="00DC08F7">
        <w:t xml:space="preserve">Solomon Islands </w:t>
      </w:r>
      <w:r w:rsidR="00B7133D">
        <w:t>can</w:t>
      </w:r>
      <w:r w:rsidR="006A111B">
        <w:t xml:space="preserve"> finalise its negotiations with the interested </w:t>
      </w:r>
      <w:r w:rsidR="00196DAD">
        <w:t>private developer</w:t>
      </w:r>
      <w:r w:rsidR="006A111B">
        <w:t xml:space="preserve"> in 2017</w:t>
      </w:r>
      <w:r w:rsidR="001562A7">
        <w:t xml:space="preserve"> and ensure implementation</w:t>
      </w:r>
      <w:r w:rsidR="003A3C85">
        <w:t xml:space="preserve">.  </w:t>
      </w:r>
      <w:r w:rsidR="006A111B">
        <w:t xml:space="preserve">Australia will prioritise high level advocacy </w:t>
      </w:r>
      <w:r w:rsidR="00AD0685">
        <w:t xml:space="preserve">to </w:t>
      </w:r>
      <w:r w:rsidR="00313336">
        <w:t>promote the conclusion of</w:t>
      </w:r>
      <w:r w:rsidR="006A111B">
        <w:t xml:space="preserve"> negotiations.</w:t>
      </w:r>
    </w:p>
    <w:p w14:paraId="2FF5140A" w14:textId="432DB5F9" w:rsidR="00925F90" w:rsidRDefault="009219F1" w:rsidP="00417BAB">
      <w:pPr>
        <w:spacing w:before="240" w:line="240" w:lineRule="auto"/>
      </w:pPr>
      <w:r>
        <w:t>Australi</w:t>
      </w:r>
      <w:r w:rsidR="008719EF">
        <w:t>a</w:t>
      </w:r>
      <w:r>
        <w:t xml:space="preserve"> also made contributions to improved infrastructure</w:t>
      </w:r>
      <w:r w:rsidR="00374614">
        <w:t xml:space="preserve"> </w:t>
      </w:r>
      <w:r w:rsidR="00B25718">
        <w:t>in</w:t>
      </w:r>
      <w:r>
        <w:t xml:space="preserve"> 2016-17</w:t>
      </w:r>
      <w:r w:rsidR="003A3C85">
        <w:t xml:space="preserve">.  </w:t>
      </w:r>
      <w:r w:rsidR="00E90226">
        <w:t xml:space="preserve">Australia supported </w:t>
      </w:r>
      <w:r w:rsidR="00313336">
        <w:t xml:space="preserve">the </w:t>
      </w:r>
      <w:r w:rsidR="00E90226">
        <w:t>recover</w:t>
      </w:r>
      <w:r w:rsidR="00EC479F">
        <w:t>y</w:t>
      </w:r>
      <w:r w:rsidR="00E90226">
        <w:t xml:space="preserve"> plan</w:t>
      </w:r>
      <w:r w:rsidR="00313336">
        <w:t xml:space="preserve"> of the previously struggling Solomon Islands Water Authority</w:t>
      </w:r>
      <w:r w:rsidR="00E90226">
        <w:t xml:space="preserve">, and </w:t>
      </w:r>
      <w:r w:rsidR="00B848F1">
        <w:t xml:space="preserve">last year </w:t>
      </w:r>
      <w:r w:rsidR="00DC08F7">
        <w:t>as expected</w:t>
      </w:r>
      <w:r w:rsidR="00E90226">
        <w:t>,</w:t>
      </w:r>
      <w:r w:rsidR="00B848F1">
        <w:t xml:space="preserve"> the </w:t>
      </w:r>
      <w:r w:rsidR="00B848F1" w:rsidRPr="002F5D50">
        <w:rPr>
          <w:b/>
        </w:rPr>
        <w:t>state-owned enterprise</w:t>
      </w:r>
      <w:r w:rsidR="00B25718" w:rsidRPr="002F5D50">
        <w:rPr>
          <w:b/>
        </w:rPr>
        <w:t xml:space="preserve"> demonstrated</w:t>
      </w:r>
      <w:r w:rsidR="008719EF">
        <w:rPr>
          <w:b/>
        </w:rPr>
        <w:t xml:space="preserve"> its</w:t>
      </w:r>
      <w:r w:rsidR="00B25718" w:rsidRPr="002F5D50">
        <w:rPr>
          <w:b/>
        </w:rPr>
        <w:t xml:space="preserve"> ability to manage its own operations</w:t>
      </w:r>
      <w:r w:rsidR="00E90226">
        <w:t xml:space="preserve">, and </w:t>
      </w:r>
      <w:r w:rsidR="00B25718">
        <w:t xml:space="preserve">delivered its first ever </w:t>
      </w:r>
      <w:r w:rsidR="00E90226">
        <w:t>surplus</w:t>
      </w:r>
      <w:r w:rsidR="003A3C85">
        <w:t xml:space="preserve">.  </w:t>
      </w:r>
      <w:r w:rsidR="00E90226">
        <w:t>This enabled Australia to commence its transition out of the sector (scheduled for 30 June 2018) as the EU and ADB step in</w:t>
      </w:r>
      <w:r w:rsidR="003A3C85">
        <w:t xml:space="preserve">.  </w:t>
      </w:r>
      <w:r w:rsidR="00B25718" w:rsidRPr="0056653E">
        <w:t xml:space="preserve">The introduction of </w:t>
      </w:r>
      <w:r w:rsidR="00B25718" w:rsidRPr="006668D0">
        <w:t>pre-paid cash water meters</w:t>
      </w:r>
      <w:r w:rsidR="00A31EA0">
        <w:t xml:space="preserve"> </w:t>
      </w:r>
      <w:r w:rsidR="00B25718">
        <w:t>enabled households to better manage their water usage and resulted in more reliable revenue</w:t>
      </w:r>
      <w:r w:rsidR="003A3C85">
        <w:t xml:space="preserve">.  </w:t>
      </w:r>
      <w:r w:rsidR="00733426">
        <w:t xml:space="preserve">Planning for other infrastructure projects have included consideration of safeguards issues; </w:t>
      </w:r>
      <w:r w:rsidR="00F94C20">
        <w:t>the Gizo M</w:t>
      </w:r>
      <w:r w:rsidR="002D1532">
        <w:t xml:space="preserve">arket construction contract </w:t>
      </w:r>
      <w:r w:rsidR="00F94C20">
        <w:t>(not yet signed</w:t>
      </w:r>
      <w:r w:rsidR="00F94C20" w:rsidRPr="0056653E">
        <w:t xml:space="preserve">) </w:t>
      </w:r>
      <w:r w:rsidR="00733426">
        <w:t xml:space="preserve">includes </w:t>
      </w:r>
      <w:r w:rsidR="002D1532" w:rsidRPr="0056653E">
        <w:rPr>
          <w:b/>
        </w:rPr>
        <w:t>child protection bonds as an innovative way to incentivise</w:t>
      </w:r>
      <w:r w:rsidR="002D1532" w:rsidRPr="006668D0">
        <w:rPr>
          <w:b/>
        </w:rPr>
        <w:t xml:space="preserve"> compliance</w:t>
      </w:r>
      <w:r w:rsidR="002D1532">
        <w:t xml:space="preserve"> with Australian policy</w:t>
      </w:r>
      <w:r w:rsidR="000F7180">
        <w:t>.</w:t>
      </w:r>
    </w:p>
    <w:p w14:paraId="680E84AB" w14:textId="75BB83AB" w:rsidR="00B848F1" w:rsidRDefault="00313336" w:rsidP="00417BAB">
      <w:pPr>
        <w:spacing w:before="240" w:line="240" w:lineRule="auto"/>
      </w:pPr>
      <w:r>
        <w:t xml:space="preserve">The </w:t>
      </w:r>
      <w:r w:rsidR="00B848F1" w:rsidRPr="002F5D50">
        <w:rPr>
          <w:b/>
        </w:rPr>
        <w:t xml:space="preserve">transport </w:t>
      </w:r>
      <w:r w:rsidRPr="002F5D50">
        <w:rPr>
          <w:b/>
        </w:rPr>
        <w:t xml:space="preserve">sector </w:t>
      </w:r>
      <w:r w:rsidR="00B848F1" w:rsidRPr="002F5D50">
        <w:rPr>
          <w:b/>
        </w:rPr>
        <w:t xml:space="preserve">has </w:t>
      </w:r>
      <w:r w:rsidRPr="002F5D50">
        <w:rPr>
          <w:b/>
        </w:rPr>
        <w:t>seen</w:t>
      </w:r>
      <w:r w:rsidR="00B848F1" w:rsidRPr="002F5D50">
        <w:rPr>
          <w:b/>
        </w:rPr>
        <w:t xml:space="preserve"> mixed progress</w:t>
      </w:r>
      <w:r w:rsidR="003A3C85">
        <w:t xml:space="preserve">.  </w:t>
      </w:r>
      <w:r w:rsidR="00374614">
        <w:t xml:space="preserve">The NTF provided </w:t>
      </w:r>
      <w:r w:rsidR="00AD0685">
        <w:t>important benefits to rural communities (representing</w:t>
      </w:r>
      <w:r w:rsidR="00EC479F">
        <w:t xml:space="preserve"> 80 per cent</w:t>
      </w:r>
      <w:r w:rsidR="00AD0685">
        <w:t xml:space="preserve"> of the population) with maintenance </w:t>
      </w:r>
      <w:r w:rsidR="00196DAD">
        <w:t xml:space="preserve">of transport assets </w:t>
      </w:r>
      <w:r w:rsidR="00AD0685">
        <w:t>conducted in every province</w:t>
      </w:r>
      <w:r w:rsidR="003A3C85">
        <w:t xml:space="preserve">.  </w:t>
      </w:r>
      <w:r w:rsidR="007D3F5F">
        <w:t>With Australian support and advocacy</w:t>
      </w:r>
      <w:r w:rsidR="00196DAD">
        <w:t>,</w:t>
      </w:r>
      <w:r w:rsidR="007D3F5F">
        <w:t xml:space="preserve"> the Ministry for Infrastructure Development</w:t>
      </w:r>
      <w:r w:rsidR="00F94C20">
        <w:t xml:space="preserve"> (MID)</w:t>
      </w:r>
      <w:r w:rsidR="007D3F5F">
        <w:t xml:space="preserve"> mainstream</w:t>
      </w:r>
      <w:r w:rsidR="00F94C20">
        <w:t>ed</w:t>
      </w:r>
      <w:r w:rsidR="007D3F5F">
        <w:t xml:space="preserve"> disability</w:t>
      </w:r>
      <w:r w:rsidR="00231111">
        <w:t>,</w:t>
      </w:r>
      <w:r w:rsidR="007D3F5F">
        <w:t xml:space="preserve"> gender</w:t>
      </w:r>
      <w:r w:rsidR="00231111">
        <w:t xml:space="preserve"> and climate change</w:t>
      </w:r>
      <w:r w:rsidR="00196DAD">
        <w:t xml:space="preserve"> into its projects</w:t>
      </w:r>
      <w:r>
        <w:t xml:space="preserve"> (</w:t>
      </w:r>
      <w:r w:rsidR="003C1747">
        <w:t>gender-responsive and climate resilient design features were incorporated into the design of a major new bridge rehabilitation project in East Guadalcanal</w:t>
      </w:r>
      <w:r>
        <w:t>)</w:t>
      </w:r>
      <w:r w:rsidR="003A3C85">
        <w:t xml:space="preserve">.  </w:t>
      </w:r>
      <w:r w:rsidR="003C1747">
        <w:t xml:space="preserve">Due to strong procurement in 2015, the total distance of roads maintained and the number of wharves </w:t>
      </w:r>
      <w:r w:rsidR="0056653E">
        <w:t xml:space="preserve">maintained </w:t>
      </w:r>
      <w:r w:rsidR="003C1747">
        <w:t>both increased in 2016</w:t>
      </w:r>
      <w:r w:rsidR="003A3C85">
        <w:t xml:space="preserve">.  </w:t>
      </w:r>
      <w:r w:rsidR="003C1747">
        <w:t>However</w:t>
      </w:r>
      <w:r>
        <w:t>,</w:t>
      </w:r>
      <w:r w:rsidR="003C1747">
        <w:t xml:space="preserve"> procurement through the NTF in 2016 was well below expectations; the total number (41 to 13) and total value (SB$47</w:t>
      </w:r>
      <w:r w:rsidR="007E058A">
        <w:t xml:space="preserve"> </w:t>
      </w:r>
      <w:r w:rsidR="00EC481D">
        <w:t>million</w:t>
      </w:r>
      <w:r w:rsidR="003C1747">
        <w:t xml:space="preserve"> to SB$11</w:t>
      </w:r>
      <w:r w:rsidR="00EC481D">
        <w:t xml:space="preserve"> million</w:t>
      </w:r>
      <w:r w:rsidR="003C1747">
        <w:t xml:space="preserve">) of procurements decreased sharply due </w:t>
      </w:r>
      <w:r w:rsidR="001562A7">
        <w:t xml:space="preserve">to </w:t>
      </w:r>
      <w:r w:rsidR="003C1747">
        <w:t xml:space="preserve">poor MID implementation and it is expected that </w:t>
      </w:r>
      <w:r w:rsidR="00733426">
        <w:t xml:space="preserve">results will deteriorate </w:t>
      </w:r>
      <w:r w:rsidR="003C1747">
        <w:t>in 2017</w:t>
      </w:r>
      <w:r w:rsidR="00733426">
        <w:t>-18</w:t>
      </w:r>
      <w:r w:rsidR="003A3C85">
        <w:t xml:space="preserve">.  </w:t>
      </w:r>
      <w:r w:rsidR="002910FC">
        <w:t>Consequently, the last twelve months have seriously tested the assumption</w:t>
      </w:r>
      <w:r w:rsidR="00ED5BB5">
        <w:t xml:space="preserve"> </w:t>
      </w:r>
      <w:r w:rsidR="002910FC">
        <w:t xml:space="preserve">that working through </w:t>
      </w:r>
      <w:r w:rsidR="00DC08F7">
        <w:t>Solomon Island</w:t>
      </w:r>
      <w:r w:rsidR="008719EF">
        <w:t>s</w:t>
      </w:r>
      <w:r w:rsidR="00DC08F7">
        <w:t xml:space="preserve"> </w:t>
      </w:r>
      <w:r w:rsidR="002910FC">
        <w:t>system</w:t>
      </w:r>
      <w:r w:rsidR="008719EF">
        <w:t>s</w:t>
      </w:r>
      <w:r w:rsidR="002910FC">
        <w:t xml:space="preserve"> would result in an efficient, transparent and effective mechanism </w:t>
      </w:r>
      <w:r w:rsidR="00AD0685">
        <w:t>for transport maintenance</w:t>
      </w:r>
      <w:r w:rsidR="00355D98">
        <w:t>,</w:t>
      </w:r>
      <w:r w:rsidR="00AD0685">
        <w:t xml:space="preserve"> and that </w:t>
      </w:r>
      <w:r w:rsidR="008A4D1D">
        <w:t>performance-linked</w:t>
      </w:r>
      <w:r w:rsidR="00AD0685">
        <w:t xml:space="preserve"> aid would incentivise budget allocations</w:t>
      </w:r>
      <w:r w:rsidR="000F7180">
        <w:t>.</w:t>
      </w:r>
    </w:p>
    <w:p w14:paraId="10048770" w14:textId="5E0F5447" w:rsidR="004C59C9" w:rsidRDefault="004C59C9" w:rsidP="00417BAB">
      <w:pPr>
        <w:spacing w:before="240" w:line="240" w:lineRule="auto"/>
      </w:pPr>
      <w:r>
        <w:lastRenderedPageBreak/>
        <w:t xml:space="preserve">In 2016-17 Australia’s total </w:t>
      </w:r>
      <w:r w:rsidRPr="00E44C21">
        <w:rPr>
          <w:b/>
        </w:rPr>
        <w:t xml:space="preserve">aid for trade reached the target of twenty per cent of total bilateral </w:t>
      </w:r>
      <w:r w:rsidR="00E44C21" w:rsidRPr="00E44C21">
        <w:rPr>
          <w:b/>
        </w:rPr>
        <w:t>aid</w:t>
      </w:r>
      <w:r w:rsidR="003A3C85">
        <w:t xml:space="preserve">.  </w:t>
      </w:r>
      <w:r>
        <w:t xml:space="preserve">The contribution of trade to </w:t>
      </w:r>
      <w:r w:rsidR="00DA45C7">
        <w:t>Solomon Islands</w:t>
      </w:r>
      <w:r w:rsidR="008719EF">
        <w:t>’</w:t>
      </w:r>
      <w:r w:rsidR="00DA45C7">
        <w:t xml:space="preserve"> </w:t>
      </w:r>
      <w:r w:rsidR="00813824">
        <w:t xml:space="preserve">revenue base </w:t>
      </w:r>
      <w:r>
        <w:t>increased</w:t>
      </w:r>
      <w:r w:rsidR="00813824">
        <w:t>,</w:t>
      </w:r>
      <w:r>
        <w:t xml:space="preserve"> with </w:t>
      </w:r>
      <w:r w:rsidR="00813824">
        <w:t xml:space="preserve">the </w:t>
      </w:r>
      <w:r>
        <w:t>total value of revenue from exports growing from SB$559</w:t>
      </w:r>
      <w:r w:rsidR="00355D98">
        <w:t xml:space="preserve"> </w:t>
      </w:r>
      <w:r w:rsidR="00EC481D">
        <w:t>million</w:t>
      </w:r>
      <w:r>
        <w:t xml:space="preserve"> in 2015 to SB$589</w:t>
      </w:r>
      <w:r w:rsidR="00355D98">
        <w:t xml:space="preserve"> </w:t>
      </w:r>
      <w:r w:rsidR="00EC481D">
        <w:t>million</w:t>
      </w:r>
      <w:r>
        <w:t xml:space="preserve"> in 2016</w:t>
      </w:r>
      <w:r w:rsidR="003A3C85">
        <w:t xml:space="preserve">.  </w:t>
      </w:r>
      <w:r w:rsidR="00ED5BB5">
        <w:t>A</w:t>
      </w:r>
      <w:r>
        <w:t>fter strong advocacy from Australia</w:t>
      </w:r>
      <w:r w:rsidR="00ED5BB5">
        <w:t>,</w:t>
      </w:r>
      <w:r>
        <w:t xml:space="preserve"> </w:t>
      </w:r>
      <w:r w:rsidR="00DA45C7">
        <w:t>Solomon Islands</w:t>
      </w:r>
      <w:r w:rsidR="008719EF">
        <w:t xml:space="preserve"> </w:t>
      </w:r>
      <w:r>
        <w:t xml:space="preserve">signed </w:t>
      </w:r>
      <w:r w:rsidR="001562A7">
        <w:t xml:space="preserve">the </w:t>
      </w:r>
      <w:r>
        <w:t>PACER Plus</w:t>
      </w:r>
      <w:r w:rsidR="00813824">
        <w:t xml:space="preserve"> agreement</w:t>
      </w:r>
      <w:r>
        <w:t xml:space="preserve"> in </w:t>
      </w:r>
      <w:r w:rsidR="00DA45C7">
        <w:t>June</w:t>
      </w:r>
      <w:r>
        <w:t xml:space="preserve"> 2017</w:t>
      </w:r>
      <w:r w:rsidR="003A3C85">
        <w:t xml:space="preserve">.  </w:t>
      </w:r>
      <w:r w:rsidR="008D0FF5">
        <w:t>S</w:t>
      </w:r>
      <w:r w:rsidR="003928E1">
        <w:t>upport</w:t>
      </w:r>
      <w:r>
        <w:t xml:space="preserve"> to realise the benefits of PACER Plus</w:t>
      </w:r>
      <w:r w:rsidR="008D0FF5">
        <w:t xml:space="preserve"> </w:t>
      </w:r>
      <w:r>
        <w:t xml:space="preserve">will be delivered through </w:t>
      </w:r>
      <w:r w:rsidR="00ED5BB5">
        <w:t xml:space="preserve">a </w:t>
      </w:r>
      <w:r>
        <w:t>regional readiness package and bilateral bio-security support.</w:t>
      </w:r>
    </w:p>
    <w:p w14:paraId="659FC47A" w14:textId="2BEFBB89" w:rsidR="000F7180" w:rsidRDefault="0047208D" w:rsidP="000F7180">
      <w:pPr>
        <w:spacing w:before="240" w:line="240" w:lineRule="auto"/>
      </w:pPr>
      <w:r>
        <w:t>In 2016-17, t</w:t>
      </w:r>
      <w:r w:rsidR="00B21613">
        <w:t xml:space="preserve">he private sector expanded </w:t>
      </w:r>
      <w:r w:rsidR="00E152CD">
        <w:t xml:space="preserve">and </w:t>
      </w:r>
      <w:r w:rsidR="00E152CD" w:rsidRPr="00E44C21">
        <w:rPr>
          <w:b/>
        </w:rPr>
        <w:t>participation</w:t>
      </w:r>
      <w:r w:rsidR="00F94C20" w:rsidRPr="00E44C21">
        <w:rPr>
          <w:b/>
        </w:rPr>
        <w:t xml:space="preserve"> of private sector in </w:t>
      </w:r>
      <w:r w:rsidR="00E152CD" w:rsidRPr="00E44C21">
        <w:rPr>
          <w:b/>
        </w:rPr>
        <w:t xml:space="preserve">policy dialogue </w:t>
      </w:r>
      <w:r w:rsidRPr="00E44C21">
        <w:rPr>
          <w:b/>
        </w:rPr>
        <w:t>increased</w:t>
      </w:r>
      <w:r w:rsidR="003A3C85">
        <w:t xml:space="preserve">.  </w:t>
      </w:r>
      <w:r w:rsidR="00B21613">
        <w:t>The number of registered businesses increased to 1,797 (2016) from a baseline of 1,561</w:t>
      </w:r>
      <w:r w:rsidR="00DA45C7">
        <w:t xml:space="preserve"> </w:t>
      </w:r>
      <w:r w:rsidR="00B21613">
        <w:t>(2015) and</w:t>
      </w:r>
      <w:r w:rsidR="00F94C20">
        <w:t xml:space="preserve"> the number registered in 2017 wa</w:t>
      </w:r>
      <w:r w:rsidR="00B21613">
        <w:t xml:space="preserve">s </w:t>
      </w:r>
      <w:r w:rsidR="00F94C20">
        <w:t>o</w:t>
      </w:r>
      <w:r w:rsidR="00B21613">
        <w:t>ver 2,000</w:t>
      </w:r>
      <w:r w:rsidR="00F94C20">
        <w:t xml:space="preserve"> in early July</w:t>
      </w:r>
      <w:r w:rsidR="003A3C85">
        <w:t xml:space="preserve">.  </w:t>
      </w:r>
      <w:r w:rsidR="00B21613">
        <w:t>Private sector credit grew from SB$1.98 billion (2015) to SB$2.19</w:t>
      </w:r>
      <w:r w:rsidR="00355D98">
        <w:t xml:space="preserve"> </w:t>
      </w:r>
      <w:r w:rsidR="00B21613">
        <w:t>billion (2016)</w:t>
      </w:r>
      <w:r w:rsidR="003A3C85">
        <w:t xml:space="preserve">.  </w:t>
      </w:r>
      <w:r w:rsidR="00ED5BB5">
        <w:t xml:space="preserve">Solomon Islands’ performance in the </w:t>
      </w:r>
      <w:r w:rsidR="00E152CD">
        <w:t xml:space="preserve">cost of doing business </w:t>
      </w:r>
      <w:r w:rsidR="00ED5BB5">
        <w:t xml:space="preserve">rankings </w:t>
      </w:r>
      <w:r w:rsidR="000842F7">
        <w:t>(end of plan outcome indicator)</w:t>
      </w:r>
      <w:r w:rsidR="008719EF">
        <w:t xml:space="preserve"> </w:t>
      </w:r>
      <w:r w:rsidR="00E152CD">
        <w:t xml:space="preserve">remained </w:t>
      </w:r>
      <w:r w:rsidR="000842F7">
        <w:t xml:space="preserve">relatively </w:t>
      </w:r>
      <w:r w:rsidR="00E152CD">
        <w:t>stable with an improved ranking of 104 in 2017 compared to 109 (2015) and 112 (2016)</w:t>
      </w:r>
      <w:r w:rsidR="003A3C85">
        <w:t xml:space="preserve">.  </w:t>
      </w:r>
      <w:r w:rsidR="00F94908">
        <w:t xml:space="preserve">Australia facilitated </w:t>
      </w:r>
      <w:r w:rsidR="00ED5BB5">
        <w:t xml:space="preserve">the </w:t>
      </w:r>
      <w:r w:rsidR="00F94908">
        <w:t xml:space="preserve">first tripartite </w:t>
      </w:r>
      <w:r w:rsidR="00C8513A">
        <w:t>MOU</w:t>
      </w:r>
      <w:r w:rsidR="00355D98">
        <w:t xml:space="preserve"> </w:t>
      </w:r>
      <w:r w:rsidR="00F94908">
        <w:t xml:space="preserve">between </w:t>
      </w:r>
      <w:r w:rsidR="00DA45C7">
        <w:t xml:space="preserve">the Solomon Islands Government, </w:t>
      </w:r>
      <w:r w:rsidR="0005513F">
        <w:t xml:space="preserve">Australia </w:t>
      </w:r>
      <w:r w:rsidR="00F94908">
        <w:t xml:space="preserve">and </w:t>
      </w:r>
      <w:r w:rsidR="00C8513A">
        <w:t xml:space="preserve">a </w:t>
      </w:r>
      <w:r w:rsidR="00F94908">
        <w:t>private sector</w:t>
      </w:r>
      <w:r w:rsidR="000328EF">
        <w:t xml:space="preserve"> company</w:t>
      </w:r>
      <w:r w:rsidR="00C8513A">
        <w:t>, Guadalcanal Plains Palm Oil Ltd (GPPOL)</w:t>
      </w:r>
      <w:r w:rsidR="00F94908">
        <w:t xml:space="preserve"> – the </w:t>
      </w:r>
      <w:r w:rsidR="00C8513A">
        <w:t>MOU outlines our shared commitment to sustainable agriculture in East Guadalcanal</w:t>
      </w:r>
      <w:r w:rsidR="003A3C85">
        <w:t xml:space="preserve">.  </w:t>
      </w:r>
      <w:r w:rsidR="00C8513A">
        <w:t xml:space="preserve">To support the MOU, Australia invested </w:t>
      </w:r>
      <w:r w:rsidR="0056653E">
        <w:t>$6</w:t>
      </w:r>
      <w:r w:rsidR="00355D98">
        <w:t xml:space="preserve"> </w:t>
      </w:r>
      <w:r w:rsidR="00EC481D">
        <w:t>million</w:t>
      </w:r>
      <w:r w:rsidR="0056653E">
        <w:t xml:space="preserve"> </w:t>
      </w:r>
      <w:r w:rsidR="00C8513A">
        <w:t xml:space="preserve">through the NTF for the repair </w:t>
      </w:r>
      <w:r w:rsidR="00F94908">
        <w:t>of two bridges</w:t>
      </w:r>
      <w:r w:rsidR="000328EF">
        <w:t xml:space="preserve"> </w:t>
      </w:r>
      <w:r w:rsidR="00C8513A">
        <w:t>washed away by a cyclone in the 1990s</w:t>
      </w:r>
      <w:r w:rsidR="003A3C85">
        <w:t xml:space="preserve">.  </w:t>
      </w:r>
      <w:r w:rsidR="00ED5BB5">
        <w:t>R</w:t>
      </w:r>
      <w:r w:rsidR="00C8513A">
        <w:t>einstating transport connectivity will unlock the agricultural potential of this region, including for GPPOL’s planned US</w:t>
      </w:r>
      <w:r w:rsidR="003C1747">
        <w:t>$</w:t>
      </w:r>
      <w:r w:rsidR="00C8513A">
        <w:t>200</w:t>
      </w:r>
      <w:r w:rsidR="00355D98">
        <w:t xml:space="preserve"> </w:t>
      </w:r>
      <w:r w:rsidR="00EC481D">
        <w:t>million</w:t>
      </w:r>
      <w:r w:rsidR="00C8513A">
        <w:t xml:space="preserve"> expansion that will create up to 4,000 new jobs</w:t>
      </w:r>
      <w:r w:rsidR="003A3C85">
        <w:t xml:space="preserve">.  </w:t>
      </w:r>
      <w:r w:rsidR="00ED5BB5">
        <w:t xml:space="preserve">With Australian support, the </w:t>
      </w:r>
      <w:r w:rsidR="000842F7">
        <w:t xml:space="preserve">legitimacy and capacity of </w:t>
      </w:r>
      <w:r w:rsidR="00C8513A">
        <w:t xml:space="preserve">the </w:t>
      </w:r>
      <w:r w:rsidR="00E152CD">
        <w:t>SICCI</w:t>
      </w:r>
      <w:r w:rsidR="000842F7">
        <w:t xml:space="preserve"> increased</w:t>
      </w:r>
      <w:r w:rsidR="00925F90">
        <w:t>, with growing engagement with government on issues such as tax reform.</w:t>
      </w:r>
    </w:p>
    <w:p w14:paraId="27481659" w14:textId="77DC9DD4" w:rsidR="006A40B2" w:rsidRPr="000F7180" w:rsidRDefault="00862783" w:rsidP="00BD607E">
      <w:pPr>
        <w:spacing w:before="240" w:line="240" w:lineRule="auto"/>
      </w:pPr>
      <w:r>
        <w:rPr>
          <w:rFonts w:asciiTheme="majorHAnsi" w:eastAsiaTheme="majorEastAsia" w:hAnsiTheme="majorHAnsi" w:cstheme="majorBidi"/>
          <w:caps/>
          <w:sz w:val="38"/>
          <w:szCs w:val="26"/>
        </w:rPr>
        <w:t>Objective 2.B</w:t>
      </w:r>
      <w:r w:rsidR="006A40B2">
        <w:rPr>
          <w:rFonts w:asciiTheme="majorHAnsi" w:eastAsiaTheme="majorEastAsia" w:hAnsiTheme="majorHAnsi" w:cstheme="majorBidi"/>
          <w:caps/>
          <w:sz w:val="38"/>
          <w:szCs w:val="26"/>
        </w:rPr>
        <w:t xml:space="preserve">: </w:t>
      </w:r>
      <w:r w:rsidR="00166B1E">
        <w:rPr>
          <w:rFonts w:asciiTheme="majorHAnsi" w:eastAsiaTheme="majorEastAsia" w:hAnsiTheme="majorHAnsi" w:cstheme="majorBidi"/>
          <w:caps/>
          <w:sz w:val="38"/>
          <w:szCs w:val="26"/>
        </w:rPr>
        <w:t>increased Ability to earn cash</w:t>
      </w:r>
      <w:r>
        <w:rPr>
          <w:rFonts w:asciiTheme="majorHAnsi" w:eastAsiaTheme="majorEastAsia" w:hAnsiTheme="majorHAnsi" w:cstheme="majorBidi"/>
          <w:caps/>
          <w:sz w:val="38"/>
          <w:szCs w:val="26"/>
        </w:rPr>
        <w:t xml:space="preserve">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247"/>
        <w:gridCol w:w="1247"/>
        <w:gridCol w:w="1247"/>
        <w:gridCol w:w="1247"/>
      </w:tblGrid>
      <w:tr w:rsidR="006A40B2" w14:paraId="57171CD2" w14:textId="77777777" w:rsidTr="00C41A61">
        <w:tc>
          <w:tcPr>
            <w:tcW w:w="2016" w:type="dxa"/>
          </w:tcPr>
          <w:p w14:paraId="4D3B45F0" w14:textId="77777777" w:rsidR="006A40B2" w:rsidRDefault="006A40B2" w:rsidP="007E5A85">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3D478F5D" wp14:editId="7D53AE02">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9">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247" w:type="dxa"/>
          </w:tcPr>
          <w:p w14:paraId="75F6D9C8" w14:textId="77777777" w:rsidR="006A40B2" w:rsidRDefault="007E28AC" w:rsidP="007E5A8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E479105" wp14:editId="6A931DE4">
                  <wp:extent cx="612000" cy="612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47" w:type="dxa"/>
          </w:tcPr>
          <w:p w14:paraId="1A0DC671" w14:textId="77777777" w:rsidR="006A40B2" w:rsidRDefault="0037640B" w:rsidP="007E5A8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8EEB30F" wp14:editId="68580A42">
                  <wp:extent cx="612000" cy="61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47" w:type="dxa"/>
          </w:tcPr>
          <w:p w14:paraId="1D82AF66" w14:textId="77777777" w:rsidR="006A40B2" w:rsidRDefault="0037640B" w:rsidP="007E5A8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48E6E94" wp14:editId="3734ED1F">
                  <wp:extent cx="612000" cy="61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47" w:type="dxa"/>
          </w:tcPr>
          <w:p w14:paraId="398FA76F" w14:textId="77777777" w:rsidR="006A40B2" w:rsidRDefault="0037640B" w:rsidP="007E5A8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4799170" wp14:editId="46CD1AA1">
                  <wp:extent cx="609600" cy="609600"/>
                  <wp:effectExtent l="0" t="0" r="0" b="0"/>
                  <wp:docPr id="45" name="Picture 45"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14:paraId="2CB999C7" w14:textId="0515B23B" w:rsidR="00DA45C7" w:rsidRDefault="003929D1" w:rsidP="00C41A61">
      <w:pPr>
        <w:suppressAutoHyphens w:val="0"/>
        <w:spacing w:after="120" w:line="240" w:lineRule="auto"/>
      </w:pPr>
      <w:r w:rsidRPr="008A4D1D">
        <w:t xml:space="preserve">The amber rating reflects a judgement that although there are a number of effective activities in progress they do not yet amount to a sustained contribution to the objective of improving </w:t>
      </w:r>
      <w:r w:rsidR="000F4E11">
        <w:t>incomes</w:t>
      </w:r>
      <w:r w:rsidR="00355D98">
        <w:t>,</w:t>
      </w:r>
      <w:r w:rsidR="000F4E11">
        <w:t xml:space="preserve"> </w:t>
      </w:r>
      <w:r w:rsidRPr="008A4D1D">
        <w:t>especially rural incomes</w:t>
      </w:r>
      <w:r w:rsidR="003A3C85">
        <w:t xml:space="preserve">.  </w:t>
      </w:r>
      <w:r w:rsidR="00BE38EB" w:rsidRPr="00DC59A1">
        <w:rPr>
          <w:b/>
        </w:rPr>
        <w:t>Participation in formal employment was mostly steady in 2016</w:t>
      </w:r>
      <w:r w:rsidR="00BE38EB">
        <w:t xml:space="preserve"> with marginal growth in some areas</w:t>
      </w:r>
      <w:r w:rsidR="003A3C85">
        <w:t xml:space="preserve">.  </w:t>
      </w:r>
      <w:r w:rsidR="00BE38EB">
        <w:t xml:space="preserve">A key proxy for formal employment was the number of active members of the National Provident Fund </w:t>
      </w:r>
      <w:r w:rsidR="0037640B">
        <w:t>(NPF)</w:t>
      </w:r>
      <w:r w:rsidR="008719EF">
        <w:t xml:space="preserve"> </w:t>
      </w:r>
      <w:r w:rsidR="00BE38EB">
        <w:t>which increased marginally from the baseline of 55,438 in 2015 to 55,820 in 2016</w:t>
      </w:r>
      <w:r w:rsidR="003A3C85">
        <w:t xml:space="preserve">.  </w:t>
      </w:r>
      <w:r w:rsidR="00C26C52">
        <w:t xml:space="preserve">Australian funding </w:t>
      </w:r>
      <w:r w:rsidR="00E6585D">
        <w:t xml:space="preserve">to </w:t>
      </w:r>
      <w:r w:rsidR="00DF1661">
        <w:t>IFC</w:t>
      </w:r>
      <w:r w:rsidR="00E6585D">
        <w:t xml:space="preserve"> </w:t>
      </w:r>
      <w:r w:rsidR="00C26C52">
        <w:t>to support the private sector to close the gender gap in employment and leadership was launched in July 2016, and one year later, 17 private sector companies with over 100 employees</w:t>
      </w:r>
      <w:r w:rsidR="001562A7">
        <w:t xml:space="preserve"> each</w:t>
      </w:r>
      <w:r w:rsidR="00C26C52">
        <w:t xml:space="preserve">, signed on to the </w:t>
      </w:r>
      <w:r w:rsidR="0056653E">
        <w:t>‘</w:t>
      </w:r>
      <w:r w:rsidR="00C26C52">
        <w:t xml:space="preserve">Waka Mere’ challenge – a two year commitment to </w:t>
      </w:r>
      <w:r w:rsidR="00664C35">
        <w:t>implement ‘gender smart’ employment solutions</w:t>
      </w:r>
      <w:r w:rsidR="003A3C85">
        <w:t xml:space="preserve">.  </w:t>
      </w:r>
      <w:r w:rsidR="00F938B1">
        <w:t xml:space="preserve">Measuring the effect of ‘Waka Mere’ and similar initiatives on women’s earnings and career progression is </w:t>
      </w:r>
      <w:r w:rsidR="00E20382">
        <w:t xml:space="preserve">however </w:t>
      </w:r>
      <w:r w:rsidR="00F938B1">
        <w:t>expected to be difficult</w:t>
      </w:r>
      <w:r w:rsidR="000F7180">
        <w:t>.</w:t>
      </w:r>
    </w:p>
    <w:p w14:paraId="674D39F0" w14:textId="5BDD53DE" w:rsidR="00E43B17" w:rsidRDefault="00BE38EB" w:rsidP="00C41A61">
      <w:pPr>
        <w:suppressAutoHyphens w:val="0"/>
        <w:spacing w:after="120" w:line="240" w:lineRule="auto"/>
      </w:pPr>
      <w:r w:rsidRPr="002F5D50">
        <w:rPr>
          <w:b/>
        </w:rPr>
        <w:t>Solomon Islander participation in the Australian Seasonal Worker Programme</w:t>
      </w:r>
      <w:r w:rsidR="00E6585D" w:rsidRPr="002F5D50">
        <w:rPr>
          <w:b/>
        </w:rPr>
        <w:t xml:space="preserve"> (SWP)</w:t>
      </w:r>
      <w:r w:rsidRPr="002F5D50">
        <w:rPr>
          <w:b/>
        </w:rPr>
        <w:t xml:space="preserve"> also increased</w:t>
      </w:r>
      <w:r>
        <w:t xml:space="preserve"> marginally to 87 (in 2016-17) compared to 61 the previous year, but was substantially below other countries in the Pacific and Solomon Islander participation in the equivalent NZ scheme</w:t>
      </w:r>
      <w:r w:rsidR="003A3C85">
        <w:t xml:space="preserve">.  </w:t>
      </w:r>
      <w:r>
        <w:t>However, Solomon Islands</w:t>
      </w:r>
      <w:r w:rsidR="003929D1">
        <w:t>’</w:t>
      </w:r>
      <w:r>
        <w:t xml:space="preserve"> reputation as a supplier </w:t>
      </w:r>
      <w:r w:rsidR="00C553AD">
        <w:t>of reliable labour has improved, with two approved Australian employers having conducted repeat recruitment</w:t>
      </w:r>
      <w:r w:rsidR="00813824">
        <w:t>s</w:t>
      </w:r>
      <w:r w:rsidR="00C553AD">
        <w:t xml:space="preserve"> of Solomon Islander workers in 2016-17</w:t>
      </w:r>
      <w:r w:rsidR="003A3C85">
        <w:t xml:space="preserve">.  </w:t>
      </w:r>
      <w:r w:rsidR="0037640B">
        <w:t xml:space="preserve">A key challenge in 2017-18 will be </w:t>
      </w:r>
      <w:r w:rsidR="00E20382">
        <w:t>to better understand</w:t>
      </w:r>
      <w:r w:rsidR="0037640B">
        <w:t xml:space="preserve"> the barriers to women’s participation in the</w:t>
      </w:r>
      <w:r w:rsidR="00E6585D">
        <w:t xml:space="preserve"> SWP</w:t>
      </w:r>
      <w:r w:rsidR="0037640B">
        <w:t xml:space="preserve"> and increasing participation of women from the current baseline of zero.</w:t>
      </w:r>
    </w:p>
    <w:p w14:paraId="18B49371" w14:textId="69D3FAC9" w:rsidR="00D166F7" w:rsidRDefault="007D3F5F" w:rsidP="00E6585D">
      <w:pPr>
        <w:suppressAutoHyphens w:val="0"/>
        <w:spacing w:after="120" w:line="240" w:lineRule="auto"/>
      </w:pPr>
      <w:r>
        <w:t>T</w:t>
      </w:r>
      <w:r w:rsidR="00611003">
        <w:t xml:space="preserve">here </w:t>
      </w:r>
      <w:r w:rsidR="003929D1">
        <w:t xml:space="preserve">have </w:t>
      </w:r>
      <w:r w:rsidR="00611003">
        <w:t xml:space="preserve">been </w:t>
      </w:r>
      <w:r w:rsidR="00F938B1">
        <w:t xml:space="preserve">some cases of </w:t>
      </w:r>
      <w:r w:rsidR="00611003">
        <w:t xml:space="preserve">improved earnings from informal employment but measuring impact of Australian investments continued to </w:t>
      </w:r>
      <w:r w:rsidR="00F938B1">
        <w:t xml:space="preserve">be </w:t>
      </w:r>
      <w:r w:rsidR="00813824">
        <w:t xml:space="preserve">a </w:t>
      </w:r>
      <w:r w:rsidR="00611003">
        <w:t>challeng</w:t>
      </w:r>
      <w:r w:rsidR="00D96973">
        <w:t>e</w:t>
      </w:r>
      <w:r w:rsidR="00611003">
        <w:t xml:space="preserve"> in 2016-17</w:t>
      </w:r>
      <w:r w:rsidR="003A3C85">
        <w:t xml:space="preserve">.  </w:t>
      </w:r>
      <w:r w:rsidR="00611003">
        <w:t xml:space="preserve">The Australian supported </w:t>
      </w:r>
      <w:r w:rsidR="00611003" w:rsidRPr="002F5D50">
        <w:rPr>
          <w:b/>
        </w:rPr>
        <w:t xml:space="preserve">rural development program </w:t>
      </w:r>
      <w:r w:rsidR="00611003" w:rsidRPr="007C5B43">
        <w:rPr>
          <w:b/>
        </w:rPr>
        <w:t xml:space="preserve">reached all 172 wards across all </w:t>
      </w:r>
      <w:r w:rsidR="007C5B43">
        <w:rPr>
          <w:b/>
        </w:rPr>
        <w:t>nine</w:t>
      </w:r>
      <w:r w:rsidR="00611003" w:rsidRPr="007C5B43">
        <w:rPr>
          <w:b/>
        </w:rPr>
        <w:t xml:space="preserve"> provinces and trained 1,657 households on farm</w:t>
      </w:r>
      <w:r w:rsidR="00611003" w:rsidRPr="00F938B1">
        <w:rPr>
          <w:b/>
        </w:rPr>
        <w:t>ing practi</w:t>
      </w:r>
      <w:r w:rsidR="00355D98">
        <w:rPr>
          <w:b/>
        </w:rPr>
        <w:t>c</w:t>
      </w:r>
      <w:r w:rsidR="00611003" w:rsidRPr="00F938B1">
        <w:rPr>
          <w:b/>
        </w:rPr>
        <w:t>es</w:t>
      </w:r>
      <w:r w:rsidR="00611003">
        <w:t xml:space="preserve"> to improve yields and increase the value of produce</w:t>
      </w:r>
      <w:r w:rsidR="003A3C85">
        <w:t xml:space="preserve">.  </w:t>
      </w:r>
      <w:r w:rsidR="00611003">
        <w:t>For example</w:t>
      </w:r>
      <w:r w:rsidR="00DF1661">
        <w:t>,</w:t>
      </w:r>
      <w:r w:rsidR="00611003">
        <w:t xml:space="preserve"> cocoa farmers who participated in the training on average tripled their production in 2016 and 2,066 fa</w:t>
      </w:r>
      <w:r w:rsidR="008719EF">
        <w:t>r</w:t>
      </w:r>
      <w:r w:rsidR="00611003">
        <w:t>mers generated increased income compared to the previous year</w:t>
      </w:r>
      <w:r w:rsidR="003A3C85">
        <w:t xml:space="preserve">.  </w:t>
      </w:r>
      <w:r>
        <w:t>Australian support to key Solomon Islands markets vendor associations</w:t>
      </w:r>
      <w:r w:rsidR="00207FCC">
        <w:t xml:space="preserve"> (MVA)</w:t>
      </w:r>
      <w:r w:rsidR="00CB5666">
        <w:t xml:space="preserve"> and respective local governments responsible for market management strengthened</w:t>
      </w:r>
      <w:r>
        <w:t xml:space="preserve"> women’s </w:t>
      </w:r>
      <w:r>
        <w:lastRenderedPageBreak/>
        <w:t>participation in decision making</w:t>
      </w:r>
      <w:r w:rsidR="00207FCC">
        <w:t xml:space="preserve"> </w:t>
      </w:r>
      <w:r w:rsidR="00CB5666">
        <w:t>and the capacity of local government to implement gender responsive solutions</w:t>
      </w:r>
      <w:r w:rsidR="00207FCC">
        <w:t>, and increased women’s access to financial literacy training and services</w:t>
      </w:r>
      <w:r w:rsidR="003A3C85">
        <w:t xml:space="preserve">.  </w:t>
      </w:r>
      <w:r w:rsidR="00207FCC">
        <w:t xml:space="preserve">The number of MVA members increased from 310 in 2014 to 449 by June </w:t>
      </w:r>
      <w:r w:rsidR="00C47708">
        <w:t>2017 (45%)</w:t>
      </w:r>
      <w:r w:rsidR="003A3C85">
        <w:t xml:space="preserve">.  </w:t>
      </w:r>
      <w:r w:rsidR="00207FCC">
        <w:t>T</w:t>
      </w:r>
      <w:r w:rsidR="00207FCC" w:rsidRPr="00163FC4">
        <w:t xml:space="preserve">he </w:t>
      </w:r>
      <w:r w:rsidR="000F4E11">
        <w:t>NPF</w:t>
      </w:r>
      <w:r w:rsidR="00207FCC" w:rsidRPr="00163FC4">
        <w:t xml:space="preserve"> signed up 273 </w:t>
      </w:r>
      <w:r w:rsidR="00207FCC">
        <w:t xml:space="preserve">Honiara market vendor association </w:t>
      </w:r>
      <w:r w:rsidR="00207FCC" w:rsidRPr="00163FC4">
        <w:t xml:space="preserve">members to a savings plan, where 50% of their saving contribution goes to their </w:t>
      </w:r>
      <w:r w:rsidR="008A4D1D" w:rsidRPr="00163FC4">
        <w:t>long-term</w:t>
      </w:r>
      <w:r w:rsidR="00207FCC" w:rsidRPr="00163FC4">
        <w:t xml:space="preserve"> super fund, and 50% is kept in a general bank account to be accessed by the member up to </w:t>
      </w:r>
      <w:r w:rsidR="00207FCC">
        <w:t>four</w:t>
      </w:r>
      <w:r w:rsidR="00207FCC" w:rsidRPr="00163FC4">
        <w:t xml:space="preserve"> times a year</w:t>
      </w:r>
      <w:r w:rsidR="000F7180">
        <w:t>.</w:t>
      </w:r>
    </w:p>
    <w:p w14:paraId="62891510" w14:textId="10C135F6" w:rsidR="00D51FB2" w:rsidRDefault="00D06693" w:rsidP="00D51FB2">
      <w:pPr>
        <w:suppressAutoHyphens w:val="0"/>
        <w:spacing w:after="120" w:line="240" w:lineRule="auto"/>
      </w:pPr>
      <w:r>
        <w:t>Australia supported a range of training programs that developed Solomon Islanders</w:t>
      </w:r>
      <w:r w:rsidR="009423D7">
        <w:t>’</w:t>
      </w:r>
      <w:r>
        <w:t xml:space="preserve"> skills and work-readiness</w:t>
      </w:r>
      <w:r w:rsidR="003A3C85">
        <w:t xml:space="preserve">.  </w:t>
      </w:r>
      <w:r>
        <w:t>The total number of men and women trained through APTC, Skills for Economic Growth</w:t>
      </w:r>
      <w:r w:rsidR="001562A7">
        <w:t xml:space="preserve"> (S4EG)</w:t>
      </w:r>
      <w:r>
        <w:t xml:space="preserve"> and Youth@Work programs increased from 689 in 2015 to 780 in 2016</w:t>
      </w:r>
      <w:r w:rsidR="003A3C85">
        <w:t xml:space="preserve">.  </w:t>
      </w:r>
      <w:r>
        <w:t>The Solomon Islands Women in Business Association (SIWIBA) conducted t</w:t>
      </w:r>
      <w:r w:rsidRPr="007C5B43">
        <w:t>raining for member</w:t>
      </w:r>
      <w:r w:rsidR="00A31EA0">
        <w:t>s</w:t>
      </w:r>
      <w:r w:rsidRPr="007C5B43">
        <w:t xml:space="preserve"> but participation (138 in 2016) was lower than the baseline (319 in 2015)</w:t>
      </w:r>
      <w:r w:rsidR="003A3C85">
        <w:t xml:space="preserve">.  </w:t>
      </w:r>
      <w:r w:rsidR="004C59C9" w:rsidRPr="002F5D50">
        <w:t xml:space="preserve">Importantly, </w:t>
      </w:r>
      <w:r w:rsidRPr="002F5D50">
        <w:t>there was very limited evidence that train</w:t>
      </w:r>
      <w:r w:rsidR="004C59C9" w:rsidRPr="002F5D50">
        <w:t xml:space="preserve">ing </w:t>
      </w:r>
      <w:r w:rsidR="001562A7" w:rsidRPr="002F5D50">
        <w:t xml:space="preserve">by SIWIBA </w:t>
      </w:r>
      <w:r w:rsidR="004C59C9" w:rsidRPr="002F5D50">
        <w:t>resulted in increased income or employment</w:t>
      </w:r>
      <w:r w:rsidR="003A3C85">
        <w:t xml:space="preserve">.  </w:t>
      </w:r>
      <w:r w:rsidRPr="002F5D50">
        <w:t xml:space="preserve">The </w:t>
      </w:r>
      <w:r w:rsidR="001562A7" w:rsidRPr="002F5D50">
        <w:t>tracer study for</w:t>
      </w:r>
      <w:r w:rsidRPr="002F5D50">
        <w:t xml:space="preserve"> the Youth@Work program </w:t>
      </w:r>
      <w:r w:rsidR="001562A7" w:rsidRPr="002F5D50">
        <w:t xml:space="preserve">found </w:t>
      </w:r>
      <w:r w:rsidRPr="002F5D50">
        <w:t xml:space="preserve">60% of </w:t>
      </w:r>
      <w:r w:rsidR="001357F1" w:rsidRPr="002F5D50">
        <w:t xml:space="preserve">internship </w:t>
      </w:r>
      <w:r w:rsidRPr="002F5D50">
        <w:t xml:space="preserve">participants </w:t>
      </w:r>
      <w:r w:rsidR="001357F1" w:rsidRPr="002F5D50">
        <w:t>gained</w:t>
      </w:r>
      <w:r w:rsidRPr="002F5D50">
        <w:t xml:space="preserve"> permanent employment with</w:t>
      </w:r>
      <w:r>
        <w:t xml:space="preserve"> the same company</w:t>
      </w:r>
      <w:r w:rsidR="003A3C85">
        <w:t xml:space="preserve">.  </w:t>
      </w:r>
      <w:r w:rsidR="001562A7">
        <w:t>APTC maintains good employment results for graduates</w:t>
      </w:r>
      <w:r w:rsidR="000F7180">
        <w:t>.</w:t>
      </w:r>
    </w:p>
    <w:p w14:paraId="3FF9FDCD" w14:textId="0448D607" w:rsidR="00DF1661" w:rsidRDefault="009423D7" w:rsidP="00D51FB2">
      <w:pPr>
        <w:suppressAutoHyphens w:val="0"/>
        <w:spacing w:after="120" w:line="240" w:lineRule="auto"/>
      </w:pPr>
      <w:r>
        <w:t>S4EG</w:t>
      </w:r>
      <w:r w:rsidR="00D51FB2">
        <w:t xml:space="preserve"> is in its early stages but is emerging as a provider of career paths for rural youth, with new opportunities for women</w:t>
      </w:r>
      <w:r w:rsidR="003A3C85">
        <w:t xml:space="preserve">.  </w:t>
      </w:r>
      <w:r w:rsidR="0005513F">
        <w:t xml:space="preserve">Australia </w:t>
      </w:r>
      <w:r w:rsidR="00D51FB2">
        <w:t xml:space="preserve">designed and contracted a new private sector program, Strongim Bisnis, which aims to restore and develop market chains for cash crops (building </w:t>
      </w:r>
      <w:r>
        <w:t xml:space="preserve">partly </w:t>
      </w:r>
      <w:r w:rsidR="00D51FB2">
        <w:t>on the kno</w:t>
      </w:r>
      <w:r>
        <w:t>wledge and structures generated by the regional Pacific Horticultural and Agricultural Market Access (PHAMA) program) and t</w:t>
      </w:r>
      <w:r w:rsidR="00D51FB2">
        <w:t>ourism</w:t>
      </w:r>
      <w:r w:rsidR="003A3C85">
        <w:t xml:space="preserve">.  </w:t>
      </w:r>
      <w:r>
        <w:t>Results from these and existing programs will be brought together in a comprehensive performance framework for the economic growth portfolio over the next year.</w:t>
      </w:r>
    </w:p>
    <w:p w14:paraId="7C792276" w14:textId="5F3FEB3E" w:rsidR="006A40B2" w:rsidRDefault="006A40B2" w:rsidP="00BD607E">
      <w:pPr>
        <w:pStyle w:val="NormalIndented"/>
        <w:spacing w:before="240"/>
        <w:ind w:left="0"/>
        <w:rPr>
          <w:b/>
          <w:sz w:val="16"/>
        </w:rPr>
      </w:pPr>
      <w:r>
        <w:rPr>
          <w:rFonts w:asciiTheme="majorHAnsi" w:eastAsiaTheme="majorEastAsia" w:hAnsiTheme="majorHAnsi" w:cstheme="majorBidi"/>
          <w:caps/>
          <w:sz w:val="38"/>
          <w:szCs w:val="26"/>
        </w:rPr>
        <w:t>Objective 3: Enhancing human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247"/>
        <w:gridCol w:w="1247"/>
        <w:gridCol w:w="1247"/>
        <w:gridCol w:w="1247"/>
      </w:tblGrid>
      <w:tr w:rsidR="006A40B2" w14:paraId="577EA65E" w14:textId="77777777" w:rsidTr="004E162B">
        <w:tc>
          <w:tcPr>
            <w:tcW w:w="2016" w:type="dxa"/>
          </w:tcPr>
          <w:p w14:paraId="0784EA66" w14:textId="77777777" w:rsidR="006A40B2" w:rsidRDefault="006A40B2" w:rsidP="007E5A85">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45835B05" wp14:editId="5B47A20F">
                  <wp:extent cx="1137600" cy="720000"/>
                  <wp:effectExtent l="0" t="0" r="571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9">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247" w:type="dxa"/>
          </w:tcPr>
          <w:p w14:paraId="1120F1DF" w14:textId="77777777" w:rsidR="006A40B2" w:rsidRDefault="00166B1E" w:rsidP="007E5A8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66211215" wp14:editId="1DBF9A67">
                  <wp:extent cx="612000" cy="612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47" w:type="dxa"/>
          </w:tcPr>
          <w:p w14:paraId="37EBAEEF" w14:textId="77777777" w:rsidR="006A40B2" w:rsidRDefault="00166B1E" w:rsidP="007E5A8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A933509" wp14:editId="5C668F62">
                  <wp:extent cx="612000" cy="61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47" w:type="dxa"/>
          </w:tcPr>
          <w:p w14:paraId="67A2E622" w14:textId="77777777" w:rsidR="006A40B2" w:rsidRDefault="00166B1E" w:rsidP="007E5A8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659778C4" wp14:editId="7F00F30E">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47" w:type="dxa"/>
          </w:tcPr>
          <w:p w14:paraId="6F6381FC" w14:textId="77777777" w:rsidR="006A40B2" w:rsidRDefault="00166B1E" w:rsidP="007E5A8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627969F4" wp14:editId="66E297DF">
                  <wp:extent cx="612000" cy="612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30C14DE0" w14:textId="77777777" w:rsidR="00747513" w:rsidRDefault="00005C2F" w:rsidP="00D10A65">
      <w:pPr>
        <w:suppressAutoHyphens w:val="0"/>
        <w:spacing w:after="120" w:line="240" w:lineRule="auto"/>
      </w:pPr>
      <w:r w:rsidRPr="00747513">
        <w:t>For both educatio</w:t>
      </w:r>
      <w:r w:rsidRPr="008719EF">
        <w:t xml:space="preserve">n and </w:t>
      </w:r>
      <w:r w:rsidR="006C6D45" w:rsidRPr="008719EF">
        <w:t>health,</w:t>
      </w:r>
      <w:r w:rsidRPr="008719EF">
        <w:t xml:space="preserve"> the bulk of Australia’s support was delivered through support to the Ministry of Education and Human Resource Development (MEHRD) and the Ministry of Health and Medical Services (MHMS)</w:t>
      </w:r>
      <w:r w:rsidR="002124CC" w:rsidRPr="00747513">
        <w:t xml:space="preserve"> using Solomon Islands systems</w:t>
      </w:r>
      <w:r w:rsidR="00747513" w:rsidRPr="00DC59A1">
        <w:t>.</w:t>
      </w:r>
    </w:p>
    <w:p w14:paraId="02D5492B" w14:textId="3FB53309" w:rsidR="004019BC" w:rsidRDefault="00E76EA9" w:rsidP="00D10A65">
      <w:pPr>
        <w:suppressAutoHyphens w:val="0"/>
        <w:spacing w:after="120" w:line="240" w:lineRule="auto"/>
      </w:pPr>
      <w:r w:rsidRPr="00DC59A1">
        <w:rPr>
          <w:b/>
        </w:rPr>
        <w:t xml:space="preserve">The delivery of health services </w:t>
      </w:r>
      <w:r w:rsidR="00561193" w:rsidRPr="00DC59A1">
        <w:rPr>
          <w:b/>
        </w:rPr>
        <w:t xml:space="preserve">by MHMS </w:t>
      </w:r>
      <w:r w:rsidRPr="00DC59A1">
        <w:rPr>
          <w:b/>
        </w:rPr>
        <w:t>across Solomon Islands</w:t>
      </w:r>
      <w:r w:rsidR="00CA64D7" w:rsidRPr="00DC59A1">
        <w:rPr>
          <w:b/>
        </w:rPr>
        <w:t xml:space="preserve"> was</w:t>
      </w:r>
      <w:r w:rsidRPr="00DC59A1">
        <w:rPr>
          <w:b/>
        </w:rPr>
        <w:t xml:space="preserve"> </w:t>
      </w:r>
      <w:r w:rsidR="00005C2F" w:rsidRPr="00DC59A1">
        <w:rPr>
          <w:b/>
        </w:rPr>
        <w:t>mixed in</w:t>
      </w:r>
      <w:r w:rsidRPr="00DC59A1">
        <w:rPr>
          <w:b/>
        </w:rPr>
        <w:t xml:space="preserve"> 2016-17</w:t>
      </w:r>
      <w:r w:rsidR="003A3C85">
        <w:t xml:space="preserve">.  </w:t>
      </w:r>
      <w:r w:rsidR="002D3B50" w:rsidRPr="002E1974">
        <w:t>MHMS achieved an overall score of 73 per cent for achievement of performance linked funding targets</w:t>
      </w:r>
      <w:r w:rsidR="003A3C85">
        <w:t xml:space="preserve">.  </w:t>
      </w:r>
      <w:r w:rsidR="000D67A7">
        <w:t xml:space="preserve">The </w:t>
      </w:r>
      <w:r w:rsidR="003D5EF4">
        <w:t xml:space="preserve">overall </w:t>
      </w:r>
      <w:r w:rsidR="001147EE">
        <w:t xml:space="preserve">number of </w:t>
      </w:r>
      <w:r w:rsidR="000D67A7">
        <w:t>maternal</w:t>
      </w:r>
      <w:r w:rsidR="001147EE">
        <w:t xml:space="preserve"> deaths </w:t>
      </w:r>
      <w:r w:rsidR="000D67A7">
        <w:t>decreased to 18 from the baseline of 24, with ninety per cent of births attended by a skilled birth attendant</w:t>
      </w:r>
      <w:r w:rsidR="003A3C85">
        <w:t xml:space="preserve">.  </w:t>
      </w:r>
      <w:r w:rsidR="000D67A7">
        <w:t>In contrast, both the infant and under five mortality rates increased</w:t>
      </w:r>
      <w:r w:rsidR="007F7A63">
        <w:t>, largely</w:t>
      </w:r>
      <w:r w:rsidR="00E1578E">
        <w:t xml:space="preserve"> </w:t>
      </w:r>
      <w:r w:rsidR="000D67A7">
        <w:t xml:space="preserve">due </w:t>
      </w:r>
      <w:r w:rsidR="00E1578E">
        <w:t xml:space="preserve">to </w:t>
      </w:r>
      <w:r w:rsidR="000D67A7">
        <w:t>a rota virus outbreak</w:t>
      </w:r>
      <w:r w:rsidR="003A3C85">
        <w:t xml:space="preserve">.  </w:t>
      </w:r>
      <w:r w:rsidR="00AB1D94">
        <w:t xml:space="preserve">The malaria incidence rate has more than doubled since 2015 </w:t>
      </w:r>
      <w:r w:rsidR="00E1578E">
        <w:t>(</w:t>
      </w:r>
      <w:r w:rsidR="00AB1D94">
        <w:t>40 per 1,000</w:t>
      </w:r>
      <w:r w:rsidR="00425E67">
        <w:t xml:space="preserve"> population</w:t>
      </w:r>
      <w:r w:rsidR="00AB1D94">
        <w:t xml:space="preserve"> in 2015 compared to 88 per 1,000 in 2016</w:t>
      </w:r>
      <w:r w:rsidR="00E1578E">
        <w:t>)</w:t>
      </w:r>
      <w:r w:rsidR="00AB1D94">
        <w:t xml:space="preserve"> attributed largely to </w:t>
      </w:r>
      <w:r w:rsidR="00425E67">
        <w:t>improved</w:t>
      </w:r>
      <w:r w:rsidR="00AB1D94">
        <w:t xml:space="preserve"> reporting and diagnostic testing</w:t>
      </w:r>
      <w:r w:rsidR="00867250">
        <w:t xml:space="preserve"> which Australia directly supported through funding for targeted technical assistance and Australia’s support to the Global Fund</w:t>
      </w:r>
      <w:r w:rsidR="003A3C85">
        <w:t xml:space="preserve">.  </w:t>
      </w:r>
      <w:r w:rsidR="00747513">
        <w:t>The availability of essential medicines at rural health clinics improved from the baseline of 74 per cent (2015) to 82 percent (2016) – one of the ten AIP performance benchmarks.</w:t>
      </w:r>
    </w:p>
    <w:p w14:paraId="4B64B257" w14:textId="79477852" w:rsidR="00D10A65" w:rsidRDefault="00E76EA9" w:rsidP="00D10A65">
      <w:pPr>
        <w:suppressAutoHyphens w:val="0"/>
        <w:spacing w:after="120" w:line="240" w:lineRule="auto"/>
      </w:pPr>
      <w:r w:rsidRPr="002F5D50">
        <w:rPr>
          <w:b/>
        </w:rPr>
        <w:t xml:space="preserve">Australia’s support </w:t>
      </w:r>
      <w:r w:rsidR="00561193" w:rsidRPr="002F5D50">
        <w:rPr>
          <w:b/>
        </w:rPr>
        <w:t xml:space="preserve">for </w:t>
      </w:r>
      <w:r w:rsidR="007C5B43">
        <w:rPr>
          <w:b/>
        </w:rPr>
        <w:t xml:space="preserve">health </w:t>
      </w:r>
      <w:r w:rsidR="00561193" w:rsidRPr="002F5D50">
        <w:rPr>
          <w:b/>
        </w:rPr>
        <w:t>service delivery</w:t>
      </w:r>
      <w:r w:rsidRPr="002F5D50">
        <w:rPr>
          <w:b/>
        </w:rPr>
        <w:t xml:space="preserve"> was complemented </w:t>
      </w:r>
      <w:r w:rsidR="000D67A7" w:rsidRPr="002F5D50">
        <w:rPr>
          <w:b/>
        </w:rPr>
        <w:t>by partnership</w:t>
      </w:r>
      <w:r w:rsidR="00D10A65" w:rsidRPr="002F5D50">
        <w:rPr>
          <w:b/>
        </w:rPr>
        <w:t>s</w:t>
      </w:r>
      <w:r w:rsidR="000D67A7" w:rsidRPr="002F5D50">
        <w:rPr>
          <w:b/>
        </w:rPr>
        <w:t xml:space="preserve"> with </w:t>
      </w:r>
      <w:r w:rsidR="00561193" w:rsidRPr="002F5D50">
        <w:rPr>
          <w:b/>
        </w:rPr>
        <w:t>multilaterals</w:t>
      </w:r>
      <w:r w:rsidR="000D67A7" w:rsidRPr="002F5D50">
        <w:rPr>
          <w:b/>
        </w:rPr>
        <w:t xml:space="preserve"> and the private sector</w:t>
      </w:r>
      <w:r w:rsidR="003A3C85">
        <w:t xml:space="preserve">.  </w:t>
      </w:r>
      <w:r w:rsidR="00561193">
        <w:t>Our partnership with UN</w:t>
      </w:r>
      <w:r w:rsidR="00FF4150">
        <w:t>FPA</w:t>
      </w:r>
      <w:r w:rsidR="00561193">
        <w:t xml:space="preserve"> increased contraceptive contacts from 260 (per 1000 of population in 2015) to 344 (2016); the </w:t>
      </w:r>
      <w:r w:rsidR="00FF4150">
        <w:t xml:space="preserve">upscaling </w:t>
      </w:r>
      <w:r w:rsidR="00561193">
        <w:t xml:space="preserve">of the Jadelle </w:t>
      </w:r>
      <w:r w:rsidR="00FF4150">
        <w:t xml:space="preserve">contraceptive </w:t>
      </w:r>
      <w:r w:rsidR="00561193">
        <w:t xml:space="preserve">implant </w:t>
      </w:r>
      <w:r w:rsidR="00FF4150">
        <w:t xml:space="preserve">rollout to all provinces in 2016 (following the pilot </w:t>
      </w:r>
      <w:r w:rsidR="00561193">
        <w:t xml:space="preserve">in </w:t>
      </w:r>
      <w:r w:rsidR="00FF4150">
        <w:t xml:space="preserve">two provinces </w:t>
      </w:r>
      <w:r w:rsidR="00FF4150" w:rsidRPr="00E1578E">
        <w:t>2015</w:t>
      </w:r>
      <w:r w:rsidR="00561193">
        <w:t>)</w:t>
      </w:r>
      <w:r w:rsidR="00CA64D7">
        <w:t xml:space="preserve"> </w:t>
      </w:r>
      <w:r w:rsidR="004807ED">
        <w:t>ha</w:t>
      </w:r>
      <w:r w:rsidR="00FF4150">
        <w:t>s led to</w:t>
      </w:r>
      <w:r w:rsidR="00561193">
        <w:t xml:space="preserve"> transformational </w:t>
      </w:r>
      <w:r w:rsidR="00FF4150">
        <w:t xml:space="preserve">outcomes </w:t>
      </w:r>
      <w:r w:rsidR="00561193">
        <w:t xml:space="preserve">for rural women </w:t>
      </w:r>
      <w:r w:rsidR="00CA64D7">
        <w:t>as it provides</w:t>
      </w:r>
      <w:r w:rsidR="00FA4458">
        <w:t xml:space="preserve"> </w:t>
      </w:r>
      <w:r w:rsidR="00FF4150" w:rsidRPr="00E1578E">
        <w:t>five</w:t>
      </w:r>
      <w:r w:rsidR="00FA4458" w:rsidRPr="00E1578E">
        <w:t xml:space="preserve"> </w:t>
      </w:r>
      <w:r w:rsidR="00FA4458">
        <w:t xml:space="preserve">years of fertility control compared to monthly visits to </w:t>
      </w:r>
      <w:r w:rsidR="003A61E5">
        <w:t xml:space="preserve">a </w:t>
      </w:r>
      <w:r w:rsidR="00FA4458">
        <w:t>clinic to access contraception</w:t>
      </w:r>
      <w:r w:rsidR="001147EE">
        <w:t xml:space="preserve"> which many cannot afford</w:t>
      </w:r>
      <w:r w:rsidR="003A3C85">
        <w:t xml:space="preserve">.  </w:t>
      </w:r>
      <w:r w:rsidR="001147EE">
        <w:t>Family planning enables women to plan and space their children, reduces the amount of maternal and child deaths, saves resources of the family and health service provider, and improves a family’s economic situation</w:t>
      </w:r>
      <w:r w:rsidR="003A3C85">
        <w:t xml:space="preserve">.  </w:t>
      </w:r>
      <w:r w:rsidR="001147EE">
        <w:t xml:space="preserve">More than 11,000 implants have been inserted since October 2014, through UNFPA budgetary support and </w:t>
      </w:r>
      <w:r w:rsidR="0005513F">
        <w:t xml:space="preserve">Australian </w:t>
      </w:r>
      <w:r w:rsidR="001147EE">
        <w:t>funding</w:t>
      </w:r>
      <w:r w:rsidR="003A3C85">
        <w:t xml:space="preserve">.  </w:t>
      </w:r>
      <w:r w:rsidR="007F7A63">
        <w:t xml:space="preserve">Work continued on the introduction of rice fortification, following </w:t>
      </w:r>
      <w:r w:rsidR="0006703A">
        <w:t xml:space="preserve">introduction of </w:t>
      </w:r>
      <w:r w:rsidR="007F7A63">
        <w:t>flour fortification in 2015</w:t>
      </w:r>
      <w:r w:rsidR="00FF4150">
        <w:t>,</w:t>
      </w:r>
      <w:r w:rsidR="007F7A63">
        <w:t xml:space="preserve"> as a key response to malnutrition in Solomon Islands</w:t>
      </w:r>
      <w:r w:rsidR="000F7180">
        <w:t>.</w:t>
      </w:r>
    </w:p>
    <w:p w14:paraId="711A8487" w14:textId="38D3C043" w:rsidR="00747513" w:rsidRDefault="00747513" w:rsidP="00747513">
      <w:pPr>
        <w:suppressAutoHyphens w:val="0"/>
        <w:spacing w:after="120" w:line="240" w:lineRule="auto"/>
      </w:pPr>
      <w:r>
        <w:lastRenderedPageBreak/>
        <w:t xml:space="preserve">Australia remains the </w:t>
      </w:r>
      <w:r w:rsidRPr="002F5D50">
        <w:rPr>
          <w:b/>
        </w:rPr>
        <w:t>largest donor in the health sector although our relative as well as total value contribution is incrementally declining</w:t>
      </w:r>
      <w:r>
        <w:t xml:space="preserve">: 24 per cent ($18.7 </w:t>
      </w:r>
      <w:r w:rsidR="00EC481D">
        <w:t>million</w:t>
      </w:r>
      <w:r>
        <w:t xml:space="preserve">) of total MHMS budget in 2015 versus 19 percent ($15.8 </w:t>
      </w:r>
      <w:r w:rsidR="00EC481D">
        <w:t>million</w:t>
      </w:r>
      <w:r>
        <w:t>) in 2016</w:t>
      </w:r>
      <w:r w:rsidR="003A3C85">
        <w:t xml:space="preserve">.  </w:t>
      </w:r>
      <w:r>
        <w:t>As the largest donor we will continue to work closely with other influential development partners in the health sector such as WHO and World Bank to improve donor coordination and ensure a cohesive and strengthened approach to policy dialogue and to supporting strategic reform.</w:t>
      </w:r>
    </w:p>
    <w:p w14:paraId="215B267B" w14:textId="5CF8D11E" w:rsidR="00747513" w:rsidRDefault="00747513" w:rsidP="00747513">
      <w:pPr>
        <w:suppressAutoHyphens w:val="0"/>
        <w:spacing w:after="120" w:line="240" w:lineRule="auto"/>
      </w:pPr>
      <w:r>
        <w:t xml:space="preserve">Australia supported MHMS to implement its obligations under the FPA, through support </w:t>
      </w:r>
      <w:r w:rsidR="00B65367">
        <w:t>to</w:t>
      </w:r>
      <w:r>
        <w:t xml:space="preserve"> WHO and UNFPA to develop clinical guidelines and training material to support nurses to identify and respond to cases of family violence</w:t>
      </w:r>
      <w:r w:rsidR="003A3C85">
        <w:t xml:space="preserve">.  </w:t>
      </w:r>
      <w:r>
        <w:t>Training nurses in this area will be a focus for 2017-18.</w:t>
      </w:r>
    </w:p>
    <w:p w14:paraId="40E004D7" w14:textId="1360A610" w:rsidR="00376E52" w:rsidRDefault="00FB7454" w:rsidP="00376E52">
      <w:pPr>
        <w:suppressAutoHyphens w:val="0"/>
        <w:spacing w:after="120" w:line="240" w:lineRule="auto"/>
      </w:pPr>
      <w:r w:rsidRPr="00DC59A1">
        <w:rPr>
          <w:b/>
        </w:rPr>
        <w:t>In 2016-17, education services were delivered in line with expectations</w:t>
      </w:r>
      <w:r w:rsidR="003A3C85">
        <w:t xml:space="preserve">.  </w:t>
      </w:r>
      <w:r>
        <w:t>The Solomon Islands target of 85 per cent of students meeting national standards for literacy and numeracy at year 4 by 2020 was on track based on the 2015 assessment</w:t>
      </w:r>
      <w:r w:rsidR="003A3C85">
        <w:t xml:space="preserve">.  </w:t>
      </w:r>
      <w:r>
        <w:t>However, while progress is good on reading, language and numeracy, in 2015 only 15.2 per cent of year 4 students were performing at or above the expected standard for writing</w:t>
      </w:r>
      <w:r w:rsidR="003A3C85">
        <w:t xml:space="preserve">.  </w:t>
      </w:r>
      <w:r>
        <w:t>Planning for the next round of bi-annual Solomon Islands Standardised Tests of Achievement (SISTA) progressed during 2016-17</w:t>
      </w:r>
      <w:r w:rsidR="00747513">
        <w:t>,</w:t>
      </w:r>
      <w:r w:rsidR="00CB0BE0">
        <w:t xml:space="preserve"> however implementation may be delayed until 2018</w:t>
      </w:r>
      <w:r w:rsidR="003A3C85">
        <w:t xml:space="preserve">.  </w:t>
      </w:r>
      <w:r>
        <w:t>Other proxy measures of education quality were as expected with 70 percent of teachers certified as of 2016</w:t>
      </w:r>
      <w:r w:rsidR="003A3C85">
        <w:t xml:space="preserve">.  </w:t>
      </w:r>
      <w:r>
        <w:t>Gender parity has been achieved at junior secondary school</w:t>
      </w:r>
      <w:r w:rsidR="003A3C85">
        <w:t xml:space="preserve">.  </w:t>
      </w:r>
      <w:r w:rsidR="00376E52">
        <w:t>Procurement by MEHRD was implemented as planned with 960,000 reading books distributed, 51 specialist classrooms built and 28 classrooms constructed in 2016</w:t>
      </w:r>
      <w:r w:rsidR="003A3C85">
        <w:t xml:space="preserve">.  </w:t>
      </w:r>
      <w:r w:rsidR="00376E52">
        <w:t>In 2017-18, Australia will continue to work with MEHRD to improve disaster resilience of school buildings.</w:t>
      </w:r>
    </w:p>
    <w:p w14:paraId="6D2682DF" w14:textId="2E772D19" w:rsidR="002A4506" w:rsidRPr="003F3F16" w:rsidRDefault="002A4506" w:rsidP="002A4506">
      <w:pPr>
        <w:suppressAutoHyphens w:val="0"/>
        <w:spacing w:after="120" w:line="240" w:lineRule="auto"/>
      </w:pPr>
      <w:r>
        <w:t xml:space="preserve">Australia provided separate support to the </w:t>
      </w:r>
      <w:r w:rsidR="000F4E11">
        <w:t>Technical Vocational Education and Training (</w:t>
      </w:r>
      <w:r>
        <w:t>TVET</w:t>
      </w:r>
      <w:r w:rsidR="000F4E11">
        <w:t>)</w:t>
      </w:r>
      <w:r>
        <w:t xml:space="preserve"> sub-sector which focused on increasing the number of high quality, in-demand TVET graduates in Solomon Islands</w:t>
      </w:r>
      <w:r w:rsidR="003A3C85">
        <w:t xml:space="preserve">.  </w:t>
      </w:r>
      <w:r w:rsidRPr="003F3F16">
        <w:t xml:space="preserve">A major milestone was the passing of legislation </w:t>
      </w:r>
      <w:r>
        <w:t xml:space="preserve">for the </w:t>
      </w:r>
      <w:r w:rsidRPr="003F3F16">
        <w:t>Solomon Islands Tertiary Education and Skills Authority (SITESA) in March 2017</w:t>
      </w:r>
      <w:r w:rsidR="003A3C85">
        <w:t xml:space="preserve">.  </w:t>
      </w:r>
      <w:r w:rsidRPr="003F3F16">
        <w:t>Once established, SITESA will be responsible for national workforce planning, registration of and support to training providers, and quality assurance of skills training courses</w:t>
      </w:r>
      <w:r w:rsidR="003A3C85">
        <w:t xml:space="preserve">.  </w:t>
      </w:r>
      <w:r w:rsidRPr="003F3F16">
        <w:t xml:space="preserve">Australia’s support to training delivery partners, including Solomon Islands National University </w:t>
      </w:r>
      <w:r>
        <w:t xml:space="preserve">(SINU) </w:t>
      </w:r>
      <w:r w:rsidRPr="003F3F16">
        <w:t>and five Rural Training Centres, included staff capacity development, facilities improvements and curriculum development</w:t>
      </w:r>
      <w:r w:rsidR="003A3C85">
        <w:t xml:space="preserve">.  </w:t>
      </w:r>
      <w:r w:rsidRPr="003F3F16">
        <w:t xml:space="preserve">Australia supported SINU to develop </w:t>
      </w:r>
      <w:r>
        <w:t>t</w:t>
      </w:r>
      <w:r w:rsidRPr="003F3F16">
        <w:t xml:space="preserve">en national Certificate III and IV level qualifications in Plumbing, Electrical, Construction, Automotive and Business, and commenced support for the development of </w:t>
      </w:r>
      <w:r>
        <w:t xml:space="preserve">courses in </w:t>
      </w:r>
      <w:r w:rsidRPr="003F3F16">
        <w:t>Agribusiness, Tourism and Hospitality</w:t>
      </w:r>
      <w:r w:rsidR="003A3C85">
        <w:t xml:space="preserve">.  </w:t>
      </w:r>
      <w:r w:rsidRPr="003F3F16">
        <w:t>Throughout</w:t>
      </w:r>
      <w:r>
        <w:t xml:space="preserve"> this work</w:t>
      </w:r>
      <w:r w:rsidRPr="003F3F16">
        <w:t xml:space="preserve">, </w:t>
      </w:r>
      <w:r w:rsidRPr="002F5D50">
        <w:rPr>
          <w:b/>
        </w:rPr>
        <w:t>Australia leveraged its relationships with the private sector to ensure each of these courses were developed with industry endorsement</w:t>
      </w:r>
      <w:r w:rsidR="000F7180">
        <w:t>.</w:t>
      </w:r>
    </w:p>
    <w:p w14:paraId="79778BE3" w14:textId="78E1BEFC" w:rsidR="001D3EE3" w:rsidRDefault="001D3EE3" w:rsidP="001D3EE3">
      <w:pPr>
        <w:spacing w:after="120"/>
      </w:pPr>
      <w:r>
        <w:t>Australia support</w:t>
      </w:r>
      <w:r w:rsidRPr="001D3EE3">
        <w:t>ed</w:t>
      </w:r>
      <w:r>
        <w:t xml:space="preserve"> 39 Solomon Islanders </w:t>
      </w:r>
      <w:r w:rsidRPr="001D3EE3">
        <w:t>(up from 33 in 2015-16)</w:t>
      </w:r>
      <w:r>
        <w:t xml:space="preserve"> to commence tertiary studies in Australia and the Pacific region under the prestigious Australia Awards Scholarships program</w:t>
      </w:r>
      <w:r w:rsidR="003A3C85">
        <w:t xml:space="preserve">.  </w:t>
      </w:r>
      <w:r w:rsidRPr="001D3EE3">
        <w:t>Almost half of the scholarships awarded to women were in non-traditional areas such as science, engineering and IT</w:t>
      </w:r>
      <w:r w:rsidR="003A3C85">
        <w:t xml:space="preserve">.  </w:t>
      </w:r>
      <w:r>
        <w:t>All scholarships were provided for students to study in priority sectors identified for Solomon Islands, which in 2017 included law, environment, health, education and engineering.</w:t>
      </w:r>
    </w:p>
    <w:p w14:paraId="7A3E6C70" w14:textId="2E838A08" w:rsidR="00376E52" w:rsidRDefault="00376E52" w:rsidP="00376E52">
      <w:pPr>
        <w:suppressAutoHyphens w:val="0"/>
        <w:spacing w:after="120" w:line="240" w:lineRule="auto"/>
      </w:pPr>
      <w:r>
        <w:t xml:space="preserve">Overall, </w:t>
      </w:r>
      <w:r w:rsidRPr="002E1974">
        <w:rPr>
          <w:b/>
        </w:rPr>
        <w:t>MEHRD delivered ten of thirteen performance linked funding targets</w:t>
      </w:r>
      <w:r w:rsidR="003A3C85">
        <w:t xml:space="preserve">.  </w:t>
      </w:r>
      <w:r>
        <w:t>The three targets only partially met or not met at all included reform of Government scholarships and efforts to improve the capacity of school leaders to provide learning materials</w:t>
      </w:r>
      <w:r w:rsidR="003A3C85">
        <w:t xml:space="preserve">.  </w:t>
      </w:r>
      <w:r>
        <w:t xml:space="preserve">The targets met included teacher training, budget allocated for education, </w:t>
      </w:r>
      <w:r w:rsidR="00F91F91">
        <w:t>PFM</w:t>
      </w:r>
      <w:r>
        <w:t xml:space="preserve"> reforms, improvements in MEHRD’s partnership with Education Authorities, increases in girls’ participation and trialling data collection about students with disability.</w:t>
      </w:r>
    </w:p>
    <w:p w14:paraId="47D2F0F5" w14:textId="7C2AE2C2" w:rsidR="00747513" w:rsidRDefault="00747513" w:rsidP="00747513">
      <w:pPr>
        <w:suppressAutoHyphens w:val="0"/>
        <w:spacing w:after="120" w:line="240" w:lineRule="auto"/>
      </w:pPr>
      <w:r w:rsidRPr="009E6E66">
        <w:rPr>
          <w:b/>
        </w:rPr>
        <w:t>A key intermediate outcome for both</w:t>
      </w:r>
      <w:r w:rsidR="00376E52">
        <w:rPr>
          <w:b/>
        </w:rPr>
        <w:t xml:space="preserve"> education and health</w:t>
      </w:r>
      <w:r w:rsidRPr="009E6E66">
        <w:rPr>
          <w:b/>
        </w:rPr>
        <w:t xml:space="preserve"> was the Solomon Islands Government protected budgets for basic service delivery and executed the allocated budget efficiently</w:t>
      </w:r>
      <w:r w:rsidR="003A3C85">
        <w:t xml:space="preserve">.  </w:t>
      </w:r>
      <w:r>
        <w:t xml:space="preserve">In 2016, </w:t>
      </w:r>
      <w:r w:rsidRPr="004807ED">
        <w:t xml:space="preserve">12.5 </w:t>
      </w:r>
      <w:r>
        <w:t xml:space="preserve">per cent of the Government recurrent budget was allocated to Health (up from baseline of </w:t>
      </w:r>
      <w:r w:rsidRPr="004807ED">
        <w:t>12</w:t>
      </w:r>
      <w:r>
        <w:t xml:space="preserve"> per cent in 2015) and 24 per cent to Education (up from 23 in 2015)</w:t>
      </w:r>
      <w:r w:rsidR="003A3C85">
        <w:t xml:space="preserve">.  </w:t>
      </w:r>
      <w:r>
        <w:t>Solomon Islands Government policy priorities were reflected in increased relative allocations to the tertiary sector (up 5.2 percentage points) which resulted, in part, in a reduced proportion of recurrent budget allocated to basic education from 37 in 2015 to 29 per cent in 2016</w:t>
      </w:r>
      <w:r w:rsidR="003A3C85">
        <w:t xml:space="preserve">.  </w:t>
      </w:r>
      <w:r w:rsidRPr="007B20FD">
        <w:t>However the total budget allocated per unit to primary education increased slightly from $2,610 in 2015 to $2,671 in 2016, which demonstrated</w:t>
      </w:r>
      <w:r>
        <w:t xml:space="preserve"> MEHRD’s ability to protect the basic education allocation against strong political pressure</w:t>
      </w:r>
      <w:r w:rsidR="003A3C85">
        <w:t xml:space="preserve">.  </w:t>
      </w:r>
      <w:r>
        <w:t>The proportion of the recurrent health budget allocated to primary health care was maintained at 37 percent</w:t>
      </w:r>
      <w:r w:rsidR="003A3C85">
        <w:t xml:space="preserve">.  </w:t>
      </w:r>
      <w:r>
        <w:t xml:space="preserve">On efficiency, MEHRD executed 90.52 per cent of its allocated budget in 2016, </w:t>
      </w:r>
      <w:r>
        <w:lastRenderedPageBreak/>
        <w:t>down slightly from the baseline 94 per cent in 2015</w:t>
      </w:r>
      <w:r w:rsidR="003A3C85">
        <w:t xml:space="preserve">.  </w:t>
      </w:r>
      <w:r>
        <w:t xml:space="preserve">MHMS executed </w:t>
      </w:r>
      <w:r w:rsidRPr="00E1578E">
        <w:t xml:space="preserve">88 </w:t>
      </w:r>
      <w:r>
        <w:t>per cent of its recurrent budget in 2016 compared to 94 per cent in 2015</w:t>
      </w:r>
      <w:r w:rsidR="003A3C85">
        <w:t xml:space="preserve">.  </w:t>
      </w:r>
      <w:r>
        <w:t>However, MHMS only executed 12.7% of its development budget due to significant vacancies in key infrastructure and procurement positions</w:t>
      </w:r>
      <w:r w:rsidR="003A3C85">
        <w:t xml:space="preserve">.  </w:t>
      </w:r>
      <w:r>
        <w:t>This low rate of development budget execution has the potential to affect future allocations to the sector for building and repairing health facilities</w:t>
      </w:r>
      <w:r w:rsidR="003A3C85">
        <w:t xml:space="preserve">.  </w:t>
      </w:r>
      <w:r>
        <w:t>In 2017-18 Australia will continue to provide technical support to improve health systems</w:t>
      </w:r>
      <w:r w:rsidR="00BD4BC8">
        <w:t xml:space="preserve"> and advocate with </w:t>
      </w:r>
      <w:r>
        <w:t>MHMS and Ministry of Public Service (MPS) to fill priority public service vacancies</w:t>
      </w:r>
      <w:r w:rsidR="000F7180">
        <w:t>.</w:t>
      </w:r>
    </w:p>
    <w:p w14:paraId="0272D2FB" w14:textId="11E409BC" w:rsidR="00747513" w:rsidRDefault="00747513" w:rsidP="00747513">
      <w:pPr>
        <w:suppressAutoHyphens w:val="0"/>
        <w:spacing w:after="120" w:line="240" w:lineRule="auto"/>
      </w:pPr>
      <w:r>
        <w:t xml:space="preserve">There was good evidence that both </w:t>
      </w:r>
      <w:r w:rsidRPr="002F5D50">
        <w:rPr>
          <w:b/>
        </w:rPr>
        <w:t>Ministries used information to inform planning and policy discussions</w:t>
      </w:r>
      <w:r>
        <w:t xml:space="preserve"> and Australia frequently engaged in evidenced informed policy discussions</w:t>
      </w:r>
      <w:r w:rsidR="003A3C85">
        <w:t xml:space="preserve">.  </w:t>
      </w:r>
      <w:r>
        <w:t xml:space="preserve">Education and health ministries both held Annual Joint Review meetings that included presentations of an independent assessment against agreed indicators which determined the size of Australia’s </w:t>
      </w:r>
      <w:r w:rsidR="000F4E11">
        <w:t>P</w:t>
      </w:r>
      <w:r>
        <w:t xml:space="preserve">erformance </w:t>
      </w:r>
      <w:r w:rsidR="000F4E11">
        <w:t>L</w:t>
      </w:r>
      <w:r>
        <w:t xml:space="preserve">inked </w:t>
      </w:r>
      <w:r w:rsidR="000F4E11">
        <w:t>A</w:t>
      </w:r>
      <w:r>
        <w:t>id</w:t>
      </w:r>
      <w:r w:rsidR="000F4E11">
        <w:t xml:space="preserve"> (PLA)</w:t>
      </w:r>
      <w:r>
        <w:t xml:space="preserve"> payments</w:t>
      </w:r>
      <w:r w:rsidR="003A3C85">
        <w:t xml:space="preserve">.  </w:t>
      </w:r>
      <w:r>
        <w:t>MEHRD effectively used school level data to underpin school grant payments and data underpinned the development of the National Education Action Plan (NEAP) finalised in 2016</w:t>
      </w:r>
      <w:r w:rsidR="003A3C85">
        <w:t xml:space="preserve">.  </w:t>
      </w:r>
      <w:r>
        <w:t xml:space="preserve">MHMS improved its </w:t>
      </w:r>
      <w:r w:rsidR="00376E52">
        <w:t>use</w:t>
      </w:r>
      <w:r>
        <w:t xml:space="preserve"> of core health indicator data collected through the District Health Information System to inform annual operational planning processes and policy discussions</w:t>
      </w:r>
      <w:r w:rsidR="003A3C85">
        <w:t xml:space="preserve">.  </w:t>
      </w:r>
      <w:r>
        <w:t>However, sex-disaggregated data was not collected and used consistently</w:t>
      </w:r>
      <w:r w:rsidR="003A3C85">
        <w:t xml:space="preserve">.  </w:t>
      </w:r>
      <w:r>
        <w:t>Australia will advocate for better use of the health information system data to better understand women’s and girls’ access to health services in 2017-18</w:t>
      </w:r>
      <w:r w:rsidR="003A3C85">
        <w:t xml:space="preserve">.  </w:t>
      </w:r>
      <w:r>
        <w:t>Financial reporting in MHMS, particularly at the provincial level, continued to improve, although further effort is required to encourage utilisation of data to inform planning and resource allocation.</w:t>
      </w:r>
    </w:p>
    <w:p w14:paraId="52058802" w14:textId="77777777" w:rsidR="00BD25D5" w:rsidRPr="00654DAD" w:rsidRDefault="00BD25D5" w:rsidP="00BD607E">
      <w:pPr>
        <w:suppressAutoHyphens w:val="0"/>
        <w:spacing w:before="240" w:line="440" w:lineRule="atLeast"/>
        <w:rPr>
          <w:rFonts w:eastAsia="Times New Roman"/>
        </w:rPr>
      </w:pPr>
      <w:r>
        <w:rPr>
          <w:rFonts w:asciiTheme="majorHAnsi" w:eastAsiaTheme="majorEastAsia" w:hAnsiTheme="majorHAnsi" w:cstheme="majorBidi"/>
          <w:caps/>
          <w:sz w:val="38"/>
          <w:szCs w:val="26"/>
        </w:rPr>
        <w:t>GENDER</w:t>
      </w:r>
      <w:r w:rsidR="00654DAD">
        <w:rPr>
          <w:rFonts w:asciiTheme="majorHAnsi" w:eastAsiaTheme="majorEastAsia" w:hAnsiTheme="majorHAnsi" w:cstheme="majorBidi"/>
          <w:caps/>
          <w:sz w:val="38"/>
          <w:szCs w:val="26"/>
        </w:rPr>
        <w:t xml:space="preserve"> equality</w:t>
      </w:r>
    </w:p>
    <w:p w14:paraId="393FA7E2" w14:textId="384F11EA" w:rsidR="000326B6" w:rsidRDefault="000326B6" w:rsidP="000326B6">
      <w:pPr>
        <w:suppressAutoHyphens w:val="0"/>
        <w:spacing w:after="120" w:line="240" w:lineRule="auto"/>
      </w:pPr>
      <w:r w:rsidRPr="00343989">
        <w:rPr>
          <w:b/>
        </w:rPr>
        <w:t xml:space="preserve">Gender equality </w:t>
      </w:r>
      <w:r>
        <w:rPr>
          <w:b/>
        </w:rPr>
        <w:t>remained</w:t>
      </w:r>
      <w:r w:rsidRPr="00343989">
        <w:rPr>
          <w:b/>
        </w:rPr>
        <w:t xml:space="preserve"> </w:t>
      </w:r>
      <w:r>
        <w:rPr>
          <w:b/>
        </w:rPr>
        <w:t xml:space="preserve">a </w:t>
      </w:r>
      <w:r w:rsidRPr="00343989">
        <w:rPr>
          <w:b/>
        </w:rPr>
        <w:t>post wide priority</w:t>
      </w:r>
      <w:r>
        <w:t xml:space="preserve"> in 2016-17</w:t>
      </w:r>
      <w:r w:rsidR="003A3C85">
        <w:t xml:space="preserve">.  </w:t>
      </w:r>
      <w:r>
        <w:t>Th</w:t>
      </w:r>
      <w:r w:rsidRPr="00C7499E">
        <w:t xml:space="preserve">e Head of Mission </w:t>
      </w:r>
      <w:r>
        <w:t xml:space="preserve">continued to </w:t>
      </w:r>
      <w:r w:rsidRPr="00C7499E">
        <w:t xml:space="preserve">chair </w:t>
      </w:r>
      <w:r>
        <w:t xml:space="preserve">the monthly </w:t>
      </w:r>
      <w:r w:rsidRPr="00343989">
        <w:t>Gender Equality Working Group and this coordinated approach resulted increased policy coherence between development</w:t>
      </w:r>
      <w:r>
        <w:t>, foreign policy, trade and corporate management</w:t>
      </w:r>
      <w:r w:rsidR="003A3C85">
        <w:t xml:space="preserve">.  </w:t>
      </w:r>
      <w:r>
        <w:t>The meetings helped to ensure gender actions were prioritised and progressed as planned.</w:t>
      </w:r>
    </w:p>
    <w:p w14:paraId="5A185A9F" w14:textId="74563E78" w:rsidR="0078374B" w:rsidRDefault="000326B6" w:rsidP="0078374B">
      <w:pPr>
        <w:suppressAutoHyphens w:val="0"/>
        <w:spacing w:after="120" w:line="240" w:lineRule="auto"/>
      </w:pPr>
      <w:r>
        <w:t>Gender equality is prioritised across sectors, with relevant sex-</w:t>
      </w:r>
      <w:r w:rsidR="002138A5">
        <w:t>disaggregated</w:t>
      </w:r>
      <w:r>
        <w:t xml:space="preserve"> dat</w:t>
      </w:r>
      <w:r w:rsidR="0078374B">
        <w:t>a</w:t>
      </w:r>
      <w:r>
        <w:t xml:space="preserve"> collected</w:t>
      </w:r>
      <w:r w:rsidR="003A3C85">
        <w:t xml:space="preserve">.  </w:t>
      </w:r>
      <w:r>
        <w:t xml:space="preserve">The three designs conducted in 2016-17, for the justice, governance and growth programs, included </w:t>
      </w:r>
      <w:r w:rsidR="0078374B">
        <w:t>gender expertise in the design teams</w:t>
      </w:r>
      <w:r w:rsidR="003A3C85">
        <w:t xml:space="preserve">.  </w:t>
      </w:r>
      <w:r w:rsidR="00816882" w:rsidRPr="00C7499E">
        <w:t xml:space="preserve">In line with Australia’s ‘Gender equality and women’s empowerment strategy’, the </w:t>
      </w:r>
      <w:r>
        <w:t xml:space="preserve">Gender </w:t>
      </w:r>
      <w:r w:rsidR="00816882" w:rsidRPr="00C7499E">
        <w:t>PAF identified four key objectives – reduced family violence, economic empowerment of women, women in leadership and demonstrating best practi</w:t>
      </w:r>
      <w:r w:rsidR="003A61E5">
        <w:t>c</w:t>
      </w:r>
      <w:r w:rsidR="00816882" w:rsidRPr="00C7499E">
        <w:t xml:space="preserve">e on </w:t>
      </w:r>
      <w:r w:rsidR="009977AD">
        <w:t xml:space="preserve">promoting </w:t>
      </w:r>
      <w:r w:rsidR="00816882" w:rsidRPr="00C7499E">
        <w:t>gender</w:t>
      </w:r>
      <w:r w:rsidR="009977AD">
        <w:t xml:space="preserve"> equality</w:t>
      </w:r>
      <w:r w:rsidR="003A3C85">
        <w:t xml:space="preserve">.  </w:t>
      </w:r>
      <w:r w:rsidR="0078374B">
        <w:t xml:space="preserve">These objectives were delivered through a combination of gender mainstreaming and targeted gender equality spending </w:t>
      </w:r>
      <w:r w:rsidR="0078374B" w:rsidRPr="00C7499E">
        <w:t>through</w:t>
      </w:r>
      <w:r w:rsidR="0078374B">
        <w:t xml:space="preserve"> bilateral and regional programs, including through Pacific Women Shaping Pacific Development</w:t>
      </w:r>
      <w:r w:rsidR="0078374B" w:rsidRPr="00C7499E">
        <w:t>.</w:t>
      </w:r>
    </w:p>
    <w:p w14:paraId="73597793" w14:textId="554EDACF" w:rsidR="001562A7" w:rsidRDefault="008C56BA" w:rsidP="008C56BA">
      <w:pPr>
        <w:spacing w:before="240" w:line="240" w:lineRule="auto"/>
      </w:pPr>
      <w:r>
        <w:t xml:space="preserve">Australia has </w:t>
      </w:r>
      <w:r w:rsidR="00F76704" w:rsidRPr="00F76704">
        <w:rPr>
          <w:b/>
        </w:rPr>
        <w:t>contributed to</w:t>
      </w:r>
      <w:r w:rsidRPr="00F76704">
        <w:rPr>
          <w:b/>
        </w:rPr>
        <w:t xml:space="preserve"> </w:t>
      </w:r>
      <w:r w:rsidR="0078374B">
        <w:rPr>
          <w:b/>
        </w:rPr>
        <w:t>preventing and responding to</w:t>
      </w:r>
      <w:r w:rsidRPr="00F76704">
        <w:rPr>
          <w:b/>
        </w:rPr>
        <w:t xml:space="preserve"> violence against women</w:t>
      </w:r>
      <w:r>
        <w:t xml:space="preserve"> in Solomon Islands</w:t>
      </w:r>
      <w:r w:rsidR="003A3C85">
        <w:t xml:space="preserve">.  </w:t>
      </w:r>
      <w:r>
        <w:t xml:space="preserve">The </w:t>
      </w:r>
      <w:r w:rsidR="00FC1CAE">
        <w:t>FPA</w:t>
      </w:r>
      <w:r>
        <w:t xml:space="preserve"> </w:t>
      </w:r>
      <w:r w:rsidR="00F76704">
        <w:t>functioned as envisaged with increased reporting and more women seeking support services</w:t>
      </w:r>
      <w:r w:rsidR="003A3C85">
        <w:t xml:space="preserve">.  </w:t>
      </w:r>
      <w:r w:rsidR="001562A7">
        <w:t>The number of women survivors receiving support services increased to 822 in 2016 (from 491 in 2015</w:t>
      </w:r>
      <w:r w:rsidR="0082405D">
        <w:t>)</w:t>
      </w:r>
      <w:r w:rsidR="003A3C85">
        <w:t xml:space="preserve">.  </w:t>
      </w:r>
      <w:r w:rsidR="0082405D">
        <w:t xml:space="preserve">However, </w:t>
      </w:r>
      <w:r w:rsidR="001562A7">
        <w:t>demand outstripped supply and Australia will re-prioritise funding to expand support to key support organisations</w:t>
      </w:r>
      <w:r w:rsidR="003A3C85">
        <w:t xml:space="preserve">.  </w:t>
      </w:r>
      <w:r w:rsidR="0078374B">
        <w:t xml:space="preserve">Channels of Hope, delivered by World Vision and the Safe Families program, delivered by a consortium led by Oxfam, have contributed to preventing violence against women by </w:t>
      </w:r>
      <w:r w:rsidR="0082405D">
        <w:t xml:space="preserve">influencing </w:t>
      </w:r>
      <w:r w:rsidR="0078374B">
        <w:t>community attitudes</w:t>
      </w:r>
      <w:r w:rsidR="003A3C85">
        <w:t xml:space="preserve">.  </w:t>
      </w:r>
      <w:r w:rsidR="00E53685">
        <w:t>In 2016-17, we provided technical assistance to the Ministry</w:t>
      </w:r>
      <w:r w:rsidR="0082405D">
        <w:t xml:space="preserve"> of Women, Youth, Children and Family Affairs</w:t>
      </w:r>
      <w:r w:rsidR="000F4E11">
        <w:t xml:space="preserve"> (MWYCFA)</w:t>
      </w:r>
      <w:r w:rsidR="0082405D">
        <w:t>, a key partner,</w:t>
      </w:r>
      <w:r w:rsidR="003928E1">
        <w:t xml:space="preserve"> </w:t>
      </w:r>
      <w:r w:rsidR="00E53685">
        <w:t>to support policy development</w:t>
      </w:r>
      <w:r w:rsidR="0082405D">
        <w:t>.</w:t>
      </w:r>
    </w:p>
    <w:p w14:paraId="4A4D3F3C" w14:textId="26F66E28" w:rsidR="00343989" w:rsidRDefault="00343989" w:rsidP="008C56BA">
      <w:pPr>
        <w:spacing w:before="240" w:line="240" w:lineRule="auto"/>
      </w:pPr>
      <w:r>
        <w:t xml:space="preserve">In 2016-17, Australia continued to </w:t>
      </w:r>
      <w:r w:rsidRPr="00AA311C">
        <w:rPr>
          <w:b/>
        </w:rPr>
        <w:t>support women’s economic empower</w:t>
      </w:r>
      <w:r w:rsidR="00AA311C" w:rsidRPr="00AA311C">
        <w:rPr>
          <w:b/>
        </w:rPr>
        <w:t>ment</w:t>
      </w:r>
      <w:r w:rsidR="003A3C85">
        <w:t xml:space="preserve">.  </w:t>
      </w:r>
      <w:r w:rsidR="00AA311C">
        <w:t>Australia</w:t>
      </w:r>
      <w:r w:rsidR="00160B2F">
        <w:t>n funding supported the establishment of the Solomon Islands Professional Network for Women that now has 52 members and runs monthly networking events</w:t>
      </w:r>
      <w:r w:rsidR="003A3C85">
        <w:t xml:space="preserve">.  </w:t>
      </w:r>
      <w:r w:rsidR="009176E9">
        <w:t>Solomon Islands Women in Business Association</w:t>
      </w:r>
      <w:r w:rsidR="000F4E11">
        <w:t xml:space="preserve"> (SIWIBA)</w:t>
      </w:r>
      <w:r w:rsidR="009176E9">
        <w:t xml:space="preserve"> membership however, decreased from 350 in 2015 to 138 in 2016</w:t>
      </w:r>
      <w:r w:rsidR="003A3C85">
        <w:t xml:space="preserve">.  </w:t>
      </w:r>
      <w:r w:rsidR="00F71EEE">
        <w:t xml:space="preserve">A challenge will be working with SIWIBA over the </w:t>
      </w:r>
      <w:r w:rsidR="00FE3379">
        <w:t>coming</w:t>
      </w:r>
      <w:r w:rsidR="00F71EEE">
        <w:t xml:space="preserve"> year to improve the services it provides to its members, and help restore its member base</w:t>
      </w:r>
      <w:r w:rsidR="003A3C85">
        <w:t xml:space="preserve">.  </w:t>
      </w:r>
      <w:r w:rsidR="00F71EEE">
        <w:t>There was increased targeted skills and leadership training for women in 2016, with SIWIBA providing training to 368 women on topics such as ecotourism, cruise tourism and catering, and UN Women providing training to 216 women on financial planning and management.</w:t>
      </w:r>
    </w:p>
    <w:p w14:paraId="107FABF4" w14:textId="2B93D22B" w:rsidR="00C7499E" w:rsidRDefault="00C7499E" w:rsidP="00C7499E">
      <w:pPr>
        <w:suppressAutoHyphens w:val="0"/>
        <w:spacing w:after="120" w:line="240" w:lineRule="auto"/>
      </w:pPr>
      <w:r>
        <w:lastRenderedPageBreak/>
        <w:t xml:space="preserve">Australia’s investments across stability and economic growth </w:t>
      </w:r>
      <w:r w:rsidRPr="008C56BA">
        <w:rPr>
          <w:b/>
        </w:rPr>
        <w:t>enhance</w:t>
      </w:r>
      <w:r w:rsidR="008C56BA">
        <w:rPr>
          <w:b/>
        </w:rPr>
        <w:t>d</w:t>
      </w:r>
      <w:r w:rsidRPr="008C56BA">
        <w:rPr>
          <w:b/>
        </w:rPr>
        <w:t xml:space="preserve"> women’s leadership and engagement in </w:t>
      </w:r>
      <w:r w:rsidR="006C6D45" w:rsidRPr="008C56BA">
        <w:rPr>
          <w:b/>
        </w:rPr>
        <w:t>decision-making</w:t>
      </w:r>
      <w:r w:rsidR="003A3C85">
        <w:t xml:space="preserve">.  </w:t>
      </w:r>
      <w:r w:rsidR="008C56BA">
        <w:t xml:space="preserve">Our strong advocacy </w:t>
      </w:r>
      <w:r w:rsidR="00343989">
        <w:t>across</w:t>
      </w:r>
      <w:r w:rsidR="006D526C">
        <w:t xml:space="preserve"> the Solomon Islands Government, </w:t>
      </w:r>
      <w:r w:rsidR="00343989">
        <w:t>a</w:t>
      </w:r>
      <w:r w:rsidR="008C56BA">
        <w:t xml:space="preserve">nd </w:t>
      </w:r>
      <w:r w:rsidR="00343989">
        <w:t xml:space="preserve">MPS engagement </w:t>
      </w:r>
      <w:r w:rsidR="00D7584E">
        <w:t xml:space="preserve">at Australian </w:t>
      </w:r>
      <w:r w:rsidR="008C56BA">
        <w:t>regional</w:t>
      </w:r>
      <w:r w:rsidR="00D7584E">
        <w:t xml:space="preserve"> gender</w:t>
      </w:r>
      <w:r w:rsidR="008C56BA">
        <w:t xml:space="preserve"> training</w:t>
      </w:r>
      <w:r w:rsidR="00D027D9">
        <w:t>,</w:t>
      </w:r>
      <w:r w:rsidR="008C56BA">
        <w:t xml:space="preserve"> </w:t>
      </w:r>
      <w:r w:rsidR="00D027D9">
        <w:t xml:space="preserve">have </w:t>
      </w:r>
      <w:r w:rsidR="008C56BA">
        <w:t xml:space="preserve">increased </w:t>
      </w:r>
      <w:r w:rsidR="00343989">
        <w:t xml:space="preserve">openness to reform and </w:t>
      </w:r>
      <w:r w:rsidR="008C56BA">
        <w:t xml:space="preserve">appetite </w:t>
      </w:r>
      <w:r w:rsidR="00343989">
        <w:t>for</w:t>
      </w:r>
      <w:r w:rsidR="008C56BA">
        <w:t xml:space="preserve"> gender</w:t>
      </w:r>
      <w:r w:rsidR="00343989">
        <w:t xml:space="preserve"> mainstreaming</w:t>
      </w:r>
      <w:r w:rsidR="008C56BA">
        <w:t xml:space="preserve"> in 2016-17</w:t>
      </w:r>
      <w:r w:rsidR="003A3C85">
        <w:t xml:space="preserve">.  </w:t>
      </w:r>
      <w:r w:rsidR="00AA311C">
        <w:t>T</w:t>
      </w:r>
      <w:r>
        <w:t>he number of women in</w:t>
      </w:r>
      <w:r w:rsidR="006D526C">
        <w:t xml:space="preserve"> Government</w:t>
      </w:r>
      <w:r w:rsidR="00AA311C">
        <w:t xml:space="preserve"> </w:t>
      </w:r>
      <w:r>
        <w:t xml:space="preserve">leadership levels has been stable (27 in 2015, 26 </w:t>
      </w:r>
      <w:r w:rsidR="006D526C">
        <w:t xml:space="preserve">in </w:t>
      </w:r>
      <w:r>
        <w:t>2016, 28</w:t>
      </w:r>
      <w:r w:rsidR="006D526C">
        <w:t xml:space="preserve"> in </w:t>
      </w:r>
      <w:r>
        <w:t xml:space="preserve">2017) </w:t>
      </w:r>
      <w:r w:rsidR="00D027D9">
        <w:t xml:space="preserve">but </w:t>
      </w:r>
      <w:r w:rsidR="008C56BA">
        <w:t xml:space="preserve">the </w:t>
      </w:r>
      <w:r w:rsidR="008C56BA" w:rsidRPr="008C56BA">
        <w:t>number of women in middle management has increased from 179 in 2015 to 204 in 2017</w:t>
      </w:r>
      <w:r w:rsidR="003A3C85">
        <w:t xml:space="preserve">.  </w:t>
      </w:r>
      <w:r w:rsidR="008C56BA" w:rsidRPr="008C56BA">
        <w:t>To better unde</w:t>
      </w:r>
      <w:r w:rsidR="008C56BA">
        <w:t>rstand leadership barriers for women, Australia commissioned the ‘</w:t>
      </w:r>
      <w:r w:rsidR="00190B6F">
        <w:t xml:space="preserve">Scoping Study on </w:t>
      </w:r>
      <w:r w:rsidR="008C56BA">
        <w:t>Women</w:t>
      </w:r>
      <w:r w:rsidR="00190B6F">
        <w:t>’s</w:t>
      </w:r>
      <w:r w:rsidR="008C56BA">
        <w:t xml:space="preserve"> Leadership</w:t>
      </w:r>
      <w:r w:rsidR="00190B6F">
        <w:t xml:space="preserve"> and Decision Making</w:t>
      </w:r>
      <w:r w:rsidR="008C56BA">
        <w:t>’</w:t>
      </w:r>
      <w:r w:rsidR="00190B6F">
        <w:t xml:space="preserve"> and commenced implementation of recommendations including supporting female managers to complete a Certificate IV in Leadership and Management at the APTC</w:t>
      </w:r>
      <w:r w:rsidR="000F7180">
        <w:t>.</w:t>
      </w:r>
    </w:p>
    <w:p w14:paraId="0CF46A3D" w14:textId="7864D6EF" w:rsidR="00E53685" w:rsidRDefault="00E53685" w:rsidP="00F76704">
      <w:pPr>
        <w:suppressAutoHyphens w:val="0"/>
        <w:spacing w:after="120" w:line="240" w:lineRule="auto"/>
      </w:pPr>
      <w:r>
        <w:t xml:space="preserve">Post commissioned an independent review of the Pacific Women Country Plan for Solomon Islands 2013-2017, which </w:t>
      </w:r>
      <w:r w:rsidR="00E75A59">
        <w:t>commenced</w:t>
      </w:r>
      <w:r>
        <w:t xml:space="preserve"> in </w:t>
      </w:r>
      <w:r w:rsidR="00190B6F">
        <w:t xml:space="preserve">January </w:t>
      </w:r>
      <w:r>
        <w:t>2017</w:t>
      </w:r>
      <w:r w:rsidR="003A3C85">
        <w:t xml:space="preserve">.  </w:t>
      </w:r>
      <w:r>
        <w:t>The review found evidence of achievements in all outcome areas (ending violence against women, women’s economic empowerment, supporting MWYCFA, and strengthening d</w:t>
      </w:r>
      <w:r w:rsidR="00646A0E">
        <w:t>esign and monitoring across the aid program)</w:t>
      </w:r>
      <w:r w:rsidR="003A3C85">
        <w:t xml:space="preserve">.  </w:t>
      </w:r>
      <w:r w:rsidR="00646A0E">
        <w:t>The review will inform the development of an updated Country Plan to gu</w:t>
      </w:r>
      <w:r w:rsidR="002138A5">
        <w:t>i</w:t>
      </w:r>
      <w:r w:rsidR="00646A0E">
        <w:t>de Pacific Women’s work in Solomon Islands over the next four years.</w:t>
      </w:r>
    </w:p>
    <w:p w14:paraId="179C5B4A" w14:textId="77777777" w:rsidR="002A51CA" w:rsidRDefault="002A51CA" w:rsidP="00BD607E">
      <w:pPr>
        <w:pStyle w:val="Heading2"/>
        <w:spacing w:before="240" w:after="60"/>
      </w:pPr>
      <w:r>
        <w:t>Mutual obligations</w:t>
      </w:r>
    </w:p>
    <w:p w14:paraId="6466D10A" w14:textId="461B0627" w:rsidR="00D2124A" w:rsidRDefault="00D2124A" w:rsidP="00BE6C6D">
      <w:r>
        <w:t>Austr</w:t>
      </w:r>
      <w:r w:rsidR="002129FB">
        <w:t xml:space="preserve">alia and Solomon Islands have formally agreed mutual obligations in the </w:t>
      </w:r>
      <w:r>
        <w:t>areas of education,</w:t>
      </w:r>
      <w:r w:rsidR="00BD25D5">
        <w:t xml:space="preserve"> health and</w:t>
      </w:r>
      <w:r>
        <w:t xml:space="preserve"> transport</w:t>
      </w:r>
      <w:r w:rsidR="003A3C85">
        <w:t xml:space="preserve">.  </w:t>
      </w:r>
      <w:r w:rsidR="002129FB">
        <w:t>As highlighted previously, performance through</w:t>
      </w:r>
      <w:r w:rsidR="006D526C">
        <w:t xml:space="preserve"> Solomon Islands </w:t>
      </w:r>
      <w:r w:rsidR="002129FB">
        <w:t xml:space="preserve">systems was mixed in 2016-17 and performance linked aid did not consistently incentivise </w:t>
      </w:r>
      <w:r w:rsidR="006D526C">
        <w:t xml:space="preserve">Government </w:t>
      </w:r>
      <w:r w:rsidR="002129FB">
        <w:t>budget commitments and disbursements in line with expectations</w:t>
      </w:r>
      <w:r w:rsidR="003A3C85">
        <w:t xml:space="preserve">.  </w:t>
      </w:r>
      <w:r w:rsidR="003E4DAB" w:rsidRPr="00FE3379">
        <w:t>There was up to $</w:t>
      </w:r>
      <w:r w:rsidR="002F1A81">
        <w:t>10</w:t>
      </w:r>
      <w:r w:rsidR="003E4DAB" w:rsidRPr="00FE3379">
        <w:t>.2</w:t>
      </w:r>
      <w:r w:rsidR="00EC481D">
        <w:t xml:space="preserve"> million</w:t>
      </w:r>
      <w:r w:rsidR="003E4DAB" w:rsidRPr="00FE3379">
        <w:t xml:space="preserve"> in </w:t>
      </w:r>
      <w:r w:rsidR="000F4E11">
        <w:t xml:space="preserve">PLA </w:t>
      </w:r>
      <w:r w:rsidR="003E4DAB" w:rsidRPr="00FE3379">
        <w:t>available but only $4.8m was disbursed in 2016-17</w:t>
      </w:r>
      <w:r w:rsidR="00D60FE1">
        <w:t>.</w:t>
      </w:r>
    </w:p>
    <w:p w14:paraId="576E5E73" w14:textId="2E38E95B" w:rsidR="00BD25D5" w:rsidRDefault="00790E31" w:rsidP="00BE6C6D">
      <w:r>
        <w:t>In the Education sector, the MEHRD achieved 91</w:t>
      </w:r>
      <w:r w:rsidR="00646A0E">
        <w:t xml:space="preserve"> </w:t>
      </w:r>
      <w:r>
        <w:t xml:space="preserve">per cent of the jointly agreed targets in 2016 and consequently </w:t>
      </w:r>
      <w:r w:rsidR="000F4E11">
        <w:t>PLA</w:t>
      </w:r>
      <w:r>
        <w:t xml:space="preserve"> payments will be made</w:t>
      </w:r>
      <w:r w:rsidR="003A3C85">
        <w:t xml:space="preserve">.  </w:t>
      </w:r>
      <w:r>
        <w:t xml:space="preserve">In 2016, </w:t>
      </w:r>
      <w:r w:rsidR="006D526C">
        <w:t>Solomon Islands a</w:t>
      </w:r>
      <w:r>
        <w:t>llocated 24 per cent of its recurrent budget to education, once again exceeding the target of 22 per cent</w:t>
      </w:r>
      <w:r w:rsidR="003A3C85">
        <w:t xml:space="preserve">.  </w:t>
      </w:r>
      <w:r w:rsidR="007261ED">
        <w:t xml:space="preserve">In the </w:t>
      </w:r>
      <w:r w:rsidR="00646A0E">
        <w:t xml:space="preserve">health </w:t>
      </w:r>
      <w:r w:rsidR="007261ED">
        <w:t xml:space="preserve">sector, the MHMS achieved </w:t>
      </w:r>
      <w:r w:rsidR="006779BB" w:rsidRPr="00FE3379">
        <w:t>73</w:t>
      </w:r>
      <w:r w:rsidR="007261ED">
        <w:t xml:space="preserve"> per cent of the jointly agreed target</w:t>
      </w:r>
      <w:r w:rsidR="00F3213B">
        <w:t>s</w:t>
      </w:r>
      <w:r w:rsidR="007261ED">
        <w:t xml:space="preserve"> in 2016 and consequently $</w:t>
      </w:r>
      <w:r w:rsidR="006779BB" w:rsidRPr="00FE3379">
        <w:t>1.9</w:t>
      </w:r>
      <w:r w:rsidR="00EC481D">
        <w:t xml:space="preserve"> million</w:t>
      </w:r>
      <w:r w:rsidR="007261ED">
        <w:t xml:space="preserve"> in </w:t>
      </w:r>
      <w:r w:rsidR="000F4E11">
        <w:t>PLA</w:t>
      </w:r>
      <w:r w:rsidR="007261ED">
        <w:t xml:space="preserve"> was paid</w:t>
      </w:r>
      <w:r w:rsidR="003A3C85">
        <w:t xml:space="preserve">.  </w:t>
      </w:r>
      <w:r w:rsidR="00F3213B">
        <w:t xml:space="preserve">In the </w:t>
      </w:r>
      <w:r w:rsidR="00646A0E">
        <w:t xml:space="preserve">transport </w:t>
      </w:r>
      <w:r w:rsidR="00F3213B">
        <w:t>sector, the Ministry of Infrastructure Development MID did not achieve the 2016 Performance Milestone of contributing SB$50</w:t>
      </w:r>
      <w:r w:rsidR="00EC481D">
        <w:t xml:space="preserve"> million</w:t>
      </w:r>
      <w:r w:rsidR="00F3213B">
        <w:t xml:space="preserve"> to the NTF and hence did not qualify </w:t>
      </w:r>
      <w:r w:rsidR="00C37252">
        <w:t>for</w:t>
      </w:r>
      <w:r w:rsidR="00F3213B">
        <w:t xml:space="preserve"> the additional $1</w:t>
      </w:r>
      <w:r w:rsidR="00EC481D">
        <w:t xml:space="preserve"> million</w:t>
      </w:r>
      <w:r w:rsidR="00BD25D5">
        <w:t xml:space="preserve"> in </w:t>
      </w:r>
      <w:r w:rsidR="000F4E11">
        <w:t>PLA</w:t>
      </w:r>
      <w:r w:rsidR="003A3C85">
        <w:t xml:space="preserve">.  </w:t>
      </w:r>
      <w:r w:rsidR="00BD25D5">
        <w:t xml:space="preserve">Despite </w:t>
      </w:r>
      <w:r w:rsidR="000F7BC7">
        <w:t>high-level</w:t>
      </w:r>
      <w:r w:rsidR="00BD25D5">
        <w:t xml:space="preserve"> advocacy from Australia the CEWG did not meet in 2016-17 and</w:t>
      </w:r>
      <w:r w:rsidR="006D526C">
        <w:t xml:space="preserve"> the Solomon Islands Government </w:t>
      </w:r>
      <w:r w:rsidR="00BD25D5">
        <w:t>has not agreed to the associated performance matrix that would enable performance bonuses to be paid.</w:t>
      </w:r>
    </w:p>
    <w:p w14:paraId="402A383F" w14:textId="5BE1ED3A" w:rsidR="002A51CA" w:rsidRPr="00C4114C" w:rsidRDefault="00BA25F7" w:rsidP="00BE6C6D">
      <w:r>
        <w:t>T</w:t>
      </w:r>
      <w:r w:rsidR="002129FB">
        <w:t xml:space="preserve">he Solomon Islands – </w:t>
      </w:r>
      <w:r w:rsidR="00D7584E">
        <w:t>Australia Aid P</w:t>
      </w:r>
      <w:r w:rsidR="002129FB">
        <w:t>artnership</w:t>
      </w:r>
      <w:r>
        <w:t xml:space="preserve"> includes </w:t>
      </w:r>
      <w:r w:rsidR="002129FB">
        <w:t>a commitment to mutual respect and accountability</w:t>
      </w:r>
      <w:r w:rsidR="003A3C85">
        <w:t xml:space="preserve">.  </w:t>
      </w:r>
      <w:r w:rsidR="002129FB">
        <w:t>The partnership contains ‘Mutual Reinforcing Commitments’ that build on the mutual obligations outlined in the AIP and these will be the basis for analysing progress on mutual obligations for future APPRs</w:t>
      </w:r>
      <w:r w:rsidR="003A3C85">
        <w:t xml:space="preserve">.  </w:t>
      </w:r>
      <w:r w:rsidR="00BD25D5">
        <w:t xml:space="preserve">The CEWG was not included in the Aid Partnership as </w:t>
      </w:r>
      <w:r w:rsidR="00646A0E">
        <w:t xml:space="preserve">an </w:t>
      </w:r>
      <w:r w:rsidR="00BD25D5">
        <w:t>area of mutual commitment.</w:t>
      </w:r>
    </w:p>
    <w:p w14:paraId="2EBC93E4" w14:textId="369DC9CD" w:rsidR="002A51CA" w:rsidRPr="002A51CA" w:rsidRDefault="002A51CA" w:rsidP="00BD607E">
      <w:pPr>
        <w:pStyle w:val="Heading2"/>
        <w:spacing w:before="240" w:after="60"/>
      </w:pPr>
      <w:r w:rsidRPr="002A51CA">
        <w:t xml:space="preserve">Program </w:t>
      </w:r>
      <w:r w:rsidR="000F7180">
        <w:t>Quality and Partner Performance</w:t>
      </w:r>
    </w:p>
    <w:p w14:paraId="138264DA" w14:textId="6993D155" w:rsidR="002A51CA" w:rsidRPr="002A51CA" w:rsidRDefault="000F7180" w:rsidP="002A51CA">
      <w:pPr>
        <w:rPr>
          <w:b/>
          <w:lang w:eastAsia="zh-CN"/>
        </w:rPr>
      </w:pPr>
      <w:r>
        <w:rPr>
          <w:b/>
          <w:lang w:eastAsia="zh-CN"/>
        </w:rPr>
        <w:t>Overview</w:t>
      </w:r>
    </w:p>
    <w:p w14:paraId="0C63BC91" w14:textId="64442178" w:rsidR="006D6CA3" w:rsidRDefault="006745EF" w:rsidP="00EE508B">
      <w:r>
        <w:t>Australia continued to develop a systematic appro</w:t>
      </w:r>
      <w:r w:rsidR="00EE508B">
        <w:t>ach to monitoring and evaluating</w:t>
      </w:r>
      <w:r>
        <w:t xml:space="preserve"> aid in Solomon Islands</w:t>
      </w:r>
      <w:r w:rsidR="003A3C85">
        <w:t xml:space="preserve">.  </w:t>
      </w:r>
      <w:r w:rsidR="00EE508B">
        <w:t xml:space="preserve">Over the last two years, program level performance was measured against the </w:t>
      </w:r>
      <w:r w:rsidR="00FC1CAE">
        <w:t>program PAF</w:t>
      </w:r>
      <w:r w:rsidR="005062B5">
        <w:t xml:space="preserve"> (Annex E)</w:t>
      </w:r>
      <w:r w:rsidR="00EE508B">
        <w:t xml:space="preserve"> during the annual performance reflection workshop</w:t>
      </w:r>
      <w:r w:rsidR="003A3C85">
        <w:t xml:space="preserve">.  </w:t>
      </w:r>
      <w:r w:rsidR="00EE508B">
        <w:t>The</w:t>
      </w:r>
      <w:r w:rsidR="00656B13">
        <w:t xml:space="preserve"> development of the </w:t>
      </w:r>
      <w:r w:rsidR="00EE508B">
        <w:t xml:space="preserve">PAF </w:t>
      </w:r>
      <w:r w:rsidR="00656B13">
        <w:t>in 2015 was</w:t>
      </w:r>
      <w:r w:rsidR="00EE508B">
        <w:t xml:space="preserve"> aligned with the </w:t>
      </w:r>
      <w:r w:rsidR="00D7584E">
        <w:t>four</w:t>
      </w:r>
      <w:r w:rsidR="00EE508B">
        <w:t xml:space="preserve"> AIP objectives </w:t>
      </w:r>
      <w:r w:rsidR="00656B13">
        <w:t>and provided</w:t>
      </w:r>
      <w:r w:rsidR="00EE508B">
        <w:t xml:space="preserve"> end of plan outcomes, intermediate outcomes and indicators to assess progress</w:t>
      </w:r>
      <w:r w:rsidR="003A3C85">
        <w:t xml:space="preserve">.  </w:t>
      </w:r>
      <w:r w:rsidR="006D6CA3">
        <w:t xml:space="preserve">As per the AIP, targets were not set in </w:t>
      </w:r>
      <w:r w:rsidR="00656B13">
        <w:t xml:space="preserve">the </w:t>
      </w:r>
      <w:r w:rsidR="006D6CA3">
        <w:t>PAF for each outcome and instead the program committed to maintain performance levels</w:t>
      </w:r>
      <w:r w:rsidR="00656B13">
        <w:t xml:space="preserve"> against the baseline</w:t>
      </w:r>
      <w:r w:rsidR="003A3C85">
        <w:t xml:space="preserve">.  </w:t>
      </w:r>
      <w:r w:rsidR="006D6CA3">
        <w:t xml:space="preserve">During 2016-17, </w:t>
      </w:r>
      <w:r w:rsidR="00EE508B">
        <w:t xml:space="preserve">investment managers provided performance evidence </w:t>
      </w:r>
      <w:r w:rsidR="00656B13">
        <w:t xml:space="preserve">from more than </w:t>
      </w:r>
      <w:r w:rsidR="00656B13" w:rsidRPr="00FE3379">
        <w:t xml:space="preserve">30 </w:t>
      </w:r>
      <w:r w:rsidR="00656B13">
        <w:t xml:space="preserve">unique sources </w:t>
      </w:r>
      <w:r w:rsidR="00EE508B">
        <w:t>against PAF indicators</w:t>
      </w:r>
      <w:r w:rsidR="00656B13">
        <w:t xml:space="preserve"> and the program has now collected baseline (2015) and intermediate data (2016)</w:t>
      </w:r>
      <w:r w:rsidR="00FC1CAE">
        <w:t xml:space="preserve"> for most indicators</w:t>
      </w:r>
      <w:r w:rsidR="003A3C85">
        <w:t xml:space="preserve">.  </w:t>
      </w:r>
      <w:r w:rsidR="00B5548C">
        <w:t>Performance</w:t>
      </w:r>
      <w:r w:rsidR="006D6CA3">
        <w:t xml:space="preserve"> evidence was presented and critiqued and a</w:t>
      </w:r>
      <w:r w:rsidR="00656B13">
        <w:t>n agreed</w:t>
      </w:r>
      <w:r w:rsidR="006D6CA3">
        <w:t xml:space="preserve"> rating</w:t>
      </w:r>
      <w:r w:rsidR="00656B13">
        <w:t xml:space="preserve"> determined </w:t>
      </w:r>
      <w:r w:rsidR="006D6CA3">
        <w:t>for each AIP objective</w:t>
      </w:r>
      <w:r w:rsidR="003A3C85">
        <w:t xml:space="preserve">.  </w:t>
      </w:r>
      <w:r w:rsidR="006D6CA3">
        <w:t>This approach resulted in increased ownership and engagement in the PAF</w:t>
      </w:r>
      <w:r w:rsidR="00656B13">
        <w:t xml:space="preserve"> across the program and increased knowledge of PAFs as </w:t>
      </w:r>
      <w:r w:rsidR="00646A0E">
        <w:t xml:space="preserve">a </w:t>
      </w:r>
      <w:r w:rsidR="00656B13">
        <w:t>tool to measure performance</w:t>
      </w:r>
      <w:r w:rsidR="003A3C85">
        <w:t xml:space="preserve">.  </w:t>
      </w:r>
      <w:r w:rsidR="00656B13">
        <w:t xml:space="preserve">Other key performance processes undertaken in 2016-17 included Aid </w:t>
      </w:r>
      <w:r w:rsidR="00656B13">
        <w:lastRenderedPageBreak/>
        <w:t>Quality Checks (AQC), Partner Performance Assessments (PPA</w:t>
      </w:r>
      <w:r w:rsidR="00F91F91">
        <w:t>s</w:t>
      </w:r>
      <w:r w:rsidR="00656B13">
        <w:t>) and program evaluations which</w:t>
      </w:r>
      <w:r w:rsidR="00D7584E">
        <w:t xml:space="preserve"> </w:t>
      </w:r>
      <w:r w:rsidR="00B5548C">
        <w:t>inform</w:t>
      </w:r>
      <w:r w:rsidR="00D7584E">
        <w:t>ed</w:t>
      </w:r>
      <w:r w:rsidR="00656B13">
        <w:t xml:space="preserve"> decisions around consolidation</w:t>
      </w:r>
      <w:r w:rsidR="00B5548C">
        <w:t>,</w:t>
      </w:r>
      <w:r w:rsidR="00656B13">
        <w:t xml:space="preserve"> and program</w:t>
      </w:r>
      <w:r w:rsidR="00B5548C">
        <w:t xml:space="preserve"> planning and</w:t>
      </w:r>
      <w:r w:rsidR="00656B13">
        <w:t xml:space="preserve"> design</w:t>
      </w:r>
      <w:r w:rsidR="000F7180">
        <w:t>.</w:t>
      </w:r>
    </w:p>
    <w:p w14:paraId="6945B115" w14:textId="3F3E4DF7" w:rsidR="002A51CA" w:rsidRPr="00C61187" w:rsidRDefault="00B37241" w:rsidP="00BE6C6D">
      <w:r>
        <w:t xml:space="preserve">The program </w:t>
      </w:r>
      <w:r w:rsidR="003342B7">
        <w:t xml:space="preserve">has consolidated </w:t>
      </w:r>
      <w:r>
        <w:t>aid investments</w:t>
      </w:r>
      <w:r w:rsidR="003342B7">
        <w:t xml:space="preserve">, </w:t>
      </w:r>
      <w:r>
        <w:t>reduc</w:t>
      </w:r>
      <w:r w:rsidR="003342B7">
        <w:t>ing</w:t>
      </w:r>
      <w:r>
        <w:t xml:space="preserve"> in 2016-17 to 25 </w:t>
      </w:r>
      <w:r w:rsidR="007A5106">
        <w:t>investments as compared to 27 in 2015-16</w:t>
      </w:r>
      <w:r>
        <w:t xml:space="preserve"> and </w:t>
      </w:r>
      <w:r w:rsidRPr="008C6F91">
        <w:t xml:space="preserve">29 </w:t>
      </w:r>
      <w:r w:rsidR="007A5106" w:rsidRPr="008C6F91">
        <w:t>when the AIP was launched</w:t>
      </w:r>
      <w:r w:rsidRPr="008C6F91">
        <w:t xml:space="preserve"> </w:t>
      </w:r>
      <w:r w:rsidR="00D628A3" w:rsidRPr="008C6F91">
        <w:t xml:space="preserve">in </w:t>
      </w:r>
      <w:r w:rsidRPr="008C6F91">
        <w:t>2015</w:t>
      </w:r>
      <w:r w:rsidR="003A3C85">
        <w:t xml:space="preserve">.  </w:t>
      </w:r>
      <w:r w:rsidR="007A5106">
        <w:t>Program con</w:t>
      </w:r>
      <w:r w:rsidR="002A51CA" w:rsidRPr="00C61187">
        <w:t xml:space="preserve">solidation </w:t>
      </w:r>
      <w:r w:rsidR="007A5106">
        <w:t>was</w:t>
      </w:r>
      <w:r w:rsidR="002A51CA" w:rsidRPr="00C61187">
        <w:t xml:space="preserve"> achieved</w:t>
      </w:r>
      <w:r w:rsidR="00431E2C">
        <w:t xml:space="preserve"> </w:t>
      </w:r>
      <w:r w:rsidR="007A5106">
        <w:t xml:space="preserve">through considered closure of poor performing investments over the last two years and through the Solomon Island Growth Program being designed as an umbrella initiative </w:t>
      </w:r>
      <w:r w:rsidR="00FF5BBC">
        <w:t xml:space="preserve">for new </w:t>
      </w:r>
      <w:r w:rsidR="007A5106">
        <w:t>economic growth activities</w:t>
      </w:r>
      <w:r w:rsidR="000F7180">
        <w:t>.</w:t>
      </w:r>
    </w:p>
    <w:p w14:paraId="31A76B7D" w14:textId="585D1E9A" w:rsidR="00D504B4" w:rsidRDefault="00D628A3" w:rsidP="00BE6C6D">
      <w:r>
        <w:t xml:space="preserve">The inaugural DFAT Annual Aid Evaluation Plan (February 2017) identified three Solomon Islands investments </w:t>
      </w:r>
      <w:r w:rsidR="006745EF">
        <w:t>that would be independently evaluated with reports and management responses to be published in 2017</w:t>
      </w:r>
      <w:r w:rsidR="003A3C85">
        <w:t xml:space="preserve">.  </w:t>
      </w:r>
      <w:r w:rsidR="00923638">
        <w:t>The ‘Independent Assessment of Performance Linked Funding Indicators’ for Education and Health were both completed in June 2017</w:t>
      </w:r>
      <w:r w:rsidR="003A3C85">
        <w:t xml:space="preserve">.  </w:t>
      </w:r>
      <w:r w:rsidR="00923638">
        <w:t xml:space="preserve">These annual assessments determined the </w:t>
      </w:r>
      <w:r w:rsidR="00F91F91">
        <w:t>PLA</w:t>
      </w:r>
      <w:r w:rsidR="00923638">
        <w:t xml:space="preserve"> payments for both sectors and enabled evidenced based discussion between the ministries and donor partners in the Annual Joint Review</w:t>
      </w:r>
      <w:r w:rsidR="003A3C85">
        <w:t xml:space="preserve">.  </w:t>
      </w:r>
      <w:r w:rsidR="00923638">
        <w:t xml:space="preserve">The Mid-term Review of the ‘Education Sector Program’ (also part of the 2017 Evaluation Plan) will commence in September 2017 and </w:t>
      </w:r>
      <w:r w:rsidR="00F43240">
        <w:t>be</w:t>
      </w:r>
      <w:r w:rsidR="00923638">
        <w:t xml:space="preserve"> completed </w:t>
      </w:r>
      <w:r w:rsidR="00F43240">
        <w:t>in December 2017</w:t>
      </w:r>
      <w:r w:rsidR="003A3C85">
        <w:t xml:space="preserve">.  </w:t>
      </w:r>
      <w:r w:rsidR="00F43240">
        <w:t>In 2016-17, Australia used evaluation recommendations to inform program planning; for example, the new gender program (2017-20) incorporated activities recommended by the ‘Scoping Study on Women in Leadership and Decision Making’</w:t>
      </w:r>
      <w:r w:rsidR="003A3C85">
        <w:t xml:space="preserve">.  </w:t>
      </w:r>
      <w:r w:rsidR="00F43240">
        <w:t>In 2017-18, Australia will conduct at least four evaluations (see Annex C).</w:t>
      </w:r>
    </w:p>
    <w:p w14:paraId="7ED373B9" w14:textId="77777777" w:rsidR="00600479" w:rsidRDefault="00600479" w:rsidP="00BE6C6D">
      <w:pPr>
        <w:rPr>
          <w:b/>
          <w:lang w:eastAsia="zh-CN"/>
        </w:rPr>
      </w:pPr>
      <w:r>
        <w:rPr>
          <w:b/>
          <w:lang w:eastAsia="zh-CN"/>
        </w:rPr>
        <w:t>Aid Quality Checks (AQCs)</w:t>
      </w:r>
    </w:p>
    <w:p w14:paraId="110B6DD5" w14:textId="279EA08D" w:rsidR="0096232C" w:rsidRDefault="005240B8" w:rsidP="00BE6C6D">
      <w:r>
        <w:t xml:space="preserve">In 2016-17, post conducted </w:t>
      </w:r>
      <w:r w:rsidR="00793933">
        <w:t>AQCs</w:t>
      </w:r>
      <w:r>
        <w:t xml:space="preserve"> on </w:t>
      </w:r>
      <w:r w:rsidR="00D635A8">
        <w:t>eight</w:t>
      </w:r>
      <w:r>
        <w:t xml:space="preserve"> current investments and seven </w:t>
      </w:r>
      <w:r w:rsidR="00D42C7E">
        <w:t>completed investments</w:t>
      </w:r>
      <w:r w:rsidR="00793933">
        <w:t xml:space="preserve"> (FAQCs)</w:t>
      </w:r>
      <w:r w:rsidR="00D42C7E">
        <w:t xml:space="preserve"> </w:t>
      </w:r>
      <w:r>
        <w:t xml:space="preserve">– ratings are summarised in </w:t>
      </w:r>
      <w:r w:rsidRPr="005240B8">
        <w:rPr>
          <w:b/>
        </w:rPr>
        <w:t>Annex D</w:t>
      </w:r>
      <w:r w:rsidR="003A3C85">
        <w:t xml:space="preserve">.  </w:t>
      </w:r>
      <w:r w:rsidR="00793933">
        <w:t>The program</w:t>
      </w:r>
      <w:r>
        <w:t xml:space="preserve"> continued to use the annual </w:t>
      </w:r>
      <w:r w:rsidR="00793933">
        <w:t>quality check</w:t>
      </w:r>
      <w:r w:rsidR="00A0688C">
        <w:t xml:space="preserve"> </w:t>
      </w:r>
      <w:r>
        <w:t xml:space="preserve">process as an opportunity for critical reflection on the performance </w:t>
      </w:r>
      <w:r w:rsidR="004D31EC">
        <w:t>of</w:t>
      </w:r>
      <w:r w:rsidR="00A0688C">
        <w:t xml:space="preserve"> all investments greater</w:t>
      </w:r>
      <w:r w:rsidR="004D31EC">
        <w:t xml:space="preserve"> than $3</w:t>
      </w:r>
      <w:r w:rsidR="00EC481D">
        <w:t xml:space="preserve"> million</w:t>
      </w:r>
      <w:r w:rsidR="003A3C85">
        <w:t xml:space="preserve">.  </w:t>
      </w:r>
      <w:r>
        <w:t xml:space="preserve">All peer </w:t>
      </w:r>
      <w:r w:rsidR="004D31EC">
        <w:t>reviews were</w:t>
      </w:r>
      <w:r w:rsidR="00A0688C">
        <w:t xml:space="preserve"> chaired by post </w:t>
      </w:r>
      <w:r w:rsidR="004D31EC">
        <w:t>leadership</w:t>
      </w:r>
      <w:r w:rsidR="00D42C7E">
        <w:t xml:space="preserve"> (Head </w:t>
      </w:r>
      <w:r w:rsidR="008565EA">
        <w:t>or</w:t>
      </w:r>
      <w:r w:rsidR="00D42C7E">
        <w:t xml:space="preserve"> Deputy Head of Mission)</w:t>
      </w:r>
      <w:r w:rsidR="004D31EC">
        <w:t xml:space="preserve">, moderated by </w:t>
      </w:r>
      <w:r w:rsidR="00D42C7E">
        <w:t xml:space="preserve">the </w:t>
      </w:r>
      <w:r w:rsidR="004D31EC">
        <w:t xml:space="preserve">Suva post gender </w:t>
      </w:r>
      <w:r w:rsidR="003A61E5">
        <w:t>F</w:t>
      </w:r>
      <w:r w:rsidR="00746CA9">
        <w:t xml:space="preserve">irst </w:t>
      </w:r>
      <w:r w:rsidR="003A61E5">
        <w:t>S</w:t>
      </w:r>
      <w:r w:rsidR="00746CA9">
        <w:t>ecretary</w:t>
      </w:r>
      <w:r w:rsidR="004D31EC">
        <w:t xml:space="preserve"> and included participants from Pacific </w:t>
      </w:r>
      <w:r w:rsidR="003A61E5">
        <w:t>D</w:t>
      </w:r>
      <w:r w:rsidR="004D31EC">
        <w:t xml:space="preserve">ivision and thematic </w:t>
      </w:r>
      <w:r w:rsidR="008565EA">
        <w:t>teams</w:t>
      </w:r>
      <w:r>
        <w:t>; this approach enabled consistent robust assessment of performance</w:t>
      </w:r>
      <w:r w:rsidR="000F7180">
        <w:t>.</w:t>
      </w:r>
    </w:p>
    <w:p w14:paraId="7E812DF6" w14:textId="13F4246F" w:rsidR="001620A0" w:rsidRDefault="00D21C42" w:rsidP="001620A0">
      <w:r>
        <w:t>O</w:t>
      </w:r>
      <w:r w:rsidR="00D635A8">
        <w:t xml:space="preserve">verall the </w:t>
      </w:r>
      <w:r w:rsidR="00C013EF">
        <w:t>effectiveness of investments in Solomon Islands increased last year</w:t>
      </w:r>
      <w:r w:rsidR="003A3C85">
        <w:t xml:space="preserve">.  </w:t>
      </w:r>
      <w:r w:rsidR="00D635A8">
        <w:t>The improved effective</w:t>
      </w:r>
      <w:r w:rsidR="00C013EF">
        <w:t>nes</w:t>
      </w:r>
      <w:r w:rsidR="00D635A8">
        <w:t xml:space="preserve">s rating </w:t>
      </w:r>
      <w:r w:rsidR="00D42C7E">
        <w:t>reflect</w:t>
      </w:r>
      <w:r w:rsidR="00C013EF">
        <w:t>ed</w:t>
      </w:r>
      <w:r w:rsidR="00D42C7E">
        <w:t xml:space="preserve"> Australia’s commitment to c</w:t>
      </w:r>
      <w:r>
        <w:t>lose poor performing investment</w:t>
      </w:r>
      <w:r w:rsidR="0032118E">
        <w:t>s</w:t>
      </w:r>
      <w:r>
        <w:t xml:space="preserve">; </w:t>
      </w:r>
      <w:r w:rsidR="0032118E">
        <w:t xml:space="preserve">in Solomon Islands </w:t>
      </w:r>
      <w:r>
        <w:t xml:space="preserve">two investments rated as unsatisfactory </w:t>
      </w:r>
      <w:r w:rsidR="00C013EF">
        <w:t xml:space="preserve">were </w:t>
      </w:r>
      <w:r w:rsidR="00D42C7E">
        <w:t xml:space="preserve">completed </w:t>
      </w:r>
      <w:r>
        <w:t xml:space="preserve">in 2015-16 and </w:t>
      </w:r>
      <w:r w:rsidR="00793933">
        <w:t>a further two</w:t>
      </w:r>
      <w:r w:rsidR="00D635A8">
        <w:t xml:space="preserve"> investments in </w:t>
      </w:r>
      <w:r w:rsidR="003E639D">
        <w:t>statistics a</w:t>
      </w:r>
      <w:r>
        <w:t xml:space="preserve">nd food security </w:t>
      </w:r>
      <w:r w:rsidR="00965FD7">
        <w:t xml:space="preserve">(Kastom Gaden Association) </w:t>
      </w:r>
      <w:r>
        <w:t xml:space="preserve">were </w:t>
      </w:r>
      <w:r w:rsidR="00D42C7E">
        <w:t>completed (and not renewed)</w:t>
      </w:r>
      <w:r>
        <w:t xml:space="preserve"> in 2016-17</w:t>
      </w:r>
      <w:r w:rsidR="003A3C85">
        <w:t xml:space="preserve">.  </w:t>
      </w:r>
      <w:r w:rsidR="00C013EF">
        <w:t>The Solomon Islands Growth Program</w:t>
      </w:r>
      <w:r w:rsidR="00E75A59">
        <w:t xml:space="preserve"> </w:t>
      </w:r>
      <w:r w:rsidR="00C013EF">
        <w:t>(the only current investment</w:t>
      </w:r>
      <w:r w:rsidR="0032118E">
        <w:t xml:space="preserve"> rated unsatisfactory for </w:t>
      </w:r>
      <w:r w:rsidR="00C013EF">
        <w:t>effectiveness)</w:t>
      </w:r>
      <w:r w:rsidR="0032118E">
        <w:t xml:space="preserve"> achieved mixed results in 2016</w:t>
      </w:r>
      <w:r w:rsidR="008565EA">
        <w:t>-</w:t>
      </w:r>
      <w:r w:rsidR="0032118E">
        <w:t>17 and consequently the management response</w:t>
      </w:r>
      <w:r w:rsidR="00FF5BBC">
        <w:t xml:space="preserve"> to be implemented 2017-18</w:t>
      </w:r>
      <w:r w:rsidR="0032118E">
        <w:t xml:space="preserve"> included actions to improve program coherence and performance evidence through recruitment of a program coordinator and development of a </w:t>
      </w:r>
      <w:r w:rsidR="0005513F">
        <w:t>PAF</w:t>
      </w:r>
      <w:r w:rsidR="003A3C85">
        <w:t xml:space="preserve">.  </w:t>
      </w:r>
      <w:r w:rsidR="001620A0">
        <w:t>There were no ‘Investments Requiring Improvement’ as none were rated as unsatisfactory for both effectiveness and efficiency.</w:t>
      </w:r>
    </w:p>
    <w:p w14:paraId="3CCD2F4D" w14:textId="050122D4" w:rsidR="00D21C42" w:rsidRDefault="000279C5" w:rsidP="00D21C42">
      <w:r>
        <w:t>A key constraint on investme</w:t>
      </w:r>
      <w:r w:rsidR="001620A0">
        <w:t>n</w:t>
      </w:r>
      <w:r>
        <w:t xml:space="preserve">ts receiving a higher rating for effectiveness was </w:t>
      </w:r>
      <w:r w:rsidR="00F91F91">
        <w:t>M</w:t>
      </w:r>
      <w:r>
        <w:t xml:space="preserve">onitoring and </w:t>
      </w:r>
      <w:r w:rsidR="00F91F91">
        <w:t>E</w:t>
      </w:r>
      <w:r>
        <w:t>valuation</w:t>
      </w:r>
      <w:r w:rsidR="00F91F91">
        <w:t xml:space="preserve"> (M&amp;E)</w:t>
      </w:r>
      <w:r>
        <w:t xml:space="preserve"> evidence</w:t>
      </w:r>
      <w:r w:rsidR="003A3C85">
        <w:t xml:space="preserve">.  </w:t>
      </w:r>
      <w:r>
        <w:t>Most investments (especially those reliant on partner</w:t>
      </w:r>
      <w:r w:rsidR="008565EA">
        <w:t>s</w:t>
      </w:r>
      <w:r w:rsidR="00793933">
        <w:t xml:space="preserve"> for evidence</w:t>
      </w:r>
      <w:r>
        <w:t>) were not able to demonstrate that evidence was used to inform decision making</w:t>
      </w:r>
      <w:r w:rsidR="009F39BE">
        <w:t xml:space="preserve"> and consequently only two investments were rated good</w:t>
      </w:r>
      <w:r w:rsidR="00FF5BBC">
        <w:t xml:space="preserve"> (score of 5) and none </w:t>
      </w:r>
      <w:r w:rsidR="00222186">
        <w:t>very good (6)</w:t>
      </w:r>
      <w:r w:rsidR="003A3C85">
        <w:t xml:space="preserve">.  </w:t>
      </w:r>
      <w:r w:rsidR="009F39BE">
        <w:t xml:space="preserve">The gender </w:t>
      </w:r>
      <w:r w:rsidR="00646A0E">
        <w:t xml:space="preserve">equality </w:t>
      </w:r>
      <w:r w:rsidR="009F39BE">
        <w:t>program (rated good) used PAF and independent evaluat</w:t>
      </w:r>
      <w:r w:rsidR="006E554B">
        <w:t xml:space="preserve">ion as </w:t>
      </w:r>
      <w:r w:rsidR="009F39BE">
        <w:t>evidence of achievement against its four objectives</w:t>
      </w:r>
      <w:r w:rsidR="003A3C85">
        <w:t xml:space="preserve">.  </w:t>
      </w:r>
      <w:r w:rsidR="009F39BE">
        <w:t>The education program (rated good) used partne</w:t>
      </w:r>
      <w:r w:rsidR="006E554B">
        <w:t>r system monitoring data,</w:t>
      </w:r>
      <w:r w:rsidR="009F39BE">
        <w:t xml:space="preserve"> an independent review</w:t>
      </w:r>
      <w:r w:rsidR="006E554B">
        <w:t>, tracer studies</w:t>
      </w:r>
      <w:r w:rsidR="009F39BE">
        <w:t xml:space="preserve"> </w:t>
      </w:r>
      <w:r w:rsidR="006E554B">
        <w:t>and clearly agreed performance targets to measure performance</w:t>
      </w:r>
      <w:r w:rsidR="00793933">
        <w:t xml:space="preserve"> and inform policy dialogue and education planning decisions</w:t>
      </w:r>
      <w:r w:rsidR="003A3C85">
        <w:t xml:space="preserve">.  </w:t>
      </w:r>
      <w:r>
        <w:t xml:space="preserve">The quality of M&amp;E across the life </w:t>
      </w:r>
      <w:r w:rsidR="008565EA">
        <w:t xml:space="preserve">of </w:t>
      </w:r>
      <w:r>
        <w:t>completed investments</w:t>
      </w:r>
      <w:r w:rsidR="00793933">
        <w:t xml:space="preserve"> (FAQCs)</w:t>
      </w:r>
      <w:r>
        <w:t xml:space="preserve"> was generally poor, with five or </w:t>
      </w:r>
      <w:r w:rsidR="008630C9">
        <w:t>seven rated as unsatisfacto</w:t>
      </w:r>
      <w:r w:rsidR="009F39BE">
        <w:t xml:space="preserve">ry due to the investments </w:t>
      </w:r>
      <w:r w:rsidR="00222186">
        <w:t>not having</w:t>
      </w:r>
      <w:r w:rsidR="009F39BE">
        <w:t xml:space="preserve"> clarity around intended outcomes and/or lack of evidence of achievement against the intended outcomes</w:t>
      </w:r>
      <w:r w:rsidR="003A3C85">
        <w:t xml:space="preserve">.  </w:t>
      </w:r>
      <w:r w:rsidR="006E554B">
        <w:t xml:space="preserve">Improving </w:t>
      </w:r>
      <w:r w:rsidR="008565EA">
        <w:t>the</w:t>
      </w:r>
      <w:r w:rsidR="006E554B">
        <w:t xml:space="preserve"> approach to </w:t>
      </w:r>
      <w:r w:rsidR="00F91F91">
        <w:t>M&amp;E</w:t>
      </w:r>
      <w:r w:rsidR="006E554B">
        <w:t xml:space="preserve"> will be a key priority </w:t>
      </w:r>
      <w:r w:rsidR="007E4546">
        <w:t>i</w:t>
      </w:r>
      <w:r w:rsidR="006E554B">
        <w:t>n 2017</w:t>
      </w:r>
      <w:r w:rsidR="008565EA">
        <w:t>-18:</w:t>
      </w:r>
      <w:r w:rsidR="006E554B">
        <w:t xml:space="preserve"> </w:t>
      </w:r>
      <w:r w:rsidR="008565EA">
        <w:t xml:space="preserve">key actions include </w:t>
      </w:r>
      <w:r w:rsidR="006E554B">
        <w:t>development of a Solomon Island Growth Program</w:t>
      </w:r>
      <w:r w:rsidR="008565EA">
        <w:t xml:space="preserve"> PAF;</w:t>
      </w:r>
      <w:r w:rsidR="006E554B">
        <w:t xml:space="preserve"> </w:t>
      </w:r>
      <w:r w:rsidR="008565EA">
        <w:t>establishment of M&amp;E support mechanism for the</w:t>
      </w:r>
      <w:r w:rsidR="006E554B">
        <w:t xml:space="preserve"> police/justice/governance program</w:t>
      </w:r>
      <w:r w:rsidR="008565EA">
        <w:t xml:space="preserve">; </w:t>
      </w:r>
      <w:r w:rsidR="007E4546">
        <w:t xml:space="preserve">and </w:t>
      </w:r>
      <w:r w:rsidR="00995CAC">
        <w:t xml:space="preserve">an </w:t>
      </w:r>
      <w:r w:rsidR="008565EA">
        <w:t>annual performance reflection workshop</w:t>
      </w:r>
      <w:r w:rsidR="006A60D2">
        <w:t>.</w:t>
      </w:r>
    </w:p>
    <w:p w14:paraId="269C7D68" w14:textId="7A2373C3" w:rsidR="00D42C7E" w:rsidRDefault="00D21C42" w:rsidP="00D21C42">
      <w:r>
        <w:t xml:space="preserve">Australia’s investments were assessed to be highly relevant and </w:t>
      </w:r>
      <w:r w:rsidR="007653E8">
        <w:t xml:space="preserve">to have </w:t>
      </w:r>
      <w:r w:rsidR="00D42C7E">
        <w:t>provide</w:t>
      </w:r>
      <w:r w:rsidR="007653E8">
        <w:t>d</w:t>
      </w:r>
      <w:r>
        <w:t xml:space="preserve"> lasting benefits</w:t>
      </w:r>
      <w:r w:rsidR="003A3C85">
        <w:t xml:space="preserve">.  </w:t>
      </w:r>
      <w:r w:rsidR="00BA25F7">
        <w:t>I</w:t>
      </w:r>
      <w:r w:rsidR="00D42C7E">
        <w:t xml:space="preserve">nvestments in health, education and transport used local systems and </w:t>
      </w:r>
      <w:r w:rsidR="00F91F91">
        <w:t>PLA</w:t>
      </w:r>
      <w:r w:rsidR="00D42C7E">
        <w:t xml:space="preserve"> to incentivise part</w:t>
      </w:r>
      <w:r w:rsidR="00C013EF">
        <w:t>ner government allocations</w:t>
      </w:r>
      <w:r w:rsidR="003A3C85">
        <w:t xml:space="preserve">.  </w:t>
      </w:r>
      <w:r w:rsidR="00BA25F7">
        <w:t xml:space="preserve">The </w:t>
      </w:r>
      <w:r w:rsidR="007653E8">
        <w:t xml:space="preserve">peer </w:t>
      </w:r>
      <w:r w:rsidR="001620A0">
        <w:t>review</w:t>
      </w:r>
      <w:r w:rsidR="00BA25F7">
        <w:t xml:space="preserve"> discussed the </w:t>
      </w:r>
      <w:r w:rsidR="001620A0">
        <w:t xml:space="preserve">impact of the </w:t>
      </w:r>
      <w:r w:rsidR="00793933">
        <w:t xml:space="preserve">chosen </w:t>
      </w:r>
      <w:r w:rsidR="008565EA">
        <w:t>delivery modality on</w:t>
      </w:r>
      <w:r w:rsidR="007653E8">
        <w:t xml:space="preserve"> </w:t>
      </w:r>
      <w:r w:rsidR="008565EA">
        <w:t>performance</w:t>
      </w:r>
      <w:r w:rsidR="003A3C85">
        <w:t xml:space="preserve">.  </w:t>
      </w:r>
      <w:r w:rsidR="007653E8">
        <w:t xml:space="preserve">In </w:t>
      </w:r>
      <w:r w:rsidR="001620A0">
        <w:t>Solomon Islands</w:t>
      </w:r>
      <w:r w:rsidR="003A61E5">
        <w:t>’</w:t>
      </w:r>
      <w:r w:rsidR="007653E8">
        <w:t xml:space="preserve"> highl</w:t>
      </w:r>
      <w:r w:rsidR="001620A0">
        <w:t>y p</w:t>
      </w:r>
      <w:r w:rsidR="007653E8">
        <w:t>olitici</w:t>
      </w:r>
      <w:r w:rsidR="003A61E5">
        <w:t>s</w:t>
      </w:r>
      <w:r w:rsidR="007653E8">
        <w:t>ed and fragile context</w:t>
      </w:r>
      <w:r w:rsidR="001620A0">
        <w:t>,</w:t>
      </w:r>
      <w:r w:rsidR="007653E8">
        <w:t xml:space="preserve"> investment managers</w:t>
      </w:r>
      <w:r w:rsidR="001620A0">
        <w:t xml:space="preserve"> expressed that </w:t>
      </w:r>
      <w:r w:rsidR="001620A0">
        <w:lastRenderedPageBreak/>
        <w:t>working with and to support the partner government enabled strong relevance and sustainability of investments, but often resulted in slowed (efficiency) or limited development results (effectiveness)</w:t>
      </w:r>
      <w:r w:rsidR="000F7180">
        <w:t>.</w:t>
      </w:r>
    </w:p>
    <w:p w14:paraId="5C83CFDA" w14:textId="0E109C99" w:rsidR="00294EED" w:rsidRDefault="001620A0" w:rsidP="00BE6C6D">
      <w:r>
        <w:t xml:space="preserve">In 2016-17, </w:t>
      </w:r>
      <w:r w:rsidR="008446A8">
        <w:t>the majority of</w:t>
      </w:r>
      <w:r w:rsidR="00294EED">
        <w:t xml:space="preserve"> current investments</w:t>
      </w:r>
      <w:r w:rsidR="008446A8">
        <w:t xml:space="preserve"> (seven of eight)</w:t>
      </w:r>
      <w:r w:rsidR="00294EED">
        <w:t xml:space="preserve"> achieved a gender</w:t>
      </w:r>
      <w:r w:rsidR="00646A0E">
        <w:t xml:space="preserve"> equality</w:t>
      </w:r>
      <w:r w:rsidR="00294EED">
        <w:t xml:space="preserve"> rating of 4 or above</w:t>
      </w:r>
      <w:r w:rsidR="008446A8">
        <w:t xml:space="preserve"> and provided evidence of progress against investment specific gender action plan</w:t>
      </w:r>
      <w:r w:rsidR="00793933">
        <w:t>s</w:t>
      </w:r>
      <w:r w:rsidR="001303A5">
        <w:t xml:space="preserve"> and increased partner commitment to gender issues</w:t>
      </w:r>
      <w:r w:rsidR="003A3C85">
        <w:t xml:space="preserve">.  </w:t>
      </w:r>
      <w:r w:rsidR="008446A8">
        <w:t xml:space="preserve">In contrast, </w:t>
      </w:r>
      <w:r w:rsidR="001303A5">
        <w:t xml:space="preserve">most (four of seven) </w:t>
      </w:r>
      <w:r w:rsidR="008446A8">
        <w:t>closed investment</w:t>
      </w:r>
      <w:r w:rsidR="003A61E5">
        <w:t>s</w:t>
      </w:r>
      <w:r w:rsidR="008446A8">
        <w:t xml:space="preserve"> </w:t>
      </w:r>
      <w:r w:rsidR="001303A5">
        <w:t>were unable</w:t>
      </w:r>
      <w:r w:rsidR="003A61E5">
        <w:t xml:space="preserve"> to</w:t>
      </w:r>
      <w:r w:rsidR="001303A5">
        <w:t xml:space="preserve"> </w:t>
      </w:r>
      <w:r w:rsidR="008446A8">
        <w:t>provide</w:t>
      </w:r>
      <w:r w:rsidR="001303A5">
        <w:t xml:space="preserve"> sufficient</w:t>
      </w:r>
      <w:r w:rsidR="008446A8">
        <w:t xml:space="preserve"> evidence</w:t>
      </w:r>
      <w:r w:rsidR="00222186">
        <w:t xml:space="preserve"> (in their FAQCs)</w:t>
      </w:r>
      <w:r w:rsidR="001303A5">
        <w:t xml:space="preserve"> </w:t>
      </w:r>
      <w:r w:rsidR="008446A8">
        <w:t>on gender equality</w:t>
      </w:r>
      <w:r w:rsidR="003A61E5">
        <w:t>,</w:t>
      </w:r>
      <w:r w:rsidR="008446A8">
        <w:t xml:space="preserve"> reflecting</w:t>
      </w:r>
      <w:r w:rsidR="00793933">
        <w:t xml:space="preserve"> the program’s</w:t>
      </w:r>
      <w:r w:rsidR="008446A8">
        <w:t xml:space="preserve"> </w:t>
      </w:r>
      <w:r w:rsidR="001303A5">
        <w:t xml:space="preserve">mixed </w:t>
      </w:r>
      <w:r w:rsidR="008446A8">
        <w:t>success in ret</w:t>
      </w:r>
      <w:r w:rsidR="001303A5">
        <w:t xml:space="preserve">ro-fitting gender targets and actions to </w:t>
      </w:r>
      <w:r w:rsidR="00222186">
        <w:t xml:space="preserve">existing </w:t>
      </w:r>
      <w:r w:rsidR="001303A5">
        <w:t>investments over the last two years</w:t>
      </w:r>
      <w:r w:rsidR="003A3C85">
        <w:t xml:space="preserve">.  </w:t>
      </w:r>
      <w:r w:rsidR="001303A5">
        <w:t xml:space="preserve">Senior post management continues to set high expectations on gender </w:t>
      </w:r>
      <w:r w:rsidR="00646A0E">
        <w:t xml:space="preserve">equality </w:t>
      </w:r>
      <w:r w:rsidR="001303A5">
        <w:t xml:space="preserve">through the post-wide Gender </w:t>
      </w:r>
      <w:r w:rsidR="00646A0E">
        <w:t xml:space="preserve">Equality </w:t>
      </w:r>
      <w:r w:rsidR="001303A5">
        <w:t>Working Group, dedicated gender human resources and training</w:t>
      </w:r>
      <w:r w:rsidR="00222186">
        <w:t>,</w:t>
      </w:r>
      <w:r w:rsidR="001303A5">
        <w:t xml:space="preserve"> and all investment managers’ demonstrated strong understand</w:t>
      </w:r>
      <w:r w:rsidR="00343989">
        <w:t>ing</w:t>
      </w:r>
      <w:r w:rsidR="001303A5">
        <w:t xml:space="preserve"> of and commitment to gender equality</w:t>
      </w:r>
      <w:r w:rsidR="00222186">
        <w:t xml:space="preserve"> during the peer reviews</w:t>
      </w:r>
      <w:r w:rsidR="001303A5">
        <w:t>.</w:t>
      </w:r>
    </w:p>
    <w:p w14:paraId="47C9CC91" w14:textId="77777777" w:rsidR="00600479" w:rsidRDefault="00600479" w:rsidP="00600479">
      <w:pPr>
        <w:rPr>
          <w:b/>
          <w:lang w:eastAsia="zh-CN"/>
        </w:rPr>
      </w:pPr>
      <w:r>
        <w:rPr>
          <w:b/>
          <w:lang w:eastAsia="zh-CN"/>
        </w:rPr>
        <w:t>Performance of key delivery partners</w:t>
      </w:r>
    </w:p>
    <w:p w14:paraId="23B99F82" w14:textId="10D8D965" w:rsidR="004A5B72" w:rsidRDefault="004A5B72" w:rsidP="002A51CA">
      <w:r>
        <w:t xml:space="preserve">In 2016-17, Australia </w:t>
      </w:r>
      <w:r w:rsidR="001B1CE1">
        <w:t xml:space="preserve">delivered the majority of its </w:t>
      </w:r>
      <w:r w:rsidR="005E2F06">
        <w:t xml:space="preserve">aid </w:t>
      </w:r>
      <w:r w:rsidR="001B1CE1">
        <w:t xml:space="preserve">through </w:t>
      </w:r>
      <w:r w:rsidR="00FE3379">
        <w:t xml:space="preserve">three </w:t>
      </w:r>
      <w:r w:rsidR="001B1CE1">
        <w:t>types of partners namely</w:t>
      </w:r>
      <w:r>
        <w:t xml:space="preserve"> the Government of Solomon Islands, </w:t>
      </w:r>
      <w:r w:rsidR="00FE3379">
        <w:t xml:space="preserve">private sector and </w:t>
      </w:r>
      <w:r>
        <w:t>multilateral organisations</w:t>
      </w:r>
      <w:r w:rsidR="003A3C85">
        <w:t xml:space="preserve">.  </w:t>
      </w:r>
      <w:r w:rsidR="005135AB">
        <w:t>The expenditure by partner is summarised in Chart 2</w:t>
      </w:r>
      <w:r w:rsidR="003A3C85">
        <w:t xml:space="preserve">.  </w:t>
      </w:r>
      <w:r w:rsidR="00646A0E">
        <w:t xml:space="preserve">This investment through the bilateral program is </w:t>
      </w:r>
      <w:r w:rsidR="00D027D9">
        <w:t xml:space="preserve">complemented </w:t>
      </w:r>
      <w:r w:rsidR="00646A0E">
        <w:t>by strong investment in non-government organisations through the Australian NGO Cooperation Program (ANCP).</w:t>
      </w:r>
    </w:p>
    <w:p w14:paraId="232906FC" w14:textId="77777777" w:rsidR="00B97E0C" w:rsidRDefault="00B97E0C" w:rsidP="002A51CA">
      <w:r>
        <w:rPr>
          <w:noProof/>
          <w:lang w:val="en-AU" w:eastAsia="en-AU"/>
        </w:rPr>
        <w:drawing>
          <wp:inline distT="0" distB="0" distL="0" distR="0" wp14:anchorId="1DE924E0" wp14:editId="14385735">
            <wp:extent cx="6120130" cy="3442915"/>
            <wp:effectExtent l="0" t="0" r="13970" b="571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7FDB355" w14:textId="1E2705D8" w:rsidR="00FC1CAE" w:rsidRDefault="007E4546" w:rsidP="002A51CA">
      <w:pPr>
        <w:rPr>
          <w:noProof/>
          <w:lang w:val="en-AU" w:eastAsia="en-AU"/>
        </w:rPr>
      </w:pPr>
      <w:r>
        <w:t xml:space="preserve">As previously noted, the performance of investments through partner systems was mixed and the assumption that </w:t>
      </w:r>
      <w:r w:rsidR="00F91F91">
        <w:t>PLA</w:t>
      </w:r>
      <w:r>
        <w:t xml:space="preserve"> would incentivise reform and budget allocations has been tested in </w:t>
      </w:r>
      <w:r w:rsidR="00C348D7">
        <w:t xml:space="preserve">the </w:t>
      </w:r>
      <w:r>
        <w:t>transport sector</w:t>
      </w:r>
      <w:r w:rsidR="003A3C85">
        <w:t xml:space="preserve">.  </w:t>
      </w:r>
      <w:r w:rsidR="004370E4">
        <w:t>In 2017-18, Australia will critically examine whether partner systems are the most appropriate modality to achieve the targeted development results</w:t>
      </w:r>
      <w:r w:rsidR="00646A0E">
        <w:t xml:space="preserve"> for the transport sector</w:t>
      </w:r>
      <w:r w:rsidR="000F7180">
        <w:t>.</w:t>
      </w:r>
    </w:p>
    <w:p w14:paraId="5AD5B026" w14:textId="5A17F30E" w:rsidR="009D7D67" w:rsidRDefault="009D7D67" w:rsidP="009D7D67">
      <w:r>
        <w:t>The 2015-16 APPR highlighted the engagement of a managing contractor to manage advisor recruitment, deployment and management</w:t>
      </w:r>
      <w:r w:rsidR="003446ED">
        <w:t>, and other corporate support functions</w:t>
      </w:r>
      <w:r w:rsidR="003A3C85">
        <w:t xml:space="preserve">.  </w:t>
      </w:r>
      <w:r>
        <w:t>In 2016-17, the Solomon Islands Resource Facility (SIRF) supported approximately 55 long term and 17 short terms advisors</w:t>
      </w:r>
      <w:r w:rsidR="003A3C85">
        <w:t xml:space="preserve">.  </w:t>
      </w:r>
      <w:r w:rsidR="006A60D2">
        <w:t>In</w:t>
      </w:r>
      <w:r>
        <w:t xml:space="preserve"> 2016-17,</w:t>
      </w:r>
      <w:r w:rsidR="006A60D2">
        <w:t xml:space="preserve"> SIRF</w:t>
      </w:r>
      <w:r>
        <w:t xml:space="preserve"> delivered reduced recruitment times</w:t>
      </w:r>
      <w:r w:rsidR="003342B7">
        <w:t>;</w:t>
      </w:r>
      <w:r>
        <w:t xml:space="preserve"> improved gender </w:t>
      </w:r>
      <w:r w:rsidR="00D027D9">
        <w:t xml:space="preserve">practices </w:t>
      </w:r>
      <w:r>
        <w:t>through the SIRF Workforce Gender Equality Strategy</w:t>
      </w:r>
      <w:r w:rsidR="003342B7">
        <w:t>;</w:t>
      </w:r>
      <w:r>
        <w:t xml:space="preserve"> and enabled reduced transactional costs for </w:t>
      </w:r>
      <w:r w:rsidR="006A60D2">
        <w:t>P</w:t>
      </w:r>
      <w:r>
        <w:t>ost staff</w:t>
      </w:r>
      <w:r w:rsidR="000F7180">
        <w:t>.</w:t>
      </w:r>
    </w:p>
    <w:p w14:paraId="52D38DC7" w14:textId="5080F814" w:rsidR="00425908" w:rsidRDefault="00425908" w:rsidP="00425908">
      <w:pPr>
        <w:spacing w:after="120"/>
      </w:pPr>
      <w:r>
        <w:t xml:space="preserve">In 2016-17, the program conducted </w:t>
      </w:r>
      <w:r w:rsidRPr="003D5EF4">
        <w:t xml:space="preserve">fourteen </w:t>
      </w:r>
      <w:r>
        <w:t>PPAs to assess the performance of private sector, multilateral partners and NGOs on partnerships valued over $3</w:t>
      </w:r>
      <w:r w:rsidR="003A61E5">
        <w:t xml:space="preserve"> </w:t>
      </w:r>
      <w:r w:rsidR="00EC481D">
        <w:t>million</w:t>
      </w:r>
      <w:r w:rsidR="003A3C85">
        <w:t xml:space="preserve">.  </w:t>
      </w:r>
      <w:r>
        <w:t>The performance of the program</w:t>
      </w:r>
      <w:r w:rsidR="003A61E5">
        <w:t>’</w:t>
      </w:r>
      <w:r>
        <w:t>s nine private sector partnerships was strong, with eight partnerships rated very good for commitment and good for results, value for money and alignment</w:t>
      </w:r>
      <w:r w:rsidR="003A3C85">
        <w:t xml:space="preserve">.  </w:t>
      </w:r>
      <w:r>
        <w:t>The private sector partnership to support the health sector program was rated satisfactory, with timeliness of reporting and personnel changes noted as a concern</w:t>
      </w:r>
      <w:r w:rsidR="003A3C85">
        <w:t xml:space="preserve">.  </w:t>
      </w:r>
      <w:r>
        <w:t xml:space="preserve">The </w:t>
      </w:r>
      <w:r>
        <w:lastRenderedPageBreak/>
        <w:t xml:space="preserve">performance of partnerships with multilaterals and an international NGO were satisfactory </w:t>
      </w:r>
      <w:r w:rsidRPr="003D5EF4">
        <w:t>for most criteria</w:t>
      </w:r>
      <w:r>
        <w:t xml:space="preserve"> and </w:t>
      </w:r>
      <w:r w:rsidRPr="003D5EF4">
        <w:t xml:space="preserve">all except the World Bank </w:t>
      </w:r>
      <w:r>
        <w:t>delivered against expected results</w:t>
      </w:r>
      <w:r w:rsidR="003A3C85">
        <w:t xml:space="preserve">.  </w:t>
      </w:r>
      <w:r>
        <w:t>The performance of the partnership with Kastom Gaden Association was rated unsatisfactory for all criteria and as previously noted funding for this partner was not renewed</w:t>
      </w:r>
      <w:r w:rsidR="000F7180">
        <w:t>.</w:t>
      </w:r>
    </w:p>
    <w:p w14:paraId="18F2DB52" w14:textId="77777777" w:rsidR="002A51CA" w:rsidRPr="002A51CA" w:rsidRDefault="002A51CA" w:rsidP="00BD607E">
      <w:pPr>
        <w:pStyle w:val="Heading2"/>
        <w:spacing w:before="240" w:after="60"/>
      </w:pPr>
      <w:r w:rsidRPr="002A51CA">
        <w:t>Risks</w:t>
      </w:r>
    </w:p>
    <w:p w14:paraId="37D48BF7" w14:textId="2D6AACD9" w:rsidR="002A51CA" w:rsidRPr="008C2F58" w:rsidRDefault="002A51CA" w:rsidP="002A51CA">
      <w:pPr>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600" w:firstRow="0" w:lastRow="0" w:firstColumn="0" w:lastColumn="0" w:noHBand="1" w:noVBand="1"/>
      </w:tblPr>
      <w:tblGrid>
        <w:gridCol w:w="1980"/>
        <w:gridCol w:w="2977"/>
        <w:gridCol w:w="2268"/>
        <w:gridCol w:w="1201"/>
        <w:gridCol w:w="1202"/>
      </w:tblGrid>
      <w:tr w:rsidR="002A6AC8" w:rsidRPr="00C61187" w14:paraId="77D94A78" w14:textId="77777777" w:rsidTr="00BD607E">
        <w:tc>
          <w:tcPr>
            <w:tcW w:w="1938" w:type="dxa"/>
            <w:hideMark/>
          </w:tcPr>
          <w:p w14:paraId="700A5EE4" w14:textId="77777777" w:rsidR="002A6AC8" w:rsidRPr="00BE6C6D" w:rsidRDefault="002A6AC8" w:rsidP="00BE6C6D">
            <w:pPr>
              <w:rPr>
                <w:rFonts w:asciiTheme="minorHAnsi" w:hAnsiTheme="minorHAnsi"/>
                <w:b/>
              </w:rPr>
            </w:pPr>
            <w:r w:rsidRPr="00BE6C6D">
              <w:rPr>
                <w:rFonts w:asciiTheme="minorHAnsi" w:hAnsiTheme="minorHAnsi"/>
                <w:b/>
              </w:rPr>
              <w:t>Key risks</w:t>
            </w:r>
          </w:p>
        </w:tc>
        <w:tc>
          <w:tcPr>
            <w:tcW w:w="2949" w:type="dxa"/>
          </w:tcPr>
          <w:p w14:paraId="58E73AB3" w14:textId="77777777" w:rsidR="002A6AC8" w:rsidRPr="00BE6C6D" w:rsidRDefault="002A6AC8" w:rsidP="00BE6C6D">
            <w:pPr>
              <w:rPr>
                <w:rFonts w:asciiTheme="minorHAnsi" w:hAnsiTheme="minorHAnsi"/>
                <w:b/>
              </w:rPr>
            </w:pPr>
            <w:r w:rsidRPr="00BE6C6D">
              <w:rPr>
                <w:rFonts w:asciiTheme="minorHAnsi" w:hAnsiTheme="minorHAnsi"/>
                <w:b/>
              </w:rPr>
              <w:t>What actions were taken to manage the risks over the past year?</w:t>
            </w:r>
          </w:p>
        </w:tc>
        <w:tc>
          <w:tcPr>
            <w:tcW w:w="2240" w:type="dxa"/>
          </w:tcPr>
          <w:p w14:paraId="39C3D831" w14:textId="77777777" w:rsidR="002A6AC8" w:rsidRPr="00BE6C6D" w:rsidRDefault="002A6AC8" w:rsidP="00BE6C6D">
            <w:pPr>
              <w:rPr>
                <w:rFonts w:asciiTheme="minorHAnsi" w:hAnsiTheme="minorHAnsi"/>
                <w:b/>
              </w:rPr>
            </w:pPr>
            <w:r w:rsidRPr="00BE6C6D">
              <w:rPr>
                <w:rFonts w:asciiTheme="minorHAnsi" w:hAnsiTheme="minorHAnsi"/>
                <w:b/>
              </w:rPr>
              <w:t>What further actions will be taken to manage the risks in the coming year?</w:t>
            </w:r>
          </w:p>
        </w:tc>
        <w:tc>
          <w:tcPr>
            <w:tcW w:w="1173" w:type="dxa"/>
          </w:tcPr>
          <w:p w14:paraId="2949B09C" w14:textId="77777777" w:rsidR="002A6AC8" w:rsidRPr="00BD607E" w:rsidRDefault="002A6AC8" w:rsidP="00BE6C6D">
            <w:pPr>
              <w:rPr>
                <w:rFonts w:asciiTheme="minorHAnsi" w:hAnsiTheme="minorHAnsi"/>
                <w:b/>
                <w:sz w:val="16"/>
                <w:szCs w:val="16"/>
              </w:rPr>
            </w:pPr>
            <w:r w:rsidRPr="00BD607E">
              <w:rPr>
                <w:rFonts w:asciiTheme="minorHAnsi" w:hAnsiTheme="minorHAnsi"/>
                <w:b/>
                <w:sz w:val="16"/>
                <w:szCs w:val="16"/>
              </w:rPr>
              <w:t>Risk Rating (low, medium, high, very high)</w:t>
            </w:r>
          </w:p>
        </w:tc>
        <w:tc>
          <w:tcPr>
            <w:tcW w:w="1160" w:type="dxa"/>
          </w:tcPr>
          <w:p w14:paraId="0B091E3A" w14:textId="0851D8B0" w:rsidR="002A6AC8" w:rsidRPr="00BD607E" w:rsidRDefault="0043564E" w:rsidP="00BD607E">
            <w:pPr>
              <w:rPr>
                <w:b/>
                <w:sz w:val="16"/>
                <w:szCs w:val="16"/>
              </w:rPr>
            </w:pPr>
            <w:r w:rsidRPr="00BD607E">
              <w:rPr>
                <w:rFonts w:asciiTheme="minorHAnsi" w:hAnsiTheme="minorHAnsi"/>
                <w:b/>
                <w:sz w:val="16"/>
                <w:szCs w:val="16"/>
              </w:rPr>
              <w:t xml:space="preserve">Are </w:t>
            </w:r>
            <w:r w:rsidR="002A6AC8" w:rsidRPr="00BD607E">
              <w:rPr>
                <w:rFonts w:asciiTheme="minorHAnsi" w:hAnsiTheme="minorHAnsi"/>
                <w:b/>
                <w:sz w:val="16"/>
                <w:szCs w:val="16"/>
              </w:rPr>
              <w:t xml:space="preserve">these same risks </w:t>
            </w:r>
            <w:r w:rsidRPr="00BD607E">
              <w:rPr>
                <w:rFonts w:asciiTheme="minorHAnsi" w:hAnsiTheme="minorHAnsi"/>
                <w:b/>
                <w:sz w:val="16"/>
                <w:szCs w:val="16"/>
              </w:rPr>
              <w:t xml:space="preserve">in in </w:t>
            </w:r>
            <w:r w:rsidR="002A6AC8" w:rsidRPr="00BD607E">
              <w:rPr>
                <w:rFonts w:asciiTheme="minorHAnsi" w:hAnsiTheme="minorHAnsi"/>
                <w:b/>
                <w:sz w:val="16"/>
                <w:szCs w:val="16"/>
              </w:rPr>
              <w:t>Post</w:t>
            </w:r>
            <w:r w:rsidR="00BD607E" w:rsidRPr="00BD607E">
              <w:rPr>
                <w:rFonts w:asciiTheme="minorHAnsi" w:hAnsiTheme="minorHAnsi"/>
                <w:b/>
                <w:sz w:val="16"/>
                <w:szCs w:val="16"/>
              </w:rPr>
              <w:t>’s Risk Register</w:t>
            </w:r>
          </w:p>
        </w:tc>
      </w:tr>
      <w:tr w:rsidR="00C76223" w:rsidRPr="00C61187" w14:paraId="42E80701" w14:textId="77777777" w:rsidTr="00BD607E">
        <w:tc>
          <w:tcPr>
            <w:tcW w:w="1938" w:type="dxa"/>
          </w:tcPr>
          <w:p w14:paraId="660ACEA9" w14:textId="2F0F386B" w:rsidR="00C76223" w:rsidRPr="009D7D67" w:rsidRDefault="00C76223" w:rsidP="00F50B5D">
            <w:pPr>
              <w:rPr>
                <w:rFonts w:asciiTheme="minorHAnsi" w:hAnsiTheme="minorHAnsi"/>
              </w:rPr>
            </w:pPr>
            <w:r w:rsidRPr="009D7D67">
              <w:rPr>
                <w:rFonts w:asciiTheme="minorHAnsi" w:hAnsiTheme="minorHAnsi"/>
              </w:rPr>
              <w:t>Security environment deteriorates</w:t>
            </w:r>
            <w:r w:rsidR="00BD607E">
              <w:rPr>
                <w:rFonts w:asciiTheme="minorHAnsi" w:hAnsiTheme="minorHAnsi"/>
              </w:rPr>
              <w:t>.</w:t>
            </w:r>
          </w:p>
        </w:tc>
        <w:tc>
          <w:tcPr>
            <w:tcW w:w="2949" w:type="dxa"/>
          </w:tcPr>
          <w:p w14:paraId="47A706FB" w14:textId="77777777" w:rsidR="00C76223" w:rsidRPr="009D7D67" w:rsidRDefault="00C76223" w:rsidP="006F1317">
            <w:pPr>
              <w:rPr>
                <w:rFonts w:asciiTheme="minorHAnsi" w:hAnsiTheme="minorHAnsi"/>
              </w:rPr>
            </w:pPr>
            <w:r w:rsidRPr="009D7D67">
              <w:rPr>
                <w:rFonts w:asciiTheme="minorHAnsi" w:hAnsiTheme="minorHAnsi"/>
              </w:rPr>
              <w:t>Update</w:t>
            </w:r>
            <w:r w:rsidR="00F50B5D" w:rsidRPr="009D7D67">
              <w:rPr>
                <w:rFonts w:asciiTheme="minorHAnsi" w:hAnsiTheme="minorHAnsi"/>
              </w:rPr>
              <w:t>d and tested Crisis Action Plan</w:t>
            </w:r>
            <w:r w:rsidR="006F1317" w:rsidRPr="009D7D67">
              <w:rPr>
                <w:rFonts w:asciiTheme="minorHAnsi" w:hAnsiTheme="minorHAnsi"/>
              </w:rPr>
              <w:t xml:space="preserve">; </w:t>
            </w:r>
            <w:r w:rsidRPr="009D7D67">
              <w:rPr>
                <w:rFonts w:asciiTheme="minorHAnsi" w:hAnsiTheme="minorHAnsi"/>
              </w:rPr>
              <w:t>Short term position recruited to update Post security procedures</w:t>
            </w:r>
            <w:r w:rsidR="006F1317" w:rsidRPr="009D7D67">
              <w:rPr>
                <w:rFonts w:asciiTheme="minorHAnsi" w:eastAsia="Times New Roman" w:hAnsiTheme="minorHAnsi" w:cs="Times New Roman"/>
                <w:szCs w:val="24"/>
                <w:lang w:val="en-AU"/>
              </w:rPr>
              <w:t xml:space="preserve">; </w:t>
            </w:r>
            <w:r w:rsidR="00F50B5D" w:rsidRPr="009D7D67">
              <w:rPr>
                <w:rFonts w:asciiTheme="minorHAnsi" w:hAnsiTheme="minorHAnsi"/>
              </w:rPr>
              <w:t>Security situation monitoring with AFP, SIG and other partners</w:t>
            </w:r>
            <w:r w:rsidR="006F1317" w:rsidRPr="009D7D67">
              <w:rPr>
                <w:rFonts w:asciiTheme="minorHAnsi" w:hAnsiTheme="minorHAnsi"/>
              </w:rPr>
              <w:t xml:space="preserve">; </w:t>
            </w:r>
            <w:r w:rsidRPr="009D7D67">
              <w:rPr>
                <w:rFonts w:asciiTheme="minorHAnsi" w:hAnsiTheme="minorHAnsi"/>
              </w:rPr>
              <w:t>New police development and Justice programs</w:t>
            </w:r>
            <w:r w:rsidR="006F1317" w:rsidRPr="009D7D67">
              <w:rPr>
                <w:rFonts w:asciiTheme="minorHAnsi" w:hAnsiTheme="minorHAnsi"/>
              </w:rPr>
              <w:t xml:space="preserve">; and </w:t>
            </w:r>
            <w:r w:rsidRPr="009D7D67">
              <w:rPr>
                <w:rFonts w:asciiTheme="minorHAnsi" w:hAnsiTheme="minorHAnsi"/>
              </w:rPr>
              <w:t>Defence Cooperation Program</w:t>
            </w:r>
          </w:p>
        </w:tc>
        <w:tc>
          <w:tcPr>
            <w:tcW w:w="2240" w:type="dxa"/>
          </w:tcPr>
          <w:p w14:paraId="6DC3A000" w14:textId="77777777" w:rsidR="00C76223" w:rsidRPr="009D7D67" w:rsidRDefault="00C76223" w:rsidP="00BE6C6D">
            <w:pPr>
              <w:rPr>
                <w:rFonts w:asciiTheme="minorHAnsi" w:hAnsiTheme="minorHAnsi"/>
              </w:rPr>
            </w:pPr>
            <w:r w:rsidRPr="009D7D67">
              <w:rPr>
                <w:rFonts w:asciiTheme="minorHAnsi" w:hAnsiTheme="minorHAnsi"/>
              </w:rPr>
              <w:t>New security treaty to provide for support for huma</w:t>
            </w:r>
            <w:r w:rsidR="00F50B5D" w:rsidRPr="009D7D67">
              <w:rPr>
                <w:rFonts w:asciiTheme="minorHAnsi" w:hAnsiTheme="minorHAnsi"/>
              </w:rPr>
              <w:t>nitarian and security situations</w:t>
            </w:r>
          </w:p>
        </w:tc>
        <w:tc>
          <w:tcPr>
            <w:tcW w:w="1173" w:type="dxa"/>
          </w:tcPr>
          <w:p w14:paraId="04DE1185" w14:textId="77777777" w:rsidR="00C76223" w:rsidRPr="009D7D67" w:rsidRDefault="00C76223" w:rsidP="00BE6C6D">
            <w:pPr>
              <w:rPr>
                <w:rFonts w:asciiTheme="minorHAnsi" w:hAnsiTheme="minorHAnsi"/>
              </w:rPr>
            </w:pPr>
            <w:r w:rsidRPr="009D7D67">
              <w:rPr>
                <w:rFonts w:asciiTheme="minorHAnsi" w:hAnsiTheme="minorHAnsi"/>
              </w:rPr>
              <w:t>High</w:t>
            </w:r>
          </w:p>
        </w:tc>
        <w:tc>
          <w:tcPr>
            <w:tcW w:w="1160" w:type="dxa"/>
          </w:tcPr>
          <w:p w14:paraId="5652D5FC" w14:textId="77777777" w:rsidR="00C76223" w:rsidRPr="009D7D67" w:rsidRDefault="00C76223" w:rsidP="00BE6C6D">
            <w:pPr>
              <w:rPr>
                <w:rFonts w:asciiTheme="minorHAnsi" w:hAnsiTheme="minorHAnsi"/>
              </w:rPr>
            </w:pPr>
            <w:r w:rsidRPr="009D7D67">
              <w:rPr>
                <w:rFonts w:asciiTheme="minorHAnsi" w:hAnsiTheme="minorHAnsi"/>
              </w:rPr>
              <w:t>Yes</w:t>
            </w:r>
          </w:p>
        </w:tc>
      </w:tr>
      <w:tr w:rsidR="002A6AC8" w:rsidRPr="00C61187" w14:paraId="0AECA1AE" w14:textId="77777777" w:rsidTr="00BD607E">
        <w:tc>
          <w:tcPr>
            <w:tcW w:w="1938" w:type="dxa"/>
            <w:hideMark/>
          </w:tcPr>
          <w:p w14:paraId="5A617EC3" w14:textId="77777777" w:rsidR="002A6AC8" w:rsidRPr="009D7D67" w:rsidRDefault="00793933" w:rsidP="00F50B5D">
            <w:pPr>
              <w:rPr>
                <w:rFonts w:asciiTheme="minorHAnsi" w:hAnsiTheme="minorHAnsi"/>
              </w:rPr>
            </w:pPr>
            <w:r w:rsidRPr="009D7D67">
              <w:rPr>
                <w:rFonts w:asciiTheme="minorHAnsi" w:hAnsiTheme="minorHAnsi"/>
              </w:rPr>
              <w:t>Macro-economic reform slow</w:t>
            </w:r>
            <w:r w:rsidR="00F50B5D" w:rsidRPr="009D7D67">
              <w:rPr>
                <w:rFonts w:asciiTheme="minorHAnsi" w:hAnsiTheme="minorHAnsi"/>
              </w:rPr>
              <w:t>s</w:t>
            </w:r>
            <w:r w:rsidRPr="009D7D67">
              <w:rPr>
                <w:rFonts w:asciiTheme="minorHAnsi" w:hAnsiTheme="minorHAnsi"/>
              </w:rPr>
              <w:t xml:space="preserve"> or regresses which could reduce economic growth and cause civil unrest</w:t>
            </w:r>
            <w:r w:rsidR="00F50B5D" w:rsidRPr="009D7D67">
              <w:rPr>
                <w:rFonts w:asciiTheme="minorHAnsi" w:hAnsiTheme="minorHAnsi"/>
              </w:rPr>
              <w:t>.</w:t>
            </w:r>
          </w:p>
        </w:tc>
        <w:tc>
          <w:tcPr>
            <w:tcW w:w="2949" w:type="dxa"/>
          </w:tcPr>
          <w:p w14:paraId="6948F107" w14:textId="77777777" w:rsidR="002A6AC8" w:rsidRPr="009D7D67" w:rsidRDefault="00793933" w:rsidP="00747513">
            <w:pPr>
              <w:rPr>
                <w:rFonts w:asciiTheme="minorHAnsi" w:hAnsiTheme="minorHAnsi"/>
              </w:rPr>
            </w:pPr>
            <w:r w:rsidRPr="009D7D67">
              <w:rPr>
                <w:rFonts w:asciiTheme="minorHAnsi" w:hAnsiTheme="minorHAnsi"/>
              </w:rPr>
              <w:t>Targeted technical assistance to M</w:t>
            </w:r>
            <w:r w:rsidR="003A613F">
              <w:rPr>
                <w:rFonts w:asciiTheme="minorHAnsi" w:hAnsiTheme="minorHAnsi"/>
              </w:rPr>
              <w:t>o</w:t>
            </w:r>
            <w:r w:rsidRPr="009D7D67">
              <w:rPr>
                <w:rFonts w:asciiTheme="minorHAnsi" w:hAnsiTheme="minorHAnsi"/>
              </w:rPr>
              <w:t>FT Economic Reform Unit, plus</w:t>
            </w:r>
            <w:r w:rsidR="00F50B5D" w:rsidRPr="009D7D67">
              <w:rPr>
                <w:rFonts w:asciiTheme="minorHAnsi" w:hAnsiTheme="minorHAnsi"/>
              </w:rPr>
              <w:t xml:space="preserve"> budget, debt and customs</w:t>
            </w:r>
            <w:r w:rsidR="006F1317" w:rsidRPr="009D7D67">
              <w:rPr>
                <w:rFonts w:asciiTheme="minorHAnsi" w:hAnsiTheme="minorHAnsi"/>
              </w:rPr>
              <w:t xml:space="preserve">; </w:t>
            </w:r>
            <w:r w:rsidR="00F50B5D" w:rsidRPr="009D7D67">
              <w:rPr>
                <w:rFonts w:asciiTheme="minorHAnsi" w:hAnsiTheme="minorHAnsi"/>
              </w:rPr>
              <w:t>Support to private sector to engage in advocacy</w:t>
            </w:r>
            <w:r w:rsidR="006F1317" w:rsidRPr="009D7D67">
              <w:rPr>
                <w:rFonts w:asciiTheme="minorHAnsi" w:hAnsiTheme="minorHAnsi"/>
              </w:rPr>
              <w:t xml:space="preserve"> for reform agenda; and </w:t>
            </w:r>
            <w:r w:rsidRPr="009D7D67">
              <w:rPr>
                <w:rFonts w:asciiTheme="minorHAnsi" w:hAnsiTheme="minorHAnsi"/>
              </w:rPr>
              <w:t>Ongoing adv</w:t>
            </w:r>
            <w:r w:rsidR="006F1317" w:rsidRPr="009D7D67">
              <w:rPr>
                <w:rFonts w:asciiTheme="minorHAnsi" w:hAnsiTheme="minorHAnsi"/>
              </w:rPr>
              <w:t>ocacy for reinstatement of CEWG.</w:t>
            </w:r>
          </w:p>
        </w:tc>
        <w:tc>
          <w:tcPr>
            <w:tcW w:w="2240" w:type="dxa"/>
          </w:tcPr>
          <w:p w14:paraId="2E5392DA" w14:textId="77777777" w:rsidR="002A6AC8" w:rsidRPr="009D7D67" w:rsidRDefault="00793933" w:rsidP="006F1317">
            <w:pPr>
              <w:rPr>
                <w:rFonts w:asciiTheme="minorHAnsi" w:hAnsiTheme="minorHAnsi"/>
              </w:rPr>
            </w:pPr>
            <w:r w:rsidRPr="009D7D67">
              <w:rPr>
                <w:rFonts w:asciiTheme="minorHAnsi" w:hAnsiTheme="minorHAnsi"/>
              </w:rPr>
              <w:t>Quarterly trilateral discussions with MDBs</w:t>
            </w:r>
            <w:r w:rsidR="006F1317" w:rsidRPr="009D7D67">
              <w:rPr>
                <w:rFonts w:asciiTheme="minorHAnsi" w:hAnsiTheme="minorHAnsi"/>
              </w:rPr>
              <w:t xml:space="preserve">; </w:t>
            </w:r>
            <w:r w:rsidRPr="009D7D67">
              <w:rPr>
                <w:rFonts w:asciiTheme="minorHAnsi" w:hAnsiTheme="minorHAnsi"/>
              </w:rPr>
              <w:t>Support for SIG-private sector dialogue through new MoU</w:t>
            </w:r>
            <w:r w:rsidR="006F1317" w:rsidRPr="009D7D67">
              <w:rPr>
                <w:rFonts w:asciiTheme="minorHAnsi" w:hAnsiTheme="minorHAnsi"/>
              </w:rPr>
              <w:t xml:space="preserve">; and </w:t>
            </w:r>
            <w:r w:rsidRPr="009D7D67">
              <w:rPr>
                <w:rFonts w:asciiTheme="minorHAnsi" w:hAnsiTheme="minorHAnsi"/>
              </w:rPr>
              <w:t>PACER plus readiness package.</w:t>
            </w:r>
          </w:p>
        </w:tc>
        <w:tc>
          <w:tcPr>
            <w:tcW w:w="1173" w:type="dxa"/>
          </w:tcPr>
          <w:p w14:paraId="573591F5" w14:textId="77777777" w:rsidR="002A6AC8" w:rsidRPr="009D7D67" w:rsidRDefault="00C76223" w:rsidP="00BE6C6D">
            <w:pPr>
              <w:rPr>
                <w:rFonts w:asciiTheme="minorHAnsi" w:hAnsiTheme="minorHAnsi"/>
              </w:rPr>
            </w:pPr>
            <w:r w:rsidRPr="009D7D67">
              <w:rPr>
                <w:rFonts w:asciiTheme="minorHAnsi" w:hAnsiTheme="minorHAnsi"/>
              </w:rPr>
              <w:t>High</w:t>
            </w:r>
          </w:p>
        </w:tc>
        <w:tc>
          <w:tcPr>
            <w:tcW w:w="1160" w:type="dxa"/>
          </w:tcPr>
          <w:p w14:paraId="3D2D38E6" w14:textId="77777777" w:rsidR="002A6AC8" w:rsidRPr="009D7D67" w:rsidRDefault="00C76223" w:rsidP="00BE6C6D">
            <w:pPr>
              <w:rPr>
                <w:rFonts w:asciiTheme="minorHAnsi" w:hAnsiTheme="minorHAnsi"/>
              </w:rPr>
            </w:pPr>
            <w:r w:rsidRPr="009D7D67">
              <w:rPr>
                <w:rFonts w:asciiTheme="minorHAnsi" w:hAnsiTheme="minorHAnsi"/>
              </w:rPr>
              <w:t>Yes</w:t>
            </w:r>
          </w:p>
        </w:tc>
      </w:tr>
      <w:tr w:rsidR="000F7180" w:rsidRPr="00C61187" w14:paraId="6E76EE8C" w14:textId="77777777" w:rsidTr="00BD607E">
        <w:tc>
          <w:tcPr>
            <w:tcW w:w="1938" w:type="dxa"/>
          </w:tcPr>
          <w:p w14:paraId="7134BBC0" w14:textId="1D774431" w:rsidR="000F7180" w:rsidRPr="009D7D67" w:rsidRDefault="000F7180" w:rsidP="000F7180">
            <w:r w:rsidRPr="009D7D67">
              <w:rPr>
                <w:rFonts w:asciiTheme="minorHAnsi" w:hAnsiTheme="minorHAnsi"/>
              </w:rPr>
              <w:t>Opportunistic or planned fraud is committed, which would could result in in misallocation/misuse/theft of Australian money.</w:t>
            </w:r>
          </w:p>
        </w:tc>
        <w:tc>
          <w:tcPr>
            <w:tcW w:w="2949" w:type="dxa"/>
          </w:tcPr>
          <w:p w14:paraId="0F13A3CC" w14:textId="037FCE1E" w:rsidR="000F7180" w:rsidRPr="009D7D67" w:rsidRDefault="000F7180" w:rsidP="000F7180">
            <w:r w:rsidRPr="009D7D67">
              <w:rPr>
                <w:rFonts w:asciiTheme="minorHAnsi" w:hAnsiTheme="minorHAnsi"/>
              </w:rPr>
              <w:t>Dedicated post fraud officer; Fraud Strategy; Joint Statement on Zero Tolerance to Fraud in Solomon Islands; Australian</w:t>
            </w:r>
            <w:r>
              <w:rPr>
                <w:rFonts w:asciiTheme="minorHAnsi" w:hAnsiTheme="minorHAnsi"/>
              </w:rPr>
              <w:t>-funded</w:t>
            </w:r>
            <w:r w:rsidRPr="009D7D67">
              <w:rPr>
                <w:rFonts w:asciiTheme="minorHAnsi" w:hAnsiTheme="minorHAnsi"/>
              </w:rPr>
              <w:t xml:space="preserve"> Financial Advisers undertaking compliance checks for Australian budget support payments; Annual fraud training at post; and Reimbursement model for budget support (health and education sectors).</w:t>
            </w:r>
          </w:p>
        </w:tc>
        <w:tc>
          <w:tcPr>
            <w:tcW w:w="2240" w:type="dxa"/>
          </w:tcPr>
          <w:p w14:paraId="7F7F8413" w14:textId="5912FEDB" w:rsidR="000F7180" w:rsidRPr="009D7D67" w:rsidRDefault="000F7180" w:rsidP="000F7180">
            <w:r w:rsidRPr="009D7D67">
              <w:rPr>
                <w:rFonts w:asciiTheme="minorHAnsi" w:hAnsiTheme="minorHAnsi"/>
              </w:rPr>
              <w:t>Implementation of recommendations of Post’s response to the ANS (including the 2017 fiduciary risk assessment update) and sector level assessments for PFM and procurement.</w:t>
            </w:r>
          </w:p>
        </w:tc>
        <w:tc>
          <w:tcPr>
            <w:tcW w:w="1173" w:type="dxa"/>
          </w:tcPr>
          <w:p w14:paraId="59FACB3B" w14:textId="48C80CF9" w:rsidR="000F7180" w:rsidRPr="009D7D67" w:rsidRDefault="000F7180" w:rsidP="000F7180">
            <w:r w:rsidRPr="009D7D67">
              <w:rPr>
                <w:rFonts w:asciiTheme="minorHAnsi" w:eastAsia="Times New Roman" w:hAnsiTheme="minorHAnsi"/>
                <w:iCs/>
                <w:szCs w:val="17"/>
                <w:lang w:eastAsia="en-US"/>
              </w:rPr>
              <w:t>High</w:t>
            </w:r>
          </w:p>
        </w:tc>
        <w:tc>
          <w:tcPr>
            <w:tcW w:w="1160" w:type="dxa"/>
          </w:tcPr>
          <w:p w14:paraId="055379DE" w14:textId="3DA67823" w:rsidR="000F7180" w:rsidRPr="009D7D67" w:rsidRDefault="000F7180" w:rsidP="000F7180">
            <w:r w:rsidRPr="009D7D67">
              <w:rPr>
                <w:rFonts w:asciiTheme="minorHAnsi" w:eastAsia="Times New Roman" w:hAnsiTheme="minorHAnsi"/>
                <w:iCs/>
                <w:szCs w:val="17"/>
              </w:rPr>
              <w:t>Yes</w:t>
            </w:r>
          </w:p>
        </w:tc>
      </w:tr>
      <w:tr w:rsidR="000F7180" w:rsidRPr="00C61187" w14:paraId="421CE9A2" w14:textId="77777777" w:rsidTr="00BD607E">
        <w:tc>
          <w:tcPr>
            <w:tcW w:w="1938" w:type="dxa"/>
          </w:tcPr>
          <w:p w14:paraId="26D8DA01" w14:textId="67F46E74" w:rsidR="000F7180" w:rsidRPr="009D7D67" w:rsidRDefault="000F7180" w:rsidP="000F7180">
            <w:r w:rsidRPr="009D7D67">
              <w:rPr>
                <w:rFonts w:asciiTheme="minorHAnsi" w:hAnsiTheme="minorHAnsi"/>
              </w:rPr>
              <w:t>Delays in partner government payments to private sector and partner ministries, which could affect effect implementation of Australia's aid programs and economic growth.</w:t>
            </w:r>
          </w:p>
        </w:tc>
        <w:tc>
          <w:tcPr>
            <w:tcW w:w="2949" w:type="dxa"/>
          </w:tcPr>
          <w:p w14:paraId="68302C35" w14:textId="6C029143" w:rsidR="000F7180" w:rsidRPr="009D7D67" w:rsidRDefault="000F7180" w:rsidP="000F7180">
            <w:r>
              <w:rPr>
                <w:rFonts w:asciiTheme="minorHAnsi" w:hAnsiTheme="minorHAnsi"/>
              </w:rPr>
              <w:t>PLA</w:t>
            </w:r>
            <w:r w:rsidRPr="009D7D67">
              <w:rPr>
                <w:rFonts w:asciiTheme="minorHAnsi" w:hAnsiTheme="minorHAnsi"/>
              </w:rPr>
              <w:t xml:space="preserve"> to </w:t>
            </w:r>
            <w:r>
              <w:rPr>
                <w:rFonts w:asciiTheme="minorHAnsi" w:hAnsiTheme="minorHAnsi"/>
              </w:rPr>
              <w:t>sector allocations</w:t>
            </w:r>
            <w:r w:rsidRPr="009D7D67">
              <w:rPr>
                <w:rFonts w:asciiTheme="minorHAnsi" w:hAnsiTheme="minorHAnsi"/>
              </w:rPr>
              <w:t>; Advocacy with M</w:t>
            </w:r>
            <w:r>
              <w:rPr>
                <w:rFonts w:asciiTheme="minorHAnsi" w:hAnsiTheme="minorHAnsi"/>
              </w:rPr>
              <w:t>o</w:t>
            </w:r>
            <w:r w:rsidRPr="009D7D67">
              <w:rPr>
                <w:rFonts w:asciiTheme="minorHAnsi" w:hAnsiTheme="minorHAnsi"/>
              </w:rPr>
              <w:t>FT and line agencies; and Post regularly monitors the fiscal situation through strong engagement with M</w:t>
            </w:r>
            <w:r>
              <w:rPr>
                <w:rFonts w:asciiTheme="minorHAnsi" w:hAnsiTheme="minorHAnsi"/>
              </w:rPr>
              <w:t>o</w:t>
            </w:r>
            <w:r w:rsidRPr="009D7D67">
              <w:rPr>
                <w:rFonts w:asciiTheme="minorHAnsi" w:hAnsiTheme="minorHAnsi"/>
              </w:rPr>
              <w:t>FT and other stakeholders.</w:t>
            </w:r>
          </w:p>
        </w:tc>
        <w:tc>
          <w:tcPr>
            <w:tcW w:w="2240" w:type="dxa"/>
          </w:tcPr>
          <w:p w14:paraId="1B1CD0E9" w14:textId="77777777" w:rsidR="000F7180" w:rsidRPr="009D7D67" w:rsidRDefault="000F7180" w:rsidP="000F7180"/>
        </w:tc>
        <w:tc>
          <w:tcPr>
            <w:tcW w:w="1173" w:type="dxa"/>
          </w:tcPr>
          <w:p w14:paraId="3B874473" w14:textId="19C80812" w:rsidR="000F7180" w:rsidRPr="009D7D67" w:rsidRDefault="000F7180" w:rsidP="000F7180">
            <w:pPr>
              <w:rPr>
                <w:rFonts w:eastAsia="Times New Roman"/>
                <w:iCs/>
                <w:szCs w:val="17"/>
              </w:rPr>
            </w:pPr>
            <w:r w:rsidRPr="009D7D67">
              <w:rPr>
                <w:rFonts w:asciiTheme="minorHAnsi" w:eastAsia="Times New Roman" w:hAnsiTheme="minorHAnsi"/>
                <w:iCs/>
                <w:szCs w:val="17"/>
                <w:lang w:eastAsia="en-US"/>
              </w:rPr>
              <w:t>High</w:t>
            </w:r>
          </w:p>
        </w:tc>
        <w:tc>
          <w:tcPr>
            <w:tcW w:w="1160" w:type="dxa"/>
          </w:tcPr>
          <w:p w14:paraId="4F59C665" w14:textId="29EA6339" w:rsidR="000F7180" w:rsidRPr="009D7D67" w:rsidRDefault="000F7180" w:rsidP="000F7180">
            <w:pPr>
              <w:rPr>
                <w:rFonts w:eastAsia="Times New Roman"/>
                <w:iCs/>
                <w:szCs w:val="17"/>
              </w:rPr>
            </w:pPr>
            <w:r w:rsidRPr="009D7D67">
              <w:rPr>
                <w:rFonts w:asciiTheme="minorHAnsi" w:eastAsia="Times New Roman" w:hAnsiTheme="minorHAnsi"/>
                <w:iCs/>
                <w:szCs w:val="17"/>
              </w:rPr>
              <w:t>Yes</w:t>
            </w:r>
          </w:p>
        </w:tc>
      </w:tr>
    </w:tbl>
    <w:p w14:paraId="64A20868" w14:textId="3B055B2E" w:rsidR="00D60FE1" w:rsidRPr="00576BEA" w:rsidRDefault="00D60FE1" w:rsidP="000F7BC7">
      <w:pPr>
        <w:spacing w:after="20" w:line="180" w:lineRule="atLeast"/>
      </w:pPr>
      <w:r>
        <w:t>Australia’s program continued to be delivered in a high risk environment as highlighted in Table 3</w:t>
      </w:r>
      <w:r w:rsidR="003A3C85">
        <w:t xml:space="preserve">.  </w:t>
      </w:r>
      <w:r>
        <w:t>Over 2016-17, Australia m</w:t>
      </w:r>
      <w:r w:rsidRPr="00576BEA">
        <w:t>anage</w:t>
      </w:r>
      <w:r>
        <w:t>d</w:t>
      </w:r>
      <w:r w:rsidRPr="00576BEA">
        <w:t xml:space="preserve"> risks systematically through investment </w:t>
      </w:r>
      <w:r>
        <w:t xml:space="preserve">level </w:t>
      </w:r>
      <w:r w:rsidRPr="00576BEA">
        <w:t>risk registers and management</w:t>
      </w:r>
      <w:r>
        <w:t xml:space="preserve"> of risks in the weekly Aid Management Meeting</w:t>
      </w:r>
      <w:r w:rsidR="003A3C85">
        <w:t xml:space="preserve">.  </w:t>
      </w:r>
      <w:r>
        <w:t>The security situation remained fragile and the associated risk remained high</w:t>
      </w:r>
      <w:r w:rsidR="006A60D2">
        <w:t xml:space="preserve"> </w:t>
      </w:r>
      <w:r>
        <w:t>throughout 2016-17</w:t>
      </w:r>
      <w:r w:rsidR="003A3C85">
        <w:t xml:space="preserve">.  </w:t>
      </w:r>
      <w:r>
        <w:t>In preparation for the end of RAMSI, Australia prepared and developed new treatments and controls to reduce the likelihood and severity of changes to the security situation</w:t>
      </w:r>
      <w:r w:rsidR="009E396A">
        <w:t>,</w:t>
      </w:r>
      <w:r>
        <w:t xml:space="preserve"> including the new policing and justice program and negotiation of a new security treaty</w:t>
      </w:r>
      <w:r w:rsidR="003A3C85">
        <w:t xml:space="preserve">.  </w:t>
      </w:r>
      <w:r>
        <w:t xml:space="preserve">The profile of macro-economic, fiscal and fiduciary risks changed over the last twelve months due to a reduced appetite for macro-economic reform, deterioration in </w:t>
      </w:r>
      <w:r w:rsidR="006A60D2">
        <w:t>the Solomon Islands</w:t>
      </w:r>
      <w:r w:rsidR="009E396A">
        <w:t>’</w:t>
      </w:r>
      <w:r>
        <w:t xml:space="preserve"> fiscal position and removal of advisors in M</w:t>
      </w:r>
      <w:r w:rsidR="003A613F">
        <w:t>o</w:t>
      </w:r>
      <w:r>
        <w:t>FT</w:t>
      </w:r>
      <w:r w:rsidR="000F7180">
        <w:t>.</w:t>
      </w:r>
    </w:p>
    <w:p w14:paraId="372959F2" w14:textId="491CA8EB" w:rsidR="002A51CA" w:rsidRPr="002A51CA" w:rsidRDefault="002A51CA" w:rsidP="00BD607E">
      <w:pPr>
        <w:pStyle w:val="Heading2"/>
        <w:spacing w:before="240" w:after="60"/>
      </w:pPr>
      <w:r w:rsidRPr="002A51CA">
        <w:lastRenderedPageBreak/>
        <w:t>Manageme</w:t>
      </w:r>
      <w:r w:rsidR="003342B7">
        <w:t>N</w:t>
      </w:r>
      <w:r w:rsidRPr="002A51CA">
        <w:t xml:space="preserve">t </w:t>
      </w:r>
      <w:r w:rsidR="00AC302F">
        <w:t>actions</w:t>
      </w:r>
    </w:p>
    <w:p w14:paraId="486C5C6D" w14:textId="5787D8DD" w:rsidR="002A51CA" w:rsidRPr="00C61187" w:rsidRDefault="00CF2CB0" w:rsidP="002A51CA">
      <w:r>
        <w:t>In 2016-17, Australia progress</w:t>
      </w:r>
      <w:r w:rsidR="00713FD8">
        <w:t>ed</w:t>
      </w:r>
      <w:r>
        <w:t xml:space="preserve"> all but one of the ten management actions identified in the 2015-16 APPR</w:t>
      </w:r>
      <w:r w:rsidR="00713FD8">
        <w:t xml:space="preserve"> (see Annex A)</w:t>
      </w:r>
      <w:r w:rsidR="003A3C85">
        <w:t xml:space="preserve">.  </w:t>
      </w:r>
      <w:r w:rsidR="00EC78AD">
        <w:t>Australia finalised the designs of the new stability and growth program, and the Aid Partnership was agreed</w:t>
      </w:r>
      <w:r w:rsidR="003A3C85">
        <w:t xml:space="preserve">.  </w:t>
      </w:r>
      <w:r w:rsidR="00713FD8">
        <w:t xml:space="preserve">Two </w:t>
      </w:r>
      <w:r w:rsidR="00EC78AD">
        <w:t xml:space="preserve">of the actions were partially achieved: </w:t>
      </w:r>
      <w:r w:rsidR="003342B7">
        <w:t>P</w:t>
      </w:r>
      <w:r w:rsidR="00713FD8">
        <w:t>ost identified ten investments that address climate change but resilience was not systematically considered across the program</w:t>
      </w:r>
      <w:r w:rsidR="00EC78AD">
        <w:t>; and most current investments received satisfactory rating</w:t>
      </w:r>
      <w:r w:rsidR="009E396A">
        <w:t>s</w:t>
      </w:r>
      <w:r w:rsidR="00EC78AD">
        <w:t xml:space="preserve"> </w:t>
      </w:r>
      <w:r w:rsidR="009E396A">
        <w:t xml:space="preserve">while </w:t>
      </w:r>
      <w:r w:rsidR="00EC78AD">
        <w:t>completed investment</w:t>
      </w:r>
      <w:r w:rsidR="009E396A">
        <w:t>s</w:t>
      </w:r>
      <w:r w:rsidR="00EC78AD">
        <w:t xml:space="preserve"> generally performed poorly on gender</w:t>
      </w:r>
      <w:r w:rsidR="003A3C85">
        <w:t xml:space="preserve">.  </w:t>
      </w:r>
      <w:r w:rsidR="00713FD8">
        <w:t>T</w:t>
      </w:r>
      <w:r w:rsidR="00EC78AD">
        <w:t>he CEWG did not meet in 2016-17</w:t>
      </w:r>
      <w:r w:rsidR="00713FD8">
        <w:t>, despite high-level advocacy by Australia</w:t>
      </w:r>
      <w:r w:rsidR="000F7180">
        <w:t>.</w:t>
      </w:r>
    </w:p>
    <w:p w14:paraId="00228E54" w14:textId="4D5AE9CF" w:rsidR="002876C0" w:rsidRPr="00E272F9" w:rsidRDefault="002876C0" w:rsidP="002876C0">
      <w:r>
        <w:t>Australia’s aid program is already heavily committed in 2017-18, and consequently the following management</w:t>
      </w:r>
      <w:r w:rsidR="003342B7">
        <w:t xml:space="preserve"> actions</w:t>
      </w:r>
      <w:r>
        <w:t xml:space="preserve"> focus on informing the future direction of our program and strengthening our ability to </w:t>
      </w:r>
      <w:r w:rsidRPr="00E272F9">
        <w:t>understand the performance of our existing portfolio</w:t>
      </w:r>
      <w:r w:rsidR="000F7180">
        <w:t>.</w:t>
      </w:r>
    </w:p>
    <w:p w14:paraId="48BADFFE" w14:textId="77777777" w:rsidR="00EF2CB4" w:rsidRPr="00E272F9" w:rsidRDefault="00EC78AD" w:rsidP="00DC59A1">
      <w:pPr>
        <w:pStyle w:val="ListParagraph"/>
        <w:numPr>
          <w:ilvl w:val="0"/>
          <w:numId w:val="41"/>
        </w:numPr>
        <w:rPr>
          <w:sz w:val="22"/>
          <w:szCs w:val="22"/>
        </w:rPr>
      </w:pPr>
      <w:r w:rsidRPr="00E272F9">
        <w:rPr>
          <w:rFonts w:asciiTheme="minorHAnsi" w:eastAsiaTheme="minorHAnsi" w:hAnsiTheme="minorHAnsi" w:cstheme="minorBidi"/>
          <w:color w:val="495965" w:themeColor="text2"/>
          <w:sz w:val="22"/>
          <w:szCs w:val="22"/>
          <w:lang w:val="en-GB"/>
        </w:rPr>
        <w:t>The Deputy</w:t>
      </w:r>
      <w:r w:rsidRPr="00E272F9">
        <w:rPr>
          <w:rFonts w:asciiTheme="minorHAnsi" w:hAnsiTheme="minorHAnsi"/>
          <w:color w:val="495965" w:themeColor="text2"/>
          <w:sz w:val="22"/>
          <w:szCs w:val="22"/>
        </w:rPr>
        <w:t xml:space="preserve"> High Commissioner will oversee a review </w:t>
      </w:r>
      <w:r w:rsidR="00AC6772" w:rsidRPr="00E272F9">
        <w:rPr>
          <w:rFonts w:asciiTheme="minorHAnsi" w:hAnsiTheme="minorHAnsi"/>
          <w:color w:val="495965" w:themeColor="text2"/>
          <w:sz w:val="22"/>
          <w:szCs w:val="22"/>
        </w:rPr>
        <w:t>of the AIP which will</w:t>
      </w:r>
      <w:r w:rsidR="00EF2CB4" w:rsidRPr="00E272F9">
        <w:rPr>
          <w:rFonts w:asciiTheme="minorHAnsi" w:hAnsiTheme="minorHAnsi"/>
          <w:color w:val="495965" w:themeColor="text2"/>
          <w:sz w:val="22"/>
          <w:szCs w:val="22"/>
        </w:rPr>
        <w:t>:</w:t>
      </w:r>
    </w:p>
    <w:p w14:paraId="442FE4F2" w14:textId="77777777" w:rsidR="00436443" w:rsidRPr="00E272F9" w:rsidRDefault="00436443" w:rsidP="00EF2CB4">
      <w:pPr>
        <w:pStyle w:val="ListParagraph"/>
        <w:numPr>
          <w:ilvl w:val="1"/>
          <w:numId w:val="41"/>
        </w:numPr>
        <w:rPr>
          <w:rFonts w:asciiTheme="minorHAnsi" w:eastAsiaTheme="minorHAnsi" w:hAnsiTheme="minorHAnsi" w:cstheme="minorBidi"/>
          <w:color w:val="495965" w:themeColor="text2"/>
          <w:sz w:val="22"/>
          <w:szCs w:val="22"/>
          <w:lang w:val="en-GB"/>
        </w:rPr>
      </w:pPr>
      <w:r w:rsidRPr="00E272F9">
        <w:rPr>
          <w:rFonts w:asciiTheme="minorHAnsi" w:eastAsiaTheme="minorHAnsi" w:hAnsiTheme="minorHAnsi" w:cstheme="minorBidi"/>
          <w:color w:val="495965" w:themeColor="text2"/>
          <w:sz w:val="22"/>
          <w:szCs w:val="22"/>
          <w:lang w:val="en-GB"/>
        </w:rPr>
        <w:t>Examine the post-RAMSI context and how this has impacted on the portfolio of Australian investments</w:t>
      </w:r>
      <w:r w:rsidR="00434F8B" w:rsidRPr="00E272F9">
        <w:rPr>
          <w:rFonts w:asciiTheme="minorHAnsi" w:eastAsiaTheme="minorHAnsi" w:hAnsiTheme="minorHAnsi" w:cstheme="minorBidi"/>
          <w:color w:val="495965" w:themeColor="text2"/>
          <w:sz w:val="22"/>
          <w:szCs w:val="22"/>
          <w:lang w:val="en-GB"/>
        </w:rPr>
        <w:t xml:space="preserve"> through the aid program</w:t>
      </w:r>
      <w:r w:rsidR="009D7D67" w:rsidRPr="00E272F9">
        <w:rPr>
          <w:rFonts w:asciiTheme="minorHAnsi" w:eastAsiaTheme="minorHAnsi" w:hAnsiTheme="minorHAnsi" w:cstheme="minorBidi"/>
          <w:color w:val="495965" w:themeColor="text2"/>
          <w:sz w:val="22"/>
          <w:szCs w:val="22"/>
          <w:lang w:val="en-GB"/>
        </w:rPr>
        <w:t>;</w:t>
      </w:r>
    </w:p>
    <w:p w14:paraId="7C6EFFB0" w14:textId="5E124144" w:rsidR="00731419" w:rsidRDefault="00731419" w:rsidP="00EF2CB4">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Examine the opportunities for a more poverty-centred, decentralised approach, </w:t>
      </w:r>
      <w:r w:rsidR="00434F8B">
        <w:rPr>
          <w:rFonts w:asciiTheme="minorHAnsi" w:eastAsiaTheme="minorHAnsi" w:hAnsiTheme="minorHAnsi" w:cstheme="minorBidi"/>
          <w:color w:val="495965" w:themeColor="text2"/>
          <w:sz w:val="22"/>
          <w:szCs w:val="22"/>
          <w:lang w:val="en-GB"/>
        </w:rPr>
        <w:t>building on the stability gains made through RAMSI;</w:t>
      </w:r>
    </w:p>
    <w:p w14:paraId="4953F2BB" w14:textId="77777777" w:rsidR="00434F8B" w:rsidRDefault="00434F8B" w:rsidP="00EF2CB4">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Identify opportunities for stronger links between regional and bilateral programs</w:t>
      </w:r>
      <w:r w:rsidR="009D7D67">
        <w:rPr>
          <w:rFonts w:asciiTheme="minorHAnsi" w:eastAsiaTheme="minorHAnsi" w:hAnsiTheme="minorHAnsi" w:cstheme="minorBidi"/>
          <w:color w:val="495965" w:themeColor="text2"/>
          <w:sz w:val="22"/>
          <w:szCs w:val="22"/>
          <w:lang w:val="en-GB"/>
        </w:rPr>
        <w:t>;</w:t>
      </w:r>
    </w:p>
    <w:p w14:paraId="3493CA13" w14:textId="1197785F" w:rsidR="00EF2CB4" w:rsidRDefault="00EF2CB4" w:rsidP="00EF2CB4">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Seek to understand the factors that influence why support</w:t>
      </w:r>
      <w:r w:rsidR="0012617E">
        <w:rPr>
          <w:rFonts w:asciiTheme="minorHAnsi" w:eastAsiaTheme="minorHAnsi" w:hAnsiTheme="minorHAnsi" w:cstheme="minorBidi"/>
          <w:color w:val="495965" w:themeColor="text2"/>
          <w:sz w:val="22"/>
          <w:szCs w:val="22"/>
          <w:lang w:val="en-GB"/>
        </w:rPr>
        <w:t xml:space="preserve"> through partner system</w:t>
      </w:r>
      <w:r w:rsidR="00436443">
        <w:rPr>
          <w:rFonts w:asciiTheme="minorHAnsi" w:eastAsiaTheme="minorHAnsi" w:hAnsiTheme="minorHAnsi" w:cstheme="minorBidi"/>
          <w:color w:val="495965" w:themeColor="text2"/>
          <w:sz w:val="22"/>
          <w:szCs w:val="22"/>
          <w:lang w:val="en-GB"/>
        </w:rPr>
        <w:t>s</w:t>
      </w:r>
      <w:r>
        <w:rPr>
          <w:rFonts w:asciiTheme="minorHAnsi" w:eastAsiaTheme="minorHAnsi" w:hAnsiTheme="minorHAnsi" w:cstheme="minorBidi"/>
          <w:color w:val="495965" w:themeColor="text2"/>
          <w:sz w:val="22"/>
          <w:szCs w:val="22"/>
          <w:lang w:val="en-GB"/>
        </w:rPr>
        <w:t xml:space="preserve"> is more effective in some sectors</w:t>
      </w:r>
      <w:r w:rsidR="0012617E">
        <w:rPr>
          <w:rFonts w:asciiTheme="minorHAnsi" w:eastAsiaTheme="minorHAnsi" w:hAnsiTheme="minorHAnsi" w:cstheme="minorBidi"/>
          <w:color w:val="495965" w:themeColor="text2"/>
          <w:sz w:val="22"/>
          <w:szCs w:val="22"/>
          <w:lang w:val="en-GB"/>
        </w:rPr>
        <w:t xml:space="preserve"> than others</w:t>
      </w:r>
      <w:r w:rsidR="00436443">
        <w:rPr>
          <w:rFonts w:asciiTheme="minorHAnsi" w:eastAsiaTheme="minorHAnsi" w:hAnsiTheme="minorHAnsi" w:cstheme="minorBidi"/>
          <w:color w:val="495965" w:themeColor="text2"/>
          <w:sz w:val="22"/>
          <w:szCs w:val="22"/>
          <w:lang w:val="en-GB"/>
        </w:rPr>
        <w:t xml:space="preserve">, including in relation to </w:t>
      </w:r>
      <w:r w:rsidR="00F91F91">
        <w:rPr>
          <w:rFonts w:asciiTheme="minorHAnsi" w:eastAsiaTheme="minorHAnsi" w:hAnsiTheme="minorHAnsi" w:cstheme="minorBidi"/>
          <w:color w:val="495965" w:themeColor="text2"/>
          <w:sz w:val="22"/>
          <w:szCs w:val="22"/>
          <w:lang w:val="en-GB"/>
        </w:rPr>
        <w:t>PLA</w:t>
      </w:r>
      <w:r w:rsidR="009D7D67">
        <w:rPr>
          <w:rFonts w:asciiTheme="minorHAnsi" w:eastAsiaTheme="minorHAnsi" w:hAnsiTheme="minorHAnsi" w:cstheme="minorBidi"/>
          <w:color w:val="495965" w:themeColor="text2"/>
          <w:sz w:val="22"/>
          <w:szCs w:val="22"/>
          <w:lang w:val="en-GB"/>
        </w:rPr>
        <w:t>;</w:t>
      </w:r>
    </w:p>
    <w:p w14:paraId="24BC0216" w14:textId="77777777" w:rsidR="00EC78AD" w:rsidRDefault="00EF2CB4" w:rsidP="00EC78AD">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Make recommendations on </w:t>
      </w:r>
      <w:r w:rsidR="00434F8B">
        <w:rPr>
          <w:rFonts w:asciiTheme="minorHAnsi" w:eastAsiaTheme="minorHAnsi" w:hAnsiTheme="minorHAnsi" w:cstheme="minorBidi"/>
          <w:color w:val="495965" w:themeColor="text2"/>
          <w:sz w:val="22"/>
          <w:szCs w:val="22"/>
          <w:lang w:val="en-GB"/>
        </w:rPr>
        <w:t>objectives, delivery modalities and partners that can inform the next Aid Investment Plan</w:t>
      </w:r>
      <w:r w:rsidR="009D7D67">
        <w:rPr>
          <w:rFonts w:asciiTheme="minorHAnsi" w:eastAsiaTheme="minorHAnsi" w:hAnsiTheme="minorHAnsi" w:cstheme="minorBidi"/>
          <w:color w:val="495965" w:themeColor="text2"/>
          <w:sz w:val="22"/>
          <w:szCs w:val="22"/>
          <w:lang w:val="en-GB"/>
        </w:rPr>
        <w:t>; and</w:t>
      </w:r>
    </w:p>
    <w:p w14:paraId="5BA8CEE5" w14:textId="77777777" w:rsidR="00EF2CB4" w:rsidRPr="00EC78AD" w:rsidRDefault="00EF2CB4" w:rsidP="00EC78AD">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Be completed by </w:t>
      </w:r>
      <w:r w:rsidR="00434F8B" w:rsidRPr="009D7D67">
        <w:rPr>
          <w:rFonts w:asciiTheme="minorHAnsi" w:eastAsiaTheme="minorHAnsi" w:hAnsiTheme="minorHAnsi" w:cstheme="minorBidi"/>
          <w:color w:val="495965" w:themeColor="text2"/>
          <w:sz w:val="22"/>
          <w:szCs w:val="22"/>
          <w:lang w:val="en-GB"/>
        </w:rPr>
        <w:t>June</w:t>
      </w:r>
      <w:r w:rsidR="0012617E" w:rsidRPr="009D7D67">
        <w:rPr>
          <w:rFonts w:asciiTheme="minorHAnsi" w:eastAsiaTheme="minorHAnsi" w:hAnsiTheme="minorHAnsi" w:cstheme="minorBidi"/>
          <w:color w:val="495965" w:themeColor="text2"/>
          <w:sz w:val="22"/>
          <w:szCs w:val="22"/>
          <w:lang w:val="en-GB"/>
        </w:rPr>
        <w:t xml:space="preserve"> 2018</w:t>
      </w:r>
      <w:r w:rsidR="009D7D67" w:rsidRPr="009D7D67">
        <w:rPr>
          <w:rFonts w:asciiTheme="minorHAnsi" w:eastAsiaTheme="minorHAnsi" w:hAnsiTheme="minorHAnsi" w:cstheme="minorBidi"/>
          <w:color w:val="495965" w:themeColor="text2"/>
          <w:sz w:val="22"/>
          <w:szCs w:val="22"/>
          <w:lang w:val="en-GB"/>
        </w:rPr>
        <w:t>.</w:t>
      </w:r>
    </w:p>
    <w:p w14:paraId="76161D47" w14:textId="36C96914" w:rsidR="00EC78AD" w:rsidRDefault="00EF2CB4" w:rsidP="00EC78AD">
      <w:pPr>
        <w:pStyle w:val="ListParagraph"/>
        <w:numPr>
          <w:ilvl w:val="0"/>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To improve program coherence and performance evidence, </w:t>
      </w:r>
      <w:r w:rsidR="00D9524A">
        <w:rPr>
          <w:rFonts w:asciiTheme="minorHAnsi" w:eastAsiaTheme="minorHAnsi" w:hAnsiTheme="minorHAnsi" w:cstheme="minorBidi"/>
          <w:color w:val="495965" w:themeColor="text2"/>
          <w:sz w:val="22"/>
          <w:szCs w:val="22"/>
          <w:lang w:val="en-GB"/>
        </w:rPr>
        <w:t xml:space="preserve">the performance frameworks for key investments will be updated or </w:t>
      </w:r>
      <w:r w:rsidR="000C74E1">
        <w:rPr>
          <w:rFonts w:asciiTheme="minorHAnsi" w:eastAsiaTheme="minorHAnsi" w:hAnsiTheme="minorHAnsi" w:cstheme="minorBidi"/>
          <w:color w:val="495965" w:themeColor="text2"/>
          <w:sz w:val="22"/>
          <w:szCs w:val="22"/>
          <w:lang w:val="en-GB"/>
        </w:rPr>
        <w:t>developed</w:t>
      </w:r>
      <w:r w:rsidR="003A3C85">
        <w:rPr>
          <w:rFonts w:asciiTheme="minorHAnsi" w:eastAsiaTheme="minorHAnsi" w:hAnsiTheme="minorHAnsi" w:cstheme="minorBidi"/>
          <w:color w:val="495965" w:themeColor="text2"/>
          <w:sz w:val="22"/>
          <w:szCs w:val="22"/>
          <w:lang w:val="en-GB"/>
        </w:rPr>
        <w:t xml:space="preserve">.  </w:t>
      </w:r>
      <w:r w:rsidR="00D9524A">
        <w:rPr>
          <w:rFonts w:asciiTheme="minorHAnsi" w:eastAsiaTheme="minorHAnsi" w:hAnsiTheme="minorHAnsi" w:cstheme="minorBidi"/>
          <w:color w:val="495965" w:themeColor="text2"/>
          <w:sz w:val="22"/>
          <w:szCs w:val="22"/>
          <w:lang w:val="en-GB"/>
        </w:rPr>
        <w:t>T</w:t>
      </w:r>
      <w:r>
        <w:rPr>
          <w:rFonts w:asciiTheme="minorHAnsi" w:eastAsiaTheme="minorHAnsi" w:hAnsiTheme="minorHAnsi" w:cstheme="minorBidi"/>
          <w:color w:val="495965" w:themeColor="text2"/>
          <w:sz w:val="22"/>
          <w:szCs w:val="22"/>
          <w:lang w:val="en-GB"/>
        </w:rPr>
        <w:t>he Second Secretary (Aid Strategy &amp; Performance) will support key investment managers to</w:t>
      </w:r>
      <w:r w:rsidR="00D9524A">
        <w:rPr>
          <w:rFonts w:asciiTheme="minorHAnsi" w:eastAsiaTheme="minorHAnsi" w:hAnsiTheme="minorHAnsi" w:cstheme="minorBidi"/>
          <w:color w:val="495965" w:themeColor="text2"/>
          <w:sz w:val="22"/>
          <w:szCs w:val="22"/>
          <w:lang w:val="en-GB"/>
        </w:rPr>
        <w:t>:</w:t>
      </w:r>
    </w:p>
    <w:p w14:paraId="496E10D2" w14:textId="77777777" w:rsidR="00EC78AD" w:rsidRDefault="00EF2CB4" w:rsidP="00EC78AD">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Develop a detailed PAF for the portfolio of economic growth activities led by </w:t>
      </w:r>
      <w:r w:rsidR="004C5AA0">
        <w:rPr>
          <w:rFonts w:asciiTheme="minorHAnsi" w:eastAsiaTheme="minorHAnsi" w:hAnsiTheme="minorHAnsi" w:cstheme="minorBidi"/>
          <w:color w:val="495965" w:themeColor="text2"/>
          <w:sz w:val="22"/>
          <w:szCs w:val="22"/>
          <w:lang w:val="en-GB"/>
        </w:rPr>
        <w:t xml:space="preserve">the </w:t>
      </w:r>
      <w:r>
        <w:rPr>
          <w:rFonts w:asciiTheme="minorHAnsi" w:eastAsiaTheme="minorHAnsi" w:hAnsiTheme="minorHAnsi" w:cstheme="minorBidi"/>
          <w:color w:val="495965" w:themeColor="text2"/>
          <w:sz w:val="22"/>
          <w:szCs w:val="22"/>
          <w:lang w:val="en-GB"/>
        </w:rPr>
        <w:t>Second Secretary (Economic</w:t>
      </w:r>
      <w:r w:rsidR="004C5AA0">
        <w:rPr>
          <w:rFonts w:asciiTheme="minorHAnsi" w:eastAsiaTheme="minorHAnsi" w:hAnsiTheme="minorHAnsi" w:cstheme="minorBidi"/>
          <w:color w:val="495965" w:themeColor="text2"/>
          <w:sz w:val="22"/>
          <w:szCs w:val="22"/>
          <w:lang w:val="en-GB"/>
        </w:rPr>
        <w:t>s</w:t>
      </w:r>
      <w:r>
        <w:rPr>
          <w:rFonts w:asciiTheme="minorHAnsi" w:eastAsiaTheme="minorHAnsi" w:hAnsiTheme="minorHAnsi" w:cstheme="minorBidi"/>
          <w:color w:val="495965" w:themeColor="text2"/>
          <w:sz w:val="22"/>
          <w:szCs w:val="22"/>
          <w:lang w:val="en-GB"/>
        </w:rPr>
        <w:t>)</w:t>
      </w:r>
      <w:r w:rsidR="00D9524A">
        <w:rPr>
          <w:rFonts w:asciiTheme="minorHAnsi" w:eastAsiaTheme="minorHAnsi" w:hAnsiTheme="minorHAnsi" w:cstheme="minorBidi"/>
          <w:color w:val="495965" w:themeColor="text2"/>
          <w:sz w:val="22"/>
          <w:szCs w:val="22"/>
          <w:lang w:val="en-GB"/>
        </w:rPr>
        <w:t xml:space="preserve"> and be completed by </w:t>
      </w:r>
      <w:r w:rsidR="00D60FE1">
        <w:rPr>
          <w:rFonts w:asciiTheme="minorHAnsi" w:eastAsiaTheme="minorHAnsi" w:hAnsiTheme="minorHAnsi" w:cstheme="minorBidi"/>
          <w:color w:val="495965" w:themeColor="text2"/>
          <w:sz w:val="22"/>
          <w:szCs w:val="22"/>
          <w:lang w:val="en-GB"/>
        </w:rPr>
        <w:t xml:space="preserve">October </w:t>
      </w:r>
      <w:r w:rsidR="00D9524A">
        <w:rPr>
          <w:rFonts w:asciiTheme="minorHAnsi" w:eastAsiaTheme="minorHAnsi" w:hAnsiTheme="minorHAnsi" w:cstheme="minorBidi"/>
          <w:color w:val="495965" w:themeColor="text2"/>
          <w:sz w:val="22"/>
          <w:szCs w:val="22"/>
          <w:lang w:val="en-GB"/>
        </w:rPr>
        <w:t>2017</w:t>
      </w:r>
      <w:r w:rsidR="00D60FE1">
        <w:rPr>
          <w:rFonts w:asciiTheme="minorHAnsi" w:eastAsiaTheme="minorHAnsi" w:hAnsiTheme="minorHAnsi" w:cstheme="minorBidi"/>
          <w:color w:val="495965" w:themeColor="text2"/>
          <w:sz w:val="22"/>
          <w:szCs w:val="22"/>
          <w:lang w:val="en-GB"/>
        </w:rPr>
        <w:t>;</w:t>
      </w:r>
    </w:p>
    <w:p w14:paraId="1E883503" w14:textId="7AF17F11" w:rsidR="00EF2CB4" w:rsidRDefault="00EF2CB4" w:rsidP="00EC78AD">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Develop a compre</w:t>
      </w:r>
      <w:r w:rsidR="0012617E">
        <w:rPr>
          <w:rFonts w:asciiTheme="minorHAnsi" w:eastAsiaTheme="minorHAnsi" w:hAnsiTheme="minorHAnsi" w:cstheme="minorBidi"/>
          <w:color w:val="495965" w:themeColor="text2"/>
          <w:sz w:val="22"/>
          <w:szCs w:val="22"/>
          <w:lang w:val="en-GB"/>
        </w:rPr>
        <w:t>he</w:t>
      </w:r>
      <w:r>
        <w:rPr>
          <w:rFonts w:asciiTheme="minorHAnsi" w:eastAsiaTheme="minorHAnsi" w:hAnsiTheme="minorHAnsi" w:cstheme="minorBidi"/>
          <w:color w:val="495965" w:themeColor="text2"/>
          <w:sz w:val="22"/>
          <w:szCs w:val="22"/>
          <w:lang w:val="en-GB"/>
        </w:rPr>
        <w:t xml:space="preserve">nsive </w:t>
      </w:r>
      <w:r w:rsidR="00F91F91">
        <w:rPr>
          <w:rFonts w:asciiTheme="minorHAnsi" w:eastAsiaTheme="minorHAnsi" w:hAnsiTheme="minorHAnsi" w:cstheme="minorBidi"/>
          <w:color w:val="495965" w:themeColor="text2"/>
          <w:sz w:val="22"/>
          <w:szCs w:val="22"/>
          <w:lang w:val="en-GB"/>
        </w:rPr>
        <w:t>M&amp;E</w:t>
      </w:r>
      <w:r>
        <w:rPr>
          <w:rFonts w:asciiTheme="minorHAnsi" w:eastAsiaTheme="minorHAnsi" w:hAnsiTheme="minorHAnsi" w:cstheme="minorBidi"/>
          <w:color w:val="495965" w:themeColor="text2"/>
          <w:sz w:val="22"/>
          <w:szCs w:val="22"/>
          <w:lang w:val="en-GB"/>
        </w:rPr>
        <w:t xml:space="preserve"> framework </w:t>
      </w:r>
      <w:r w:rsidR="0012617E">
        <w:rPr>
          <w:rFonts w:asciiTheme="minorHAnsi" w:eastAsiaTheme="minorHAnsi" w:hAnsiTheme="minorHAnsi" w:cstheme="minorBidi"/>
          <w:color w:val="495965" w:themeColor="text2"/>
          <w:sz w:val="22"/>
          <w:szCs w:val="22"/>
          <w:lang w:val="en-GB"/>
        </w:rPr>
        <w:t>and support mechanism for the stability portfolio</w:t>
      </w:r>
      <w:r w:rsidR="00092EE8">
        <w:rPr>
          <w:rFonts w:asciiTheme="minorHAnsi" w:eastAsiaTheme="minorHAnsi" w:hAnsiTheme="minorHAnsi" w:cstheme="minorBidi"/>
          <w:color w:val="495965" w:themeColor="text2"/>
          <w:sz w:val="22"/>
          <w:szCs w:val="22"/>
          <w:lang w:val="en-GB"/>
        </w:rPr>
        <w:t>, including measures to assess the SIPDP,</w:t>
      </w:r>
      <w:r w:rsidR="0012617E">
        <w:rPr>
          <w:rFonts w:asciiTheme="minorHAnsi" w:eastAsiaTheme="minorHAnsi" w:hAnsiTheme="minorHAnsi" w:cstheme="minorBidi"/>
          <w:color w:val="495965" w:themeColor="text2"/>
          <w:sz w:val="22"/>
          <w:szCs w:val="22"/>
          <w:lang w:val="en-GB"/>
        </w:rPr>
        <w:t xml:space="preserve"> led by the Counsellor (Stability)</w:t>
      </w:r>
      <w:r w:rsidR="00D9524A">
        <w:rPr>
          <w:rFonts w:asciiTheme="minorHAnsi" w:eastAsiaTheme="minorHAnsi" w:hAnsiTheme="minorHAnsi" w:cstheme="minorBidi"/>
          <w:color w:val="495965" w:themeColor="text2"/>
          <w:sz w:val="22"/>
          <w:szCs w:val="22"/>
          <w:lang w:val="en-GB"/>
        </w:rPr>
        <w:t xml:space="preserve"> and be completed by February 2018</w:t>
      </w:r>
      <w:r w:rsidR="00D60FE1">
        <w:rPr>
          <w:rFonts w:asciiTheme="minorHAnsi" w:eastAsiaTheme="minorHAnsi" w:hAnsiTheme="minorHAnsi" w:cstheme="minorBidi"/>
          <w:color w:val="495965" w:themeColor="text2"/>
          <w:sz w:val="22"/>
          <w:szCs w:val="22"/>
          <w:lang w:val="en-GB"/>
        </w:rPr>
        <w:t>; and</w:t>
      </w:r>
    </w:p>
    <w:p w14:paraId="6A667D11" w14:textId="34477287" w:rsidR="00D9524A" w:rsidRPr="00EC78AD" w:rsidRDefault="00D9524A" w:rsidP="00EC78AD">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Review and update the Gender </w:t>
      </w:r>
      <w:r w:rsidR="00646A0E">
        <w:rPr>
          <w:rFonts w:asciiTheme="minorHAnsi" w:eastAsiaTheme="minorHAnsi" w:hAnsiTheme="minorHAnsi" w:cstheme="minorBidi"/>
          <w:color w:val="495965" w:themeColor="text2"/>
          <w:sz w:val="22"/>
          <w:szCs w:val="22"/>
          <w:lang w:val="en-GB"/>
        </w:rPr>
        <w:t xml:space="preserve">Equality </w:t>
      </w:r>
      <w:r>
        <w:rPr>
          <w:rFonts w:asciiTheme="minorHAnsi" w:eastAsiaTheme="minorHAnsi" w:hAnsiTheme="minorHAnsi" w:cstheme="minorBidi"/>
          <w:color w:val="495965" w:themeColor="text2"/>
          <w:sz w:val="22"/>
          <w:szCs w:val="22"/>
          <w:lang w:val="en-GB"/>
        </w:rPr>
        <w:t>PAF, including identifying reliable robust measure</w:t>
      </w:r>
      <w:r w:rsidR="00EC481D">
        <w:rPr>
          <w:rFonts w:asciiTheme="minorHAnsi" w:eastAsiaTheme="minorHAnsi" w:hAnsiTheme="minorHAnsi" w:cstheme="minorBidi"/>
          <w:color w:val="495965" w:themeColor="text2"/>
          <w:sz w:val="22"/>
          <w:szCs w:val="22"/>
          <w:lang w:val="en-GB"/>
        </w:rPr>
        <w:t>s</w:t>
      </w:r>
      <w:r>
        <w:rPr>
          <w:rFonts w:asciiTheme="minorHAnsi" w:eastAsiaTheme="minorHAnsi" w:hAnsiTheme="minorHAnsi" w:cstheme="minorBidi"/>
          <w:color w:val="495965" w:themeColor="text2"/>
          <w:sz w:val="22"/>
          <w:szCs w:val="22"/>
          <w:lang w:val="en-GB"/>
        </w:rPr>
        <w:t xml:space="preserve"> for</w:t>
      </w:r>
      <w:r w:rsidR="00BD4E04">
        <w:rPr>
          <w:rFonts w:asciiTheme="minorHAnsi" w:eastAsiaTheme="minorHAnsi" w:hAnsiTheme="minorHAnsi" w:cstheme="minorBidi"/>
          <w:color w:val="495965" w:themeColor="text2"/>
          <w:sz w:val="22"/>
          <w:szCs w:val="22"/>
          <w:lang w:val="en-GB"/>
        </w:rPr>
        <w:t xml:space="preserve"> </w:t>
      </w:r>
      <w:r w:rsidR="00646A0E">
        <w:rPr>
          <w:rFonts w:asciiTheme="minorHAnsi" w:eastAsiaTheme="minorHAnsi" w:hAnsiTheme="minorHAnsi" w:cstheme="minorBidi"/>
          <w:color w:val="495965" w:themeColor="text2"/>
          <w:sz w:val="22"/>
          <w:szCs w:val="22"/>
          <w:lang w:val="en-GB"/>
        </w:rPr>
        <w:t>our support to end violence against women and implement the FPA</w:t>
      </w:r>
      <w:r w:rsidR="003A3C85">
        <w:rPr>
          <w:rFonts w:asciiTheme="minorHAnsi" w:eastAsiaTheme="minorHAnsi" w:hAnsiTheme="minorHAnsi" w:cstheme="minorBidi"/>
          <w:color w:val="495965" w:themeColor="text2"/>
          <w:sz w:val="22"/>
          <w:szCs w:val="22"/>
          <w:lang w:val="en-GB"/>
        </w:rPr>
        <w:t xml:space="preserve">.  </w:t>
      </w:r>
      <w:r>
        <w:rPr>
          <w:rFonts w:asciiTheme="minorHAnsi" w:eastAsiaTheme="minorHAnsi" w:hAnsiTheme="minorHAnsi" w:cstheme="minorBidi"/>
          <w:color w:val="495965" w:themeColor="text2"/>
          <w:sz w:val="22"/>
          <w:szCs w:val="22"/>
          <w:lang w:val="en-GB"/>
        </w:rPr>
        <w:t xml:space="preserve">This will be led </w:t>
      </w:r>
      <w:r w:rsidR="00092EE8">
        <w:rPr>
          <w:rFonts w:asciiTheme="minorHAnsi" w:eastAsiaTheme="minorHAnsi" w:hAnsiTheme="minorHAnsi" w:cstheme="minorBidi"/>
          <w:color w:val="495965" w:themeColor="text2"/>
          <w:sz w:val="22"/>
          <w:szCs w:val="22"/>
          <w:lang w:val="en-GB"/>
        </w:rPr>
        <w:t xml:space="preserve">by </w:t>
      </w:r>
      <w:r>
        <w:rPr>
          <w:rFonts w:asciiTheme="minorHAnsi" w:eastAsiaTheme="minorHAnsi" w:hAnsiTheme="minorHAnsi" w:cstheme="minorBidi"/>
          <w:color w:val="495965" w:themeColor="text2"/>
          <w:sz w:val="22"/>
          <w:szCs w:val="22"/>
          <w:lang w:val="en-GB"/>
        </w:rPr>
        <w:t>the Second Secretary (Gender) and completed by December 2017.</w:t>
      </w:r>
    </w:p>
    <w:p w14:paraId="78D8F23A" w14:textId="77777777" w:rsidR="004C5AA0" w:rsidRDefault="004C5AA0" w:rsidP="004C5AA0">
      <w:pPr>
        <w:pStyle w:val="ListParagraph"/>
        <w:numPr>
          <w:ilvl w:val="0"/>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To improve </w:t>
      </w:r>
      <w:r w:rsidR="0012617E">
        <w:rPr>
          <w:rFonts w:asciiTheme="minorHAnsi" w:eastAsiaTheme="minorHAnsi" w:hAnsiTheme="minorHAnsi" w:cstheme="minorBidi"/>
          <w:color w:val="495965" w:themeColor="text2"/>
          <w:sz w:val="22"/>
          <w:szCs w:val="22"/>
          <w:lang w:val="en-GB"/>
        </w:rPr>
        <w:t>Climate change and resilience</w:t>
      </w:r>
      <w:r>
        <w:rPr>
          <w:rFonts w:asciiTheme="minorHAnsi" w:eastAsiaTheme="minorHAnsi" w:hAnsiTheme="minorHAnsi" w:cstheme="minorBidi"/>
          <w:color w:val="495965" w:themeColor="text2"/>
          <w:sz w:val="22"/>
          <w:szCs w:val="22"/>
          <w:lang w:val="en-GB"/>
        </w:rPr>
        <w:t>, Second Secretary (Economics) will support key investment managers to:</w:t>
      </w:r>
    </w:p>
    <w:p w14:paraId="35D1A158" w14:textId="77777777" w:rsidR="004C5AA0" w:rsidRDefault="004C5AA0" w:rsidP="00EE0700">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M</w:t>
      </w:r>
      <w:r w:rsidRPr="00EE0700">
        <w:rPr>
          <w:rFonts w:asciiTheme="minorHAnsi" w:eastAsiaTheme="minorHAnsi" w:hAnsiTheme="minorHAnsi" w:cstheme="minorBidi"/>
          <w:color w:val="495965" w:themeColor="text2"/>
          <w:sz w:val="22"/>
          <w:szCs w:val="22"/>
          <w:lang w:val="en-GB"/>
        </w:rPr>
        <w:t>ainstream climate change throughout</w:t>
      </w:r>
      <w:r>
        <w:rPr>
          <w:rFonts w:asciiTheme="minorHAnsi" w:eastAsiaTheme="minorHAnsi" w:hAnsiTheme="minorHAnsi" w:cstheme="minorBidi"/>
          <w:color w:val="495965" w:themeColor="text2"/>
          <w:sz w:val="22"/>
          <w:szCs w:val="22"/>
          <w:lang w:val="en-GB"/>
        </w:rPr>
        <w:t xml:space="preserve"> relevant</w:t>
      </w:r>
      <w:r w:rsidRPr="00EE0700">
        <w:rPr>
          <w:rFonts w:asciiTheme="minorHAnsi" w:eastAsiaTheme="minorHAnsi" w:hAnsiTheme="minorHAnsi" w:cstheme="minorBidi"/>
          <w:color w:val="495965" w:themeColor="text2"/>
          <w:sz w:val="22"/>
          <w:szCs w:val="22"/>
          <w:lang w:val="en-GB"/>
        </w:rPr>
        <w:t xml:space="preserve"> investments</w:t>
      </w:r>
      <w:r>
        <w:rPr>
          <w:rFonts w:asciiTheme="minorHAnsi" w:eastAsiaTheme="minorHAnsi" w:hAnsiTheme="minorHAnsi" w:cstheme="minorBidi"/>
          <w:color w:val="495965" w:themeColor="text2"/>
          <w:sz w:val="22"/>
          <w:szCs w:val="22"/>
          <w:lang w:val="en-GB"/>
        </w:rPr>
        <w:t>; and</w:t>
      </w:r>
    </w:p>
    <w:p w14:paraId="462773A0" w14:textId="55A8D091" w:rsidR="0012617E" w:rsidRDefault="004C5AA0" w:rsidP="00EE0700">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Ensure Australian funded climate science information is reaching programs to inform decision-making</w:t>
      </w:r>
      <w:r w:rsidR="000F7180">
        <w:rPr>
          <w:rFonts w:asciiTheme="minorHAnsi" w:eastAsiaTheme="minorHAnsi" w:hAnsiTheme="minorHAnsi" w:cstheme="minorBidi"/>
          <w:color w:val="495965" w:themeColor="text2"/>
          <w:sz w:val="22"/>
          <w:szCs w:val="22"/>
          <w:lang w:val="en-GB"/>
        </w:rPr>
        <w:t>.</w:t>
      </w:r>
    </w:p>
    <w:p w14:paraId="728BA5FA" w14:textId="77777777" w:rsidR="002F5D50" w:rsidRDefault="002F5D50" w:rsidP="002F5D50">
      <w:pPr>
        <w:pStyle w:val="ListParagraph"/>
        <w:numPr>
          <w:ilvl w:val="0"/>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To support the Solomon Islands Government to prepare for the first national elections of the post-RAMSI era, the Second Secretary (Political) will:</w:t>
      </w:r>
    </w:p>
    <w:p w14:paraId="726B5463" w14:textId="77777777" w:rsidR="002F5D50" w:rsidRDefault="002F5D50" w:rsidP="002F5D50">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Work in partnership with the UNDP on the implementation of Phase 2 of Strengthening Electoral Cycle Systems in Solomon Islands Project (SECSIP)</w:t>
      </w:r>
      <w:r w:rsidR="00CF0B1E">
        <w:rPr>
          <w:rFonts w:asciiTheme="minorHAnsi" w:eastAsiaTheme="minorHAnsi" w:hAnsiTheme="minorHAnsi" w:cstheme="minorBidi"/>
          <w:color w:val="495965" w:themeColor="text2"/>
          <w:sz w:val="22"/>
          <w:szCs w:val="22"/>
          <w:lang w:val="en-GB"/>
        </w:rPr>
        <w:t>;</w:t>
      </w:r>
    </w:p>
    <w:p w14:paraId="1A9161D0" w14:textId="52E5E29B" w:rsidR="002F5D50" w:rsidRDefault="002F5D50" w:rsidP="002F5D50">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Work with the </w:t>
      </w:r>
      <w:r w:rsidR="0005513F">
        <w:rPr>
          <w:rFonts w:asciiTheme="minorHAnsi" w:eastAsiaTheme="minorHAnsi" w:hAnsiTheme="minorHAnsi" w:cstheme="minorBidi"/>
          <w:color w:val="495965" w:themeColor="text2"/>
          <w:sz w:val="22"/>
          <w:szCs w:val="22"/>
          <w:lang w:val="en-GB"/>
        </w:rPr>
        <w:t>AEC</w:t>
      </w:r>
      <w:r>
        <w:rPr>
          <w:rFonts w:asciiTheme="minorHAnsi" w:eastAsiaTheme="minorHAnsi" w:hAnsiTheme="minorHAnsi" w:cstheme="minorBidi"/>
          <w:color w:val="495965" w:themeColor="text2"/>
          <w:sz w:val="22"/>
          <w:szCs w:val="22"/>
          <w:lang w:val="en-GB"/>
        </w:rPr>
        <w:t xml:space="preserve"> to develop a new suite of training and support for the </w:t>
      </w:r>
      <w:r w:rsidR="0005513F">
        <w:rPr>
          <w:rFonts w:asciiTheme="minorHAnsi" w:eastAsiaTheme="minorHAnsi" w:hAnsiTheme="minorHAnsi" w:cstheme="minorBidi"/>
          <w:color w:val="495965" w:themeColor="text2"/>
          <w:sz w:val="22"/>
          <w:szCs w:val="22"/>
          <w:lang w:val="en-GB"/>
        </w:rPr>
        <w:t>SIEC</w:t>
      </w:r>
      <w:r>
        <w:rPr>
          <w:rFonts w:asciiTheme="minorHAnsi" w:eastAsiaTheme="minorHAnsi" w:hAnsiTheme="minorHAnsi" w:cstheme="minorBidi"/>
          <w:color w:val="495965" w:themeColor="text2"/>
          <w:sz w:val="22"/>
          <w:szCs w:val="22"/>
          <w:lang w:val="en-GB"/>
        </w:rPr>
        <w:t xml:space="preserve"> ahead of the next elections</w:t>
      </w:r>
      <w:r w:rsidR="00CF0B1E">
        <w:rPr>
          <w:rFonts w:asciiTheme="minorHAnsi" w:eastAsiaTheme="minorHAnsi" w:hAnsiTheme="minorHAnsi" w:cstheme="minorBidi"/>
          <w:color w:val="495965" w:themeColor="text2"/>
          <w:sz w:val="22"/>
          <w:szCs w:val="22"/>
          <w:lang w:val="en-GB"/>
        </w:rPr>
        <w:t>;</w:t>
      </w:r>
    </w:p>
    <w:p w14:paraId="5662282D" w14:textId="77777777" w:rsidR="002F5D50" w:rsidRDefault="002F5D50" w:rsidP="002F5D50">
      <w:pPr>
        <w:pStyle w:val="ListParagraph"/>
        <w:numPr>
          <w:ilvl w:val="1"/>
          <w:numId w:val="41"/>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Manage a program design process for the bilateral technical advisor program that assesses and incorporates the multiple modalities employed in democratic governance</w:t>
      </w:r>
      <w:r w:rsidR="00CF0B1E">
        <w:rPr>
          <w:rFonts w:asciiTheme="minorHAnsi" w:eastAsiaTheme="minorHAnsi" w:hAnsiTheme="minorHAnsi" w:cstheme="minorBidi"/>
          <w:color w:val="495965" w:themeColor="text2"/>
          <w:sz w:val="22"/>
          <w:szCs w:val="22"/>
          <w:lang w:val="en-GB"/>
        </w:rPr>
        <w:t>;</w:t>
      </w:r>
    </w:p>
    <w:p w14:paraId="0EAC285B" w14:textId="77777777" w:rsidR="00CF0B1E" w:rsidRPr="007911B6" w:rsidRDefault="002F5D50" w:rsidP="00473FA3">
      <w:pPr>
        <w:pStyle w:val="ListParagraph"/>
        <w:numPr>
          <w:ilvl w:val="1"/>
          <w:numId w:val="41"/>
        </w:numPr>
      </w:pPr>
      <w:r>
        <w:rPr>
          <w:rFonts w:asciiTheme="minorHAnsi" w:eastAsiaTheme="minorHAnsi" w:hAnsiTheme="minorHAnsi" w:cstheme="minorBidi"/>
          <w:color w:val="495965" w:themeColor="text2"/>
          <w:sz w:val="22"/>
          <w:szCs w:val="22"/>
          <w:lang w:val="en-GB"/>
        </w:rPr>
        <w:t>Lead a cross-sectoral post team to focus intensively on how best to support and encourage women candidates for the 2019 elections</w:t>
      </w:r>
      <w:r w:rsidR="00CF0B1E">
        <w:rPr>
          <w:rFonts w:asciiTheme="minorHAnsi" w:eastAsiaTheme="minorHAnsi" w:hAnsiTheme="minorHAnsi" w:cstheme="minorBidi"/>
          <w:color w:val="495965" w:themeColor="text2"/>
          <w:sz w:val="22"/>
          <w:szCs w:val="22"/>
          <w:lang w:val="en-GB"/>
        </w:rPr>
        <w:t>; and</w:t>
      </w:r>
    </w:p>
    <w:p w14:paraId="7D94F502" w14:textId="58332348" w:rsidR="00D15A00" w:rsidRDefault="00CF0B1E" w:rsidP="007911B6">
      <w:pPr>
        <w:pStyle w:val="ListParagraph"/>
        <w:numPr>
          <w:ilvl w:val="1"/>
          <w:numId w:val="41"/>
        </w:numPr>
        <w:sectPr w:rsidR="00D15A00" w:rsidSect="00C6626C">
          <w:pgSz w:w="11906" w:h="16838" w:code="9"/>
          <w:pgMar w:top="1527" w:right="1134" w:bottom="851" w:left="1134" w:header="1418" w:footer="567" w:gutter="0"/>
          <w:cols w:space="397"/>
          <w:docGrid w:linePitch="360"/>
        </w:sectPr>
      </w:pPr>
      <w:r>
        <w:rPr>
          <w:rFonts w:asciiTheme="minorHAnsi" w:eastAsiaTheme="minorHAnsi" w:hAnsiTheme="minorHAnsi" w:cstheme="minorBidi"/>
          <w:color w:val="495965" w:themeColor="text2"/>
          <w:sz w:val="22"/>
          <w:szCs w:val="22"/>
          <w:lang w:val="en-GB"/>
        </w:rPr>
        <w:t xml:space="preserve">Incorporate as appropriate recommendations from the forthcoming </w:t>
      </w:r>
      <w:r w:rsidR="00F91F91">
        <w:rPr>
          <w:rFonts w:asciiTheme="minorHAnsi" w:eastAsiaTheme="minorHAnsi" w:hAnsiTheme="minorHAnsi" w:cstheme="minorBidi"/>
          <w:color w:val="495965" w:themeColor="text2"/>
          <w:sz w:val="22"/>
          <w:szCs w:val="22"/>
          <w:lang w:val="en-GB"/>
        </w:rPr>
        <w:t>Office of Development Effectiveness (</w:t>
      </w:r>
      <w:r>
        <w:rPr>
          <w:rFonts w:asciiTheme="minorHAnsi" w:eastAsiaTheme="minorHAnsi" w:hAnsiTheme="minorHAnsi" w:cstheme="minorBidi"/>
          <w:color w:val="495965" w:themeColor="text2"/>
          <w:sz w:val="22"/>
          <w:szCs w:val="22"/>
          <w:lang w:val="en-GB"/>
        </w:rPr>
        <w:t>ODE</w:t>
      </w:r>
      <w:r w:rsidR="00F91F91">
        <w:rPr>
          <w:rFonts w:asciiTheme="minorHAnsi" w:eastAsiaTheme="minorHAnsi" w:hAnsiTheme="minorHAnsi" w:cstheme="minorBidi"/>
          <w:color w:val="495965" w:themeColor="text2"/>
          <w:sz w:val="22"/>
          <w:szCs w:val="22"/>
          <w:lang w:val="en-GB"/>
        </w:rPr>
        <w:t>)</w:t>
      </w:r>
      <w:r>
        <w:rPr>
          <w:rFonts w:asciiTheme="minorHAnsi" w:eastAsiaTheme="minorHAnsi" w:hAnsiTheme="minorHAnsi" w:cstheme="minorBidi"/>
          <w:color w:val="495965" w:themeColor="text2"/>
          <w:sz w:val="22"/>
          <w:szCs w:val="22"/>
          <w:lang w:val="en-GB"/>
        </w:rPr>
        <w:t xml:space="preserve"> evaluation on </w:t>
      </w:r>
      <w:r w:rsidR="0005513F">
        <w:rPr>
          <w:rFonts w:asciiTheme="minorHAnsi" w:eastAsiaTheme="minorHAnsi" w:hAnsiTheme="minorHAnsi" w:cstheme="minorBidi"/>
          <w:color w:val="495965" w:themeColor="text2"/>
          <w:sz w:val="22"/>
          <w:szCs w:val="22"/>
          <w:lang w:val="en-GB"/>
        </w:rPr>
        <w:t xml:space="preserve">Australia’s </w:t>
      </w:r>
      <w:r>
        <w:rPr>
          <w:rFonts w:asciiTheme="minorHAnsi" w:eastAsiaTheme="minorHAnsi" w:hAnsiTheme="minorHAnsi" w:cstheme="minorBidi"/>
          <w:color w:val="495965" w:themeColor="text2"/>
          <w:sz w:val="22"/>
          <w:szCs w:val="22"/>
          <w:lang w:val="en-GB"/>
        </w:rPr>
        <w:t>support for elections</w:t>
      </w:r>
    </w:p>
    <w:p w14:paraId="568858A4" w14:textId="77777777" w:rsidR="00400B0F" w:rsidRPr="00273CBD" w:rsidRDefault="00400B0F" w:rsidP="00400B0F">
      <w:pPr>
        <w:pStyle w:val="Subtitle"/>
        <w:numPr>
          <w:ilvl w:val="0"/>
          <w:numId w:val="0"/>
        </w:numPr>
        <w:rPr>
          <w:b/>
          <w:color w:val="auto"/>
        </w:rPr>
      </w:pPr>
      <w:r w:rsidRPr="00273CBD">
        <w:rPr>
          <w:b/>
          <w:color w:val="auto"/>
        </w:rPr>
        <w:lastRenderedPageBreak/>
        <w:t xml:space="preserve">Annex A - Progress in Addressing Management </w:t>
      </w:r>
      <w:r w:rsidR="00AC302F" w:rsidRPr="00273CBD">
        <w:rPr>
          <w:b/>
          <w:color w:val="auto"/>
        </w:rPr>
        <w:t>actions</w:t>
      </w:r>
    </w:p>
    <w:tbl>
      <w:tblPr>
        <w:tblStyle w:val="APPR"/>
        <w:tblpPr w:leftFromText="180" w:rightFromText="180" w:vertAnchor="text" w:horzAnchor="margin" w:tblpY="39"/>
        <w:tblW w:w="5000" w:type="pct"/>
        <w:tblLayout w:type="fixed"/>
        <w:tblLook w:val="0000" w:firstRow="0" w:lastRow="0" w:firstColumn="0" w:lastColumn="0" w:noHBand="0" w:noVBand="0"/>
      </w:tblPr>
      <w:tblGrid>
        <w:gridCol w:w="6237"/>
        <w:gridCol w:w="993"/>
        <w:gridCol w:w="7230"/>
      </w:tblGrid>
      <w:tr w:rsidR="00273CBD" w:rsidRPr="00C61187" w14:paraId="5C279E2C" w14:textId="77777777" w:rsidTr="00F156EE">
        <w:trPr>
          <w:cnfStyle w:val="000000010000" w:firstRow="0" w:lastRow="0" w:firstColumn="0" w:lastColumn="0" w:oddVBand="0" w:evenVBand="0" w:oddHBand="0" w:evenHBand="1" w:firstRowFirstColumn="0" w:firstRowLastColumn="0" w:lastRowFirstColumn="0" w:lastRowLastColumn="0"/>
        </w:trPr>
        <w:tc>
          <w:tcPr>
            <w:tcW w:w="6195" w:type="dxa"/>
          </w:tcPr>
          <w:p w14:paraId="47BD82CA" w14:textId="77777777" w:rsidR="00273CBD" w:rsidRPr="003F2713" w:rsidRDefault="00273CBD" w:rsidP="00273CBD">
            <w:pPr>
              <w:keepLines/>
              <w:spacing w:before="80" w:after="80" w:line="200" w:lineRule="atLeast"/>
              <w:rPr>
                <w:rFonts w:ascii="Helvetica" w:eastAsia="Times New Roman" w:hAnsi="Helvetica" w:cs="Helvetica"/>
                <w:b/>
                <w:iCs/>
                <w:color w:val="auto"/>
                <w:szCs w:val="17"/>
                <w:lang w:eastAsia="en-US"/>
              </w:rPr>
            </w:pPr>
            <w:r w:rsidRPr="003F2713">
              <w:rPr>
                <w:rFonts w:ascii="Helvetica" w:eastAsia="Times New Roman" w:hAnsi="Helvetica" w:cs="Helvetica"/>
                <w:b/>
                <w:iCs/>
                <w:color w:val="auto"/>
                <w:szCs w:val="17"/>
                <w:lang w:eastAsia="en-US"/>
              </w:rPr>
              <w:t>Management actions identified in 2015-16 APPR</w:t>
            </w:r>
            <w:r w:rsidRPr="003F2713">
              <w:rPr>
                <w:rFonts w:ascii="Helvetica" w:eastAsia="Times New Roman" w:hAnsi="Helvetica" w:cs="Helvetica"/>
                <w:b/>
                <w:iCs/>
                <w:color w:val="auto"/>
                <w:szCs w:val="17"/>
                <w:lang w:eastAsia="en-US"/>
              </w:rPr>
              <w:tab/>
            </w:r>
          </w:p>
        </w:tc>
        <w:tc>
          <w:tcPr>
            <w:tcW w:w="965" w:type="dxa"/>
          </w:tcPr>
          <w:p w14:paraId="4C4F58D9" w14:textId="77777777" w:rsidR="00273CBD" w:rsidRPr="003F2713" w:rsidRDefault="00273CBD" w:rsidP="00273CBD">
            <w:pPr>
              <w:keepLines/>
              <w:spacing w:before="80" w:after="80" w:line="200" w:lineRule="atLeast"/>
              <w:rPr>
                <w:rFonts w:ascii="Helvetica" w:eastAsia="Times New Roman" w:hAnsi="Helvetica" w:cs="Helvetica"/>
                <w:b/>
                <w:iCs/>
                <w:szCs w:val="17"/>
                <w:lang w:eastAsia="en-US"/>
              </w:rPr>
            </w:pPr>
            <w:r w:rsidRPr="003F2713">
              <w:rPr>
                <w:rFonts w:ascii="Helvetica" w:eastAsia="Times New Roman" w:hAnsi="Helvetica" w:cs="Helvetica"/>
                <w:b/>
                <w:iCs/>
                <w:color w:val="auto"/>
                <w:szCs w:val="17"/>
                <w:lang w:eastAsia="en-US"/>
              </w:rPr>
              <w:t>Rating</w:t>
            </w:r>
          </w:p>
        </w:tc>
        <w:tc>
          <w:tcPr>
            <w:tcW w:w="7188" w:type="dxa"/>
          </w:tcPr>
          <w:p w14:paraId="1B105207" w14:textId="1ECD0FD5" w:rsidR="00273CBD" w:rsidRPr="003F2713" w:rsidRDefault="00273CBD" w:rsidP="00273CBD">
            <w:pPr>
              <w:keepLines/>
              <w:spacing w:before="80" w:after="80" w:line="200" w:lineRule="atLeast"/>
              <w:jc w:val="center"/>
              <w:rPr>
                <w:rFonts w:ascii="Helvetica" w:eastAsia="Times New Roman" w:hAnsi="Helvetica" w:cs="Helvetica"/>
                <w:b/>
                <w:iCs/>
                <w:szCs w:val="17"/>
                <w:lang w:eastAsia="en-US"/>
              </w:rPr>
            </w:pPr>
            <w:r w:rsidRPr="003F2713">
              <w:rPr>
                <w:rFonts w:ascii="Helvetica" w:eastAsia="Times New Roman" w:hAnsi="Helvetica" w:cs="Helvetica"/>
                <w:b/>
                <w:iCs/>
                <w:color w:val="auto"/>
                <w:szCs w:val="17"/>
                <w:lang w:eastAsia="en-US"/>
              </w:rPr>
              <w:t>Progress made in 2016-17</w:t>
            </w:r>
          </w:p>
        </w:tc>
      </w:tr>
      <w:tr w:rsidR="00273CBD" w:rsidRPr="00C61187" w14:paraId="774C0DC7" w14:textId="77777777" w:rsidTr="006956F3">
        <w:trPr>
          <w:cnfStyle w:val="000000010000" w:firstRow="0" w:lastRow="0" w:firstColumn="0" w:lastColumn="0" w:oddVBand="0" w:evenVBand="0" w:oddHBand="0" w:evenHBand="1" w:firstRowFirstColumn="0" w:firstRowLastColumn="0" w:lastRowFirstColumn="0" w:lastRowLastColumn="0"/>
        </w:trPr>
        <w:tc>
          <w:tcPr>
            <w:tcW w:w="6195" w:type="dxa"/>
          </w:tcPr>
          <w:p w14:paraId="76EBF0B2" w14:textId="77777777" w:rsidR="00273CBD" w:rsidRPr="00273CBD" w:rsidRDefault="00273CBD" w:rsidP="006956F3">
            <w:pPr>
              <w:keepLines/>
              <w:spacing w:before="40" w:after="40" w:line="200" w:lineRule="atLeast"/>
              <w:jc w:val="both"/>
              <w:rPr>
                <w:rFonts w:asciiTheme="minorHAnsi" w:eastAsia="Times New Roman" w:hAnsiTheme="minorHAnsi"/>
                <w:iCs/>
                <w:color w:val="auto"/>
                <w:szCs w:val="17"/>
                <w:lang w:eastAsia="en-US"/>
              </w:rPr>
            </w:pPr>
            <w:r w:rsidRPr="00273CBD">
              <w:rPr>
                <w:rFonts w:asciiTheme="minorHAnsi" w:eastAsia="Times New Roman" w:hAnsiTheme="minorHAnsi"/>
                <w:iCs/>
                <w:color w:val="auto"/>
                <w:szCs w:val="17"/>
                <w:lang w:eastAsia="en-US"/>
              </w:rPr>
              <w:t>Finalise the design of the new governance, justice and policing programs to prepare for RAMSI transition in July 2017.</w:t>
            </w:r>
          </w:p>
        </w:tc>
        <w:tc>
          <w:tcPr>
            <w:tcW w:w="965" w:type="dxa"/>
            <w:shd w:val="clear" w:color="auto" w:fill="72AF2F"/>
          </w:tcPr>
          <w:p w14:paraId="547DE063" w14:textId="77777777" w:rsidR="00273CBD" w:rsidRPr="00191D7B" w:rsidRDefault="00273CBD" w:rsidP="00273CBD">
            <w:pPr>
              <w:keepLines/>
              <w:spacing w:before="40" w:after="40" w:line="200" w:lineRule="atLeast"/>
              <w:jc w:val="center"/>
              <w:rPr>
                <w:rFonts w:asciiTheme="minorHAnsi" w:eastAsia="Times New Roman" w:hAnsiTheme="minorHAnsi"/>
                <w:iCs/>
                <w:color w:val="FFFFFF" w:themeColor="background1"/>
                <w:szCs w:val="17"/>
                <w:lang w:eastAsia="en-US"/>
              </w:rPr>
            </w:pPr>
            <w:r w:rsidRPr="00191D7B">
              <w:rPr>
                <w:rFonts w:asciiTheme="minorHAnsi" w:eastAsia="Times New Roman" w:hAnsiTheme="minorHAnsi"/>
                <w:iCs/>
                <w:color w:val="FFFFFF" w:themeColor="background1"/>
                <w:szCs w:val="17"/>
                <w:lang w:eastAsia="en-US"/>
              </w:rPr>
              <w:t>Achieved</w:t>
            </w:r>
          </w:p>
        </w:tc>
        <w:tc>
          <w:tcPr>
            <w:tcW w:w="7188" w:type="dxa"/>
          </w:tcPr>
          <w:p w14:paraId="7C161C63" w14:textId="77777777" w:rsidR="00273CBD" w:rsidRPr="006956F3" w:rsidRDefault="00273CBD" w:rsidP="006956F3">
            <w:pPr>
              <w:keepLines/>
              <w:spacing w:before="40" w:after="40" w:line="200" w:lineRule="atLeast"/>
              <w:jc w:val="both"/>
              <w:rPr>
                <w:rFonts w:asciiTheme="minorHAnsi" w:eastAsia="Times New Roman" w:hAnsiTheme="minorHAnsi"/>
                <w:iCs/>
                <w:color w:val="auto"/>
                <w:szCs w:val="17"/>
              </w:rPr>
            </w:pPr>
            <w:r w:rsidRPr="00E9077D">
              <w:rPr>
                <w:rFonts w:asciiTheme="minorHAnsi" w:eastAsia="Times New Roman" w:hAnsiTheme="minorHAnsi"/>
                <w:iCs/>
                <w:color w:val="auto"/>
                <w:szCs w:val="17"/>
              </w:rPr>
              <w:t>Design was completed and new programs commenced as planned on July 1 2017.</w:t>
            </w:r>
          </w:p>
        </w:tc>
      </w:tr>
      <w:tr w:rsidR="00273CBD" w:rsidRPr="00C61187" w14:paraId="7562D14A" w14:textId="77777777" w:rsidTr="006956F3">
        <w:trPr>
          <w:cnfStyle w:val="000000010000" w:firstRow="0" w:lastRow="0" w:firstColumn="0" w:lastColumn="0" w:oddVBand="0" w:evenVBand="0" w:oddHBand="0" w:evenHBand="1" w:firstRowFirstColumn="0" w:firstRowLastColumn="0" w:lastRowFirstColumn="0" w:lastRowLastColumn="0"/>
        </w:trPr>
        <w:tc>
          <w:tcPr>
            <w:tcW w:w="6195" w:type="dxa"/>
          </w:tcPr>
          <w:p w14:paraId="3BB98966" w14:textId="77777777" w:rsidR="00273CBD" w:rsidRPr="00273CBD" w:rsidRDefault="00273CBD" w:rsidP="006956F3">
            <w:pPr>
              <w:keepLines/>
              <w:spacing w:before="40" w:after="40" w:line="200" w:lineRule="atLeast"/>
              <w:jc w:val="both"/>
              <w:rPr>
                <w:rFonts w:asciiTheme="minorHAnsi" w:eastAsia="Times New Roman" w:hAnsiTheme="minorHAnsi"/>
                <w:iCs/>
                <w:color w:val="auto"/>
                <w:szCs w:val="17"/>
                <w:lang w:eastAsia="en-US"/>
              </w:rPr>
            </w:pPr>
            <w:r w:rsidRPr="00273CBD">
              <w:rPr>
                <w:rFonts w:asciiTheme="minorHAnsi" w:eastAsia="Times New Roman" w:hAnsiTheme="minorHAnsi"/>
                <w:iCs/>
                <w:color w:val="auto"/>
                <w:szCs w:val="17"/>
                <w:lang w:eastAsia="en-US"/>
              </w:rPr>
              <w:t>Finalise design and commence implementation of the new Solomon Islands Growth Program.</w:t>
            </w:r>
          </w:p>
        </w:tc>
        <w:tc>
          <w:tcPr>
            <w:tcW w:w="965" w:type="dxa"/>
            <w:shd w:val="clear" w:color="auto" w:fill="72AF2F"/>
          </w:tcPr>
          <w:p w14:paraId="57D8DC81" w14:textId="77777777" w:rsidR="00273CBD" w:rsidRPr="00191D7B" w:rsidRDefault="00273CBD" w:rsidP="00273CBD">
            <w:pPr>
              <w:keepLines/>
              <w:spacing w:before="40" w:after="40" w:line="200" w:lineRule="atLeast"/>
              <w:jc w:val="center"/>
              <w:rPr>
                <w:rFonts w:asciiTheme="minorHAnsi" w:eastAsia="Times New Roman" w:hAnsiTheme="minorHAnsi"/>
                <w:iCs/>
                <w:color w:val="FFFFFF" w:themeColor="background1"/>
                <w:szCs w:val="17"/>
                <w:lang w:eastAsia="en-US"/>
              </w:rPr>
            </w:pPr>
            <w:r w:rsidRPr="00191D7B">
              <w:rPr>
                <w:rFonts w:asciiTheme="minorHAnsi" w:eastAsia="Times New Roman" w:hAnsiTheme="minorHAnsi"/>
                <w:iCs/>
                <w:color w:val="FFFFFF" w:themeColor="background1"/>
                <w:szCs w:val="17"/>
              </w:rPr>
              <w:t>Achieved</w:t>
            </w:r>
            <w:r w:rsidRPr="00191D7B">
              <w:rPr>
                <w:rFonts w:eastAsia="Times New Roman"/>
                <w:iCs/>
                <w:color w:val="FFFFFF" w:themeColor="background1"/>
                <w:szCs w:val="17"/>
              </w:rPr>
              <w:fldChar w:fldCharType="begin"/>
            </w:r>
            <w:r w:rsidRPr="00191D7B">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191D7B">
              <w:rPr>
                <w:rFonts w:eastAsia="Times New Roman"/>
                <w:iCs/>
                <w:color w:val="FFFFFF" w:themeColor="background1"/>
                <w:szCs w:val="17"/>
              </w:rPr>
              <w:fldChar w:fldCharType="end"/>
            </w:r>
          </w:p>
        </w:tc>
        <w:tc>
          <w:tcPr>
            <w:tcW w:w="7188" w:type="dxa"/>
          </w:tcPr>
          <w:p w14:paraId="35902186" w14:textId="77777777" w:rsidR="00273CBD" w:rsidRPr="006956F3" w:rsidRDefault="00273CBD" w:rsidP="006956F3">
            <w:pPr>
              <w:keepLines/>
              <w:spacing w:before="40" w:after="40" w:line="200" w:lineRule="atLeast"/>
              <w:jc w:val="both"/>
              <w:rPr>
                <w:rFonts w:asciiTheme="minorHAnsi" w:eastAsia="Times New Roman" w:hAnsiTheme="minorHAnsi"/>
                <w:iCs/>
                <w:color w:val="auto"/>
                <w:szCs w:val="17"/>
              </w:rPr>
            </w:pPr>
            <w:r w:rsidRPr="00E9077D">
              <w:rPr>
                <w:rFonts w:asciiTheme="minorHAnsi" w:eastAsia="Times New Roman" w:hAnsiTheme="minorHAnsi"/>
                <w:iCs/>
                <w:color w:val="auto"/>
                <w:szCs w:val="17"/>
              </w:rPr>
              <w:t>Design was completed and implementation of growth program commenced</w:t>
            </w:r>
            <w:r w:rsidRPr="00E55B36">
              <w:rPr>
                <w:rFonts w:asciiTheme="minorHAnsi" w:eastAsia="Times New Roman" w:hAnsiTheme="minorHAnsi"/>
                <w:iCs/>
                <w:color w:val="auto"/>
                <w:szCs w:val="17"/>
              </w:rPr>
              <w:t>.</w:t>
            </w:r>
          </w:p>
        </w:tc>
      </w:tr>
      <w:tr w:rsidR="00273CBD" w:rsidRPr="00C61187" w14:paraId="5E158600" w14:textId="77777777" w:rsidTr="006956F3">
        <w:trPr>
          <w:cnfStyle w:val="000000010000" w:firstRow="0" w:lastRow="0" w:firstColumn="0" w:lastColumn="0" w:oddVBand="0" w:evenVBand="0" w:oddHBand="0" w:evenHBand="1" w:firstRowFirstColumn="0" w:firstRowLastColumn="0" w:lastRowFirstColumn="0" w:lastRowLastColumn="0"/>
        </w:trPr>
        <w:tc>
          <w:tcPr>
            <w:tcW w:w="6195" w:type="dxa"/>
          </w:tcPr>
          <w:p w14:paraId="6B040C40" w14:textId="77777777" w:rsidR="00273CBD" w:rsidRPr="00273CBD" w:rsidRDefault="00273CBD" w:rsidP="006956F3">
            <w:pPr>
              <w:keepLines/>
              <w:spacing w:before="40" w:after="40" w:line="200" w:lineRule="atLeast"/>
              <w:jc w:val="both"/>
              <w:rPr>
                <w:rFonts w:asciiTheme="minorHAnsi" w:eastAsia="Times New Roman" w:hAnsiTheme="minorHAnsi"/>
                <w:iCs/>
                <w:color w:val="auto"/>
                <w:szCs w:val="17"/>
                <w:lang w:eastAsia="en-US"/>
              </w:rPr>
            </w:pPr>
            <w:r w:rsidRPr="00273CBD">
              <w:rPr>
                <w:rFonts w:asciiTheme="minorHAnsi" w:eastAsia="Times New Roman" w:hAnsiTheme="minorHAnsi"/>
                <w:iCs/>
                <w:color w:val="auto"/>
                <w:szCs w:val="17"/>
                <w:lang w:eastAsia="en-US"/>
              </w:rPr>
              <w:t>Promote stronger engagement of government and industry in skills training through the implementation of the new Skills for Economic Growth program in order to work towards creating an industry led, demand driven training system in the Solomon Islands</w:t>
            </w:r>
          </w:p>
        </w:tc>
        <w:tc>
          <w:tcPr>
            <w:tcW w:w="965" w:type="dxa"/>
            <w:shd w:val="clear" w:color="auto" w:fill="6EA92D"/>
          </w:tcPr>
          <w:p w14:paraId="1556E392" w14:textId="77777777" w:rsidR="00273CBD" w:rsidRPr="00880004" w:rsidRDefault="00273CBD" w:rsidP="00273CBD">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7188" w:type="dxa"/>
          </w:tcPr>
          <w:p w14:paraId="4165164E" w14:textId="158DDC91" w:rsidR="00273CBD" w:rsidRPr="00E9077D" w:rsidRDefault="00273CBD" w:rsidP="004A65ED">
            <w:pPr>
              <w:keepLines/>
              <w:spacing w:before="40" w:after="40" w:line="200" w:lineRule="atLeast"/>
              <w:jc w:val="both"/>
              <w:rPr>
                <w:rFonts w:asciiTheme="minorHAnsi" w:eastAsia="Times New Roman" w:hAnsiTheme="minorHAnsi"/>
                <w:iCs/>
                <w:color w:val="auto"/>
                <w:szCs w:val="17"/>
              </w:rPr>
            </w:pPr>
            <w:r w:rsidRPr="00E9077D">
              <w:rPr>
                <w:rFonts w:asciiTheme="minorHAnsi" w:eastAsia="Times New Roman" w:hAnsiTheme="minorHAnsi"/>
                <w:iCs/>
                <w:color w:val="auto"/>
                <w:szCs w:val="17"/>
              </w:rPr>
              <w:t xml:space="preserve">Australia established mechanisms and processes for the engagement of private sector in the skills sectors: key achievements included Industry Advisory Groups, National Labour Market Analysis and </w:t>
            </w:r>
            <w:r w:rsidR="003C0DFD">
              <w:rPr>
                <w:rFonts w:asciiTheme="minorHAnsi" w:eastAsia="Times New Roman" w:hAnsiTheme="minorHAnsi"/>
                <w:iCs/>
                <w:color w:val="auto"/>
                <w:szCs w:val="17"/>
              </w:rPr>
              <w:t xml:space="preserve">support for </w:t>
            </w:r>
            <w:r w:rsidRPr="00E9077D">
              <w:rPr>
                <w:rFonts w:asciiTheme="minorHAnsi" w:eastAsia="Times New Roman" w:hAnsiTheme="minorHAnsi"/>
                <w:iCs/>
                <w:color w:val="auto"/>
                <w:szCs w:val="17"/>
              </w:rPr>
              <w:t xml:space="preserve">development of </w:t>
            </w:r>
            <w:r w:rsidR="004A65ED">
              <w:rPr>
                <w:rFonts w:asciiTheme="minorHAnsi" w:eastAsia="Times New Roman" w:hAnsiTheme="minorHAnsi"/>
                <w:iCs/>
                <w:color w:val="auto"/>
                <w:szCs w:val="17"/>
              </w:rPr>
              <w:t>SITESA</w:t>
            </w:r>
            <w:r w:rsidRPr="00E9077D">
              <w:rPr>
                <w:rFonts w:asciiTheme="minorHAnsi" w:eastAsia="Times New Roman" w:hAnsiTheme="minorHAnsi"/>
                <w:iCs/>
                <w:color w:val="auto"/>
                <w:szCs w:val="17"/>
              </w:rPr>
              <w:t xml:space="preserve"> Bill.</w:t>
            </w:r>
          </w:p>
        </w:tc>
      </w:tr>
      <w:tr w:rsidR="00273CBD" w:rsidRPr="00C61187" w14:paraId="2D9A30BD" w14:textId="77777777" w:rsidTr="006956F3">
        <w:trPr>
          <w:cnfStyle w:val="000000010000" w:firstRow="0" w:lastRow="0" w:firstColumn="0" w:lastColumn="0" w:oddVBand="0" w:evenVBand="0" w:oddHBand="0" w:evenHBand="1" w:firstRowFirstColumn="0" w:firstRowLastColumn="0" w:lastRowFirstColumn="0" w:lastRowLastColumn="0"/>
        </w:trPr>
        <w:tc>
          <w:tcPr>
            <w:tcW w:w="6195" w:type="dxa"/>
          </w:tcPr>
          <w:p w14:paraId="7AC29BC4" w14:textId="77777777" w:rsidR="00273CBD" w:rsidRPr="00273CBD" w:rsidRDefault="00273CBD" w:rsidP="006956F3">
            <w:pPr>
              <w:keepLines/>
              <w:spacing w:before="40" w:after="40" w:line="200" w:lineRule="atLeast"/>
              <w:jc w:val="both"/>
              <w:rPr>
                <w:rFonts w:asciiTheme="minorHAnsi" w:eastAsia="Times New Roman" w:hAnsiTheme="minorHAnsi"/>
                <w:iCs/>
                <w:color w:val="auto"/>
                <w:szCs w:val="17"/>
                <w:lang w:eastAsia="en-US"/>
              </w:rPr>
            </w:pPr>
            <w:r w:rsidRPr="00273CBD">
              <w:rPr>
                <w:rFonts w:asciiTheme="minorHAnsi" w:eastAsia="Times New Roman" w:hAnsiTheme="minorHAnsi"/>
                <w:iCs/>
                <w:color w:val="auto"/>
                <w:szCs w:val="17"/>
                <w:lang w:eastAsia="en-US"/>
              </w:rPr>
              <w:t>Enter a new four year funding agreement for the health sector that provides budget support and performance linked aid to improve the priority areas of primary health care, reform and innovation, and health systems strengthening.</w:t>
            </w:r>
          </w:p>
        </w:tc>
        <w:tc>
          <w:tcPr>
            <w:tcW w:w="965" w:type="dxa"/>
            <w:shd w:val="clear" w:color="auto" w:fill="6EA92D"/>
          </w:tcPr>
          <w:p w14:paraId="16DEB261" w14:textId="77777777" w:rsidR="00273CBD" w:rsidRPr="00880004" w:rsidRDefault="00273CBD" w:rsidP="00273CBD">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7188" w:type="dxa"/>
          </w:tcPr>
          <w:p w14:paraId="786DF698" w14:textId="745B520A" w:rsidR="00273CBD" w:rsidRPr="006956F3" w:rsidRDefault="00273CBD" w:rsidP="000F7BC7">
            <w:pPr>
              <w:keepLines/>
              <w:spacing w:before="40" w:after="40" w:line="200" w:lineRule="atLeast"/>
              <w:jc w:val="both"/>
              <w:rPr>
                <w:rFonts w:asciiTheme="minorHAnsi" w:eastAsia="Times New Roman" w:hAnsiTheme="minorHAnsi"/>
                <w:iCs/>
                <w:color w:val="auto"/>
                <w:szCs w:val="17"/>
              </w:rPr>
            </w:pPr>
            <w:r w:rsidRPr="00E9077D">
              <w:rPr>
                <w:rFonts w:asciiTheme="minorHAnsi" w:eastAsia="Times New Roman" w:hAnsiTheme="minorHAnsi"/>
                <w:iCs/>
                <w:color w:val="auto"/>
                <w:szCs w:val="17"/>
              </w:rPr>
              <w:t xml:space="preserve">In January 2017, Australia signed the funding agreement with </w:t>
            </w:r>
            <w:r w:rsidR="004A65ED">
              <w:rPr>
                <w:rFonts w:asciiTheme="minorHAnsi" w:eastAsia="Times New Roman" w:hAnsiTheme="minorHAnsi"/>
                <w:iCs/>
                <w:color w:val="auto"/>
                <w:szCs w:val="17"/>
              </w:rPr>
              <w:t>MHMS</w:t>
            </w:r>
            <w:r w:rsidR="003A3C85">
              <w:rPr>
                <w:rFonts w:asciiTheme="minorHAnsi" w:eastAsia="Times New Roman" w:hAnsiTheme="minorHAnsi"/>
                <w:iCs/>
                <w:color w:val="auto"/>
                <w:szCs w:val="17"/>
              </w:rPr>
              <w:t xml:space="preserve">. </w:t>
            </w:r>
            <w:r w:rsidRPr="00E9077D">
              <w:rPr>
                <w:rFonts w:asciiTheme="minorHAnsi" w:eastAsia="Times New Roman" w:hAnsiTheme="minorHAnsi"/>
                <w:iCs/>
                <w:color w:val="auto"/>
                <w:szCs w:val="17"/>
              </w:rPr>
              <w:t>The agreement includes a component of performance linked funding (up 25% of total funding) to incentivise reform and improve service delivery.</w:t>
            </w:r>
          </w:p>
        </w:tc>
      </w:tr>
      <w:tr w:rsidR="00273CBD" w:rsidRPr="00C61187" w14:paraId="5332F8FE" w14:textId="77777777" w:rsidTr="006956F3">
        <w:trPr>
          <w:cnfStyle w:val="000000010000" w:firstRow="0" w:lastRow="0" w:firstColumn="0" w:lastColumn="0" w:oddVBand="0" w:evenVBand="0" w:oddHBand="0" w:evenHBand="1" w:firstRowFirstColumn="0" w:firstRowLastColumn="0" w:lastRowFirstColumn="0" w:lastRowLastColumn="0"/>
        </w:trPr>
        <w:tc>
          <w:tcPr>
            <w:tcW w:w="6195" w:type="dxa"/>
          </w:tcPr>
          <w:p w14:paraId="0F4C7E88" w14:textId="6E674B08" w:rsidR="00273CBD" w:rsidRPr="00273CBD" w:rsidRDefault="00273CBD" w:rsidP="004A65ED">
            <w:pPr>
              <w:keepLines/>
              <w:spacing w:before="40" w:after="40" w:line="200" w:lineRule="atLeast"/>
              <w:jc w:val="both"/>
              <w:rPr>
                <w:rFonts w:asciiTheme="minorHAnsi" w:eastAsia="Times New Roman" w:hAnsiTheme="minorHAnsi"/>
                <w:iCs/>
                <w:color w:val="auto"/>
                <w:szCs w:val="17"/>
                <w:lang w:eastAsia="en-US"/>
              </w:rPr>
            </w:pPr>
            <w:r w:rsidRPr="00273CBD">
              <w:rPr>
                <w:rFonts w:asciiTheme="minorHAnsi" w:eastAsia="Times New Roman" w:hAnsiTheme="minorHAnsi"/>
                <w:iCs/>
                <w:color w:val="auto"/>
                <w:szCs w:val="17"/>
                <w:lang w:eastAsia="en-US"/>
              </w:rPr>
              <w:t xml:space="preserve">Continue to advocate with the Solomon Islands Government for the reinvigoration of the </w:t>
            </w:r>
            <w:r w:rsidR="004A65ED">
              <w:rPr>
                <w:rFonts w:asciiTheme="minorHAnsi" w:eastAsia="Times New Roman" w:hAnsiTheme="minorHAnsi"/>
                <w:iCs/>
                <w:color w:val="auto"/>
                <w:szCs w:val="17"/>
                <w:lang w:eastAsia="en-US"/>
              </w:rPr>
              <w:t>CEWG</w:t>
            </w:r>
            <w:r w:rsidRPr="00273CBD">
              <w:rPr>
                <w:rFonts w:asciiTheme="minorHAnsi" w:eastAsia="Times New Roman" w:hAnsiTheme="minorHAnsi"/>
                <w:iCs/>
                <w:color w:val="auto"/>
                <w:szCs w:val="17"/>
                <w:lang w:eastAsia="en-US"/>
              </w:rPr>
              <w:t>.</w:t>
            </w:r>
          </w:p>
        </w:tc>
        <w:tc>
          <w:tcPr>
            <w:tcW w:w="965" w:type="dxa"/>
            <w:shd w:val="clear" w:color="auto" w:fill="FF0000"/>
          </w:tcPr>
          <w:p w14:paraId="049EDFE8" w14:textId="77777777" w:rsidR="00273CBD" w:rsidRPr="00880004" w:rsidRDefault="00273CBD" w:rsidP="00273CBD">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Not achieved</w:t>
            </w:r>
          </w:p>
        </w:tc>
        <w:tc>
          <w:tcPr>
            <w:tcW w:w="7188" w:type="dxa"/>
          </w:tcPr>
          <w:p w14:paraId="5E00791B" w14:textId="55457C2E" w:rsidR="00273CBD" w:rsidRPr="006956F3" w:rsidRDefault="00273CBD" w:rsidP="006956F3">
            <w:pPr>
              <w:keepLines/>
              <w:spacing w:before="40" w:after="40" w:line="200" w:lineRule="atLeast"/>
              <w:jc w:val="both"/>
              <w:rPr>
                <w:rFonts w:asciiTheme="minorHAnsi" w:eastAsia="Times New Roman" w:hAnsiTheme="minorHAnsi"/>
                <w:iCs/>
                <w:color w:val="auto"/>
                <w:szCs w:val="17"/>
              </w:rPr>
            </w:pPr>
            <w:r w:rsidRPr="00E9077D">
              <w:rPr>
                <w:rFonts w:asciiTheme="minorHAnsi" w:eastAsia="Times New Roman" w:hAnsiTheme="minorHAnsi"/>
                <w:iCs/>
                <w:color w:val="auto"/>
                <w:szCs w:val="17"/>
              </w:rPr>
              <w:t>Australia and likeminded donors advocated for regular meetings on economic reform at both ministerial and official levels</w:t>
            </w:r>
            <w:r w:rsidR="003A3C85">
              <w:rPr>
                <w:rFonts w:asciiTheme="minorHAnsi" w:eastAsia="Times New Roman" w:hAnsiTheme="minorHAnsi"/>
                <w:iCs/>
                <w:color w:val="auto"/>
                <w:szCs w:val="17"/>
              </w:rPr>
              <w:t xml:space="preserve">.  </w:t>
            </w:r>
            <w:r w:rsidRPr="00E9077D">
              <w:rPr>
                <w:rFonts w:asciiTheme="minorHAnsi" w:eastAsia="Times New Roman" w:hAnsiTheme="minorHAnsi"/>
                <w:iCs/>
                <w:color w:val="auto"/>
                <w:szCs w:val="17"/>
              </w:rPr>
              <w:t xml:space="preserve">Despite this, the </w:t>
            </w:r>
            <w:r w:rsidR="00F156EE">
              <w:rPr>
                <w:rFonts w:asciiTheme="minorHAnsi" w:eastAsia="Times New Roman" w:hAnsiTheme="minorHAnsi"/>
                <w:iCs/>
                <w:color w:val="auto"/>
                <w:szCs w:val="17"/>
              </w:rPr>
              <w:t>CEWG</w:t>
            </w:r>
            <w:r w:rsidRPr="00E9077D">
              <w:rPr>
                <w:rFonts w:asciiTheme="minorHAnsi" w:eastAsia="Times New Roman" w:hAnsiTheme="minorHAnsi"/>
                <w:iCs/>
                <w:color w:val="auto"/>
                <w:szCs w:val="17"/>
              </w:rPr>
              <w:t xml:space="preserve"> </w:t>
            </w:r>
            <w:r w:rsidR="00F156EE">
              <w:rPr>
                <w:rFonts w:asciiTheme="minorHAnsi" w:eastAsia="Times New Roman" w:hAnsiTheme="minorHAnsi"/>
                <w:iCs/>
                <w:color w:val="auto"/>
                <w:szCs w:val="17"/>
              </w:rPr>
              <w:t>did not meet in 2016-17</w:t>
            </w:r>
            <w:r w:rsidRPr="00E9077D">
              <w:rPr>
                <w:rFonts w:asciiTheme="minorHAnsi" w:eastAsia="Times New Roman" w:hAnsiTheme="minorHAnsi"/>
                <w:iCs/>
                <w:color w:val="auto"/>
                <w:szCs w:val="17"/>
              </w:rPr>
              <w:t>.</w:t>
            </w:r>
          </w:p>
        </w:tc>
      </w:tr>
      <w:tr w:rsidR="00273CBD" w:rsidRPr="00C61187" w14:paraId="370652AA" w14:textId="77777777" w:rsidTr="006956F3">
        <w:trPr>
          <w:cnfStyle w:val="000000010000" w:firstRow="0" w:lastRow="0" w:firstColumn="0" w:lastColumn="0" w:oddVBand="0" w:evenVBand="0" w:oddHBand="0" w:evenHBand="1" w:firstRowFirstColumn="0" w:firstRowLastColumn="0" w:lastRowFirstColumn="0" w:lastRowLastColumn="0"/>
        </w:trPr>
        <w:tc>
          <w:tcPr>
            <w:tcW w:w="6195" w:type="dxa"/>
          </w:tcPr>
          <w:p w14:paraId="65870F99" w14:textId="0BB6666C" w:rsidR="00273CBD" w:rsidRPr="00273CBD" w:rsidRDefault="00273CBD" w:rsidP="004A65ED">
            <w:pPr>
              <w:keepLines/>
              <w:spacing w:before="40" w:after="40" w:line="200" w:lineRule="atLeast"/>
              <w:jc w:val="both"/>
              <w:rPr>
                <w:rFonts w:asciiTheme="minorHAnsi" w:eastAsia="Times New Roman" w:hAnsiTheme="minorHAnsi"/>
                <w:iCs/>
                <w:color w:val="auto"/>
                <w:szCs w:val="17"/>
              </w:rPr>
            </w:pPr>
            <w:r w:rsidRPr="00273CBD">
              <w:rPr>
                <w:rFonts w:asciiTheme="minorHAnsi" w:eastAsia="Times New Roman" w:hAnsiTheme="minorHAnsi"/>
                <w:iCs/>
                <w:color w:val="auto"/>
                <w:szCs w:val="17"/>
              </w:rPr>
              <w:t xml:space="preserve">Develop and implement a coordinated approach to help increase Solomon Islands’ participation in the </w:t>
            </w:r>
            <w:r w:rsidR="004A65ED">
              <w:rPr>
                <w:rFonts w:asciiTheme="minorHAnsi" w:eastAsia="Times New Roman" w:hAnsiTheme="minorHAnsi"/>
                <w:iCs/>
                <w:color w:val="auto"/>
                <w:szCs w:val="17"/>
              </w:rPr>
              <w:t>SWP</w:t>
            </w:r>
            <w:r w:rsidRPr="00273CBD">
              <w:rPr>
                <w:rFonts w:asciiTheme="minorHAnsi" w:eastAsia="Times New Roman" w:hAnsiTheme="minorHAnsi"/>
                <w:iCs/>
                <w:color w:val="auto"/>
                <w:szCs w:val="17"/>
              </w:rPr>
              <w:t>.</w:t>
            </w:r>
          </w:p>
        </w:tc>
        <w:tc>
          <w:tcPr>
            <w:tcW w:w="965" w:type="dxa"/>
            <w:shd w:val="clear" w:color="auto" w:fill="6EA92D"/>
          </w:tcPr>
          <w:p w14:paraId="096E4CEF" w14:textId="77777777" w:rsidR="00273CBD" w:rsidRPr="00191D7B" w:rsidRDefault="009D7D67" w:rsidP="00273CBD">
            <w:pPr>
              <w:keepLines/>
              <w:spacing w:before="40" w:after="40" w:line="200" w:lineRule="atLeast"/>
              <w:jc w:val="center"/>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Achieved</w:t>
            </w:r>
          </w:p>
        </w:tc>
        <w:tc>
          <w:tcPr>
            <w:tcW w:w="7188" w:type="dxa"/>
          </w:tcPr>
          <w:p w14:paraId="678A12F6" w14:textId="278A67A2" w:rsidR="00273CBD" w:rsidRPr="006956F3" w:rsidRDefault="00273CBD" w:rsidP="006956F3">
            <w:pPr>
              <w:keepLines/>
              <w:spacing w:before="40" w:after="40" w:line="200" w:lineRule="atLeast"/>
              <w:jc w:val="both"/>
              <w:rPr>
                <w:rFonts w:asciiTheme="minorHAnsi" w:eastAsia="Times New Roman" w:hAnsiTheme="minorHAnsi"/>
                <w:iCs/>
                <w:color w:val="auto"/>
                <w:szCs w:val="17"/>
              </w:rPr>
            </w:pPr>
            <w:r w:rsidRPr="00E9077D">
              <w:rPr>
                <w:rFonts w:asciiTheme="minorHAnsi" w:eastAsia="Times New Roman" w:hAnsiTheme="minorHAnsi"/>
                <w:iCs/>
                <w:color w:val="auto"/>
                <w:szCs w:val="17"/>
              </w:rPr>
              <w:t xml:space="preserve">The SWP Boost </w:t>
            </w:r>
            <w:r w:rsidR="00F156EE">
              <w:rPr>
                <w:rFonts w:asciiTheme="minorHAnsi" w:eastAsia="Times New Roman" w:hAnsiTheme="minorHAnsi"/>
                <w:iCs/>
                <w:color w:val="auto"/>
                <w:szCs w:val="17"/>
              </w:rPr>
              <w:t xml:space="preserve">program </w:t>
            </w:r>
            <w:r w:rsidRPr="00E9077D">
              <w:rPr>
                <w:rFonts w:asciiTheme="minorHAnsi" w:eastAsia="Times New Roman" w:hAnsiTheme="minorHAnsi"/>
                <w:iCs/>
                <w:color w:val="auto"/>
                <w:szCs w:val="17"/>
              </w:rPr>
              <w:t xml:space="preserve">was developed to increase the quality and preparedness of </w:t>
            </w:r>
            <w:r w:rsidR="00746CA9">
              <w:rPr>
                <w:rFonts w:asciiTheme="minorHAnsi" w:eastAsia="Times New Roman" w:hAnsiTheme="minorHAnsi"/>
                <w:iCs/>
                <w:color w:val="auto"/>
                <w:szCs w:val="17"/>
              </w:rPr>
              <w:t>SI</w:t>
            </w:r>
            <w:r w:rsidRPr="00E9077D">
              <w:rPr>
                <w:rFonts w:asciiTheme="minorHAnsi" w:eastAsia="Times New Roman" w:hAnsiTheme="minorHAnsi"/>
                <w:iCs/>
                <w:color w:val="auto"/>
                <w:szCs w:val="17"/>
              </w:rPr>
              <w:t xml:space="preserve"> workers</w:t>
            </w:r>
            <w:r w:rsidR="00746CA9">
              <w:rPr>
                <w:rFonts w:asciiTheme="minorHAnsi" w:eastAsia="Times New Roman" w:hAnsiTheme="minorHAnsi"/>
                <w:iCs/>
                <w:color w:val="auto"/>
                <w:szCs w:val="17"/>
              </w:rPr>
              <w:t xml:space="preserve"> and complement existing regional support</w:t>
            </w:r>
            <w:r w:rsidR="003A3C85">
              <w:rPr>
                <w:rFonts w:asciiTheme="minorHAnsi" w:eastAsia="Times New Roman" w:hAnsiTheme="minorHAnsi"/>
                <w:iCs/>
                <w:color w:val="auto"/>
                <w:szCs w:val="17"/>
              </w:rPr>
              <w:t xml:space="preserve">.  </w:t>
            </w:r>
            <w:r w:rsidR="009D7D67">
              <w:rPr>
                <w:rFonts w:asciiTheme="minorHAnsi" w:eastAsia="Times New Roman" w:hAnsiTheme="minorHAnsi"/>
                <w:iCs/>
                <w:color w:val="auto"/>
                <w:szCs w:val="17"/>
              </w:rPr>
              <w:t>A</w:t>
            </w:r>
            <w:r w:rsidRPr="00E9077D">
              <w:rPr>
                <w:rFonts w:asciiTheme="minorHAnsi" w:eastAsia="Times New Roman" w:hAnsiTheme="minorHAnsi"/>
                <w:iCs/>
                <w:color w:val="auto"/>
                <w:szCs w:val="17"/>
              </w:rPr>
              <w:t xml:space="preserve"> local private sector company was contracted </w:t>
            </w:r>
            <w:r w:rsidR="00F156EE">
              <w:rPr>
                <w:rFonts w:asciiTheme="minorHAnsi" w:eastAsia="Times New Roman" w:hAnsiTheme="minorHAnsi"/>
                <w:iCs/>
                <w:color w:val="auto"/>
                <w:szCs w:val="17"/>
              </w:rPr>
              <w:t>in June</w:t>
            </w:r>
            <w:r w:rsidR="009D7D67">
              <w:rPr>
                <w:rFonts w:asciiTheme="minorHAnsi" w:eastAsia="Times New Roman" w:hAnsiTheme="minorHAnsi"/>
                <w:iCs/>
                <w:color w:val="auto"/>
                <w:szCs w:val="17"/>
              </w:rPr>
              <w:t>.</w:t>
            </w:r>
          </w:p>
        </w:tc>
      </w:tr>
      <w:tr w:rsidR="00273CBD" w:rsidRPr="00C61187" w14:paraId="522FE2F1" w14:textId="77777777" w:rsidTr="006956F3">
        <w:trPr>
          <w:cnfStyle w:val="000000010000" w:firstRow="0" w:lastRow="0" w:firstColumn="0" w:lastColumn="0" w:oddVBand="0" w:evenVBand="0" w:oddHBand="0" w:evenHBand="1" w:firstRowFirstColumn="0" w:firstRowLastColumn="0" w:lastRowFirstColumn="0" w:lastRowLastColumn="0"/>
        </w:trPr>
        <w:tc>
          <w:tcPr>
            <w:tcW w:w="6195" w:type="dxa"/>
          </w:tcPr>
          <w:p w14:paraId="089E21CC" w14:textId="77777777" w:rsidR="00273CBD" w:rsidRPr="00273CBD" w:rsidRDefault="00273CBD" w:rsidP="006956F3">
            <w:pPr>
              <w:keepLines/>
              <w:spacing w:before="40" w:after="40" w:line="200" w:lineRule="atLeast"/>
              <w:jc w:val="both"/>
              <w:rPr>
                <w:rFonts w:asciiTheme="minorHAnsi" w:eastAsia="Times New Roman" w:hAnsiTheme="minorHAnsi"/>
                <w:iCs/>
                <w:color w:val="auto"/>
                <w:szCs w:val="17"/>
              </w:rPr>
            </w:pPr>
            <w:r w:rsidRPr="00273CBD">
              <w:rPr>
                <w:rFonts w:asciiTheme="minorHAnsi" w:eastAsia="Times New Roman" w:hAnsiTheme="minorHAnsi"/>
                <w:iCs/>
                <w:color w:val="auto"/>
                <w:szCs w:val="17"/>
              </w:rPr>
              <w:t>Integrate climate change and resilience considerations into program management.</w:t>
            </w:r>
          </w:p>
        </w:tc>
        <w:tc>
          <w:tcPr>
            <w:tcW w:w="965" w:type="dxa"/>
            <w:shd w:val="clear" w:color="auto" w:fill="EA8F16"/>
          </w:tcPr>
          <w:p w14:paraId="35834103" w14:textId="77777777" w:rsidR="00273CBD" w:rsidRPr="00FD214B" w:rsidRDefault="00273CBD" w:rsidP="00273CBD">
            <w:pPr>
              <w:keepLines/>
              <w:spacing w:before="40" w:after="40" w:line="200" w:lineRule="atLeast"/>
              <w:jc w:val="center"/>
              <w:rPr>
                <w:rFonts w:asciiTheme="minorHAnsi" w:eastAsia="Times New Roman" w:hAnsiTheme="minorHAnsi"/>
                <w:iCs/>
                <w:color w:val="FFFFFF" w:themeColor="background1"/>
                <w:sz w:val="16"/>
                <w:szCs w:val="16"/>
              </w:rPr>
            </w:pPr>
            <w:r w:rsidRPr="00FD214B">
              <w:rPr>
                <w:rFonts w:asciiTheme="minorHAnsi" w:eastAsia="Times New Roman" w:hAnsiTheme="minorHAnsi"/>
                <w:iCs/>
                <w:color w:val="FFFFFF" w:themeColor="background1"/>
                <w:sz w:val="16"/>
                <w:szCs w:val="16"/>
              </w:rPr>
              <w:t>Partially achieved</w:t>
            </w:r>
          </w:p>
        </w:tc>
        <w:tc>
          <w:tcPr>
            <w:tcW w:w="7188" w:type="dxa"/>
          </w:tcPr>
          <w:p w14:paraId="0761E8E2" w14:textId="0998FF53" w:rsidR="00273CBD" w:rsidRPr="006956F3" w:rsidRDefault="00CF3591" w:rsidP="002876C0">
            <w:pPr>
              <w:keepLines/>
              <w:spacing w:before="40" w:after="40" w:line="200" w:lineRule="atLeast"/>
              <w:jc w:val="both"/>
              <w:rPr>
                <w:rFonts w:asciiTheme="minorHAnsi" w:eastAsia="Times New Roman" w:hAnsiTheme="minorHAnsi"/>
                <w:iCs/>
                <w:color w:val="auto"/>
                <w:szCs w:val="17"/>
              </w:rPr>
            </w:pPr>
            <w:r w:rsidRPr="00EE0700">
              <w:rPr>
                <w:rFonts w:asciiTheme="minorHAnsi" w:eastAsia="Times New Roman" w:hAnsiTheme="minorHAnsi"/>
                <w:iCs/>
                <w:color w:val="auto"/>
                <w:szCs w:val="17"/>
              </w:rPr>
              <w:t xml:space="preserve">With the support of the interim Pacific climate change support unit, Post identified a $35m contribution to Australia’s climate finance spend </w:t>
            </w:r>
            <w:r w:rsidR="004A6C05" w:rsidRPr="00EE0700">
              <w:rPr>
                <w:rFonts w:asciiTheme="minorHAnsi" w:eastAsia="Times New Roman" w:hAnsiTheme="minorHAnsi"/>
                <w:iCs/>
                <w:color w:val="auto"/>
                <w:szCs w:val="17"/>
              </w:rPr>
              <w:t>across 10</w:t>
            </w:r>
            <w:r w:rsidRPr="00EE0700">
              <w:rPr>
                <w:rFonts w:asciiTheme="minorHAnsi" w:eastAsia="Times New Roman" w:hAnsiTheme="minorHAnsi"/>
                <w:iCs/>
                <w:color w:val="auto"/>
                <w:szCs w:val="17"/>
              </w:rPr>
              <w:t xml:space="preserve"> </w:t>
            </w:r>
            <w:r w:rsidR="00713FD8">
              <w:rPr>
                <w:rFonts w:asciiTheme="minorHAnsi" w:eastAsia="Times New Roman" w:hAnsiTheme="minorHAnsi"/>
                <w:iCs/>
                <w:color w:val="auto"/>
                <w:szCs w:val="17"/>
              </w:rPr>
              <w:t>investments</w:t>
            </w:r>
            <w:r w:rsidR="00713FD8" w:rsidRPr="00EE0700">
              <w:rPr>
                <w:rFonts w:asciiTheme="minorHAnsi" w:eastAsia="Times New Roman" w:hAnsiTheme="minorHAnsi"/>
                <w:iCs/>
                <w:color w:val="auto"/>
                <w:szCs w:val="17"/>
              </w:rPr>
              <w:t xml:space="preserve"> </w:t>
            </w:r>
            <w:r w:rsidRPr="00EE0700">
              <w:rPr>
                <w:rFonts w:asciiTheme="minorHAnsi" w:eastAsia="Times New Roman" w:hAnsiTheme="minorHAnsi"/>
                <w:iCs/>
                <w:color w:val="auto"/>
                <w:szCs w:val="17"/>
              </w:rPr>
              <w:t>over 2016-2019</w:t>
            </w:r>
            <w:r w:rsidR="003A3C85">
              <w:rPr>
                <w:rFonts w:asciiTheme="minorHAnsi" w:eastAsia="Times New Roman" w:hAnsiTheme="minorHAnsi"/>
                <w:iCs/>
                <w:color w:val="auto"/>
                <w:szCs w:val="17"/>
              </w:rPr>
              <w:t xml:space="preserve">.  </w:t>
            </w:r>
            <w:r w:rsidR="004A6C05" w:rsidRPr="00EE0700">
              <w:rPr>
                <w:rFonts w:asciiTheme="minorHAnsi" w:eastAsia="Times New Roman" w:hAnsiTheme="minorHAnsi"/>
                <w:iCs/>
                <w:color w:val="auto"/>
                <w:szCs w:val="17"/>
              </w:rPr>
              <w:t>Tina River that is the largest Australian aid funded project in the Pacific with climate change as its primary objective.</w:t>
            </w:r>
          </w:p>
        </w:tc>
      </w:tr>
      <w:tr w:rsidR="00273CBD" w:rsidRPr="00C61187" w14:paraId="12F8A5A7" w14:textId="77777777" w:rsidTr="006956F3">
        <w:trPr>
          <w:cnfStyle w:val="000000010000" w:firstRow="0" w:lastRow="0" w:firstColumn="0" w:lastColumn="0" w:oddVBand="0" w:evenVBand="0" w:oddHBand="0" w:evenHBand="1" w:firstRowFirstColumn="0" w:firstRowLastColumn="0" w:lastRowFirstColumn="0" w:lastRowLastColumn="0"/>
        </w:trPr>
        <w:tc>
          <w:tcPr>
            <w:tcW w:w="6195" w:type="dxa"/>
          </w:tcPr>
          <w:p w14:paraId="12222446" w14:textId="365129C9" w:rsidR="00273CBD" w:rsidRPr="00273CBD" w:rsidRDefault="00273CBD" w:rsidP="004A65ED">
            <w:pPr>
              <w:keepLines/>
              <w:spacing w:before="40" w:after="40" w:line="200" w:lineRule="atLeast"/>
              <w:jc w:val="both"/>
              <w:rPr>
                <w:rFonts w:asciiTheme="minorHAnsi" w:eastAsia="Times New Roman" w:hAnsiTheme="minorHAnsi"/>
                <w:iCs/>
                <w:color w:val="auto"/>
                <w:szCs w:val="17"/>
              </w:rPr>
            </w:pPr>
            <w:r w:rsidRPr="00273CBD">
              <w:rPr>
                <w:rFonts w:asciiTheme="minorHAnsi" w:eastAsia="Times New Roman" w:hAnsiTheme="minorHAnsi"/>
                <w:iCs/>
                <w:color w:val="auto"/>
                <w:szCs w:val="17"/>
              </w:rPr>
              <w:t xml:space="preserve">Continue focus on promoting gender equality, including through training for staff, in order to achieve the target that 80 per cent of programs achieving gender equality ratings of 4 or above in the next round of </w:t>
            </w:r>
            <w:r w:rsidR="004A65ED">
              <w:rPr>
                <w:rFonts w:asciiTheme="minorHAnsi" w:eastAsia="Times New Roman" w:hAnsiTheme="minorHAnsi"/>
                <w:iCs/>
                <w:color w:val="auto"/>
                <w:szCs w:val="17"/>
              </w:rPr>
              <w:t>AQC</w:t>
            </w:r>
            <w:r w:rsidRPr="00273CBD">
              <w:rPr>
                <w:rFonts w:asciiTheme="minorHAnsi" w:eastAsia="Times New Roman" w:hAnsiTheme="minorHAnsi"/>
                <w:iCs/>
                <w:color w:val="auto"/>
                <w:szCs w:val="17"/>
              </w:rPr>
              <w:t>.</w:t>
            </w:r>
          </w:p>
        </w:tc>
        <w:tc>
          <w:tcPr>
            <w:tcW w:w="965" w:type="dxa"/>
            <w:shd w:val="clear" w:color="auto" w:fill="EA8F16"/>
          </w:tcPr>
          <w:p w14:paraId="42D65A69" w14:textId="77777777" w:rsidR="00273CBD" w:rsidRPr="00191D7B" w:rsidRDefault="00273CBD" w:rsidP="00273CBD">
            <w:pPr>
              <w:keepLines/>
              <w:spacing w:before="40" w:after="40" w:line="200" w:lineRule="atLeast"/>
              <w:jc w:val="center"/>
              <w:rPr>
                <w:rFonts w:asciiTheme="minorHAnsi" w:eastAsia="Times New Roman" w:hAnsiTheme="minorHAnsi"/>
                <w:iCs/>
                <w:color w:val="FFFFFF" w:themeColor="background1"/>
                <w:szCs w:val="17"/>
              </w:rPr>
            </w:pPr>
            <w:r w:rsidRPr="00191D7B">
              <w:rPr>
                <w:rFonts w:asciiTheme="minorHAnsi" w:eastAsia="Times New Roman" w:hAnsiTheme="minorHAnsi"/>
                <w:iCs/>
                <w:color w:val="FFFFFF" w:themeColor="background1"/>
                <w:szCs w:val="17"/>
              </w:rPr>
              <w:t>Partially achieved</w:t>
            </w:r>
          </w:p>
        </w:tc>
        <w:tc>
          <w:tcPr>
            <w:tcW w:w="7188" w:type="dxa"/>
          </w:tcPr>
          <w:p w14:paraId="345744D6" w14:textId="6FC17ECB" w:rsidR="00273CBD" w:rsidRPr="006956F3" w:rsidRDefault="00273CBD" w:rsidP="006956F3">
            <w:pPr>
              <w:keepLines/>
              <w:spacing w:before="40" w:after="40" w:line="200" w:lineRule="atLeast"/>
              <w:jc w:val="both"/>
              <w:rPr>
                <w:rFonts w:asciiTheme="minorHAnsi" w:eastAsia="Times New Roman" w:hAnsiTheme="minorHAnsi"/>
                <w:iCs/>
                <w:color w:val="auto"/>
                <w:szCs w:val="17"/>
              </w:rPr>
            </w:pPr>
            <w:r w:rsidRPr="00E9077D">
              <w:rPr>
                <w:rFonts w:asciiTheme="minorHAnsi" w:eastAsia="Times New Roman" w:hAnsiTheme="minorHAnsi"/>
                <w:iCs/>
                <w:color w:val="auto"/>
                <w:szCs w:val="17"/>
              </w:rPr>
              <w:t>The majority of current investments (87.5 per cent) received a satisfactory gender rating</w:t>
            </w:r>
            <w:r w:rsidR="003A3C85">
              <w:rPr>
                <w:rFonts w:asciiTheme="minorHAnsi" w:eastAsia="Times New Roman" w:hAnsiTheme="minorHAnsi"/>
                <w:iCs/>
                <w:color w:val="auto"/>
                <w:szCs w:val="17"/>
              </w:rPr>
              <w:t xml:space="preserve">.  </w:t>
            </w:r>
            <w:r w:rsidRPr="00E9077D">
              <w:rPr>
                <w:rFonts w:asciiTheme="minorHAnsi" w:eastAsia="Times New Roman" w:hAnsiTheme="minorHAnsi"/>
                <w:iCs/>
                <w:color w:val="auto"/>
                <w:szCs w:val="17"/>
              </w:rPr>
              <w:t>However, only 43</w:t>
            </w:r>
            <w:r w:rsidR="00F156EE">
              <w:rPr>
                <w:rFonts w:asciiTheme="minorHAnsi" w:eastAsia="Times New Roman" w:hAnsiTheme="minorHAnsi"/>
                <w:iCs/>
                <w:color w:val="auto"/>
                <w:szCs w:val="17"/>
              </w:rPr>
              <w:t xml:space="preserve"> per cent </w:t>
            </w:r>
            <w:r w:rsidRPr="00E9077D">
              <w:rPr>
                <w:rFonts w:asciiTheme="minorHAnsi" w:eastAsia="Times New Roman" w:hAnsiTheme="minorHAnsi"/>
                <w:iCs/>
                <w:color w:val="auto"/>
                <w:szCs w:val="17"/>
              </w:rPr>
              <w:t>of completed investments received a satisfactory rating</w:t>
            </w:r>
            <w:r w:rsidR="00F156EE">
              <w:rPr>
                <w:rFonts w:asciiTheme="minorHAnsi" w:eastAsia="Times New Roman" w:hAnsiTheme="minorHAnsi"/>
                <w:iCs/>
                <w:color w:val="auto"/>
                <w:szCs w:val="17"/>
              </w:rPr>
              <w:t xml:space="preserve"> and therefore </w:t>
            </w:r>
            <w:r w:rsidRPr="00E9077D">
              <w:rPr>
                <w:rFonts w:asciiTheme="minorHAnsi" w:eastAsia="Times New Roman" w:hAnsiTheme="minorHAnsi"/>
                <w:iCs/>
                <w:color w:val="auto"/>
                <w:szCs w:val="17"/>
              </w:rPr>
              <w:t xml:space="preserve">the </w:t>
            </w:r>
            <w:r w:rsidR="00F156EE">
              <w:rPr>
                <w:rFonts w:asciiTheme="minorHAnsi" w:eastAsia="Times New Roman" w:hAnsiTheme="minorHAnsi"/>
                <w:iCs/>
                <w:color w:val="auto"/>
                <w:szCs w:val="17"/>
              </w:rPr>
              <w:t xml:space="preserve">overall </w:t>
            </w:r>
            <w:r w:rsidRPr="00E9077D">
              <w:rPr>
                <w:rFonts w:asciiTheme="minorHAnsi" w:eastAsia="Times New Roman" w:hAnsiTheme="minorHAnsi"/>
                <w:iCs/>
                <w:color w:val="auto"/>
                <w:szCs w:val="17"/>
              </w:rPr>
              <w:t>target</w:t>
            </w:r>
            <w:r w:rsidR="00F156EE">
              <w:rPr>
                <w:rFonts w:asciiTheme="minorHAnsi" w:eastAsia="Times New Roman" w:hAnsiTheme="minorHAnsi"/>
                <w:iCs/>
                <w:color w:val="auto"/>
                <w:szCs w:val="17"/>
              </w:rPr>
              <w:t xml:space="preserve"> (both AQC and FAQCs)</w:t>
            </w:r>
            <w:r w:rsidRPr="00E9077D">
              <w:rPr>
                <w:rFonts w:asciiTheme="minorHAnsi" w:eastAsia="Times New Roman" w:hAnsiTheme="minorHAnsi"/>
                <w:iCs/>
                <w:color w:val="auto"/>
                <w:szCs w:val="17"/>
              </w:rPr>
              <w:t xml:space="preserve"> of eighty per cent</w:t>
            </w:r>
            <w:r w:rsidR="00F156EE">
              <w:rPr>
                <w:rFonts w:asciiTheme="minorHAnsi" w:eastAsia="Times New Roman" w:hAnsiTheme="minorHAnsi"/>
                <w:iCs/>
                <w:color w:val="auto"/>
                <w:szCs w:val="17"/>
              </w:rPr>
              <w:t xml:space="preserve"> of investment rated satisfactory was not achieved</w:t>
            </w:r>
            <w:r w:rsidRPr="00E9077D">
              <w:rPr>
                <w:rFonts w:asciiTheme="minorHAnsi" w:eastAsia="Times New Roman" w:hAnsiTheme="minorHAnsi"/>
                <w:iCs/>
                <w:color w:val="auto"/>
                <w:szCs w:val="17"/>
              </w:rPr>
              <w:t>.</w:t>
            </w:r>
          </w:p>
        </w:tc>
      </w:tr>
      <w:tr w:rsidR="00273CBD" w:rsidRPr="00C61187" w14:paraId="7387AF3A" w14:textId="77777777" w:rsidTr="006956F3">
        <w:trPr>
          <w:cnfStyle w:val="000000010000" w:firstRow="0" w:lastRow="0" w:firstColumn="0" w:lastColumn="0" w:oddVBand="0" w:evenVBand="0" w:oddHBand="0" w:evenHBand="1" w:firstRowFirstColumn="0" w:firstRowLastColumn="0" w:lastRowFirstColumn="0" w:lastRowLastColumn="0"/>
        </w:trPr>
        <w:tc>
          <w:tcPr>
            <w:tcW w:w="6195" w:type="dxa"/>
          </w:tcPr>
          <w:p w14:paraId="67F7BE53" w14:textId="77777777" w:rsidR="00273CBD" w:rsidRPr="00273CBD" w:rsidRDefault="00273CBD" w:rsidP="006956F3">
            <w:pPr>
              <w:keepLines/>
              <w:spacing w:before="40" w:after="40" w:line="200" w:lineRule="atLeast"/>
              <w:jc w:val="both"/>
              <w:rPr>
                <w:rFonts w:asciiTheme="minorHAnsi" w:eastAsia="Times New Roman" w:hAnsiTheme="minorHAnsi"/>
                <w:iCs/>
                <w:color w:val="auto"/>
                <w:szCs w:val="17"/>
              </w:rPr>
            </w:pPr>
            <w:r w:rsidRPr="00273CBD">
              <w:rPr>
                <w:rFonts w:asciiTheme="minorHAnsi" w:eastAsia="Times New Roman" w:hAnsiTheme="minorHAnsi"/>
                <w:iCs/>
                <w:color w:val="auto"/>
                <w:szCs w:val="17"/>
              </w:rPr>
              <w:t>Ensure aid program modalities are aligned with DFAT’s human resourcing envelope.</w:t>
            </w:r>
          </w:p>
        </w:tc>
        <w:tc>
          <w:tcPr>
            <w:tcW w:w="965" w:type="dxa"/>
            <w:shd w:val="clear" w:color="auto" w:fill="6EA92D"/>
          </w:tcPr>
          <w:p w14:paraId="264D5B02" w14:textId="77777777" w:rsidR="00273CBD" w:rsidRPr="00191D7B" w:rsidRDefault="00273CBD" w:rsidP="00273CBD">
            <w:pPr>
              <w:keepLines/>
              <w:spacing w:before="40" w:after="40" w:line="200" w:lineRule="atLeast"/>
              <w:jc w:val="center"/>
              <w:rPr>
                <w:rFonts w:asciiTheme="minorHAnsi" w:eastAsia="Times New Roman" w:hAnsiTheme="minorHAnsi"/>
                <w:iCs/>
                <w:color w:val="FFFFFF" w:themeColor="background1"/>
                <w:szCs w:val="17"/>
              </w:rPr>
            </w:pPr>
            <w:r w:rsidRPr="00191D7B">
              <w:rPr>
                <w:rFonts w:asciiTheme="minorHAnsi" w:eastAsia="Times New Roman" w:hAnsiTheme="minorHAnsi"/>
                <w:iCs/>
                <w:color w:val="FFFFFF" w:themeColor="background1"/>
                <w:szCs w:val="17"/>
              </w:rPr>
              <w:t>Achieved</w:t>
            </w:r>
          </w:p>
        </w:tc>
        <w:tc>
          <w:tcPr>
            <w:tcW w:w="7188" w:type="dxa"/>
          </w:tcPr>
          <w:p w14:paraId="00A921F0" w14:textId="029DB923" w:rsidR="00273CBD" w:rsidRPr="006956F3" w:rsidRDefault="00F156EE" w:rsidP="006956F3">
            <w:pPr>
              <w:keepLines/>
              <w:spacing w:before="40" w:after="40" w:line="200" w:lineRule="atLeast"/>
              <w:jc w:val="both"/>
              <w:rPr>
                <w:rFonts w:asciiTheme="minorHAnsi" w:eastAsia="Times New Roman" w:hAnsiTheme="minorHAnsi"/>
                <w:iCs/>
                <w:color w:val="auto"/>
                <w:szCs w:val="17"/>
              </w:rPr>
            </w:pPr>
            <w:r w:rsidRPr="00E9077D">
              <w:rPr>
                <w:rFonts w:asciiTheme="minorHAnsi" w:eastAsia="Times New Roman" w:hAnsiTheme="minorHAnsi"/>
                <w:iCs/>
                <w:color w:val="auto"/>
                <w:szCs w:val="17"/>
              </w:rPr>
              <w:t xml:space="preserve">100% of investments </w:t>
            </w:r>
            <w:r>
              <w:rPr>
                <w:rFonts w:asciiTheme="minorHAnsi" w:eastAsia="Times New Roman" w:hAnsiTheme="minorHAnsi"/>
                <w:iCs/>
                <w:color w:val="auto"/>
                <w:szCs w:val="17"/>
              </w:rPr>
              <w:t>were rated</w:t>
            </w:r>
            <w:r w:rsidRPr="00E9077D">
              <w:rPr>
                <w:rFonts w:asciiTheme="minorHAnsi" w:eastAsia="Times New Roman" w:hAnsiTheme="minorHAnsi"/>
                <w:iCs/>
                <w:color w:val="auto"/>
                <w:szCs w:val="17"/>
              </w:rPr>
              <w:t xml:space="preserve"> satisfactory</w:t>
            </w:r>
            <w:r>
              <w:rPr>
                <w:rFonts w:asciiTheme="minorHAnsi" w:eastAsia="Times New Roman" w:hAnsiTheme="minorHAnsi"/>
                <w:iCs/>
                <w:color w:val="auto"/>
                <w:szCs w:val="17"/>
              </w:rPr>
              <w:t xml:space="preserve"> for </w:t>
            </w:r>
            <w:r w:rsidRPr="00E9077D">
              <w:rPr>
                <w:rFonts w:asciiTheme="minorHAnsi" w:eastAsia="Times New Roman" w:hAnsiTheme="minorHAnsi"/>
                <w:iCs/>
                <w:color w:val="auto"/>
                <w:szCs w:val="17"/>
              </w:rPr>
              <w:t>appropriateness of modality</w:t>
            </w:r>
            <w:r w:rsidR="003A3C85">
              <w:rPr>
                <w:rFonts w:asciiTheme="minorHAnsi" w:eastAsia="Times New Roman" w:hAnsiTheme="minorHAnsi"/>
                <w:iCs/>
                <w:color w:val="auto"/>
                <w:szCs w:val="17"/>
              </w:rPr>
              <w:t xml:space="preserve">.  </w:t>
            </w:r>
            <w:r>
              <w:rPr>
                <w:rFonts w:asciiTheme="minorHAnsi" w:eastAsia="Times New Roman" w:hAnsiTheme="minorHAnsi"/>
                <w:iCs/>
                <w:color w:val="auto"/>
                <w:szCs w:val="17"/>
              </w:rPr>
              <w:t xml:space="preserve">A </w:t>
            </w:r>
            <w:r w:rsidR="00273CBD" w:rsidRPr="00E9077D">
              <w:rPr>
                <w:rFonts w:asciiTheme="minorHAnsi" w:eastAsia="Times New Roman" w:hAnsiTheme="minorHAnsi"/>
                <w:iCs/>
                <w:color w:val="auto"/>
                <w:szCs w:val="17"/>
              </w:rPr>
              <w:t>managing contractor</w:t>
            </w:r>
            <w:r w:rsidR="00C96877">
              <w:rPr>
                <w:rFonts w:asciiTheme="minorHAnsi" w:eastAsia="Times New Roman" w:hAnsiTheme="minorHAnsi"/>
                <w:iCs/>
                <w:color w:val="auto"/>
                <w:szCs w:val="17"/>
              </w:rPr>
              <w:t xml:space="preserve">, </w:t>
            </w:r>
            <w:r w:rsidR="009D7D67">
              <w:rPr>
                <w:rFonts w:asciiTheme="minorHAnsi" w:eastAsia="Times New Roman" w:hAnsiTheme="minorHAnsi"/>
                <w:iCs/>
                <w:color w:val="auto"/>
                <w:szCs w:val="17"/>
              </w:rPr>
              <w:t>managed</w:t>
            </w:r>
            <w:r w:rsidR="00273CBD" w:rsidRPr="00E9077D">
              <w:rPr>
                <w:rFonts w:asciiTheme="minorHAnsi" w:eastAsia="Times New Roman" w:hAnsiTheme="minorHAnsi"/>
                <w:iCs/>
                <w:color w:val="auto"/>
                <w:szCs w:val="17"/>
              </w:rPr>
              <w:t xml:space="preserve"> </w:t>
            </w:r>
            <w:r>
              <w:rPr>
                <w:rFonts w:asciiTheme="minorHAnsi" w:eastAsia="Times New Roman" w:hAnsiTheme="minorHAnsi"/>
                <w:iCs/>
                <w:color w:val="auto"/>
                <w:szCs w:val="17"/>
              </w:rPr>
              <w:t>advisor</w:t>
            </w:r>
            <w:r w:rsidR="00CD524E">
              <w:rPr>
                <w:rFonts w:asciiTheme="minorHAnsi" w:eastAsia="Times New Roman" w:hAnsiTheme="minorHAnsi"/>
                <w:iCs/>
                <w:color w:val="auto"/>
                <w:szCs w:val="17"/>
              </w:rPr>
              <w:t>s</w:t>
            </w:r>
            <w:r w:rsidR="009D7D67">
              <w:rPr>
                <w:rFonts w:asciiTheme="minorHAnsi" w:eastAsia="Times New Roman" w:hAnsiTheme="minorHAnsi"/>
                <w:iCs/>
                <w:color w:val="auto"/>
                <w:szCs w:val="17"/>
              </w:rPr>
              <w:t xml:space="preserve"> for</w:t>
            </w:r>
            <w:r w:rsidR="00CD524E" w:rsidRPr="00E55B36">
              <w:rPr>
                <w:rFonts w:asciiTheme="minorHAnsi" w:eastAsia="Times New Roman" w:hAnsiTheme="minorHAnsi"/>
                <w:iCs/>
                <w:color w:val="auto"/>
                <w:szCs w:val="17"/>
              </w:rPr>
              <w:t xml:space="preserve"> </w:t>
            </w:r>
            <w:r w:rsidR="00C96877" w:rsidRPr="00E55B36">
              <w:rPr>
                <w:rFonts w:asciiTheme="minorHAnsi" w:eastAsia="Times New Roman" w:hAnsiTheme="minorHAnsi"/>
                <w:iCs/>
                <w:color w:val="auto"/>
                <w:szCs w:val="17"/>
              </w:rPr>
              <w:t>14</w:t>
            </w:r>
            <w:r w:rsidRPr="00E55B36">
              <w:rPr>
                <w:rFonts w:asciiTheme="minorHAnsi" w:eastAsia="Times New Roman" w:hAnsiTheme="minorHAnsi"/>
                <w:iCs/>
                <w:color w:val="auto"/>
                <w:szCs w:val="17"/>
              </w:rPr>
              <w:t xml:space="preserve"> </w:t>
            </w:r>
            <w:r w:rsidR="00273CBD" w:rsidRPr="00E9077D">
              <w:rPr>
                <w:rFonts w:asciiTheme="minorHAnsi" w:eastAsia="Times New Roman" w:hAnsiTheme="minorHAnsi"/>
                <w:iCs/>
                <w:color w:val="auto"/>
                <w:szCs w:val="17"/>
              </w:rPr>
              <w:t>investments and reduced overall transactional costs across the program.</w:t>
            </w:r>
          </w:p>
        </w:tc>
      </w:tr>
      <w:tr w:rsidR="00273CBD" w:rsidRPr="00C61187" w14:paraId="22E0ABCF" w14:textId="77777777" w:rsidTr="006956F3">
        <w:trPr>
          <w:cnfStyle w:val="000000010000" w:firstRow="0" w:lastRow="0" w:firstColumn="0" w:lastColumn="0" w:oddVBand="0" w:evenVBand="0" w:oddHBand="0" w:evenHBand="1" w:firstRowFirstColumn="0" w:firstRowLastColumn="0" w:lastRowFirstColumn="0" w:lastRowLastColumn="0"/>
        </w:trPr>
        <w:tc>
          <w:tcPr>
            <w:tcW w:w="6195" w:type="dxa"/>
          </w:tcPr>
          <w:p w14:paraId="375A495F" w14:textId="77777777" w:rsidR="00273CBD" w:rsidRPr="00273CBD" w:rsidRDefault="00273CBD" w:rsidP="006956F3">
            <w:pPr>
              <w:keepLines/>
              <w:spacing w:before="40" w:after="40" w:line="200" w:lineRule="atLeast"/>
              <w:jc w:val="both"/>
              <w:rPr>
                <w:rFonts w:asciiTheme="minorHAnsi" w:eastAsia="Times New Roman" w:hAnsiTheme="minorHAnsi"/>
                <w:iCs/>
                <w:color w:val="auto"/>
                <w:szCs w:val="17"/>
              </w:rPr>
            </w:pPr>
            <w:r w:rsidRPr="00273CBD">
              <w:rPr>
                <w:rFonts w:asciiTheme="minorHAnsi" w:eastAsia="Times New Roman" w:hAnsiTheme="minorHAnsi"/>
                <w:iCs/>
                <w:color w:val="auto"/>
                <w:szCs w:val="17"/>
              </w:rPr>
              <w:t>Develop and finalise the Solomon Islands – Australia Aid Partnership Agreement, to reflect shared policy priorities and agreed areas of mutual accountability.</w:t>
            </w:r>
          </w:p>
        </w:tc>
        <w:tc>
          <w:tcPr>
            <w:tcW w:w="965" w:type="dxa"/>
            <w:shd w:val="clear" w:color="auto" w:fill="6EA92D"/>
          </w:tcPr>
          <w:p w14:paraId="1DBD85EC" w14:textId="77777777" w:rsidR="00273CBD" w:rsidRPr="00191D7B" w:rsidRDefault="00273CBD" w:rsidP="00273CBD">
            <w:pPr>
              <w:keepLines/>
              <w:spacing w:before="40" w:after="40" w:line="200" w:lineRule="atLeast"/>
              <w:jc w:val="center"/>
              <w:rPr>
                <w:rFonts w:asciiTheme="minorHAnsi" w:eastAsia="Times New Roman" w:hAnsiTheme="minorHAnsi"/>
                <w:iCs/>
                <w:color w:val="FFFFFF" w:themeColor="background1"/>
                <w:szCs w:val="17"/>
              </w:rPr>
            </w:pPr>
            <w:r w:rsidRPr="00191D7B">
              <w:rPr>
                <w:rFonts w:asciiTheme="minorHAnsi" w:eastAsia="Times New Roman" w:hAnsiTheme="minorHAnsi"/>
                <w:iCs/>
                <w:color w:val="FFFFFF" w:themeColor="background1"/>
                <w:szCs w:val="17"/>
              </w:rPr>
              <w:t>Achieved</w:t>
            </w:r>
          </w:p>
        </w:tc>
        <w:tc>
          <w:tcPr>
            <w:tcW w:w="7188" w:type="dxa"/>
          </w:tcPr>
          <w:p w14:paraId="0AC7825C" w14:textId="21B3CBAF" w:rsidR="00273CBD" w:rsidRPr="006956F3" w:rsidRDefault="00273CBD" w:rsidP="006956F3">
            <w:pPr>
              <w:keepLines/>
              <w:spacing w:before="40" w:after="40" w:line="200" w:lineRule="atLeast"/>
              <w:jc w:val="both"/>
              <w:rPr>
                <w:rFonts w:asciiTheme="minorHAnsi" w:eastAsia="Times New Roman" w:hAnsiTheme="minorHAnsi"/>
                <w:iCs/>
                <w:color w:val="auto"/>
                <w:szCs w:val="17"/>
              </w:rPr>
            </w:pPr>
            <w:r w:rsidRPr="00E9077D">
              <w:rPr>
                <w:rFonts w:asciiTheme="minorHAnsi" w:eastAsia="Times New Roman" w:hAnsiTheme="minorHAnsi"/>
                <w:iCs/>
                <w:color w:val="auto"/>
                <w:szCs w:val="17"/>
              </w:rPr>
              <w:t>The Solomon Islands – Australia Aid Partnership was signed in June 2017 and provides a</w:t>
            </w:r>
            <w:r w:rsidRPr="006956F3">
              <w:rPr>
                <w:rFonts w:asciiTheme="minorHAnsi" w:eastAsia="Times New Roman" w:hAnsiTheme="minorHAnsi"/>
                <w:iCs/>
                <w:color w:val="auto"/>
                <w:szCs w:val="17"/>
              </w:rPr>
              <w:t xml:space="preserve"> shared vision for cooperation</w:t>
            </w:r>
            <w:r w:rsidR="003A3C85">
              <w:rPr>
                <w:rFonts w:asciiTheme="minorHAnsi" w:eastAsia="Times New Roman" w:hAnsiTheme="minorHAnsi"/>
                <w:iCs/>
                <w:color w:val="auto"/>
                <w:szCs w:val="17"/>
              </w:rPr>
              <w:t xml:space="preserve">.  </w:t>
            </w:r>
          </w:p>
        </w:tc>
      </w:tr>
    </w:tbl>
    <w:p w14:paraId="202BFA5E" w14:textId="77777777" w:rsidR="00400B0F" w:rsidRPr="003B6986" w:rsidRDefault="00400B0F" w:rsidP="00400B0F">
      <w:pPr>
        <w:spacing w:before="20" w:after="20" w:line="180" w:lineRule="atLeast"/>
        <w:jc w:val="both"/>
        <w:rPr>
          <w:rFonts w:eastAsia="Times New Roman"/>
          <w:b/>
          <w:color w:val="auto"/>
          <w:sz w:val="17"/>
          <w:szCs w:val="17"/>
        </w:rPr>
      </w:pPr>
      <w:r w:rsidRPr="003B6986">
        <w:rPr>
          <w:rFonts w:eastAsia="Times New Roman"/>
          <w:b/>
          <w:color w:val="auto"/>
          <w:sz w:val="17"/>
          <w:szCs w:val="17"/>
        </w:rPr>
        <w:t xml:space="preserve">Note: </w:t>
      </w:r>
    </w:p>
    <w:p w14:paraId="5230BDA4" w14:textId="22BBDFCA" w:rsidR="006956F3" w:rsidRDefault="00400B0F" w:rsidP="00400B0F">
      <w:pPr>
        <w:spacing w:before="20" w:after="20" w:line="180" w:lineRule="atLeast"/>
        <w:jc w:val="both"/>
        <w:rPr>
          <w:rFonts w:eastAsia="Times New Roman"/>
          <w:b/>
          <w:color w:val="auto"/>
          <w:sz w:val="17"/>
          <w:szCs w:val="17"/>
        </w:rPr>
      </w:pPr>
      <w:r w:rsidRPr="003B6986">
        <w:rPr>
          <w:rFonts w:eastAsia="Times New Roman"/>
          <w:b/>
          <w:color w:val="72AF2F"/>
          <w:sz w:val="17"/>
          <w:szCs w:val="17"/>
        </w:rPr>
        <w:sym w:font="Webdings" w:char="F067"/>
      </w:r>
      <w:r w:rsidRPr="003B6986">
        <w:rPr>
          <w:rFonts w:eastAsia="Times New Roman"/>
          <w:b/>
          <w:sz w:val="17"/>
          <w:szCs w:val="17"/>
        </w:rPr>
        <w:t> </w:t>
      </w:r>
      <w:r w:rsidRPr="003B6986">
        <w:rPr>
          <w:rFonts w:eastAsia="Times New Roman"/>
          <w:b/>
          <w:sz w:val="17"/>
          <w:szCs w:val="17"/>
        </w:rPr>
        <w:t xml:space="preserve"> </w:t>
      </w:r>
      <w:r w:rsidRPr="003B6986">
        <w:rPr>
          <w:rFonts w:eastAsia="Times New Roman"/>
          <w:b/>
          <w:color w:val="auto"/>
          <w:sz w:val="17"/>
          <w:szCs w:val="17"/>
        </w:rPr>
        <w:t>Achieved</w:t>
      </w:r>
      <w:r w:rsidR="003A3C85">
        <w:rPr>
          <w:rFonts w:eastAsia="Times New Roman"/>
          <w:b/>
          <w:color w:val="auto"/>
          <w:sz w:val="17"/>
          <w:szCs w:val="17"/>
        </w:rPr>
        <w:t xml:space="preserve">.  </w:t>
      </w:r>
      <w:r w:rsidRPr="003B6986">
        <w:rPr>
          <w:rFonts w:eastAsia="Times New Roman"/>
          <w:b/>
          <w:color w:val="auto"/>
          <w:sz w:val="17"/>
          <w:szCs w:val="17"/>
        </w:rPr>
        <w:t xml:space="preserve">Significant progress has been made in addressing the issue </w:t>
      </w:r>
    </w:p>
    <w:p w14:paraId="32E82016" w14:textId="367F646B" w:rsidR="00400B0F" w:rsidRPr="003B6986" w:rsidRDefault="00400B0F" w:rsidP="00400B0F">
      <w:pPr>
        <w:spacing w:before="20" w:after="20" w:line="180" w:lineRule="atLeast"/>
        <w:jc w:val="both"/>
        <w:rPr>
          <w:rFonts w:eastAsia="Times New Roman"/>
          <w:b/>
          <w:sz w:val="17"/>
          <w:szCs w:val="17"/>
        </w:rPr>
      </w:pPr>
      <w:r w:rsidRPr="003B6986">
        <w:rPr>
          <w:rFonts w:eastAsia="Times New Roman"/>
          <w:b/>
          <w:color w:val="E36C0A"/>
          <w:sz w:val="17"/>
          <w:szCs w:val="17"/>
        </w:rPr>
        <w:sym w:font="Webdings" w:char="F067"/>
      </w:r>
      <w:r w:rsidRPr="003B6986">
        <w:rPr>
          <w:rFonts w:eastAsia="Times New Roman"/>
          <w:b/>
          <w:sz w:val="17"/>
          <w:szCs w:val="17"/>
        </w:rPr>
        <w:t> </w:t>
      </w:r>
      <w:r w:rsidRPr="003B6986">
        <w:rPr>
          <w:rFonts w:eastAsia="Times New Roman"/>
          <w:b/>
          <w:sz w:val="17"/>
          <w:szCs w:val="17"/>
        </w:rPr>
        <w:t xml:space="preserve"> </w:t>
      </w:r>
      <w:r w:rsidRPr="003B6986">
        <w:rPr>
          <w:rFonts w:eastAsia="Times New Roman"/>
          <w:b/>
          <w:color w:val="auto"/>
          <w:sz w:val="17"/>
          <w:szCs w:val="17"/>
        </w:rPr>
        <w:t>Partly achieved</w:t>
      </w:r>
      <w:r w:rsidR="003A3C85">
        <w:rPr>
          <w:rFonts w:eastAsia="Times New Roman"/>
          <w:b/>
          <w:color w:val="auto"/>
          <w:sz w:val="17"/>
          <w:szCs w:val="17"/>
        </w:rPr>
        <w:t xml:space="preserve">.  </w:t>
      </w:r>
      <w:r w:rsidRPr="003B6986">
        <w:rPr>
          <w:rFonts w:eastAsia="Times New Roman"/>
          <w:b/>
          <w:color w:val="auto"/>
          <w:sz w:val="17"/>
          <w:szCs w:val="17"/>
        </w:rPr>
        <w:t xml:space="preserve">Some progress has been made in addressing the issue, but the issue has not been resolved </w:t>
      </w:r>
    </w:p>
    <w:p w14:paraId="0E23A7DD" w14:textId="2321F162" w:rsidR="00400B0F" w:rsidRDefault="00400B0F" w:rsidP="00400B0F">
      <w:pPr>
        <w:spacing w:before="20" w:after="20" w:line="180" w:lineRule="atLeast"/>
        <w:jc w:val="both"/>
        <w:rPr>
          <w:rFonts w:eastAsia="Times New Roman"/>
          <w:b/>
          <w:color w:val="auto"/>
          <w:sz w:val="17"/>
          <w:szCs w:val="17"/>
        </w:rPr>
      </w:pPr>
      <w:r w:rsidRPr="003B6986">
        <w:rPr>
          <w:rFonts w:eastAsia="Times New Roman"/>
          <w:b/>
          <w:color w:val="FF0000"/>
          <w:sz w:val="17"/>
          <w:szCs w:val="17"/>
        </w:rPr>
        <w:sym w:font="Webdings" w:char="F067"/>
      </w:r>
      <w:r w:rsidRPr="003B6986">
        <w:rPr>
          <w:rFonts w:eastAsia="Times New Roman"/>
          <w:b/>
          <w:sz w:val="17"/>
          <w:szCs w:val="17"/>
        </w:rPr>
        <w:t> </w:t>
      </w:r>
      <w:r w:rsidRPr="003B6986">
        <w:rPr>
          <w:rFonts w:eastAsia="Times New Roman"/>
          <w:b/>
          <w:sz w:val="17"/>
          <w:szCs w:val="17"/>
        </w:rPr>
        <w:t xml:space="preserve"> </w:t>
      </w:r>
      <w:r w:rsidRPr="003B6986">
        <w:rPr>
          <w:rFonts w:eastAsia="Times New Roman"/>
          <w:b/>
          <w:color w:val="auto"/>
          <w:sz w:val="17"/>
          <w:szCs w:val="17"/>
        </w:rPr>
        <w:t>Not achieved</w:t>
      </w:r>
      <w:r w:rsidR="003A3C85">
        <w:rPr>
          <w:rFonts w:eastAsia="Times New Roman"/>
          <w:b/>
          <w:color w:val="auto"/>
          <w:sz w:val="17"/>
          <w:szCs w:val="17"/>
        </w:rPr>
        <w:t xml:space="preserve">.  </w:t>
      </w:r>
      <w:r w:rsidRPr="003B6986">
        <w:rPr>
          <w:rFonts w:eastAsia="Times New Roman"/>
          <w:b/>
          <w:color w:val="auto"/>
          <w:sz w:val="17"/>
          <w:szCs w:val="17"/>
        </w:rPr>
        <w:t>Progress in addressing the issue has been significantly below expectations</w:t>
      </w:r>
    </w:p>
    <w:p w14:paraId="08EB81C9" w14:textId="77777777" w:rsidR="00320251" w:rsidRPr="00E068F6" w:rsidRDefault="002A51CA" w:rsidP="00E068F6">
      <w:pPr>
        <w:pStyle w:val="Subtitle"/>
        <w:numPr>
          <w:ilvl w:val="0"/>
          <w:numId w:val="0"/>
        </w:numPr>
        <w:rPr>
          <w:b/>
          <w:color w:val="auto"/>
          <w:szCs w:val="38"/>
        </w:rPr>
      </w:pPr>
      <w:r w:rsidRPr="009A111C">
        <w:rPr>
          <w:rFonts w:ascii="Franklin Gothic Book" w:eastAsia="Times New Roman" w:hAnsi="Franklin Gothic Book"/>
          <w:b/>
          <w:color w:val="auto"/>
          <w:sz w:val="21"/>
        </w:rPr>
        <w:lastRenderedPageBreak/>
        <w:t xml:space="preserve"> </w:t>
      </w:r>
      <w:r w:rsidR="00400B0F" w:rsidRPr="00E068F6">
        <w:rPr>
          <w:b/>
          <w:color w:val="auto"/>
          <w:szCs w:val="38"/>
        </w:rPr>
        <w:t xml:space="preserve">Annex B </w:t>
      </w:r>
      <w:r w:rsidR="00033AB7" w:rsidRPr="00E068F6">
        <w:rPr>
          <w:b/>
          <w:color w:val="auto"/>
          <w:szCs w:val="38"/>
        </w:rPr>
        <w:t>–</w:t>
      </w:r>
      <w:r w:rsidR="00400B0F" w:rsidRPr="00E068F6">
        <w:rPr>
          <w:b/>
          <w:color w:val="auto"/>
          <w:szCs w:val="38"/>
        </w:rPr>
        <w:t xml:space="preserve"> </w:t>
      </w:r>
      <w:r w:rsidR="00320251" w:rsidRPr="00E068F6">
        <w:rPr>
          <w:rFonts w:eastAsia="Times New Roman"/>
          <w:b/>
          <w:color w:val="auto"/>
          <w:szCs w:val="38"/>
        </w:rPr>
        <w:t>Progress towards Performance Benchmarks in 2016-17</w:t>
      </w:r>
    </w:p>
    <w:tbl>
      <w:tblPr>
        <w:tblStyle w:val="DFATTable"/>
        <w:tblW w:w="5000" w:type="pct"/>
        <w:tblLook w:val="04A0" w:firstRow="1" w:lastRow="0" w:firstColumn="1" w:lastColumn="0" w:noHBand="0" w:noVBand="1"/>
      </w:tblPr>
      <w:tblGrid>
        <w:gridCol w:w="2256"/>
        <w:gridCol w:w="2707"/>
        <w:gridCol w:w="908"/>
        <w:gridCol w:w="8589"/>
      </w:tblGrid>
      <w:tr w:rsidR="00400B0F" w:rsidRPr="00C61187" w14:paraId="514E0C22" w14:textId="77777777" w:rsidTr="00061166">
        <w:trPr>
          <w:trHeight w:val="269"/>
          <w:tblHeader/>
        </w:trPr>
        <w:tc>
          <w:tcPr>
            <w:tcW w:w="780" w:type="pct"/>
            <w:tcMar>
              <w:top w:w="57" w:type="dxa"/>
              <w:bottom w:w="57" w:type="dxa"/>
            </w:tcMar>
          </w:tcPr>
          <w:p w14:paraId="4DDEADD9" w14:textId="77777777" w:rsidR="00400B0F" w:rsidRPr="000F7BC7" w:rsidRDefault="00400B0F" w:rsidP="00E272F9">
            <w:pPr>
              <w:keepLines/>
              <w:spacing w:before="80" w:after="0" w:line="200" w:lineRule="atLeast"/>
              <w:rPr>
                <w:rFonts w:asciiTheme="minorHAnsi" w:eastAsia="Times New Roman" w:hAnsiTheme="minorHAnsi"/>
                <w:b/>
                <w:iCs/>
                <w:color w:val="auto"/>
                <w:szCs w:val="17"/>
                <w:lang w:eastAsia="en-US"/>
              </w:rPr>
            </w:pPr>
            <w:r w:rsidRPr="000F7BC7">
              <w:rPr>
                <w:rFonts w:eastAsia="Times New Roman"/>
                <w:b/>
                <w:iCs/>
                <w:color w:val="auto"/>
                <w:szCs w:val="17"/>
              </w:rPr>
              <w:t>Aid objective</w:t>
            </w:r>
          </w:p>
        </w:tc>
        <w:tc>
          <w:tcPr>
            <w:tcW w:w="936" w:type="pct"/>
            <w:tcBorders>
              <w:bottom w:val="nil"/>
            </w:tcBorders>
          </w:tcPr>
          <w:p w14:paraId="72C02FA7" w14:textId="77777777" w:rsidR="00400B0F" w:rsidRPr="000F7BC7" w:rsidRDefault="00320251" w:rsidP="00E272F9">
            <w:pPr>
              <w:keepLines/>
              <w:spacing w:before="80" w:after="0" w:line="200" w:lineRule="atLeast"/>
              <w:rPr>
                <w:rFonts w:asciiTheme="minorHAnsi" w:eastAsia="Times New Roman" w:hAnsiTheme="minorHAnsi"/>
                <w:b/>
                <w:iCs/>
                <w:color w:val="auto"/>
                <w:szCs w:val="17"/>
                <w:lang w:eastAsia="en-US"/>
              </w:rPr>
            </w:pPr>
            <w:r w:rsidRPr="000F7BC7">
              <w:rPr>
                <w:rFonts w:eastAsia="Times New Roman"/>
                <w:b/>
                <w:iCs/>
                <w:color w:val="auto"/>
                <w:szCs w:val="17"/>
              </w:rPr>
              <w:t>Performance B</w:t>
            </w:r>
            <w:r w:rsidR="00400B0F" w:rsidRPr="000F7BC7">
              <w:rPr>
                <w:rFonts w:eastAsia="Times New Roman"/>
                <w:b/>
                <w:iCs/>
                <w:color w:val="auto"/>
                <w:szCs w:val="17"/>
              </w:rPr>
              <w:t xml:space="preserve">enchmark </w:t>
            </w:r>
          </w:p>
        </w:tc>
        <w:tc>
          <w:tcPr>
            <w:tcW w:w="314" w:type="pct"/>
            <w:tcBorders>
              <w:bottom w:val="nil"/>
            </w:tcBorders>
          </w:tcPr>
          <w:p w14:paraId="51F100FE" w14:textId="77777777" w:rsidR="00400B0F" w:rsidRPr="000F7BC7" w:rsidRDefault="00400B0F" w:rsidP="00E272F9">
            <w:pPr>
              <w:keepLines/>
              <w:spacing w:before="80" w:after="0" w:line="200" w:lineRule="atLeast"/>
              <w:jc w:val="center"/>
              <w:rPr>
                <w:rFonts w:asciiTheme="minorHAnsi" w:eastAsia="Times New Roman" w:hAnsiTheme="minorHAnsi"/>
                <w:b/>
                <w:iCs/>
                <w:color w:val="auto"/>
                <w:szCs w:val="17"/>
                <w:lang w:eastAsia="en-US"/>
              </w:rPr>
            </w:pPr>
            <w:r w:rsidRPr="000F7BC7">
              <w:rPr>
                <w:rFonts w:eastAsia="Times New Roman"/>
                <w:b/>
                <w:iCs/>
                <w:color w:val="auto"/>
                <w:szCs w:val="17"/>
              </w:rPr>
              <w:t>Rating</w:t>
            </w:r>
          </w:p>
        </w:tc>
        <w:tc>
          <w:tcPr>
            <w:tcW w:w="2970" w:type="pct"/>
            <w:tcBorders>
              <w:bottom w:val="nil"/>
            </w:tcBorders>
          </w:tcPr>
          <w:p w14:paraId="25BFFCB2" w14:textId="77777777" w:rsidR="00400B0F" w:rsidRPr="000F7BC7" w:rsidRDefault="00400B0F" w:rsidP="00E272F9">
            <w:pPr>
              <w:keepLines/>
              <w:spacing w:before="80" w:after="0" w:line="200" w:lineRule="atLeast"/>
              <w:jc w:val="center"/>
              <w:rPr>
                <w:rFonts w:asciiTheme="minorHAnsi" w:eastAsia="Times New Roman" w:hAnsiTheme="minorHAnsi"/>
                <w:b/>
                <w:iCs/>
                <w:color w:val="auto"/>
                <w:szCs w:val="17"/>
                <w:lang w:eastAsia="en-US"/>
              </w:rPr>
            </w:pPr>
            <w:r w:rsidRPr="000F7BC7">
              <w:rPr>
                <w:rFonts w:eastAsia="Times New Roman"/>
                <w:b/>
                <w:iCs/>
                <w:color w:val="auto"/>
                <w:szCs w:val="17"/>
              </w:rPr>
              <w:t>Progress in 201</w:t>
            </w:r>
            <w:r w:rsidR="001103E6" w:rsidRPr="000F7BC7">
              <w:rPr>
                <w:rFonts w:eastAsia="Times New Roman"/>
                <w:b/>
                <w:iCs/>
                <w:color w:val="auto"/>
                <w:szCs w:val="17"/>
              </w:rPr>
              <w:t>6</w:t>
            </w:r>
            <w:r w:rsidRPr="000F7BC7">
              <w:rPr>
                <w:rFonts w:eastAsia="Times New Roman"/>
                <w:b/>
                <w:iCs/>
                <w:color w:val="auto"/>
                <w:szCs w:val="17"/>
              </w:rPr>
              <w:t>-1</w:t>
            </w:r>
            <w:r w:rsidR="001103E6" w:rsidRPr="000F7BC7">
              <w:rPr>
                <w:rFonts w:eastAsia="Times New Roman"/>
                <w:b/>
                <w:iCs/>
                <w:color w:val="auto"/>
                <w:szCs w:val="17"/>
              </w:rPr>
              <w:t>7</w:t>
            </w:r>
          </w:p>
        </w:tc>
      </w:tr>
      <w:tr w:rsidR="000F7BC7" w:rsidRPr="00C61187" w14:paraId="42F39B62" w14:textId="77777777" w:rsidTr="000F7BC7">
        <w:trPr>
          <w:trHeight w:val="198"/>
        </w:trPr>
        <w:tc>
          <w:tcPr>
            <w:tcW w:w="1716" w:type="pct"/>
            <w:gridSpan w:val="2"/>
            <w:tcBorders>
              <w:right w:val="single" w:sz="12" w:space="0" w:color="FFFFFF" w:themeColor="background1"/>
            </w:tcBorders>
            <w:tcMar>
              <w:top w:w="57" w:type="dxa"/>
              <w:bottom w:w="57" w:type="dxa"/>
            </w:tcMar>
          </w:tcPr>
          <w:p w14:paraId="05A82875" w14:textId="1DC9AF29" w:rsidR="000F7BC7" w:rsidRPr="00880004" w:rsidRDefault="000F7BC7" w:rsidP="006F27B1">
            <w:pPr>
              <w:keepLines/>
              <w:spacing w:before="40" w:after="40" w:line="200" w:lineRule="atLeast"/>
              <w:rPr>
                <w:rFonts w:eastAsia="Times New Roman"/>
                <w:iCs/>
                <w:szCs w:val="17"/>
              </w:rPr>
            </w:pPr>
            <w:r>
              <w:rPr>
                <w:rFonts w:eastAsia="Times New Roman"/>
                <w:b/>
                <w:iCs/>
                <w:color w:val="auto"/>
                <w:szCs w:val="17"/>
              </w:rPr>
              <w:t xml:space="preserve">Supporting </w:t>
            </w:r>
            <w:r w:rsidRPr="00390A42">
              <w:rPr>
                <w:rFonts w:eastAsia="Times New Roman"/>
                <w:b/>
                <w:iCs/>
                <w:color w:val="auto"/>
                <w:szCs w:val="17"/>
              </w:rPr>
              <w:t xml:space="preserve">Stability </w:t>
            </w:r>
          </w:p>
        </w:tc>
        <w:tc>
          <w:tcPr>
            <w:tcW w:w="314"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auto"/>
          </w:tcPr>
          <w:p w14:paraId="1F24BEE3" w14:textId="77777777" w:rsidR="000F7BC7" w:rsidRPr="00880004" w:rsidRDefault="000F7BC7" w:rsidP="006F27B1">
            <w:pPr>
              <w:keepLines/>
              <w:spacing w:before="40" w:after="40" w:line="200" w:lineRule="atLeast"/>
              <w:jc w:val="center"/>
              <w:rPr>
                <w:rFonts w:eastAsia="Times New Roman"/>
                <w:iCs/>
                <w:color w:val="FFFFFF" w:themeColor="background1"/>
                <w:szCs w:val="17"/>
              </w:rPr>
            </w:pPr>
          </w:p>
        </w:tc>
        <w:tc>
          <w:tcPr>
            <w:tcW w:w="2970" w:type="pct"/>
            <w:tcBorders>
              <w:top w:val="nil"/>
              <w:left w:val="single" w:sz="12" w:space="0" w:color="FFFFFF" w:themeColor="background1"/>
              <w:bottom w:val="single" w:sz="12" w:space="0" w:color="FFFFFF" w:themeColor="background1"/>
              <w:right w:val="single" w:sz="12" w:space="0" w:color="FFFFFF" w:themeColor="background1"/>
            </w:tcBorders>
          </w:tcPr>
          <w:p w14:paraId="5FBBCEA6" w14:textId="77777777" w:rsidR="000F7BC7" w:rsidRPr="00880004" w:rsidRDefault="000F7BC7" w:rsidP="006F27B1">
            <w:pPr>
              <w:keepLines/>
              <w:spacing w:before="40" w:after="40" w:line="200" w:lineRule="atLeast"/>
              <w:rPr>
                <w:rFonts w:eastAsia="Times New Roman"/>
                <w:iCs/>
                <w:szCs w:val="17"/>
              </w:rPr>
            </w:pPr>
          </w:p>
        </w:tc>
      </w:tr>
      <w:tr w:rsidR="00400B0F" w:rsidRPr="00C61187" w14:paraId="00C4C73B" w14:textId="77777777" w:rsidTr="006956F3">
        <w:trPr>
          <w:trHeight w:val="198"/>
        </w:trPr>
        <w:tc>
          <w:tcPr>
            <w:tcW w:w="780" w:type="pct"/>
            <w:tcBorders>
              <w:right w:val="single" w:sz="12" w:space="0" w:color="FFFFFF" w:themeColor="background1"/>
            </w:tcBorders>
            <w:tcMar>
              <w:top w:w="57" w:type="dxa"/>
              <w:bottom w:w="57" w:type="dxa"/>
            </w:tcMar>
          </w:tcPr>
          <w:p w14:paraId="169CD9B8" w14:textId="77777777" w:rsidR="00400B0F" w:rsidRPr="006956F3" w:rsidRDefault="007C6044" w:rsidP="00320251">
            <w:pPr>
              <w:keepLines/>
              <w:spacing w:before="40" w:after="40" w:line="200" w:lineRule="atLeast"/>
              <w:rPr>
                <w:rFonts w:asciiTheme="minorHAnsi" w:eastAsia="Times New Roman" w:hAnsiTheme="minorHAnsi"/>
                <w:iCs/>
                <w:color w:val="auto"/>
                <w:szCs w:val="17"/>
              </w:rPr>
            </w:pPr>
            <w:r w:rsidRPr="00DC3A16">
              <w:rPr>
                <w:rFonts w:asciiTheme="minorHAnsi" w:eastAsia="Times New Roman" w:hAnsiTheme="minorHAnsi"/>
                <w:iCs/>
                <w:color w:val="auto"/>
                <w:szCs w:val="17"/>
              </w:rPr>
              <w:t>Number of police and other law and justice officials trained</w:t>
            </w:r>
          </w:p>
        </w:tc>
        <w:tc>
          <w:tcPr>
            <w:tcW w:w="9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A591687" w14:textId="77777777" w:rsidR="00400B0F" w:rsidRPr="006956F3" w:rsidRDefault="007C6044" w:rsidP="006F27B1">
            <w:pPr>
              <w:keepLines/>
              <w:spacing w:before="40" w:after="40" w:line="200" w:lineRule="atLeast"/>
              <w:rPr>
                <w:rFonts w:asciiTheme="minorHAnsi" w:eastAsia="Times New Roman" w:hAnsiTheme="minorHAnsi"/>
                <w:iCs/>
                <w:color w:val="auto"/>
                <w:szCs w:val="17"/>
              </w:rPr>
            </w:pPr>
            <w:r w:rsidRPr="006C2E33">
              <w:rPr>
                <w:rFonts w:asciiTheme="minorHAnsi" w:eastAsia="Times New Roman" w:hAnsiTheme="minorHAnsi"/>
                <w:iCs/>
                <w:color w:val="auto"/>
                <w:szCs w:val="17"/>
              </w:rPr>
              <w:t>1600</w:t>
            </w:r>
          </w:p>
        </w:tc>
        <w:tc>
          <w:tcPr>
            <w:tcW w:w="3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8F16"/>
          </w:tcPr>
          <w:p w14:paraId="66C1F2BC" w14:textId="77777777" w:rsidR="00400B0F" w:rsidRPr="00880004" w:rsidRDefault="00E356C4"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w:t>
            </w:r>
            <w:r w:rsidRPr="0051373D">
              <w:rPr>
                <w:rFonts w:asciiTheme="minorHAnsi" w:eastAsia="Times New Roman" w:hAnsiTheme="minorHAnsi"/>
                <w:iCs/>
                <w:color w:val="FFFFFF" w:themeColor="background1"/>
                <w:szCs w:val="17"/>
                <w:lang w:eastAsia="en-US"/>
              </w:rPr>
              <w:t>chieved</w:t>
            </w:r>
          </w:p>
        </w:tc>
        <w:tc>
          <w:tcPr>
            <w:tcW w:w="29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98A1141" w14:textId="63622271" w:rsidR="00400B0F" w:rsidRPr="006956F3" w:rsidRDefault="00E356C4" w:rsidP="00995CAC">
            <w:pPr>
              <w:keepLines/>
              <w:spacing w:before="40" w:after="40" w:line="200" w:lineRule="atLeast"/>
              <w:rPr>
                <w:rFonts w:asciiTheme="minorHAnsi" w:eastAsia="Times New Roman" w:hAnsiTheme="minorHAnsi"/>
                <w:iCs/>
                <w:color w:val="auto"/>
                <w:szCs w:val="17"/>
              </w:rPr>
            </w:pPr>
            <w:r w:rsidRPr="006956F3">
              <w:rPr>
                <w:rFonts w:asciiTheme="minorHAnsi" w:eastAsia="Times New Roman" w:hAnsiTheme="minorHAnsi"/>
                <w:iCs/>
                <w:color w:val="auto"/>
                <w:szCs w:val="17"/>
              </w:rPr>
              <w:t>The number of police and justice officials trained was 1,393 in 2016-17</w:t>
            </w:r>
            <w:r w:rsidR="003A3C85">
              <w:rPr>
                <w:rFonts w:asciiTheme="minorHAnsi" w:eastAsia="Times New Roman" w:hAnsiTheme="minorHAnsi"/>
                <w:iCs/>
                <w:color w:val="auto"/>
                <w:szCs w:val="17"/>
              </w:rPr>
              <w:t xml:space="preserve">.  </w:t>
            </w:r>
            <w:r w:rsidRPr="006956F3">
              <w:rPr>
                <w:rFonts w:asciiTheme="minorHAnsi" w:eastAsia="Times New Roman" w:hAnsiTheme="minorHAnsi"/>
                <w:iCs/>
                <w:color w:val="auto"/>
                <w:szCs w:val="17"/>
              </w:rPr>
              <w:t>The training included 434 officials through the bilateral justice program and 899 police through RAMSI</w:t>
            </w:r>
            <w:r w:rsidR="003A3C85">
              <w:rPr>
                <w:rFonts w:asciiTheme="minorHAnsi" w:eastAsia="Times New Roman" w:hAnsiTheme="minorHAnsi"/>
                <w:iCs/>
                <w:color w:val="auto"/>
                <w:szCs w:val="17"/>
              </w:rPr>
              <w:t xml:space="preserve">.  </w:t>
            </w:r>
            <w:r w:rsidRPr="006956F3">
              <w:rPr>
                <w:rFonts w:asciiTheme="minorHAnsi" w:eastAsia="Times New Roman" w:hAnsiTheme="minorHAnsi"/>
                <w:iCs/>
                <w:color w:val="auto"/>
                <w:szCs w:val="17"/>
              </w:rPr>
              <w:t xml:space="preserve">As with 2015-16, the trained </w:t>
            </w:r>
            <w:r w:rsidR="00F156EE" w:rsidRPr="006956F3">
              <w:rPr>
                <w:rFonts w:asciiTheme="minorHAnsi" w:eastAsia="Times New Roman" w:hAnsiTheme="minorHAnsi"/>
                <w:iCs/>
                <w:color w:val="auto"/>
                <w:szCs w:val="17"/>
              </w:rPr>
              <w:t>number was below the performance benchmark as RAMSI police training was more targeted</w:t>
            </w:r>
            <w:r w:rsidR="003A3C85">
              <w:rPr>
                <w:rFonts w:asciiTheme="minorHAnsi" w:eastAsia="Times New Roman" w:hAnsiTheme="minorHAnsi"/>
                <w:iCs/>
                <w:color w:val="auto"/>
                <w:szCs w:val="17"/>
              </w:rPr>
              <w:t xml:space="preserve">.  </w:t>
            </w:r>
          </w:p>
        </w:tc>
      </w:tr>
      <w:tr w:rsidR="007C6044" w:rsidRPr="00C61187" w14:paraId="24A77DF5" w14:textId="77777777" w:rsidTr="00061166">
        <w:trPr>
          <w:trHeight w:val="198"/>
        </w:trPr>
        <w:tc>
          <w:tcPr>
            <w:tcW w:w="780" w:type="pct"/>
            <w:tcBorders>
              <w:right w:val="single" w:sz="12" w:space="0" w:color="FFFFFF" w:themeColor="background1"/>
            </w:tcBorders>
            <w:tcMar>
              <w:top w:w="57" w:type="dxa"/>
              <w:bottom w:w="57" w:type="dxa"/>
            </w:tcMar>
          </w:tcPr>
          <w:p w14:paraId="181BC308" w14:textId="77777777" w:rsidR="007C6044" w:rsidRPr="006956F3" w:rsidRDefault="007C6044" w:rsidP="00320251">
            <w:pPr>
              <w:keepLines/>
              <w:spacing w:before="40" w:after="40" w:line="200" w:lineRule="atLeast"/>
              <w:rPr>
                <w:rFonts w:asciiTheme="minorHAnsi" w:eastAsia="Times New Roman" w:hAnsiTheme="minorHAnsi"/>
                <w:iCs/>
                <w:color w:val="auto"/>
                <w:szCs w:val="17"/>
              </w:rPr>
            </w:pPr>
            <w:r w:rsidRPr="00DC3A16">
              <w:rPr>
                <w:rFonts w:asciiTheme="minorHAnsi" w:eastAsia="Times New Roman" w:hAnsiTheme="minorHAnsi"/>
                <w:iCs/>
                <w:color w:val="auto"/>
                <w:szCs w:val="17"/>
              </w:rPr>
              <w:t>Courts and justice agencies are better able to deliver their core functions</w:t>
            </w:r>
          </w:p>
        </w:tc>
        <w:tc>
          <w:tcPr>
            <w:tcW w:w="9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C15BDE8" w14:textId="77777777" w:rsidR="007C6044" w:rsidRPr="006956F3" w:rsidRDefault="007C6044" w:rsidP="006F27B1">
            <w:pPr>
              <w:keepLines/>
              <w:spacing w:before="40" w:after="40" w:line="200" w:lineRule="atLeast"/>
              <w:rPr>
                <w:rFonts w:asciiTheme="minorHAnsi" w:eastAsia="Times New Roman" w:hAnsiTheme="minorHAnsi"/>
                <w:iCs/>
                <w:color w:val="auto"/>
                <w:szCs w:val="17"/>
              </w:rPr>
            </w:pPr>
            <w:r w:rsidRPr="006C2E33">
              <w:rPr>
                <w:rFonts w:asciiTheme="minorHAnsi" w:eastAsia="Times New Roman" w:hAnsiTheme="minorHAnsi"/>
                <w:iCs/>
                <w:color w:val="auto"/>
                <w:szCs w:val="17"/>
              </w:rPr>
              <w:t>600 cases heard and disposed of in the Magistrates Court</w:t>
            </w:r>
          </w:p>
        </w:tc>
        <w:tc>
          <w:tcPr>
            <w:tcW w:w="3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EA92D"/>
          </w:tcPr>
          <w:p w14:paraId="692354DE" w14:textId="77777777" w:rsidR="007C6044" w:rsidRPr="00880004" w:rsidRDefault="0051373D" w:rsidP="006F27B1">
            <w:pPr>
              <w:keepLines/>
              <w:spacing w:before="40" w:after="40" w:line="200" w:lineRule="atLeast"/>
              <w:jc w:val="center"/>
              <w:rPr>
                <w:rFonts w:eastAsia="Times New Roman"/>
                <w:iCs/>
                <w:color w:val="FFFFFF" w:themeColor="background1"/>
                <w:szCs w:val="17"/>
              </w:rPr>
            </w:pPr>
            <w:r w:rsidRPr="0051373D">
              <w:rPr>
                <w:rFonts w:asciiTheme="minorHAnsi" w:eastAsia="Times New Roman" w:hAnsiTheme="minorHAnsi"/>
                <w:iCs/>
                <w:color w:val="FFFFFF" w:themeColor="background1"/>
                <w:szCs w:val="17"/>
                <w:lang w:eastAsia="en-US"/>
              </w:rPr>
              <w:t>Achieved</w:t>
            </w:r>
          </w:p>
        </w:tc>
        <w:tc>
          <w:tcPr>
            <w:tcW w:w="29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B7BBA51" w14:textId="30C62C99" w:rsidR="007C6044" w:rsidRPr="006956F3" w:rsidRDefault="0051373D" w:rsidP="0005513F">
            <w:pPr>
              <w:keepLines/>
              <w:spacing w:before="40" w:after="40" w:line="200" w:lineRule="atLeast"/>
              <w:rPr>
                <w:rFonts w:asciiTheme="minorHAnsi" w:eastAsia="Times New Roman" w:hAnsiTheme="minorHAnsi"/>
                <w:iCs/>
                <w:color w:val="auto"/>
                <w:szCs w:val="17"/>
              </w:rPr>
            </w:pPr>
            <w:r w:rsidRPr="006956F3">
              <w:rPr>
                <w:rFonts w:asciiTheme="minorHAnsi" w:eastAsia="Times New Roman" w:hAnsiTheme="minorHAnsi"/>
                <w:iCs/>
                <w:color w:val="auto"/>
                <w:szCs w:val="17"/>
              </w:rPr>
              <w:t xml:space="preserve">The Central Magistrates Court disposed of </w:t>
            </w:r>
            <w:r w:rsidR="00995CAC" w:rsidRPr="006956F3">
              <w:rPr>
                <w:rFonts w:asciiTheme="minorHAnsi" w:eastAsia="Times New Roman" w:hAnsiTheme="minorHAnsi"/>
                <w:iCs/>
                <w:color w:val="auto"/>
                <w:szCs w:val="17"/>
              </w:rPr>
              <w:t>877 criminal</w:t>
            </w:r>
            <w:r w:rsidRPr="006956F3">
              <w:rPr>
                <w:rFonts w:asciiTheme="minorHAnsi" w:eastAsia="Times New Roman" w:hAnsiTheme="minorHAnsi"/>
                <w:iCs/>
                <w:color w:val="auto"/>
                <w:szCs w:val="17"/>
              </w:rPr>
              <w:t xml:space="preserve"> cases in 2016</w:t>
            </w:r>
            <w:r w:rsidR="00995CAC" w:rsidRPr="006956F3">
              <w:rPr>
                <w:rFonts w:asciiTheme="minorHAnsi" w:eastAsia="Times New Roman" w:hAnsiTheme="minorHAnsi"/>
                <w:iCs/>
                <w:color w:val="auto"/>
                <w:szCs w:val="17"/>
              </w:rPr>
              <w:t>-17</w:t>
            </w:r>
            <w:r w:rsidR="003A3C85">
              <w:rPr>
                <w:rFonts w:asciiTheme="minorHAnsi" w:eastAsia="Times New Roman" w:hAnsiTheme="minorHAnsi"/>
                <w:iCs/>
                <w:color w:val="auto"/>
                <w:szCs w:val="17"/>
              </w:rPr>
              <w:t xml:space="preserve">.  </w:t>
            </w:r>
            <w:r w:rsidRPr="006956F3">
              <w:rPr>
                <w:rFonts w:asciiTheme="minorHAnsi" w:eastAsia="Times New Roman" w:hAnsiTheme="minorHAnsi"/>
                <w:iCs/>
                <w:color w:val="auto"/>
                <w:szCs w:val="17"/>
              </w:rPr>
              <w:t xml:space="preserve">Access to case disposal data has improved with the introduction of the Australian funded JIMS and has enabled a more accurate </w:t>
            </w:r>
            <w:r w:rsidR="00995CAC" w:rsidRPr="006956F3">
              <w:rPr>
                <w:rFonts w:asciiTheme="minorHAnsi" w:eastAsia="Times New Roman" w:hAnsiTheme="minorHAnsi"/>
                <w:iCs/>
                <w:color w:val="auto"/>
                <w:szCs w:val="17"/>
              </w:rPr>
              <w:t>figure for 2015-16 of 736</w:t>
            </w:r>
            <w:r w:rsidR="003A3C85">
              <w:rPr>
                <w:rFonts w:asciiTheme="minorHAnsi" w:eastAsia="Times New Roman" w:hAnsiTheme="minorHAnsi"/>
                <w:iCs/>
                <w:color w:val="auto"/>
                <w:szCs w:val="17"/>
              </w:rPr>
              <w:t xml:space="preserve">.  </w:t>
            </w:r>
            <w:r w:rsidRPr="006956F3">
              <w:rPr>
                <w:rFonts w:asciiTheme="minorHAnsi" w:eastAsia="Times New Roman" w:hAnsiTheme="minorHAnsi"/>
                <w:iCs/>
                <w:color w:val="auto"/>
                <w:szCs w:val="17"/>
              </w:rPr>
              <w:t>This benchmarks continues to be met.</w:t>
            </w:r>
          </w:p>
        </w:tc>
      </w:tr>
      <w:tr w:rsidR="000F7BC7" w:rsidRPr="00C61187" w14:paraId="29A32792" w14:textId="77777777" w:rsidTr="000F7BC7">
        <w:trPr>
          <w:trHeight w:val="198"/>
        </w:trPr>
        <w:tc>
          <w:tcPr>
            <w:tcW w:w="1716" w:type="pct"/>
            <w:gridSpan w:val="2"/>
            <w:tcBorders>
              <w:right w:val="single" w:sz="12" w:space="0" w:color="FFFFFF" w:themeColor="background1"/>
            </w:tcBorders>
            <w:tcMar>
              <w:top w:w="57" w:type="dxa"/>
              <w:bottom w:w="57" w:type="dxa"/>
            </w:tcMar>
          </w:tcPr>
          <w:p w14:paraId="085BB086" w14:textId="415D1414" w:rsidR="000F7BC7" w:rsidRPr="006C2E33" w:rsidRDefault="000F7BC7" w:rsidP="006F27B1">
            <w:pPr>
              <w:keepLines/>
              <w:spacing w:before="40" w:after="40" w:line="200" w:lineRule="atLeast"/>
              <w:rPr>
                <w:rFonts w:eastAsia="Times New Roman"/>
                <w:iCs/>
                <w:color w:val="auto"/>
                <w:szCs w:val="17"/>
              </w:rPr>
            </w:pPr>
            <w:r>
              <w:rPr>
                <w:rFonts w:eastAsia="Times New Roman"/>
                <w:b/>
                <w:iCs/>
                <w:color w:val="auto"/>
                <w:szCs w:val="17"/>
              </w:rPr>
              <w:t xml:space="preserve">Enabling </w:t>
            </w:r>
            <w:r w:rsidRPr="007C6044">
              <w:rPr>
                <w:rFonts w:eastAsia="Times New Roman"/>
                <w:b/>
                <w:iCs/>
                <w:color w:val="auto"/>
                <w:szCs w:val="17"/>
              </w:rPr>
              <w:t xml:space="preserve">Economic Growth </w:t>
            </w:r>
          </w:p>
        </w:tc>
        <w:tc>
          <w:tcPr>
            <w:tcW w:w="3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08FC917" w14:textId="77777777" w:rsidR="000F7BC7" w:rsidRPr="00880004" w:rsidRDefault="000F7BC7" w:rsidP="006F27B1">
            <w:pPr>
              <w:keepLines/>
              <w:spacing w:before="40" w:after="40" w:line="200" w:lineRule="atLeast"/>
              <w:jc w:val="center"/>
              <w:rPr>
                <w:rFonts w:eastAsia="Times New Roman"/>
                <w:iCs/>
                <w:color w:val="FFFFFF" w:themeColor="background1"/>
                <w:szCs w:val="17"/>
              </w:rPr>
            </w:pPr>
          </w:p>
        </w:tc>
        <w:tc>
          <w:tcPr>
            <w:tcW w:w="29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7224AF9" w14:textId="77777777" w:rsidR="000F7BC7" w:rsidRPr="006956F3" w:rsidRDefault="000F7BC7" w:rsidP="006F27B1">
            <w:pPr>
              <w:keepLines/>
              <w:spacing w:before="40" w:after="40" w:line="200" w:lineRule="atLeast"/>
              <w:rPr>
                <w:rFonts w:asciiTheme="minorHAnsi" w:eastAsia="Times New Roman" w:hAnsiTheme="minorHAnsi"/>
                <w:iCs/>
                <w:color w:val="auto"/>
                <w:szCs w:val="17"/>
              </w:rPr>
            </w:pPr>
          </w:p>
        </w:tc>
      </w:tr>
      <w:tr w:rsidR="007C6044" w:rsidRPr="00C61187" w14:paraId="2DABB333" w14:textId="77777777" w:rsidTr="001D3EE3">
        <w:trPr>
          <w:trHeight w:val="198"/>
        </w:trPr>
        <w:tc>
          <w:tcPr>
            <w:tcW w:w="780" w:type="pct"/>
            <w:tcBorders>
              <w:right w:val="single" w:sz="12" w:space="0" w:color="FFFFFF" w:themeColor="background1"/>
            </w:tcBorders>
            <w:tcMar>
              <w:top w:w="57" w:type="dxa"/>
              <w:bottom w:w="57" w:type="dxa"/>
            </w:tcMar>
          </w:tcPr>
          <w:p w14:paraId="7331E234" w14:textId="77777777" w:rsidR="007C6044" w:rsidRPr="006956F3" w:rsidRDefault="007C6044" w:rsidP="00320251">
            <w:pPr>
              <w:keepLines/>
              <w:spacing w:before="40" w:after="40" w:line="200" w:lineRule="atLeast"/>
              <w:rPr>
                <w:rFonts w:asciiTheme="minorHAnsi" w:eastAsia="Times New Roman" w:hAnsiTheme="minorHAnsi"/>
                <w:iCs/>
                <w:color w:val="auto"/>
                <w:szCs w:val="17"/>
              </w:rPr>
            </w:pPr>
            <w:r w:rsidRPr="00DC3A16">
              <w:rPr>
                <w:rFonts w:asciiTheme="minorHAnsi" w:eastAsia="Times New Roman" w:hAnsiTheme="minorHAnsi"/>
                <w:iCs/>
                <w:color w:val="auto"/>
                <w:szCs w:val="17"/>
              </w:rPr>
              <w:t>Women able to gain business or income-generating skills ~</w:t>
            </w:r>
          </w:p>
        </w:tc>
        <w:tc>
          <w:tcPr>
            <w:tcW w:w="9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BBFE0BF" w14:textId="77777777" w:rsidR="007C6044" w:rsidRPr="006956F3" w:rsidRDefault="007C6044" w:rsidP="006F27B1">
            <w:pPr>
              <w:keepLines/>
              <w:spacing w:before="40" w:after="40" w:line="200" w:lineRule="atLeast"/>
              <w:rPr>
                <w:rFonts w:asciiTheme="minorHAnsi" w:eastAsia="Times New Roman" w:hAnsiTheme="minorHAnsi"/>
                <w:iCs/>
                <w:color w:val="auto"/>
                <w:szCs w:val="17"/>
              </w:rPr>
            </w:pPr>
            <w:r w:rsidRPr="006C2E33">
              <w:rPr>
                <w:rFonts w:asciiTheme="minorHAnsi" w:eastAsia="Times New Roman" w:hAnsiTheme="minorHAnsi"/>
                <w:iCs/>
                <w:color w:val="auto"/>
                <w:szCs w:val="17"/>
              </w:rPr>
              <w:t>1,000 women are trained in business or income-generating skills</w:t>
            </w:r>
          </w:p>
        </w:tc>
        <w:tc>
          <w:tcPr>
            <w:tcW w:w="3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EA92D"/>
          </w:tcPr>
          <w:p w14:paraId="6B1DE2F7" w14:textId="77777777" w:rsidR="007C6044" w:rsidRPr="00880004" w:rsidRDefault="00DD2FF6" w:rsidP="0051373D">
            <w:pPr>
              <w:keepLines/>
              <w:spacing w:before="40" w:after="40" w:line="200" w:lineRule="atLeast"/>
              <w:jc w:val="center"/>
              <w:rPr>
                <w:rFonts w:eastAsia="Times New Roman"/>
                <w:iCs/>
                <w:color w:val="FFFFFF" w:themeColor="background1"/>
                <w:szCs w:val="17"/>
              </w:rPr>
            </w:pPr>
            <w:r w:rsidRPr="0051373D">
              <w:rPr>
                <w:rFonts w:asciiTheme="minorHAnsi" w:eastAsia="Times New Roman" w:hAnsiTheme="minorHAnsi"/>
                <w:iCs/>
                <w:color w:val="FFFFFF" w:themeColor="background1"/>
                <w:szCs w:val="17"/>
                <w:lang w:eastAsia="en-US"/>
              </w:rPr>
              <w:t xml:space="preserve"> Achieved</w:t>
            </w:r>
          </w:p>
        </w:tc>
        <w:tc>
          <w:tcPr>
            <w:tcW w:w="29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49906ED" w14:textId="3DA9C286" w:rsidR="007C6044" w:rsidRPr="006956F3" w:rsidRDefault="00DD2FF6" w:rsidP="002C5836">
            <w:pPr>
              <w:keepLines/>
              <w:spacing w:before="40" w:after="40" w:line="200" w:lineRule="atLeast"/>
              <w:rPr>
                <w:rFonts w:asciiTheme="minorHAnsi" w:eastAsia="Times New Roman" w:hAnsiTheme="minorHAnsi"/>
                <w:iCs/>
                <w:color w:val="auto"/>
                <w:szCs w:val="17"/>
              </w:rPr>
            </w:pPr>
            <w:r w:rsidRPr="002C5836">
              <w:rPr>
                <w:rFonts w:asciiTheme="minorHAnsi" w:eastAsia="Times New Roman" w:hAnsiTheme="minorHAnsi"/>
                <w:iCs/>
                <w:color w:val="auto"/>
                <w:szCs w:val="17"/>
              </w:rPr>
              <w:t xml:space="preserve">1160 </w:t>
            </w:r>
            <w:r w:rsidR="00E867EB" w:rsidRPr="002C5836">
              <w:rPr>
                <w:rFonts w:asciiTheme="minorHAnsi" w:eastAsia="Times New Roman" w:hAnsiTheme="minorHAnsi"/>
                <w:iCs/>
                <w:color w:val="auto"/>
                <w:szCs w:val="17"/>
              </w:rPr>
              <w:t xml:space="preserve">women </w:t>
            </w:r>
            <w:r w:rsidR="00E867EB" w:rsidRPr="006956F3">
              <w:rPr>
                <w:rFonts w:asciiTheme="minorHAnsi" w:eastAsia="Times New Roman" w:hAnsiTheme="minorHAnsi"/>
                <w:iCs/>
                <w:color w:val="auto"/>
                <w:szCs w:val="17"/>
              </w:rPr>
              <w:t>trained in business or income-generating skills</w:t>
            </w:r>
            <w:r w:rsidR="002C5836">
              <w:rPr>
                <w:rFonts w:asciiTheme="minorHAnsi" w:eastAsia="Times New Roman" w:hAnsiTheme="minorHAnsi"/>
                <w:iCs/>
                <w:color w:val="auto"/>
                <w:szCs w:val="17"/>
              </w:rPr>
              <w:t>:</w:t>
            </w:r>
            <w:r w:rsidR="00E867EB" w:rsidRPr="006956F3">
              <w:rPr>
                <w:rFonts w:asciiTheme="minorHAnsi" w:eastAsia="Times New Roman" w:hAnsiTheme="minorHAnsi"/>
                <w:iCs/>
                <w:color w:val="auto"/>
                <w:szCs w:val="17"/>
              </w:rPr>
              <w:t xml:space="preserve"> Youth@Work (316), APTC (</w:t>
            </w:r>
            <w:r>
              <w:rPr>
                <w:rFonts w:asciiTheme="minorHAnsi" w:eastAsia="Times New Roman" w:hAnsiTheme="minorHAnsi"/>
                <w:iCs/>
                <w:color w:val="auto"/>
                <w:szCs w:val="17"/>
              </w:rPr>
              <w:t>75</w:t>
            </w:r>
            <w:r w:rsidR="00E867EB" w:rsidRPr="006956F3">
              <w:rPr>
                <w:rFonts w:asciiTheme="minorHAnsi" w:eastAsia="Times New Roman" w:hAnsiTheme="minorHAnsi"/>
                <w:iCs/>
                <w:color w:val="auto"/>
                <w:szCs w:val="17"/>
              </w:rPr>
              <w:t>5), SIWIBA (138)</w:t>
            </w:r>
            <w:r>
              <w:rPr>
                <w:rFonts w:asciiTheme="minorHAnsi" w:eastAsia="Times New Roman" w:hAnsiTheme="minorHAnsi"/>
                <w:iCs/>
                <w:color w:val="auto"/>
                <w:szCs w:val="17"/>
              </w:rPr>
              <w:t>,</w:t>
            </w:r>
            <w:r w:rsidR="00E867EB" w:rsidRPr="006956F3">
              <w:rPr>
                <w:rFonts w:asciiTheme="minorHAnsi" w:eastAsia="Times New Roman" w:hAnsiTheme="minorHAnsi"/>
                <w:iCs/>
                <w:color w:val="auto"/>
                <w:szCs w:val="17"/>
              </w:rPr>
              <w:t xml:space="preserve"> Market4Change (</w:t>
            </w:r>
            <w:r w:rsidR="002E1974">
              <w:rPr>
                <w:rFonts w:asciiTheme="minorHAnsi" w:eastAsia="Times New Roman" w:hAnsiTheme="minorHAnsi"/>
                <w:iCs/>
                <w:color w:val="auto"/>
                <w:szCs w:val="17"/>
              </w:rPr>
              <w:t>211</w:t>
            </w:r>
            <w:r w:rsidR="00E867EB" w:rsidRPr="006956F3">
              <w:rPr>
                <w:rFonts w:asciiTheme="minorHAnsi" w:eastAsia="Times New Roman" w:hAnsiTheme="minorHAnsi"/>
                <w:iCs/>
                <w:color w:val="auto"/>
                <w:szCs w:val="17"/>
              </w:rPr>
              <w:t>)</w:t>
            </w:r>
            <w:r>
              <w:rPr>
                <w:rFonts w:asciiTheme="minorHAnsi" w:eastAsia="Times New Roman" w:hAnsiTheme="minorHAnsi"/>
                <w:iCs/>
                <w:color w:val="auto"/>
                <w:szCs w:val="17"/>
              </w:rPr>
              <w:t>, Rural Development Program (328) and PHARMA (92)</w:t>
            </w:r>
            <w:r w:rsidR="003A3C85">
              <w:rPr>
                <w:rFonts w:asciiTheme="minorHAnsi" w:eastAsia="Times New Roman" w:hAnsiTheme="minorHAnsi"/>
                <w:iCs/>
                <w:color w:val="auto"/>
                <w:szCs w:val="17"/>
              </w:rPr>
              <w:t xml:space="preserve">.  </w:t>
            </w:r>
          </w:p>
        </w:tc>
      </w:tr>
      <w:tr w:rsidR="007C6044" w:rsidRPr="00C61187" w14:paraId="65028C89" w14:textId="77777777" w:rsidTr="00061166">
        <w:trPr>
          <w:trHeight w:val="198"/>
        </w:trPr>
        <w:tc>
          <w:tcPr>
            <w:tcW w:w="780" w:type="pct"/>
            <w:tcBorders>
              <w:right w:val="single" w:sz="12" w:space="0" w:color="FFFFFF" w:themeColor="background1"/>
            </w:tcBorders>
            <w:tcMar>
              <w:top w:w="57" w:type="dxa"/>
              <w:bottom w:w="57" w:type="dxa"/>
            </w:tcMar>
          </w:tcPr>
          <w:p w14:paraId="2F06842B" w14:textId="77777777" w:rsidR="007C6044" w:rsidRPr="006956F3" w:rsidRDefault="007C6044" w:rsidP="00061166">
            <w:pPr>
              <w:keepLines/>
              <w:spacing w:before="40" w:after="40" w:line="200" w:lineRule="atLeast"/>
              <w:rPr>
                <w:rFonts w:asciiTheme="minorHAnsi" w:eastAsia="Times New Roman" w:hAnsiTheme="minorHAnsi"/>
                <w:iCs/>
                <w:color w:val="auto"/>
                <w:szCs w:val="17"/>
              </w:rPr>
            </w:pPr>
            <w:r w:rsidRPr="00DC3A16">
              <w:rPr>
                <w:rFonts w:asciiTheme="minorHAnsi" w:eastAsia="Times New Roman" w:hAnsiTheme="minorHAnsi"/>
                <w:iCs/>
                <w:color w:val="auto"/>
                <w:szCs w:val="17"/>
              </w:rPr>
              <w:t xml:space="preserve">Improved transport infrastructure </w:t>
            </w:r>
          </w:p>
        </w:tc>
        <w:tc>
          <w:tcPr>
            <w:tcW w:w="9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8093AE4" w14:textId="77777777" w:rsidR="007C6044" w:rsidRPr="006956F3" w:rsidRDefault="007C6044" w:rsidP="006F27B1">
            <w:pPr>
              <w:keepLines/>
              <w:spacing w:before="40" w:after="40" w:line="200" w:lineRule="atLeast"/>
              <w:rPr>
                <w:rFonts w:asciiTheme="minorHAnsi" w:eastAsia="Times New Roman" w:hAnsiTheme="minorHAnsi"/>
                <w:iCs/>
                <w:color w:val="auto"/>
                <w:szCs w:val="17"/>
              </w:rPr>
            </w:pPr>
            <w:r w:rsidRPr="006C2E33">
              <w:rPr>
                <w:rFonts w:asciiTheme="minorHAnsi" w:eastAsia="Times New Roman" w:hAnsiTheme="minorHAnsi"/>
                <w:iCs/>
                <w:color w:val="auto"/>
                <w:szCs w:val="17"/>
              </w:rPr>
              <w:t>700km of roads rehabilitated or maintained</w:t>
            </w:r>
          </w:p>
        </w:tc>
        <w:tc>
          <w:tcPr>
            <w:tcW w:w="3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EA92D"/>
          </w:tcPr>
          <w:p w14:paraId="05250B6F" w14:textId="77777777" w:rsidR="007C6044" w:rsidRPr="00880004" w:rsidRDefault="00925F90" w:rsidP="006F27B1">
            <w:pPr>
              <w:keepLines/>
              <w:spacing w:before="40" w:after="40" w:line="200" w:lineRule="atLeast"/>
              <w:jc w:val="center"/>
              <w:rPr>
                <w:rFonts w:eastAsia="Times New Roman"/>
                <w:iCs/>
                <w:color w:val="FFFFFF" w:themeColor="background1"/>
                <w:szCs w:val="17"/>
              </w:rPr>
            </w:pPr>
            <w:r w:rsidRPr="0051373D">
              <w:rPr>
                <w:rFonts w:asciiTheme="minorHAnsi" w:eastAsia="Times New Roman" w:hAnsiTheme="minorHAnsi"/>
                <w:iCs/>
                <w:color w:val="FFFFFF" w:themeColor="background1"/>
                <w:szCs w:val="17"/>
                <w:lang w:eastAsia="en-US"/>
              </w:rPr>
              <w:t>Achieved</w:t>
            </w:r>
          </w:p>
        </w:tc>
        <w:tc>
          <w:tcPr>
            <w:tcW w:w="29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9344330" w14:textId="060BD98D" w:rsidR="007C6044" w:rsidRPr="006956F3" w:rsidRDefault="00E867EB" w:rsidP="00925F90">
            <w:pPr>
              <w:keepLines/>
              <w:spacing w:before="40" w:after="40" w:line="200" w:lineRule="atLeast"/>
              <w:rPr>
                <w:rFonts w:asciiTheme="minorHAnsi" w:eastAsia="Times New Roman" w:hAnsiTheme="minorHAnsi"/>
                <w:iCs/>
                <w:color w:val="auto"/>
                <w:szCs w:val="17"/>
              </w:rPr>
            </w:pPr>
            <w:r w:rsidRPr="006956F3">
              <w:rPr>
                <w:rFonts w:asciiTheme="minorHAnsi" w:eastAsia="Times New Roman" w:hAnsiTheme="minorHAnsi"/>
                <w:iCs/>
                <w:color w:val="auto"/>
                <w:szCs w:val="17"/>
              </w:rPr>
              <w:t xml:space="preserve">Through Australian support for the NTF, </w:t>
            </w:r>
            <w:r w:rsidR="006668D0" w:rsidRPr="006956F3">
              <w:rPr>
                <w:rFonts w:asciiTheme="minorHAnsi" w:eastAsia="Times New Roman" w:hAnsiTheme="minorHAnsi"/>
                <w:iCs/>
                <w:color w:val="auto"/>
                <w:szCs w:val="17"/>
              </w:rPr>
              <w:t>SIG</w:t>
            </w:r>
            <w:r w:rsidRPr="006956F3">
              <w:rPr>
                <w:rFonts w:asciiTheme="minorHAnsi" w:eastAsia="Times New Roman" w:hAnsiTheme="minorHAnsi"/>
                <w:iCs/>
                <w:color w:val="auto"/>
                <w:szCs w:val="17"/>
              </w:rPr>
              <w:t xml:space="preserve"> maintained or rehabilitated </w:t>
            </w:r>
            <w:r w:rsidR="00925F90" w:rsidRPr="006956F3">
              <w:rPr>
                <w:rFonts w:asciiTheme="minorHAnsi" w:eastAsia="Times New Roman" w:hAnsiTheme="minorHAnsi"/>
                <w:iCs/>
                <w:color w:val="auto"/>
                <w:szCs w:val="17"/>
              </w:rPr>
              <w:t>992</w:t>
            </w:r>
            <w:r w:rsidR="006668D0" w:rsidRPr="006956F3">
              <w:rPr>
                <w:rFonts w:asciiTheme="minorHAnsi" w:eastAsia="Times New Roman" w:hAnsiTheme="minorHAnsi"/>
                <w:iCs/>
                <w:color w:val="auto"/>
                <w:szCs w:val="17"/>
              </w:rPr>
              <w:t xml:space="preserve">km </w:t>
            </w:r>
            <w:r w:rsidRPr="006956F3">
              <w:rPr>
                <w:rFonts w:asciiTheme="minorHAnsi" w:eastAsia="Times New Roman" w:hAnsiTheme="minorHAnsi"/>
                <w:iCs/>
                <w:color w:val="auto"/>
                <w:szCs w:val="17"/>
              </w:rPr>
              <w:t>of roads in 2016 (up from 255km in 2011</w:t>
            </w:r>
            <w:r w:rsidR="00925F90" w:rsidRPr="006956F3">
              <w:rPr>
                <w:rFonts w:asciiTheme="minorHAnsi" w:eastAsia="Times New Roman" w:hAnsiTheme="minorHAnsi"/>
                <w:iCs/>
                <w:color w:val="auto"/>
                <w:szCs w:val="17"/>
              </w:rPr>
              <w:t xml:space="preserve"> and 877km in 2015</w:t>
            </w:r>
            <w:r w:rsidR="003A3C85">
              <w:rPr>
                <w:rFonts w:asciiTheme="minorHAnsi" w:eastAsia="Times New Roman" w:hAnsiTheme="minorHAnsi"/>
                <w:iCs/>
                <w:color w:val="auto"/>
                <w:szCs w:val="17"/>
              </w:rPr>
              <w:t xml:space="preserve">.  </w:t>
            </w:r>
          </w:p>
        </w:tc>
      </w:tr>
      <w:tr w:rsidR="007C6044" w:rsidRPr="00C61187" w14:paraId="7BEB5355" w14:textId="77777777" w:rsidTr="00DC59A1">
        <w:trPr>
          <w:trHeight w:val="684"/>
        </w:trPr>
        <w:tc>
          <w:tcPr>
            <w:tcW w:w="780" w:type="pct"/>
            <w:tcBorders>
              <w:right w:val="single" w:sz="12" w:space="0" w:color="FFFFFF" w:themeColor="background1"/>
            </w:tcBorders>
            <w:tcMar>
              <w:top w:w="57" w:type="dxa"/>
              <w:bottom w:w="57" w:type="dxa"/>
            </w:tcMar>
          </w:tcPr>
          <w:p w14:paraId="2DD6469A" w14:textId="77777777" w:rsidR="007C6044" w:rsidRPr="006956F3" w:rsidRDefault="007C6044" w:rsidP="00320251">
            <w:pPr>
              <w:keepLines/>
              <w:spacing w:before="40" w:after="40" w:line="200" w:lineRule="atLeast"/>
              <w:rPr>
                <w:rFonts w:asciiTheme="minorHAnsi" w:eastAsia="Times New Roman" w:hAnsiTheme="minorHAnsi"/>
                <w:iCs/>
                <w:color w:val="auto"/>
                <w:szCs w:val="17"/>
              </w:rPr>
            </w:pPr>
            <w:r w:rsidRPr="00DC3A16">
              <w:rPr>
                <w:rFonts w:asciiTheme="minorHAnsi" w:eastAsia="Times New Roman" w:hAnsiTheme="minorHAnsi"/>
                <w:iCs/>
                <w:color w:val="auto"/>
                <w:szCs w:val="17"/>
              </w:rPr>
              <w:t>Improved environment for private sector investment, economic growth and trade</w:t>
            </w:r>
          </w:p>
        </w:tc>
        <w:tc>
          <w:tcPr>
            <w:tcW w:w="9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05F4BD4" w14:textId="77777777" w:rsidR="007C6044" w:rsidRPr="006956F3" w:rsidRDefault="007C6044" w:rsidP="00F156EE">
            <w:pPr>
              <w:keepLines/>
              <w:spacing w:before="40" w:after="40" w:line="200" w:lineRule="atLeast"/>
              <w:rPr>
                <w:rFonts w:asciiTheme="minorHAnsi" w:eastAsia="Times New Roman" w:hAnsiTheme="minorHAnsi"/>
                <w:iCs/>
                <w:color w:val="auto"/>
                <w:szCs w:val="17"/>
              </w:rPr>
            </w:pPr>
            <w:r w:rsidRPr="006C2E33">
              <w:rPr>
                <w:rFonts w:asciiTheme="minorHAnsi" w:eastAsia="Times New Roman" w:hAnsiTheme="minorHAnsi"/>
                <w:iCs/>
                <w:color w:val="auto"/>
                <w:szCs w:val="17"/>
              </w:rPr>
              <w:t xml:space="preserve">50% of </w:t>
            </w:r>
            <w:r w:rsidR="00F156EE">
              <w:rPr>
                <w:rFonts w:asciiTheme="minorHAnsi" w:eastAsia="Times New Roman" w:hAnsiTheme="minorHAnsi"/>
                <w:iCs/>
                <w:color w:val="auto"/>
                <w:szCs w:val="17"/>
              </w:rPr>
              <w:t>CEWG</w:t>
            </w:r>
            <w:r w:rsidRPr="006C2E33">
              <w:rPr>
                <w:rFonts w:asciiTheme="minorHAnsi" w:eastAsia="Times New Roman" w:hAnsiTheme="minorHAnsi"/>
                <w:iCs/>
                <w:color w:val="auto"/>
                <w:szCs w:val="17"/>
              </w:rPr>
              <w:t xml:space="preserve"> and Financial Reform Program actions achieved for 2016-17</w:t>
            </w:r>
          </w:p>
        </w:tc>
        <w:tc>
          <w:tcPr>
            <w:tcW w:w="3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0000"/>
          </w:tcPr>
          <w:p w14:paraId="32ECBB3D" w14:textId="77777777" w:rsidR="007C6044" w:rsidRPr="00880004" w:rsidRDefault="00E867EB" w:rsidP="00E867EB">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Not a</w:t>
            </w:r>
            <w:r w:rsidRPr="0051373D">
              <w:rPr>
                <w:rFonts w:asciiTheme="minorHAnsi" w:eastAsia="Times New Roman" w:hAnsiTheme="minorHAnsi"/>
                <w:iCs/>
                <w:color w:val="FFFFFF" w:themeColor="background1"/>
                <w:szCs w:val="17"/>
                <w:lang w:eastAsia="en-US"/>
              </w:rPr>
              <w:t>chieved</w:t>
            </w:r>
          </w:p>
        </w:tc>
        <w:tc>
          <w:tcPr>
            <w:tcW w:w="29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ED7E7FB" w14:textId="53ACC1FB" w:rsidR="007C6044" w:rsidRPr="006956F3" w:rsidRDefault="00E867EB" w:rsidP="00F91F91">
            <w:pPr>
              <w:keepLines/>
              <w:spacing w:before="40" w:after="40" w:line="200" w:lineRule="atLeast"/>
              <w:rPr>
                <w:rFonts w:asciiTheme="minorHAnsi" w:eastAsia="Times New Roman" w:hAnsiTheme="minorHAnsi"/>
                <w:iCs/>
                <w:color w:val="auto"/>
                <w:szCs w:val="17"/>
              </w:rPr>
            </w:pPr>
            <w:r w:rsidRPr="00EE2938">
              <w:rPr>
                <w:rFonts w:asciiTheme="minorHAnsi" w:eastAsia="Times New Roman" w:hAnsiTheme="minorHAnsi"/>
                <w:iCs/>
                <w:color w:val="auto"/>
                <w:szCs w:val="17"/>
              </w:rPr>
              <w:t xml:space="preserve">The </w:t>
            </w:r>
            <w:r w:rsidR="00CF2CB0">
              <w:rPr>
                <w:rFonts w:asciiTheme="minorHAnsi" w:eastAsia="Times New Roman" w:hAnsiTheme="minorHAnsi"/>
                <w:iCs/>
                <w:color w:val="auto"/>
                <w:szCs w:val="17"/>
              </w:rPr>
              <w:t>CEWG</w:t>
            </w:r>
            <w:r w:rsidRPr="00EE2938">
              <w:rPr>
                <w:rFonts w:asciiTheme="minorHAnsi" w:eastAsia="Times New Roman" w:hAnsiTheme="minorHAnsi"/>
                <w:iCs/>
                <w:color w:val="auto"/>
                <w:szCs w:val="17"/>
              </w:rPr>
              <w:t xml:space="preserve"> </w:t>
            </w:r>
            <w:r w:rsidR="00F156EE" w:rsidRPr="00EE2938">
              <w:rPr>
                <w:rFonts w:asciiTheme="minorHAnsi" w:eastAsia="Times New Roman" w:hAnsiTheme="minorHAnsi"/>
                <w:iCs/>
                <w:color w:val="auto"/>
                <w:szCs w:val="17"/>
              </w:rPr>
              <w:t>did</w:t>
            </w:r>
            <w:r w:rsidRPr="00EE2938">
              <w:rPr>
                <w:rFonts w:asciiTheme="minorHAnsi" w:eastAsia="Times New Roman" w:hAnsiTheme="minorHAnsi"/>
                <w:iCs/>
                <w:color w:val="auto"/>
                <w:szCs w:val="17"/>
              </w:rPr>
              <w:t xml:space="preserve"> not met during 2016-17 and has not endorsed a reform program for last two years</w:t>
            </w:r>
            <w:r w:rsidR="003A3C85">
              <w:rPr>
                <w:rFonts w:asciiTheme="minorHAnsi" w:eastAsia="Times New Roman" w:hAnsiTheme="minorHAnsi"/>
                <w:iCs/>
                <w:color w:val="auto"/>
                <w:szCs w:val="17"/>
              </w:rPr>
              <w:t xml:space="preserve">.  </w:t>
            </w:r>
            <w:r w:rsidRPr="00EE2938">
              <w:rPr>
                <w:rFonts w:asciiTheme="minorHAnsi" w:eastAsia="Times New Roman" w:hAnsiTheme="minorHAnsi"/>
                <w:iCs/>
                <w:color w:val="auto"/>
                <w:szCs w:val="17"/>
              </w:rPr>
              <w:t>As a result, Australia did not make a tranche payment of $3</w:t>
            </w:r>
            <w:r w:rsidR="00EC481D">
              <w:rPr>
                <w:rFonts w:asciiTheme="minorHAnsi" w:eastAsia="Times New Roman" w:hAnsiTheme="minorHAnsi"/>
                <w:iCs/>
                <w:color w:val="auto"/>
                <w:szCs w:val="17"/>
              </w:rPr>
              <w:t xml:space="preserve"> million</w:t>
            </w:r>
            <w:r w:rsidRPr="00EE2938">
              <w:rPr>
                <w:rFonts w:asciiTheme="minorHAnsi" w:eastAsia="Times New Roman" w:hAnsiTheme="minorHAnsi"/>
                <w:iCs/>
                <w:color w:val="auto"/>
                <w:szCs w:val="17"/>
              </w:rPr>
              <w:t xml:space="preserve"> </w:t>
            </w:r>
            <w:r w:rsidR="00F91F91">
              <w:rPr>
                <w:rFonts w:asciiTheme="minorHAnsi" w:eastAsia="Times New Roman" w:hAnsiTheme="minorHAnsi"/>
                <w:iCs/>
                <w:color w:val="auto"/>
                <w:szCs w:val="17"/>
              </w:rPr>
              <w:t>PLA</w:t>
            </w:r>
            <w:r w:rsidRPr="00EE2938">
              <w:rPr>
                <w:rFonts w:asciiTheme="minorHAnsi" w:eastAsia="Times New Roman" w:hAnsiTheme="minorHAnsi"/>
                <w:iCs/>
                <w:color w:val="auto"/>
                <w:szCs w:val="17"/>
              </w:rPr>
              <w:t xml:space="preserve"> related to this benchmark.</w:t>
            </w:r>
          </w:p>
        </w:tc>
      </w:tr>
      <w:tr w:rsidR="000F7BC7" w:rsidRPr="00C61187" w14:paraId="30A3834E" w14:textId="77777777" w:rsidTr="00B45FF0">
        <w:trPr>
          <w:trHeight w:val="198"/>
        </w:trPr>
        <w:tc>
          <w:tcPr>
            <w:tcW w:w="1" w:type="pct"/>
            <w:gridSpan w:val="2"/>
            <w:tcBorders>
              <w:right w:val="single" w:sz="12" w:space="0" w:color="FFFFFF" w:themeColor="background1"/>
            </w:tcBorders>
            <w:tcMar>
              <w:top w:w="57" w:type="dxa"/>
              <w:bottom w:w="57" w:type="dxa"/>
            </w:tcMar>
          </w:tcPr>
          <w:p w14:paraId="3B93DF2A" w14:textId="3211F490" w:rsidR="000F7BC7" w:rsidRPr="006C2E33" w:rsidRDefault="000F7BC7" w:rsidP="006F27B1">
            <w:pPr>
              <w:keepLines/>
              <w:spacing w:before="40" w:after="40" w:line="200" w:lineRule="atLeast"/>
              <w:rPr>
                <w:rFonts w:eastAsia="Times New Roman"/>
                <w:iCs/>
                <w:color w:val="auto"/>
                <w:szCs w:val="17"/>
              </w:rPr>
            </w:pPr>
            <w:r>
              <w:rPr>
                <w:rFonts w:eastAsia="Times New Roman"/>
                <w:b/>
                <w:iCs/>
                <w:color w:val="auto"/>
                <w:szCs w:val="17"/>
              </w:rPr>
              <w:t xml:space="preserve">Enhancing </w:t>
            </w:r>
            <w:r w:rsidRPr="007C6044">
              <w:rPr>
                <w:rFonts w:eastAsia="Times New Roman"/>
                <w:b/>
                <w:iCs/>
                <w:color w:val="auto"/>
                <w:szCs w:val="17"/>
              </w:rPr>
              <w:t xml:space="preserve">Human Development </w:t>
            </w:r>
          </w:p>
        </w:tc>
        <w:tc>
          <w:tcPr>
            <w:tcW w:w="3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32E52DB8" w14:textId="77777777" w:rsidR="000F7BC7" w:rsidRPr="00880004" w:rsidRDefault="000F7BC7" w:rsidP="006F27B1">
            <w:pPr>
              <w:keepLines/>
              <w:spacing w:before="40" w:after="40" w:line="200" w:lineRule="atLeast"/>
              <w:jc w:val="center"/>
              <w:rPr>
                <w:rFonts w:eastAsia="Times New Roman"/>
                <w:iCs/>
                <w:color w:val="FFFFFF" w:themeColor="background1"/>
                <w:szCs w:val="17"/>
              </w:rPr>
            </w:pPr>
          </w:p>
        </w:tc>
        <w:tc>
          <w:tcPr>
            <w:tcW w:w="29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D17AF0F" w14:textId="77777777" w:rsidR="000F7BC7" w:rsidRPr="006956F3" w:rsidRDefault="000F7BC7" w:rsidP="006F27B1">
            <w:pPr>
              <w:keepLines/>
              <w:spacing w:before="40" w:after="40" w:line="200" w:lineRule="atLeast"/>
              <w:rPr>
                <w:rFonts w:asciiTheme="minorHAnsi" w:eastAsia="Times New Roman" w:hAnsiTheme="minorHAnsi"/>
                <w:iCs/>
                <w:color w:val="auto"/>
                <w:szCs w:val="17"/>
              </w:rPr>
            </w:pPr>
          </w:p>
        </w:tc>
      </w:tr>
      <w:tr w:rsidR="007C6044" w:rsidRPr="00C61187" w14:paraId="4933D7B0" w14:textId="77777777" w:rsidTr="00DC59A1">
        <w:trPr>
          <w:trHeight w:val="460"/>
        </w:trPr>
        <w:tc>
          <w:tcPr>
            <w:tcW w:w="780" w:type="pct"/>
            <w:tcBorders>
              <w:right w:val="single" w:sz="12" w:space="0" w:color="FFFFFF" w:themeColor="background1"/>
            </w:tcBorders>
            <w:tcMar>
              <w:top w:w="57" w:type="dxa"/>
              <w:bottom w:w="57" w:type="dxa"/>
            </w:tcMar>
          </w:tcPr>
          <w:p w14:paraId="0BF10B4D" w14:textId="77777777" w:rsidR="007C6044" w:rsidRPr="006956F3" w:rsidRDefault="007C6044" w:rsidP="00320251">
            <w:pPr>
              <w:keepLines/>
              <w:spacing w:before="40" w:after="40" w:line="200" w:lineRule="atLeast"/>
              <w:rPr>
                <w:rFonts w:asciiTheme="minorHAnsi" w:eastAsia="Times New Roman" w:hAnsiTheme="minorHAnsi"/>
                <w:iCs/>
                <w:color w:val="auto"/>
                <w:szCs w:val="17"/>
              </w:rPr>
            </w:pPr>
            <w:r w:rsidRPr="00DC3A16">
              <w:rPr>
                <w:rFonts w:asciiTheme="minorHAnsi" w:eastAsia="Times New Roman" w:hAnsiTheme="minorHAnsi"/>
                <w:iCs/>
                <w:color w:val="auto"/>
                <w:szCs w:val="17"/>
              </w:rPr>
              <w:t xml:space="preserve">Improved functioning of health system </w:t>
            </w:r>
          </w:p>
        </w:tc>
        <w:tc>
          <w:tcPr>
            <w:tcW w:w="9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94B32C9" w14:textId="77777777" w:rsidR="007C6044" w:rsidRPr="006956F3" w:rsidRDefault="007C6044" w:rsidP="00CF2CB0">
            <w:pPr>
              <w:keepLines/>
              <w:spacing w:before="40" w:after="40" w:line="200" w:lineRule="atLeast"/>
              <w:rPr>
                <w:rFonts w:asciiTheme="minorHAnsi" w:eastAsia="Times New Roman" w:hAnsiTheme="minorHAnsi"/>
                <w:iCs/>
                <w:color w:val="auto"/>
                <w:szCs w:val="17"/>
              </w:rPr>
            </w:pPr>
            <w:r w:rsidRPr="006C2E33">
              <w:rPr>
                <w:rFonts w:asciiTheme="minorHAnsi" w:eastAsia="Times New Roman" w:hAnsiTheme="minorHAnsi"/>
                <w:iCs/>
                <w:color w:val="auto"/>
                <w:szCs w:val="17"/>
              </w:rPr>
              <w:t>Availability of cr</w:t>
            </w:r>
            <w:r w:rsidR="00CF2CB0">
              <w:rPr>
                <w:rFonts w:asciiTheme="minorHAnsi" w:eastAsia="Times New Roman" w:hAnsiTheme="minorHAnsi"/>
                <w:iCs/>
                <w:color w:val="auto"/>
                <w:szCs w:val="17"/>
              </w:rPr>
              <w:t>itical and essential medicines</w:t>
            </w:r>
            <w:r w:rsidRPr="006C2E33">
              <w:rPr>
                <w:rFonts w:asciiTheme="minorHAnsi" w:eastAsia="Times New Roman" w:hAnsiTheme="minorHAnsi"/>
                <w:iCs/>
                <w:color w:val="auto"/>
                <w:szCs w:val="17"/>
              </w:rPr>
              <w:t xml:space="preserve">  is 90%</w:t>
            </w:r>
          </w:p>
        </w:tc>
        <w:tc>
          <w:tcPr>
            <w:tcW w:w="3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EA92D"/>
          </w:tcPr>
          <w:p w14:paraId="14E80A23" w14:textId="77777777" w:rsidR="007C6044" w:rsidRPr="00880004" w:rsidRDefault="004E7109" w:rsidP="006F27B1">
            <w:pPr>
              <w:keepLines/>
              <w:spacing w:before="40" w:after="40" w:line="200" w:lineRule="atLeast"/>
              <w:jc w:val="center"/>
              <w:rPr>
                <w:rFonts w:eastAsia="Times New Roman"/>
                <w:iCs/>
                <w:color w:val="FFFFFF" w:themeColor="background1"/>
                <w:szCs w:val="17"/>
              </w:rPr>
            </w:pPr>
            <w:r w:rsidRPr="0051373D">
              <w:rPr>
                <w:rFonts w:asciiTheme="minorHAnsi" w:eastAsia="Times New Roman" w:hAnsiTheme="minorHAnsi"/>
                <w:iCs/>
                <w:color w:val="FFFFFF" w:themeColor="background1"/>
                <w:szCs w:val="17"/>
                <w:lang w:eastAsia="en-US"/>
              </w:rPr>
              <w:t>Achieved</w:t>
            </w:r>
          </w:p>
        </w:tc>
        <w:tc>
          <w:tcPr>
            <w:tcW w:w="29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4D98E46" w14:textId="77777777" w:rsidR="007C6044" w:rsidRPr="006956F3" w:rsidRDefault="004E7109" w:rsidP="006F27B1">
            <w:pPr>
              <w:keepLines/>
              <w:spacing w:before="40" w:after="40" w:line="200" w:lineRule="atLeast"/>
              <w:rPr>
                <w:rFonts w:asciiTheme="minorHAnsi" w:eastAsia="Times New Roman" w:hAnsiTheme="minorHAnsi"/>
                <w:iCs/>
                <w:color w:val="auto"/>
                <w:szCs w:val="17"/>
              </w:rPr>
            </w:pPr>
            <w:r w:rsidRPr="00EE2938">
              <w:rPr>
                <w:rFonts w:asciiTheme="minorHAnsi" w:eastAsia="Times New Roman" w:hAnsiTheme="minorHAnsi"/>
                <w:iCs/>
                <w:color w:val="auto"/>
                <w:szCs w:val="17"/>
              </w:rPr>
              <w:t>Availability of essential medicines a</w:t>
            </w:r>
            <w:r w:rsidR="00FF58BF" w:rsidRPr="00EE2938">
              <w:rPr>
                <w:rFonts w:asciiTheme="minorHAnsi" w:eastAsia="Times New Roman" w:hAnsiTheme="minorHAnsi"/>
                <w:iCs/>
                <w:color w:val="auto"/>
                <w:szCs w:val="17"/>
              </w:rPr>
              <w:t>t</w:t>
            </w:r>
            <w:r w:rsidRPr="00EE2938">
              <w:rPr>
                <w:rFonts w:asciiTheme="minorHAnsi" w:eastAsia="Times New Roman" w:hAnsiTheme="minorHAnsi"/>
                <w:iCs/>
                <w:color w:val="auto"/>
                <w:szCs w:val="17"/>
              </w:rPr>
              <w:t xml:space="preserve"> pro</w:t>
            </w:r>
            <w:r w:rsidR="00FF58BF" w:rsidRPr="00EE2938">
              <w:rPr>
                <w:rFonts w:asciiTheme="minorHAnsi" w:eastAsia="Times New Roman" w:hAnsiTheme="minorHAnsi"/>
                <w:iCs/>
                <w:color w:val="auto"/>
                <w:szCs w:val="17"/>
              </w:rPr>
              <w:t>vincial medical stores was 90% in 2016, an increase from 89% in 2015.</w:t>
            </w:r>
          </w:p>
        </w:tc>
      </w:tr>
      <w:tr w:rsidR="00790E31" w:rsidRPr="00C61187" w14:paraId="1B8804E8" w14:textId="77777777" w:rsidTr="00DC59A1">
        <w:trPr>
          <w:trHeight w:val="696"/>
        </w:trPr>
        <w:tc>
          <w:tcPr>
            <w:tcW w:w="780" w:type="pct"/>
            <w:tcBorders>
              <w:right w:val="single" w:sz="12" w:space="0" w:color="FFFFFF" w:themeColor="background1"/>
            </w:tcBorders>
            <w:tcMar>
              <w:top w:w="57" w:type="dxa"/>
              <w:bottom w:w="57" w:type="dxa"/>
            </w:tcMar>
          </w:tcPr>
          <w:p w14:paraId="64E666FB" w14:textId="77777777" w:rsidR="00790E31" w:rsidRPr="006956F3" w:rsidRDefault="00790E31" w:rsidP="00790E31">
            <w:pPr>
              <w:keepLines/>
              <w:spacing w:before="40" w:after="40" w:line="200" w:lineRule="atLeast"/>
              <w:rPr>
                <w:rFonts w:asciiTheme="minorHAnsi" w:eastAsia="Times New Roman" w:hAnsiTheme="minorHAnsi"/>
                <w:iCs/>
                <w:color w:val="auto"/>
                <w:szCs w:val="17"/>
              </w:rPr>
            </w:pPr>
            <w:r w:rsidRPr="00DC3A16">
              <w:rPr>
                <w:rFonts w:asciiTheme="minorHAnsi" w:eastAsia="Times New Roman" w:hAnsiTheme="minorHAnsi"/>
                <w:iCs/>
                <w:color w:val="auto"/>
                <w:szCs w:val="17"/>
              </w:rPr>
              <w:t>Year 4 literacy and numeracy rates – SISTA</w:t>
            </w:r>
          </w:p>
        </w:tc>
        <w:tc>
          <w:tcPr>
            <w:tcW w:w="9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609A889" w14:textId="77777777" w:rsidR="00790E31" w:rsidRPr="006956F3" w:rsidRDefault="00790E31" w:rsidP="00790E31">
            <w:pPr>
              <w:keepLines/>
              <w:spacing w:before="40" w:after="40" w:line="200" w:lineRule="atLeast"/>
              <w:rPr>
                <w:rFonts w:asciiTheme="minorHAnsi" w:eastAsia="Times New Roman" w:hAnsiTheme="minorHAnsi"/>
                <w:iCs/>
                <w:color w:val="auto"/>
                <w:szCs w:val="17"/>
              </w:rPr>
            </w:pPr>
            <w:r w:rsidRPr="006C2E33">
              <w:rPr>
                <w:rFonts w:asciiTheme="minorHAnsi" w:eastAsia="Times New Roman" w:hAnsiTheme="minorHAnsi"/>
                <w:iCs/>
                <w:color w:val="auto"/>
                <w:szCs w:val="17"/>
              </w:rPr>
              <w:t>Progress toward SIG’s 2020 target of 85%</w:t>
            </w:r>
            <w:r>
              <w:rPr>
                <w:rFonts w:asciiTheme="minorHAnsi" w:eastAsia="Times New Roman" w:hAnsiTheme="minorHAnsi"/>
                <w:iCs/>
                <w:color w:val="auto"/>
                <w:szCs w:val="17"/>
              </w:rPr>
              <w:t xml:space="preserve">, </w:t>
            </w:r>
            <w:r w:rsidRPr="006C2E33">
              <w:rPr>
                <w:rFonts w:asciiTheme="minorHAnsi" w:eastAsia="Times New Roman" w:hAnsiTheme="minorHAnsi"/>
                <w:iCs/>
                <w:color w:val="auto"/>
                <w:szCs w:val="17"/>
              </w:rPr>
              <w:t>from 75.6%</w:t>
            </w:r>
            <w:r>
              <w:rPr>
                <w:rFonts w:asciiTheme="minorHAnsi" w:eastAsia="Times New Roman" w:hAnsiTheme="minorHAnsi"/>
                <w:iCs/>
                <w:color w:val="auto"/>
                <w:szCs w:val="17"/>
              </w:rPr>
              <w:t xml:space="preserve"> (2015 result for reading)</w:t>
            </w:r>
          </w:p>
        </w:tc>
        <w:tc>
          <w:tcPr>
            <w:tcW w:w="31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8F16"/>
          </w:tcPr>
          <w:p w14:paraId="6B938B8C" w14:textId="77777777" w:rsidR="00790E31" w:rsidRPr="00962490" w:rsidRDefault="00790E31" w:rsidP="00790E31">
            <w:pPr>
              <w:keepLines/>
              <w:spacing w:before="40" w:after="40" w:line="200" w:lineRule="atLeast"/>
              <w:jc w:val="center"/>
              <w:rPr>
                <w:rFonts w:asciiTheme="minorHAnsi" w:eastAsia="Times New Roman" w:hAnsiTheme="minorHAnsi"/>
                <w:iCs/>
                <w:color w:val="FFFFFF" w:themeColor="background1"/>
                <w:szCs w:val="17"/>
              </w:rPr>
            </w:pPr>
            <w:r w:rsidRPr="00EE0700">
              <w:rPr>
                <w:rFonts w:asciiTheme="minorHAnsi" w:eastAsia="Times New Roman" w:hAnsiTheme="minorHAnsi"/>
                <w:iCs/>
                <w:color w:val="FFFFFF" w:themeColor="background1"/>
                <w:szCs w:val="17"/>
              </w:rPr>
              <w:t>Partly achieved</w:t>
            </w:r>
          </w:p>
        </w:tc>
        <w:tc>
          <w:tcPr>
            <w:tcW w:w="29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65D7CC3" w14:textId="7DF166FC" w:rsidR="00790E31" w:rsidRPr="006956F3" w:rsidRDefault="00790E31" w:rsidP="00235866">
            <w:pPr>
              <w:keepLines/>
              <w:spacing w:before="40" w:after="40" w:line="200" w:lineRule="atLeast"/>
              <w:rPr>
                <w:rFonts w:asciiTheme="minorHAnsi" w:eastAsia="Times New Roman" w:hAnsiTheme="minorHAnsi"/>
                <w:iCs/>
                <w:color w:val="auto"/>
                <w:szCs w:val="17"/>
              </w:rPr>
            </w:pPr>
            <w:r w:rsidRPr="00001CFD">
              <w:rPr>
                <w:rFonts w:asciiTheme="minorHAnsi" w:eastAsia="Times New Roman" w:hAnsiTheme="minorHAnsi"/>
                <w:iCs/>
                <w:color w:val="auto"/>
                <w:szCs w:val="17"/>
              </w:rPr>
              <w:t>SISTA was not conducted in 2016 but is on schedule to be imple</w:t>
            </w:r>
            <w:r>
              <w:rPr>
                <w:rFonts w:asciiTheme="minorHAnsi" w:eastAsia="Times New Roman" w:hAnsiTheme="minorHAnsi"/>
                <w:iCs/>
                <w:color w:val="auto"/>
                <w:szCs w:val="17"/>
              </w:rPr>
              <w:t>mented in late 2017 as planned</w:t>
            </w:r>
            <w:r w:rsidR="003A3C85">
              <w:rPr>
                <w:rFonts w:asciiTheme="minorHAnsi" w:eastAsia="Times New Roman" w:hAnsiTheme="minorHAnsi"/>
                <w:iCs/>
                <w:color w:val="auto"/>
                <w:szCs w:val="17"/>
              </w:rPr>
              <w:t xml:space="preserve">.  </w:t>
            </w:r>
            <w:r>
              <w:rPr>
                <w:rFonts w:asciiTheme="minorHAnsi" w:eastAsia="Times New Roman" w:hAnsiTheme="minorHAnsi"/>
                <w:iCs/>
                <w:color w:val="auto"/>
                <w:szCs w:val="17"/>
              </w:rPr>
              <w:t>The rate of 75.6 per cent reported in the 2015-16 reflected students’ ability in reading and language</w:t>
            </w:r>
            <w:r w:rsidR="003A3C85">
              <w:rPr>
                <w:rFonts w:asciiTheme="minorHAnsi" w:eastAsia="Times New Roman" w:hAnsiTheme="minorHAnsi"/>
                <w:iCs/>
                <w:color w:val="auto"/>
                <w:szCs w:val="17"/>
              </w:rPr>
              <w:t xml:space="preserve">.  </w:t>
            </w:r>
            <w:r>
              <w:rPr>
                <w:rFonts w:asciiTheme="minorHAnsi" w:eastAsia="Times New Roman" w:hAnsiTheme="minorHAnsi"/>
                <w:iCs/>
                <w:color w:val="auto"/>
                <w:szCs w:val="17"/>
              </w:rPr>
              <w:t>In 2015</w:t>
            </w:r>
            <w:r w:rsidR="00235866">
              <w:rPr>
                <w:rFonts w:asciiTheme="minorHAnsi" w:eastAsia="Times New Roman" w:hAnsiTheme="minorHAnsi"/>
                <w:iCs/>
                <w:color w:val="auto"/>
                <w:szCs w:val="17"/>
              </w:rPr>
              <w:t>,</w:t>
            </w:r>
            <w:r>
              <w:rPr>
                <w:rFonts w:asciiTheme="minorHAnsi" w:eastAsia="Times New Roman" w:hAnsiTheme="minorHAnsi"/>
                <w:iCs/>
                <w:color w:val="auto"/>
                <w:szCs w:val="17"/>
              </w:rPr>
              <w:t xml:space="preserve"> 15.3 per cent of year 4 students were performing at or above the expected standard for writing and 61.7 per cent for numeracy.</w:t>
            </w:r>
          </w:p>
        </w:tc>
      </w:tr>
      <w:tr w:rsidR="007C6044" w:rsidRPr="00C61187" w14:paraId="0FC23C47" w14:textId="77777777" w:rsidTr="00DC59A1">
        <w:trPr>
          <w:trHeight w:val="594"/>
        </w:trPr>
        <w:tc>
          <w:tcPr>
            <w:tcW w:w="780" w:type="pct"/>
            <w:tcBorders>
              <w:right w:val="single" w:sz="12" w:space="0" w:color="FFFFFF" w:themeColor="background1"/>
            </w:tcBorders>
            <w:tcMar>
              <w:top w:w="57" w:type="dxa"/>
              <w:bottom w:w="57" w:type="dxa"/>
            </w:tcMar>
          </w:tcPr>
          <w:p w14:paraId="4C30F75F" w14:textId="77777777" w:rsidR="007C6044" w:rsidRPr="006956F3" w:rsidRDefault="007C6044" w:rsidP="00E55B36">
            <w:pPr>
              <w:keepLines/>
              <w:spacing w:before="40" w:after="40" w:line="200" w:lineRule="atLeast"/>
              <w:rPr>
                <w:rFonts w:asciiTheme="minorHAnsi" w:eastAsia="Times New Roman" w:hAnsiTheme="minorHAnsi"/>
                <w:iCs/>
                <w:color w:val="auto"/>
                <w:szCs w:val="17"/>
              </w:rPr>
            </w:pPr>
            <w:r w:rsidRPr="00DC3A16">
              <w:rPr>
                <w:rFonts w:asciiTheme="minorHAnsi" w:eastAsia="Times New Roman" w:hAnsiTheme="minorHAnsi"/>
                <w:iCs/>
                <w:color w:val="auto"/>
                <w:szCs w:val="17"/>
              </w:rPr>
              <w:t xml:space="preserve">Increase in percentage of </w:t>
            </w:r>
            <w:r w:rsidR="003342B7">
              <w:rPr>
                <w:rFonts w:asciiTheme="minorHAnsi" w:eastAsia="Times New Roman" w:hAnsiTheme="minorHAnsi"/>
                <w:iCs/>
                <w:color w:val="auto"/>
                <w:szCs w:val="17"/>
              </w:rPr>
              <w:t xml:space="preserve">primary </w:t>
            </w:r>
            <w:r w:rsidRPr="00DC3A16">
              <w:rPr>
                <w:rFonts w:asciiTheme="minorHAnsi" w:eastAsia="Times New Roman" w:hAnsiTheme="minorHAnsi"/>
                <w:iCs/>
                <w:color w:val="auto"/>
                <w:szCs w:val="17"/>
              </w:rPr>
              <w:t xml:space="preserve">teachers </w:t>
            </w:r>
            <w:r w:rsidR="00E55B36">
              <w:rPr>
                <w:rFonts w:asciiTheme="minorHAnsi" w:eastAsia="Times New Roman" w:hAnsiTheme="minorHAnsi"/>
                <w:iCs/>
                <w:color w:val="auto"/>
                <w:szCs w:val="17"/>
              </w:rPr>
              <w:t>certified</w:t>
            </w:r>
          </w:p>
        </w:tc>
        <w:tc>
          <w:tcPr>
            <w:tcW w:w="936" w:type="pct"/>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0D8ECF1B" w14:textId="77777777" w:rsidR="007C6044" w:rsidRPr="006956F3" w:rsidRDefault="003342B7" w:rsidP="00747513">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 xml:space="preserve">Progress towards 2017 target of 73% of primary </w:t>
            </w:r>
            <w:r w:rsidR="007C6044" w:rsidRPr="006C2E33">
              <w:rPr>
                <w:rFonts w:asciiTheme="minorHAnsi" w:eastAsia="Times New Roman" w:hAnsiTheme="minorHAnsi"/>
                <w:iCs/>
                <w:color w:val="auto"/>
                <w:szCs w:val="17"/>
              </w:rPr>
              <w:t xml:space="preserve">teachers </w:t>
            </w:r>
            <w:r w:rsidR="00E55B36">
              <w:rPr>
                <w:rFonts w:asciiTheme="minorHAnsi" w:eastAsia="Times New Roman" w:hAnsiTheme="minorHAnsi"/>
                <w:iCs/>
                <w:color w:val="auto"/>
                <w:szCs w:val="17"/>
              </w:rPr>
              <w:t>certified</w:t>
            </w:r>
          </w:p>
        </w:tc>
        <w:tc>
          <w:tcPr>
            <w:tcW w:w="31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EA8F16"/>
          </w:tcPr>
          <w:p w14:paraId="3AABFF3F" w14:textId="77777777" w:rsidR="007C6044" w:rsidRPr="00962490" w:rsidRDefault="00790E31" w:rsidP="006F27B1">
            <w:pPr>
              <w:keepLines/>
              <w:spacing w:before="40" w:after="40" w:line="200" w:lineRule="atLeast"/>
              <w:jc w:val="center"/>
              <w:rPr>
                <w:rFonts w:asciiTheme="minorHAnsi" w:eastAsia="Times New Roman" w:hAnsiTheme="minorHAnsi"/>
                <w:iCs/>
                <w:color w:val="FFFFFF" w:themeColor="background1"/>
                <w:szCs w:val="17"/>
              </w:rPr>
            </w:pPr>
            <w:r w:rsidRPr="00995CAC">
              <w:rPr>
                <w:rFonts w:asciiTheme="minorHAnsi" w:eastAsia="Times New Roman" w:hAnsiTheme="minorHAnsi"/>
                <w:iCs/>
                <w:color w:val="FFFFFF" w:themeColor="background1"/>
                <w:szCs w:val="17"/>
              </w:rPr>
              <w:t>Partly achieved</w:t>
            </w:r>
          </w:p>
        </w:tc>
        <w:tc>
          <w:tcPr>
            <w:tcW w:w="2970" w:type="pct"/>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736BF5D1" w14:textId="550677DE" w:rsidR="007C6044" w:rsidRPr="00790E31" w:rsidRDefault="00235866" w:rsidP="00747513">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 xml:space="preserve">In 2017, </w:t>
            </w:r>
            <w:r w:rsidR="00A67D90">
              <w:rPr>
                <w:rFonts w:asciiTheme="minorHAnsi" w:eastAsia="Times New Roman" w:hAnsiTheme="minorHAnsi"/>
                <w:iCs/>
                <w:color w:val="auto"/>
                <w:szCs w:val="17"/>
              </w:rPr>
              <w:t>MEHRD adopted teacher certification as the preferred measure for</w:t>
            </w:r>
            <w:r w:rsidR="00790E31" w:rsidRPr="00790E31">
              <w:rPr>
                <w:rFonts w:asciiTheme="minorHAnsi" w:eastAsia="Times New Roman" w:hAnsiTheme="minorHAnsi"/>
                <w:iCs/>
                <w:color w:val="auto"/>
                <w:szCs w:val="17"/>
              </w:rPr>
              <w:t xml:space="preserve"> teacher quality</w:t>
            </w:r>
            <w:r w:rsidR="003A3C85">
              <w:rPr>
                <w:rFonts w:asciiTheme="minorHAnsi" w:eastAsia="Times New Roman" w:hAnsiTheme="minorHAnsi"/>
                <w:iCs/>
                <w:color w:val="auto"/>
                <w:szCs w:val="17"/>
              </w:rPr>
              <w:t xml:space="preserve">.  </w:t>
            </w:r>
            <w:r w:rsidR="00790E31" w:rsidRPr="00790E31">
              <w:rPr>
                <w:rFonts w:asciiTheme="minorHAnsi" w:eastAsia="Times New Roman" w:hAnsiTheme="minorHAnsi"/>
                <w:iCs/>
                <w:color w:val="auto"/>
                <w:szCs w:val="17"/>
              </w:rPr>
              <w:t>In 2016</w:t>
            </w:r>
            <w:r>
              <w:rPr>
                <w:rFonts w:asciiTheme="minorHAnsi" w:eastAsia="Times New Roman" w:hAnsiTheme="minorHAnsi"/>
                <w:iCs/>
                <w:color w:val="auto"/>
                <w:szCs w:val="17"/>
              </w:rPr>
              <w:t>,</w:t>
            </w:r>
            <w:r w:rsidR="00790E31" w:rsidRPr="00790E31">
              <w:rPr>
                <w:rFonts w:asciiTheme="minorHAnsi" w:eastAsia="Times New Roman" w:hAnsiTheme="minorHAnsi"/>
                <w:iCs/>
                <w:color w:val="auto"/>
                <w:szCs w:val="17"/>
              </w:rPr>
              <w:t xml:space="preserve"> </w:t>
            </w:r>
            <w:r w:rsidR="003342B7">
              <w:rPr>
                <w:rFonts w:asciiTheme="minorHAnsi" w:eastAsia="Times New Roman" w:hAnsiTheme="minorHAnsi"/>
                <w:iCs/>
                <w:color w:val="auto"/>
                <w:szCs w:val="17"/>
              </w:rPr>
              <w:t>65.6 p</w:t>
            </w:r>
            <w:r w:rsidR="00A67D90">
              <w:rPr>
                <w:rFonts w:asciiTheme="minorHAnsi" w:eastAsia="Times New Roman" w:hAnsiTheme="minorHAnsi"/>
                <w:iCs/>
                <w:color w:val="auto"/>
                <w:szCs w:val="17"/>
              </w:rPr>
              <w:t>er cent</w:t>
            </w:r>
            <w:r w:rsidR="00790E31" w:rsidRPr="00790E31">
              <w:rPr>
                <w:rFonts w:asciiTheme="minorHAnsi" w:eastAsia="Times New Roman" w:hAnsiTheme="minorHAnsi"/>
                <w:iCs/>
                <w:color w:val="auto"/>
                <w:szCs w:val="17"/>
              </w:rPr>
              <w:t xml:space="preserve"> </w:t>
            </w:r>
            <w:r w:rsidR="003342B7">
              <w:rPr>
                <w:rFonts w:asciiTheme="minorHAnsi" w:eastAsia="Times New Roman" w:hAnsiTheme="minorHAnsi"/>
                <w:iCs/>
                <w:color w:val="auto"/>
                <w:szCs w:val="17"/>
              </w:rPr>
              <w:t>of</w:t>
            </w:r>
            <w:r w:rsidR="00790E31" w:rsidRPr="00790E31">
              <w:rPr>
                <w:rFonts w:asciiTheme="minorHAnsi" w:eastAsia="Times New Roman" w:hAnsiTheme="minorHAnsi"/>
                <w:iCs/>
                <w:color w:val="auto"/>
                <w:szCs w:val="17"/>
              </w:rPr>
              <w:t xml:space="preserve"> teachers were certified</w:t>
            </w:r>
            <w:r>
              <w:rPr>
                <w:rFonts w:asciiTheme="minorHAnsi" w:eastAsia="Times New Roman" w:hAnsiTheme="minorHAnsi"/>
                <w:iCs/>
                <w:color w:val="auto"/>
                <w:szCs w:val="17"/>
              </w:rPr>
              <w:t xml:space="preserve"> (</w:t>
            </w:r>
            <w:r w:rsidR="003A613F">
              <w:rPr>
                <w:rFonts w:asciiTheme="minorHAnsi" w:eastAsia="Times New Roman" w:hAnsiTheme="minorHAnsi"/>
                <w:iCs/>
                <w:color w:val="auto"/>
                <w:szCs w:val="17"/>
              </w:rPr>
              <w:t xml:space="preserve">somewhat </w:t>
            </w:r>
            <w:r w:rsidR="00790E31" w:rsidRPr="00790E31">
              <w:rPr>
                <w:rFonts w:asciiTheme="minorHAnsi" w:eastAsia="Times New Roman" w:hAnsiTheme="minorHAnsi"/>
                <w:iCs/>
                <w:color w:val="auto"/>
                <w:szCs w:val="17"/>
              </w:rPr>
              <w:t xml:space="preserve">short of </w:t>
            </w:r>
            <w:r w:rsidR="003A613F">
              <w:rPr>
                <w:rFonts w:asciiTheme="minorHAnsi" w:eastAsia="Times New Roman" w:hAnsiTheme="minorHAnsi"/>
                <w:iCs/>
                <w:color w:val="auto"/>
                <w:szCs w:val="17"/>
              </w:rPr>
              <w:t>73%</w:t>
            </w:r>
            <w:r w:rsidR="00790E31" w:rsidRPr="00790E31">
              <w:rPr>
                <w:rFonts w:asciiTheme="minorHAnsi" w:eastAsia="Times New Roman" w:hAnsiTheme="minorHAnsi"/>
                <w:iCs/>
                <w:color w:val="auto"/>
                <w:szCs w:val="17"/>
              </w:rPr>
              <w:t xml:space="preserve"> target</w:t>
            </w:r>
            <w:r>
              <w:rPr>
                <w:rFonts w:asciiTheme="minorHAnsi" w:eastAsia="Times New Roman" w:hAnsiTheme="minorHAnsi"/>
                <w:iCs/>
                <w:color w:val="auto"/>
                <w:szCs w:val="17"/>
              </w:rPr>
              <w:t>) but an increase compared to</w:t>
            </w:r>
            <w:r w:rsidR="00A67D90">
              <w:rPr>
                <w:rFonts w:asciiTheme="minorHAnsi" w:eastAsia="Times New Roman" w:hAnsiTheme="minorHAnsi"/>
                <w:iCs/>
                <w:color w:val="auto"/>
                <w:szCs w:val="17"/>
              </w:rPr>
              <w:t xml:space="preserve"> 57.1 per cent of primary teachers in </w:t>
            </w:r>
            <w:r>
              <w:rPr>
                <w:rFonts w:asciiTheme="minorHAnsi" w:eastAsia="Times New Roman" w:hAnsiTheme="minorHAnsi"/>
                <w:iCs/>
                <w:color w:val="auto"/>
                <w:szCs w:val="17"/>
              </w:rPr>
              <w:t>2012</w:t>
            </w:r>
            <w:r w:rsidR="003A3C85">
              <w:rPr>
                <w:rFonts w:asciiTheme="minorHAnsi" w:eastAsia="Times New Roman" w:hAnsiTheme="minorHAnsi"/>
                <w:iCs/>
                <w:color w:val="auto"/>
                <w:szCs w:val="17"/>
              </w:rPr>
              <w:t xml:space="preserve">.  </w:t>
            </w:r>
            <w:r w:rsidR="003A613F">
              <w:rPr>
                <w:rFonts w:asciiTheme="minorHAnsi" w:eastAsia="Times New Roman" w:hAnsiTheme="minorHAnsi"/>
                <w:iCs/>
                <w:color w:val="auto"/>
                <w:szCs w:val="17"/>
              </w:rPr>
              <w:t>In 2016 women made up 46% of certified primary teachers and 51% of uncertified primary teachers</w:t>
            </w:r>
            <w:r w:rsidR="003A3C85">
              <w:rPr>
                <w:rFonts w:asciiTheme="minorHAnsi" w:eastAsia="Times New Roman" w:hAnsiTheme="minorHAnsi"/>
                <w:iCs/>
                <w:color w:val="auto"/>
                <w:szCs w:val="17"/>
              </w:rPr>
              <w:t xml:space="preserve">.  </w:t>
            </w:r>
          </w:p>
        </w:tc>
      </w:tr>
    </w:tbl>
    <w:p w14:paraId="298F3242" w14:textId="77777777" w:rsidR="00400B0F" w:rsidRPr="00904F62" w:rsidRDefault="00400B0F" w:rsidP="00400B0F">
      <w:pPr>
        <w:spacing w:before="20" w:after="20" w:line="180" w:lineRule="atLeast"/>
        <w:jc w:val="both"/>
        <w:rPr>
          <w:rFonts w:eastAsia="Times New Roman"/>
          <w:b/>
          <w:color w:val="auto"/>
          <w:sz w:val="16"/>
          <w:szCs w:val="14"/>
        </w:rPr>
      </w:pPr>
      <w:r w:rsidRPr="00904F62">
        <w:rPr>
          <w:rFonts w:eastAsia="Times New Roman"/>
          <w:b/>
          <w:color w:val="auto"/>
          <w:sz w:val="16"/>
          <w:szCs w:val="14"/>
        </w:rPr>
        <w:t xml:space="preserve">Note: </w:t>
      </w:r>
    </w:p>
    <w:p w14:paraId="7587C5DF" w14:textId="325EE688"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w:t>
      </w:r>
      <w:r w:rsidRPr="00904F62">
        <w:rPr>
          <w:rFonts w:eastAsia="Times New Roman"/>
          <w:b/>
          <w:color w:val="auto"/>
          <w:sz w:val="16"/>
          <w:szCs w:val="14"/>
        </w:rPr>
        <w:t>Achieved</w:t>
      </w:r>
      <w:r w:rsidR="003A3C85">
        <w:rPr>
          <w:rFonts w:eastAsia="Times New Roman"/>
          <w:b/>
          <w:color w:val="auto"/>
          <w:sz w:val="16"/>
          <w:szCs w:val="14"/>
        </w:rPr>
        <w:t xml:space="preserve">.  </w:t>
      </w:r>
      <w:r w:rsidRPr="00904F62">
        <w:rPr>
          <w:rFonts w:eastAsia="Times New Roman"/>
          <w:b/>
          <w:color w:val="auto"/>
          <w:sz w:val="16"/>
          <w:szCs w:val="14"/>
        </w:rPr>
        <w:t xml:space="preserve">Significant progress has been made and the performance benchmark was achieved </w:t>
      </w:r>
    </w:p>
    <w:p w14:paraId="74BEE92E" w14:textId="17477516"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w:t>
      </w:r>
      <w:r w:rsidRPr="00904F62">
        <w:rPr>
          <w:rFonts w:eastAsia="Times New Roman"/>
          <w:b/>
          <w:color w:val="auto"/>
          <w:sz w:val="16"/>
          <w:szCs w:val="14"/>
        </w:rPr>
        <w:t>Partly achieved</w:t>
      </w:r>
      <w:r w:rsidR="003A3C85">
        <w:rPr>
          <w:rFonts w:eastAsia="Times New Roman"/>
          <w:b/>
          <w:color w:val="auto"/>
          <w:sz w:val="16"/>
          <w:szCs w:val="14"/>
        </w:rPr>
        <w:t xml:space="preserve">.  </w:t>
      </w:r>
      <w:r w:rsidRPr="00904F62">
        <w:rPr>
          <w:rFonts w:eastAsia="Times New Roman"/>
          <w:b/>
          <w:color w:val="auto"/>
          <w:sz w:val="16"/>
          <w:szCs w:val="14"/>
        </w:rPr>
        <w:t>Some progress has been made towards achieving the performance benchmark, but progress was less than anticipated</w:t>
      </w:r>
      <w:r w:rsidR="003A3C85">
        <w:rPr>
          <w:rFonts w:eastAsia="Times New Roman"/>
          <w:b/>
          <w:color w:val="auto"/>
          <w:sz w:val="16"/>
          <w:szCs w:val="14"/>
        </w:rPr>
        <w:t xml:space="preserve">.  </w:t>
      </w:r>
    </w:p>
    <w:p w14:paraId="5B047C93" w14:textId="3DCA4B00" w:rsidR="00400B0F" w:rsidRPr="00904F62" w:rsidRDefault="00400B0F" w:rsidP="00400B0F">
      <w:pPr>
        <w:spacing w:before="20" w:after="20" w:line="180" w:lineRule="atLeast"/>
        <w:jc w:val="both"/>
        <w:rPr>
          <w:rFonts w:eastAsia="Times New Roman"/>
          <w:b/>
          <w:color w:val="auto"/>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w:t>
      </w:r>
      <w:r w:rsidRPr="00904F62">
        <w:rPr>
          <w:rFonts w:eastAsia="Times New Roman"/>
          <w:b/>
          <w:color w:val="auto"/>
          <w:sz w:val="16"/>
          <w:szCs w:val="14"/>
        </w:rPr>
        <w:t>Not achieved</w:t>
      </w:r>
      <w:r w:rsidR="003A3C85">
        <w:rPr>
          <w:rFonts w:eastAsia="Times New Roman"/>
          <w:b/>
          <w:color w:val="auto"/>
          <w:sz w:val="16"/>
          <w:szCs w:val="14"/>
        </w:rPr>
        <w:t xml:space="preserve">.  </w:t>
      </w:r>
      <w:r w:rsidRPr="00904F62">
        <w:rPr>
          <w:rFonts w:eastAsia="Times New Roman"/>
          <w:b/>
          <w:color w:val="auto"/>
          <w:sz w:val="16"/>
          <w:szCs w:val="14"/>
        </w:rPr>
        <w:t>Progress towards the performance benchmark has been significantly below expectations</w:t>
      </w:r>
    </w:p>
    <w:p w14:paraId="562BFEC6" w14:textId="77777777" w:rsidR="00CE5DF0" w:rsidRPr="003E16DA" w:rsidRDefault="00CE5DF0" w:rsidP="00061166">
      <w:pPr>
        <w:suppressAutoHyphens w:val="0"/>
        <w:spacing w:before="0" w:after="120" w:line="440" w:lineRule="atLeast"/>
        <w:rPr>
          <w:rFonts w:ascii="Franklin Gothic Book" w:eastAsia="Times New Roman" w:hAnsi="Franklin Gothic Book"/>
          <w:b/>
          <w:color w:val="auto"/>
          <w:sz w:val="24"/>
          <w:szCs w:val="24"/>
        </w:rPr>
      </w:pPr>
      <w:r w:rsidRPr="003E16DA">
        <w:rPr>
          <w:rFonts w:ascii="Franklin Gothic Book" w:eastAsia="Times New Roman" w:hAnsi="Franklin Gothic Book"/>
          <w:b/>
          <w:color w:val="auto"/>
          <w:sz w:val="24"/>
          <w:szCs w:val="24"/>
        </w:rPr>
        <w:lastRenderedPageBreak/>
        <w:t xml:space="preserve">Performance Benchmarks </w:t>
      </w:r>
      <w:r w:rsidR="00320251" w:rsidRPr="003E16DA">
        <w:rPr>
          <w:rFonts w:ascii="Franklin Gothic Book" w:eastAsia="Times New Roman" w:hAnsi="Franklin Gothic Book"/>
          <w:b/>
          <w:color w:val="auto"/>
          <w:sz w:val="24"/>
          <w:szCs w:val="24"/>
        </w:rPr>
        <w:t>for remainder of A</w:t>
      </w:r>
      <w:r w:rsidR="007B4865" w:rsidRPr="003E16DA">
        <w:rPr>
          <w:rFonts w:ascii="Franklin Gothic Book" w:eastAsia="Times New Roman" w:hAnsi="Franklin Gothic Book"/>
          <w:b/>
          <w:color w:val="auto"/>
          <w:sz w:val="24"/>
          <w:szCs w:val="24"/>
        </w:rPr>
        <w:t xml:space="preserve">id </w:t>
      </w:r>
      <w:r w:rsidR="00320251" w:rsidRPr="003E16DA">
        <w:rPr>
          <w:rFonts w:ascii="Franklin Gothic Book" w:eastAsia="Times New Roman" w:hAnsi="Franklin Gothic Book"/>
          <w:b/>
          <w:color w:val="auto"/>
          <w:sz w:val="24"/>
          <w:szCs w:val="24"/>
        </w:rPr>
        <w:t>I</w:t>
      </w:r>
      <w:r w:rsidR="007B4865" w:rsidRPr="003E16DA">
        <w:rPr>
          <w:rFonts w:ascii="Franklin Gothic Book" w:eastAsia="Times New Roman" w:hAnsi="Franklin Gothic Book"/>
          <w:b/>
          <w:color w:val="auto"/>
          <w:sz w:val="24"/>
          <w:szCs w:val="24"/>
        </w:rPr>
        <w:t xml:space="preserve">nvestment </w:t>
      </w:r>
      <w:r w:rsidR="00320251" w:rsidRPr="003E16DA">
        <w:rPr>
          <w:rFonts w:ascii="Franklin Gothic Book" w:eastAsia="Times New Roman" w:hAnsi="Franklin Gothic Book"/>
          <w:b/>
          <w:color w:val="auto"/>
          <w:sz w:val="24"/>
          <w:szCs w:val="24"/>
        </w:rPr>
        <w:t>P</w:t>
      </w:r>
      <w:r w:rsidR="007B4865" w:rsidRPr="003E16DA">
        <w:rPr>
          <w:rFonts w:ascii="Franklin Gothic Book" w:eastAsia="Times New Roman" w:hAnsi="Franklin Gothic Book"/>
          <w:b/>
          <w:color w:val="auto"/>
          <w:sz w:val="24"/>
          <w:szCs w:val="24"/>
        </w:rPr>
        <w:t xml:space="preserve">lan </w:t>
      </w:r>
      <w:r w:rsidR="00320251" w:rsidRPr="003E16DA">
        <w:rPr>
          <w:rFonts w:ascii="Franklin Gothic Book" w:eastAsia="Times New Roman" w:hAnsi="Franklin Gothic Book"/>
          <w:b/>
          <w:color w:val="auto"/>
          <w:sz w:val="24"/>
          <w:szCs w:val="24"/>
        </w:rPr>
        <w:t xml:space="preserve"> </w:t>
      </w:r>
      <w:r w:rsidRPr="003E16DA">
        <w:rPr>
          <w:rFonts w:ascii="Franklin Gothic Book" w:eastAsia="Times New Roman" w:hAnsi="Franklin Gothic Book"/>
          <w:b/>
          <w:color w:val="auto"/>
          <w:sz w:val="24"/>
          <w:szCs w:val="24"/>
        </w:rPr>
        <w:t xml:space="preserve"> </w:t>
      </w:r>
    </w:p>
    <w:tbl>
      <w:tblPr>
        <w:tblStyle w:val="DFATTable"/>
        <w:tblW w:w="5000" w:type="pct"/>
        <w:tblLook w:val="04A0" w:firstRow="1" w:lastRow="0" w:firstColumn="1" w:lastColumn="0" w:noHBand="0" w:noVBand="1"/>
      </w:tblPr>
      <w:tblGrid>
        <w:gridCol w:w="3615"/>
        <w:gridCol w:w="3615"/>
        <w:gridCol w:w="3615"/>
        <w:gridCol w:w="3615"/>
      </w:tblGrid>
      <w:tr w:rsidR="00F914FC" w14:paraId="00269147" w14:textId="77777777" w:rsidTr="00061166">
        <w:trPr>
          <w:trHeight w:val="454"/>
        </w:trPr>
        <w:tc>
          <w:tcPr>
            <w:tcW w:w="1250" w:type="pct"/>
            <w:tcBorders>
              <w:top w:val="single" w:sz="12" w:space="0" w:color="auto"/>
              <w:left w:val="nil"/>
              <w:bottom w:val="nil"/>
              <w:right w:val="nil"/>
            </w:tcBorders>
          </w:tcPr>
          <w:p w14:paraId="70D9D6EE" w14:textId="77777777" w:rsidR="00F914FC" w:rsidRPr="00BF471C" w:rsidRDefault="00F914FC" w:rsidP="000F7BC7">
            <w:pPr>
              <w:pStyle w:val="NormalIndented"/>
              <w:ind w:left="0"/>
              <w:rPr>
                <w:rFonts w:asciiTheme="minorHAnsi" w:hAnsiTheme="minorHAnsi"/>
                <w:color w:val="auto"/>
              </w:rPr>
            </w:pPr>
            <w:r w:rsidRPr="00BF471C">
              <w:rPr>
                <w:rFonts w:asciiTheme="minorHAnsi" w:eastAsia="Times New Roman" w:hAnsiTheme="minorHAnsi"/>
                <w:b/>
                <w:iCs/>
                <w:color w:val="auto"/>
                <w:szCs w:val="17"/>
                <w:lang w:eastAsia="en-US"/>
              </w:rPr>
              <w:t>Aid objective</w:t>
            </w:r>
          </w:p>
        </w:tc>
        <w:tc>
          <w:tcPr>
            <w:tcW w:w="1250" w:type="pct"/>
            <w:tcBorders>
              <w:top w:val="single" w:sz="12" w:space="0" w:color="auto"/>
              <w:left w:val="nil"/>
              <w:bottom w:val="nil"/>
              <w:right w:val="nil"/>
            </w:tcBorders>
          </w:tcPr>
          <w:p w14:paraId="701762F7" w14:textId="77777777" w:rsidR="00F914FC" w:rsidRPr="00BF471C" w:rsidRDefault="00F914FC" w:rsidP="00F914FC">
            <w:pPr>
              <w:pStyle w:val="NormalIndented"/>
              <w:rPr>
                <w:rFonts w:asciiTheme="minorHAnsi" w:hAnsiTheme="minorHAnsi"/>
                <w:color w:val="auto"/>
              </w:rPr>
            </w:pPr>
            <w:r w:rsidRPr="00BF471C">
              <w:rPr>
                <w:rFonts w:asciiTheme="minorHAnsi" w:eastAsia="Times New Roman" w:hAnsiTheme="minorHAnsi"/>
                <w:b/>
                <w:iCs/>
                <w:color w:val="auto"/>
                <w:szCs w:val="17"/>
                <w:lang w:eastAsia="en-US"/>
              </w:rPr>
              <w:t xml:space="preserve">Performance Benchmark </w:t>
            </w:r>
          </w:p>
        </w:tc>
        <w:tc>
          <w:tcPr>
            <w:tcW w:w="1250" w:type="pct"/>
            <w:tcBorders>
              <w:top w:val="single" w:sz="12" w:space="0" w:color="auto"/>
              <w:left w:val="nil"/>
              <w:bottom w:val="nil"/>
              <w:right w:val="nil"/>
            </w:tcBorders>
            <w:hideMark/>
          </w:tcPr>
          <w:p w14:paraId="4C3C9D55" w14:textId="77777777" w:rsidR="00F914FC" w:rsidRPr="00BF471C" w:rsidRDefault="00F914FC" w:rsidP="00F914FC">
            <w:pPr>
              <w:pStyle w:val="NormalIndented"/>
              <w:ind w:left="0"/>
              <w:rPr>
                <w:rFonts w:asciiTheme="minorHAnsi" w:hAnsiTheme="minorHAnsi"/>
                <w:b/>
                <w:color w:val="auto"/>
              </w:rPr>
            </w:pPr>
            <w:r w:rsidRPr="00BF471C">
              <w:rPr>
                <w:rFonts w:asciiTheme="minorHAnsi" w:hAnsiTheme="minorHAnsi"/>
                <w:b/>
                <w:color w:val="auto"/>
              </w:rPr>
              <w:t>2017-18</w:t>
            </w:r>
          </w:p>
        </w:tc>
        <w:tc>
          <w:tcPr>
            <w:tcW w:w="1250" w:type="pct"/>
            <w:tcBorders>
              <w:top w:val="single" w:sz="12" w:space="0" w:color="auto"/>
              <w:left w:val="nil"/>
              <w:bottom w:val="nil"/>
              <w:right w:val="nil"/>
            </w:tcBorders>
            <w:hideMark/>
          </w:tcPr>
          <w:p w14:paraId="4C6CAC9B" w14:textId="77777777" w:rsidR="00F914FC" w:rsidRPr="00BF471C" w:rsidRDefault="00F914FC" w:rsidP="00F914FC">
            <w:pPr>
              <w:pStyle w:val="NormalIndented"/>
              <w:ind w:left="33"/>
              <w:rPr>
                <w:rFonts w:asciiTheme="minorHAnsi" w:hAnsiTheme="minorHAnsi"/>
                <w:b/>
                <w:color w:val="auto"/>
              </w:rPr>
            </w:pPr>
            <w:r w:rsidRPr="00BF471C">
              <w:rPr>
                <w:rFonts w:asciiTheme="minorHAnsi" w:hAnsiTheme="minorHAnsi"/>
                <w:b/>
                <w:color w:val="auto"/>
              </w:rPr>
              <w:t>2018-19</w:t>
            </w:r>
          </w:p>
        </w:tc>
      </w:tr>
      <w:tr w:rsidR="00F914FC" w14:paraId="658CA6C9" w14:textId="77777777" w:rsidTr="00061166">
        <w:trPr>
          <w:trHeight w:val="454"/>
        </w:trPr>
        <w:tc>
          <w:tcPr>
            <w:tcW w:w="1250" w:type="pct"/>
            <w:tcBorders>
              <w:top w:val="nil"/>
              <w:left w:val="nil"/>
              <w:bottom w:val="nil"/>
              <w:right w:val="nil"/>
            </w:tcBorders>
          </w:tcPr>
          <w:p w14:paraId="629FF189" w14:textId="6F28F941" w:rsidR="00F914FC" w:rsidRPr="00880004" w:rsidRDefault="000F7BC7" w:rsidP="00F914FC">
            <w:pPr>
              <w:pStyle w:val="NormalIndented"/>
              <w:ind w:left="0"/>
              <w:rPr>
                <w:rFonts w:eastAsia="Times New Roman"/>
                <w:iCs/>
                <w:szCs w:val="17"/>
              </w:rPr>
            </w:pPr>
            <w:r>
              <w:rPr>
                <w:rFonts w:eastAsia="Times New Roman"/>
                <w:b/>
                <w:iCs/>
                <w:color w:val="auto"/>
                <w:szCs w:val="17"/>
              </w:rPr>
              <w:t xml:space="preserve">Supporting </w:t>
            </w:r>
            <w:r w:rsidR="00F914FC" w:rsidRPr="00390A42">
              <w:rPr>
                <w:rFonts w:eastAsia="Times New Roman"/>
                <w:b/>
                <w:iCs/>
                <w:color w:val="auto"/>
                <w:szCs w:val="17"/>
              </w:rPr>
              <w:t>Stability</w:t>
            </w:r>
          </w:p>
        </w:tc>
        <w:tc>
          <w:tcPr>
            <w:tcW w:w="1250" w:type="pct"/>
            <w:tcBorders>
              <w:top w:val="nil"/>
              <w:left w:val="nil"/>
              <w:bottom w:val="nil"/>
              <w:right w:val="nil"/>
            </w:tcBorders>
          </w:tcPr>
          <w:p w14:paraId="2D01FD13" w14:textId="77777777" w:rsidR="00F914FC" w:rsidRPr="00880004" w:rsidRDefault="00F914FC" w:rsidP="00F914FC">
            <w:pPr>
              <w:pStyle w:val="NormalIndented"/>
              <w:rPr>
                <w:rFonts w:eastAsia="Times New Roman"/>
                <w:iCs/>
                <w:szCs w:val="17"/>
              </w:rPr>
            </w:pPr>
          </w:p>
        </w:tc>
        <w:tc>
          <w:tcPr>
            <w:tcW w:w="1250" w:type="pct"/>
            <w:tcBorders>
              <w:top w:val="nil"/>
              <w:left w:val="nil"/>
              <w:bottom w:val="nil"/>
              <w:right w:val="nil"/>
            </w:tcBorders>
          </w:tcPr>
          <w:p w14:paraId="40567DC5" w14:textId="77777777" w:rsidR="00F914FC" w:rsidRPr="00BE6C6D" w:rsidRDefault="00F914FC" w:rsidP="00F914FC">
            <w:pPr>
              <w:pStyle w:val="NormalIndented"/>
              <w:ind w:left="33"/>
              <w:rPr>
                <w:i/>
                <w:color w:val="808080" w:themeColor="background1" w:themeShade="80"/>
                <w:szCs w:val="20"/>
              </w:rPr>
            </w:pPr>
          </w:p>
        </w:tc>
        <w:tc>
          <w:tcPr>
            <w:tcW w:w="1250" w:type="pct"/>
            <w:tcBorders>
              <w:top w:val="nil"/>
              <w:left w:val="nil"/>
              <w:bottom w:val="nil"/>
              <w:right w:val="nil"/>
            </w:tcBorders>
          </w:tcPr>
          <w:p w14:paraId="5123CD6D" w14:textId="77777777" w:rsidR="00F914FC" w:rsidRPr="00BE6C6D" w:rsidRDefault="00F914FC" w:rsidP="00F914FC">
            <w:pPr>
              <w:pStyle w:val="NormalIndented"/>
              <w:rPr>
                <w:i/>
                <w:color w:val="808080" w:themeColor="background1" w:themeShade="80"/>
                <w:szCs w:val="20"/>
              </w:rPr>
            </w:pPr>
          </w:p>
        </w:tc>
      </w:tr>
      <w:tr w:rsidR="00F914FC" w14:paraId="5F9C64C0" w14:textId="77777777" w:rsidTr="00061166">
        <w:trPr>
          <w:trHeight w:val="454"/>
        </w:trPr>
        <w:tc>
          <w:tcPr>
            <w:tcW w:w="1250" w:type="pct"/>
            <w:tcBorders>
              <w:top w:val="nil"/>
              <w:left w:val="nil"/>
              <w:bottom w:val="nil"/>
              <w:right w:val="nil"/>
            </w:tcBorders>
          </w:tcPr>
          <w:p w14:paraId="5FE76534" w14:textId="77777777" w:rsidR="00F914FC" w:rsidRPr="00172F61" w:rsidRDefault="00F914FC" w:rsidP="00F914FC">
            <w:pPr>
              <w:pStyle w:val="NormalIndented"/>
              <w:ind w:left="0"/>
              <w:rPr>
                <w:rFonts w:asciiTheme="minorHAnsi" w:hAnsiTheme="minorHAnsi"/>
                <w:color w:val="808080" w:themeColor="background1" w:themeShade="80"/>
                <w:sz w:val="18"/>
              </w:rPr>
            </w:pPr>
            <w:r w:rsidRPr="00172F61">
              <w:rPr>
                <w:rFonts w:asciiTheme="minorHAnsi" w:eastAsia="Times New Roman" w:hAnsiTheme="minorHAnsi"/>
                <w:iCs/>
                <w:color w:val="auto"/>
                <w:szCs w:val="17"/>
                <w:lang w:eastAsia="en-US"/>
              </w:rPr>
              <w:t>Number of police and other law and justice officials trained</w:t>
            </w:r>
          </w:p>
        </w:tc>
        <w:tc>
          <w:tcPr>
            <w:tcW w:w="1250" w:type="pct"/>
            <w:tcBorders>
              <w:top w:val="nil"/>
              <w:left w:val="nil"/>
              <w:bottom w:val="nil"/>
              <w:right w:val="nil"/>
            </w:tcBorders>
          </w:tcPr>
          <w:p w14:paraId="4B226337" w14:textId="77777777" w:rsidR="00F914FC" w:rsidRPr="00BE6C6D" w:rsidRDefault="00F914FC" w:rsidP="00F914FC">
            <w:pPr>
              <w:pStyle w:val="NormalIndented"/>
              <w:rPr>
                <w:rFonts w:asciiTheme="minorHAnsi" w:hAnsiTheme="minorHAnsi"/>
                <w:i/>
                <w:color w:val="808080" w:themeColor="background1" w:themeShade="80"/>
                <w:szCs w:val="20"/>
                <w:lang w:eastAsia="en-US"/>
              </w:rPr>
            </w:pPr>
            <w:r w:rsidRPr="006C2E33">
              <w:rPr>
                <w:rFonts w:asciiTheme="minorHAnsi" w:eastAsia="Times New Roman" w:hAnsiTheme="minorHAnsi"/>
                <w:iCs/>
                <w:color w:val="auto"/>
                <w:szCs w:val="17"/>
                <w:lang w:eastAsia="en-US"/>
              </w:rPr>
              <w:t>1600</w:t>
            </w:r>
          </w:p>
        </w:tc>
        <w:tc>
          <w:tcPr>
            <w:tcW w:w="1250" w:type="pct"/>
            <w:tcBorders>
              <w:top w:val="nil"/>
              <w:left w:val="nil"/>
              <w:bottom w:val="nil"/>
              <w:right w:val="nil"/>
            </w:tcBorders>
            <w:hideMark/>
          </w:tcPr>
          <w:p w14:paraId="01452155" w14:textId="77777777" w:rsidR="00F914FC" w:rsidRPr="00BE6C6D" w:rsidRDefault="00F914FC" w:rsidP="00F914FC">
            <w:pPr>
              <w:pStyle w:val="NormalIndented"/>
              <w:ind w:left="33"/>
              <w:rPr>
                <w:rFonts w:asciiTheme="minorHAnsi" w:hAnsiTheme="minorHAnsi"/>
                <w:i/>
                <w:color w:val="808080" w:themeColor="background1" w:themeShade="80"/>
                <w:szCs w:val="20"/>
                <w:lang w:eastAsia="en-US"/>
              </w:rPr>
            </w:pPr>
            <w:r w:rsidRPr="006C2E33">
              <w:rPr>
                <w:rFonts w:asciiTheme="minorHAnsi" w:eastAsia="Times New Roman" w:hAnsiTheme="minorHAnsi"/>
                <w:iCs/>
                <w:color w:val="auto"/>
                <w:szCs w:val="17"/>
                <w:lang w:eastAsia="en-US"/>
              </w:rPr>
              <w:t>800#</w:t>
            </w:r>
          </w:p>
        </w:tc>
        <w:tc>
          <w:tcPr>
            <w:tcW w:w="1250" w:type="pct"/>
            <w:tcBorders>
              <w:top w:val="nil"/>
              <w:left w:val="nil"/>
              <w:bottom w:val="nil"/>
              <w:right w:val="nil"/>
            </w:tcBorders>
            <w:hideMark/>
          </w:tcPr>
          <w:p w14:paraId="541C6004" w14:textId="77777777" w:rsidR="00F914FC" w:rsidRPr="00BE6C6D" w:rsidRDefault="00F914FC" w:rsidP="00390A42">
            <w:pPr>
              <w:pStyle w:val="NormalIndented"/>
              <w:ind w:left="0"/>
              <w:rPr>
                <w:rFonts w:asciiTheme="minorHAnsi" w:hAnsiTheme="minorHAnsi"/>
                <w:i/>
                <w:color w:val="808080" w:themeColor="background1" w:themeShade="80"/>
                <w:szCs w:val="20"/>
                <w:lang w:eastAsia="en-US"/>
              </w:rPr>
            </w:pPr>
            <w:r w:rsidRPr="006C2E33">
              <w:rPr>
                <w:rFonts w:asciiTheme="minorHAnsi" w:eastAsia="Times New Roman" w:hAnsiTheme="minorHAnsi"/>
                <w:iCs/>
                <w:color w:val="auto"/>
                <w:szCs w:val="17"/>
                <w:lang w:eastAsia="en-US"/>
              </w:rPr>
              <w:t>800#</w:t>
            </w:r>
          </w:p>
        </w:tc>
      </w:tr>
      <w:tr w:rsidR="00F914FC" w14:paraId="316DC219" w14:textId="77777777" w:rsidTr="00061166">
        <w:trPr>
          <w:trHeight w:val="454"/>
        </w:trPr>
        <w:tc>
          <w:tcPr>
            <w:tcW w:w="1250" w:type="pct"/>
            <w:tcBorders>
              <w:top w:val="nil"/>
              <w:left w:val="nil"/>
              <w:bottom w:val="nil"/>
              <w:right w:val="nil"/>
            </w:tcBorders>
          </w:tcPr>
          <w:p w14:paraId="0DD20341" w14:textId="77777777" w:rsidR="00F914FC" w:rsidRPr="00172F61" w:rsidRDefault="00F914FC" w:rsidP="00F914FC">
            <w:pPr>
              <w:spacing w:beforeLines="40" w:before="96" w:afterLines="40" w:after="96" w:line="200" w:lineRule="atLeast"/>
              <w:rPr>
                <w:rFonts w:asciiTheme="minorHAnsi" w:eastAsia="Times New Roman" w:hAnsiTheme="minorHAnsi"/>
                <w:iCs/>
                <w:color w:val="auto"/>
                <w:szCs w:val="17"/>
                <w:lang w:eastAsia="en-US"/>
              </w:rPr>
            </w:pPr>
            <w:r w:rsidRPr="00172F61">
              <w:rPr>
                <w:rFonts w:asciiTheme="minorHAnsi" w:eastAsia="Times New Roman" w:hAnsiTheme="minorHAnsi"/>
                <w:iCs/>
                <w:color w:val="auto"/>
                <w:szCs w:val="17"/>
                <w:lang w:eastAsia="en-US"/>
              </w:rPr>
              <w:t>Courts and justice agencies are better able to deliver their core functions</w:t>
            </w:r>
          </w:p>
        </w:tc>
        <w:tc>
          <w:tcPr>
            <w:tcW w:w="1250" w:type="pct"/>
            <w:tcBorders>
              <w:top w:val="nil"/>
              <w:left w:val="nil"/>
              <w:bottom w:val="nil"/>
              <w:right w:val="nil"/>
            </w:tcBorders>
          </w:tcPr>
          <w:p w14:paraId="4CD37E7F" w14:textId="77777777" w:rsidR="00F914FC" w:rsidRPr="006C2E33" w:rsidRDefault="00F914FC" w:rsidP="00F914FC">
            <w:pPr>
              <w:pStyle w:val="NormalIndented"/>
              <w:rPr>
                <w:rFonts w:eastAsia="Times New Roman"/>
                <w:iCs/>
                <w:color w:val="auto"/>
                <w:szCs w:val="17"/>
              </w:rPr>
            </w:pPr>
            <w:r w:rsidRPr="006C2E33">
              <w:rPr>
                <w:rFonts w:asciiTheme="minorHAnsi" w:eastAsia="Times New Roman" w:hAnsiTheme="minorHAnsi"/>
                <w:iCs/>
                <w:color w:val="auto"/>
                <w:szCs w:val="17"/>
                <w:lang w:eastAsia="en-US"/>
              </w:rPr>
              <w:t>600 cases heard and disposed of in the Magistrates Court</w:t>
            </w:r>
          </w:p>
        </w:tc>
        <w:tc>
          <w:tcPr>
            <w:tcW w:w="1250" w:type="pct"/>
            <w:tcBorders>
              <w:top w:val="nil"/>
              <w:left w:val="nil"/>
              <w:bottom w:val="nil"/>
              <w:right w:val="nil"/>
            </w:tcBorders>
          </w:tcPr>
          <w:p w14:paraId="68A8BC94" w14:textId="77777777" w:rsidR="00F914FC" w:rsidRPr="006C2E33" w:rsidRDefault="00F914FC" w:rsidP="00F914FC">
            <w:pPr>
              <w:pStyle w:val="NormalIndented"/>
              <w:ind w:left="33"/>
              <w:rPr>
                <w:rFonts w:eastAsia="Times New Roman"/>
                <w:iCs/>
                <w:color w:val="auto"/>
                <w:szCs w:val="17"/>
              </w:rPr>
            </w:pPr>
            <w:r w:rsidRPr="006C2E33">
              <w:rPr>
                <w:rFonts w:asciiTheme="minorHAnsi" w:eastAsia="Times New Roman" w:hAnsiTheme="minorHAnsi"/>
                <w:iCs/>
                <w:color w:val="auto"/>
                <w:szCs w:val="17"/>
                <w:lang w:eastAsia="en-US"/>
              </w:rPr>
              <w:t>650 cases heard and disposed of in the Magistrates Court</w:t>
            </w:r>
          </w:p>
        </w:tc>
        <w:tc>
          <w:tcPr>
            <w:tcW w:w="1250" w:type="pct"/>
            <w:tcBorders>
              <w:top w:val="nil"/>
              <w:left w:val="nil"/>
              <w:bottom w:val="nil"/>
              <w:right w:val="nil"/>
            </w:tcBorders>
          </w:tcPr>
          <w:p w14:paraId="2C576FEE" w14:textId="77777777" w:rsidR="00F914FC" w:rsidRPr="006C2E33" w:rsidRDefault="00F914FC" w:rsidP="00390A42">
            <w:pPr>
              <w:pStyle w:val="NormalIndented"/>
              <w:ind w:left="0"/>
              <w:rPr>
                <w:rFonts w:eastAsia="Times New Roman"/>
                <w:iCs/>
                <w:color w:val="auto"/>
                <w:szCs w:val="17"/>
              </w:rPr>
            </w:pPr>
            <w:r w:rsidRPr="006C2E33">
              <w:rPr>
                <w:rFonts w:asciiTheme="minorHAnsi" w:eastAsia="Times New Roman" w:hAnsiTheme="minorHAnsi"/>
                <w:iCs/>
                <w:color w:val="auto"/>
                <w:szCs w:val="17"/>
                <w:lang w:eastAsia="en-US"/>
              </w:rPr>
              <w:t>650 cases heard and disposed of in the Magistrates Court</w:t>
            </w:r>
          </w:p>
        </w:tc>
      </w:tr>
      <w:tr w:rsidR="00F914FC" w14:paraId="2475BCA4" w14:textId="77777777" w:rsidTr="00061166">
        <w:trPr>
          <w:trHeight w:val="454"/>
        </w:trPr>
        <w:tc>
          <w:tcPr>
            <w:tcW w:w="1250" w:type="pct"/>
            <w:tcBorders>
              <w:top w:val="nil"/>
              <w:left w:val="nil"/>
              <w:bottom w:val="nil"/>
              <w:right w:val="nil"/>
            </w:tcBorders>
          </w:tcPr>
          <w:p w14:paraId="5ABBFB3E" w14:textId="4E9F4EEB" w:rsidR="00F914FC" w:rsidRPr="003350DE" w:rsidRDefault="000F7BC7" w:rsidP="003350DE">
            <w:pPr>
              <w:pStyle w:val="NormalIndented"/>
              <w:ind w:left="0"/>
              <w:rPr>
                <w:rFonts w:cs="Helvetica"/>
                <w:b/>
                <w:color w:val="808080" w:themeColor="background1" w:themeShade="80"/>
                <w:szCs w:val="17"/>
              </w:rPr>
            </w:pPr>
            <w:r>
              <w:rPr>
                <w:rFonts w:cs="Helvetica"/>
                <w:b/>
                <w:color w:val="auto"/>
                <w:szCs w:val="17"/>
              </w:rPr>
              <w:t xml:space="preserve">Enabling </w:t>
            </w:r>
            <w:r w:rsidR="003350DE" w:rsidRPr="00390A42">
              <w:rPr>
                <w:rFonts w:cs="Helvetica"/>
                <w:b/>
                <w:color w:val="auto"/>
                <w:szCs w:val="17"/>
              </w:rPr>
              <w:t xml:space="preserve">Economic growth </w:t>
            </w:r>
          </w:p>
        </w:tc>
        <w:tc>
          <w:tcPr>
            <w:tcW w:w="1250" w:type="pct"/>
            <w:tcBorders>
              <w:top w:val="nil"/>
              <w:left w:val="nil"/>
              <w:bottom w:val="nil"/>
              <w:right w:val="nil"/>
            </w:tcBorders>
          </w:tcPr>
          <w:p w14:paraId="78A26245" w14:textId="77777777" w:rsidR="00F914FC" w:rsidRPr="00BE6C6D" w:rsidRDefault="00F914FC" w:rsidP="00F914FC">
            <w:pPr>
              <w:pStyle w:val="NormalIndented"/>
              <w:rPr>
                <w:rFonts w:asciiTheme="minorHAnsi" w:hAnsiTheme="minorHAnsi"/>
                <w:i/>
                <w:color w:val="808080" w:themeColor="background1" w:themeShade="80"/>
                <w:szCs w:val="20"/>
                <w:lang w:eastAsia="en-US"/>
              </w:rPr>
            </w:pPr>
          </w:p>
        </w:tc>
        <w:tc>
          <w:tcPr>
            <w:tcW w:w="1250" w:type="pct"/>
            <w:tcBorders>
              <w:top w:val="nil"/>
              <w:left w:val="nil"/>
              <w:bottom w:val="nil"/>
              <w:right w:val="nil"/>
            </w:tcBorders>
          </w:tcPr>
          <w:p w14:paraId="08A0EEBA" w14:textId="77777777" w:rsidR="00F914FC" w:rsidRPr="00BE6C6D" w:rsidRDefault="00F914FC" w:rsidP="00F914FC">
            <w:pPr>
              <w:pStyle w:val="NormalIndented"/>
              <w:ind w:left="33"/>
              <w:jc w:val="center"/>
              <w:rPr>
                <w:rFonts w:asciiTheme="minorHAnsi" w:hAnsiTheme="minorHAnsi"/>
                <w:i/>
                <w:color w:val="808080" w:themeColor="background1" w:themeShade="80"/>
                <w:szCs w:val="20"/>
                <w:lang w:eastAsia="en-US"/>
              </w:rPr>
            </w:pPr>
          </w:p>
        </w:tc>
        <w:tc>
          <w:tcPr>
            <w:tcW w:w="1250" w:type="pct"/>
            <w:tcBorders>
              <w:top w:val="nil"/>
              <w:left w:val="nil"/>
              <w:bottom w:val="nil"/>
              <w:right w:val="nil"/>
            </w:tcBorders>
          </w:tcPr>
          <w:p w14:paraId="20F2FA36" w14:textId="77777777" w:rsidR="00F914FC" w:rsidRPr="00BE6C6D" w:rsidRDefault="00F914FC" w:rsidP="00F914FC">
            <w:pPr>
              <w:pStyle w:val="NormalIndented"/>
              <w:ind w:left="33"/>
              <w:jc w:val="center"/>
              <w:rPr>
                <w:rFonts w:asciiTheme="minorHAnsi" w:hAnsiTheme="minorHAnsi"/>
                <w:i/>
                <w:color w:val="808080" w:themeColor="background1" w:themeShade="80"/>
                <w:szCs w:val="20"/>
                <w:lang w:eastAsia="en-US"/>
              </w:rPr>
            </w:pPr>
          </w:p>
        </w:tc>
      </w:tr>
      <w:tr w:rsidR="003350DE" w14:paraId="6C180BD5" w14:textId="77777777" w:rsidTr="00061166">
        <w:trPr>
          <w:trHeight w:val="454"/>
        </w:trPr>
        <w:tc>
          <w:tcPr>
            <w:tcW w:w="1250" w:type="pct"/>
            <w:tcBorders>
              <w:top w:val="nil"/>
              <w:left w:val="nil"/>
              <w:bottom w:val="nil"/>
              <w:right w:val="nil"/>
            </w:tcBorders>
          </w:tcPr>
          <w:p w14:paraId="53D29CF2" w14:textId="77777777" w:rsidR="003350DE" w:rsidRPr="00172F61" w:rsidRDefault="003350DE" w:rsidP="003350DE">
            <w:pPr>
              <w:pStyle w:val="NormalIndented"/>
              <w:ind w:left="0"/>
              <w:rPr>
                <w:color w:val="808080" w:themeColor="background1" w:themeShade="80"/>
                <w:sz w:val="18"/>
              </w:rPr>
            </w:pPr>
            <w:r w:rsidRPr="00172F61">
              <w:rPr>
                <w:rFonts w:asciiTheme="minorHAnsi" w:eastAsia="Times New Roman" w:hAnsiTheme="minorHAnsi"/>
                <w:iCs/>
                <w:color w:val="auto"/>
                <w:szCs w:val="17"/>
                <w:lang w:eastAsia="en-US"/>
              </w:rPr>
              <w:t>Women able to gain business or income-generating skills ~</w:t>
            </w:r>
          </w:p>
        </w:tc>
        <w:tc>
          <w:tcPr>
            <w:tcW w:w="1250" w:type="pct"/>
            <w:tcBorders>
              <w:top w:val="nil"/>
              <w:left w:val="nil"/>
              <w:bottom w:val="nil"/>
              <w:right w:val="nil"/>
            </w:tcBorders>
          </w:tcPr>
          <w:p w14:paraId="51DBC0B0" w14:textId="77777777" w:rsidR="003350DE" w:rsidRPr="00BE6C6D" w:rsidRDefault="003350DE" w:rsidP="00F914FC">
            <w:pPr>
              <w:pStyle w:val="NormalIndented"/>
              <w:rPr>
                <w:i/>
                <w:color w:val="808080" w:themeColor="background1" w:themeShade="80"/>
                <w:szCs w:val="20"/>
              </w:rPr>
            </w:pPr>
            <w:r w:rsidRPr="006C2E33">
              <w:rPr>
                <w:rFonts w:asciiTheme="minorHAnsi" w:eastAsia="Times New Roman" w:hAnsiTheme="minorHAnsi"/>
                <w:iCs/>
                <w:color w:val="auto"/>
                <w:szCs w:val="17"/>
                <w:lang w:eastAsia="en-US"/>
              </w:rPr>
              <w:t>1,000 women are trained in business or income-generating skills</w:t>
            </w:r>
          </w:p>
        </w:tc>
        <w:tc>
          <w:tcPr>
            <w:tcW w:w="1250" w:type="pct"/>
            <w:tcBorders>
              <w:top w:val="nil"/>
              <w:left w:val="nil"/>
              <w:bottom w:val="nil"/>
              <w:right w:val="nil"/>
            </w:tcBorders>
          </w:tcPr>
          <w:p w14:paraId="767BF26E" w14:textId="77777777" w:rsidR="003350DE" w:rsidRPr="00BE6C6D" w:rsidRDefault="003350DE" w:rsidP="003350DE">
            <w:pPr>
              <w:pStyle w:val="NormalIndented"/>
              <w:ind w:left="33"/>
              <w:rPr>
                <w:i/>
                <w:color w:val="808080" w:themeColor="background1" w:themeShade="80"/>
                <w:szCs w:val="20"/>
              </w:rPr>
            </w:pPr>
            <w:r w:rsidRPr="006C2E33">
              <w:rPr>
                <w:rFonts w:asciiTheme="minorHAnsi" w:eastAsia="Times New Roman" w:hAnsiTheme="minorHAnsi"/>
                <w:iCs/>
                <w:color w:val="auto"/>
                <w:szCs w:val="17"/>
                <w:lang w:eastAsia="en-US"/>
              </w:rPr>
              <w:t>1,000 women are trained in business or income-generating skills</w:t>
            </w:r>
          </w:p>
        </w:tc>
        <w:tc>
          <w:tcPr>
            <w:tcW w:w="1250" w:type="pct"/>
            <w:tcBorders>
              <w:top w:val="nil"/>
              <w:left w:val="nil"/>
              <w:bottom w:val="nil"/>
              <w:right w:val="nil"/>
            </w:tcBorders>
          </w:tcPr>
          <w:p w14:paraId="0C1065A4" w14:textId="77777777" w:rsidR="003350DE" w:rsidRPr="00BE6C6D" w:rsidRDefault="003350DE" w:rsidP="003350DE">
            <w:pPr>
              <w:pStyle w:val="NormalIndented"/>
              <w:ind w:left="33"/>
              <w:rPr>
                <w:i/>
                <w:color w:val="808080" w:themeColor="background1" w:themeShade="80"/>
                <w:szCs w:val="20"/>
              </w:rPr>
            </w:pPr>
            <w:r w:rsidRPr="006C2E33">
              <w:rPr>
                <w:rFonts w:asciiTheme="minorHAnsi" w:eastAsia="Times New Roman" w:hAnsiTheme="minorHAnsi"/>
                <w:iCs/>
                <w:color w:val="auto"/>
                <w:szCs w:val="17"/>
                <w:lang w:eastAsia="en-US"/>
              </w:rPr>
              <w:t>1,000 women are trained in business or income-generating skills</w:t>
            </w:r>
          </w:p>
        </w:tc>
      </w:tr>
      <w:tr w:rsidR="003350DE" w14:paraId="4F91CB6F" w14:textId="77777777" w:rsidTr="00061166">
        <w:trPr>
          <w:trHeight w:val="454"/>
        </w:trPr>
        <w:tc>
          <w:tcPr>
            <w:tcW w:w="1250" w:type="pct"/>
            <w:tcBorders>
              <w:top w:val="nil"/>
              <w:left w:val="nil"/>
              <w:bottom w:val="nil"/>
              <w:right w:val="nil"/>
            </w:tcBorders>
          </w:tcPr>
          <w:p w14:paraId="718AE09D" w14:textId="77777777" w:rsidR="003350DE" w:rsidRPr="00172F61" w:rsidRDefault="00163E6D" w:rsidP="003350DE">
            <w:pPr>
              <w:pStyle w:val="NormalIndented"/>
              <w:ind w:left="0"/>
              <w:rPr>
                <w:rFonts w:eastAsia="Times New Roman"/>
                <w:iCs/>
                <w:color w:val="auto"/>
                <w:szCs w:val="17"/>
              </w:rPr>
            </w:pPr>
            <w:r w:rsidRPr="00172F61">
              <w:rPr>
                <w:rFonts w:asciiTheme="minorHAnsi" w:eastAsia="Times New Roman" w:hAnsiTheme="minorHAnsi"/>
                <w:iCs/>
                <w:color w:val="auto"/>
                <w:szCs w:val="17"/>
                <w:lang w:eastAsia="en-US"/>
              </w:rPr>
              <w:t>Improved transport infrastructure to support increased economic activity</w:t>
            </w:r>
          </w:p>
        </w:tc>
        <w:tc>
          <w:tcPr>
            <w:tcW w:w="1250" w:type="pct"/>
            <w:tcBorders>
              <w:top w:val="nil"/>
              <w:left w:val="nil"/>
              <w:bottom w:val="nil"/>
              <w:right w:val="nil"/>
            </w:tcBorders>
          </w:tcPr>
          <w:p w14:paraId="77D7D926" w14:textId="77777777" w:rsidR="003350DE" w:rsidRPr="006C2E33" w:rsidRDefault="00163E6D" w:rsidP="00F914FC">
            <w:pPr>
              <w:pStyle w:val="NormalIndented"/>
              <w:rPr>
                <w:rFonts w:eastAsia="Times New Roman"/>
                <w:iCs/>
                <w:color w:val="auto"/>
                <w:szCs w:val="17"/>
              </w:rPr>
            </w:pPr>
            <w:r w:rsidRPr="006C2E33">
              <w:rPr>
                <w:rFonts w:asciiTheme="minorHAnsi" w:eastAsia="Times New Roman" w:hAnsiTheme="minorHAnsi"/>
                <w:iCs/>
                <w:color w:val="auto"/>
                <w:szCs w:val="17"/>
                <w:lang w:eastAsia="en-US"/>
              </w:rPr>
              <w:t>700km of roads rehabilitated or maintained</w:t>
            </w:r>
          </w:p>
        </w:tc>
        <w:tc>
          <w:tcPr>
            <w:tcW w:w="1250" w:type="pct"/>
            <w:tcBorders>
              <w:top w:val="nil"/>
              <w:left w:val="nil"/>
              <w:bottom w:val="nil"/>
              <w:right w:val="nil"/>
            </w:tcBorders>
          </w:tcPr>
          <w:p w14:paraId="2EB27939" w14:textId="77777777" w:rsidR="003350DE" w:rsidRPr="006C2E33" w:rsidRDefault="00163E6D" w:rsidP="003350DE">
            <w:pPr>
              <w:pStyle w:val="NormalIndented"/>
              <w:ind w:left="33"/>
              <w:rPr>
                <w:rFonts w:eastAsia="Times New Roman"/>
                <w:iCs/>
                <w:color w:val="auto"/>
                <w:szCs w:val="17"/>
              </w:rPr>
            </w:pPr>
            <w:r w:rsidRPr="006C2E33">
              <w:rPr>
                <w:rFonts w:asciiTheme="minorHAnsi" w:eastAsia="Times New Roman" w:hAnsiTheme="minorHAnsi"/>
                <w:iCs/>
                <w:color w:val="auto"/>
                <w:szCs w:val="17"/>
                <w:lang w:eastAsia="en-US"/>
              </w:rPr>
              <w:t>750km of roads rehabilitated or maintained</w:t>
            </w:r>
          </w:p>
        </w:tc>
        <w:tc>
          <w:tcPr>
            <w:tcW w:w="1250" w:type="pct"/>
            <w:tcBorders>
              <w:top w:val="nil"/>
              <w:left w:val="nil"/>
              <w:bottom w:val="nil"/>
              <w:right w:val="nil"/>
            </w:tcBorders>
          </w:tcPr>
          <w:p w14:paraId="0FE14146" w14:textId="77777777" w:rsidR="003350DE" w:rsidRPr="006C2E33" w:rsidRDefault="00163E6D" w:rsidP="003350DE">
            <w:pPr>
              <w:pStyle w:val="NormalIndented"/>
              <w:ind w:left="33"/>
              <w:rPr>
                <w:rFonts w:eastAsia="Times New Roman"/>
                <w:iCs/>
                <w:color w:val="auto"/>
                <w:szCs w:val="17"/>
              </w:rPr>
            </w:pPr>
            <w:r w:rsidRPr="006C2E33">
              <w:rPr>
                <w:rFonts w:asciiTheme="minorHAnsi" w:eastAsia="Times New Roman" w:hAnsiTheme="minorHAnsi"/>
                <w:iCs/>
                <w:color w:val="auto"/>
                <w:szCs w:val="17"/>
                <w:lang w:eastAsia="en-US"/>
              </w:rPr>
              <w:t>800km of roads rehabilitated or maintained</w:t>
            </w:r>
          </w:p>
        </w:tc>
      </w:tr>
      <w:tr w:rsidR="00163E6D" w14:paraId="210F5507" w14:textId="77777777" w:rsidTr="00061166">
        <w:trPr>
          <w:trHeight w:val="454"/>
        </w:trPr>
        <w:tc>
          <w:tcPr>
            <w:tcW w:w="1250" w:type="pct"/>
            <w:tcBorders>
              <w:top w:val="nil"/>
              <w:left w:val="nil"/>
              <w:bottom w:val="nil"/>
              <w:right w:val="nil"/>
            </w:tcBorders>
          </w:tcPr>
          <w:p w14:paraId="27363339" w14:textId="77777777" w:rsidR="00163E6D" w:rsidRPr="00172F61" w:rsidRDefault="00401030" w:rsidP="003350DE">
            <w:pPr>
              <w:pStyle w:val="NormalIndented"/>
              <w:ind w:left="0"/>
              <w:rPr>
                <w:rFonts w:eastAsia="Times New Roman"/>
                <w:iCs/>
                <w:color w:val="auto"/>
                <w:szCs w:val="17"/>
              </w:rPr>
            </w:pPr>
            <w:r w:rsidRPr="00172F61">
              <w:rPr>
                <w:rFonts w:asciiTheme="minorHAnsi" w:eastAsia="Times New Roman" w:hAnsiTheme="minorHAnsi"/>
                <w:iCs/>
                <w:color w:val="auto"/>
                <w:szCs w:val="17"/>
                <w:lang w:eastAsia="en-US"/>
              </w:rPr>
              <w:t>Improved environment for private sector investment, economic growth and trade</w:t>
            </w:r>
          </w:p>
        </w:tc>
        <w:tc>
          <w:tcPr>
            <w:tcW w:w="1250" w:type="pct"/>
            <w:tcBorders>
              <w:top w:val="nil"/>
              <w:left w:val="nil"/>
              <w:bottom w:val="nil"/>
              <w:right w:val="nil"/>
            </w:tcBorders>
          </w:tcPr>
          <w:p w14:paraId="6557D9A3" w14:textId="5CDD2FFA" w:rsidR="00163E6D" w:rsidRPr="006C2E33" w:rsidRDefault="00401030" w:rsidP="004A65ED">
            <w:pPr>
              <w:pStyle w:val="NormalIndented"/>
              <w:rPr>
                <w:rFonts w:eastAsia="Times New Roman"/>
                <w:iCs/>
                <w:color w:val="auto"/>
                <w:szCs w:val="17"/>
              </w:rPr>
            </w:pPr>
            <w:r w:rsidRPr="006C2E33">
              <w:rPr>
                <w:rFonts w:asciiTheme="minorHAnsi" w:eastAsia="Times New Roman" w:hAnsiTheme="minorHAnsi"/>
                <w:iCs/>
                <w:color w:val="auto"/>
                <w:szCs w:val="17"/>
                <w:lang w:eastAsia="en-US"/>
              </w:rPr>
              <w:t xml:space="preserve">50% of </w:t>
            </w:r>
            <w:r w:rsidR="004A65ED">
              <w:rPr>
                <w:rFonts w:asciiTheme="minorHAnsi" w:eastAsia="Times New Roman" w:hAnsiTheme="minorHAnsi"/>
                <w:iCs/>
                <w:color w:val="auto"/>
                <w:szCs w:val="17"/>
                <w:lang w:eastAsia="en-US"/>
              </w:rPr>
              <w:t>CEWG</w:t>
            </w:r>
            <w:r w:rsidRPr="006C2E33">
              <w:rPr>
                <w:rFonts w:asciiTheme="minorHAnsi" w:eastAsia="Times New Roman" w:hAnsiTheme="minorHAnsi"/>
                <w:iCs/>
                <w:color w:val="auto"/>
                <w:szCs w:val="17"/>
                <w:lang w:eastAsia="en-US"/>
              </w:rPr>
              <w:t xml:space="preserve"> Economic and Financial Reform Program actions achieved for 2016-17</w:t>
            </w:r>
          </w:p>
        </w:tc>
        <w:tc>
          <w:tcPr>
            <w:tcW w:w="1250" w:type="pct"/>
            <w:tcBorders>
              <w:top w:val="nil"/>
              <w:left w:val="nil"/>
              <w:bottom w:val="nil"/>
              <w:right w:val="nil"/>
            </w:tcBorders>
          </w:tcPr>
          <w:p w14:paraId="76452A70" w14:textId="3BC98F22" w:rsidR="00163E6D" w:rsidRPr="006C2E33" w:rsidRDefault="00401030" w:rsidP="004A65ED">
            <w:pPr>
              <w:pStyle w:val="NormalIndented"/>
              <w:ind w:left="33"/>
              <w:rPr>
                <w:rFonts w:eastAsia="Times New Roman"/>
                <w:iCs/>
                <w:color w:val="auto"/>
                <w:szCs w:val="17"/>
              </w:rPr>
            </w:pPr>
            <w:r w:rsidRPr="006C2E33">
              <w:rPr>
                <w:rFonts w:asciiTheme="minorHAnsi" w:eastAsia="Times New Roman" w:hAnsiTheme="minorHAnsi"/>
                <w:iCs/>
                <w:color w:val="auto"/>
                <w:szCs w:val="17"/>
                <w:lang w:eastAsia="en-US"/>
              </w:rPr>
              <w:t xml:space="preserve">50% of </w:t>
            </w:r>
            <w:r w:rsidR="004A65ED">
              <w:rPr>
                <w:rFonts w:asciiTheme="minorHAnsi" w:eastAsia="Times New Roman" w:hAnsiTheme="minorHAnsi"/>
                <w:iCs/>
                <w:color w:val="auto"/>
                <w:szCs w:val="17"/>
                <w:lang w:eastAsia="en-US"/>
              </w:rPr>
              <w:t>CEWG</w:t>
            </w:r>
            <w:r w:rsidRPr="006C2E33">
              <w:rPr>
                <w:rFonts w:asciiTheme="minorHAnsi" w:eastAsia="Times New Roman" w:hAnsiTheme="minorHAnsi"/>
                <w:iCs/>
                <w:color w:val="auto"/>
                <w:szCs w:val="17"/>
                <w:lang w:eastAsia="en-US"/>
              </w:rPr>
              <w:t xml:space="preserve"> and Financial Reform Program actions achieved for 2017-18</w:t>
            </w:r>
          </w:p>
        </w:tc>
        <w:tc>
          <w:tcPr>
            <w:tcW w:w="1250" w:type="pct"/>
            <w:tcBorders>
              <w:top w:val="nil"/>
              <w:left w:val="nil"/>
              <w:bottom w:val="nil"/>
              <w:right w:val="nil"/>
            </w:tcBorders>
          </w:tcPr>
          <w:p w14:paraId="5679FDED" w14:textId="3E84EEA2" w:rsidR="00163E6D" w:rsidRPr="006C2E33" w:rsidRDefault="00401030" w:rsidP="004A65ED">
            <w:pPr>
              <w:pStyle w:val="NormalIndented"/>
              <w:ind w:left="33"/>
              <w:rPr>
                <w:rFonts w:eastAsia="Times New Roman"/>
                <w:iCs/>
                <w:color w:val="auto"/>
                <w:szCs w:val="17"/>
              </w:rPr>
            </w:pPr>
            <w:r w:rsidRPr="006C2E33">
              <w:rPr>
                <w:rFonts w:asciiTheme="minorHAnsi" w:eastAsia="Times New Roman" w:hAnsiTheme="minorHAnsi"/>
                <w:iCs/>
                <w:color w:val="auto"/>
                <w:szCs w:val="17"/>
                <w:lang w:eastAsia="en-US"/>
              </w:rPr>
              <w:t xml:space="preserve">50% of </w:t>
            </w:r>
            <w:r w:rsidR="004A65ED">
              <w:rPr>
                <w:rFonts w:asciiTheme="minorHAnsi" w:eastAsia="Times New Roman" w:hAnsiTheme="minorHAnsi"/>
                <w:iCs/>
                <w:color w:val="auto"/>
                <w:szCs w:val="17"/>
                <w:lang w:eastAsia="en-US"/>
              </w:rPr>
              <w:t>CEWG</w:t>
            </w:r>
            <w:r w:rsidRPr="006C2E33">
              <w:rPr>
                <w:rFonts w:asciiTheme="minorHAnsi" w:eastAsia="Times New Roman" w:hAnsiTheme="minorHAnsi"/>
                <w:iCs/>
                <w:color w:val="auto"/>
                <w:szCs w:val="17"/>
                <w:lang w:eastAsia="en-US"/>
              </w:rPr>
              <w:t xml:space="preserve"> and Financial Reform Program actions achieved for 2018-19</w:t>
            </w:r>
          </w:p>
        </w:tc>
      </w:tr>
      <w:tr w:rsidR="00A635AA" w14:paraId="02D2039B" w14:textId="77777777" w:rsidTr="00061166">
        <w:trPr>
          <w:trHeight w:val="454"/>
        </w:trPr>
        <w:tc>
          <w:tcPr>
            <w:tcW w:w="1250" w:type="pct"/>
            <w:tcBorders>
              <w:top w:val="nil"/>
              <w:left w:val="nil"/>
              <w:bottom w:val="nil"/>
              <w:right w:val="nil"/>
            </w:tcBorders>
          </w:tcPr>
          <w:p w14:paraId="643D9E8B" w14:textId="769568AA" w:rsidR="00A635AA" w:rsidRPr="00A635AA" w:rsidRDefault="000F7BC7" w:rsidP="003350DE">
            <w:pPr>
              <w:pStyle w:val="NormalIndented"/>
              <w:ind w:left="0"/>
              <w:rPr>
                <w:rFonts w:eastAsia="Times New Roman"/>
                <w:b/>
                <w:iCs/>
                <w:color w:val="auto"/>
                <w:szCs w:val="17"/>
              </w:rPr>
            </w:pPr>
            <w:r>
              <w:rPr>
                <w:rFonts w:eastAsia="Times New Roman"/>
                <w:b/>
                <w:iCs/>
                <w:color w:val="auto"/>
                <w:szCs w:val="17"/>
              </w:rPr>
              <w:t xml:space="preserve">Enhancing </w:t>
            </w:r>
            <w:r w:rsidR="00A635AA" w:rsidRPr="00A635AA">
              <w:rPr>
                <w:rFonts w:eastAsia="Times New Roman"/>
                <w:b/>
                <w:iCs/>
                <w:color w:val="auto"/>
                <w:szCs w:val="17"/>
              </w:rPr>
              <w:t xml:space="preserve">Human development </w:t>
            </w:r>
          </w:p>
        </w:tc>
        <w:tc>
          <w:tcPr>
            <w:tcW w:w="1250" w:type="pct"/>
            <w:tcBorders>
              <w:top w:val="nil"/>
              <w:left w:val="nil"/>
              <w:bottom w:val="nil"/>
              <w:right w:val="nil"/>
            </w:tcBorders>
          </w:tcPr>
          <w:p w14:paraId="2AF832C2" w14:textId="77777777" w:rsidR="00A635AA" w:rsidRPr="006C2E33" w:rsidRDefault="00A635AA" w:rsidP="00F914FC">
            <w:pPr>
              <w:pStyle w:val="NormalIndented"/>
              <w:rPr>
                <w:rFonts w:eastAsia="Times New Roman"/>
                <w:iCs/>
                <w:color w:val="auto"/>
                <w:szCs w:val="17"/>
              </w:rPr>
            </w:pPr>
          </w:p>
        </w:tc>
        <w:tc>
          <w:tcPr>
            <w:tcW w:w="1250" w:type="pct"/>
            <w:tcBorders>
              <w:top w:val="nil"/>
              <w:left w:val="nil"/>
              <w:bottom w:val="nil"/>
              <w:right w:val="nil"/>
            </w:tcBorders>
          </w:tcPr>
          <w:p w14:paraId="0EC00469" w14:textId="77777777" w:rsidR="00A635AA" w:rsidRPr="006C2E33" w:rsidRDefault="00A635AA" w:rsidP="003350DE">
            <w:pPr>
              <w:pStyle w:val="NormalIndented"/>
              <w:ind w:left="33"/>
              <w:rPr>
                <w:rFonts w:eastAsia="Times New Roman"/>
                <w:iCs/>
                <w:color w:val="auto"/>
                <w:szCs w:val="17"/>
              </w:rPr>
            </w:pPr>
          </w:p>
        </w:tc>
        <w:tc>
          <w:tcPr>
            <w:tcW w:w="1250" w:type="pct"/>
            <w:tcBorders>
              <w:top w:val="nil"/>
              <w:left w:val="nil"/>
              <w:bottom w:val="nil"/>
              <w:right w:val="nil"/>
            </w:tcBorders>
          </w:tcPr>
          <w:p w14:paraId="7775F201" w14:textId="77777777" w:rsidR="00A635AA" w:rsidRPr="006C2E33" w:rsidRDefault="00A635AA" w:rsidP="003350DE">
            <w:pPr>
              <w:pStyle w:val="NormalIndented"/>
              <w:ind w:left="33"/>
              <w:rPr>
                <w:rFonts w:eastAsia="Times New Roman"/>
                <w:iCs/>
                <w:color w:val="auto"/>
                <w:szCs w:val="17"/>
              </w:rPr>
            </w:pPr>
          </w:p>
        </w:tc>
      </w:tr>
      <w:tr w:rsidR="00A635AA" w14:paraId="30253B9A" w14:textId="77777777" w:rsidTr="00061166">
        <w:trPr>
          <w:trHeight w:val="454"/>
        </w:trPr>
        <w:tc>
          <w:tcPr>
            <w:tcW w:w="1250" w:type="pct"/>
            <w:tcBorders>
              <w:top w:val="nil"/>
              <w:left w:val="nil"/>
              <w:bottom w:val="nil"/>
              <w:right w:val="nil"/>
            </w:tcBorders>
          </w:tcPr>
          <w:p w14:paraId="4DE112DF" w14:textId="77777777" w:rsidR="00A635AA" w:rsidRPr="00172F61" w:rsidRDefault="00A635AA" w:rsidP="00A635AA">
            <w:pPr>
              <w:pStyle w:val="NormalIndented"/>
              <w:ind w:left="0"/>
              <w:rPr>
                <w:rFonts w:eastAsia="Times New Roman"/>
                <w:b/>
                <w:iCs/>
                <w:color w:val="auto"/>
                <w:szCs w:val="17"/>
              </w:rPr>
            </w:pPr>
            <w:r w:rsidRPr="00172F61">
              <w:rPr>
                <w:rFonts w:asciiTheme="minorHAnsi" w:eastAsia="Times New Roman" w:hAnsiTheme="minorHAnsi"/>
                <w:iCs/>
                <w:color w:val="auto"/>
                <w:szCs w:val="17"/>
                <w:lang w:eastAsia="en-US"/>
              </w:rPr>
              <w:t>Improved functioning of health system ^</w:t>
            </w:r>
          </w:p>
        </w:tc>
        <w:tc>
          <w:tcPr>
            <w:tcW w:w="1250" w:type="pct"/>
            <w:tcBorders>
              <w:top w:val="nil"/>
              <w:left w:val="nil"/>
              <w:bottom w:val="nil"/>
              <w:right w:val="nil"/>
            </w:tcBorders>
          </w:tcPr>
          <w:p w14:paraId="4E9DCC61" w14:textId="3AC8CFDD" w:rsidR="00A635AA" w:rsidRPr="006C2E33" w:rsidRDefault="00A635AA" w:rsidP="00A635AA">
            <w:pPr>
              <w:pStyle w:val="NormalIndented"/>
              <w:jc w:val="both"/>
              <w:rPr>
                <w:rFonts w:eastAsia="Times New Roman"/>
                <w:iCs/>
                <w:color w:val="auto"/>
                <w:szCs w:val="17"/>
              </w:rPr>
            </w:pPr>
            <w:r w:rsidRPr="006C2E33">
              <w:rPr>
                <w:rFonts w:asciiTheme="minorHAnsi" w:eastAsia="Times New Roman" w:hAnsiTheme="minorHAnsi"/>
                <w:iCs/>
                <w:color w:val="auto"/>
                <w:szCs w:val="17"/>
                <w:lang w:eastAsia="en-US"/>
              </w:rPr>
              <w:t>Availability of critical and essential medicines (includes contraceptives) at Second Level Medical Stores (provincial level) is 90%</w:t>
            </w:r>
          </w:p>
        </w:tc>
        <w:tc>
          <w:tcPr>
            <w:tcW w:w="1250" w:type="pct"/>
            <w:tcBorders>
              <w:top w:val="nil"/>
              <w:left w:val="nil"/>
              <w:bottom w:val="nil"/>
              <w:right w:val="nil"/>
            </w:tcBorders>
          </w:tcPr>
          <w:p w14:paraId="16B68E24" w14:textId="77777777" w:rsidR="00A635AA" w:rsidRPr="006C2E33" w:rsidRDefault="00A635AA" w:rsidP="00A635AA">
            <w:pPr>
              <w:pStyle w:val="NormalIndented"/>
              <w:ind w:left="33"/>
              <w:rPr>
                <w:rFonts w:eastAsia="Times New Roman"/>
                <w:iCs/>
                <w:color w:val="auto"/>
                <w:szCs w:val="17"/>
              </w:rPr>
            </w:pPr>
            <w:r w:rsidRPr="006C2E33">
              <w:rPr>
                <w:rFonts w:asciiTheme="minorHAnsi" w:eastAsia="Times New Roman" w:hAnsiTheme="minorHAnsi"/>
                <w:iCs/>
                <w:color w:val="auto"/>
                <w:szCs w:val="17"/>
                <w:lang w:eastAsia="en-US"/>
              </w:rPr>
              <w:t>Availability of critical and essential medicines (includes contraceptives) at Second Level Medical Stores (provincial level) is 92%</w:t>
            </w:r>
          </w:p>
        </w:tc>
        <w:tc>
          <w:tcPr>
            <w:tcW w:w="1250" w:type="pct"/>
            <w:tcBorders>
              <w:top w:val="nil"/>
              <w:left w:val="nil"/>
              <w:bottom w:val="nil"/>
              <w:right w:val="nil"/>
            </w:tcBorders>
          </w:tcPr>
          <w:p w14:paraId="7477B9F1" w14:textId="44DB1A31" w:rsidR="00A635AA" w:rsidRPr="006C2E33" w:rsidRDefault="00A635AA" w:rsidP="00A635AA">
            <w:pPr>
              <w:spacing w:beforeLines="40" w:before="96" w:afterLines="40" w:after="96" w:line="200" w:lineRule="atLeast"/>
              <w:rPr>
                <w:rFonts w:asciiTheme="minorHAnsi" w:eastAsia="Times New Roman" w:hAnsiTheme="minorHAnsi"/>
                <w:iCs/>
                <w:color w:val="auto"/>
                <w:szCs w:val="17"/>
                <w:lang w:eastAsia="en-US"/>
              </w:rPr>
            </w:pPr>
            <w:r w:rsidRPr="006C2E33">
              <w:rPr>
                <w:rFonts w:asciiTheme="minorHAnsi" w:eastAsia="Times New Roman" w:hAnsiTheme="minorHAnsi"/>
                <w:iCs/>
                <w:color w:val="auto"/>
                <w:szCs w:val="17"/>
                <w:lang w:eastAsia="en-US"/>
              </w:rPr>
              <w:t>Availability of critical and essential medicines (includes contraceptives) at Second Level Medical Stores (provincial level) is 94%</w:t>
            </w:r>
          </w:p>
        </w:tc>
      </w:tr>
      <w:tr w:rsidR="00A635AA" w14:paraId="42B03A54" w14:textId="77777777" w:rsidTr="00061166">
        <w:trPr>
          <w:trHeight w:val="454"/>
        </w:trPr>
        <w:tc>
          <w:tcPr>
            <w:tcW w:w="1250" w:type="pct"/>
            <w:tcBorders>
              <w:top w:val="nil"/>
              <w:left w:val="nil"/>
              <w:bottom w:val="nil"/>
              <w:right w:val="nil"/>
            </w:tcBorders>
          </w:tcPr>
          <w:p w14:paraId="1F6C4FE6" w14:textId="77777777" w:rsidR="00A635AA" w:rsidRPr="00172F61" w:rsidRDefault="00A635AA" w:rsidP="00A635AA">
            <w:pPr>
              <w:pStyle w:val="NormalIndented"/>
              <w:ind w:left="0"/>
              <w:rPr>
                <w:rFonts w:eastAsia="Times New Roman"/>
                <w:iCs/>
                <w:color w:val="auto"/>
                <w:szCs w:val="17"/>
              </w:rPr>
            </w:pPr>
            <w:r w:rsidRPr="00172F61">
              <w:rPr>
                <w:rFonts w:asciiTheme="minorHAnsi" w:eastAsia="Times New Roman" w:hAnsiTheme="minorHAnsi"/>
                <w:iCs/>
                <w:color w:val="auto"/>
                <w:szCs w:val="17"/>
                <w:lang w:eastAsia="en-US"/>
              </w:rPr>
              <w:t>Year 4 literacy and numeracy rates – SISTA</w:t>
            </w:r>
          </w:p>
        </w:tc>
        <w:tc>
          <w:tcPr>
            <w:tcW w:w="1250" w:type="pct"/>
            <w:tcBorders>
              <w:top w:val="nil"/>
              <w:left w:val="nil"/>
              <w:bottom w:val="nil"/>
              <w:right w:val="nil"/>
            </w:tcBorders>
          </w:tcPr>
          <w:p w14:paraId="1941F2F0" w14:textId="77777777" w:rsidR="00A635AA" w:rsidRPr="006C2E33" w:rsidRDefault="00A635AA" w:rsidP="00A635AA">
            <w:pPr>
              <w:pStyle w:val="NormalIndented"/>
              <w:jc w:val="both"/>
              <w:rPr>
                <w:rFonts w:eastAsia="Times New Roman"/>
                <w:iCs/>
                <w:color w:val="auto"/>
                <w:szCs w:val="17"/>
              </w:rPr>
            </w:pPr>
            <w:r w:rsidRPr="006C2E33">
              <w:rPr>
                <w:rFonts w:asciiTheme="minorHAnsi" w:eastAsia="Times New Roman" w:hAnsiTheme="minorHAnsi"/>
                <w:iCs/>
                <w:color w:val="auto"/>
                <w:szCs w:val="17"/>
                <w:lang w:eastAsia="en-US"/>
              </w:rPr>
              <w:t>Progress toward SIG’s 2020 target of 85%, from 75.6%</w:t>
            </w:r>
            <w:r w:rsidR="00790E31">
              <w:rPr>
                <w:rFonts w:asciiTheme="minorHAnsi" w:eastAsia="Times New Roman" w:hAnsiTheme="minorHAnsi"/>
                <w:iCs/>
                <w:color w:val="auto"/>
                <w:szCs w:val="17"/>
                <w:lang w:eastAsia="en-US"/>
              </w:rPr>
              <w:t xml:space="preserve"> (2015 result for reading)</w:t>
            </w:r>
          </w:p>
        </w:tc>
        <w:tc>
          <w:tcPr>
            <w:tcW w:w="1250" w:type="pct"/>
            <w:tcBorders>
              <w:top w:val="nil"/>
              <w:left w:val="nil"/>
              <w:bottom w:val="nil"/>
              <w:right w:val="nil"/>
            </w:tcBorders>
          </w:tcPr>
          <w:p w14:paraId="1211A680" w14:textId="77777777" w:rsidR="00A635AA" w:rsidRPr="006C2E33" w:rsidRDefault="00A635AA" w:rsidP="00A635AA">
            <w:pPr>
              <w:pStyle w:val="NormalIndented"/>
              <w:ind w:left="33"/>
              <w:rPr>
                <w:rFonts w:eastAsia="Times New Roman"/>
                <w:iCs/>
                <w:color w:val="auto"/>
                <w:szCs w:val="17"/>
              </w:rPr>
            </w:pPr>
            <w:r w:rsidRPr="006C2E33">
              <w:rPr>
                <w:rFonts w:asciiTheme="minorHAnsi" w:eastAsia="Times New Roman" w:hAnsiTheme="minorHAnsi"/>
                <w:iCs/>
                <w:color w:val="auto"/>
                <w:szCs w:val="17"/>
                <w:lang w:eastAsia="en-US"/>
              </w:rPr>
              <w:t xml:space="preserve">Progress toward SIG’s 2020 target of 85%, from 75.6% </w:t>
            </w:r>
            <w:r w:rsidR="00790E31">
              <w:rPr>
                <w:rFonts w:asciiTheme="minorHAnsi" w:eastAsia="Times New Roman" w:hAnsiTheme="minorHAnsi"/>
                <w:iCs/>
                <w:color w:val="auto"/>
                <w:szCs w:val="17"/>
                <w:lang w:eastAsia="en-US"/>
              </w:rPr>
              <w:t>(2015 result for reading)</w:t>
            </w:r>
          </w:p>
        </w:tc>
        <w:tc>
          <w:tcPr>
            <w:tcW w:w="1250" w:type="pct"/>
            <w:tcBorders>
              <w:top w:val="nil"/>
              <w:left w:val="nil"/>
              <w:bottom w:val="nil"/>
              <w:right w:val="nil"/>
            </w:tcBorders>
          </w:tcPr>
          <w:p w14:paraId="4A2D30A6" w14:textId="77777777" w:rsidR="00A635AA" w:rsidRPr="006C2E33" w:rsidRDefault="00A635AA" w:rsidP="00A635AA">
            <w:pPr>
              <w:spacing w:beforeLines="40" w:before="96" w:afterLines="40" w:after="96" w:line="200" w:lineRule="atLeast"/>
              <w:rPr>
                <w:rFonts w:eastAsia="Times New Roman"/>
                <w:iCs/>
                <w:color w:val="auto"/>
                <w:szCs w:val="17"/>
              </w:rPr>
            </w:pPr>
            <w:r w:rsidRPr="006C2E33">
              <w:rPr>
                <w:rFonts w:asciiTheme="minorHAnsi" w:eastAsia="Times New Roman" w:hAnsiTheme="minorHAnsi"/>
                <w:iCs/>
                <w:color w:val="auto"/>
                <w:szCs w:val="17"/>
                <w:lang w:eastAsia="en-US"/>
              </w:rPr>
              <w:t>Progress toward SIG’s 2020 target of 85%, from 75.6%</w:t>
            </w:r>
            <w:r w:rsidR="00790E31">
              <w:rPr>
                <w:rFonts w:asciiTheme="minorHAnsi" w:eastAsia="Times New Roman" w:hAnsiTheme="minorHAnsi"/>
                <w:iCs/>
                <w:color w:val="auto"/>
                <w:szCs w:val="17"/>
                <w:lang w:eastAsia="en-US"/>
              </w:rPr>
              <w:t xml:space="preserve"> (2015 result for reading</w:t>
            </w:r>
            <w:r w:rsidR="00EE0700">
              <w:rPr>
                <w:rFonts w:asciiTheme="minorHAnsi" w:eastAsia="Times New Roman" w:hAnsiTheme="minorHAnsi"/>
                <w:iCs/>
                <w:color w:val="auto"/>
                <w:szCs w:val="17"/>
                <w:lang w:eastAsia="en-US"/>
              </w:rPr>
              <w:t>)</w:t>
            </w:r>
          </w:p>
        </w:tc>
      </w:tr>
      <w:tr w:rsidR="00A635AA" w14:paraId="081DE2D1" w14:textId="77777777" w:rsidTr="00061166">
        <w:trPr>
          <w:trHeight w:val="454"/>
        </w:trPr>
        <w:tc>
          <w:tcPr>
            <w:tcW w:w="1250" w:type="pct"/>
            <w:tcBorders>
              <w:top w:val="nil"/>
              <w:left w:val="nil"/>
              <w:bottom w:val="single" w:sz="12" w:space="0" w:color="auto"/>
              <w:right w:val="nil"/>
            </w:tcBorders>
          </w:tcPr>
          <w:p w14:paraId="7DBA832D" w14:textId="77777777" w:rsidR="00A635AA" w:rsidRPr="00172F61" w:rsidRDefault="00A635AA" w:rsidP="00E55B36">
            <w:pPr>
              <w:pStyle w:val="NormalIndented"/>
              <w:ind w:left="0"/>
              <w:rPr>
                <w:rFonts w:eastAsia="Times New Roman"/>
                <w:iCs/>
                <w:color w:val="auto"/>
                <w:szCs w:val="17"/>
              </w:rPr>
            </w:pPr>
            <w:r w:rsidRPr="00172F61">
              <w:rPr>
                <w:rFonts w:asciiTheme="minorHAnsi" w:eastAsia="Times New Roman" w:hAnsiTheme="minorHAnsi"/>
                <w:iCs/>
                <w:color w:val="auto"/>
                <w:szCs w:val="17"/>
                <w:lang w:eastAsia="en-US"/>
              </w:rPr>
              <w:t xml:space="preserve">Increase in percentage of teachers </w:t>
            </w:r>
            <w:r w:rsidR="00E413E1">
              <w:rPr>
                <w:rFonts w:asciiTheme="minorHAnsi" w:eastAsia="Times New Roman" w:hAnsiTheme="minorHAnsi"/>
                <w:iCs/>
                <w:color w:val="auto"/>
                <w:szCs w:val="17"/>
                <w:lang w:eastAsia="en-US"/>
              </w:rPr>
              <w:t>certified</w:t>
            </w:r>
          </w:p>
        </w:tc>
        <w:tc>
          <w:tcPr>
            <w:tcW w:w="1250" w:type="pct"/>
            <w:tcBorders>
              <w:top w:val="nil"/>
              <w:left w:val="nil"/>
              <w:bottom w:val="single" w:sz="12" w:space="0" w:color="auto"/>
              <w:right w:val="nil"/>
            </w:tcBorders>
          </w:tcPr>
          <w:p w14:paraId="77474D4E" w14:textId="77777777" w:rsidR="00A635AA" w:rsidRPr="006C2E33" w:rsidRDefault="00A635AA" w:rsidP="00790E31">
            <w:pPr>
              <w:pStyle w:val="NormalIndented"/>
              <w:jc w:val="both"/>
              <w:rPr>
                <w:rFonts w:eastAsia="Times New Roman"/>
                <w:iCs/>
                <w:color w:val="auto"/>
                <w:szCs w:val="17"/>
              </w:rPr>
            </w:pPr>
            <w:r w:rsidRPr="006C2E33">
              <w:rPr>
                <w:rFonts w:asciiTheme="minorHAnsi" w:eastAsia="Times New Roman" w:hAnsiTheme="minorHAnsi"/>
                <w:iCs/>
                <w:color w:val="auto"/>
                <w:szCs w:val="17"/>
                <w:lang w:eastAsia="en-US"/>
              </w:rPr>
              <w:t>8</w:t>
            </w:r>
            <w:r w:rsidR="00790E31">
              <w:rPr>
                <w:rFonts w:asciiTheme="minorHAnsi" w:eastAsia="Times New Roman" w:hAnsiTheme="minorHAnsi"/>
                <w:iCs/>
                <w:color w:val="auto"/>
                <w:szCs w:val="17"/>
                <w:lang w:eastAsia="en-US"/>
              </w:rPr>
              <w:t>0</w:t>
            </w:r>
            <w:r w:rsidRPr="006C2E33">
              <w:rPr>
                <w:rFonts w:asciiTheme="minorHAnsi" w:eastAsia="Times New Roman" w:hAnsiTheme="minorHAnsi"/>
                <w:iCs/>
                <w:color w:val="auto"/>
                <w:szCs w:val="17"/>
                <w:lang w:eastAsia="en-US"/>
              </w:rPr>
              <w:t xml:space="preserve">% of teachers </w:t>
            </w:r>
            <w:r w:rsidR="00790E31">
              <w:rPr>
                <w:rFonts w:asciiTheme="minorHAnsi" w:eastAsia="Times New Roman" w:hAnsiTheme="minorHAnsi"/>
                <w:iCs/>
                <w:color w:val="auto"/>
                <w:szCs w:val="17"/>
                <w:lang w:eastAsia="en-US"/>
              </w:rPr>
              <w:t>certified*</w:t>
            </w:r>
          </w:p>
        </w:tc>
        <w:tc>
          <w:tcPr>
            <w:tcW w:w="1250" w:type="pct"/>
            <w:tcBorders>
              <w:top w:val="nil"/>
              <w:left w:val="nil"/>
              <w:bottom w:val="single" w:sz="12" w:space="0" w:color="auto"/>
              <w:right w:val="nil"/>
            </w:tcBorders>
          </w:tcPr>
          <w:p w14:paraId="056DA233" w14:textId="77777777" w:rsidR="00A635AA" w:rsidRPr="006C2E33" w:rsidRDefault="00A635AA" w:rsidP="00790E31">
            <w:pPr>
              <w:pStyle w:val="NormalIndented"/>
              <w:ind w:left="33"/>
              <w:rPr>
                <w:rFonts w:eastAsia="Times New Roman"/>
                <w:iCs/>
                <w:color w:val="auto"/>
                <w:szCs w:val="17"/>
              </w:rPr>
            </w:pPr>
            <w:r w:rsidRPr="006C2E33">
              <w:rPr>
                <w:rFonts w:asciiTheme="minorHAnsi" w:eastAsia="Times New Roman" w:hAnsiTheme="minorHAnsi"/>
                <w:iCs/>
                <w:color w:val="auto"/>
                <w:szCs w:val="17"/>
                <w:lang w:eastAsia="en-US"/>
              </w:rPr>
              <w:t xml:space="preserve">90% of teachers </w:t>
            </w:r>
            <w:r w:rsidR="00790E31">
              <w:rPr>
                <w:rFonts w:asciiTheme="minorHAnsi" w:eastAsia="Times New Roman" w:hAnsiTheme="minorHAnsi"/>
                <w:iCs/>
                <w:color w:val="auto"/>
                <w:szCs w:val="17"/>
                <w:lang w:eastAsia="en-US"/>
              </w:rPr>
              <w:t>certified</w:t>
            </w:r>
          </w:p>
        </w:tc>
        <w:tc>
          <w:tcPr>
            <w:tcW w:w="1250" w:type="pct"/>
            <w:tcBorders>
              <w:top w:val="nil"/>
              <w:left w:val="nil"/>
              <w:bottom w:val="single" w:sz="12" w:space="0" w:color="auto"/>
              <w:right w:val="nil"/>
            </w:tcBorders>
          </w:tcPr>
          <w:p w14:paraId="59F4318D" w14:textId="77777777" w:rsidR="00A635AA" w:rsidRPr="006C2E33" w:rsidRDefault="00A635AA" w:rsidP="00790E31">
            <w:pPr>
              <w:spacing w:beforeLines="40" w:before="96" w:afterLines="40" w:after="96" w:line="200" w:lineRule="atLeast"/>
              <w:rPr>
                <w:rFonts w:eastAsia="Times New Roman"/>
                <w:iCs/>
                <w:color w:val="auto"/>
                <w:szCs w:val="17"/>
              </w:rPr>
            </w:pPr>
            <w:r w:rsidRPr="006C2E33">
              <w:rPr>
                <w:rFonts w:asciiTheme="minorHAnsi" w:eastAsia="Times New Roman" w:hAnsiTheme="minorHAnsi"/>
                <w:iCs/>
                <w:color w:val="auto"/>
                <w:szCs w:val="17"/>
                <w:lang w:eastAsia="en-US"/>
              </w:rPr>
              <w:t xml:space="preserve">95% of teachers </w:t>
            </w:r>
            <w:r w:rsidR="00790E31">
              <w:rPr>
                <w:rFonts w:asciiTheme="minorHAnsi" w:eastAsia="Times New Roman" w:hAnsiTheme="minorHAnsi"/>
                <w:iCs/>
                <w:color w:val="auto"/>
                <w:szCs w:val="17"/>
                <w:lang w:eastAsia="en-US"/>
              </w:rPr>
              <w:t>certified</w:t>
            </w:r>
          </w:p>
        </w:tc>
      </w:tr>
    </w:tbl>
    <w:p w14:paraId="7D931150" w14:textId="77777777" w:rsidR="00FE6609" w:rsidRPr="00EE0700" w:rsidRDefault="00790E31" w:rsidP="00390A42">
      <w:pPr>
        <w:rPr>
          <w:rFonts w:eastAsia="Times New Roman"/>
          <w:i/>
          <w:iCs/>
          <w:color w:val="auto"/>
          <w:sz w:val="17"/>
          <w:szCs w:val="17"/>
        </w:rPr>
      </w:pPr>
      <w:r w:rsidRPr="00EE0700">
        <w:rPr>
          <w:rFonts w:eastAsia="Times New Roman"/>
          <w:i/>
          <w:iCs/>
          <w:color w:val="auto"/>
          <w:sz w:val="17"/>
          <w:szCs w:val="17"/>
        </w:rPr>
        <w:t>* Benchmark updated to reflect MEHRD adoption of teacher certification as the key indicator</w:t>
      </w:r>
    </w:p>
    <w:p w14:paraId="0E0C1C68" w14:textId="77777777" w:rsidR="00FE6609" w:rsidRPr="00FE6609" w:rsidRDefault="00FE6609" w:rsidP="00FE6609">
      <w:pPr>
        <w:rPr>
          <w:rFonts w:ascii="Franklin Gothic Book" w:eastAsia="Times New Roman" w:hAnsi="Franklin Gothic Book"/>
          <w:sz w:val="21"/>
        </w:rPr>
      </w:pPr>
    </w:p>
    <w:p w14:paraId="01AA7C74" w14:textId="77777777" w:rsidR="00FE6609" w:rsidRPr="00FE6609" w:rsidRDefault="00FE6609" w:rsidP="00FE6609">
      <w:pPr>
        <w:rPr>
          <w:rFonts w:ascii="Franklin Gothic Book" w:eastAsia="Times New Roman" w:hAnsi="Franklin Gothic Book"/>
          <w:sz w:val="21"/>
        </w:rPr>
      </w:pPr>
    </w:p>
    <w:p w14:paraId="04752A3D" w14:textId="77777777" w:rsidR="00AB6E06" w:rsidRPr="00BE2C57" w:rsidRDefault="00FE6609" w:rsidP="00390A42">
      <w:pPr>
        <w:rPr>
          <w:b/>
          <w:sz w:val="38"/>
          <w:szCs w:val="38"/>
        </w:rPr>
      </w:pPr>
      <w:r w:rsidRPr="00BE2C57">
        <w:rPr>
          <w:b/>
          <w:color w:val="auto"/>
          <w:sz w:val="38"/>
          <w:szCs w:val="38"/>
        </w:rPr>
        <w:lastRenderedPageBreak/>
        <w:t>Annex C - Evaluation Planning</w:t>
      </w:r>
    </w:p>
    <w:tbl>
      <w:tblPr>
        <w:tblStyle w:val="APPR"/>
        <w:tblpPr w:leftFromText="180" w:rightFromText="180" w:vertAnchor="text" w:horzAnchor="margin" w:tblpY="443"/>
        <w:tblW w:w="14453" w:type="dxa"/>
        <w:tblLayout w:type="fixed"/>
        <w:tblLook w:val="04A0" w:firstRow="1" w:lastRow="0" w:firstColumn="1" w:lastColumn="0" w:noHBand="0" w:noVBand="1"/>
      </w:tblPr>
      <w:tblGrid>
        <w:gridCol w:w="3106"/>
        <w:gridCol w:w="4685"/>
        <w:gridCol w:w="1425"/>
        <w:gridCol w:w="1981"/>
        <w:gridCol w:w="1699"/>
        <w:gridCol w:w="1557"/>
      </w:tblGrid>
      <w:tr w:rsidR="00AB6E06" w:rsidRPr="00C61187" w14:paraId="7E6B483F" w14:textId="77777777" w:rsidTr="00FE6609">
        <w:trPr>
          <w:cnfStyle w:val="100000000000" w:firstRow="1" w:lastRow="0" w:firstColumn="0" w:lastColumn="0" w:oddVBand="0" w:evenVBand="0" w:oddHBand="0" w:evenHBand="0" w:firstRowFirstColumn="0" w:firstRowLastColumn="0" w:lastRowFirstColumn="0" w:lastRowLastColumn="0"/>
        </w:trPr>
        <w:tc>
          <w:tcPr>
            <w:tcW w:w="3064" w:type="dxa"/>
          </w:tcPr>
          <w:p w14:paraId="0421405A" w14:textId="27768DB6" w:rsidR="00AB6E06" w:rsidRPr="003117A3" w:rsidRDefault="00AB6E06" w:rsidP="00FE6609">
            <w:pPr>
              <w:keepLines/>
              <w:spacing w:line="200" w:lineRule="atLeast"/>
              <w:rPr>
                <w:rFonts w:asciiTheme="minorHAnsi" w:eastAsia="Times New Roman" w:hAnsiTheme="minorHAnsi"/>
                <w:iCs/>
                <w:color w:val="000000" w:themeColor="text1"/>
                <w:szCs w:val="17"/>
                <w:lang w:eastAsia="en-US"/>
              </w:rPr>
            </w:pPr>
            <w:r w:rsidRPr="003117A3">
              <w:rPr>
                <w:rFonts w:asciiTheme="minorHAnsi" w:eastAsia="Times New Roman" w:hAnsiTheme="minorHAnsi"/>
                <w:iCs/>
                <w:color w:val="000000" w:themeColor="text1"/>
                <w:szCs w:val="17"/>
                <w:lang w:eastAsia="en-US"/>
              </w:rPr>
              <w:t>Investment number and name</w:t>
            </w:r>
          </w:p>
        </w:tc>
        <w:tc>
          <w:tcPr>
            <w:tcW w:w="4657" w:type="dxa"/>
          </w:tcPr>
          <w:p w14:paraId="0AAE7755" w14:textId="77777777" w:rsidR="00AB6E06" w:rsidRPr="003117A3" w:rsidRDefault="00AB6E06" w:rsidP="00FE6609">
            <w:pPr>
              <w:keepLines/>
              <w:spacing w:line="200" w:lineRule="atLeast"/>
              <w:rPr>
                <w:rFonts w:asciiTheme="minorHAnsi" w:eastAsia="Times New Roman" w:hAnsiTheme="minorHAnsi"/>
                <w:iCs/>
                <w:color w:val="000000" w:themeColor="text1"/>
                <w:szCs w:val="17"/>
                <w:lang w:eastAsia="en-US"/>
              </w:rPr>
            </w:pPr>
            <w:r w:rsidRPr="003117A3">
              <w:rPr>
                <w:rFonts w:asciiTheme="minorHAnsi" w:eastAsia="Times New Roman" w:hAnsiTheme="minorHAnsi"/>
                <w:iCs/>
                <w:color w:val="000000" w:themeColor="text1"/>
                <w:szCs w:val="17"/>
                <w:lang w:eastAsia="en-US"/>
              </w:rPr>
              <w:t>Name of evaluation</w:t>
            </w:r>
          </w:p>
        </w:tc>
        <w:tc>
          <w:tcPr>
            <w:tcW w:w="1397" w:type="dxa"/>
          </w:tcPr>
          <w:p w14:paraId="62249D4E" w14:textId="77777777" w:rsidR="00AB6E06" w:rsidRPr="003117A3" w:rsidRDefault="00AB6E06" w:rsidP="00FE6609">
            <w:pPr>
              <w:keepLines/>
              <w:spacing w:line="200" w:lineRule="atLeast"/>
              <w:rPr>
                <w:rFonts w:asciiTheme="minorHAnsi" w:eastAsia="Times New Roman" w:hAnsiTheme="minorHAnsi"/>
                <w:iCs/>
                <w:color w:val="000000" w:themeColor="text1"/>
                <w:szCs w:val="17"/>
                <w:lang w:eastAsia="en-US"/>
              </w:rPr>
            </w:pPr>
            <w:r w:rsidRPr="003117A3">
              <w:rPr>
                <w:rFonts w:asciiTheme="minorHAnsi" w:eastAsia="Times New Roman" w:hAnsiTheme="minorHAnsi"/>
                <w:iCs/>
                <w:color w:val="000000" w:themeColor="text1"/>
                <w:szCs w:val="17"/>
                <w:lang w:eastAsia="en-US"/>
              </w:rPr>
              <w:t>Date completed</w:t>
            </w:r>
          </w:p>
        </w:tc>
        <w:tc>
          <w:tcPr>
            <w:tcW w:w="1953" w:type="dxa"/>
          </w:tcPr>
          <w:p w14:paraId="31B39BFB" w14:textId="77777777" w:rsidR="00AB6E06" w:rsidRPr="003117A3" w:rsidRDefault="00AB6E06" w:rsidP="00FE6609">
            <w:pPr>
              <w:keepLines/>
              <w:spacing w:line="200" w:lineRule="atLeast"/>
              <w:rPr>
                <w:rFonts w:asciiTheme="minorHAnsi" w:eastAsia="Times New Roman" w:hAnsiTheme="minorHAnsi"/>
                <w:iCs/>
                <w:color w:val="000000" w:themeColor="text1"/>
                <w:szCs w:val="17"/>
                <w:lang w:eastAsia="en-US"/>
              </w:rPr>
            </w:pPr>
            <w:r w:rsidRPr="003117A3">
              <w:rPr>
                <w:rFonts w:asciiTheme="minorHAnsi" w:eastAsia="Times New Roman" w:hAnsiTheme="minorHAnsi"/>
                <w:iCs/>
                <w:color w:val="000000" w:themeColor="text1"/>
                <w:szCs w:val="17"/>
                <w:lang w:eastAsia="en-US"/>
              </w:rPr>
              <w:t>Date Evaluation report Uploaded into AidWorks</w:t>
            </w:r>
          </w:p>
        </w:tc>
        <w:tc>
          <w:tcPr>
            <w:tcW w:w="1671" w:type="dxa"/>
          </w:tcPr>
          <w:p w14:paraId="5273B7DC" w14:textId="77777777" w:rsidR="00AB6E06" w:rsidRPr="003117A3" w:rsidRDefault="00AB6E06" w:rsidP="00FE6609">
            <w:pPr>
              <w:keepLines/>
              <w:spacing w:line="200" w:lineRule="atLeast"/>
              <w:rPr>
                <w:rFonts w:asciiTheme="minorHAnsi" w:eastAsia="Times New Roman" w:hAnsiTheme="minorHAnsi"/>
                <w:iCs/>
                <w:color w:val="000000" w:themeColor="text1"/>
                <w:szCs w:val="17"/>
                <w:lang w:eastAsia="en-US"/>
              </w:rPr>
            </w:pPr>
            <w:r w:rsidRPr="003117A3">
              <w:rPr>
                <w:rFonts w:asciiTheme="minorHAnsi" w:eastAsia="Times New Roman" w:hAnsiTheme="minorHAnsi"/>
                <w:iCs/>
                <w:color w:val="000000" w:themeColor="text1"/>
                <w:szCs w:val="17"/>
                <w:lang w:eastAsia="en-US"/>
              </w:rPr>
              <w:t>Date Management response uploaded into AidWorks</w:t>
            </w:r>
          </w:p>
        </w:tc>
        <w:tc>
          <w:tcPr>
            <w:tcW w:w="1515" w:type="dxa"/>
          </w:tcPr>
          <w:p w14:paraId="3C615E4B" w14:textId="77777777" w:rsidR="00AB6E06" w:rsidRPr="003117A3" w:rsidRDefault="00AB6E06" w:rsidP="00FE6609">
            <w:pPr>
              <w:keepLines/>
              <w:spacing w:line="200" w:lineRule="atLeast"/>
              <w:rPr>
                <w:rFonts w:asciiTheme="minorHAnsi" w:eastAsia="Times New Roman" w:hAnsiTheme="minorHAnsi"/>
                <w:iCs/>
                <w:color w:val="000000" w:themeColor="text1"/>
                <w:szCs w:val="17"/>
                <w:lang w:eastAsia="en-US"/>
              </w:rPr>
            </w:pPr>
            <w:r w:rsidRPr="003117A3">
              <w:rPr>
                <w:rFonts w:asciiTheme="minorHAnsi" w:eastAsia="Times New Roman" w:hAnsiTheme="minorHAnsi"/>
                <w:iCs/>
                <w:color w:val="000000" w:themeColor="text1"/>
                <w:szCs w:val="17"/>
                <w:lang w:eastAsia="en-US"/>
              </w:rPr>
              <w:t>Published on website</w:t>
            </w:r>
          </w:p>
        </w:tc>
      </w:tr>
      <w:tr w:rsidR="00A05D14" w:rsidRPr="003B5EE5" w14:paraId="6409213B" w14:textId="77777777" w:rsidTr="00FE6609">
        <w:trPr>
          <w:cnfStyle w:val="100000000000" w:firstRow="1" w:lastRow="0" w:firstColumn="0" w:lastColumn="0" w:oddVBand="0" w:evenVBand="0" w:oddHBand="0" w:evenHBand="0" w:firstRowFirstColumn="0" w:firstRowLastColumn="0" w:lastRowFirstColumn="0" w:lastRowLastColumn="0"/>
        </w:trPr>
        <w:tc>
          <w:tcPr>
            <w:tcW w:w="3064" w:type="dxa"/>
          </w:tcPr>
          <w:p w14:paraId="74BF9364" w14:textId="77777777" w:rsidR="00A05D14" w:rsidRPr="003117A3" w:rsidRDefault="00A05D14" w:rsidP="00FE6609">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 xml:space="preserve">INK867 Solomon Islands Justice Program </w:t>
            </w:r>
          </w:p>
        </w:tc>
        <w:tc>
          <w:tcPr>
            <w:tcW w:w="4657" w:type="dxa"/>
          </w:tcPr>
          <w:p w14:paraId="748662EE" w14:textId="77777777" w:rsidR="00A05D14" w:rsidRPr="003117A3" w:rsidRDefault="00A05D14" w:rsidP="006956F3">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Mid-term review</w:t>
            </w:r>
          </w:p>
        </w:tc>
        <w:tc>
          <w:tcPr>
            <w:tcW w:w="1397" w:type="dxa"/>
          </w:tcPr>
          <w:p w14:paraId="628E2B30" w14:textId="77777777" w:rsidR="00A05D14" w:rsidRPr="003117A3" w:rsidRDefault="001D3EE3" w:rsidP="00FE6609">
            <w:pPr>
              <w:keepLines/>
              <w:spacing w:before="40" w:after="40" w:line="200" w:lineRule="atLeast"/>
              <w:rPr>
                <w:rFonts w:asciiTheme="minorHAnsi" w:eastAsia="Times New Roman" w:hAnsiTheme="minorHAnsi"/>
                <w:iCs/>
                <w:color w:val="000000" w:themeColor="text1"/>
                <w:szCs w:val="17"/>
              </w:rPr>
            </w:pPr>
            <w:r>
              <w:rPr>
                <w:rFonts w:asciiTheme="minorHAnsi" w:eastAsia="Times New Roman" w:hAnsiTheme="minorHAnsi"/>
                <w:b w:val="0"/>
                <w:iCs/>
                <w:color w:val="000000" w:themeColor="text1"/>
                <w:szCs w:val="17"/>
              </w:rPr>
              <w:t>August</w:t>
            </w:r>
            <w:r w:rsidRPr="003117A3">
              <w:rPr>
                <w:rFonts w:asciiTheme="minorHAnsi" w:eastAsia="Times New Roman" w:hAnsiTheme="minorHAnsi"/>
                <w:b w:val="0"/>
                <w:iCs/>
                <w:color w:val="000000" w:themeColor="text1"/>
                <w:szCs w:val="17"/>
              </w:rPr>
              <w:t xml:space="preserve"> </w:t>
            </w:r>
            <w:r w:rsidR="00A05D14" w:rsidRPr="003117A3">
              <w:rPr>
                <w:rFonts w:asciiTheme="minorHAnsi" w:eastAsia="Times New Roman" w:hAnsiTheme="minorHAnsi"/>
                <w:b w:val="0"/>
                <w:iCs/>
                <w:color w:val="000000" w:themeColor="text1"/>
                <w:szCs w:val="17"/>
              </w:rPr>
              <w:t xml:space="preserve">2015 </w:t>
            </w:r>
          </w:p>
        </w:tc>
        <w:tc>
          <w:tcPr>
            <w:tcW w:w="1953" w:type="dxa"/>
          </w:tcPr>
          <w:p w14:paraId="031BAB7B" w14:textId="77777777" w:rsidR="00A05D14" w:rsidRPr="003117A3" w:rsidRDefault="00A05D14" w:rsidP="00FE6609">
            <w:pPr>
              <w:keepLines/>
              <w:spacing w:before="40" w:after="40" w:line="200" w:lineRule="atLeast"/>
              <w:rPr>
                <w:rFonts w:asciiTheme="minorHAnsi" w:eastAsia="Times New Roman" w:hAnsiTheme="minorHAnsi"/>
                <w:iCs/>
                <w:color w:val="000000" w:themeColor="text1"/>
                <w:szCs w:val="17"/>
              </w:rPr>
            </w:pPr>
            <w:r w:rsidRPr="003117A3">
              <w:rPr>
                <w:rFonts w:asciiTheme="minorHAnsi" w:eastAsia="Times New Roman" w:hAnsiTheme="minorHAnsi"/>
                <w:b w:val="0"/>
                <w:iCs/>
                <w:color w:val="000000" w:themeColor="text1"/>
                <w:szCs w:val="17"/>
              </w:rPr>
              <w:t>July 2016</w:t>
            </w:r>
          </w:p>
        </w:tc>
        <w:tc>
          <w:tcPr>
            <w:tcW w:w="1671" w:type="dxa"/>
          </w:tcPr>
          <w:p w14:paraId="578E3565" w14:textId="77777777" w:rsidR="00A05D14" w:rsidRPr="003117A3" w:rsidRDefault="00A05D14" w:rsidP="00FE6609">
            <w:pPr>
              <w:keepLines/>
              <w:spacing w:before="40" w:after="40" w:line="200" w:lineRule="atLeast"/>
              <w:rPr>
                <w:rFonts w:asciiTheme="minorHAnsi" w:eastAsia="Times New Roman" w:hAnsiTheme="minorHAnsi"/>
                <w:iCs/>
                <w:color w:val="000000" w:themeColor="text1"/>
                <w:szCs w:val="17"/>
              </w:rPr>
            </w:pPr>
            <w:r w:rsidRPr="003117A3">
              <w:rPr>
                <w:rFonts w:asciiTheme="minorHAnsi" w:eastAsia="Times New Roman" w:hAnsiTheme="minorHAnsi"/>
                <w:b w:val="0"/>
                <w:iCs/>
                <w:color w:val="000000" w:themeColor="text1"/>
                <w:szCs w:val="17"/>
              </w:rPr>
              <w:t>July 2016</w:t>
            </w:r>
          </w:p>
        </w:tc>
        <w:tc>
          <w:tcPr>
            <w:tcW w:w="1515" w:type="dxa"/>
          </w:tcPr>
          <w:p w14:paraId="05A347E0" w14:textId="77777777" w:rsidR="00A05D14" w:rsidRPr="003117A3" w:rsidRDefault="006956F3" w:rsidP="00FE6609">
            <w:pPr>
              <w:keepLines/>
              <w:spacing w:before="40" w:after="40" w:line="200" w:lineRule="atLeast"/>
              <w:rPr>
                <w:rFonts w:asciiTheme="minorHAnsi" w:eastAsia="Times New Roman" w:hAnsiTheme="minorHAnsi"/>
                <w:iCs/>
                <w:color w:val="000000" w:themeColor="text1"/>
                <w:szCs w:val="17"/>
              </w:rPr>
            </w:pPr>
            <w:r>
              <w:rPr>
                <w:rFonts w:asciiTheme="minorHAnsi" w:eastAsia="Times New Roman" w:hAnsiTheme="minorHAnsi"/>
                <w:b w:val="0"/>
                <w:iCs/>
                <w:color w:val="000000" w:themeColor="text1"/>
                <w:szCs w:val="17"/>
              </w:rPr>
              <w:t>July 2016</w:t>
            </w:r>
          </w:p>
        </w:tc>
      </w:tr>
      <w:tr w:rsidR="00A05D14" w:rsidRPr="003B5EE5" w14:paraId="37C77673" w14:textId="77777777" w:rsidTr="00FE6609">
        <w:trPr>
          <w:cnfStyle w:val="100000000000" w:firstRow="1" w:lastRow="0" w:firstColumn="0" w:lastColumn="0" w:oddVBand="0" w:evenVBand="0" w:oddHBand="0" w:evenHBand="0" w:firstRowFirstColumn="0" w:firstRowLastColumn="0" w:lastRowFirstColumn="0" w:lastRowLastColumn="0"/>
        </w:trPr>
        <w:tc>
          <w:tcPr>
            <w:tcW w:w="3064" w:type="dxa"/>
          </w:tcPr>
          <w:p w14:paraId="4D4CD1DD" w14:textId="77777777" w:rsidR="00A05D14" w:rsidRPr="003117A3" w:rsidRDefault="00A05D14" w:rsidP="00FE6609">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 xml:space="preserve">INK143 Solomon Islands Urban Water Supply </w:t>
            </w:r>
          </w:p>
        </w:tc>
        <w:tc>
          <w:tcPr>
            <w:tcW w:w="4657" w:type="dxa"/>
          </w:tcPr>
          <w:p w14:paraId="171BE7AD" w14:textId="77777777" w:rsidR="00A05D14" w:rsidRPr="003117A3" w:rsidRDefault="00A05D14" w:rsidP="00FE6609">
            <w:pPr>
              <w:keepLines/>
              <w:spacing w:before="40" w:after="40" w:line="200" w:lineRule="atLeast"/>
              <w:rPr>
                <w:rFonts w:asciiTheme="minorHAnsi" w:eastAsia="Times New Roman" w:hAnsiTheme="minorHAnsi"/>
                <w:b w:val="0"/>
                <w:iCs/>
                <w:color w:val="000000" w:themeColor="text1"/>
                <w:szCs w:val="17"/>
              </w:rPr>
            </w:pPr>
            <w:r w:rsidRPr="002C5836">
              <w:rPr>
                <w:rFonts w:asciiTheme="minorHAnsi" w:eastAsia="Times New Roman" w:hAnsiTheme="minorHAnsi"/>
                <w:b w:val="0"/>
                <w:iCs/>
                <w:color w:val="000000" w:themeColor="text1"/>
                <w:szCs w:val="17"/>
              </w:rPr>
              <w:t>Independent Evaluation</w:t>
            </w:r>
          </w:p>
        </w:tc>
        <w:tc>
          <w:tcPr>
            <w:tcW w:w="1397" w:type="dxa"/>
          </w:tcPr>
          <w:p w14:paraId="249389E7" w14:textId="77777777" w:rsidR="00A05D14" w:rsidRPr="003117A3" w:rsidRDefault="00A05D14" w:rsidP="00FE6609">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June 2016</w:t>
            </w:r>
          </w:p>
        </w:tc>
        <w:tc>
          <w:tcPr>
            <w:tcW w:w="1953" w:type="dxa"/>
          </w:tcPr>
          <w:p w14:paraId="4B1E2348" w14:textId="77777777" w:rsidR="00A05D14" w:rsidRPr="003117A3" w:rsidRDefault="00A05D14" w:rsidP="00FE6609">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March 2017</w:t>
            </w:r>
          </w:p>
        </w:tc>
        <w:tc>
          <w:tcPr>
            <w:tcW w:w="1671" w:type="dxa"/>
          </w:tcPr>
          <w:p w14:paraId="5E3C5C1E" w14:textId="77777777" w:rsidR="00A05D14" w:rsidRPr="003117A3" w:rsidRDefault="00A05D14" w:rsidP="00FE6609">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March 2017</w:t>
            </w:r>
          </w:p>
        </w:tc>
        <w:tc>
          <w:tcPr>
            <w:tcW w:w="1515" w:type="dxa"/>
          </w:tcPr>
          <w:p w14:paraId="4CA6D85E" w14:textId="77777777" w:rsidR="00A05D14" w:rsidRPr="003117A3" w:rsidRDefault="001D3EE3" w:rsidP="00FE6609">
            <w:pPr>
              <w:keepLines/>
              <w:spacing w:before="40" w:after="40" w:line="200" w:lineRule="atLeast"/>
              <w:rPr>
                <w:rFonts w:asciiTheme="minorHAnsi" w:eastAsia="Times New Roman" w:hAnsiTheme="minorHAnsi"/>
                <w:b w:val="0"/>
                <w:iCs/>
                <w:color w:val="000000" w:themeColor="text1"/>
                <w:szCs w:val="17"/>
              </w:rPr>
            </w:pPr>
            <w:r>
              <w:rPr>
                <w:rFonts w:asciiTheme="minorHAnsi" w:eastAsia="Times New Roman" w:hAnsiTheme="minorHAnsi"/>
                <w:b w:val="0"/>
                <w:iCs/>
                <w:color w:val="000000" w:themeColor="text1"/>
                <w:szCs w:val="17"/>
              </w:rPr>
              <w:t>Planned for September 2017</w:t>
            </w:r>
          </w:p>
        </w:tc>
      </w:tr>
      <w:tr w:rsidR="00A05D14" w:rsidRPr="006406BB" w14:paraId="5F446858" w14:textId="77777777" w:rsidTr="00FE6609">
        <w:trPr>
          <w:cnfStyle w:val="100000000000" w:firstRow="1" w:lastRow="0" w:firstColumn="0" w:lastColumn="0" w:oddVBand="0" w:evenVBand="0" w:oddHBand="0" w:evenHBand="0" w:firstRowFirstColumn="0" w:firstRowLastColumn="0" w:lastRowFirstColumn="0" w:lastRowLastColumn="0"/>
        </w:trPr>
        <w:tc>
          <w:tcPr>
            <w:tcW w:w="3064" w:type="dxa"/>
          </w:tcPr>
          <w:p w14:paraId="6F7F9594" w14:textId="77777777" w:rsidR="00A05D14" w:rsidRPr="003117A3" w:rsidRDefault="00A05D14" w:rsidP="00FE6609">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 xml:space="preserve">INK688 Addressing Gender Equality in Solomon Islands </w:t>
            </w:r>
          </w:p>
        </w:tc>
        <w:tc>
          <w:tcPr>
            <w:tcW w:w="4657" w:type="dxa"/>
          </w:tcPr>
          <w:p w14:paraId="0C9A418F" w14:textId="77777777" w:rsidR="00A05D14" w:rsidRPr="003117A3" w:rsidRDefault="00A05D14" w:rsidP="00FE6609">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 xml:space="preserve">Scoping Study on Women in </w:t>
            </w:r>
            <w:r w:rsidR="00C128D4">
              <w:rPr>
                <w:rFonts w:asciiTheme="minorHAnsi" w:eastAsia="Times New Roman" w:hAnsiTheme="minorHAnsi"/>
                <w:b w:val="0"/>
                <w:iCs/>
                <w:color w:val="000000" w:themeColor="text1"/>
                <w:szCs w:val="17"/>
              </w:rPr>
              <w:t>L</w:t>
            </w:r>
            <w:r w:rsidRPr="003117A3">
              <w:rPr>
                <w:rFonts w:asciiTheme="minorHAnsi" w:eastAsia="Times New Roman" w:hAnsiTheme="minorHAnsi"/>
                <w:b w:val="0"/>
                <w:iCs/>
                <w:color w:val="000000" w:themeColor="text1"/>
                <w:szCs w:val="17"/>
              </w:rPr>
              <w:t xml:space="preserve">eadership and Decision Making </w:t>
            </w:r>
          </w:p>
        </w:tc>
        <w:tc>
          <w:tcPr>
            <w:tcW w:w="1397" w:type="dxa"/>
          </w:tcPr>
          <w:p w14:paraId="14D1C8EB" w14:textId="77777777" w:rsidR="00A05D14" w:rsidRPr="003117A3" w:rsidRDefault="00C128D4" w:rsidP="00C128D4">
            <w:pPr>
              <w:keepLines/>
              <w:spacing w:before="40" w:after="40" w:line="200" w:lineRule="atLeast"/>
              <w:rPr>
                <w:rFonts w:asciiTheme="minorHAnsi" w:eastAsia="Times New Roman" w:hAnsiTheme="minorHAnsi"/>
                <w:b w:val="0"/>
                <w:iCs/>
                <w:color w:val="000000" w:themeColor="text1"/>
                <w:szCs w:val="17"/>
              </w:rPr>
            </w:pPr>
            <w:r>
              <w:rPr>
                <w:rFonts w:asciiTheme="minorHAnsi" w:eastAsia="Times New Roman" w:hAnsiTheme="minorHAnsi"/>
                <w:b w:val="0"/>
                <w:iCs/>
                <w:color w:val="000000" w:themeColor="text1"/>
                <w:szCs w:val="17"/>
              </w:rPr>
              <w:t>December 2016</w:t>
            </w:r>
          </w:p>
        </w:tc>
        <w:tc>
          <w:tcPr>
            <w:tcW w:w="1953" w:type="dxa"/>
          </w:tcPr>
          <w:p w14:paraId="4F159B2A" w14:textId="77777777" w:rsidR="00A05D14" w:rsidRPr="00EB750F" w:rsidRDefault="00711849" w:rsidP="00C128D4">
            <w:pPr>
              <w:keepLines/>
              <w:spacing w:before="40" w:after="40" w:line="200" w:lineRule="atLeast"/>
              <w:rPr>
                <w:rFonts w:asciiTheme="minorHAnsi" w:eastAsia="Times New Roman" w:hAnsiTheme="minorHAnsi"/>
                <w:b w:val="0"/>
                <w:iCs/>
                <w:color w:val="FF0000"/>
                <w:szCs w:val="17"/>
              </w:rPr>
            </w:pPr>
            <w:r>
              <w:rPr>
                <w:rFonts w:asciiTheme="minorHAnsi" w:eastAsia="Times New Roman" w:hAnsiTheme="minorHAnsi"/>
                <w:b w:val="0"/>
                <w:iCs/>
                <w:color w:val="000000" w:themeColor="text1"/>
                <w:szCs w:val="17"/>
              </w:rPr>
              <w:t>August 2017</w:t>
            </w:r>
          </w:p>
        </w:tc>
        <w:tc>
          <w:tcPr>
            <w:tcW w:w="1671" w:type="dxa"/>
          </w:tcPr>
          <w:p w14:paraId="0AEE7227" w14:textId="77777777" w:rsidR="00A05D14" w:rsidRPr="00EB750F" w:rsidRDefault="00711849" w:rsidP="00C128D4">
            <w:pPr>
              <w:keepLines/>
              <w:spacing w:before="40" w:after="40" w:line="200" w:lineRule="atLeast"/>
              <w:rPr>
                <w:rFonts w:asciiTheme="minorHAnsi" w:eastAsia="Times New Roman" w:hAnsiTheme="minorHAnsi"/>
                <w:b w:val="0"/>
                <w:iCs/>
                <w:color w:val="FF0000"/>
                <w:szCs w:val="17"/>
              </w:rPr>
            </w:pPr>
            <w:r>
              <w:rPr>
                <w:rFonts w:asciiTheme="minorHAnsi" w:eastAsia="Times New Roman" w:hAnsiTheme="minorHAnsi"/>
                <w:b w:val="0"/>
                <w:iCs/>
                <w:color w:val="000000" w:themeColor="text1"/>
                <w:szCs w:val="17"/>
              </w:rPr>
              <w:t>August 2017</w:t>
            </w:r>
          </w:p>
        </w:tc>
        <w:tc>
          <w:tcPr>
            <w:tcW w:w="1515" w:type="dxa"/>
          </w:tcPr>
          <w:p w14:paraId="789DF81D" w14:textId="77777777" w:rsidR="00A05D14" w:rsidRPr="00EB750F" w:rsidRDefault="00711849" w:rsidP="00C128D4">
            <w:pPr>
              <w:keepLines/>
              <w:spacing w:before="40" w:after="40" w:line="200" w:lineRule="atLeast"/>
              <w:rPr>
                <w:rFonts w:asciiTheme="minorHAnsi" w:eastAsia="Times New Roman" w:hAnsiTheme="minorHAnsi"/>
                <w:b w:val="0"/>
                <w:iCs/>
                <w:color w:val="FF0000"/>
                <w:szCs w:val="17"/>
              </w:rPr>
            </w:pPr>
            <w:r>
              <w:rPr>
                <w:rFonts w:asciiTheme="minorHAnsi" w:eastAsia="Times New Roman" w:hAnsiTheme="minorHAnsi"/>
                <w:b w:val="0"/>
                <w:iCs/>
                <w:color w:val="000000" w:themeColor="text1"/>
                <w:szCs w:val="17"/>
              </w:rPr>
              <w:t>August 2017</w:t>
            </w:r>
          </w:p>
        </w:tc>
      </w:tr>
      <w:tr w:rsidR="00A05D14" w:rsidRPr="006406BB" w14:paraId="1110D8AE" w14:textId="77777777" w:rsidTr="00FE6609">
        <w:trPr>
          <w:cnfStyle w:val="100000000000" w:firstRow="1" w:lastRow="0" w:firstColumn="0" w:lastColumn="0" w:oddVBand="0" w:evenVBand="0" w:oddHBand="0" w:evenHBand="0" w:firstRowFirstColumn="0" w:firstRowLastColumn="0" w:lastRowFirstColumn="0" w:lastRowLastColumn="0"/>
        </w:trPr>
        <w:tc>
          <w:tcPr>
            <w:tcW w:w="3064" w:type="dxa"/>
          </w:tcPr>
          <w:p w14:paraId="5E63E2E4" w14:textId="77777777" w:rsidR="00A05D14" w:rsidRPr="003117A3" w:rsidRDefault="00A05D14" w:rsidP="00FE6609">
            <w:pPr>
              <w:keepLines/>
              <w:spacing w:before="40" w:after="40" w:line="200" w:lineRule="atLeast"/>
              <w:rPr>
                <w:rFonts w:asciiTheme="minorHAnsi" w:eastAsia="Times New Roman" w:hAnsiTheme="minorHAnsi"/>
                <w:b w:val="0"/>
                <w:iCs/>
                <w:color w:val="000000" w:themeColor="text1"/>
                <w:szCs w:val="17"/>
              </w:rPr>
            </w:pPr>
          </w:p>
        </w:tc>
        <w:tc>
          <w:tcPr>
            <w:tcW w:w="4657" w:type="dxa"/>
          </w:tcPr>
          <w:p w14:paraId="39042663" w14:textId="77777777" w:rsidR="00A05D14" w:rsidRPr="003117A3" w:rsidRDefault="00A05D14" w:rsidP="00C128D4">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 xml:space="preserve">Review of Pacific Women </w:t>
            </w:r>
            <w:r w:rsidR="00C128D4">
              <w:rPr>
                <w:rFonts w:asciiTheme="minorHAnsi" w:eastAsia="Times New Roman" w:hAnsiTheme="minorHAnsi"/>
                <w:b w:val="0"/>
                <w:iCs/>
                <w:color w:val="000000" w:themeColor="text1"/>
                <w:szCs w:val="17"/>
              </w:rPr>
              <w:t>Country Plan</w:t>
            </w:r>
          </w:p>
        </w:tc>
        <w:tc>
          <w:tcPr>
            <w:tcW w:w="1397" w:type="dxa"/>
          </w:tcPr>
          <w:p w14:paraId="6F416A78" w14:textId="77777777" w:rsidR="00A05D14" w:rsidRPr="003117A3" w:rsidRDefault="002E1974" w:rsidP="00C128D4">
            <w:pPr>
              <w:keepLines/>
              <w:spacing w:before="40" w:after="40" w:line="200" w:lineRule="atLeast"/>
              <w:rPr>
                <w:rFonts w:asciiTheme="minorHAnsi" w:eastAsia="Times New Roman" w:hAnsiTheme="minorHAnsi"/>
                <w:b w:val="0"/>
                <w:iCs/>
                <w:color w:val="000000" w:themeColor="text1"/>
                <w:szCs w:val="17"/>
              </w:rPr>
            </w:pPr>
            <w:r>
              <w:rPr>
                <w:rFonts w:asciiTheme="minorHAnsi" w:eastAsia="Times New Roman" w:hAnsiTheme="minorHAnsi"/>
                <w:b w:val="0"/>
                <w:iCs/>
                <w:color w:val="000000" w:themeColor="text1"/>
                <w:szCs w:val="17"/>
              </w:rPr>
              <w:t xml:space="preserve">February </w:t>
            </w:r>
            <w:r w:rsidR="00C128D4">
              <w:rPr>
                <w:rFonts w:asciiTheme="minorHAnsi" w:eastAsia="Times New Roman" w:hAnsiTheme="minorHAnsi"/>
                <w:b w:val="0"/>
                <w:iCs/>
                <w:color w:val="000000" w:themeColor="text1"/>
                <w:szCs w:val="17"/>
              </w:rPr>
              <w:t>2017</w:t>
            </w:r>
          </w:p>
        </w:tc>
        <w:tc>
          <w:tcPr>
            <w:tcW w:w="1953" w:type="dxa"/>
          </w:tcPr>
          <w:p w14:paraId="3B9E7AE0" w14:textId="77777777" w:rsidR="00A05D14" w:rsidRPr="00EB750F" w:rsidRDefault="002E1974" w:rsidP="00C128D4">
            <w:pPr>
              <w:keepLines/>
              <w:spacing w:before="40" w:after="40" w:line="200" w:lineRule="atLeast"/>
              <w:rPr>
                <w:rFonts w:asciiTheme="minorHAnsi" w:eastAsia="Times New Roman" w:hAnsiTheme="minorHAnsi"/>
                <w:b w:val="0"/>
                <w:iCs/>
                <w:color w:val="FF0000"/>
                <w:szCs w:val="17"/>
              </w:rPr>
            </w:pPr>
            <w:r w:rsidRPr="00131550">
              <w:rPr>
                <w:rFonts w:asciiTheme="minorHAnsi" w:eastAsia="Times New Roman" w:hAnsiTheme="minorHAnsi"/>
                <w:b w:val="0"/>
                <w:iCs/>
                <w:color w:val="000000" w:themeColor="text1"/>
                <w:szCs w:val="17"/>
              </w:rPr>
              <w:t>Will occur after final management response is approved</w:t>
            </w:r>
          </w:p>
        </w:tc>
        <w:tc>
          <w:tcPr>
            <w:tcW w:w="1671" w:type="dxa"/>
          </w:tcPr>
          <w:p w14:paraId="49DCB1D3" w14:textId="77777777" w:rsidR="00A05D14" w:rsidRPr="00EB750F" w:rsidRDefault="002E1974" w:rsidP="00C128D4">
            <w:pPr>
              <w:keepLines/>
              <w:spacing w:before="40" w:after="40" w:line="200" w:lineRule="atLeast"/>
              <w:rPr>
                <w:rFonts w:asciiTheme="minorHAnsi" w:eastAsia="Times New Roman" w:hAnsiTheme="minorHAnsi"/>
                <w:b w:val="0"/>
                <w:iCs/>
                <w:color w:val="FF0000"/>
                <w:szCs w:val="17"/>
              </w:rPr>
            </w:pPr>
            <w:r w:rsidRPr="00131550">
              <w:rPr>
                <w:rFonts w:asciiTheme="minorHAnsi" w:eastAsia="Times New Roman" w:hAnsiTheme="minorHAnsi"/>
                <w:b w:val="0"/>
                <w:iCs/>
                <w:color w:val="000000" w:themeColor="text1"/>
                <w:szCs w:val="17"/>
              </w:rPr>
              <w:t>Will occur after final version is approved</w:t>
            </w:r>
          </w:p>
        </w:tc>
        <w:tc>
          <w:tcPr>
            <w:tcW w:w="1515" w:type="dxa"/>
          </w:tcPr>
          <w:p w14:paraId="329ECC50" w14:textId="77777777" w:rsidR="00A05D14" w:rsidRPr="00EB750F" w:rsidRDefault="002E1974" w:rsidP="00C128D4">
            <w:pPr>
              <w:keepLines/>
              <w:spacing w:before="40" w:after="40" w:line="200" w:lineRule="atLeast"/>
              <w:rPr>
                <w:rFonts w:asciiTheme="minorHAnsi" w:eastAsia="Times New Roman" w:hAnsiTheme="minorHAnsi"/>
                <w:b w:val="0"/>
                <w:iCs/>
                <w:color w:val="FF0000"/>
                <w:szCs w:val="17"/>
              </w:rPr>
            </w:pPr>
            <w:r w:rsidRPr="00131550">
              <w:rPr>
                <w:rFonts w:asciiTheme="minorHAnsi" w:eastAsia="Times New Roman" w:hAnsiTheme="minorHAnsi"/>
                <w:b w:val="0"/>
                <w:iCs/>
                <w:color w:val="000000" w:themeColor="text1"/>
                <w:szCs w:val="17"/>
              </w:rPr>
              <w:t>Will occur after final version is approved</w:t>
            </w:r>
          </w:p>
        </w:tc>
      </w:tr>
      <w:tr w:rsidR="00A2747F" w:rsidRPr="006406BB" w14:paraId="105CEAAC" w14:textId="77777777" w:rsidTr="00FE6609">
        <w:trPr>
          <w:cnfStyle w:val="100000000000" w:firstRow="1" w:lastRow="0" w:firstColumn="0" w:lastColumn="0" w:oddVBand="0" w:evenVBand="0" w:oddHBand="0" w:evenHBand="0" w:firstRowFirstColumn="0" w:firstRowLastColumn="0" w:lastRowFirstColumn="0" w:lastRowLastColumn="0"/>
        </w:trPr>
        <w:tc>
          <w:tcPr>
            <w:tcW w:w="3064" w:type="dxa"/>
          </w:tcPr>
          <w:p w14:paraId="6294BF0A" w14:textId="31ABE334" w:rsidR="00A2747F" w:rsidRPr="003117A3" w:rsidRDefault="00A2747F" w:rsidP="00A2747F">
            <w:pPr>
              <w:keepLines/>
              <w:spacing w:before="40" w:after="40" w:line="200" w:lineRule="atLeast"/>
              <w:rPr>
                <w:rFonts w:eastAsia="Times New Roman"/>
                <w:b w:val="0"/>
                <w:iCs/>
                <w:color w:val="000000" w:themeColor="text1"/>
                <w:szCs w:val="17"/>
              </w:rPr>
            </w:pPr>
            <w:r w:rsidRPr="003117A3">
              <w:rPr>
                <w:rFonts w:asciiTheme="minorHAnsi" w:eastAsia="Times New Roman" w:hAnsiTheme="minorHAnsi"/>
                <w:b w:val="0"/>
                <w:iCs/>
                <w:color w:val="000000" w:themeColor="text1"/>
                <w:szCs w:val="17"/>
              </w:rPr>
              <w:t xml:space="preserve">INH615 Solomon Islands Rural Development Program </w:t>
            </w:r>
          </w:p>
        </w:tc>
        <w:tc>
          <w:tcPr>
            <w:tcW w:w="4657" w:type="dxa"/>
          </w:tcPr>
          <w:p w14:paraId="7F71DDD0" w14:textId="2A3817D6" w:rsidR="00A2747F" w:rsidRPr="003117A3" w:rsidRDefault="00A2747F" w:rsidP="00A2747F">
            <w:pPr>
              <w:keepLines/>
              <w:spacing w:before="40" w:after="40" w:line="200" w:lineRule="atLeast"/>
              <w:rPr>
                <w:rFonts w:eastAsia="Times New Roman"/>
                <w:b w:val="0"/>
                <w:iCs/>
                <w:color w:val="000000" w:themeColor="text1"/>
                <w:szCs w:val="17"/>
              </w:rPr>
            </w:pPr>
            <w:r w:rsidRPr="00CB656B">
              <w:rPr>
                <w:rFonts w:asciiTheme="minorHAnsi" w:eastAsia="Times New Roman" w:hAnsiTheme="minorHAnsi"/>
                <w:b w:val="0"/>
                <w:iCs/>
                <w:color w:val="000000" w:themeColor="text1"/>
                <w:szCs w:val="17"/>
              </w:rPr>
              <w:t xml:space="preserve">Implementation </w:t>
            </w:r>
            <w:r>
              <w:rPr>
                <w:rFonts w:asciiTheme="minorHAnsi" w:eastAsia="Times New Roman" w:hAnsiTheme="minorHAnsi"/>
                <w:b w:val="0"/>
                <w:iCs/>
                <w:color w:val="000000" w:themeColor="text1"/>
                <w:szCs w:val="17"/>
              </w:rPr>
              <w:t>S</w:t>
            </w:r>
            <w:r w:rsidRPr="00CB656B">
              <w:rPr>
                <w:rFonts w:asciiTheme="minorHAnsi" w:eastAsia="Times New Roman" w:hAnsiTheme="minorHAnsi"/>
                <w:b w:val="0"/>
                <w:iCs/>
                <w:color w:val="000000" w:themeColor="text1"/>
                <w:szCs w:val="17"/>
              </w:rPr>
              <w:t xml:space="preserve">tatus </w:t>
            </w:r>
            <w:r>
              <w:rPr>
                <w:rFonts w:asciiTheme="minorHAnsi" w:eastAsia="Times New Roman" w:hAnsiTheme="minorHAnsi"/>
                <w:b w:val="0"/>
                <w:iCs/>
                <w:color w:val="000000" w:themeColor="text1"/>
                <w:szCs w:val="17"/>
              </w:rPr>
              <w:t>Results R</w:t>
            </w:r>
            <w:r w:rsidRPr="00CB656B">
              <w:rPr>
                <w:rFonts w:asciiTheme="minorHAnsi" w:eastAsia="Times New Roman" w:hAnsiTheme="minorHAnsi"/>
                <w:b w:val="0"/>
                <w:iCs/>
                <w:color w:val="000000" w:themeColor="text1"/>
                <w:szCs w:val="17"/>
              </w:rPr>
              <w:t>eport</w:t>
            </w:r>
            <w:r>
              <w:rPr>
                <w:rFonts w:asciiTheme="minorHAnsi" w:eastAsia="Times New Roman" w:hAnsiTheme="minorHAnsi"/>
                <w:b w:val="0"/>
                <w:iCs/>
                <w:color w:val="000000" w:themeColor="text1"/>
                <w:szCs w:val="17"/>
              </w:rPr>
              <w:t>: Sequence 04</w:t>
            </w:r>
          </w:p>
        </w:tc>
        <w:tc>
          <w:tcPr>
            <w:tcW w:w="1397" w:type="dxa"/>
          </w:tcPr>
          <w:p w14:paraId="4E576614" w14:textId="44F72D55" w:rsidR="00A2747F" w:rsidRDefault="00A2747F" w:rsidP="00A2747F">
            <w:pPr>
              <w:keepLines/>
              <w:spacing w:before="40" w:after="40" w:line="200" w:lineRule="atLeast"/>
              <w:rPr>
                <w:rFonts w:eastAsia="Times New Roman"/>
                <w:b w:val="0"/>
                <w:iCs/>
                <w:color w:val="000000" w:themeColor="text1"/>
                <w:szCs w:val="17"/>
              </w:rPr>
            </w:pPr>
            <w:r>
              <w:rPr>
                <w:rFonts w:asciiTheme="minorHAnsi" w:eastAsia="Times New Roman" w:hAnsiTheme="minorHAnsi"/>
                <w:b w:val="0"/>
                <w:iCs/>
                <w:color w:val="000000" w:themeColor="text1"/>
                <w:szCs w:val="17"/>
              </w:rPr>
              <w:t>April</w:t>
            </w:r>
            <w:r w:rsidRPr="00CB656B">
              <w:rPr>
                <w:rFonts w:asciiTheme="minorHAnsi" w:eastAsia="Times New Roman" w:hAnsiTheme="minorHAnsi"/>
                <w:b w:val="0"/>
                <w:iCs/>
                <w:color w:val="000000" w:themeColor="text1"/>
                <w:szCs w:val="17"/>
              </w:rPr>
              <w:t xml:space="preserve"> 2017</w:t>
            </w:r>
          </w:p>
        </w:tc>
        <w:tc>
          <w:tcPr>
            <w:tcW w:w="1953" w:type="dxa"/>
          </w:tcPr>
          <w:p w14:paraId="09F3EE4D" w14:textId="5992DF62" w:rsidR="00A2747F" w:rsidRPr="00131550" w:rsidRDefault="00A2747F" w:rsidP="00A2747F">
            <w:pPr>
              <w:keepLines/>
              <w:spacing w:before="40" w:after="40" w:line="200" w:lineRule="atLeast"/>
              <w:rPr>
                <w:rFonts w:eastAsia="Times New Roman"/>
                <w:b w:val="0"/>
                <w:iCs/>
                <w:color w:val="000000" w:themeColor="text1"/>
                <w:szCs w:val="17"/>
              </w:rPr>
            </w:pPr>
            <w:r w:rsidRPr="00CB656B">
              <w:rPr>
                <w:rFonts w:asciiTheme="minorHAnsi" w:eastAsia="Times New Roman" w:hAnsiTheme="minorHAnsi"/>
                <w:b w:val="0"/>
                <w:iCs/>
                <w:color w:val="000000" w:themeColor="text1"/>
                <w:szCs w:val="17"/>
              </w:rPr>
              <w:t>July 2017</w:t>
            </w:r>
          </w:p>
        </w:tc>
        <w:tc>
          <w:tcPr>
            <w:tcW w:w="1671" w:type="dxa"/>
          </w:tcPr>
          <w:p w14:paraId="6E09BC10" w14:textId="729093B5" w:rsidR="00A2747F" w:rsidRPr="00131550" w:rsidRDefault="00A2747F" w:rsidP="00A2747F">
            <w:pPr>
              <w:keepLines/>
              <w:spacing w:before="40" w:after="40" w:line="200" w:lineRule="atLeast"/>
              <w:rPr>
                <w:rFonts w:eastAsia="Times New Roman"/>
                <w:b w:val="0"/>
                <w:iCs/>
                <w:color w:val="000000" w:themeColor="text1"/>
                <w:szCs w:val="17"/>
              </w:rPr>
            </w:pPr>
            <w:r>
              <w:rPr>
                <w:rFonts w:asciiTheme="minorHAnsi" w:eastAsia="Times New Roman" w:hAnsiTheme="minorHAnsi"/>
                <w:b w:val="0"/>
                <w:iCs/>
                <w:color w:val="000000" w:themeColor="text1"/>
                <w:szCs w:val="17"/>
              </w:rPr>
              <w:t>August 2017</w:t>
            </w:r>
          </w:p>
        </w:tc>
        <w:tc>
          <w:tcPr>
            <w:tcW w:w="1515" w:type="dxa"/>
          </w:tcPr>
          <w:p w14:paraId="0680A595" w14:textId="2F7F702E" w:rsidR="00A2747F" w:rsidRPr="00131550" w:rsidRDefault="00A2747F" w:rsidP="00A2747F">
            <w:pPr>
              <w:keepLines/>
              <w:spacing w:before="40" w:after="40" w:line="200" w:lineRule="atLeast"/>
              <w:rPr>
                <w:rFonts w:eastAsia="Times New Roman"/>
                <w:b w:val="0"/>
                <w:iCs/>
                <w:color w:val="000000" w:themeColor="text1"/>
                <w:szCs w:val="17"/>
              </w:rPr>
            </w:pPr>
            <w:r>
              <w:rPr>
                <w:rFonts w:asciiTheme="minorHAnsi" w:eastAsia="Times New Roman" w:hAnsiTheme="minorHAnsi"/>
                <w:b w:val="0"/>
                <w:iCs/>
                <w:color w:val="000000" w:themeColor="text1"/>
                <w:szCs w:val="17"/>
              </w:rPr>
              <w:t>April 2017 (</w:t>
            </w:r>
            <w:r w:rsidRPr="00CB656B">
              <w:rPr>
                <w:rFonts w:asciiTheme="minorHAnsi" w:eastAsia="Times New Roman" w:hAnsiTheme="minorHAnsi"/>
                <w:b w:val="0"/>
                <w:iCs/>
                <w:color w:val="000000" w:themeColor="text1"/>
                <w:szCs w:val="17"/>
              </w:rPr>
              <w:t xml:space="preserve">World Bank </w:t>
            </w:r>
            <w:r>
              <w:rPr>
                <w:rFonts w:asciiTheme="minorHAnsi" w:eastAsia="Times New Roman" w:hAnsiTheme="minorHAnsi"/>
                <w:b w:val="0"/>
                <w:iCs/>
                <w:color w:val="000000" w:themeColor="text1"/>
                <w:szCs w:val="17"/>
              </w:rPr>
              <w:t>website)</w:t>
            </w:r>
          </w:p>
        </w:tc>
      </w:tr>
      <w:tr w:rsidR="00A2747F" w:rsidRPr="006406BB" w14:paraId="3CA16229" w14:textId="77777777" w:rsidTr="00FE6609">
        <w:trPr>
          <w:cnfStyle w:val="100000000000" w:firstRow="1" w:lastRow="0" w:firstColumn="0" w:lastColumn="0" w:oddVBand="0" w:evenVBand="0" w:oddHBand="0" w:evenHBand="0" w:firstRowFirstColumn="0" w:firstRowLastColumn="0" w:lastRowFirstColumn="0" w:lastRowLastColumn="0"/>
        </w:trPr>
        <w:tc>
          <w:tcPr>
            <w:tcW w:w="3064" w:type="dxa"/>
          </w:tcPr>
          <w:p w14:paraId="4E5546DA" w14:textId="77777777" w:rsidR="00A2747F" w:rsidRPr="003117A3" w:rsidRDefault="00A2747F" w:rsidP="00A2747F">
            <w:pPr>
              <w:keepLines/>
              <w:spacing w:before="40" w:after="40" w:line="200" w:lineRule="atLeast"/>
              <w:rPr>
                <w:rFonts w:asciiTheme="minorHAnsi" w:eastAsia="Times New Roman" w:hAnsiTheme="minorHAnsi"/>
                <w:iCs/>
                <w:color w:val="000000" w:themeColor="text1"/>
                <w:szCs w:val="17"/>
              </w:rPr>
            </w:pPr>
            <w:r w:rsidRPr="003117A3">
              <w:rPr>
                <w:rFonts w:asciiTheme="minorHAnsi" w:eastAsia="Times New Roman" w:hAnsiTheme="minorHAnsi"/>
                <w:b w:val="0"/>
                <w:iCs/>
                <w:color w:val="000000" w:themeColor="text1"/>
                <w:szCs w:val="17"/>
              </w:rPr>
              <w:t xml:space="preserve">INL129 Education Sector program 2 </w:t>
            </w:r>
          </w:p>
        </w:tc>
        <w:tc>
          <w:tcPr>
            <w:tcW w:w="4657" w:type="dxa"/>
          </w:tcPr>
          <w:p w14:paraId="388C0983" w14:textId="0A274567" w:rsidR="00A2747F" w:rsidRPr="002E1974" w:rsidRDefault="00A2747F" w:rsidP="00A2747F">
            <w:pPr>
              <w:keepLines/>
              <w:spacing w:before="40" w:after="40" w:line="200" w:lineRule="atLeast"/>
              <w:rPr>
                <w:rFonts w:asciiTheme="minorHAnsi" w:eastAsia="Times New Roman" w:hAnsiTheme="minorHAnsi"/>
                <w:b w:val="0"/>
                <w:iCs/>
                <w:color w:val="000000" w:themeColor="text1"/>
                <w:szCs w:val="17"/>
              </w:rPr>
            </w:pPr>
            <w:r w:rsidRPr="002E1974">
              <w:rPr>
                <w:rFonts w:asciiTheme="minorHAnsi" w:eastAsia="Times New Roman" w:hAnsiTheme="minorHAnsi"/>
                <w:b w:val="0"/>
                <w:iCs/>
                <w:color w:val="000000" w:themeColor="text1"/>
                <w:szCs w:val="17"/>
              </w:rPr>
              <w:t>2016 Independent Assessment of Performance Linked Funding Indicators (‘Annual Joint Performance Review’, APPR 2015-16)</w:t>
            </w:r>
          </w:p>
        </w:tc>
        <w:tc>
          <w:tcPr>
            <w:tcW w:w="1397" w:type="dxa"/>
          </w:tcPr>
          <w:p w14:paraId="6F55CB24" w14:textId="77777777"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June 2017</w:t>
            </w:r>
          </w:p>
        </w:tc>
        <w:tc>
          <w:tcPr>
            <w:tcW w:w="1953" w:type="dxa"/>
          </w:tcPr>
          <w:p w14:paraId="495F1B24" w14:textId="77777777" w:rsidR="00A2747F" w:rsidRPr="00EB750F" w:rsidRDefault="00A2747F" w:rsidP="00A2747F">
            <w:pPr>
              <w:keepLines/>
              <w:spacing w:before="40" w:after="40" w:line="200" w:lineRule="atLeast"/>
              <w:rPr>
                <w:rFonts w:asciiTheme="minorHAnsi" w:eastAsia="Times New Roman" w:hAnsiTheme="minorHAnsi"/>
                <w:b w:val="0"/>
                <w:iCs/>
                <w:color w:val="FF0000"/>
                <w:szCs w:val="17"/>
              </w:rPr>
            </w:pPr>
            <w:r w:rsidRPr="00131550">
              <w:rPr>
                <w:rFonts w:asciiTheme="minorHAnsi" w:eastAsia="Times New Roman" w:hAnsiTheme="minorHAnsi"/>
                <w:b w:val="0"/>
                <w:iCs/>
                <w:color w:val="000000" w:themeColor="text1"/>
                <w:szCs w:val="17"/>
              </w:rPr>
              <w:t>Will occur after final management response is approved</w:t>
            </w:r>
          </w:p>
        </w:tc>
        <w:tc>
          <w:tcPr>
            <w:tcW w:w="1671" w:type="dxa"/>
          </w:tcPr>
          <w:p w14:paraId="60A0FFAE" w14:textId="77777777" w:rsidR="00A2747F" w:rsidRPr="00EB750F" w:rsidRDefault="00A2747F" w:rsidP="00A2747F">
            <w:pPr>
              <w:keepLines/>
              <w:spacing w:before="40" w:after="40" w:line="200" w:lineRule="atLeast"/>
              <w:rPr>
                <w:rFonts w:asciiTheme="minorHAnsi" w:eastAsia="Times New Roman" w:hAnsiTheme="minorHAnsi"/>
                <w:b w:val="0"/>
                <w:iCs/>
                <w:color w:val="FF0000"/>
                <w:szCs w:val="17"/>
              </w:rPr>
            </w:pPr>
            <w:r w:rsidRPr="00131550">
              <w:rPr>
                <w:rFonts w:asciiTheme="minorHAnsi" w:eastAsia="Times New Roman" w:hAnsiTheme="minorHAnsi"/>
                <w:b w:val="0"/>
                <w:iCs/>
                <w:color w:val="000000" w:themeColor="text1"/>
                <w:szCs w:val="17"/>
              </w:rPr>
              <w:t>Will occur after final version is approved</w:t>
            </w:r>
          </w:p>
        </w:tc>
        <w:tc>
          <w:tcPr>
            <w:tcW w:w="1515" w:type="dxa"/>
          </w:tcPr>
          <w:p w14:paraId="1B7D9A9E" w14:textId="77777777" w:rsidR="00A2747F" w:rsidRPr="00EB750F" w:rsidRDefault="00A2747F" w:rsidP="00A2747F">
            <w:pPr>
              <w:keepLines/>
              <w:spacing w:before="40" w:after="40" w:line="200" w:lineRule="atLeast"/>
              <w:rPr>
                <w:rFonts w:asciiTheme="minorHAnsi" w:eastAsia="Times New Roman" w:hAnsiTheme="minorHAnsi"/>
                <w:b w:val="0"/>
                <w:iCs/>
                <w:color w:val="FF0000"/>
                <w:szCs w:val="17"/>
              </w:rPr>
            </w:pPr>
            <w:r w:rsidRPr="00131550">
              <w:rPr>
                <w:rFonts w:asciiTheme="minorHAnsi" w:eastAsia="Times New Roman" w:hAnsiTheme="minorHAnsi"/>
                <w:b w:val="0"/>
                <w:iCs/>
                <w:color w:val="000000" w:themeColor="text1"/>
                <w:szCs w:val="17"/>
              </w:rPr>
              <w:t>Will occur after final version is approved</w:t>
            </w:r>
          </w:p>
        </w:tc>
      </w:tr>
      <w:tr w:rsidR="00A2747F" w:rsidRPr="006406BB" w14:paraId="2A834FFC" w14:textId="77777777" w:rsidTr="00FE6609">
        <w:trPr>
          <w:cnfStyle w:val="100000000000" w:firstRow="1" w:lastRow="0" w:firstColumn="0" w:lastColumn="0" w:oddVBand="0" w:evenVBand="0" w:oddHBand="0" w:evenHBand="0" w:firstRowFirstColumn="0" w:firstRowLastColumn="0" w:lastRowFirstColumn="0" w:lastRowLastColumn="0"/>
        </w:trPr>
        <w:tc>
          <w:tcPr>
            <w:tcW w:w="3064" w:type="dxa"/>
          </w:tcPr>
          <w:p w14:paraId="163F92AB" w14:textId="77777777"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 xml:space="preserve">INL121 Health Sector Support Program – Phase 3 </w:t>
            </w:r>
          </w:p>
        </w:tc>
        <w:tc>
          <w:tcPr>
            <w:tcW w:w="4657" w:type="dxa"/>
          </w:tcPr>
          <w:p w14:paraId="1FEA6072" w14:textId="1F9E426F"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r w:rsidRPr="002E1974">
              <w:rPr>
                <w:rFonts w:asciiTheme="minorHAnsi" w:eastAsia="Times New Roman" w:hAnsiTheme="minorHAnsi"/>
                <w:b w:val="0"/>
                <w:iCs/>
                <w:color w:val="000000" w:themeColor="text1"/>
                <w:szCs w:val="17"/>
              </w:rPr>
              <w:t>2016 Independent Assessment of Performance Linked Funding Indicators (‘Annual Joint Performance Review’, APPR 2015-16)</w:t>
            </w:r>
          </w:p>
        </w:tc>
        <w:tc>
          <w:tcPr>
            <w:tcW w:w="1397" w:type="dxa"/>
          </w:tcPr>
          <w:p w14:paraId="7D82C356" w14:textId="77777777"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June 2017</w:t>
            </w:r>
          </w:p>
        </w:tc>
        <w:tc>
          <w:tcPr>
            <w:tcW w:w="1953" w:type="dxa"/>
          </w:tcPr>
          <w:p w14:paraId="1C8CB6DA" w14:textId="77777777"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August 2017</w:t>
            </w:r>
          </w:p>
        </w:tc>
        <w:tc>
          <w:tcPr>
            <w:tcW w:w="1671" w:type="dxa"/>
          </w:tcPr>
          <w:p w14:paraId="5D4F7F5E" w14:textId="77777777"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August 2017</w:t>
            </w:r>
          </w:p>
        </w:tc>
        <w:tc>
          <w:tcPr>
            <w:tcW w:w="1515" w:type="dxa"/>
          </w:tcPr>
          <w:p w14:paraId="4DD61F80" w14:textId="77777777"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r w:rsidRPr="003117A3">
              <w:rPr>
                <w:rFonts w:asciiTheme="minorHAnsi" w:eastAsia="Times New Roman" w:hAnsiTheme="minorHAnsi"/>
                <w:b w:val="0"/>
                <w:iCs/>
                <w:color w:val="000000" w:themeColor="text1"/>
                <w:szCs w:val="17"/>
              </w:rPr>
              <w:t>August 2017</w:t>
            </w:r>
          </w:p>
        </w:tc>
      </w:tr>
      <w:tr w:rsidR="00A2747F" w:rsidRPr="006406BB" w14:paraId="23412CC8" w14:textId="77777777" w:rsidTr="00FE6609">
        <w:trPr>
          <w:cnfStyle w:val="100000000000" w:firstRow="1" w:lastRow="0" w:firstColumn="0" w:lastColumn="0" w:oddVBand="0" w:evenVBand="0" w:oddHBand="0" w:evenHBand="0" w:firstRowFirstColumn="0" w:firstRowLastColumn="0" w:lastRowFirstColumn="0" w:lastRowLastColumn="0"/>
        </w:trPr>
        <w:tc>
          <w:tcPr>
            <w:tcW w:w="3064" w:type="dxa"/>
          </w:tcPr>
          <w:p w14:paraId="0AA05243" w14:textId="77777777"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p>
        </w:tc>
        <w:tc>
          <w:tcPr>
            <w:tcW w:w="4657" w:type="dxa"/>
          </w:tcPr>
          <w:p w14:paraId="43809467" w14:textId="77777777"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p>
        </w:tc>
        <w:tc>
          <w:tcPr>
            <w:tcW w:w="1397" w:type="dxa"/>
          </w:tcPr>
          <w:p w14:paraId="36CA18DF" w14:textId="77777777"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p>
        </w:tc>
        <w:tc>
          <w:tcPr>
            <w:tcW w:w="1953" w:type="dxa"/>
          </w:tcPr>
          <w:p w14:paraId="0228FA9B" w14:textId="77777777"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p>
        </w:tc>
        <w:tc>
          <w:tcPr>
            <w:tcW w:w="1671" w:type="dxa"/>
          </w:tcPr>
          <w:p w14:paraId="7922CCBE" w14:textId="77777777"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p>
        </w:tc>
        <w:tc>
          <w:tcPr>
            <w:tcW w:w="1515" w:type="dxa"/>
          </w:tcPr>
          <w:p w14:paraId="47159D52" w14:textId="77777777" w:rsidR="00A2747F" w:rsidRPr="003117A3" w:rsidRDefault="00A2747F" w:rsidP="00A2747F">
            <w:pPr>
              <w:keepLines/>
              <w:spacing w:before="40" w:after="40" w:line="200" w:lineRule="atLeast"/>
              <w:rPr>
                <w:rFonts w:asciiTheme="minorHAnsi" w:eastAsia="Times New Roman" w:hAnsiTheme="minorHAnsi"/>
                <w:b w:val="0"/>
                <w:iCs/>
                <w:color w:val="000000" w:themeColor="text1"/>
                <w:szCs w:val="17"/>
              </w:rPr>
            </w:pPr>
          </w:p>
        </w:tc>
      </w:tr>
    </w:tbl>
    <w:p w14:paraId="165FADE8" w14:textId="77777777" w:rsidR="00FE6609" w:rsidRPr="00BE2C57" w:rsidRDefault="00FE6609" w:rsidP="00FE6609">
      <w:pPr>
        <w:rPr>
          <w:b/>
          <w:color w:val="auto"/>
          <w:sz w:val="24"/>
        </w:rPr>
      </w:pPr>
      <w:r w:rsidRPr="00BE2C57">
        <w:rPr>
          <w:b/>
          <w:color w:val="auto"/>
          <w:sz w:val="24"/>
        </w:rPr>
        <w:t>List of evaluations completed in the reporting period</w:t>
      </w:r>
    </w:p>
    <w:p w14:paraId="6F9F4810" w14:textId="77777777" w:rsidR="00AB6E06" w:rsidRDefault="00AB6E06" w:rsidP="008C2F58">
      <w:pPr>
        <w:rPr>
          <w:b/>
          <w:sz w:val="24"/>
        </w:rPr>
      </w:pPr>
    </w:p>
    <w:p w14:paraId="4C9C8326" w14:textId="77777777" w:rsidR="00CB7234" w:rsidRDefault="00CB7234" w:rsidP="008C2F58">
      <w:pPr>
        <w:rPr>
          <w:b/>
          <w:sz w:val="24"/>
        </w:rPr>
      </w:pPr>
    </w:p>
    <w:p w14:paraId="2B603407" w14:textId="77777777" w:rsidR="00BD4E04" w:rsidRDefault="00BD4E04" w:rsidP="008C2F58">
      <w:pPr>
        <w:rPr>
          <w:b/>
          <w:color w:val="auto"/>
          <w:sz w:val="24"/>
        </w:rPr>
      </w:pPr>
    </w:p>
    <w:p w14:paraId="24B8C79D" w14:textId="77777777" w:rsidR="00EB750F" w:rsidRDefault="00EB750F">
      <w:pPr>
        <w:suppressAutoHyphens w:val="0"/>
        <w:spacing w:before="0" w:after="120" w:line="440" w:lineRule="atLeast"/>
        <w:rPr>
          <w:b/>
          <w:color w:val="auto"/>
          <w:sz w:val="24"/>
        </w:rPr>
      </w:pPr>
      <w:r>
        <w:rPr>
          <w:b/>
          <w:color w:val="auto"/>
          <w:sz w:val="24"/>
        </w:rPr>
        <w:br w:type="page"/>
      </w:r>
    </w:p>
    <w:p w14:paraId="5FCE880F" w14:textId="77777777" w:rsidR="00400B0F" w:rsidRPr="00312BBA" w:rsidRDefault="00400B0F" w:rsidP="008C2F58">
      <w:pPr>
        <w:rPr>
          <w:b/>
          <w:color w:val="auto"/>
          <w:sz w:val="24"/>
        </w:rPr>
      </w:pPr>
      <w:r w:rsidRPr="00312BBA">
        <w:rPr>
          <w:b/>
          <w:color w:val="auto"/>
          <w:sz w:val="24"/>
        </w:rPr>
        <w:lastRenderedPageBreak/>
        <w:t xml:space="preserve">List of program prioritised evaluations planned for the next 12 months </w:t>
      </w:r>
    </w:p>
    <w:tbl>
      <w:tblPr>
        <w:tblStyle w:val="APPR"/>
        <w:tblW w:w="0" w:type="auto"/>
        <w:tblLook w:val="0600" w:firstRow="0" w:lastRow="0" w:firstColumn="0" w:lastColumn="0" w:noHBand="1" w:noVBand="1"/>
      </w:tblPr>
      <w:tblGrid>
        <w:gridCol w:w="2514"/>
        <w:gridCol w:w="2409"/>
        <w:gridCol w:w="2487"/>
        <w:gridCol w:w="2255"/>
        <w:gridCol w:w="2376"/>
        <w:gridCol w:w="2404"/>
      </w:tblGrid>
      <w:tr w:rsidR="00400B0F" w:rsidRPr="00C61187" w14:paraId="25A9858A" w14:textId="77777777" w:rsidTr="006F27B1">
        <w:tc>
          <w:tcPr>
            <w:tcW w:w="2472" w:type="dxa"/>
          </w:tcPr>
          <w:p w14:paraId="11467FDE" w14:textId="77777777" w:rsidR="00400B0F" w:rsidRPr="004A3D60" w:rsidRDefault="00400B0F"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Evaluation title</w:t>
            </w:r>
          </w:p>
        </w:tc>
        <w:tc>
          <w:tcPr>
            <w:tcW w:w="2381" w:type="dxa"/>
          </w:tcPr>
          <w:p w14:paraId="58A42803" w14:textId="77777777" w:rsidR="00400B0F" w:rsidRPr="004A3D60" w:rsidRDefault="00400B0F"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 xml:space="preserve">Investment number and name (if applicable) </w:t>
            </w:r>
          </w:p>
        </w:tc>
        <w:tc>
          <w:tcPr>
            <w:tcW w:w="2459" w:type="dxa"/>
          </w:tcPr>
          <w:p w14:paraId="2C9FD60E" w14:textId="77777777" w:rsidR="00400B0F" w:rsidRPr="004A3D60" w:rsidRDefault="00400B0F"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Date – planned commencement (month/year)</w:t>
            </w:r>
          </w:p>
        </w:tc>
        <w:tc>
          <w:tcPr>
            <w:tcW w:w="2227" w:type="dxa"/>
          </w:tcPr>
          <w:p w14:paraId="0AE39E32" w14:textId="77777777" w:rsidR="00400B0F" w:rsidRPr="004A3D60" w:rsidRDefault="00400B0F"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Date – planned completion (month/year)</w:t>
            </w:r>
          </w:p>
        </w:tc>
        <w:tc>
          <w:tcPr>
            <w:tcW w:w="2348" w:type="dxa"/>
          </w:tcPr>
          <w:p w14:paraId="5938A61A" w14:textId="77777777" w:rsidR="00400B0F" w:rsidRPr="004A3D60" w:rsidRDefault="00400B0F"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Purpose of evaluation</w:t>
            </w:r>
          </w:p>
        </w:tc>
        <w:tc>
          <w:tcPr>
            <w:tcW w:w="2362" w:type="dxa"/>
          </w:tcPr>
          <w:p w14:paraId="6D49074A" w14:textId="77777777" w:rsidR="00400B0F" w:rsidRPr="004A3D60" w:rsidRDefault="00400B0F"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Evaluation type</w:t>
            </w:r>
          </w:p>
        </w:tc>
      </w:tr>
      <w:tr w:rsidR="003334B5" w:rsidRPr="00C61187" w14:paraId="52A82D1D" w14:textId="77777777" w:rsidTr="006F27B1">
        <w:tc>
          <w:tcPr>
            <w:tcW w:w="2472" w:type="dxa"/>
          </w:tcPr>
          <w:p w14:paraId="72FE5629" w14:textId="156750C7" w:rsidR="003334B5" w:rsidRPr="00E31A56" w:rsidRDefault="003334B5" w:rsidP="003334B5">
            <w:pPr>
              <w:keepLines/>
              <w:spacing w:before="40" w:after="40" w:line="200" w:lineRule="atLeast"/>
              <w:rPr>
                <w:rFonts w:asciiTheme="minorHAnsi" w:eastAsia="Times New Roman" w:hAnsiTheme="minorHAnsi"/>
                <w:iCs/>
                <w:color w:val="auto"/>
                <w:szCs w:val="17"/>
                <w:lang w:eastAsia="en-US"/>
              </w:rPr>
            </w:pPr>
            <w:r w:rsidRPr="00E31A56">
              <w:rPr>
                <w:rFonts w:asciiTheme="minorHAnsi" w:eastAsia="Times New Roman" w:hAnsiTheme="minorHAnsi"/>
                <w:iCs/>
                <w:color w:val="auto"/>
                <w:szCs w:val="17"/>
                <w:lang w:eastAsia="en-US"/>
              </w:rPr>
              <w:t>Mid-</w:t>
            </w:r>
            <w:r w:rsidR="00A2747F">
              <w:rPr>
                <w:rFonts w:asciiTheme="minorHAnsi" w:eastAsia="Times New Roman" w:hAnsiTheme="minorHAnsi"/>
                <w:iCs/>
                <w:color w:val="auto"/>
                <w:szCs w:val="17"/>
                <w:lang w:eastAsia="en-US"/>
              </w:rPr>
              <w:t>t</w:t>
            </w:r>
            <w:r w:rsidRPr="00E31A56">
              <w:rPr>
                <w:rFonts w:asciiTheme="minorHAnsi" w:eastAsia="Times New Roman" w:hAnsiTheme="minorHAnsi"/>
                <w:iCs/>
                <w:color w:val="auto"/>
                <w:szCs w:val="17"/>
                <w:lang w:eastAsia="en-US"/>
              </w:rPr>
              <w:t>erm Review (partner led)</w:t>
            </w:r>
          </w:p>
          <w:p w14:paraId="223C4581" w14:textId="77777777" w:rsidR="003334B5" w:rsidRPr="00E31A56" w:rsidRDefault="003334B5" w:rsidP="003334B5">
            <w:pPr>
              <w:keepLines/>
              <w:spacing w:before="40" w:after="40" w:line="200" w:lineRule="atLeast"/>
              <w:rPr>
                <w:rFonts w:eastAsia="Times New Roman"/>
                <w:iCs/>
                <w:color w:val="auto"/>
                <w:szCs w:val="17"/>
              </w:rPr>
            </w:pPr>
          </w:p>
        </w:tc>
        <w:tc>
          <w:tcPr>
            <w:tcW w:w="2381" w:type="dxa"/>
          </w:tcPr>
          <w:p w14:paraId="7D431AD6" w14:textId="77777777" w:rsidR="003334B5" w:rsidRPr="00E55B36" w:rsidRDefault="003334B5" w:rsidP="003334B5">
            <w:pPr>
              <w:keepLines/>
              <w:spacing w:before="40" w:after="40" w:line="200" w:lineRule="atLeast"/>
              <w:rPr>
                <w:rFonts w:asciiTheme="minorHAnsi" w:eastAsia="Times New Roman" w:hAnsiTheme="minorHAnsi"/>
                <w:iCs/>
                <w:color w:val="auto"/>
                <w:szCs w:val="17"/>
              </w:rPr>
            </w:pPr>
            <w:r w:rsidRPr="00E31A56">
              <w:rPr>
                <w:rFonts w:asciiTheme="minorHAnsi" w:eastAsia="Times New Roman" w:hAnsiTheme="minorHAnsi"/>
                <w:iCs/>
                <w:color w:val="auto"/>
                <w:szCs w:val="17"/>
              </w:rPr>
              <w:t>INH615 Solomon Islands Rural Development Program</w:t>
            </w:r>
          </w:p>
        </w:tc>
        <w:tc>
          <w:tcPr>
            <w:tcW w:w="2459" w:type="dxa"/>
          </w:tcPr>
          <w:p w14:paraId="12696DB2" w14:textId="5E3B39AB" w:rsidR="003334B5" w:rsidRPr="00E31A56" w:rsidRDefault="003334B5" w:rsidP="003334B5">
            <w:pPr>
              <w:keepLines/>
              <w:spacing w:before="40" w:after="40" w:line="200" w:lineRule="atLeast"/>
              <w:rPr>
                <w:rFonts w:asciiTheme="minorHAnsi" w:eastAsia="Times New Roman" w:hAnsiTheme="minorHAnsi"/>
                <w:iCs/>
                <w:color w:val="auto"/>
                <w:szCs w:val="17"/>
              </w:rPr>
            </w:pPr>
            <w:r w:rsidRPr="00E31A56">
              <w:rPr>
                <w:rFonts w:asciiTheme="minorHAnsi" w:eastAsia="Times New Roman" w:hAnsiTheme="minorHAnsi"/>
                <w:iCs/>
                <w:color w:val="auto"/>
                <w:szCs w:val="17"/>
              </w:rPr>
              <w:t>28 August – 7 September</w:t>
            </w:r>
            <w:r w:rsidR="00A2747F">
              <w:rPr>
                <w:rFonts w:asciiTheme="minorHAnsi" w:eastAsia="Times New Roman" w:hAnsiTheme="minorHAnsi"/>
                <w:iCs/>
                <w:color w:val="auto"/>
                <w:szCs w:val="17"/>
              </w:rPr>
              <w:t xml:space="preserve"> 2017</w:t>
            </w:r>
          </w:p>
          <w:p w14:paraId="71A1F325" w14:textId="77777777" w:rsidR="003334B5" w:rsidRPr="00E55B36" w:rsidRDefault="003334B5" w:rsidP="003334B5">
            <w:pPr>
              <w:keepLines/>
              <w:spacing w:before="40" w:after="40" w:line="200" w:lineRule="atLeast"/>
              <w:rPr>
                <w:rFonts w:asciiTheme="minorHAnsi" w:eastAsia="Times New Roman" w:hAnsiTheme="minorHAnsi"/>
                <w:iCs/>
                <w:color w:val="auto"/>
                <w:szCs w:val="17"/>
              </w:rPr>
            </w:pPr>
          </w:p>
        </w:tc>
        <w:tc>
          <w:tcPr>
            <w:tcW w:w="2227" w:type="dxa"/>
          </w:tcPr>
          <w:p w14:paraId="6CF9B618" w14:textId="77777777" w:rsidR="003334B5" w:rsidRPr="00E55B36" w:rsidRDefault="003334B5" w:rsidP="003334B5">
            <w:pPr>
              <w:keepLines/>
              <w:spacing w:before="40" w:after="40" w:line="200" w:lineRule="atLeast"/>
              <w:rPr>
                <w:rFonts w:asciiTheme="minorHAnsi" w:eastAsia="Times New Roman" w:hAnsiTheme="minorHAnsi"/>
                <w:iCs/>
                <w:color w:val="auto"/>
                <w:szCs w:val="17"/>
              </w:rPr>
            </w:pPr>
            <w:r w:rsidRPr="00E55B36">
              <w:rPr>
                <w:rFonts w:asciiTheme="minorHAnsi" w:eastAsia="Times New Roman" w:hAnsiTheme="minorHAnsi"/>
                <w:iCs/>
                <w:color w:val="auto"/>
                <w:szCs w:val="17"/>
              </w:rPr>
              <w:t>November 2017</w:t>
            </w:r>
          </w:p>
          <w:p w14:paraId="42CBA709" w14:textId="77777777" w:rsidR="003334B5" w:rsidRPr="00E55B36" w:rsidRDefault="003334B5" w:rsidP="003334B5">
            <w:pPr>
              <w:keepLines/>
              <w:spacing w:before="40" w:after="40" w:line="200" w:lineRule="atLeast"/>
              <w:rPr>
                <w:rFonts w:asciiTheme="minorHAnsi" w:eastAsia="Times New Roman" w:hAnsiTheme="minorHAnsi"/>
                <w:iCs/>
                <w:color w:val="auto"/>
                <w:szCs w:val="17"/>
              </w:rPr>
            </w:pPr>
          </w:p>
        </w:tc>
        <w:tc>
          <w:tcPr>
            <w:tcW w:w="2348" w:type="dxa"/>
          </w:tcPr>
          <w:p w14:paraId="19D3E8E7" w14:textId="77777777" w:rsidR="003334B5" w:rsidRPr="00E55B36" w:rsidRDefault="003334B5" w:rsidP="003334B5">
            <w:pPr>
              <w:keepLines/>
              <w:spacing w:before="40" w:after="40" w:line="200" w:lineRule="atLeast"/>
              <w:rPr>
                <w:rFonts w:asciiTheme="minorHAnsi" w:eastAsia="Times New Roman" w:hAnsiTheme="minorHAnsi"/>
                <w:iCs/>
                <w:color w:val="auto"/>
                <w:szCs w:val="17"/>
              </w:rPr>
            </w:pPr>
            <w:r w:rsidRPr="00E31A56">
              <w:rPr>
                <w:rFonts w:asciiTheme="minorHAnsi" w:eastAsia="Times New Roman" w:hAnsiTheme="minorHAnsi"/>
                <w:iCs/>
                <w:color w:val="auto"/>
                <w:szCs w:val="17"/>
              </w:rPr>
              <w:t>Mid-Term Review of the performance of the Solomon Islands Rural Development program implementation</w:t>
            </w:r>
            <w:r w:rsidRPr="00E55B36">
              <w:rPr>
                <w:rFonts w:asciiTheme="minorHAnsi" w:eastAsia="Times New Roman" w:hAnsiTheme="minorHAnsi"/>
                <w:iCs/>
                <w:color w:val="auto"/>
                <w:szCs w:val="17"/>
              </w:rPr>
              <w:t xml:space="preserve"> against its objectives and target.</w:t>
            </w:r>
          </w:p>
        </w:tc>
        <w:tc>
          <w:tcPr>
            <w:tcW w:w="2362" w:type="dxa"/>
          </w:tcPr>
          <w:p w14:paraId="719A9738" w14:textId="77777777" w:rsidR="003334B5" w:rsidRPr="00E55B36" w:rsidRDefault="003334B5" w:rsidP="003334B5">
            <w:pPr>
              <w:keepLines/>
              <w:spacing w:before="40" w:after="40" w:line="200" w:lineRule="atLeast"/>
              <w:rPr>
                <w:rFonts w:asciiTheme="minorHAnsi" w:eastAsia="Times New Roman" w:hAnsiTheme="minorHAnsi"/>
                <w:iCs/>
                <w:color w:val="auto"/>
                <w:szCs w:val="17"/>
              </w:rPr>
            </w:pPr>
            <w:r w:rsidRPr="00E31A56">
              <w:rPr>
                <w:rFonts w:asciiTheme="minorHAnsi" w:eastAsia="Times New Roman" w:hAnsiTheme="minorHAnsi"/>
                <w:iCs/>
                <w:color w:val="auto"/>
                <w:szCs w:val="17"/>
              </w:rPr>
              <w:t>Partner led with formal participation by co-funded donor partners including the Solomon Islands government counterparts.</w:t>
            </w:r>
          </w:p>
        </w:tc>
      </w:tr>
      <w:tr w:rsidR="002E1974" w:rsidRPr="00C61187" w14:paraId="195E2CF7" w14:textId="77777777" w:rsidTr="006F27B1">
        <w:tc>
          <w:tcPr>
            <w:tcW w:w="2472" w:type="dxa"/>
          </w:tcPr>
          <w:p w14:paraId="18D78F6C" w14:textId="77777777" w:rsidR="002E1974" w:rsidRPr="00BD4E04" w:rsidRDefault="002E1974" w:rsidP="002E1974">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Mid-term Review</w:t>
            </w:r>
          </w:p>
        </w:tc>
        <w:tc>
          <w:tcPr>
            <w:tcW w:w="2381" w:type="dxa"/>
          </w:tcPr>
          <w:p w14:paraId="20A5EC91" w14:textId="77777777" w:rsidR="002E1974" w:rsidRPr="00BD4E04" w:rsidRDefault="002E1974" w:rsidP="002E1974">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INL129 Education Sector Program 2</w:t>
            </w:r>
          </w:p>
        </w:tc>
        <w:tc>
          <w:tcPr>
            <w:tcW w:w="2459" w:type="dxa"/>
          </w:tcPr>
          <w:p w14:paraId="18713159" w14:textId="77777777" w:rsidR="002E1974" w:rsidRPr="00BD4E04" w:rsidRDefault="002E1974" w:rsidP="002E1974">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September 2017</w:t>
            </w:r>
          </w:p>
        </w:tc>
        <w:tc>
          <w:tcPr>
            <w:tcW w:w="2227" w:type="dxa"/>
          </w:tcPr>
          <w:p w14:paraId="497EDF6D" w14:textId="77777777" w:rsidR="002E1974" w:rsidRPr="00BD4E04" w:rsidRDefault="002E1974" w:rsidP="002E1974">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December 2017</w:t>
            </w:r>
          </w:p>
        </w:tc>
        <w:tc>
          <w:tcPr>
            <w:tcW w:w="2348" w:type="dxa"/>
          </w:tcPr>
          <w:p w14:paraId="234E2600" w14:textId="77777777" w:rsidR="002E1974" w:rsidRPr="00BD4E04" w:rsidRDefault="002E1974" w:rsidP="002E1974">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Mid-term review of the basic education component of the Solomon Islands Education Sector Program 2.</w:t>
            </w:r>
          </w:p>
        </w:tc>
        <w:tc>
          <w:tcPr>
            <w:tcW w:w="2362" w:type="dxa"/>
          </w:tcPr>
          <w:p w14:paraId="081499D5" w14:textId="77777777" w:rsidR="002E1974" w:rsidRPr="00BD4E04" w:rsidRDefault="002E1974" w:rsidP="002E1974">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Independent assessment</w:t>
            </w:r>
          </w:p>
        </w:tc>
      </w:tr>
      <w:tr w:rsidR="00A2747F" w:rsidRPr="00C61187" w14:paraId="78554B88" w14:textId="77777777" w:rsidTr="006F27B1">
        <w:tc>
          <w:tcPr>
            <w:tcW w:w="2472" w:type="dxa"/>
          </w:tcPr>
          <w:p w14:paraId="50F36630" w14:textId="61B9E537" w:rsidR="00A2747F" w:rsidRDefault="00A2747F" w:rsidP="00A2747F">
            <w:pPr>
              <w:keepLines/>
              <w:spacing w:before="40" w:after="40" w:line="200" w:lineRule="atLeast"/>
              <w:rPr>
                <w:rFonts w:eastAsia="Times New Roman"/>
                <w:iCs/>
                <w:color w:val="auto"/>
                <w:szCs w:val="17"/>
              </w:rPr>
            </w:pPr>
            <w:r>
              <w:rPr>
                <w:rFonts w:asciiTheme="minorHAnsi" w:eastAsia="Times New Roman" w:hAnsiTheme="minorHAnsi"/>
                <w:iCs/>
                <w:color w:val="auto"/>
                <w:szCs w:val="17"/>
              </w:rPr>
              <w:t>2017 Independent assessment</w:t>
            </w:r>
            <w:r>
              <w:rPr>
                <w:rFonts w:asciiTheme="minorHAnsi" w:eastAsia="Times New Roman" w:hAnsiTheme="minorHAnsi"/>
                <w:b/>
                <w:iCs/>
                <w:color w:val="FF0000"/>
                <w:szCs w:val="17"/>
              </w:rPr>
              <w:t xml:space="preserve"> </w:t>
            </w:r>
            <w:r>
              <w:rPr>
                <w:rFonts w:asciiTheme="minorHAnsi" w:eastAsia="Times New Roman" w:hAnsiTheme="minorHAnsi"/>
                <w:iCs/>
                <w:color w:val="auto"/>
                <w:szCs w:val="17"/>
              </w:rPr>
              <w:t xml:space="preserve">of Performance Linked Funding (PLF) indicators </w:t>
            </w:r>
          </w:p>
        </w:tc>
        <w:tc>
          <w:tcPr>
            <w:tcW w:w="2381" w:type="dxa"/>
          </w:tcPr>
          <w:p w14:paraId="24A414A2" w14:textId="76F2A5B7" w:rsidR="00A2747F" w:rsidRDefault="00A2747F" w:rsidP="00A2747F">
            <w:pPr>
              <w:keepLines/>
              <w:spacing w:before="40" w:after="40" w:line="200" w:lineRule="atLeast"/>
              <w:rPr>
                <w:rFonts w:eastAsia="Times New Roman"/>
                <w:iCs/>
                <w:color w:val="auto"/>
                <w:szCs w:val="17"/>
              </w:rPr>
            </w:pPr>
            <w:r>
              <w:rPr>
                <w:rFonts w:asciiTheme="minorHAnsi" w:eastAsia="Times New Roman" w:hAnsiTheme="minorHAnsi"/>
                <w:iCs/>
                <w:color w:val="auto"/>
                <w:szCs w:val="17"/>
              </w:rPr>
              <w:t>INL121 Health Sector Support Program – Phase 3</w:t>
            </w:r>
          </w:p>
        </w:tc>
        <w:tc>
          <w:tcPr>
            <w:tcW w:w="2459" w:type="dxa"/>
          </w:tcPr>
          <w:p w14:paraId="45B8527C" w14:textId="55CC57D6" w:rsidR="00A2747F" w:rsidRDefault="00A2747F" w:rsidP="00A2747F">
            <w:pPr>
              <w:keepLines/>
              <w:spacing w:before="40" w:after="40" w:line="200" w:lineRule="atLeast"/>
              <w:rPr>
                <w:rFonts w:eastAsia="Times New Roman"/>
                <w:iCs/>
                <w:color w:val="auto"/>
                <w:szCs w:val="17"/>
              </w:rPr>
            </w:pPr>
            <w:r>
              <w:rPr>
                <w:rFonts w:asciiTheme="minorHAnsi" w:eastAsia="Times New Roman" w:hAnsiTheme="minorHAnsi"/>
                <w:iCs/>
                <w:color w:val="auto"/>
                <w:szCs w:val="17"/>
              </w:rPr>
              <w:t>April 2018</w:t>
            </w:r>
          </w:p>
        </w:tc>
        <w:tc>
          <w:tcPr>
            <w:tcW w:w="2227" w:type="dxa"/>
          </w:tcPr>
          <w:p w14:paraId="4B412B66" w14:textId="1B529E69" w:rsidR="00A2747F" w:rsidRDefault="00A2747F" w:rsidP="00A2747F">
            <w:pPr>
              <w:keepLines/>
              <w:spacing w:before="40" w:after="40" w:line="200" w:lineRule="atLeast"/>
              <w:rPr>
                <w:rFonts w:eastAsia="Times New Roman"/>
                <w:iCs/>
                <w:color w:val="auto"/>
                <w:szCs w:val="17"/>
              </w:rPr>
            </w:pPr>
            <w:r>
              <w:rPr>
                <w:rFonts w:asciiTheme="minorHAnsi" w:eastAsia="Times New Roman" w:hAnsiTheme="minorHAnsi"/>
                <w:iCs/>
                <w:color w:val="auto"/>
                <w:szCs w:val="17"/>
              </w:rPr>
              <w:t>April 2018</w:t>
            </w:r>
          </w:p>
        </w:tc>
        <w:tc>
          <w:tcPr>
            <w:tcW w:w="2348" w:type="dxa"/>
          </w:tcPr>
          <w:p w14:paraId="1E2AC56B" w14:textId="4B93EAAD" w:rsidR="00A2747F" w:rsidRDefault="00A2747F" w:rsidP="00A2747F">
            <w:pPr>
              <w:keepLines/>
              <w:spacing w:before="40" w:after="40" w:line="200" w:lineRule="atLeast"/>
              <w:rPr>
                <w:rFonts w:eastAsia="Times New Roman"/>
                <w:iCs/>
                <w:color w:val="auto"/>
                <w:szCs w:val="17"/>
              </w:rPr>
            </w:pPr>
            <w:r>
              <w:rPr>
                <w:rFonts w:asciiTheme="minorHAnsi" w:eastAsia="Times New Roman" w:hAnsiTheme="minorHAnsi"/>
                <w:iCs/>
                <w:color w:val="auto"/>
                <w:szCs w:val="17"/>
              </w:rPr>
              <w:t>Independent assessment to support Joint Annual Review of health sector, including assessment against PLF indicators</w:t>
            </w:r>
          </w:p>
        </w:tc>
        <w:tc>
          <w:tcPr>
            <w:tcW w:w="2362" w:type="dxa"/>
          </w:tcPr>
          <w:p w14:paraId="69E459C8" w14:textId="049EC219" w:rsidR="00A2747F" w:rsidRDefault="00A2747F" w:rsidP="00A2747F">
            <w:pPr>
              <w:keepLines/>
              <w:spacing w:before="40" w:after="40" w:line="200" w:lineRule="atLeast"/>
              <w:rPr>
                <w:rFonts w:eastAsia="Times New Roman"/>
                <w:iCs/>
                <w:color w:val="auto"/>
                <w:szCs w:val="17"/>
              </w:rPr>
            </w:pPr>
            <w:r>
              <w:rPr>
                <w:rFonts w:asciiTheme="minorHAnsi" w:eastAsia="Times New Roman" w:hAnsiTheme="minorHAnsi"/>
                <w:iCs/>
                <w:color w:val="auto"/>
                <w:szCs w:val="17"/>
              </w:rPr>
              <w:t>Independent assessment</w:t>
            </w:r>
          </w:p>
        </w:tc>
      </w:tr>
      <w:tr w:rsidR="00A2747F" w:rsidRPr="00C61187" w14:paraId="0788DE73" w14:textId="77777777" w:rsidTr="006F27B1">
        <w:tc>
          <w:tcPr>
            <w:tcW w:w="2472" w:type="dxa"/>
          </w:tcPr>
          <w:p w14:paraId="4CEFB621" w14:textId="37929B77" w:rsidR="00A2747F" w:rsidRPr="00BD4E04" w:rsidRDefault="00A2747F" w:rsidP="00A2747F">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 xml:space="preserve">2017 Independent assessment </w:t>
            </w:r>
            <w:r w:rsidRPr="002E1974">
              <w:rPr>
                <w:rFonts w:asciiTheme="minorHAnsi" w:eastAsia="Times New Roman" w:hAnsiTheme="minorHAnsi"/>
                <w:iCs/>
                <w:color w:val="auto"/>
                <w:szCs w:val="17"/>
              </w:rPr>
              <w:t>of Performance Linked Funding indicators</w:t>
            </w:r>
          </w:p>
        </w:tc>
        <w:tc>
          <w:tcPr>
            <w:tcW w:w="2381" w:type="dxa"/>
          </w:tcPr>
          <w:p w14:paraId="232AE4E2" w14:textId="77777777" w:rsidR="00A2747F" w:rsidRPr="00BD4E04" w:rsidRDefault="00A2747F" w:rsidP="00A2747F">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INL129 Education Sector Program 2</w:t>
            </w:r>
          </w:p>
        </w:tc>
        <w:tc>
          <w:tcPr>
            <w:tcW w:w="2459" w:type="dxa"/>
          </w:tcPr>
          <w:p w14:paraId="3F9B8439" w14:textId="77777777" w:rsidR="00A2747F" w:rsidRPr="00BD4E04" w:rsidRDefault="00A2747F" w:rsidP="00A2747F">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June 2018</w:t>
            </w:r>
          </w:p>
        </w:tc>
        <w:tc>
          <w:tcPr>
            <w:tcW w:w="2227" w:type="dxa"/>
          </w:tcPr>
          <w:p w14:paraId="4C2C5B8B" w14:textId="77777777" w:rsidR="00A2747F" w:rsidRPr="00BD4E04" w:rsidRDefault="00A2747F" w:rsidP="00A2747F">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June 2018</w:t>
            </w:r>
          </w:p>
        </w:tc>
        <w:tc>
          <w:tcPr>
            <w:tcW w:w="2348" w:type="dxa"/>
          </w:tcPr>
          <w:p w14:paraId="5CC0BF5B" w14:textId="77777777" w:rsidR="00A2747F" w:rsidRPr="00BD4E04" w:rsidRDefault="00A2747F" w:rsidP="00A2747F">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Independent assessment to support Joint Annual Review of education sector, including assessment against PLF indicators</w:t>
            </w:r>
          </w:p>
        </w:tc>
        <w:tc>
          <w:tcPr>
            <w:tcW w:w="2362" w:type="dxa"/>
          </w:tcPr>
          <w:p w14:paraId="6979FA6C" w14:textId="77777777" w:rsidR="00A2747F" w:rsidRPr="00BD4E04" w:rsidRDefault="00A2747F" w:rsidP="00A2747F">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Independent assessment</w:t>
            </w:r>
          </w:p>
        </w:tc>
      </w:tr>
    </w:tbl>
    <w:p w14:paraId="67F7A9F1" w14:textId="77777777" w:rsidR="00A2747F" w:rsidRDefault="00A2747F">
      <w:pPr>
        <w:suppressAutoHyphens w:val="0"/>
        <w:spacing w:before="0" w:after="120" w:line="440" w:lineRule="atLeast"/>
        <w:rPr>
          <w:rFonts w:asciiTheme="majorHAnsi" w:hAnsiTheme="majorHAnsi"/>
          <w:b/>
          <w:bCs/>
          <w:iCs/>
          <w:color w:val="auto"/>
          <w:sz w:val="38"/>
          <w:szCs w:val="38"/>
        </w:rPr>
      </w:pPr>
      <w:r>
        <w:rPr>
          <w:rFonts w:asciiTheme="majorHAnsi" w:hAnsiTheme="majorHAnsi"/>
          <w:b/>
          <w:bCs/>
          <w:iCs/>
          <w:color w:val="auto"/>
          <w:sz w:val="38"/>
          <w:szCs w:val="38"/>
        </w:rPr>
        <w:br w:type="page"/>
      </w:r>
    </w:p>
    <w:p w14:paraId="1FFDEDD1" w14:textId="339B4D77" w:rsidR="00FC6ED3" w:rsidRPr="00E101AE" w:rsidRDefault="00FC6ED3" w:rsidP="00FC6ED3">
      <w:pPr>
        <w:rPr>
          <w:rFonts w:asciiTheme="majorHAnsi" w:hAnsiTheme="majorHAnsi"/>
          <w:b/>
          <w:bCs/>
          <w:iCs/>
          <w:color w:val="auto"/>
          <w:sz w:val="38"/>
          <w:szCs w:val="38"/>
        </w:rPr>
      </w:pPr>
      <w:r w:rsidRPr="00E101AE">
        <w:rPr>
          <w:rFonts w:asciiTheme="majorHAnsi" w:hAnsiTheme="majorHAnsi"/>
          <w:b/>
          <w:bCs/>
          <w:iCs/>
          <w:color w:val="auto"/>
          <w:sz w:val="38"/>
          <w:szCs w:val="38"/>
        </w:rPr>
        <w:lastRenderedPageBreak/>
        <w:t>Annex D - Aid Quality Check ratings</w:t>
      </w:r>
    </w:p>
    <w:p w14:paraId="54C9E61B" w14:textId="1B1192AF" w:rsidR="00FC6ED3" w:rsidRDefault="00FC6ED3" w:rsidP="00FC6ED3">
      <w:pPr>
        <w:rPr>
          <w:color w:val="auto"/>
        </w:rPr>
      </w:pPr>
      <w:r w:rsidRPr="00E101AE">
        <w:rPr>
          <w:color w:val="auto"/>
        </w:rPr>
        <w:t>AQC investment performance over the previous 12 months and where available last year’s AQC ratings are included.</w:t>
      </w:r>
    </w:p>
    <w:tbl>
      <w:tblPr>
        <w:tblW w:w="12380" w:type="dxa"/>
        <w:tblLook w:val="04A0" w:firstRow="1" w:lastRow="0" w:firstColumn="1" w:lastColumn="0" w:noHBand="0" w:noVBand="1"/>
      </w:tblPr>
      <w:tblGrid>
        <w:gridCol w:w="4700"/>
        <w:gridCol w:w="960"/>
        <w:gridCol w:w="960"/>
        <w:gridCol w:w="960"/>
        <w:gridCol w:w="960"/>
        <w:gridCol w:w="960"/>
        <w:gridCol w:w="960"/>
        <w:gridCol w:w="960"/>
        <w:gridCol w:w="960"/>
      </w:tblGrid>
      <w:tr w:rsidR="0058604F" w:rsidRPr="0058604F" w14:paraId="4550F1B5" w14:textId="77777777" w:rsidTr="0058604F">
        <w:trPr>
          <w:trHeight w:val="1275"/>
        </w:trPr>
        <w:tc>
          <w:tcPr>
            <w:tcW w:w="4700" w:type="dxa"/>
            <w:tcBorders>
              <w:top w:val="single" w:sz="8" w:space="0" w:color="auto"/>
              <w:left w:val="nil"/>
              <w:bottom w:val="single" w:sz="8" w:space="0" w:color="auto"/>
              <w:right w:val="nil"/>
            </w:tcBorders>
            <w:shd w:val="clear" w:color="auto" w:fill="auto"/>
            <w:vAlign w:val="center"/>
            <w:hideMark/>
          </w:tcPr>
          <w:p w14:paraId="2F838AC5" w14:textId="11C90A82" w:rsidR="0058604F" w:rsidRPr="0058604F" w:rsidRDefault="0058604F" w:rsidP="0058604F">
            <w:pPr>
              <w:suppressAutoHyphens w:val="0"/>
              <w:spacing w:before="0" w:after="0" w:line="240" w:lineRule="auto"/>
              <w:rPr>
                <w:rFonts w:ascii="Franklin Gothic Book" w:eastAsia="Times New Roman" w:hAnsi="Franklin Gothic Book" w:cs="Times New Roman"/>
                <w:b/>
                <w:bCs/>
                <w:color w:val="auto"/>
                <w:sz w:val="17"/>
                <w:szCs w:val="17"/>
                <w:lang w:val="en-AU" w:eastAsia="en-AU"/>
              </w:rPr>
            </w:pPr>
            <w:r w:rsidRPr="0058604F">
              <w:rPr>
                <w:rFonts w:ascii="Franklin Gothic Book" w:eastAsia="Times New Roman" w:hAnsi="Franklin Gothic Book" w:cs="Times New Roman"/>
                <w:b/>
                <w:bCs/>
                <w:noProof/>
                <w:color w:val="auto"/>
                <w:sz w:val="17"/>
                <w:szCs w:val="17"/>
                <w:lang w:val="en-AU" w:eastAsia="en-AU"/>
              </w:rPr>
              <w:drawing>
                <wp:anchor distT="0" distB="0" distL="114300" distR="114300" simplePos="0" relativeHeight="251696128" behindDoc="0" locked="0" layoutInCell="1" allowOverlap="1" wp14:anchorId="786AAD34" wp14:editId="0391F74E">
                  <wp:simplePos x="0" y="0"/>
                  <wp:positionH relativeFrom="column">
                    <wp:posOffset>0</wp:posOffset>
                  </wp:positionH>
                  <wp:positionV relativeFrom="paragraph">
                    <wp:posOffset>0</wp:posOffset>
                  </wp:positionV>
                  <wp:extent cx="4229100" cy="228600"/>
                  <wp:effectExtent l="0" t="0" r="0" b="0"/>
                  <wp:wrapNone/>
                  <wp:docPr id="34" name="Picture 34" hidden="1"/>
                  <wp:cNvGraphicFramePr/>
                  <a:graphic xmlns:a="http://schemas.openxmlformats.org/drawingml/2006/main">
                    <a:graphicData uri="http://schemas.openxmlformats.org/drawingml/2006/picture">
                      <pic:pic xmlns:pic="http://schemas.openxmlformats.org/drawingml/2006/picture">
                        <pic:nvPicPr>
                          <pic:cNvPr id="2" name="Picture 8"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8604F">
              <w:rPr>
                <w:rFonts w:ascii="Franklin Gothic Book" w:eastAsia="Times New Roman" w:hAnsi="Franklin Gothic Book" w:cs="Times New Roman"/>
                <w:b/>
                <w:bCs/>
                <w:color w:val="auto"/>
                <w:sz w:val="17"/>
                <w:szCs w:val="17"/>
                <w:lang w:eastAsia="en-AU"/>
              </w:rPr>
              <w:t>Investment name</w:t>
            </w:r>
          </w:p>
        </w:tc>
        <w:tc>
          <w:tcPr>
            <w:tcW w:w="960" w:type="dxa"/>
            <w:tcBorders>
              <w:top w:val="single" w:sz="8" w:space="0" w:color="auto"/>
              <w:left w:val="nil"/>
              <w:bottom w:val="single" w:sz="8" w:space="0" w:color="auto"/>
              <w:right w:val="nil"/>
            </w:tcBorders>
            <w:shd w:val="clear" w:color="auto" w:fill="auto"/>
            <w:vAlign w:val="center"/>
            <w:hideMark/>
          </w:tcPr>
          <w:p w14:paraId="646F6A2D" w14:textId="77777777" w:rsidR="0058604F" w:rsidRPr="0058604F" w:rsidRDefault="0058604F" w:rsidP="0058604F">
            <w:pPr>
              <w:suppressAutoHyphens w:val="0"/>
              <w:spacing w:before="0" w:after="0" w:line="240" w:lineRule="auto"/>
              <w:jc w:val="center"/>
              <w:rPr>
                <w:rFonts w:ascii="Franklin Gothic Book" w:eastAsia="Times New Roman" w:hAnsi="Franklin Gothic Book" w:cs="Times New Roman"/>
                <w:b/>
                <w:bCs/>
                <w:color w:val="auto"/>
                <w:sz w:val="17"/>
                <w:szCs w:val="17"/>
                <w:lang w:val="en-AU" w:eastAsia="en-AU"/>
              </w:rPr>
            </w:pPr>
            <w:r w:rsidRPr="0058604F">
              <w:rPr>
                <w:rFonts w:ascii="Franklin Gothic Book" w:eastAsia="Times New Roman" w:hAnsi="Franklin Gothic Book" w:cs="Times New Roman"/>
                <w:b/>
                <w:bCs/>
                <w:color w:val="auto"/>
                <w:sz w:val="17"/>
                <w:szCs w:val="17"/>
                <w:lang w:eastAsia="en-AU"/>
              </w:rPr>
              <w:t>Approved budget and duration</w:t>
            </w:r>
          </w:p>
        </w:tc>
        <w:tc>
          <w:tcPr>
            <w:tcW w:w="960" w:type="dxa"/>
            <w:tcBorders>
              <w:top w:val="single" w:sz="8" w:space="0" w:color="auto"/>
              <w:left w:val="nil"/>
              <w:bottom w:val="single" w:sz="8" w:space="0" w:color="auto"/>
              <w:right w:val="nil"/>
            </w:tcBorders>
            <w:shd w:val="clear" w:color="auto" w:fill="auto"/>
            <w:vAlign w:val="center"/>
            <w:hideMark/>
          </w:tcPr>
          <w:p w14:paraId="21492C8C" w14:textId="77777777" w:rsidR="0058604F" w:rsidRPr="0058604F" w:rsidRDefault="0058604F" w:rsidP="0058604F">
            <w:pPr>
              <w:suppressAutoHyphens w:val="0"/>
              <w:spacing w:before="0" w:after="0" w:line="240" w:lineRule="auto"/>
              <w:jc w:val="center"/>
              <w:rPr>
                <w:rFonts w:ascii="Franklin Gothic Book" w:eastAsia="Times New Roman" w:hAnsi="Franklin Gothic Book" w:cs="Times New Roman"/>
                <w:b/>
                <w:bCs/>
                <w:color w:val="auto"/>
                <w:sz w:val="17"/>
                <w:szCs w:val="17"/>
                <w:lang w:val="en-AU" w:eastAsia="en-AU"/>
              </w:rPr>
            </w:pPr>
            <w:r w:rsidRPr="0058604F">
              <w:rPr>
                <w:rFonts w:ascii="Franklin Gothic Book" w:eastAsia="Times New Roman" w:hAnsi="Franklin Gothic Book" w:cs="Times New Roman"/>
                <w:b/>
                <w:bCs/>
                <w:color w:val="auto"/>
                <w:sz w:val="17"/>
                <w:szCs w:val="17"/>
                <w:lang w:eastAsia="en-AU"/>
              </w:rPr>
              <w:t>year on year</w:t>
            </w:r>
          </w:p>
        </w:tc>
        <w:tc>
          <w:tcPr>
            <w:tcW w:w="960" w:type="dxa"/>
            <w:tcBorders>
              <w:top w:val="single" w:sz="8" w:space="0" w:color="auto"/>
              <w:left w:val="nil"/>
              <w:bottom w:val="single" w:sz="8" w:space="0" w:color="auto"/>
              <w:right w:val="nil"/>
            </w:tcBorders>
            <w:shd w:val="clear" w:color="auto" w:fill="auto"/>
            <w:textDirection w:val="btLr"/>
            <w:vAlign w:val="center"/>
            <w:hideMark/>
          </w:tcPr>
          <w:p w14:paraId="0F3EB56E" w14:textId="77777777" w:rsidR="0058604F" w:rsidRPr="0058604F" w:rsidRDefault="0058604F" w:rsidP="00D34EA7">
            <w:pPr>
              <w:suppressAutoHyphens w:val="0"/>
              <w:spacing w:before="0" w:after="0" w:line="240" w:lineRule="auto"/>
              <w:rPr>
                <w:rFonts w:ascii="Franklin Gothic Book" w:eastAsia="Times New Roman" w:hAnsi="Franklin Gothic Book" w:cs="Times New Roman"/>
                <w:b/>
                <w:bCs/>
                <w:color w:val="auto"/>
                <w:sz w:val="17"/>
                <w:szCs w:val="17"/>
                <w:lang w:val="en-AU" w:eastAsia="en-AU"/>
              </w:rPr>
            </w:pPr>
            <w:r w:rsidRPr="0058604F">
              <w:rPr>
                <w:rFonts w:ascii="Franklin Gothic Book" w:eastAsia="Times New Roman" w:hAnsi="Franklin Gothic Book" w:cs="Times New Roman"/>
                <w:b/>
                <w:bCs/>
                <w:color w:val="auto"/>
                <w:sz w:val="17"/>
                <w:szCs w:val="17"/>
                <w:lang w:eastAsia="en-AU"/>
              </w:rPr>
              <w:t>Relevance</w:t>
            </w:r>
          </w:p>
        </w:tc>
        <w:tc>
          <w:tcPr>
            <w:tcW w:w="960" w:type="dxa"/>
            <w:tcBorders>
              <w:top w:val="single" w:sz="8" w:space="0" w:color="auto"/>
              <w:left w:val="nil"/>
              <w:bottom w:val="single" w:sz="8" w:space="0" w:color="auto"/>
              <w:right w:val="nil"/>
            </w:tcBorders>
            <w:shd w:val="clear" w:color="auto" w:fill="auto"/>
            <w:textDirection w:val="btLr"/>
            <w:vAlign w:val="center"/>
            <w:hideMark/>
          </w:tcPr>
          <w:p w14:paraId="73C2E3C5" w14:textId="77777777" w:rsidR="0058604F" w:rsidRPr="0058604F" w:rsidRDefault="0058604F" w:rsidP="00D34EA7">
            <w:pPr>
              <w:suppressAutoHyphens w:val="0"/>
              <w:spacing w:before="0" w:after="0" w:line="240" w:lineRule="auto"/>
              <w:rPr>
                <w:rFonts w:ascii="Franklin Gothic Book" w:eastAsia="Times New Roman" w:hAnsi="Franklin Gothic Book" w:cs="Times New Roman"/>
                <w:b/>
                <w:bCs/>
                <w:color w:val="auto"/>
                <w:sz w:val="17"/>
                <w:szCs w:val="17"/>
                <w:lang w:val="en-AU" w:eastAsia="en-AU"/>
              </w:rPr>
            </w:pPr>
            <w:r w:rsidRPr="0058604F">
              <w:rPr>
                <w:rFonts w:ascii="Franklin Gothic Book" w:eastAsia="Times New Roman" w:hAnsi="Franklin Gothic Book" w:cs="Times New Roman"/>
                <w:b/>
                <w:bCs/>
                <w:color w:val="auto"/>
                <w:sz w:val="17"/>
                <w:szCs w:val="17"/>
                <w:lang w:eastAsia="en-AU"/>
              </w:rPr>
              <w:t>Effectiveness</w:t>
            </w:r>
          </w:p>
        </w:tc>
        <w:tc>
          <w:tcPr>
            <w:tcW w:w="960" w:type="dxa"/>
            <w:tcBorders>
              <w:top w:val="single" w:sz="8" w:space="0" w:color="auto"/>
              <w:left w:val="nil"/>
              <w:bottom w:val="single" w:sz="8" w:space="0" w:color="auto"/>
              <w:right w:val="nil"/>
            </w:tcBorders>
            <w:shd w:val="clear" w:color="auto" w:fill="auto"/>
            <w:textDirection w:val="btLr"/>
            <w:vAlign w:val="center"/>
            <w:hideMark/>
          </w:tcPr>
          <w:p w14:paraId="16A90038" w14:textId="77777777" w:rsidR="0058604F" w:rsidRPr="0058604F" w:rsidRDefault="0058604F" w:rsidP="00D34EA7">
            <w:pPr>
              <w:suppressAutoHyphens w:val="0"/>
              <w:spacing w:before="0" w:after="0" w:line="240" w:lineRule="auto"/>
              <w:rPr>
                <w:rFonts w:ascii="Franklin Gothic Book" w:eastAsia="Times New Roman" w:hAnsi="Franklin Gothic Book" w:cs="Times New Roman"/>
                <w:b/>
                <w:bCs/>
                <w:color w:val="auto"/>
                <w:sz w:val="17"/>
                <w:szCs w:val="17"/>
                <w:lang w:val="en-AU" w:eastAsia="en-AU"/>
              </w:rPr>
            </w:pPr>
            <w:r w:rsidRPr="0058604F">
              <w:rPr>
                <w:rFonts w:ascii="Franklin Gothic Book" w:eastAsia="Times New Roman" w:hAnsi="Franklin Gothic Book" w:cs="Times New Roman"/>
                <w:b/>
                <w:bCs/>
                <w:color w:val="auto"/>
                <w:sz w:val="17"/>
                <w:szCs w:val="17"/>
                <w:lang w:eastAsia="en-AU"/>
              </w:rPr>
              <w:t>Efficiency</w:t>
            </w:r>
          </w:p>
        </w:tc>
        <w:tc>
          <w:tcPr>
            <w:tcW w:w="960" w:type="dxa"/>
            <w:tcBorders>
              <w:top w:val="single" w:sz="8" w:space="0" w:color="auto"/>
              <w:left w:val="nil"/>
              <w:bottom w:val="single" w:sz="8" w:space="0" w:color="auto"/>
              <w:right w:val="nil"/>
            </w:tcBorders>
            <w:shd w:val="clear" w:color="auto" w:fill="auto"/>
            <w:textDirection w:val="btLr"/>
            <w:vAlign w:val="center"/>
            <w:hideMark/>
          </w:tcPr>
          <w:p w14:paraId="6C7A1D5D" w14:textId="77777777" w:rsidR="0058604F" w:rsidRPr="0058604F" w:rsidRDefault="0058604F" w:rsidP="00D34EA7">
            <w:pPr>
              <w:suppressAutoHyphens w:val="0"/>
              <w:spacing w:before="0" w:after="0" w:line="240" w:lineRule="auto"/>
              <w:rPr>
                <w:rFonts w:ascii="Franklin Gothic Book" w:eastAsia="Times New Roman" w:hAnsi="Franklin Gothic Book" w:cs="Times New Roman"/>
                <w:b/>
                <w:bCs/>
                <w:color w:val="auto"/>
                <w:sz w:val="17"/>
                <w:szCs w:val="17"/>
                <w:lang w:val="en-AU" w:eastAsia="en-AU"/>
              </w:rPr>
            </w:pPr>
            <w:r w:rsidRPr="0058604F">
              <w:rPr>
                <w:rFonts w:ascii="Franklin Gothic Book" w:eastAsia="Times New Roman" w:hAnsi="Franklin Gothic Book" w:cs="Times New Roman"/>
                <w:b/>
                <w:bCs/>
                <w:color w:val="auto"/>
                <w:sz w:val="17"/>
                <w:szCs w:val="17"/>
                <w:lang w:eastAsia="en-AU"/>
              </w:rPr>
              <w:t>Monitoring and Evaluation</w:t>
            </w:r>
          </w:p>
        </w:tc>
        <w:tc>
          <w:tcPr>
            <w:tcW w:w="960" w:type="dxa"/>
            <w:tcBorders>
              <w:top w:val="single" w:sz="8" w:space="0" w:color="auto"/>
              <w:left w:val="nil"/>
              <w:bottom w:val="single" w:sz="8" w:space="0" w:color="auto"/>
              <w:right w:val="nil"/>
            </w:tcBorders>
            <w:shd w:val="clear" w:color="auto" w:fill="auto"/>
            <w:textDirection w:val="btLr"/>
            <w:vAlign w:val="center"/>
            <w:hideMark/>
          </w:tcPr>
          <w:p w14:paraId="23C55B65" w14:textId="77777777" w:rsidR="0058604F" w:rsidRPr="0058604F" w:rsidRDefault="0058604F" w:rsidP="00D34EA7">
            <w:pPr>
              <w:suppressAutoHyphens w:val="0"/>
              <w:spacing w:before="0" w:after="0" w:line="240" w:lineRule="auto"/>
              <w:rPr>
                <w:rFonts w:ascii="Franklin Gothic Book" w:eastAsia="Times New Roman" w:hAnsi="Franklin Gothic Book" w:cs="Times New Roman"/>
                <w:b/>
                <w:bCs/>
                <w:color w:val="auto"/>
                <w:sz w:val="17"/>
                <w:szCs w:val="17"/>
                <w:lang w:val="en-AU" w:eastAsia="en-AU"/>
              </w:rPr>
            </w:pPr>
            <w:r w:rsidRPr="0058604F">
              <w:rPr>
                <w:rFonts w:ascii="Franklin Gothic Book" w:eastAsia="Times New Roman" w:hAnsi="Franklin Gothic Book" w:cs="Times New Roman"/>
                <w:b/>
                <w:bCs/>
                <w:color w:val="auto"/>
                <w:sz w:val="17"/>
                <w:szCs w:val="17"/>
                <w:lang w:eastAsia="en-AU"/>
              </w:rPr>
              <w:t>Sustainability</w:t>
            </w:r>
          </w:p>
        </w:tc>
        <w:tc>
          <w:tcPr>
            <w:tcW w:w="960" w:type="dxa"/>
            <w:tcBorders>
              <w:top w:val="single" w:sz="8" w:space="0" w:color="auto"/>
              <w:left w:val="nil"/>
              <w:bottom w:val="single" w:sz="8" w:space="0" w:color="auto"/>
              <w:right w:val="nil"/>
            </w:tcBorders>
            <w:shd w:val="clear" w:color="auto" w:fill="auto"/>
            <w:textDirection w:val="btLr"/>
            <w:vAlign w:val="center"/>
            <w:hideMark/>
          </w:tcPr>
          <w:p w14:paraId="654FE6AA" w14:textId="77777777" w:rsidR="0058604F" w:rsidRPr="0058604F" w:rsidRDefault="0058604F" w:rsidP="00D34EA7">
            <w:pPr>
              <w:suppressAutoHyphens w:val="0"/>
              <w:spacing w:before="0" w:after="0" w:line="240" w:lineRule="auto"/>
              <w:rPr>
                <w:rFonts w:ascii="Franklin Gothic Book" w:eastAsia="Times New Roman" w:hAnsi="Franklin Gothic Book" w:cs="Times New Roman"/>
                <w:b/>
                <w:bCs/>
                <w:color w:val="auto"/>
                <w:sz w:val="17"/>
                <w:szCs w:val="17"/>
                <w:lang w:val="en-AU" w:eastAsia="en-AU"/>
              </w:rPr>
            </w:pPr>
            <w:r w:rsidRPr="0058604F">
              <w:rPr>
                <w:rFonts w:ascii="Franklin Gothic Book" w:eastAsia="Times New Roman" w:hAnsi="Franklin Gothic Book" w:cs="Times New Roman"/>
                <w:b/>
                <w:bCs/>
                <w:color w:val="auto"/>
                <w:sz w:val="17"/>
                <w:szCs w:val="17"/>
                <w:lang w:eastAsia="en-AU"/>
              </w:rPr>
              <w:t>Gender equality</w:t>
            </w:r>
          </w:p>
        </w:tc>
      </w:tr>
      <w:tr w:rsidR="0058604F" w:rsidRPr="0058604F" w14:paraId="4EEBCDE9" w14:textId="77777777" w:rsidTr="0058604F">
        <w:trPr>
          <w:trHeight w:val="450"/>
        </w:trPr>
        <w:tc>
          <w:tcPr>
            <w:tcW w:w="4700" w:type="dxa"/>
            <w:tcBorders>
              <w:top w:val="nil"/>
              <w:left w:val="nil"/>
              <w:bottom w:val="nil"/>
              <w:right w:val="nil"/>
            </w:tcBorders>
            <w:shd w:val="clear" w:color="auto" w:fill="auto"/>
            <w:vAlign w:val="center"/>
            <w:hideMark/>
          </w:tcPr>
          <w:p w14:paraId="4D558073"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Solomon Islands Resource Facility and Program Enabling (INL123)</w:t>
            </w:r>
          </w:p>
        </w:tc>
        <w:tc>
          <w:tcPr>
            <w:tcW w:w="960" w:type="dxa"/>
            <w:tcBorders>
              <w:top w:val="nil"/>
              <w:left w:val="nil"/>
              <w:bottom w:val="nil"/>
              <w:right w:val="nil"/>
            </w:tcBorders>
            <w:shd w:val="clear" w:color="auto" w:fill="auto"/>
            <w:vAlign w:val="center"/>
            <w:hideMark/>
          </w:tcPr>
          <w:p w14:paraId="642D917E"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$15.5m</w:t>
            </w:r>
          </w:p>
        </w:tc>
        <w:tc>
          <w:tcPr>
            <w:tcW w:w="960" w:type="dxa"/>
            <w:tcBorders>
              <w:top w:val="nil"/>
              <w:left w:val="nil"/>
              <w:bottom w:val="nil"/>
              <w:right w:val="nil"/>
            </w:tcBorders>
            <w:shd w:val="clear" w:color="auto" w:fill="auto"/>
            <w:vAlign w:val="center"/>
            <w:hideMark/>
          </w:tcPr>
          <w:p w14:paraId="4333872F"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2017 AQC</w:t>
            </w:r>
          </w:p>
        </w:tc>
        <w:tc>
          <w:tcPr>
            <w:tcW w:w="960" w:type="dxa"/>
            <w:tcBorders>
              <w:top w:val="nil"/>
              <w:left w:val="nil"/>
              <w:bottom w:val="nil"/>
              <w:right w:val="nil"/>
            </w:tcBorders>
            <w:shd w:val="clear" w:color="000000" w:fill="92D050"/>
            <w:noWrap/>
            <w:vAlign w:val="center"/>
            <w:hideMark/>
          </w:tcPr>
          <w:p w14:paraId="2AD5EBF2"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FF00"/>
            <w:noWrap/>
            <w:vAlign w:val="center"/>
            <w:hideMark/>
          </w:tcPr>
          <w:p w14:paraId="6BC95C88"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26EFC166"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56DB206C"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2F77BC2E"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1F7B0E99"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r>
      <w:tr w:rsidR="0058604F" w:rsidRPr="0058604F" w14:paraId="1829A7F1" w14:textId="77777777" w:rsidTr="0058604F">
        <w:trPr>
          <w:trHeight w:val="300"/>
        </w:trPr>
        <w:tc>
          <w:tcPr>
            <w:tcW w:w="4700" w:type="dxa"/>
            <w:tcBorders>
              <w:top w:val="nil"/>
              <w:left w:val="nil"/>
              <w:bottom w:val="single" w:sz="4" w:space="0" w:color="auto"/>
              <w:right w:val="nil"/>
            </w:tcBorders>
            <w:shd w:val="clear" w:color="auto" w:fill="auto"/>
            <w:vAlign w:val="center"/>
            <w:hideMark/>
          </w:tcPr>
          <w:p w14:paraId="474744AD"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val="en-AU" w:eastAsia="en-AU"/>
              </w:rPr>
              <w:t> </w:t>
            </w:r>
          </w:p>
        </w:tc>
        <w:tc>
          <w:tcPr>
            <w:tcW w:w="960" w:type="dxa"/>
            <w:tcBorders>
              <w:top w:val="nil"/>
              <w:left w:val="nil"/>
              <w:bottom w:val="single" w:sz="4" w:space="0" w:color="auto"/>
              <w:right w:val="nil"/>
            </w:tcBorders>
            <w:shd w:val="clear" w:color="auto" w:fill="auto"/>
            <w:vAlign w:val="center"/>
            <w:hideMark/>
          </w:tcPr>
          <w:p w14:paraId="1422834E"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 xml:space="preserve">2015-20 </w:t>
            </w:r>
          </w:p>
        </w:tc>
        <w:tc>
          <w:tcPr>
            <w:tcW w:w="960" w:type="dxa"/>
            <w:tcBorders>
              <w:top w:val="nil"/>
              <w:left w:val="nil"/>
              <w:bottom w:val="single" w:sz="4" w:space="0" w:color="auto"/>
              <w:right w:val="nil"/>
            </w:tcBorders>
            <w:shd w:val="clear" w:color="auto" w:fill="auto"/>
            <w:vAlign w:val="center"/>
            <w:hideMark/>
          </w:tcPr>
          <w:p w14:paraId="0B1414BE"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2016 AQC</w:t>
            </w:r>
          </w:p>
        </w:tc>
        <w:tc>
          <w:tcPr>
            <w:tcW w:w="960" w:type="dxa"/>
            <w:tcBorders>
              <w:top w:val="nil"/>
              <w:left w:val="nil"/>
              <w:bottom w:val="single" w:sz="4" w:space="0" w:color="auto"/>
              <w:right w:val="nil"/>
            </w:tcBorders>
            <w:shd w:val="clear" w:color="auto" w:fill="auto"/>
            <w:noWrap/>
            <w:vAlign w:val="center"/>
            <w:hideMark/>
          </w:tcPr>
          <w:p w14:paraId="1C6C627D"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050B285C"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181807D3"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6CF0D82E"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6EA25531"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64AB3C00"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w:t>
            </w:r>
          </w:p>
        </w:tc>
      </w:tr>
      <w:tr w:rsidR="0058604F" w:rsidRPr="0058604F" w14:paraId="08CF641A" w14:textId="77777777" w:rsidTr="0058604F">
        <w:trPr>
          <w:trHeight w:val="300"/>
        </w:trPr>
        <w:tc>
          <w:tcPr>
            <w:tcW w:w="4700" w:type="dxa"/>
            <w:tcBorders>
              <w:top w:val="nil"/>
              <w:left w:val="nil"/>
              <w:bottom w:val="nil"/>
              <w:right w:val="nil"/>
            </w:tcBorders>
            <w:shd w:val="clear" w:color="auto" w:fill="auto"/>
            <w:vAlign w:val="center"/>
            <w:hideMark/>
          </w:tcPr>
          <w:p w14:paraId="111C7729"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 xml:space="preserve">Solomon Islands Growth Program (INL596) </w:t>
            </w:r>
          </w:p>
        </w:tc>
        <w:tc>
          <w:tcPr>
            <w:tcW w:w="960" w:type="dxa"/>
            <w:tcBorders>
              <w:top w:val="nil"/>
              <w:left w:val="nil"/>
              <w:bottom w:val="nil"/>
              <w:right w:val="nil"/>
            </w:tcBorders>
            <w:shd w:val="clear" w:color="auto" w:fill="auto"/>
            <w:vAlign w:val="center"/>
            <w:hideMark/>
          </w:tcPr>
          <w:p w14:paraId="0C1412A0"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$51.8m</w:t>
            </w:r>
          </w:p>
        </w:tc>
        <w:tc>
          <w:tcPr>
            <w:tcW w:w="960" w:type="dxa"/>
            <w:tcBorders>
              <w:top w:val="nil"/>
              <w:left w:val="nil"/>
              <w:bottom w:val="nil"/>
              <w:right w:val="nil"/>
            </w:tcBorders>
            <w:shd w:val="clear" w:color="auto" w:fill="auto"/>
            <w:vAlign w:val="center"/>
            <w:hideMark/>
          </w:tcPr>
          <w:p w14:paraId="791B3679"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2017 AQC</w:t>
            </w:r>
          </w:p>
        </w:tc>
        <w:tc>
          <w:tcPr>
            <w:tcW w:w="960" w:type="dxa"/>
            <w:tcBorders>
              <w:top w:val="nil"/>
              <w:left w:val="nil"/>
              <w:bottom w:val="nil"/>
              <w:right w:val="nil"/>
            </w:tcBorders>
            <w:shd w:val="clear" w:color="000000" w:fill="92D050"/>
            <w:noWrap/>
            <w:vAlign w:val="center"/>
            <w:hideMark/>
          </w:tcPr>
          <w:p w14:paraId="2405C28F"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C000"/>
            <w:noWrap/>
            <w:vAlign w:val="center"/>
            <w:hideMark/>
          </w:tcPr>
          <w:p w14:paraId="0C05B282"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3</w:t>
            </w:r>
          </w:p>
        </w:tc>
        <w:tc>
          <w:tcPr>
            <w:tcW w:w="960" w:type="dxa"/>
            <w:tcBorders>
              <w:top w:val="nil"/>
              <w:left w:val="nil"/>
              <w:bottom w:val="nil"/>
              <w:right w:val="nil"/>
            </w:tcBorders>
            <w:shd w:val="clear" w:color="000000" w:fill="FFFF00"/>
            <w:noWrap/>
            <w:vAlign w:val="center"/>
            <w:hideMark/>
          </w:tcPr>
          <w:p w14:paraId="519DCE70"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C000"/>
            <w:noWrap/>
            <w:vAlign w:val="center"/>
            <w:hideMark/>
          </w:tcPr>
          <w:p w14:paraId="2E0574C8"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3</w:t>
            </w:r>
          </w:p>
        </w:tc>
        <w:tc>
          <w:tcPr>
            <w:tcW w:w="960" w:type="dxa"/>
            <w:tcBorders>
              <w:top w:val="nil"/>
              <w:left w:val="nil"/>
              <w:bottom w:val="nil"/>
              <w:right w:val="nil"/>
            </w:tcBorders>
            <w:shd w:val="clear" w:color="000000" w:fill="FFFF00"/>
            <w:noWrap/>
            <w:vAlign w:val="center"/>
            <w:hideMark/>
          </w:tcPr>
          <w:p w14:paraId="225DEB2F"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08142B57"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r>
      <w:tr w:rsidR="0058604F" w:rsidRPr="0058604F" w14:paraId="6006321B" w14:textId="77777777" w:rsidTr="00E22076">
        <w:trPr>
          <w:trHeight w:val="300"/>
        </w:trPr>
        <w:tc>
          <w:tcPr>
            <w:tcW w:w="4700" w:type="dxa"/>
            <w:tcBorders>
              <w:top w:val="nil"/>
              <w:left w:val="nil"/>
              <w:bottom w:val="single" w:sz="4" w:space="0" w:color="auto"/>
              <w:right w:val="nil"/>
            </w:tcBorders>
            <w:shd w:val="clear" w:color="auto" w:fill="auto"/>
            <w:vAlign w:val="center"/>
            <w:hideMark/>
          </w:tcPr>
          <w:p w14:paraId="173FF577"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val="en-AU" w:eastAsia="en-AU"/>
              </w:rPr>
              <w:t> </w:t>
            </w:r>
          </w:p>
        </w:tc>
        <w:tc>
          <w:tcPr>
            <w:tcW w:w="960" w:type="dxa"/>
            <w:tcBorders>
              <w:top w:val="nil"/>
              <w:left w:val="nil"/>
              <w:bottom w:val="single" w:sz="4" w:space="0" w:color="auto"/>
              <w:right w:val="nil"/>
            </w:tcBorders>
            <w:shd w:val="clear" w:color="auto" w:fill="auto"/>
            <w:vAlign w:val="center"/>
            <w:hideMark/>
          </w:tcPr>
          <w:p w14:paraId="0BB89CAB"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 xml:space="preserve">2016-20 </w:t>
            </w:r>
          </w:p>
        </w:tc>
        <w:tc>
          <w:tcPr>
            <w:tcW w:w="960" w:type="dxa"/>
            <w:tcBorders>
              <w:top w:val="nil"/>
              <w:left w:val="nil"/>
              <w:bottom w:val="single" w:sz="4" w:space="0" w:color="auto"/>
              <w:right w:val="nil"/>
            </w:tcBorders>
            <w:shd w:val="clear" w:color="auto" w:fill="auto"/>
            <w:vAlign w:val="center"/>
            <w:hideMark/>
          </w:tcPr>
          <w:p w14:paraId="445EF5B5"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2016 AQC</w:t>
            </w:r>
          </w:p>
        </w:tc>
        <w:tc>
          <w:tcPr>
            <w:tcW w:w="960" w:type="dxa"/>
            <w:tcBorders>
              <w:top w:val="nil"/>
              <w:left w:val="nil"/>
              <w:bottom w:val="single" w:sz="4" w:space="0" w:color="auto"/>
              <w:right w:val="nil"/>
            </w:tcBorders>
            <w:shd w:val="clear" w:color="auto" w:fill="auto"/>
            <w:noWrap/>
            <w:vAlign w:val="center"/>
            <w:hideMark/>
          </w:tcPr>
          <w:p w14:paraId="0A04F354"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7AF7976F"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077966D4"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576A7CE6"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2B467200"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489039CC"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w:t>
            </w:r>
          </w:p>
        </w:tc>
      </w:tr>
      <w:tr w:rsidR="0058604F" w:rsidRPr="0058604F" w14:paraId="66A415E9" w14:textId="77777777" w:rsidTr="00E22076">
        <w:trPr>
          <w:trHeight w:val="300"/>
        </w:trPr>
        <w:tc>
          <w:tcPr>
            <w:tcW w:w="4700" w:type="dxa"/>
            <w:tcBorders>
              <w:top w:val="nil"/>
              <w:left w:val="nil"/>
              <w:bottom w:val="nil"/>
              <w:right w:val="nil"/>
            </w:tcBorders>
            <w:shd w:val="clear" w:color="auto" w:fill="auto"/>
            <w:vAlign w:val="center"/>
            <w:hideMark/>
          </w:tcPr>
          <w:p w14:paraId="68BD1E55"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Solomon Islands Urban Water Supply (INK143)</w:t>
            </w:r>
          </w:p>
        </w:tc>
        <w:tc>
          <w:tcPr>
            <w:tcW w:w="960" w:type="dxa"/>
            <w:tcBorders>
              <w:top w:val="nil"/>
              <w:left w:val="nil"/>
              <w:bottom w:val="nil"/>
              <w:right w:val="nil"/>
            </w:tcBorders>
            <w:shd w:val="clear" w:color="auto" w:fill="auto"/>
            <w:vAlign w:val="center"/>
            <w:hideMark/>
          </w:tcPr>
          <w:p w14:paraId="3A418BA1"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$16.7m</w:t>
            </w:r>
          </w:p>
        </w:tc>
        <w:tc>
          <w:tcPr>
            <w:tcW w:w="960" w:type="dxa"/>
            <w:tcBorders>
              <w:top w:val="nil"/>
              <w:left w:val="nil"/>
              <w:bottom w:val="nil"/>
              <w:right w:val="nil"/>
            </w:tcBorders>
            <w:shd w:val="clear" w:color="auto" w:fill="auto"/>
            <w:vAlign w:val="center"/>
            <w:hideMark/>
          </w:tcPr>
          <w:p w14:paraId="7F9676C7"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2017 AQC</w:t>
            </w:r>
          </w:p>
        </w:tc>
        <w:tc>
          <w:tcPr>
            <w:tcW w:w="960" w:type="dxa"/>
            <w:tcBorders>
              <w:top w:val="single" w:sz="4" w:space="0" w:color="auto"/>
              <w:left w:val="nil"/>
              <w:bottom w:val="single" w:sz="4" w:space="0" w:color="FFFFFF" w:themeColor="background1"/>
              <w:right w:val="nil"/>
            </w:tcBorders>
            <w:shd w:val="clear" w:color="000000" w:fill="92D050"/>
            <w:noWrap/>
            <w:vAlign w:val="center"/>
            <w:hideMark/>
          </w:tcPr>
          <w:p w14:paraId="4A57A196"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5</w:t>
            </w:r>
          </w:p>
        </w:tc>
        <w:tc>
          <w:tcPr>
            <w:tcW w:w="960" w:type="dxa"/>
            <w:tcBorders>
              <w:top w:val="single" w:sz="4" w:space="0" w:color="auto"/>
              <w:left w:val="nil"/>
              <w:bottom w:val="single" w:sz="4" w:space="0" w:color="FFFFFF" w:themeColor="background1"/>
              <w:right w:val="nil"/>
            </w:tcBorders>
            <w:shd w:val="clear" w:color="000000" w:fill="92D050"/>
            <w:noWrap/>
            <w:vAlign w:val="center"/>
            <w:hideMark/>
          </w:tcPr>
          <w:p w14:paraId="1EDEC38C"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5</w:t>
            </w:r>
          </w:p>
        </w:tc>
        <w:tc>
          <w:tcPr>
            <w:tcW w:w="960" w:type="dxa"/>
            <w:tcBorders>
              <w:top w:val="single" w:sz="4" w:space="0" w:color="auto"/>
              <w:left w:val="nil"/>
              <w:bottom w:val="single" w:sz="4" w:space="0" w:color="FFFFFF" w:themeColor="background1"/>
              <w:right w:val="nil"/>
            </w:tcBorders>
            <w:shd w:val="clear" w:color="000000" w:fill="FFFF00"/>
            <w:noWrap/>
            <w:vAlign w:val="center"/>
            <w:hideMark/>
          </w:tcPr>
          <w:p w14:paraId="63009358"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single" w:sz="4" w:space="0" w:color="auto"/>
              <w:left w:val="nil"/>
              <w:bottom w:val="single" w:sz="4" w:space="0" w:color="FFFFFF" w:themeColor="background1"/>
              <w:right w:val="nil"/>
            </w:tcBorders>
            <w:shd w:val="clear" w:color="000000" w:fill="FFFF00"/>
            <w:noWrap/>
            <w:vAlign w:val="center"/>
            <w:hideMark/>
          </w:tcPr>
          <w:p w14:paraId="28218DBB"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single" w:sz="4" w:space="0" w:color="auto"/>
              <w:left w:val="nil"/>
              <w:bottom w:val="single" w:sz="4" w:space="0" w:color="FFFFFF" w:themeColor="background1"/>
              <w:right w:val="nil"/>
            </w:tcBorders>
            <w:shd w:val="clear" w:color="000000" w:fill="FFFF00"/>
            <w:noWrap/>
            <w:vAlign w:val="center"/>
            <w:hideMark/>
          </w:tcPr>
          <w:p w14:paraId="2A4714F4"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single" w:sz="4" w:space="0" w:color="auto"/>
              <w:left w:val="nil"/>
              <w:bottom w:val="single" w:sz="4" w:space="0" w:color="FFFFFF" w:themeColor="background1"/>
              <w:right w:val="nil"/>
            </w:tcBorders>
            <w:shd w:val="clear" w:color="000000" w:fill="FFFF00"/>
            <w:noWrap/>
            <w:vAlign w:val="center"/>
            <w:hideMark/>
          </w:tcPr>
          <w:p w14:paraId="03FB9C33"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r>
      <w:tr w:rsidR="0058604F" w:rsidRPr="0058604F" w14:paraId="5152BADE" w14:textId="77777777" w:rsidTr="00E22076">
        <w:trPr>
          <w:trHeight w:val="300"/>
        </w:trPr>
        <w:tc>
          <w:tcPr>
            <w:tcW w:w="4700" w:type="dxa"/>
            <w:tcBorders>
              <w:top w:val="nil"/>
              <w:left w:val="nil"/>
              <w:bottom w:val="single" w:sz="4" w:space="0" w:color="auto"/>
              <w:right w:val="nil"/>
            </w:tcBorders>
            <w:shd w:val="clear" w:color="auto" w:fill="auto"/>
            <w:vAlign w:val="center"/>
            <w:hideMark/>
          </w:tcPr>
          <w:p w14:paraId="3FE96D20"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val="en-AU" w:eastAsia="en-AU"/>
              </w:rPr>
              <w:t> </w:t>
            </w:r>
          </w:p>
        </w:tc>
        <w:tc>
          <w:tcPr>
            <w:tcW w:w="960" w:type="dxa"/>
            <w:tcBorders>
              <w:top w:val="nil"/>
              <w:left w:val="nil"/>
              <w:bottom w:val="single" w:sz="4" w:space="0" w:color="auto"/>
              <w:right w:val="nil"/>
            </w:tcBorders>
            <w:shd w:val="clear" w:color="auto" w:fill="auto"/>
            <w:vAlign w:val="center"/>
            <w:hideMark/>
          </w:tcPr>
          <w:p w14:paraId="790C4A86"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2011-18</w:t>
            </w:r>
          </w:p>
        </w:tc>
        <w:tc>
          <w:tcPr>
            <w:tcW w:w="960" w:type="dxa"/>
            <w:tcBorders>
              <w:top w:val="nil"/>
              <w:left w:val="nil"/>
              <w:bottom w:val="single" w:sz="4" w:space="0" w:color="auto"/>
              <w:right w:val="nil"/>
            </w:tcBorders>
            <w:shd w:val="clear" w:color="auto" w:fill="auto"/>
            <w:vAlign w:val="center"/>
            <w:hideMark/>
          </w:tcPr>
          <w:p w14:paraId="6793F814"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2016 AQC</w:t>
            </w:r>
          </w:p>
        </w:tc>
        <w:tc>
          <w:tcPr>
            <w:tcW w:w="960" w:type="dxa"/>
            <w:tcBorders>
              <w:top w:val="single" w:sz="4" w:space="0" w:color="FFFFFF" w:themeColor="background1"/>
              <w:left w:val="nil"/>
              <w:bottom w:val="single" w:sz="4" w:space="0" w:color="auto"/>
              <w:right w:val="nil"/>
            </w:tcBorders>
            <w:shd w:val="clear" w:color="000000" w:fill="92D050"/>
            <w:noWrap/>
            <w:vAlign w:val="center"/>
            <w:hideMark/>
          </w:tcPr>
          <w:p w14:paraId="32A10BC8"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5</w:t>
            </w:r>
          </w:p>
        </w:tc>
        <w:tc>
          <w:tcPr>
            <w:tcW w:w="960" w:type="dxa"/>
            <w:tcBorders>
              <w:top w:val="single" w:sz="4" w:space="0" w:color="FFFFFF" w:themeColor="background1"/>
              <w:left w:val="nil"/>
              <w:bottom w:val="single" w:sz="4" w:space="0" w:color="auto"/>
              <w:right w:val="nil"/>
            </w:tcBorders>
            <w:shd w:val="clear" w:color="000000" w:fill="FFFF00"/>
            <w:noWrap/>
            <w:vAlign w:val="center"/>
            <w:hideMark/>
          </w:tcPr>
          <w:p w14:paraId="674DBC70"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single" w:sz="4" w:space="0" w:color="FFFFFF" w:themeColor="background1"/>
              <w:left w:val="nil"/>
              <w:bottom w:val="single" w:sz="4" w:space="0" w:color="auto"/>
              <w:right w:val="nil"/>
            </w:tcBorders>
            <w:shd w:val="clear" w:color="000000" w:fill="FFFF00"/>
            <w:noWrap/>
            <w:vAlign w:val="center"/>
            <w:hideMark/>
          </w:tcPr>
          <w:p w14:paraId="2C430B27"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single" w:sz="4" w:space="0" w:color="FFFFFF" w:themeColor="background1"/>
              <w:left w:val="nil"/>
              <w:bottom w:val="single" w:sz="4" w:space="0" w:color="auto"/>
              <w:right w:val="nil"/>
            </w:tcBorders>
            <w:shd w:val="clear" w:color="000000" w:fill="FFFF00"/>
            <w:noWrap/>
            <w:vAlign w:val="center"/>
            <w:hideMark/>
          </w:tcPr>
          <w:p w14:paraId="230F9150"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single" w:sz="4" w:space="0" w:color="FFFFFF" w:themeColor="background1"/>
              <w:left w:val="nil"/>
              <w:bottom w:val="single" w:sz="4" w:space="0" w:color="auto"/>
              <w:right w:val="nil"/>
            </w:tcBorders>
            <w:shd w:val="clear" w:color="000000" w:fill="FFFF00"/>
            <w:noWrap/>
            <w:vAlign w:val="center"/>
            <w:hideMark/>
          </w:tcPr>
          <w:p w14:paraId="2746821B"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c>
          <w:tcPr>
            <w:tcW w:w="960" w:type="dxa"/>
            <w:tcBorders>
              <w:top w:val="single" w:sz="4" w:space="0" w:color="FFFFFF" w:themeColor="background1"/>
              <w:left w:val="nil"/>
              <w:bottom w:val="single" w:sz="4" w:space="0" w:color="auto"/>
              <w:right w:val="nil"/>
            </w:tcBorders>
            <w:shd w:val="clear" w:color="000000" w:fill="FFFF00"/>
            <w:noWrap/>
            <w:vAlign w:val="center"/>
            <w:hideMark/>
          </w:tcPr>
          <w:p w14:paraId="56FA09B1"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iCs/>
                <w:color w:val="495965"/>
                <w:sz w:val="17"/>
                <w:szCs w:val="17"/>
                <w:lang w:eastAsia="en-AU"/>
              </w:rPr>
              <w:t>4</w:t>
            </w:r>
          </w:p>
        </w:tc>
      </w:tr>
      <w:tr w:rsidR="0058604F" w:rsidRPr="0058604F" w14:paraId="26EA7320" w14:textId="77777777" w:rsidTr="0058604F">
        <w:trPr>
          <w:trHeight w:val="450"/>
        </w:trPr>
        <w:tc>
          <w:tcPr>
            <w:tcW w:w="4700" w:type="dxa"/>
            <w:tcBorders>
              <w:top w:val="nil"/>
              <w:left w:val="nil"/>
              <w:bottom w:val="nil"/>
              <w:right w:val="nil"/>
            </w:tcBorders>
            <w:shd w:val="clear" w:color="auto" w:fill="auto"/>
            <w:vAlign w:val="center"/>
            <w:hideMark/>
          </w:tcPr>
          <w:p w14:paraId="6DD7C23E"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Solomon Islands Transport Sector- Based Approach Phase 2 (INL126)</w:t>
            </w:r>
          </w:p>
        </w:tc>
        <w:tc>
          <w:tcPr>
            <w:tcW w:w="960" w:type="dxa"/>
            <w:tcBorders>
              <w:top w:val="nil"/>
              <w:left w:val="nil"/>
              <w:bottom w:val="nil"/>
              <w:right w:val="nil"/>
            </w:tcBorders>
            <w:shd w:val="clear" w:color="auto" w:fill="auto"/>
            <w:vAlign w:val="center"/>
            <w:hideMark/>
          </w:tcPr>
          <w:p w14:paraId="0943BE6F"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$41.5m</w:t>
            </w:r>
          </w:p>
        </w:tc>
        <w:tc>
          <w:tcPr>
            <w:tcW w:w="960" w:type="dxa"/>
            <w:tcBorders>
              <w:top w:val="nil"/>
              <w:left w:val="nil"/>
              <w:bottom w:val="nil"/>
              <w:right w:val="nil"/>
            </w:tcBorders>
            <w:shd w:val="clear" w:color="auto" w:fill="auto"/>
            <w:vAlign w:val="center"/>
            <w:hideMark/>
          </w:tcPr>
          <w:p w14:paraId="06ED702F"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2017 AQC</w:t>
            </w:r>
          </w:p>
        </w:tc>
        <w:tc>
          <w:tcPr>
            <w:tcW w:w="960" w:type="dxa"/>
            <w:tcBorders>
              <w:top w:val="nil"/>
              <w:left w:val="nil"/>
              <w:bottom w:val="nil"/>
              <w:right w:val="nil"/>
            </w:tcBorders>
            <w:shd w:val="clear" w:color="000000" w:fill="92D050"/>
            <w:noWrap/>
            <w:vAlign w:val="center"/>
            <w:hideMark/>
          </w:tcPr>
          <w:p w14:paraId="5DF575F7"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nil"/>
              <w:left w:val="nil"/>
              <w:bottom w:val="nil"/>
              <w:right w:val="nil"/>
            </w:tcBorders>
            <w:shd w:val="clear" w:color="000000" w:fill="FFFF00"/>
            <w:noWrap/>
            <w:vAlign w:val="center"/>
            <w:hideMark/>
          </w:tcPr>
          <w:p w14:paraId="2CBB7C18"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nil"/>
              <w:left w:val="nil"/>
              <w:bottom w:val="nil"/>
              <w:right w:val="nil"/>
            </w:tcBorders>
            <w:shd w:val="clear" w:color="000000" w:fill="FFC000"/>
            <w:noWrap/>
            <w:vAlign w:val="center"/>
            <w:hideMark/>
          </w:tcPr>
          <w:p w14:paraId="2F9465C2"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3</w:t>
            </w:r>
          </w:p>
        </w:tc>
        <w:tc>
          <w:tcPr>
            <w:tcW w:w="960" w:type="dxa"/>
            <w:tcBorders>
              <w:top w:val="nil"/>
              <w:left w:val="nil"/>
              <w:bottom w:val="nil"/>
              <w:right w:val="nil"/>
            </w:tcBorders>
            <w:shd w:val="clear" w:color="000000" w:fill="FFC000"/>
            <w:noWrap/>
            <w:vAlign w:val="center"/>
            <w:hideMark/>
          </w:tcPr>
          <w:p w14:paraId="6B10906D"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3</w:t>
            </w:r>
          </w:p>
        </w:tc>
        <w:tc>
          <w:tcPr>
            <w:tcW w:w="960" w:type="dxa"/>
            <w:tcBorders>
              <w:top w:val="nil"/>
              <w:left w:val="nil"/>
              <w:bottom w:val="nil"/>
              <w:right w:val="nil"/>
            </w:tcBorders>
            <w:shd w:val="clear" w:color="000000" w:fill="FFFF00"/>
            <w:noWrap/>
            <w:vAlign w:val="center"/>
            <w:hideMark/>
          </w:tcPr>
          <w:p w14:paraId="75819457"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0724B96E"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r>
      <w:tr w:rsidR="0058604F" w:rsidRPr="0058604F" w14:paraId="05ED005E" w14:textId="77777777" w:rsidTr="00E22076">
        <w:trPr>
          <w:trHeight w:val="300"/>
        </w:trPr>
        <w:tc>
          <w:tcPr>
            <w:tcW w:w="4700" w:type="dxa"/>
            <w:tcBorders>
              <w:top w:val="nil"/>
              <w:left w:val="nil"/>
              <w:bottom w:val="single" w:sz="4" w:space="0" w:color="auto"/>
              <w:right w:val="nil"/>
            </w:tcBorders>
            <w:shd w:val="clear" w:color="auto" w:fill="auto"/>
            <w:vAlign w:val="center"/>
            <w:hideMark/>
          </w:tcPr>
          <w:p w14:paraId="0B4F5504"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val="en-AU" w:eastAsia="en-AU"/>
              </w:rPr>
              <w:t> </w:t>
            </w:r>
          </w:p>
        </w:tc>
        <w:tc>
          <w:tcPr>
            <w:tcW w:w="960" w:type="dxa"/>
            <w:tcBorders>
              <w:top w:val="nil"/>
              <w:left w:val="nil"/>
              <w:bottom w:val="single" w:sz="4" w:space="0" w:color="auto"/>
              <w:right w:val="nil"/>
            </w:tcBorders>
            <w:shd w:val="clear" w:color="auto" w:fill="auto"/>
            <w:vAlign w:val="center"/>
            <w:hideMark/>
          </w:tcPr>
          <w:p w14:paraId="7D7D2B61"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2016-21</w:t>
            </w:r>
          </w:p>
        </w:tc>
        <w:tc>
          <w:tcPr>
            <w:tcW w:w="960" w:type="dxa"/>
            <w:tcBorders>
              <w:top w:val="nil"/>
              <w:left w:val="nil"/>
              <w:bottom w:val="single" w:sz="4" w:space="0" w:color="auto"/>
              <w:right w:val="nil"/>
            </w:tcBorders>
            <w:shd w:val="clear" w:color="auto" w:fill="auto"/>
            <w:vAlign w:val="center"/>
            <w:hideMark/>
          </w:tcPr>
          <w:p w14:paraId="45F61988"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2016 AQC</w:t>
            </w:r>
          </w:p>
        </w:tc>
        <w:tc>
          <w:tcPr>
            <w:tcW w:w="960" w:type="dxa"/>
            <w:tcBorders>
              <w:top w:val="nil"/>
              <w:left w:val="nil"/>
              <w:bottom w:val="single" w:sz="4" w:space="0" w:color="auto"/>
              <w:right w:val="nil"/>
            </w:tcBorders>
            <w:shd w:val="clear" w:color="auto" w:fill="auto"/>
            <w:noWrap/>
            <w:vAlign w:val="center"/>
            <w:hideMark/>
          </w:tcPr>
          <w:p w14:paraId="0D3E4276"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28886A5B"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1464F576"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00295F87"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4E425F3C"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w:t>
            </w:r>
          </w:p>
        </w:tc>
        <w:tc>
          <w:tcPr>
            <w:tcW w:w="960" w:type="dxa"/>
            <w:tcBorders>
              <w:top w:val="nil"/>
              <w:left w:val="nil"/>
              <w:bottom w:val="single" w:sz="4" w:space="0" w:color="auto"/>
              <w:right w:val="nil"/>
            </w:tcBorders>
            <w:shd w:val="clear" w:color="auto" w:fill="auto"/>
            <w:noWrap/>
            <w:vAlign w:val="center"/>
            <w:hideMark/>
          </w:tcPr>
          <w:p w14:paraId="634C6C8B"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w:t>
            </w:r>
          </w:p>
        </w:tc>
      </w:tr>
      <w:tr w:rsidR="0058604F" w:rsidRPr="0058604F" w14:paraId="1DB95509" w14:textId="77777777" w:rsidTr="00E22076">
        <w:trPr>
          <w:trHeight w:val="450"/>
        </w:trPr>
        <w:tc>
          <w:tcPr>
            <w:tcW w:w="4700" w:type="dxa"/>
            <w:tcBorders>
              <w:top w:val="nil"/>
              <w:left w:val="nil"/>
              <w:bottom w:val="nil"/>
              <w:right w:val="nil"/>
            </w:tcBorders>
            <w:shd w:val="clear" w:color="auto" w:fill="auto"/>
            <w:vAlign w:val="center"/>
            <w:hideMark/>
          </w:tcPr>
          <w:p w14:paraId="7033D0E4"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Solomon Islands Rural Development Program (INH615)</w:t>
            </w:r>
          </w:p>
        </w:tc>
        <w:tc>
          <w:tcPr>
            <w:tcW w:w="960" w:type="dxa"/>
            <w:tcBorders>
              <w:top w:val="nil"/>
              <w:left w:val="nil"/>
              <w:bottom w:val="nil"/>
              <w:right w:val="nil"/>
            </w:tcBorders>
            <w:shd w:val="clear" w:color="auto" w:fill="auto"/>
            <w:vAlign w:val="center"/>
            <w:hideMark/>
          </w:tcPr>
          <w:p w14:paraId="0EE1A441"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$35.2m</w:t>
            </w:r>
          </w:p>
        </w:tc>
        <w:tc>
          <w:tcPr>
            <w:tcW w:w="960" w:type="dxa"/>
            <w:tcBorders>
              <w:top w:val="nil"/>
              <w:left w:val="nil"/>
              <w:bottom w:val="nil"/>
              <w:right w:val="nil"/>
            </w:tcBorders>
            <w:shd w:val="clear" w:color="auto" w:fill="auto"/>
            <w:vAlign w:val="center"/>
            <w:hideMark/>
          </w:tcPr>
          <w:p w14:paraId="01671AF9"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2017 AQC</w:t>
            </w:r>
          </w:p>
        </w:tc>
        <w:tc>
          <w:tcPr>
            <w:tcW w:w="960" w:type="dxa"/>
            <w:tcBorders>
              <w:top w:val="single" w:sz="4" w:space="0" w:color="auto"/>
              <w:left w:val="nil"/>
              <w:bottom w:val="single" w:sz="4" w:space="0" w:color="FFFFFF" w:themeColor="background1"/>
              <w:right w:val="nil"/>
            </w:tcBorders>
            <w:shd w:val="clear" w:color="000000" w:fill="92D050"/>
            <w:noWrap/>
            <w:vAlign w:val="center"/>
            <w:hideMark/>
          </w:tcPr>
          <w:p w14:paraId="6B826F43"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auto"/>
              <w:left w:val="nil"/>
              <w:bottom w:val="single" w:sz="4" w:space="0" w:color="FFFFFF" w:themeColor="background1"/>
              <w:right w:val="nil"/>
            </w:tcBorders>
            <w:shd w:val="clear" w:color="000000" w:fill="FFFF00"/>
            <w:noWrap/>
            <w:vAlign w:val="center"/>
            <w:hideMark/>
          </w:tcPr>
          <w:p w14:paraId="05F34F03"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single" w:sz="4" w:space="0" w:color="auto"/>
              <w:left w:val="nil"/>
              <w:bottom w:val="single" w:sz="4" w:space="0" w:color="FFFFFF" w:themeColor="background1"/>
              <w:right w:val="nil"/>
            </w:tcBorders>
            <w:shd w:val="clear" w:color="000000" w:fill="FFC000"/>
            <w:noWrap/>
            <w:vAlign w:val="center"/>
            <w:hideMark/>
          </w:tcPr>
          <w:p w14:paraId="622AD3DF"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3</w:t>
            </w:r>
          </w:p>
        </w:tc>
        <w:tc>
          <w:tcPr>
            <w:tcW w:w="960" w:type="dxa"/>
            <w:tcBorders>
              <w:top w:val="single" w:sz="4" w:space="0" w:color="auto"/>
              <w:left w:val="nil"/>
              <w:bottom w:val="single" w:sz="4" w:space="0" w:color="FFFFFF" w:themeColor="background1"/>
              <w:right w:val="nil"/>
            </w:tcBorders>
            <w:shd w:val="clear" w:color="000000" w:fill="FFFF00"/>
            <w:noWrap/>
            <w:vAlign w:val="center"/>
            <w:hideMark/>
          </w:tcPr>
          <w:p w14:paraId="200EEB2E"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single" w:sz="4" w:space="0" w:color="auto"/>
              <w:left w:val="nil"/>
              <w:bottom w:val="single" w:sz="4" w:space="0" w:color="FFFFFF" w:themeColor="background1"/>
              <w:right w:val="nil"/>
            </w:tcBorders>
            <w:shd w:val="clear" w:color="000000" w:fill="92D050"/>
            <w:noWrap/>
            <w:vAlign w:val="center"/>
            <w:hideMark/>
          </w:tcPr>
          <w:p w14:paraId="7760FD07"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auto"/>
              <w:left w:val="nil"/>
              <w:bottom w:val="single" w:sz="4" w:space="0" w:color="FFFFFF" w:themeColor="background1"/>
              <w:right w:val="nil"/>
            </w:tcBorders>
            <w:shd w:val="clear" w:color="000000" w:fill="FFC000"/>
            <w:noWrap/>
            <w:vAlign w:val="center"/>
            <w:hideMark/>
          </w:tcPr>
          <w:p w14:paraId="5ED7F405"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3</w:t>
            </w:r>
          </w:p>
        </w:tc>
      </w:tr>
      <w:tr w:rsidR="0058604F" w:rsidRPr="0058604F" w14:paraId="5D7886A8" w14:textId="77777777" w:rsidTr="00E22076">
        <w:trPr>
          <w:trHeight w:val="300"/>
        </w:trPr>
        <w:tc>
          <w:tcPr>
            <w:tcW w:w="4700" w:type="dxa"/>
            <w:tcBorders>
              <w:top w:val="nil"/>
              <w:left w:val="nil"/>
              <w:bottom w:val="single" w:sz="4" w:space="0" w:color="auto"/>
              <w:right w:val="nil"/>
            </w:tcBorders>
            <w:shd w:val="clear" w:color="auto" w:fill="auto"/>
            <w:vAlign w:val="center"/>
            <w:hideMark/>
          </w:tcPr>
          <w:p w14:paraId="69FFFF5A"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val="en-AU" w:eastAsia="en-AU"/>
              </w:rPr>
              <w:t> </w:t>
            </w:r>
          </w:p>
        </w:tc>
        <w:tc>
          <w:tcPr>
            <w:tcW w:w="960" w:type="dxa"/>
            <w:tcBorders>
              <w:top w:val="nil"/>
              <w:left w:val="nil"/>
              <w:bottom w:val="single" w:sz="4" w:space="0" w:color="auto"/>
              <w:right w:val="nil"/>
            </w:tcBorders>
            <w:shd w:val="clear" w:color="auto" w:fill="auto"/>
            <w:vAlign w:val="center"/>
            <w:hideMark/>
          </w:tcPr>
          <w:p w14:paraId="1CF40BAB"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2007-21</w:t>
            </w:r>
          </w:p>
        </w:tc>
        <w:tc>
          <w:tcPr>
            <w:tcW w:w="960" w:type="dxa"/>
            <w:tcBorders>
              <w:top w:val="nil"/>
              <w:left w:val="nil"/>
              <w:bottom w:val="single" w:sz="4" w:space="0" w:color="auto"/>
              <w:right w:val="nil"/>
            </w:tcBorders>
            <w:shd w:val="clear" w:color="auto" w:fill="auto"/>
            <w:vAlign w:val="center"/>
            <w:hideMark/>
          </w:tcPr>
          <w:p w14:paraId="59706F25"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2016 AQC</w:t>
            </w:r>
          </w:p>
        </w:tc>
        <w:tc>
          <w:tcPr>
            <w:tcW w:w="960" w:type="dxa"/>
            <w:tcBorders>
              <w:top w:val="single" w:sz="4" w:space="0" w:color="FFFFFF" w:themeColor="background1"/>
              <w:left w:val="nil"/>
              <w:bottom w:val="single" w:sz="4" w:space="0" w:color="auto"/>
              <w:right w:val="nil"/>
            </w:tcBorders>
            <w:shd w:val="clear" w:color="000000" w:fill="92D050"/>
            <w:noWrap/>
            <w:vAlign w:val="center"/>
            <w:hideMark/>
          </w:tcPr>
          <w:p w14:paraId="4964B7FB"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FFFFFF" w:themeColor="background1"/>
              <w:left w:val="nil"/>
              <w:bottom w:val="single" w:sz="4" w:space="0" w:color="auto"/>
              <w:right w:val="nil"/>
            </w:tcBorders>
            <w:shd w:val="clear" w:color="000000" w:fill="FFC000"/>
            <w:noWrap/>
            <w:vAlign w:val="center"/>
            <w:hideMark/>
          </w:tcPr>
          <w:p w14:paraId="37F2F459"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3</w:t>
            </w:r>
          </w:p>
        </w:tc>
        <w:tc>
          <w:tcPr>
            <w:tcW w:w="960" w:type="dxa"/>
            <w:tcBorders>
              <w:top w:val="single" w:sz="4" w:space="0" w:color="FFFFFF" w:themeColor="background1"/>
              <w:left w:val="nil"/>
              <w:bottom w:val="single" w:sz="4" w:space="0" w:color="auto"/>
              <w:right w:val="nil"/>
            </w:tcBorders>
            <w:shd w:val="clear" w:color="000000" w:fill="FFFF00"/>
            <w:noWrap/>
            <w:vAlign w:val="center"/>
            <w:hideMark/>
          </w:tcPr>
          <w:p w14:paraId="7E94BDD7"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single" w:sz="4" w:space="0" w:color="FFFFFF" w:themeColor="background1"/>
              <w:left w:val="nil"/>
              <w:bottom w:val="single" w:sz="4" w:space="0" w:color="auto"/>
              <w:right w:val="nil"/>
            </w:tcBorders>
            <w:shd w:val="clear" w:color="000000" w:fill="FFFF00"/>
            <w:noWrap/>
            <w:vAlign w:val="center"/>
            <w:hideMark/>
          </w:tcPr>
          <w:p w14:paraId="2B43D432"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single" w:sz="4" w:space="0" w:color="FFFFFF" w:themeColor="background1"/>
              <w:left w:val="nil"/>
              <w:bottom w:val="single" w:sz="4" w:space="0" w:color="auto"/>
              <w:right w:val="nil"/>
            </w:tcBorders>
            <w:shd w:val="clear" w:color="000000" w:fill="FFFF00"/>
            <w:noWrap/>
            <w:vAlign w:val="center"/>
            <w:hideMark/>
          </w:tcPr>
          <w:p w14:paraId="64305C00"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single" w:sz="4" w:space="0" w:color="FFFFFF" w:themeColor="background1"/>
              <w:left w:val="nil"/>
              <w:bottom w:val="single" w:sz="4" w:space="0" w:color="auto"/>
              <w:right w:val="nil"/>
            </w:tcBorders>
            <w:shd w:val="clear" w:color="000000" w:fill="FFC000"/>
            <w:noWrap/>
            <w:vAlign w:val="center"/>
            <w:hideMark/>
          </w:tcPr>
          <w:p w14:paraId="2E466409"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3</w:t>
            </w:r>
          </w:p>
        </w:tc>
      </w:tr>
      <w:tr w:rsidR="0058604F" w:rsidRPr="0058604F" w14:paraId="7B48E344" w14:textId="77777777" w:rsidTr="00E22076">
        <w:trPr>
          <w:trHeight w:val="450"/>
        </w:trPr>
        <w:tc>
          <w:tcPr>
            <w:tcW w:w="4700" w:type="dxa"/>
            <w:tcBorders>
              <w:top w:val="nil"/>
              <w:left w:val="nil"/>
              <w:bottom w:val="nil"/>
              <w:right w:val="nil"/>
            </w:tcBorders>
            <w:shd w:val="clear" w:color="auto" w:fill="auto"/>
            <w:vAlign w:val="center"/>
            <w:hideMark/>
          </w:tcPr>
          <w:p w14:paraId="73D2CF9E"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Addressing Gender Equality in Solomon Islands (INK688)</w:t>
            </w:r>
          </w:p>
        </w:tc>
        <w:tc>
          <w:tcPr>
            <w:tcW w:w="960" w:type="dxa"/>
            <w:tcBorders>
              <w:top w:val="nil"/>
              <w:left w:val="nil"/>
              <w:bottom w:val="nil"/>
              <w:right w:val="nil"/>
            </w:tcBorders>
            <w:shd w:val="clear" w:color="auto" w:fill="auto"/>
            <w:vAlign w:val="center"/>
            <w:hideMark/>
          </w:tcPr>
          <w:p w14:paraId="7973D283"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$15.4m</w:t>
            </w:r>
          </w:p>
        </w:tc>
        <w:tc>
          <w:tcPr>
            <w:tcW w:w="960" w:type="dxa"/>
            <w:tcBorders>
              <w:top w:val="nil"/>
              <w:left w:val="nil"/>
              <w:bottom w:val="nil"/>
              <w:right w:val="nil"/>
            </w:tcBorders>
            <w:shd w:val="clear" w:color="auto" w:fill="auto"/>
            <w:vAlign w:val="center"/>
            <w:hideMark/>
          </w:tcPr>
          <w:p w14:paraId="6B5FDE01"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2017 AQC</w:t>
            </w:r>
          </w:p>
        </w:tc>
        <w:tc>
          <w:tcPr>
            <w:tcW w:w="960" w:type="dxa"/>
            <w:tcBorders>
              <w:top w:val="single" w:sz="4" w:space="0" w:color="auto"/>
              <w:left w:val="nil"/>
              <w:bottom w:val="single" w:sz="4" w:space="0" w:color="FFFFFF" w:themeColor="background1"/>
              <w:right w:val="nil"/>
            </w:tcBorders>
            <w:shd w:val="clear" w:color="000000" w:fill="92D050"/>
            <w:noWrap/>
            <w:vAlign w:val="center"/>
            <w:hideMark/>
          </w:tcPr>
          <w:p w14:paraId="57D4B44A"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auto"/>
              <w:left w:val="nil"/>
              <w:bottom w:val="single" w:sz="4" w:space="0" w:color="FFFFFF" w:themeColor="background1"/>
              <w:right w:val="nil"/>
            </w:tcBorders>
            <w:shd w:val="clear" w:color="000000" w:fill="FFFF00"/>
            <w:noWrap/>
            <w:vAlign w:val="center"/>
            <w:hideMark/>
          </w:tcPr>
          <w:p w14:paraId="16155254"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single" w:sz="4" w:space="0" w:color="auto"/>
              <w:left w:val="nil"/>
              <w:bottom w:val="single" w:sz="4" w:space="0" w:color="FFFFFF" w:themeColor="background1"/>
              <w:right w:val="nil"/>
            </w:tcBorders>
            <w:shd w:val="clear" w:color="000000" w:fill="FFFF00"/>
            <w:noWrap/>
            <w:vAlign w:val="center"/>
            <w:hideMark/>
          </w:tcPr>
          <w:p w14:paraId="4B041304"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single" w:sz="4" w:space="0" w:color="auto"/>
              <w:left w:val="nil"/>
              <w:bottom w:val="single" w:sz="4" w:space="0" w:color="FFFFFF" w:themeColor="background1"/>
              <w:right w:val="nil"/>
            </w:tcBorders>
            <w:shd w:val="clear" w:color="000000" w:fill="92D050"/>
            <w:noWrap/>
            <w:vAlign w:val="center"/>
            <w:hideMark/>
          </w:tcPr>
          <w:p w14:paraId="765A6AA0"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auto"/>
              <w:left w:val="nil"/>
              <w:bottom w:val="single" w:sz="4" w:space="0" w:color="FFFFFF" w:themeColor="background1"/>
              <w:right w:val="nil"/>
            </w:tcBorders>
            <w:shd w:val="clear" w:color="000000" w:fill="FFFF00"/>
            <w:noWrap/>
            <w:vAlign w:val="center"/>
            <w:hideMark/>
          </w:tcPr>
          <w:p w14:paraId="05B964BB"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single" w:sz="4" w:space="0" w:color="auto"/>
              <w:left w:val="nil"/>
              <w:bottom w:val="single" w:sz="4" w:space="0" w:color="FFFFFF" w:themeColor="background1"/>
              <w:right w:val="nil"/>
            </w:tcBorders>
            <w:shd w:val="clear" w:color="000000" w:fill="92D050"/>
            <w:noWrap/>
            <w:vAlign w:val="center"/>
            <w:hideMark/>
          </w:tcPr>
          <w:p w14:paraId="3459FCED"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r>
      <w:tr w:rsidR="0058604F" w:rsidRPr="0058604F" w14:paraId="7B6B850B" w14:textId="77777777" w:rsidTr="00E22076">
        <w:trPr>
          <w:trHeight w:val="300"/>
        </w:trPr>
        <w:tc>
          <w:tcPr>
            <w:tcW w:w="4700" w:type="dxa"/>
            <w:tcBorders>
              <w:top w:val="nil"/>
              <w:left w:val="nil"/>
              <w:bottom w:val="single" w:sz="4" w:space="0" w:color="auto"/>
              <w:right w:val="nil"/>
            </w:tcBorders>
            <w:shd w:val="clear" w:color="auto" w:fill="auto"/>
            <w:vAlign w:val="center"/>
            <w:hideMark/>
          </w:tcPr>
          <w:p w14:paraId="3643995F"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val="en-AU" w:eastAsia="en-AU"/>
              </w:rPr>
              <w:t> </w:t>
            </w:r>
          </w:p>
        </w:tc>
        <w:tc>
          <w:tcPr>
            <w:tcW w:w="960" w:type="dxa"/>
            <w:tcBorders>
              <w:top w:val="nil"/>
              <w:left w:val="nil"/>
              <w:bottom w:val="single" w:sz="4" w:space="0" w:color="auto"/>
              <w:right w:val="nil"/>
            </w:tcBorders>
            <w:shd w:val="clear" w:color="auto" w:fill="auto"/>
            <w:vAlign w:val="center"/>
            <w:hideMark/>
          </w:tcPr>
          <w:p w14:paraId="5A5F9A1E"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2012-18</w:t>
            </w:r>
          </w:p>
        </w:tc>
        <w:tc>
          <w:tcPr>
            <w:tcW w:w="960" w:type="dxa"/>
            <w:tcBorders>
              <w:top w:val="nil"/>
              <w:left w:val="nil"/>
              <w:bottom w:val="single" w:sz="4" w:space="0" w:color="auto"/>
              <w:right w:val="nil"/>
            </w:tcBorders>
            <w:shd w:val="clear" w:color="auto" w:fill="auto"/>
            <w:vAlign w:val="center"/>
            <w:hideMark/>
          </w:tcPr>
          <w:p w14:paraId="20A84B1D"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2016 AQC</w:t>
            </w:r>
          </w:p>
        </w:tc>
        <w:tc>
          <w:tcPr>
            <w:tcW w:w="960" w:type="dxa"/>
            <w:tcBorders>
              <w:top w:val="single" w:sz="4" w:space="0" w:color="FFFFFF" w:themeColor="background1"/>
              <w:left w:val="nil"/>
              <w:bottom w:val="single" w:sz="4" w:space="0" w:color="auto"/>
              <w:right w:val="nil"/>
            </w:tcBorders>
            <w:shd w:val="clear" w:color="000000" w:fill="92D050"/>
            <w:noWrap/>
            <w:vAlign w:val="center"/>
            <w:hideMark/>
          </w:tcPr>
          <w:p w14:paraId="735665AF"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FFFFFF" w:themeColor="background1"/>
              <w:left w:val="nil"/>
              <w:bottom w:val="single" w:sz="4" w:space="0" w:color="auto"/>
              <w:right w:val="nil"/>
            </w:tcBorders>
            <w:shd w:val="clear" w:color="000000" w:fill="FFFF00"/>
            <w:noWrap/>
            <w:vAlign w:val="center"/>
            <w:hideMark/>
          </w:tcPr>
          <w:p w14:paraId="5487D5B9"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single" w:sz="4" w:space="0" w:color="FFFFFF" w:themeColor="background1"/>
              <w:left w:val="nil"/>
              <w:bottom w:val="single" w:sz="4" w:space="0" w:color="auto"/>
              <w:right w:val="nil"/>
            </w:tcBorders>
            <w:shd w:val="clear" w:color="000000" w:fill="FFFF00"/>
            <w:noWrap/>
            <w:vAlign w:val="center"/>
            <w:hideMark/>
          </w:tcPr>
          <w:p w14:paraId="7A1EEA74"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single" w:sz="4" w:space="0" w:color="FFFFFF" w:themeColor="background1"/>
              <w:left w:val="nil"/>
              <w:bottom w:val="single" w:sz="4" w:space="0" w:color="auto"/>
              <w:right w:val="nil"/>
            </w:tcBorders>
            <w:shd w:val="clear" w:color="000000" w:fill="FFC000"/>
            <w:noWrap/>
            <w:vAlign w:val="center"/>
            <w:hideMark/>
          </w:tcPr>
          <w:p w14:paraId="0F155297"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3</w:t>
            </w:r>
          </w:p>
        </w:tc>
        <w:tc>
          <w:tcPr>
            <w:tcW w:w="960" w:type="dxa"/>
            <w:tcBorders>
              <w:top w:val="single" w:sz="4" w:space="0" w:color="FFFFFF" w:themeColor="background1"/>
              <w:left w:val="nil"/>
              <w:bottom w:val="single" w:sz="4" w:space="0" w:color="auto"/>
              <w:right w:val="nil"/>
            </w:tcBorders>
            <w:shd w:val="clear" w:color="000000" w:fill="FFFF00"/>
            <w:noWrap/>
            <w:vAlign w:val="center"/>
            <w:hideMark/>
          </w:tcPr>
          <w:p w14:paraId="400E1471"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single" w:sz="4" w:space="0" w:color="FFFFFF" w:themeColor="background1"/>
              <w:left w:val="nil"/>
              <w:bottom w:val="single" w:sz="4" w:space="0" w:color="auto"/>
              <w:right w:val="nil"/>
            </w:tcBorders>
            <w:shd w:val="clear" w:color="000000" w:fill="92D050"/>
            <w:noWrap/>
            <w:vAlign w:val="center"/>
            <w:hideMark/>
          </w:tcPr>
          <w:p w14:paraId="7733059E"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r>
      <w:tr w:rsidR="0058604F" w:rsidRPr="0058604F" w14:paraId="2DCEFECE" w14:textId="77777777" w:rsidTr="00E22076">
        <w:trPr>
          <w:trHeight w:val="300"/>
        </w:trPr>
        <w:tc>
          <w:tcPr>
            <w:tcW w:w="4700" w:type="dxa"/>
            <w:tcBorders>
              <w:top w:val="nil"/>
              <w:left w:val="nil"/>
              <w:bottom w:val="nil"/>
              <w:right w:val="nil"/>
            </w:tcBorders>
            <w:shd w:val="clear" w:color="auto" w:fill="auto"/>
            <w:vAlign w:val="center"/>
            <w:hideMark/>
          </w:tcPr>
          <w:p w14:paraId="66DBE091"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Education Program 2 (INL129)</w:t>
            </w:r>
          </w:p>
        </w:tc>
        <w:tc>
          <w:tcPr>
            <w:tcW w:w="960" w:type="dxa"/>
            <w:tcBorders>
              <w:top w:val="nil"/>
              <w:left w:val="nil"/>
              <w:bottom w:val="nil"/>
              <w:right w:val="nil"/>
            </w:tcBorders>
            <w:shd w:val="clear" w:color="auto" w:fill="auto"/>
            <w:vAlign w:val="center"/>
            <w:hideMark/>
          </w:tcPr>
          <w:p w14:paraId="1C431855"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$55.3m</w:t>
            </w:r>
          </w:p>
        </w:tc>
        <w:tc>
          <w:tcPr>
            <w:tcW w:w="960" w:type="dxa"/>
            <w:tcBorders>
              <w:top w:val="nil"/>
              <w:left w:val="nil"/>
              <w:bottom w:val="nil"/>
              <w:right w:val="nil"/>
            </w:tcBorders>
            <w:shd w:val="clear" w:color="auto" w:fill="auto"/>
            <w:vAlign w:val="center"/>
            <w:hideMark/>
          </w:tcPr>
          <w:p w14:paraId="55093FCE"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2017 AQC</w:t>
            </w:r>
          </w:p>
        </w:tc>
        <w:tc>
          <w:tcPr>
            <w:tcW w:w="960" w:type="dxa"/>
            <w:tcBorders>
              <w:top w:val="single" w:sz="4" w:space="0" w:color="auto"/>
              <w:left w:val="nil"/>
              <w:bottom w:val="single" w:sz="4" w:space="0" w:color="FFFFFF" w:themeColor="background1"/>
              <w:right w:val="nil"/>
            </w:tcBorders>
            <w:shd w:val="clear" w:color="000000" w:fill="92D050"/>
            <w:noWrap/>
            <w:vAlign w:val="center"/>
            <w:hideMark/>
          </w:tcPr>
          <w:p w14:paraId="5EE1B440"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auto"/>
              <w:left w:val="nil"/>
              <w:bottom w:val="single" w:sz="4" w:space="0" w:color="FFFFFF" w:themeColor="background1"/>
              <w:right w:val="nil"/>
            </w:tcBorders>
            <w:shd w:val="clear" w:color="000000" w:fill="92D050"/>
            <w:noWrap/>
            <w:vAlign w:val="center"/>
            <w:hideMark/>
          </w:tcPr>
          <w:p w14:paraId="13CCE31B"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auto"/>
              <w:left w:val="nil"/>
              <w:bottom w:val="single" w:sz="4" w:space="0" w:color="FFFFFF" w:themeColor="background1"/>
              <w:right w:val="nil"/>
            </w:tcBorders>
            <w:shd w:val="clear" w:color="000000" w:fill="92D050"/>
            <w:noWrap/>
            <w:vAlign w:val="center"/>
            <w:hideMark/>
          </w:tcPr>
          <w:p w14:paraId="36312CD8"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auto"/>
              <w:left w:val="nil"/>
              <w:bottom w:val="single" w:sz="4" w:space="0" w:color="FFFFFF" w:themeColor="background1"/>
              <w:right w:val="nil"/>
            </w:tcBorders>
            <w:shd w:val="clear" w:color="000000" w:fill="92D050"/>
            <w:noWrap/>
            <w:vAlign w:val="center"/>
            <w:hideMark/>
          </w:tcPr>
          <w:p w14:paraId="1792307D"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auto"/>
              <w:left w:val="nil"/>
              <w:bottom w:val="single" w:sz="4" w:space="0" w:color="FFFFFF" w:themeColor="background1"/>
              <w:right w:val="nil"/>
            </w:tcBorders>
            <w:shd w:val="clear" w:color="000000" w:fill="92D050"/>
            <w:noWrap/>
            <w:vAlign w:val="center"/>
            <w:hideMark/>
          </w:tcPr>
          <w:p w14:paraId="5E5AF2F7"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auto"/>
              <w:left w:val="nil"/>
              <w:bottom w:val="single" w:sz="4" w:space="0" w:color="FFFFFF" w:themeColor="background1"/>
              <w:right w:val="nil"/>
            </w:tcBorders>
            <w:shd w:val="clear" w:color="000000" w:fill="FFFF00"/>
            <w:noWrap/>
            <w:vAlign w:val="center"/>
            <w:hideMark/>
          </w:tcPr>
          <w:p w14:paraId="6227D97A"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r>
      <w:tr w:rsidR="0058604F" w:rsidRPr="0058604F" w14:paraId="02462319" w14:textId="77777777" w:rsidTr="00E22076">
        <w:trPr>
          <w:trHeight w:val="300"/>
        </w:trPr>
        <w:tc>
          <w:tcPr>
            <w:tcW w:w="4700" w:type="dxa"/>
            <w:tcBorders>
              <w:top w:val="nil"/>
              <w:left w:val="nil"/>
              <w:bottom w:val="single" w:sz="4" w:space="0" w:color="auto"/>
              <w:right w:val="nil"/>
            </w:tcBorders>
            <w:shd w:val="clear" w:color="auto" w:fill="auto"/>
            <w:vAlign w:val="center"/>
            <w:hideMark/>
          </w:tcPr>
          <w:p w14:paraId="7911E45F"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val="en-AU" w:eastAsia="en-AU"/>
              </w:rPr>
              <w:t> </w:t>
            </w:r>
          </w:p>
        </w:tc>
        <w:tc>
          <w:tcPr>
            <w:tcW w:w="960" w:type="dxa"/>
            <w:tcBorders>
              <w:top w:val="nil"/>
              <w:left w:val="nil"/>
              <w:bottom w:val="single" w:sz="4" w:space="0" w:color="auto"/>
              <w:right w:val="nil"/>
            </w:tcBorders>
            <w:shd w:val="clear" w:color="auto" w:fill="auto"/>
            <w:vAlign w:val="center"/>
            <w:hideMark/>
          </w:tcPr>
          <w:p w14:paraId="3E7311EA"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2015-20</w:t>
            </w:r>
          </w:p>
        </w:tc>
        <w:tc>
          <w:tcPr>
            <w:tcW w:w="960" w:type="dxa"/>
            <w:tcBorders>
              <w:top w:val="nil"/>
              <w:left w:val="nil"/>
              <w:bottom w:val="single" w:sz="4" w:space="0" w:color="auto"/>
              <w:right w:val="nil"/>
            </w:tcBorders>
            <w:shd w:val="clear" w:color="auto" w:fill="auto"/>
            <w:vAlign w:val="center"/>
            <w:hideMark/>
          </w:tcPr>
          <w:p w14:paraId="5F830C28"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2016 AQC</w:t>
            </w:r>
          </w:p>
        </w:tc>
        <w:tc>
          <w:tcPr>
            <w:tcW w:w="960" w:type="dxa"/>
            <w:tcBorders>
              <w:top w:val="single" w:sz="4" w:space="0" w:color="FFFFFF" w:themeColor="background1"/>
              <w:left w:val="nil"/>
              <w:bottom w:val="single" w:sz="4" w:space="0" w:color="auto"/>
              <w:right w:val="nil"/>
            </w:tcBorders>
            <w:shd w:val="clear" w:color="000000" w:fill="92D050"/>
            <w:noWrap/>
            <w:vAlign w:val="center"/>
            <w:hideMark/>
          </w:tcPr>
          <w:p w14:paraId="417645AE"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FFFFFF" w:themeColor="background1"/>
              <w:left w:val="nil"/>
              <w:bottom w:val="single" w:sz="4" w:space="0" w:color="auto"/>
              <w:right w:val="nil"/>
            </w:tcBorders>
            <w:shd w:val="clear" w:color="000000" w:fill="92D050"/>
            <w:noWrap/>
            <w:vAlign w:val="center"/>
            <w:hideMark/>
          </w:tcPr>
          <w:p w14:paraId="715BF44E"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FFFFFF" w:themeColor="background1"/>
              <w:left w:val="nil"/>
              <w:bottom w:val="single" w:sz="4" w:space="0" w:color="auto"/>
              <w:right w:val="nil"/>
            </w:tcBorders>
            <w:shd w:val="clear" w:color="000000" w:fill="92D050"/>
            <w:noWrap/>
            <w:vAlign w:val="center"/>
            <w:hideMark/>
          </w:tcPr>
          <w:p w14:paraId="6FB85B34"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FFFFFF" w:themeColor="background1"/>
              <w:left w:val="nil"/>
              <w:bottom w:val="single" w:sz="4" w:space="0" w:color="auto"/>
              <w:right w:val="nil"/>
            </w:tcBorders>
            <w:shd w:val="clear" w:color="000000" w:fill="92D050"/>
            <w:noWrap/>
            <w:vAlign w:val="center"/>
            <w:hideMark/>
          </w:tcPr>
          <w:p w14:paraId="0E8FD84C"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FFFFFF" w:themeColor="background1"/>
              <w:left w:val="nil"/>
              <w:bottom w:val="single" w:sz="4" w:space="0" w:color="auto"/>
              <w:right w:val="nil"/>
            </w:tcBorders>
            <w:shd w:val="clear" w:color="000000" w:fill="92D050"/>
            <w:noWrap/>
            <w:vAlign w:val="center"/>
            <w:hideMark/>
          </w:tcPr>
          <w:p w14:paraId="3F699F92"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c>
          <w:tcPr>
            <w:tcW w:w="960" w:type="dxa"/>
            <w:tcBorders>
              <w:top w:val="single" w:sz="4" w:space="0" w:color="FFFFFF" w:themeColor="background1"/>
              <w:left w:val="nil"/>
              <w:bottom w:val="single" w:sz="4" w:space="0" w:color="auto"/>
              <w:right w:val="nil"/>
            </w:tcBorders>
            <w:shd w:val="clear" w:color="000000" w:fill="92D050"/>
            <w:noWrap/>
            <w:vAlign w:val="center"/>
            <w:hideMark/>
          </w:tcPr>
          <w:p w14:paraId="521B7436"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5</w:t>
            </w:r>
          </w:p>
        </w:tc>
      </w:tr>
      <w:tr w:rsidR="0058604F" w:rsidRPr="0058604F" w14:paraId="1B242D7C" w14:textId="77777777" w:rsidTr="0058604F">
        <w:trPr>
          <w:trHeight w:val="450"/>
        </w:trPr>
        <w:tc>
          <w:tcPr>
            <w:tcW w:w="4700" w:type="dxa"/>
            <w:tcBorders>
              <w:top w:val="nil"/>
              <w:left w:val="nil"/>
              <w:bottom w:val="nil"/>
              <w:right w:val="nil"/>
            </w:tcBorders>
            <w:shd w:val="clear" w:color="auto" w:fill="auto"/>
            <w:vAlign w:val="center"/>
            <w:hideMark/>
          </w:tcPr>
          <w:p w14:paraId="57BD23A3"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Health Sector Support Program - Phase 3 (INL 121)</w:t>
            </w:r>
          </w:p>
        </w:tc>
        <w:tc>
          <w:tcPr>
            <w:tcW w:w="960" w:type="dxa"/>
            <w:tcBorders>
              <w:top w:val="nil"/>
              <w:left w:val="nil"/>
              <w:bottom w:val="nil"/>
              <w:right w:val="nil"/>
            </w:tcBorders>
            <w:shd w:val="clear" w:color="auto" w:fill="auto"/>
            <w:vAlign w:val="center"/>
            <w:hideMark/>
          </w:tcPr>
          <w:p w14:paraId="0E0D0ED8"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$66.0m</w:t>
            </w:r>
          </w:p>
        </w:tc>
        <w:tc>
          <w:tcPr>
            <w:tcW w:w="960" w:type="dxa"/>
            <w:tcBorders>
              <w:top w:val="nil"/>
              <w:left w:val="nil"/>
              <w:bottom w:val="nil"/>
              <w:right w:val="nil"/>
            </w:tcBorders>
            <w:shd w:val="clear" w:color="auto" w:fill="auto"/>
            <w:vAlign w:val="center"/>
            <w:hideMark/>
          </w:tcPr>
          <w:p w14:paraId="25FF2ACB"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2017 AQC</w:t>
            </w:r>
          </w:p>
        </w:tc>
        <w:tc>
          <w:tcPr>
            <w:tcW w:w="960" w:type="dxa"/>
            <w:tcBorders>
              <w:top w:val="nil"/>
              <w:left w:val="nil"/>
              <w:bottom w:val="nil"/>
              <w:right w:val="nil"/>
            </w:tcBorders>
            <w:shd w:val="clear" w:color="000000" w:fill="FFFF00"/>
            <w:noWrap/>
            <w:vAlign w:val="center"/>
            <w:hideMark/>
          </w:tcPr>
          <w:p w14:paraId="49197BAC"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71AA4BB9"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nil"/>
              <w:left w:val="nil"/>
              <w:bottom w:val="nil"/>
              <w:right w:val="nil"/>
            </w:tcBorders>
            <w:shd w:val="clear" w:color="000000" w:fill="FFC000"/>
            <w:noWrap/>
            <w:vAlign w:val="center"/>
            <w:hideMark/>
          </w:tcPr>
          <w:p w14:paraId="2D27FB09"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3</w:t>
            </w:r>
          </w:p>
        </w:tc>
        <w:tc>
          <w:tcPr>
            <w:tcW w:w="960" w:type="dxa"/>
            <w:tcBorders>
              <w:top w:val="nil"/>
              <w:left w:val="nil"/>
              <w:bottom w:val="nil"/>
              <w:right w:val="nil"/>
            </w:tcBorders>
            <w:shd w:val="clear" w:color="000000" w:fill="FFFF00"/>
            <w:noWrap/>
            <w:vAlign w:val="center"/>
            <w:hideMark/>
          </w:tcPr>
          <w:p w14:paraId="71D64170"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4399563B"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6C8DE8AD"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4</w:t>
            </w:r>
          </w:p>
        </w:tc>
      </w:tr>
      <w:tr w:rsidR="0058604F" w:rsidRPr="0058604F" w14:paraId="7E9E7FE7" w14:textId="77777777" w:rsidTr="0058604F">
        <w:trPr>
          <w:trHeight w:val="315"/>
        </w:trPr>
        <w:tc>
          <w:tcPr>
            <w:tcW w:w="4700" w:type="dxa"/>
            <w:tcBorders>
              <w:top w:val="nil"/>
              <w:left w:val="nil"/>
              <w:bottom w:val="single" w:sz="8" w:space="0" w:color="auto"/>
              <w:right w:val="nil"/>
            </w:tcBorders>
            <w:shd w:val="clear" w:color="auto" w:fill="auto"/>
            <w:vAlign w:val="center"/>
            <w:hideMark/>
          </w:tcPr>
          <w:p w14:paraId="55F1B29B" w14:textId="77777777" w:rsidR="0058604F" w:rsidRPr="0058604F" w:rsidRDefault="0058604F" w:rsidP="0058604F">
            <w:pPr>
              <w:suppressAutoHyphens w:val="0"/>
              <w:spacing w:before="0" w:after="0" w:line="240" w:lineRule="auto"/>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345DC5DE"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2016-20</w:t>
            </w:r>
          </w:p>
        </w:tc>
        <w:tc>
          <w:tcPr>
            <w:tcW w:w="960" w:type="dxa"/>
            <w:tcBorders>
              <w:top w:val="nil"/>
              <w:left w:val="nil"/>
              <w:bottom w:val="single" w:sz="8" w:space="0" w:color="auto"/>
              <w:right w:val="nil"/>
            </w:tcBorders>
            <w:shd w:val="clear" w:color="auto" w:fill="auto"/>
            <w:vAlign w:val="center"/>
            <w:hideMark/>
          </w:tcPr>
          <w:p w14:paraId="0C7C9C29" w14:textId="77777777" w:rsidR="0058604F" w:rsidRPr="0058604F" w:rsidRDefault="0058604F" w:rsidP="0058604F">
            <w:pPr>
              <w:suppressAutoHyphens w:val="0"/>
              <w:spacing w:before="0" w:after="0" w:line="240" w:lineRule="auto"/>
              <w:jc w:val="center"/>
              <w:rPr>
                <w:rFonts w:ascii="Calibri Light" w:eastAsia="Times New Roman" w:hAnsi="Calibri Light" w:cs="Times New Roman"/>
                <w:color w:val="auto"/>
                <w:sz w:val="17"/>
                <w:szCs w:val="17"/>
                <w:lang w:val="en-AU" w:eastAsia="en-AU"/>
              </w:rPr>
            </w:pPr>
            <w:r w:rsidRPr="0058604F">
              <w:rPr>
                <w:rFonts w:ascii="Calibri Light" w:eastAsia="Times New Roman" w:hAnsi="Calibri Light" w:cs="Times New Roman"/>
                <w:color w:val="auto"/>
                <w:sz w:val="17"/>
                <w:szCs w:val="17"/>
                <w:lang w:eastAsia="en-AU"/>
              </w:rPr>
              <w:t>2016 AQC</w:t>
            </w:r>
          </w:p>
        </w:tc>
        <w:tc>
          <w:tcPr>
            <w:tcW w:w="960" w:type="dxa"/>
            <w:tcBorders>
              <w:top w:val="nil"/>
              <w:left w:val="nil"/>
              <w:bottom w:val="single" w:sz="8" w:space="0" w:color="auto"/>
              <w:right w:val="nil"/>
            </w:tcBorders>
            <w:shd w:val="clear" w:color="auto" w:fill="auto"/>
            <w:noWrap/>
            <w:vAlign w:val="center"/>
            <w:hideMark/>
          </w:tcPr>
          <w:p w14:paraId="237F8173"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w:t>
            </w:r>
          </w:p>
        </w:tc>
        <w:tc>
          <w:tcPr>
            <w:tcW w:w="960" w:type="dxa"/>
            <w:tcBorders>
              <w:top w:val="nil"/>
              <w:left w:val="nil"/>
              <w:bottom w:val="single" w:sz="8" w:space="0" w:color="auto"/>
              <w:right w:val="nil"/>
            </w:tcBorders>
            <w:shd w:val="clear" w:color="auto" w:fill="auto"/>
            <w:noWrap/>
            <w:vAlign w:val="center"/>
            <w:hideMark/>
          </w:tcPr>
          <w:p w14:paraId="6D95E73A"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w:t>
            </w:r>
          </w:p>
        </w:tc>
        <w:tc>
          <w:tcPr>
            <w:tcW w:w="960" w:type="dxa"/>
            <w:tcBorders>
              <w:top w:val="nil"/>
              <w:left w:val="nil"/>
              <w:bottom w:val="single" w:sz="8" w:space="0" w:color="auto"/>
              <w:right w:val="nil"/>
            </w:tcBorders>
            <w:shd w:val="clear" w:color="auto" w:fill="auto"/>
            <w:noWrap/>
            <w:vAlign w:val="center"/>
            <w:hideMark/>
          </w:tcPr>
          <w:p w14:paraId="2AD47CBB"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w:t>
            </w:r>
          </w:p>
        </w:tc>
        <w:tc>
          <w:tcPr>
            <w:tcW w:w="960" w:type="dxa"/>
            <w:tcBorders>
              <w:top w:val="nil"/>
              <w:left w:val="nil"/>
              <w:bottom w:val="single" w:sz="8" w:space="0" w:color="auto"/>
              <w:right w:val="nil"/>
            </w:tcBorders>
            <w:shd w:val="clear" w:color="auto" w:fill="auto"/>
            <w:noWrap/>
            <w:vAlign w:val="center"/>
            <w:hideMark/>
          </w:tcPr>
          <w:p w14:paraId="34C1D1B3"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w:t>
            </w:r>
          </w:p>
        </w:tc>
        <w:tc>
          <w:tcPr>
            <w:tcW w:w="960" w:type="dxa"/>
            <w:tcBorders>
              <w:top w:val="nil"/>
              <w:left w:val="nil"/>
              <w:bottom w:val="single" w:sz="8" w:space="0" w:color="auto"/>
              <w:right w:val="nil"/>
            </w:tcBorders>
            <w:shd w:val="clear" w:color="auto" w:fill="auto"/>
            <w:noWrap/>
            <w:vAlign w:val="center"/>
            <w:hideMark/>
          </w:tcPr>
          <w:p w14:paraId="0A96899C"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w:t>
            </w:r>
          </w:p>
        </w:tc>
        <w:tc>
          <w:tcPr>
            <w:tcW w:w="960" w:type="dxa"/>
            <w:tcBorders>
              <w:top w:val="nil"/>
              <w:left w:val="nil"/>
              <w:bottom w:val="single" w:sz="8" w:space="0" w:color="auto"/>
              <w:right w:val="nil"/>
            </w:tcBorders>
            <w:shd w:val="clear" w:color="auto" w:fill="auto"/>
            <w:noWrap/>
            <w:vAlign w:val="center"/>
            <w:hideMark/>
          </w:tcPr>
          <w:p w14:paraId="4C29E762" w14:textId="77777777" w:rsidR="0058604F" w:rsidRPr="0058604F" w:rsidRDefault="0058604F" w:rsidP="0058604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58604F">
              <w:rPr>
                <w:rFonts w:ascii="Calibri Light" w:eastAsia="Times New Roman" w:hAnsi="Calibri Light" w:cs="Times New Roman"/>
                <w:color w:val="495965"/>
                <w:sz w:val="17"/>
                <w:szCs w:val="17"/>
                <w:lang w:eastAsia="en-AU"/>
              </w:rPr>
              <w:t>-</w:t>
            </w:r>
          </w:p>
        </w:tc>
      </w:tr>
    </w:tbl>
    <w:p w14:paraId="608D8268" w14:textId="77777777" w:rsidR="00EB750F" w:rsidRDefault="00EB750F">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2FD0BF80" w14:textId="48B4B0E3" w:rsidR="00400B0F" w:rsidRPr="00C61187"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r w:rsidRPr="00784031">
        <w:rPr>
          <w:rFonts w:asciiTheme="majorHAnsi" w:eastAsiaTheme="majorEastAsia" w:hAnsiTheme="majorHAnsi" w:cstheme="majorBidi"/>
          <w:caps/>
          <w:sz w:val="38"/>
          <w:szCs w:val="26"/>
        </w:rPr>
        <w:lastRenderedPageBreak/>
        <w:t>FAQC ratings</w:t>
      </w:r>
    </w:p>
    <w:p w14:paraId="764F64AB" w14:textId="77777777" w:rsidR="00400B0F" w:rsidRPr="00C61187" w:rsidRDefault="00400B0F" w:rsidP="00784031">
      <w:r w:rsidRPr="00C61187">
        <w:t>Final AQCs assess performance over the lifetime of the investment (ratings are not compared to previous years).</w:t>
      </w:r>
    </w:p>
    <w:tbl>
      <w:tblPr>
        <w:tblStyle w:val="APPR"/>
        <w:tblW w:w="5000" w:type="pct"/>
        <w:jc w:val="center"/>
        <w:tblLook w:val="0000" w:firstRow="0" w:lastRow="0" w:firstColumn="0" w:lastColumn="0" w:noHBand="0" w:noVBand="0"/>
      </w:tblPr>
      <w:tblGrid>
        <w:gridCol w:w="3384"/>
        <w:gridCol w:w="1216"/>
        <w:gridCol w:w="1236"/>
        <w:gridCol w:w="1233"/>
        <w:gridCol w:w="1233"/>
        <w:gridCol w:w="1227"/>
        <w:gridCol w:w="1233"/>
        <w:gridCol w:w="1228"/>
        <w:gridCol w:w="1234"/>
        <w:gridCol w:w="1236"/>
      </w:tblGrid>
      <w:tr w:rsidR="000917CD" w:rsidRPr="00C61187" w14:paraId="2E89A33D" w14:textId="77777777" w:rsidTr="002C5836">
        <w:trPr>
          <w:cnfStyle w:val="000000010000" w:firstRow="0" w:lastRow="0" w:firstColumn="0" w:lastColumn="0" w:oddVBand="0" w:evenVBand="0" w:oddHBand="0" w:evenHBand="1" w:firstRowFirstColumn="0" w:firstRowLastColumn="0" w:lastRowFirstColumn="0" w:lastRowLastColumn="0"/>
          <w:trHeight w:val="1530"/>
          <w:jc w:val="center"/>
        </w:trPr>
        <w:tc>
          <w:tcPr>
            <w:tcW w:w="1156" w:type="pct"/>
          </w:tcPr>
          <w:p w14:paraId="5ED5E5C9" w14:textId="77777777" w:rsidR="000917CD" w:rsidRPr="004A3D60" w:rsidRDefault="000917CD"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noProof/>
                <w:color w:val="auto"/>
                <w:szCs w:val="17"/>
                <w:lang w:val="en-AU"/>
              </w:rPr>
              <w:drawing>
                <wp:anchor distT="0" distB="0" distL="114300" distR="114300" simplePos="0" relativeHeight="251694080" behindDoc="0" locked="0" layoutInCell="1" allowOverlap="1" wp14:anchorId="6BD06365" wp14:editId="34820C8F">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D60">
              <w:rPr>
                <w:rFonts w:eastAsia="Times New Roman"/>
                <w:b/>
                <w:iCs/>
                <w:color w:val="auto"/>
                <w:szCs w:val="17"/>
              </w:rPr>
              <w:t>Investment name</w:t>
            </w:r>
          </w:p>
        </w:tc>
        <w:tc>
          <w:tcPr>
            <w:tcW w:w="411" w:type="pct"/>
            <w:textDirection w:val="btLr"/>
            <w:vAlign w:val="center"/>
          </w:tcPr>
          <w:p w14:paraId="4EDD3EFD" w14:textId="77777777" w:rsidR="000917CD" w:rsidRPr="004A3D60" w:rsidRDefault="000917CD"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Approved budget and duration</w:t>
            </w:r>
          </w:p>
        </w:tc>
        <w:tc>
          <w:tcPr>
            <w:tcW w:w="418" w:type="pct"/>
            <w:noWrap/>
            <w:textDirection w:val="btLr"/>
            <w:vAlign w:val="center"/>
          </w:tcPr>
          <w:p w14:paraId="18C64A20" w14:textId="77777777" w:rsidR="000917CD" w:rsidRPr="004A3D60" w:rsidRDefault="000917CD"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Overall rating</w:t>
            </w:r>
          </w:p>
        </w:tc>
        <w:tc>
          <w:tcPr>
            <w:tcW w:w="417" w:type="pct"/>
            <w:noWrap/>
            <w:textDirection w:val="btLr"/>
            <w:vAlign w:val="center"/>
          </w:tcPr>
          <w:p w14:paraId="0A167BC7" w14:textId="77777777" w:rsidR="000917CD" w:rsidRPr="004A3D60" w:rsidRDefault="000917CD"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Relevance</w:t>
            </w:r>
          </w:p>
        </w:tc>
        <w:tc>
          <w:tcPr>
            <w:tcW w:w="417" w:type="pct"/>
            <w:noWrap/>
            <w:textDirection w:val="btLr"/>
            <w:vAlign w:val="center"/>
          </w:tcPr>
          <w:p w14:paraId="1B974614" w14:textId="77777777" w:rsidR="000917CD" w:rsidRPr="004A3D60" w:rsidRDefault="000917CD"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Effectiveness</w:t>
            </w:r>
          </w:p>
        </w:tc>
        <w:tc>
          <w:tcPr>
            <w:tcW w:w="415" w:type="pct"/>
            <w:noWrap/>
            <w:textDirection w:val="btLr"/>
            <w:vAlign w:val="center"/>
          </w:tcPr>
          <w:p w14:paraId="15683D5E" w14:textId="77777777" w:rsidR="000917CD" w:rsidRPr="004A3D60" w:rsidRDefault="000917CD"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Efficiency</w:t>
            </w:r>
          </w:p>
        </w:tc>
        <w:tc>
          <w:tcPr>
            <w:tcW w:w="417" w:type="pct"/>
            <w:noWrap/>
            <w:textDirection w:val="btLr"/>
            <w:vAlign w:val="center"/>
          </w:tcPr>
          <w:p w14:paraId="5B06F94B" w14:textId="77777777" w:rsidR="000917CD" w:rsidRPr="004A3D60" w:rsidRDefault="000917CD"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Monitoring and Evaluation</w:t>
            </w:r>
          </w:p>
        </w:tc>
        <w:tc>
          <w:tcPr>
            <w:tcW w:w="415" w:type="pct"/>
            <w:noWrap/>
            <w:textDirection w:val="btLr"/>
            <w:vAlign w:val="center"/>
          </w:tcPr>
          <w:p w14:paraId="35968A4A" w14:textId="77777777" w:rsidR="000917CD" w:rsidRPr="004A3D60" w:rsidRDefault="000917CD"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Sustainability</w:t>
            </w:r>
          </w:p>
        </w:tc>
        <w:tc>
          <w:tcPr>
            <w:tcW w:w="417" w:type="pct"/>
            <w:textDirection w:val="btLr"/>
            <w:vAlign w:val="center"/>
          </w:tcPr>
          <w:p w14:paraId="6B43FCC4" w14:textId="77777777" w:rsidR="000917CD" w:rsidRPr="004A3D60" w:rsidRDefault="000917CD" w:rsidP="006F27B1">
            <w:pPr>
              <w:keepLines/>
              <w:spacing w:before="80" w:after="80" w:line="200" w:lineRule="atLeast"/>
              <w:rPr>
                <w:rFonts w:asciiTheme="minorHAnsi" w:eastAsia="Times New Roman" w:hAnsiTheme="minorHAnsi"/>
                <w:b/>
                <w:iCs/>
                <w:color w:val="auto"/>
                <w:szCs w:val="17"/>
                <w:lang w:eastAsia="en-US"/>
              </w:rPr>
            </w:pPr>
            <w:r w:rsidRPr="004A3D60">
              <w:rPr>
                <w:rFonts w:eastAsia="Times New Roman"/>
                <w:b/>
                <w:iCs/>
                <w:color w:val="auto"/>
                <w:szCs w:val="17"/>
              </w:rPr>
              <w:t>Gender equality</w:t>
            </w:r>
          </w:p>
        </w:tc>
        <w:tc>
          <w:tcPr>
            <w:tcW w:w="413" w:type="pct"/>
            <w:textDirection w:val="btLr"/>
            <w:vAlign w:val="center"/>
          </w:tcPr>
          <w:p w14:paraId="2A44DAC6" w14:textId="6B04887F" w:rsidR="000917CD" w:rsidRPr="004A3D60" w:rsidRDefault="000917CD" w:rsidP="006F27B1">
            <w:pPr>
              <w:keepLines/>
              <w:spacing w:before="80" w:after="80" w:line="200" w:lineRule="atLeast"/>
              <w:rPr>
                <w:rFonts w:asciiTheme="minorHAnsi" w:eastAsia="Times New Roman" w:hAnsiTheme="minorHAnsi"/>
                <w:b/>
                <w:iCs/>
                <w:color w:val="auto"/>
                <w:szCs w:val="17"/>
                <w:lang w:eastAsia="en-US"/>
              </w:rPr>
            </w:pPr>
          </w:p>
        </w:tc>
      </w:tr>
      <w:tr w:rsidR="000917CD" w:rsidRPr="00C61187" w14:paraId="6C6CF7E3" w14:textId="77777777" w:rsidTr="00E22076">
        <w:trPr>
          <w:cnfStyle w:val="000000010000" w:firstRow="0" w:lastRow="0" w:firstColumn="0" w:lastColumn="0" w:oddVBand="0" w:evenVBand="0" w:oddHBand="0" w:evenHBand="1" w:firstRowFirstColumn="0" w:firstRowLastColumn="0" w:lastRowFirstColumn="0" w:lastRowLastColumn="0"/>
          <w:trHeight w:val="288"/>
          <w:jc w:val="center"/>
        </w:trPr>
        <w:tc>
          <w:tcPr>
            <w:tcW w:w="1156" w:type="pct"/>
            <w:shd w:val="clear" w:color="auto" w:fill="auto"/>
          </w:tcPr>
          <w:p w14:paraId="714835AC" w14:textId="77777777" w:rsidR="000917CD" w:rsidRPr="003B0831" w:rsidRDefault="000917CD" w:rsidP="003B0831">
            <w:pPr>
              <w:keepLines/>
              <w:spacing w:before="0" w:after="40" w:line="200" w:lineRule="atLeast"/>
              <w:rPr>
                <w:rFonts w:asciiTheme="minorHAnsi" w:eastAsia="Times New Roman" w:hAnsiTheme="minorHAnsi"/>
                <w:iCs/>
                <w:szCs w:val="17"/>
              </w:rPr>
            </w:pPr>
            <w:r w:rsidRPr="003B0831">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Solomon Islands </w:t>
            </w:r>
            <w:r w:rsidRPr="003B0831">
              <w:rPr>
                <w:rFonts w:asciiTheme="minorHAnsi" w:eastAsia="Times New Roman" w:hAnsiTheme="minorHAnsi"/>
                <w:iCs/>
                <w:szCs w:val="17"/>
                <w:lang w:eastAsia="en-US"/>
              </w:rPr>
              <w:t>Democratic Governance (INK788)</w:t>
            </w:r>
          </w:p>
        </w:tc>
        <w:tc>
          <w:tcPr>
            <w:tcW w:w="411" w:type="pct"/>
            <w:shd w:val="clear" w:color="auto" w:fill="auto"/>
          </w:tcPr>
          <w:p w14:paraId="7A3FF181" w14:textId="77777777" w:rsidR="000917CD" w:rsidRPr="00BD4E04" w:rsidRDefault="000917CD" w:rsidP="003B0831">
            <w:pPr>
              <w:autoSpaceDE w:val="0"/>
              <w:autoSpaceDN w:val="0"/>
              <w:adjustRightInd w:val="0"/>
              <w:spacing w:before="0"/>
              <w:jc w:val="center"/>
              <w:rPr>
                <w:rFonts w:asciiTheme="minorHAnsi" w:eastAsia="Times New Roman" w:hAnsiTheme="minorHAnsi"/>
                <w:iCs/>
                <w:szCs w:val="17"/>
              </w:rPr>
            </w:pPr>
            <w:r>
              <w:rPr>
                <w:rFonts w:asciiTheme="minorHAnsi" w:eastAsia="Times New Roman" w:hAnsiTheme="minorHAnsi"/>
                <w:iCs/>
                <w:szCs w:val="17"/>
              </w:rPr>
              <w:t xml:space="preserve">$9.8m </w:t>
            </w:r>
            <w:r w:rsidR="00E46295">
              <w:rPr>
                <w:rFonts w:asciiTheme="minorHAnsi" w:eastAsia="Times New Roman" w:hAnsiTheme="minorHAnsi"/>
                <w:iCs/>
                <w:szCs w:val="17"/>
              </w:rPr>
              <w:t xml:space="preserve">   </w:t>
            </w:r>
            <w:r>
              <w:rPr>
                <w:rFonts w:asciiTheme="minorHAnsi" w:eastAsia="Times New Roman" w:hAnsiTheme="minorHAnsi"/>
                <w:iCs/>
                <w:szCs w:val="17"/>
              </w:rPr>
              <w:t>2013-17</w:t>
            </w:r>
          </w:p>
        </w:tc>
        <w:tc>
          <w:tcPr>
            <w:tcW w:w="418" w:type="pct"/>
            <w:shd w:val="clear" w:color="auto" w:fill="FFFF00"/>
            <w:noWrap/>
            <w:vAlign w:val="center"/>
          </w:tcPr>
          <w:p w14:paraId="0220E2F8"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92D050"/>
            <w:noWrap/>
            <w:vAlign w:val="center"/>
          </w:tcPr>
          <w:p w14:paraId="42AFF65F"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5</w:t>
            </w:r>
          </w:p>
        </w:tc>
        <w:tc>
          <w:tcPr>
            <w:tcW w:w="417" w:type="pct"/>
            <w:shd w:val="clear" w:color="auto" w:fill="FFFF00"/>
            <w:noWrap/>
            <w:vAlign w:val="center"/>
          </w:tcPr>
          <w:p w14:paraId="738B6FC8"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5" w:type="pct"/>
            <w:shd w:val="clear" w:color="auto" w:fill="FFFF00"/>
            <w:noWrap/>
            <w:vAlign w:val="center"/>
          </w:tcPr>
          <w:p w14:paraId="474C3142"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FFC000"/>
            <w:noWrap/>
            <w:vAlign w:val="center"/>
          </w:tcPr>
          <w:p w14:paraId="510A9681"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3</w:t>
            </w:r>
          </w:p>
        </w:tc>
        <w:tc>
          <w:tcPr>
            <w:tcW w:w="415" w:type="pct"/>
            <w:shd w:val="clear" w:color="auto" w:fill="FFFF00"/>
            <w:noWrap/>
            <w:vAlign w:val="center"/>
          </w:tcPr>
          <w:p w14:paraId="1E3CB16D"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FFC000"/>
            <w:vAlign w:val="center"/>
          </w:tcPr>
          <w:p w14:paraId="196F5EEB"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Pr>
                <w:rFonts w:asciiTheme="minorHAnsi" w:eastAsia="Times New Roman" w:hAnsiTheme="minorHAnsi"/>
                <w:iCs/>
                <w:szCs w:val="17"/>
              </w:rPr>
              <w:t>3</w:t>
            </w:r>
          </w:p>
        </w:tc>
        <w:tc>
          <w:tcPr>
            <w:tcW w:w="413" w:type="pct"/>
            <w:shd w:val="clear" w:color="auto" w:fill="auto"/>
          </w:tcPr>
          <w:p w14:paraId="60991950" w14:textId="27F5591D" w:rsidR="000917CD" w:rsidRPr="003B0831" w:rsidRDefault="000917CD" w:rsidP="003B0831">
            <w:pPr>
              <w:keepLines/>
              <w:spacing w:before="0" w:after="40" w:line="200" w:lineRule="atLeast"/>
              <w:jc w:val="center"/>
              <w:rPr>
                <w:rFonts w:asciiTheme="minorHAnsi" w:eastAsia="Times New Roman" w:hAnsiTheme="minorHAnsi"/>
                <w:iCs/>
                <w:szCs w:val="17"/>
              </w:rPr>
            </w:pPr>
          </w:p>
        </w:tc>
      </w:tr>
      <w:tr w:rsidR="000917CD" w:rsidRPr="00C61187" w14:paraId="5B6DE3D2" w14:textId="77777777" w:rsidTr="00E22076">
        <w:trPr>
          <w:cnfStyle w:val="000000010000" w:firstRow="0" w:lastRow="0" w:firstColumn="0" w:lastColumn="0" w:oddVBand="0" w:evenVBand="0" w:oddHBand="0" w:evenHBand="1" w:firstRowFirstColumn="0" w:firstRowLastColumn="0" w:lastRowFirstColumn="0" w:lastRowLastColumn="0"/>
          <w:trHeight w:val="288"/>
          <w:jc w:val="center"/>
        </w:trPr>
        <w:tc>
          <w:tcPr>
            <w:tcW w:w="1156" w:type="pct"/>
            <w:shd w:val="clear" w:color="auto" w:fill="auto"/>
          </w:tcPr>
          <w:p w14:paraId="2B6EB9E6" w14:textId="77777777" w:rsidR="000917CD" w:rsidRPr="003B0831" w:rsidRDefault="000917CD" w:rsidP="000917CD">
            <w:pPr>
              <w:keepLines/>
              <w:spacing w:before="0" w:after="40" w:line="200" w:lineRule="atLeast"/>
              <w:rPr>
                <w:rFonts w:asciiTheme="minorHAnsi" w:eastAsia="Times New Roman" w:hAnsiTheme="minorHAnsi"/>
                <w:iCs/>
                <w:szCs w:val="17"/>
              </w:rPr>
            </w:pPr>
            <w:r>
              <w:rPr>
                <w:rFonts w:asciiTheme="minorHAnsi" w:eastAsia="Times New Roman" w:hAnsiTheme="minorHAnsi"/>
                <w:iCs/>
                <w:szCs w:val="17"/>
              </w:rPr>
              <w:t xml:space="preserve">Solomon Islands </w:t>
            </w:r>
            <w:r w:rsidRPr="003B0831">
              <w:rPr>
                <w:rFonts w:asciiTheme="minorHAnsi" w:eastAsia="Times New Roman" w:hAnsiTheme="minorHAnsi"/>
                <w:iCs/>
                <w:szCs w:val="17"/>
              </w:rPr>
              <w:t>Justice Program</w:t>
            </w:r>
            <w:r>
              <w:rPr>
                <w:rFonts w:asciiTheme="minorHAnsi" w:eastAsia="Times New Roman" w:hAnsiTheme="minorHAnsi"/>
                <w:iCs/>
                <w:szCs w:val="17"/>
              </w:rPr>
              <w:t xml:space="preserve"> (INK867)</w:t>
            </w:r>
          </w:p>
        </w:tc>
        <w:tc>
          <w:tcPr>
            <w:tcW w:w="411" w:type="pct"/>
            <w:shd w:val="clear" w:color="auto" w:fill="auto"/>
          </w:tcPr>
          <w:p w14:paraId="51DE7EE6" w14:textId="77777777" w:rsidR="000917CD" w:rsidRPr="00BD4E04" w:rsidRDefault="000917CD" w:rsidP="000917CD">
            <w:pPr>
              <w:autoSpaceDE w:val="0"/>
              <w:autoSpaceDN w:val="0"/>
              <w:adjustRightInd w:val="0"/>
              <w:spacing w:before="0"/>
              <w:jc w:val="center"/>
              <w:rPr>
                <w:rFonts w:asciiTheme="minorHAnsi" w:eastAsia="Times New Roman" w:hAnsiTheme="minorHAnsi"/>
                <w:iCs/>
                <w:szCs w:val="17"/>
              </w:rPr>
            </w:pPr>
            <w:r>
              <w:rPr>
                <w:rFonts w:asciiTheme="minorHAnsi" w:eastAsia="Times New Roman" w:hAnsiTheme="minorHAnsi"/>
                <w:iCs/>
                <w:szCs w:val="17"/>
              </w:rPr>
              <w:t>$41.9</w:t>
            </w:r>
            <w:r w:rsidR="00E46295">
              <w:rPr>
                <w:rFonts w:asciiTheme="minorHAnsi" w:eastAsia="Times New Roman" w:hAnsiTheme="minorHAnsi"/>
                <w:iCs/>
                <w:szCs w:val="17"/>
              </w:rPr>
              <w:t>m</w:t>
            </w:r>
            <w:r>
              <w:rPr>
                <w:rFonts w:asciiTheme="minorHAnsi" w:eastAsia="Times New Roman" w:hAnsiTheme="minorHAnsi"/>
                <w:iCs/>
                <w:szCs w:val="17"/>
              </w:rPr>
              <w:t xml:space="preserve"> </w:t>
            </w:r>
            <w:r w:rsidR="00E46295">
              <w:rPr>
                <w:rFonts w:asciiTheme="minorHAnsi" w:eastAsia="Times New Roman" w:hAnsiTheme="minorHAnsi"/>
                <w:iCs/>
                <w:szCs w:val="17"/>
              </w:rPr>
              <w:t xml:space="preserve"> </w:t>
            </w:r>
            <w:r w:rsidRPr="00BD4E04">
              <w:rPr>
                <w:rFonts w:asciiTheme="minorHAnsi" w:eastAsia="Times New Roman" w:hAnsiTheme="minorHAnsi"/>
                <w:iCs/>
                <w:szCs w:val="17"/>
              </w:rPr>
              <w:t>2013-17</w:t>
            </w:r>
          </w:p>
        </w:tc>
        <w:tc>
          <w:tcPr>
            <w:tcW w:w="418" w:type="pct"/>
            <w:shd w:val="clear" w:color="auto" w:fill="FFFF00"/>
            <w:noWrap/>
            <w:vAlign w:val="center"/>
          </w:tcPr>
          <w:p w14:paraId="5FB72F4B" w14:textId="77777777" w:rsidR="000917CD" w:rsidRPr="003B0831" w:rsidRDefault="000917CD" w:rsidP="000917CD">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92D050"/>
            <w:noWrap/>
            <w:vAlign w:val="center"/>
          </w:tcPr>
          <w:p w14:paraId="119E461D" w14:textId="77777777" w:rsidR="000917CD" w:rsidRPr="003B0831" w:rsidRDefault="000917CD" w:rsidP="000917CD">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5</w:t>
            </w:r>
          </w:p>
        </w:tc>
        <w:tc>
          <w:tcPr>
            <w:tcW w:w="417" w:type="pct"/>
            <w:shd w:val="clear" w:color="auto" w:fill="FFFF00"/>
            <w:noWrap/>
            <w:vAlign w:val="center"/>
          </w:tcPr>
          <w:p w14:paraId="7FF46F4B" w14:textId="77777777" w:rsidR="000917CD" w:rsidRPr="003B0831" w:rsidRDefault="000917CD" w:rsidP="000917CD">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5" w:type="pct"/>
            <w:shd w:val="clear" w:color="auto" w:fill="FFFF00"/>
            <w:noWrap/>
            <w:vAlign w:val="center"/>
          </w:tcPr>
          <w:p w14:paraId="5F5E8941" w14:textId="77777777" w:rsidR="000917CD" w:rsidRPr="003B0831" w:rsidRDefault="000917CD" w:rsidP="000917CD">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FFC000"/>
            <w:noWrap/>
            <w:vAlign w:val="center"/>
          </w:tcPr>
          <w:p w14:paraId="48C469F0" w14:textId="77777777" w:rsidR="000917CD" w:rsidRPr="003B0831" w:rsidRDefault="000917CD" w:rsidP="000917CD">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3</w:t>
            </w:r>
          </w:p>
        </w:tc>
        <w:tc>
          <w:tcPr>
            <w:tcW w:w="415" w:type="pct"/>
            <w:shd w:val="clear" w:color="auto" w:fill="FFFF00"/>
            <w:noWrap/>
            <w:vAlign w:val="center"/>
          </w:tcPr>
          <w:p w14:paraId="32210889" w14:textId="77777777" w:rsidR="000917CD" w:rsidRPr="003B0831" w:rsidRDefault="000917CD" w:rsidP="000917CD">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FFFF00"/>
            <w:vAlign w:val="center"/>
          </w:tcPr>
          <w:p w14:paraId="38513C46" w14:textId="77777777" w:rsidR="000917CD" w:rsidRPr="003B0831" w:rsidRDefault="000917CD" w:rsidP="000917CD">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3" w:type="pct"/>
            <w:shd w:val="clear" w:color="auto" w:fill="auto"/>
          </w:tcPr>
          <w:p w14:paraId="1F820E5E" w14:textId="0A687372" w:rsidR="000917CD" w:rsidRPr="003B0831" w:rsidRDefault="000917CD" w:rsidP="000917CD">
            <w:pPr>
              <w:keepLines/>
              <w:spacing w:before="0" w:after="40" w:line="200" w:lineRule="atLeast"/>
              <w:jc w:val="center"/>
              <w:rPr>
                <w:rFonts w:asciiTheme="minorHAnsi" w:eastAsia="Times New Roman" w:hAnsiTheme="minorHAnsi"/>
                <w:iCs/>
                <w:szCs w:val="17"/>
              </w:rPr>
            </w:pPr>
          </w:p>
        </w:tc>
      </w:tr>
      <w:tr w:rsidR="000917CD" w:rsidRPr="00C61187" w14:paraId="0C13DF9A" w14:textId="77777777" w:rsidTr="00E22076">
        <w:trPr>
          <w:cnfStyle w:val="000000010000" w:firstRow="0" w:lastRow="0" w:firstColumn="0" w:lastColumn="0" w:oddVBand="0" w:evenVBand="0" w:oddHBand="0" w:evenHBand="1" w:firstRowFirstColumn="0" w:firstRowLastColumn="0" w:lastRowFirstColumn="0" w:lastRowLastColumn="0"/>
          <w:trHeight w:val="288"/>
          <w:jc w:val="center"/>
        </w:trPr>
        <w:tc>
          <w:tcPr>
            <w:tcW w:w="1156" w:type="pct"/>
            <w:shd w:val="clear" w:color="auto" w:fill="auto"/>
          </w:tcPr>
          <w:p w14:paraId="21C9C78F" w14:textId="77777777" w:rsidR="000917CD" w:rsidRPr="003B0831" w:rsidRDefault="000917CD" w:rsidP="003B0831">
            <w:pPr>
              <w:keepLines/>
              <w:spacing w:before="0" w:after="40" w:line="200" w:lineRule="atLeast"/>
              <w:rPr>
                <w:rFonts w:asciiTheme="minorHAnsi" w:eastAsia="Times New Roman" w:hAnsiTheme="minorHAnsi"/>
                <w:iCs/>
                <w:szCs w:val="17"/>
              </w:rPr>
            </w:pPr>
            <w:r w:rsidRPr="003B0831">
              <w:rPr>
                <w:rFonts w:asciiTheme="minorHAnsi" w:eastAsia="Times New Roman" w:hAnsiTheme="minorHAnsi"/>
                <w:iCs/>
                <w:szCs w:val="17"/>
              </w:rPr>
              <w:t xml:space="preserve">Economic and Public Sector Governance Program </w:t>
            </w:r>
            <w:r w:rsidR="00E46295">
              <w:rPr>
                <w:rFonts w:asciiTheme="minorHAnsi" w:eastAsia="Times New Roman" w:hAnsiTheme="minorHAnsi"/>
                <w:iCs/>
                <w:szCs w:val="17"/>
              </w:rPr>
              <w:t>(INL122)</w:t>
            </w:r>
          </w:p>
        </w:tc>
        <w:tc>
          <w:tcPr>
            <w:tcW w:w="411" w:type="pct"/>
            <w:shd w:val="clear" w:color="auto" w:fill="auto"/>
          </w:tcPr>
          <w:p w14:paraId="54F96B60" w14:textId="77777777" w:rsidR="000917CD" w:rsidRPr="00ED3BBE" w:rsidRDefault="000917CD" w:rsidP="003B0831">
            <w:pPr>
              <w:autoSpaceDE w:val="0"/>
              <w:autoSpaceDN w:val="0"/>
              <w:adjustRightInd w:val="0"/>
              <w:spacing w:before="0"/>
              <w:jc w:val="center"/>
              <w:rPr>
                <w:rFonts w:asciiTheme="minorHAnsi" w:eastAsia="Times New Roman" w:hAnsiTheme="minorHAnsi"/>
                <w:iCs/>
                <w:szCs w:val="17"/>
              </w:rPr>
            </w:pPr>
            <w:r w:rsidRPr="00ED3BBE">
              <w:rPr>
                <w:rFonts w:asciiTheme="minorHAnsi" w:eastAsia="Times New Roman" w:hAnsiTheme="minorHAnsi"/>
                <w:iCs/>
                <w:szCs w:val="17"/>
              </w:rPr>
              <w:t>$43.2</w:t>
            </w:r>
            <w:r w:rsidR="00E46295" w:rsidRPr="00ED3BBE">
              <w:rPr>
                <w:rFonts w:asciiTheme="minorHAnsi" w:eastAsia="Times New Roman" w:hAnsiTheme="minorHAnsi"/>
                <w:iCs/>
                <w:szCs w:val="17"/>
              </w:rPr>
              <w:t xml:space="preserve">m </w:t>
            </w:r>
            <w:r w:rsidRPr="00ED3BBE">
              <w:rPr>
                <w:rFonts w:asciiTheme="minorHAnsi" w:eastAsia="Times New Roman" w:hAnsiTheme="minorHAnsi"/>
                <w:iCs/>
                <w:szCs w:val="17"/>
              </w:rPr>
              <w:t xml:space="preserve"> 2013-17</w:t>
            </w:r>
          </w:p>
        </w:tc>
        <w:tc>
          <w:tcPr>
            <w:tcW w:w="418" w:type="pct"/>
            <w:shd w:val="clear" w:color="auto" w:fill="FFFF00"/>
            <w:noWrap/>
            <w:vAlign w:val="center"/>
          </w:tcPr>
          <w:p w14:paraId="7F992514"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92D050"/>
            <w:noWrap/>
            <w:vAlign w:val="center"/>
          </w:tcPr>
          <w:p w14:paraId="31305CFD"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5</w:t>
            </w:r>
          </w:p>
        </w:tc>
        <w:tc>
          <w:tcPr>
            <w:tcW w:w="417" w:type="pct"/>
            <w:shd w:val="clear" w:color="auto" w:fill="FFFF00"/>
            <w:noWrap/>
            <w:vAlign w:val="center"/>
          </w:tcPr>
          <w:p w14:paraId="276C1EF8"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5" w:type="pct"/>
            <w:shd w:val="clear" w:color="auto" w:fill="FFFF00"/>
            <w:noWrap/>
            <w:vAlign w:val="center"/>
          </w:tcPr>
          <w:p w14:paraId="79ECC763"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FFC000"/>
            <w:noWrap/>
            <w:vAlign w:val="center"/>
          </w:tcPr>
          <w:p w14:paraId="0BAA231E"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3</w:t>
            </w:r>
          </w:p>
        </w:tc>
        <w:tc>
          <w:tcPr>
            <w:tcW w:w="415" w:type="pct"/>
            <w:shd w:val="clear" w:color="auto" w:fill="FFFF00"/>
            <w:noWrap/>
            <w:vAlign w:val="center"/>
          </w:tcPr>
          <w:p w14:paraId="1911FD02"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FFC000"/>
            <w:vAlign w:val="center"/>
          </w:tcPr>
          <w:p w14:paraId="6223F7A9"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3</w:t>
            </w:r>
          </w:p>
        </w:tc>
        <w:tc>
          <w:tcPr>
            <w:tcW w:w="413" w:type="pct"/>
            <w:shd w:val="clear" w:color="auto" w:fill="auto"/>
          </w:tcPr>
          <w:p w14:paraId="18E1089B" w14:textId="6421A1F2" w:rsidR="000917CD" w:rsidRPr="003B0831" w:rsidRDefault="000917CD" w:rsidP="003B0831">
            <w:pPr>
              <w:keepLines/>
              <w:spacing w:before="0" w:after="40" w:line="200" w:lineRule="atLeast"/>
              <w:jc w:val="center"/>
              <w:rPr>
                <w:rFonts w:asciiTheme="minorHAnsi" w:eastAsia="Times New Roman" w:hAnsiTheme="minorHAnsi"/>
                <w:iCs/>
                <w:szCs w:val="17"/>
              </w:rPr>
            </w:pPr>
          </w:p>
        </w:tc>
      </w:tr>
      <w:tr w:rsidR="000917CD" w:rsidRPr="00C61187" w14:paraId="2C62BD09" w14:textId="77777777" w:rsidTr="00E22076">
        <w:trPr>
          <w:cnfStyle w:val="000000010000" w:firstRow="0" w:lastRow="0" w:firstColumn="0" w:lastColumn="0" w:oddVBand="0" w:evenVBand="0" w:oddHBand="0" w:evenHBand="1" w:firstRowFirstColumn="0" w:firstRowLastColumn="0" w:lastRowFirstColumn="0" w:lastRowLastColumn="0"/>
          <w:trHeight w:val="288"/>
          <w:jc w:val="center"/>
        </w:trPr>
        <w:tc>
          <w:tcPr>
            <w:tcW w:w="1156" w:type="pct"/>
            <w:shd w:val="clear" w:color="auto" w:fill="auto"/>
          </w:tcPr>
          <w:p w14:paraId="7175E0BF" w14:textId="77777777" w:rsidR="000917CD" w:rsidRPr="003B0831" w:rsidRDefault="000917CD" w:rsidP="003B0831">
            <w:pPr>
              <w:keepLines/>
              <w:spacing w:before="0" w:after="40" w:line="200" w:lineRule="atLeast"/>
              <w:rPr>
                <w:rFonts w:asciiTheme="minorHAnsi" w:eastAsia="Times New Roman" w:hAnsiTheme="minorHAnsi"/>
                <w:iCs/>
                <w:szCs w:val="17"/>
              </w:rPr>
            </w:pPr>
            <w:r w:rsidRPr="003B0831">
              <w:rPr>
                <w:rFonts w:asciiTheme="minorHAnsi" w:eastAsia="Times New Roman" w:hAnsiTheme="minorHAnsi"/>
                <w:iCs/>
                <w:szCs w:val="17"/>
              </w:rPr>
              <w:t>Kastom Gaden Association (INJ711)</w:t>
            </w:r>
          </w:p>
        </w:tc>
        <w:tc>
          <w:tcPr>
            <w:tcW w:w="411" w:type="pct"/>
            <w:shd w:val="clear" w:color="auto" w:fill="auto"/>
          </w:tcPr>
          <w:p w14:paraId="523BFC5E" w14:textId="77777777" w:rsidR="000917CD" w:rsidRPr="00ED3BBE" w:rsidRDefault="000917CD" w:rsidP="003B0831">
            <w:pPr>
              <w:autoSpaceDE w:val="0"/>
              <w:autoSpaceDN w:val="0"/>
              <w:adjustRightInd w:val="0"/>
              <w:spacing w:before="0"/>
              <w:jc w:val="center"/>
              <w:rPr>
                <w:rFonts w:asciiTheme="minorHAnsi" w:eastAsia="Times New Roman" w:hAnsiTheme="minorHAnsi"/>
                <w:iCs/>
                <w:szCs w:val="17"/>
              </w:rPr>
            </w:pPr>
            <w:r w:rsidRPr="00ED3BBE">
              <w:rPr>
                <w:rFonts w:asciiTheme="minorHAnsi" w:eastAsia="Times New Roman" w:hAnsiTheme="minorHAnsi"/>
                <w:iCs/>
                <w:szCs w:val="17"/>
              </w:rPr>
              <w:t xml:space="preserve">$3.6m </w:t>
            </w:r>
            <w:r w:rsidR="00E46295" w:rsidRPr="00ED3BBE">
              <w:rPr>
                <w:rFonts w:asciiTheme="minorHAnsi" w:eastAsia="Times New Roman" w:hAnsiTheme="minorHAnsi"/>
                <w:iCs/>
                <w:szCs w:val="17"/>
              </w:rPr>
              <w:t xml:space="preserve">   </w:t>
            </w:r>
            <w:r w:rsidRPr="00ED3BBE">
              <w:rPr>
                <w:rFonts w:asciiTheme="minorHAnsi" w:eastAsia="Times New Roman" w:hAnsiTheme="minorHAnsi"/>
                <w:iCs/>
                <w:szCs w:val="17"/>
              </w:rPr>
              <w:t>2010-17</w:t>
            </w:r>
          </w:p>
        </w:tc>
        <w:tc>
          <w:tcPr>
            <w:tcW w:w="418" w:type="pct"/>
            <w:shd w:val="clear" w:color="auto" w:fill="FFFF00"/>
            <w:noWrap/>
            <w:vAlign w:val="center"/>
          </w:tcPr>
          <w:p w14:paraId="624D7B16"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FFFF00"/>
            <w:noWrap/>
            <w:vAlign w:val="center"/>
          </w:tcPr>
          <w:p w14:paraId="5177EC22"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FFC000"/>
            <w:noWrap/>
            <w:vAlign w:val="center"/>
          </w:tcPr>
          <w:p w14:paraId="00AAB8D6"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3</w:t>
            </w:r>
          </w:p>
        </w:tc>
        <w:tc>
          <w:tcPr>
            <w:tcW w:w="415" w:type="pct"/>
            <w:shd w:val="clear" w:color="auto" w:fill="FFC000"/>
            <w:noWrap/>
            <w:vAlign w:val="center"/>
          </w:tcPr>
          <w:p w14:paraId="30818D1C"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3</w:t>
            </w:r>
          </w:p>
        </w:tc>
        <w:tc>
          <w:tcPr>
            <w:tcW w:w="417" w:type="pct"/>
            <w:shd w:val="clear" w:color="auto" w:fill="FF0000"/>
            <w:noWrap/>
            <w:vAlign w:val="center"/>
          </w:tcPr>
          <w:p w14:paraId="750F3AD2"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2</w:t>
            </w:r>
          </w:p>
        </w:tc>
        <w:tc>
          <w:tcPr>
            <w:tcW w:w="415" w:type="pct"/>
            <w:shd w:val="clear" w:color="auto" w:fill="FFC000"/>
            <w:noWrap/>
            <w:vAlign w:val="center"/>
          </w:tcPr>
          <w:p w14:paraId="645072D9"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3</w:t>
            </w:r>
          </w:p>
        </w:tc>
        <w:tc>
          <w:tcPr>
            <w:tcW w:w="417" w:type="pct"/>
            <w:shd w:val="clear" w:color="auto" w:fill="FFC000"/>
            <w:vAlign w:val="center"/>
          </w:tcPr>
          <w:p w14:paraId="7D52EE48"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3</w:t>
            </w:r>
          </w:p>
        </w:tc>
        <w:tc>
          <w:tcPr>
            <w:tcW w:w="413" w:type="pct"/>
            <w:shd w:val="clear" w:color="auto" w:fill="auto"/>
          </w:tcPr>
          <w:p w14:paraId="718C3F3B" w14:textId="794EB054" w:rsidR="000917CD" w:rsidRPr="003B0831" w:rsidRDefault="000917CD" w:rsidP="003B0831">
            <w:pPr>
              <w:keepLines/>
              <w:spacing w:before="0" w:after="40" w:line="200" w:lineRule="atLeast"/>
              <w:jc w:val="center"/>
              <w:rPr>
                <w:rFonts w:asciiTheme="minorHAnsi" w:eastAsia="Times New Roman" w:hAnsiTheme="minorHAnsi"/>
                <w:iCs/>
                <w:szCs w:val="17"/>
              </w:rPr>
            </w:pPr>
          </w:p>
        </w:tc>
      </w:tr>
      <w:tr w:rsidR="000917CD" w:rsidRPr="00C61187" w14:paraId="0C2B3912" w14:textId="77777777" w:rsidTr="00E22076">
        <w:trPr>
          <w:cnfStyle w:val="000000010000" w:firstRow="0" w:lastRow="0" w:firstColumn="0" w:lastColumn="0" w:oddVBand="0" w:evenVBand="0" w:oddHBand="0" w:evenHBand="1" w:firstRowFirstColumn="0" w:firstRowLastColumn="0" w:lastRowFirstColumn="0" w:lastRowLastColumn="0"/>
          <w:trHeight w:val="288"/>
          <w:jc w:val="center"/>
        </w:trPr>
        <w:tc>
          <w:tcPr>
            <w:tcW w:w="1156" w:type="pct"/>
            <w:shd w:val="clear" w:color="auto" w:fill="auto"/>
          </w:tcPr>
          <w:p w14:paraId="62FACCD2" w14:textId="77777777" w:rsidR="000917CD" w:rsidRPr="003B0831" w:rsidRDefault="000917CD" w:rsidP="003B0831">
            <w:pPr>
              <w:keepLines/>
              <w:spacing w:before="0" w:after="40" w:line="200" w:lineRule="atLeast"/>
              <w:rPr>
                <w:rFonts w:asciiTheme="minorHAnsi" w:eastAsia="Times New Roman" w:hAnsiTheme="minorHAnsi"/>
                <w:iCs/>
                <w:szCs w:val="17"/>
              </w:rPr>
            </w:pPr>
            <w:r w:rsidRPr="003B0831">
              <w:rPr>
                <w:rFonts w:asciiTheme="minorHAnsi" w:eastAsia="Times New Roman" w:hAnsiTheme="minorHAnsi"/>
                <w:iCs/>
                <w:szCs w:val="17"/>
              </w:rPr>
              <w:t xml:space="preserve">Energy Sector – Tina River Hydro (INK466) </w:t>
            </w:r>
          </w:p>
        </w:tc>
        <w:tc>
          <w:tcPr>
            <w:tcW w:w="411" w:type="pct"/>
            <w:shd w:val="clear" w:color="auto" w:fill="auto"/>
          </w:tcPr>
          <w:p w14:paraId="4A908A3A" w14:textId="77777777" w:rsidR="000917CD" w:rsidRPr="00ED3BBE" w:rsidRDefault="000917CD" w:rsidP="003B0831">
            <w:pPr>
              <w:autoSpaceDE w:val="0"/>
              <w:autoSpaceDN w:val="0"/>
              <w:adjustRightInd w:val="0"/>
              <w:spacing w:before="0"/>
              <w:jc w:val="center"/>
              <w:rPr>
                <w:rFonts w:asciiTheme="minorHAnsi" w:eastAsia="Times New Roman" w:hAnsiTheme="minorHAnsi"/>
                <w:iCs/>
                <w:szCs w:val="17"/>
              </w:rPr>
            </w:pPr>
            <w:r w:rsidRPr="00ED3BBE">
              <w:rPr>
                <w:rFonts w:asciiTheme="minorHAnsi" w:eastAsia="Times New Roman" w:hAnsiTheme="minorHAnsi"/>
                <w:iCs/>
                <w:szCs w:val="17"/>
              </w:rPr>
              <w:t xml:space="preserve">$5.3m </w:t>
            </w:r>
            <w:r w:rsidR="00E46295" w:rsidRPr="00ED3BBE">
              <w:rPr>
                <w:rFonts w:asciiTheme="minorHAnsi" w:eastAsia="Times New Roman" w:hAnsiTheme="minorHAnsi"/>
                <w:iCs/>
                <w:szCs w:val="17"/>
              </w:rPr>
              <w:t xml:space="preserve">   </w:t>
            </w:r>
            <w:r w:rsidRPr="00ED3BBE">
              <w:rPr>
                <w:rFonts w:asciiTheme="minorHAnsi" w:eastAsia="Times New Roman" w:hAnsiTheme="minorHAnsi"/>
                <w:iCs/>
                <w:szCs w:val="17"/>
              </w:rPr>
              <w:t>2012-17</w:t>
            </w:r>
          </w:p>
        </w:tc>
        <w:tc>
          <w:tcPr>
            <w:tcW w:w="418" w:type="pct"/>
            <w:shd w:val="clear" w:color="auto" w:fill="FFFF00"/>
            <w:noWrap/>
            <w:vAlign w:val="center"/>
          </w:tcPr>
          <w:p w14:paraId="2613A92A"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92D050"/>
            <w:noWrap/>
            <w:vAlign w:val="center"/>
          </w:tcPr>
          <w:p w14:paraId="5B4D7EC8"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5</w:t>
            </w:r>
          </w:p>
        </w:tc>
        <w:tc>
          <w:tcPr>
            <w:tcW w:w="417" w:type="pct"/>
            <w:shd w:val="clear" w:color="auto" w:fill="92D050"/>
            <w:noWrap/>
            <w:vAlign w:val="center"/>
          </w:tcPr>
          <w:p w14:paraId="4705A648"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5</w:t>
            </w:r>
          </w:p>
        </w:tc>
        <w:tc>
          <w:tcPr>
            <w:tcW w:w="415" w:type="pct"/>
            <w:shd w:val="clear" w:color="auto" w:fill="FFC000"/>
            <w:noWrap/>
            <w:vAlign w:val="center"/>
          </w:tcPr>
          <w:p w14:paraId="3EC8FA03"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3</w:t>
            </w:r>
          </w:p>
        </w:tc>
        <w:tc>
          <w:tcPr>
            <w:tcW w:w="417" w:type="pct"/>
            <w:shd w:val="clear" w:color="auto" w:fill="FFC000"/>
            <w:noWrap/>
            <w:vAlign w:val="center"/>
          </w:tcPr>
          <w:p w14:paraId="3F2C2779"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3</w:t>
            </w:r>
          </w:p>
        </w:tc>
        <w:tc>
          <w:tcPr>
            <w:tcW w:w="415" w:type="pct"/>
            <w:shd w:val="clear" w:color="auto" w:fill="FFFF00"/>
            <w:noWrap/>
            <w:vAlign w:val="center"/>
          </w:tcPr>
          <w:p w14:paraId="1BF31364"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92D050"/>
            <w:vAlign w:val="center"/>
          </w:tcPr>
          <w:p w14:paraId="573BB347"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5</w:t>
            </w:r>
          </w:p>
        </w:tc>
        <w:tc>
          <w:tcPr>
            <w:tcW w:w="413" w:type="pct"/>
            <w:shd w:val="clear" w:color="auto" w:fill="auto"/>
          </w:tcPr>
          <w:p w14:paraId="28597D5E" w14:textId="5ACF8A8A" w:rsidR="000917CD" w:rsidRPr="003B0831" w:rsidRDefault="000917CD" w:rsidP="003B0831">
            <w:pPr>
              <w:keepLines/>
              <w:spacing w:before="0" w:after="40" w:line="200" w:lineRule="atLeast"/>
              <w:jc w:val="center"/>
              <w:rPr>
                <w:rFonts w:asciiTheme="minorHAnsi" w:eastAsia="Times New Roman" w:hAnsiTheme="minorHAnsi"/>
                <w:iCs/>
                <w:szCs w:val="17"/>
              </w:rPr>
            </w:pPr>
          </w:p>
        </w:tc>
      </w:tr>
      <w:tr w:rsidR="000917CD" w:rsidRPr="00C61187" w14:paraId="015F9B6F" w14:textId="77777777" w:rsidTr="00E22076">
        <w:trPr>
          <w:cnfStyle w:val="000000010000" w:firstRow="0" w:lastRow="0" w:firstColumn="0" w:lastColumn="0" w:oddVBand="0" w:evenVBand="0" w:oddHBand="0" w:evenHBand="1" w:firstRowFirstColumn="0" w:firstRowLastColumn="0" w:lastRowFirstColumn="0" w:lastRowLastColumn="0"/>
          <w:trHeight w:val="288"/>
          <w:jc w:val="center"/>
        </w:trPr>
        <w:tc>
          <w:tcPr>
            <w:tcW w:w="1156" w:type="pct"/>
            <w:shd w:val="clear" w:color="auto" w:fill="auto"/>
          </w:tcPr>
          <w:p w14:paraId="71392AAC" w14:textId="77777777" w:rsidR="000917CD" w:rsidRPr="003B0831" w:rsidRDefault="000917CD" w:rsidP="003B0831">
            <w:pPr>
              <w:keepLines/>
              <w:spacing w:before="0" w:after="40" w:line="200" w:lineRule="atLeast"/>
              <w:rPr>
                <w:rFonts w:asciiTheme="minorHAnsi" w:eastAsia="Times New Roman" w:hAnsiTheme="minorHAnsi"/>
                <w:iCs/>
                <w:szCs w:val="17"/>
              </w:rPr>
            </w:pPr>
            <w:r w:rsidRPr="003B0831">
              <w:rPr>
                <w:rFonts w:asciiTheme="minorHAnsi" w:eastAsia="Times New Roman" w:hAnsiTheme="minorHAnsi"/>
                <w:iCs/>
                <w:szCs w:val="17"/>
              </w:rPr>
              <w:t xml:space="preserve">Transport Sector Phase 1 (INJ485) </w:t>
            </w:r>
          </w:p>
        </w:tc>
        <w:tc>
          <w:tcPr>
            <w:tcW w:w="411" w:type="pct"/>
            <w:shd w:val="clear" w:color="auto" w:fill="auto"/>
          </w:tcPr>
          <w:p w14:paraId="3926FF19" w14:textId="77777777" w:rsidR="000917CD" w:rsidRPr="00ED3BBE" w:rsidRDefault="000917CD" w:rsidP="003B0831">
            <w:pPr>
              <w:autoSpaceDE w:val="0"/>
              <w:autoSpaceDN w:val="0"/>
              <w:adjustRightInd w:val="0"/>
              <w:spacing w:before="0"/>
              <w:jc w:val="center"/>
              <w:rPr>
                <w:rFonts w:asciiTheme="minorHAnsi" w:eastAsia="Times New Roman" w:hAnsiTheme="minorHAnsi"/>
                <w:iCs/>
                <w:szCs w:val="17"/>
              </w:rPr>
            </w:pPr>
            <w:r w:rsidRPr="00ED3BBE">
              <w:rPr>
                <w:rFonts w:asciiTheme="minorHAnsi" w:eastAsia="Times New Roman" w:hAnsiTheme="minorHAnsi"/>
                <w:iCs/>
                <w:szCs w:val="17"/>
              </w:rPr>
              <w:t xml:space="preserve">$37.9m </w:t>
            </w:r>
            <w:r w:rsidR="00E46295" w:rsidRPr="00ED3BBE">
              <w:rPr>
                <w:rFonts w:asciiTheme="minorHAnsi" w:eastAsia="Times New Roman" w:hAnsiTheme="minorHAnsi"/>
                <w:iCs/>
                <w:szCs w:val="17"/>
              </w:rPr>
              <w:t xml:space="preserve"> </w:t>
            </w:r>
            <w:r w:rsidRPr="00ED3BBE">
              <w:rPr>
                <w:rFonts w:asciiTheme="minorHAnsi" w:eastAsia="Times New Roman" w:hAnsiTheme="minorHAnsi"/>
                <w:iCs/>
                <w:szCs w:val="17"/>
              </w:rPr>
              <w:t>2010-16</w:t>
            </w:r>
          </w:p>
        </w:tc>
        <w:tc>
          <w:tcPr>
            <w:tcW w:w="418" w:type="pct"/>
            <w:shd w:val="clear" w:color="auto" w:fill="92D050"/>
            <w:noWrap/>
            <w:vAlign w:val="center"/>
          </w:tcPr>
          <w:p w14:paraId="28152A3D"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5</w:t>
            </w:r>
          </w:p>
        </w:tc>
        <w:tc>
          <w:tcPr>
            <w:tcW w:w="417" w:type="pct"/>
            <w:shd w:val="clear" w:color="auto" w:fill="92D050"/>
            <w:noWrap/>
            <w:vAlign w:val="center"/>
          </w:tcPr>
          <w:p w14:paraId="4F023CED"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6</w:t>
            </w:r>
          </w:p>
        </w:tc>
        <w:tc>
          <w:tcPr>
            <w:tcW w:w="417" w:type="pct"/>
            <w:shd w:val="clear" w:color="auto" w:fill="92D050"/>
            <w:noWrap/>
            <w:vAlign w:val="center"/>
          </w:tcPr>
          <w:p w14:paraId="23E836FA"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5</w:t>
            </w:r>
          </w:p>
        </w:tc>
        <w:tc>
          <w:tcPr>
            <w:tcW w:w="415" w:type="pct"/>
            <w:shd w:val="clear" w:color="auto" w:fill="FFFF00"/>
            <w:noWrap/>
            <w:vAlign w:val="center"/>
          </w:tcPr>
          <w:p w14:paraId="1E91D75C"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shd w:val="clear" w:color="auto" w:fill="92D050"/>
            <w:noWrap/>
            <w:vAlign w:val="center"/>
          </w:tcPr>
          <w:p w14:paraId="5BFFA349"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5</w:t>
            </w:r>
          </w:p>
        </w:tc>
        <w:tc>
          <w:tcPr>
            <w:tcW w:w="415" w:type="pct"/>
            <w:shd w:val="clear" w:color="auto" w:fill="92D050"/>
            <w:noWrap/>
            <w:vAlign w:val="center"/>
          </w:tcPr>
          <w:p w14:paraId="79281091"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5</w:t>
            </w:r>
          </w:p>
        </w:tc>
        <w:tc>
          <w:tcPr>
            <w:tcW w:w="417" w:type="pct"/>
            <w:shd w:val="clear" w:color="auto" w:fill="92D050"/>
            <w:vAlign w:val="center"/>
          </w:tcPr>
          <w:p w14:paraId="11107DD8"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5</w:t>
            </w:r>
          </w:p>
        </w:tc>
        <w:tc>
          <w:tcPr>
            <w:tcW w:w="413" w:type="pct"/>
            <w:shd w:val="clear" w:color="auto" w:fill="auto"/>
          </w:tcPr>
          <w:p w14:paraId="40B881FD" w14:textId="6702AC11" w:rsidR="000917CD" w:rsidRPr="003B0831" w:rsidRDefault="000917CD" w:rsidP="003B0831">
            <w:pPr>
              <w:keepLines/>
              <w:spacing w:before="0" w:after="40" w:line="200" w:lineRule="atLeast"/>
              <w:jc w:val="center"/>
              <w:rPr>
                <w:rFonts w:asciiTheme="minorHAnsi" w:eastAsia="Times New Roman" w:hAnsiTheme="minorHAnsi"/>
                <w:iCs/>
                <w:szCs w:val="17"/>
              </w:rPr>
            </w:pPr>
          </w:p>
        </w:tc>
      </w:tr>
      <w:tr w:rsidR="000917CD" w:rsidRPr="00C61187" w14:paraId="64C158B7" w14:textId="77777777" w:rsidTr="00E22076">
        <w:trPr>
          <w:cnfStyle w:val="000000010000" w:firstRow="0" w:lastRow="0" w:firstColumn="0" w:lastColumn="0" w:oddVBand="0" w:evenVBand="0" w:oddHBand="0" w:evenHBand="1" w:firstRowFirstColumn="0" w:firstRowLastColumn="0" w:lastRowFirstColumn="0" w:lastRowLastColumn="0"/>
          <w:trHeight w:val="288"/>
          <w:jc w:val="center"/>
        </w:trPr>
        <w:tc>
          <w:tcPr>
            <w:tcW w:w="1156" w:type="pct"/>
            <w:shd w:val="clear" w:color="auto" w:fill="auto"/>
          </w:tcPr>
          <w:p w14:paraId="4BDAA09B" w14:textId="77777777" w:rsidR="000917CD" w:rsidRPr="003B0831" w:rsidRDefault="000917CD" w:rsidP="003B0831">
            <w:pPr>
              <w:keepLines/>
              <w:spacing w:before="0" w:after="40" w:line="200" w:lineRule="atLeast"/>
              <w:rPr>
                <w:rFonts w:asciiTheme="minorHAnsi" w:eastAsia="Times New Roman" w:hAnsiTheme="minorHAnsi"/>
                <w:iCs/>
                <w:szCs w:val="17"/>
              </w:rPr>
            </w:pPr>
            <w:r w:rsidRPr="003B0831">
              <w:rPr>
                <w:rFonts w:asciiTheme="minorHAnsi" w:eastAsia="Times New Roman" w:hAnsiTheme="minorHAnsi"/>
                <w:iCs/>
                <w:szCs w:val="17"/>
              </w:rPr>
              <w:t xml:space="preserve">Statistics Support Program (INL127) </w:t>
            </w:r>
          </w:p>
        </w:tc>
        <w:tc>
          <w:tcPr>
            <w:tcW w:w="411" w:type="pct"/>
            <w:shd w:val="clear" w:color="auto" w:fill="auto"/>
          </w:tcPr>
          <w:p w14:paraId="1D502564" w14:textId="77777777" w:rsidR="000917CD" w:rsidRPr="00ED3BBE" w:rsidRDefault="000917CD" w:rsidP="003B0831">
            <w:pPr>
              <w:autoSpaceDE w:val="0"/>
              <w:autoSpaceDN w:val="0"/>
              <w:adjustRightInd w:val="0"/>
              <w:spacing w:before="0"/>
              <w:jc w:val="center"/>
              <w:rPr>
                <w:rFonts w:asciiTheme="minorHAnsi" w:eastAsia="Times New Roman" w:hAnsiTheme="minorHAnsi"/>
                <w:iCs/>
                <w:szCs w:val="17"/>
              </w:rPr>
            </w:pPr>
            <w:r w:rsidRPr="00ED3BBE">
              <w:rPr>
                <w:rFonts w:asciiTheme="minorHAnsi" w:eastAsia="Times New Roman" w:hAnsiTheme="minorHAnsi"/>
                <w:iCs/>
                <w:szCs w:val="17"/>
              </w:rPr>
              <w:t xml:space="preserve">$4.4m </w:t>
            </w:r>
            <w:r w:rsidR="00E46295" w:rsidRPr="00ED3BBE">
              <w:rPr>
                <w:rFonts w:asciiTheme="minorHAnsi" w:eastAsia="Times New Roman" w:hAnsiTheme="minorHAnsi"/>
                <w:iCs/>
                <w:szCs w:val="17"/>
              </w:rPr>
              <w:t xml:space="preserve">   </w:t>
            </w:r>
            <w:r w:rsidRPr="00ED3BBE">
              <w:rPr>
                <w:rFonts w:asciiTheme="minorHAnsi" w:eastAsia="Times New Roman" w:hAnsiTheme="minorHAnsi"/>
                <w:iCs/>
                <w:szCs w:val="17"/>
              </w:rPr>
              <w:t>2013-17</w:t>
            </w:r>
          </w:p>
        </w:tc>
        <w:tc>
          <w:tcPr>
            <w:tcW w:w="418" w:type="pct"/>
            <w:tcBorders>
              <w:bottom w:val="single" w:sz="12" w:space="0" w:color="000000" w:themeColor="text1"/>
            </w:tcBorders>
            <w:shd w:val="clear" w:color="auto" w:fill="FFFF00"/>
            <w:noWrap/>
            <w:vAlign w:val="center"/>
          </w:tcPr>
          <w:p w14:paraId="26B72C6B"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tcBorders>
              <w:bottom w:val="single" w:sz="12" w:space="0" w:color="000000" w:themeColor="text1"/>
            </w:tcBorders>
            <w:shd w:val="clear" w:color="auto" w:fill="FFFF00"/>
            <w:noWrap/>
            <w:vAlign w:val="center"/>
          </w:tcPr>
          <w:p w14:paraId="5C2FDC76"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tcBorders>
              <w:bottom w:val="single" w:sz="12" w:space="0" w:color="000000" w:themeColor="text1"/>
            </w:tcBorders>
            <w:shd w:val="clear" w:color="auto" w:fill="FFC000"/>
            <w:noWrap/>
            <w:vAlign w:val="center"/>
          </w:tcPr>
          <w:p w14:paraId="332981AB"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Pr>
                <w:rFonts w:asciiTheme="minorHAnsi" w:eastAsia="Times New Roman" w:hAnsiTheme="minorHAnsi"/>
                <w:iCs/>
                <w:szCs w:val="17"/>
              </w:rPr>
              <w:t>3</w:t>
            </w:r>
          </w:p>
        </w:tc>
        <w:tc>
          <w:tcPr>
            <w:tcW w:w="415" w:type="pct"/>
            <w:tcBorders>
              <w:bottom w:val="single" w:sz="12" w:space="0" w:color="000000" w:themeColor="text1"/>
            </w:tcBorders>
            <w:shd w:val="clear" w:color="auto" w:fill="FFFF00"/>
            <w:noWrap/>
            <w:vAlign w:val="center"/>
          </w:tcPr>
          <w:p w14:paraId="5A605F0D"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7" w:type="pct"/>
            <w:tcBorders>
              <w:bottom w:val="single" w:sz="12" w:space="0" w:color="000000" w:themeColor="text1"/>
            </w:tcBorders>
            <w:shd w:val="clear" w:color="auto" w:fill="FFFF00"/>
            <w:noWrap/>
            <w:vAlign w:val="center"/>
          </w:tcPr>
          <w:p w14:paraId="3E2B5F13"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4</w:t>
            </w:r>
          </w:p>
        </w:tc>
        <w:tc>
          <w:tcPr>
            <w:tcW w:w="415" w:type="pct"/>
            <w:tcBorders>
              <w:bottom w:val="single" w:sz="12" w:space="0" w:color="000000" w:themeColor="text1"/>
            </w:tcBorders>
            <w:shd w:val="clear" w:color="auto" w:fill="FFC000"/>
            <w:noWrap/>
            <w:vAlign w:val="center"/>
          </w:tcPr>
          <w:p w14:paraId="20EB1E37"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Pr>
                <w:rFonts w:asciiTheme="minorHAnsi" w:eastAsia="Times New Roman" w:hAnsiTheme="minorHAnsi"/>
                <w:iCs/>
                <w:szCs w:val="17"/>
              </w:rPr>
              <w:t>3</w:t>
            </w:r>
          </w:p>
        </w:tc>
        <w:tc>
          <w:tcPr>
            <w:tcW w:w="417" w:type="pct"/>
            <w:tcBorders>
              <w:bottom w:val="single" w:sz="12" w:space="0" w:color="000000" w:themeColor="text1"/>
            </w:tcBorders>
            <w:shd w:val="clear" w:color="auto" w:fill="FFC000"/>
            <w:vAlign w:val="center"/>
          </w:tcPr>
          <w:p w14:paraId="76F2F44D" w14:textId="77777777" w:rsidR="000917CD" w:rsidRPr="003B0831" w:rsidRDefault="000917CD" w:rsidP="003B0831">
            <w:pPr>
              <w:keepLines/>
              <w:spacing w:before="0" w:after="40" w:line="200" w:lineRule="atLeast"/>
              <w:jc w:val="center"/>
              <w:rPr>
                <w:rFonts w:asciiTheme="minorHAnsi" w:eastAsia="Times New Roman" w:hAnsiTheme="minorHAnsi"/>
                <w:iCs/>
                <w:szCs w:val="17"/>
              </w:rPr>
            </w:pPr>
            <w:r w:rsidRPr="003B0831">
              <w:rPr>
                <w:rFonts w:asciiTheme="minorHAnsi" w:eastAsia="Times New Roman" w:hAnsiTheme="minorHAnsi"/>
                <w:iCs/>
                <w:szCs w:val="17"/>
              </w:rPr>
              <w:t>3</w:t>
            </w:r>
          </w:p>
        </w:tc>
        <w:tc>
          <w:tcPr>
            <w:tcW w:w="413" w:type="pct"/>
            <w:shd w:val="clear" w:color="auto" w:fill="auto"/>
          </w:tcPr>
          <w:p w14:paraId="61932362" w14:textId="6C900381" w:rsidR="000917CD" w:rsidRPr="003B0831" w:rsidRDefault="000917CD" w:rsidP="003B0831">
            <w:pPr>
              <w:keepLines/>
              <w:spacing w:before="0" w:after="40" w:line="200" w:lineRule="atLeast"/>
              <w:jc w:val="center"/>
              <w:rPr>
                <w:rFonts w:asciiTheme="minorHAnsi" w:eastAsia="Times New Roman" w:hAnsiTheme="minorHAnsi"/>
                <w:iCs/>
                <w:szCs w:val="17"/>
              </w:rPr>
            </w:pPr>
          </w:p>
        </w:tc>
      </w:tr>
    </w:tbl>
    <w:p w14:paraId="687556D2" w14:textId="77777777" w:rsidR="00400B0F" w:rsidRPr="00C61187" w:rsidRDefault="00400B0F" w:rsidP="00400B0F">
      <w:pPr>
        <w:spacing w:before="20" w:after="20" w:line="180" w:lineRule="atLeast"/>
        <w:jc w:val="both"/>
        <w:rPr>
          <w:rFonts w:ascii="Franklin Gothic Book" w:eastAsia="Times New Roman" w:hAnsi="Franklin Gothic Book"/>
          <w:b/>
          <w:sz w:val="14"/>
          <w:szCs w:val="14"/>
        </w:rPr>
      </w:pPr>
    </w:p>
    <w:p w14:paraId="7890972B"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14:paraId="5E044781"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Satisfactory (4, 5 and 6)</w:t>
      </w:r>
    </w:p>
    <w:p w14:paraId="6537F581" w14:textId="2224DA33" w:rsidR="00E46295"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w:t>
      </w:r>
      <w:r w:rsidR="003A3C85">
        <w:rPr>
          <w:rFonts w:eastAsia="Times New Roman"/>
          <w:b/>
          <w:sz w:val="16"/>
          <w:szCs w:val="14"/>
        </w:rPr>
        <w:t xml:space="preserve">.  </w:t>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14:paraId="2ED2474E"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14:paraId="54065553"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Less than satisfactory (1, 2 and 3)</w:t>
      </w:r>
    </w:p>
    <w:p w14:paraId="120430C4" w14:textId="77777777" w:rsidR="00E46295" w:rsidRDefault="00400B0F" w:rsidP="00BD4E04">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14:paraId="45CF79FD" w14:textId="249529AB" w:rsidR="004E0264" w:rsidRPr="00880004" w:rsidRDefault="00400B0F" w:rsidP="00BD4E04">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w:t>
      </w:r>
      <w:r w:rsidR="003A3C85">
        <w:rPr>
          <w:rFonts w:eastAsia="Times New Roman"/>
          <w:b/>
          <w:sz w:val="16"/>
          <w:szCs w:val="14"/>
        </w:rPr>
        <w:t xml:space="preserve">.  </w:t>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p>
    <w:p w14:paraId="4387ADE2" w14:textId="77777777" w:rsidR="002246FC" w:rsidRPr="00E41505" w:rsidRDefault="004E0264" w:rsidP="002246FC">
      <w:pPr>
        <w:spacing w:before="20" w:after="20" w:line="180" w:lineRule="atLeast"/>
        <w:rPr>
          <w:rFonts w:asciiTheme="majorHAnsi" w:eastAsiaTheme="majorEastAsia" w:hAnsiTheme="majorHAnsi" w:cstheme="majorBidi"/>
          <w:caps/>
          <w:sz w:val="38"/>
          <w:szCs w:val="26"/>
        </w:rPr>
      </w:pPr>
      <w:r>
        <w:br w:type="page"/>
      </w:r>
      <w:r w:rsidR="002246FC" w:rsidRPr="00E41505">
        <w:rPr>
          <w:rFonts w:asciiTheme="majorHAnsi" w:eastAsiaTheme="majorEastAsia" w:hAnsiTheme="majorHAnsi" w:cstheme="majorBidi"/>
          <w:caps/>
          <w:sz w:val="38"/>
          <w:szCs w:val="26"/>
        </w:rPr>
        <w:lastRenderedPageBreak/>
        <w:t>Annex E – Performance Assessment Framework</w:t>
      </w:r>
    </w:p>
    <w:p w14:paraId="4726A22D" w14:textId="77777777" w:rsidR="002246FC" w:rsidRPr="00BD607E" w:rsidRDefault="002246FC" w:rsidP="002246FC">
      <w:pPr>
        <w:spacing w:before="20" w:after="20" w:line="180" w:lineRule="atLeast"/>
        <w:rPr>
          <w:rFonts w:ascii="Helvetica" w:eastAsia="Times New Roman" w:hAnsi="Helvetica" w:cs="Arial"/>
          <w:color w:val="auto"/>
          <w:kern w:val="28"/>
          <w:sz w:val="28"/>
          <w:szCs w:val="28"/>
        </w:rPr>
      </w:pPr>
    </w:p>
    <w:tbl>
      <w:tblPr>
        <w:tblW w:w="12000" w:type="dxa"/>
        <w:jc w:val="center"/>
        <w:tblLook w:val="04A0" w:firstRow="1" w:lastRow="0" w:firstColumn="1" w:lastColumn="0" w:noHBand="0" w:noVBand="1"/>
      </w:tblPr>
      <w:tblGrid>
        <w:gridCol w:w="3520"/>
        <w:gridCol w:w="420"/>
        <w:gridCol w:w="3660"/>
        <w:gridCol w:w="460"/>
        <w:gridCol w:w="3940"/>
      </w:tblGrid>
      <w:tr w:rsidR="00D024E2" w:rsidRPr="00D024E2" w14:paraId="3CE9EA52" w14:textId="77777777" w:rsidTr="00D024E2">
        <w:trPr>
          <w:trHeight w:val="390"/>
          <w:jc w:val="center"/>
        </w:trPr>
        <w:tc>
          <w:tcPr>
            <w:tcW w:w="3520" w:type="dxa"/>
            <w:tcBorders>
              <w:top w:val="single" w:sz="8" w:space="0" w:color="auto"/>
              <w:left w:val="single" w:sz="8" w:space="0" w:color="auto"/>
              <w:bottom w:val="single" w:sz="8" w:space="0" w:color="auto"/>
              <w:right w:val="single" w:sz="8" w:space="0" w:color="auto"/>
            </w:tcBorders>
            <w:shd w:val="clear" w:color="000000" w:fill="F2DCDB"/>
            <w:noWrap/>
            <w:vAlign w:val="center"/>
            <w:hideMark/>
          </w:tcPr>
          <w:p w14:paraId="14BC7A5D" w14:textId="77777777" w:rsidR="00D024E2" w:rsidRPr="00D024E2" w:rsidRDefault="00D024E2" w:rsidP="00D024E2">
            <w:pPr>
              <w:suppressAutoHyphens w:val="0"/>
              <w:spacing w:before="0" w:after="0" w:line="240" w:lineRule="auto"/>
              <w:jc w:val="center"/>
              <w:rPr>
                <w:rFonts w:ascii="Calibri" w:eastAsia="Times New Roman" w:hAnsi="Calibri" w:cs="Times New Roman"/>
                <w:b/>
                <w:bCs/>
                <w:color w:val="000000"/>
                <w:sz w:val="28"/>
                <w:szCs w:val="28"/>
                <w:lang w:val="en-AU" w:eastAsia="en-AU"/>
              </w:rPr>
            </w:pPr>
            <w:r w:rsidRPr="00D024E2">
              <w:rPr>
                <w:rFonts w:ascii="Calibri" w:eastAsia="Times New Roman" w:hAnsi="Calibri" w:cs="Times New Roman"/>
                <w:b/>
                <w:bCs/>
                <w:color w:val="000000"/>
                <w:sz w:val="28"/>
                <w:szCs w:val="28"/>
                <w:lang w:val="en-AU" w:eastAsia="en-AU"/>
              </w:rPr>
              <w:t>Supporting Stability</w:t>
            </w:r>
          </w:p>
        </w:tc>
        <w:tc>
          <w:tcPr>
            <w:tcW w:w="420" w:type="dxa"/>
            <w:tcBorders>
              <w:top w:val="nil"/>
              <w:left w:val="nil"/>
              <w:bottom w:val="nil"/>
              <w:right w:val="nil"/>
            </w:tcBorders>
            <w:shd w:val="clear" w:color="auto" w:fill="auto"/>
            <w:noWrap/>
            <w:vAlign w:val="center"/>
            <w:hideMark/>
          </w:tcPr>
          <w:p w14:paraId="1DAF0D9D" w14:textId="77777777" w:rsidR="00D024E2" w:rsidRPr="00D024E2" w:rsidRDefault="00D024E2" w:rsidP="00D024E2">
            <w:pPr>
              <w:suppressAutoHyphens w:val="0"/>
              <w:spacing w:before="0" w:after="0" w:line="240" w:lineRule="auto"/>
              <w:jc w:val="center"/>
              <w:rPr>
                <w:rFonts w:ascii="Calibri" w:eastAsia="Times New Roman" w:hAnsi="Calibri" w:cs="Times New Roman"/>
                <w:b/>
                <w:bCs/>
                <w:color w:val="000000"/>
                <w:sz w:val="28"/>
                <w:szCs w:val="28"/>
                <w:lang w:val="en-AU" w:eastAsia="en-AU"/>
              </w:rPr>
            </w:pPr>
          </w:p>
        </w:tc>
        <w:tc>
          <w:tcPr>
            <w:tcW w:w="3660"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14:paraId="5FAA12FB" w14:textId="77777777" w:rsidR="00D024E2" w:rsidRPr="00D024E2" w:rsidRDefault="00D024E2" w:rsidP="00D024E2">
            <w:pPr>
              <w:suppressAutoHyphens w:val="0"/>
              <w:spacing w:before="0" w:after="0" w:line="240" w:lineRule="auto"/>
              <w:jc w:val="center"/>
              <w:rPr>
                <w:rFonts w:ascii="Calibri" w:eastAsia="Times New Roman" w:hAnsi="Calibri" w:cs="Times New Roman"/>
                <w:b/>
                <w:bCs/>
                <w:color w:val="000000"/>
                <w:sz w:val="28"/>
                <w:szCs w:val="28"/>
                <w:lang w:val="en-AU" w:eastAsia="en-AU"/>
              </w:rPr>
            </w:pPr>
            <w:r w:rsidRPr="00D024E2">
              <w:rPr>
                <w:rFonts w:ascii="Calibri" w:eastAsia="Times New Roman" w:hAnsi="Calibri" w:cs="Times New Roman"/>
                <w:b/>
                <w:bCs/>
                <w:color w:val="000000"/>
                <w:sz w:val="28"/>
                <w:szCs w:val="28"/>
                <w:lang w:val="en-AU" w:eastAsia="en-AU"/>
              </w:rPr>
              <w:t>Enabling Growth</w:t>
            </w:r>
          </w:p>
        </w:tc>
        <w:tc>
          <w:tcPr>
            <w:tcW w:w="460" w:type="dxa"/>
            <w:tcBorders>
              <w:top w:val="nil"/>
              <w:left w:val="nil"/>
              <w:bottom w:val="nil"/>
              <w:right w:val="nil"/>
            </w:tcBorders>
            <w:shd w:val="clear" w:color="auto" w:fill="auto"/>
            <w:noWrap/>
            <w:vAlign w:val="center"/>
            <w:hideMark/>
          </w:tcPr>
          <w:p w14:paraId="1AA703F3" w14:textId="77777777" w:rsidR="00D024E2" w:rsidRPr="00D024E2" w:rsidRDefault="00D024E2" w:rsidP="00D024E2">
            <w:pPr>
              <w:suppressAutoHyphens w:val="0"/>
              <w:spacing w:before="0" w:after="0" w:line="240" w:lineRule="auto"/>
              <w:jc w:val="center"/>
              <w:rPr>
                <w:rFonts w:ascii="Calibri" w:eastAsia="Times New Roman" w:hAnsi="Calibri" w:cs="Times New Roman"/>
                <w:b/>
                <w:bCs/>
                <w:color w:val="000000"/>
                <w:sz w:val="28"/>
                <w:szCs w:val="28"/>
                <w:lang w:val="en-AU" w:eastAsia="en-AU"/>
              </w:rPr>
            </w:pPr>
          </w:p>
        </w:tc>
        <w:tc>
          <w:tcPr>
            <w:tcW w:w="3940"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14:paraId="144F2FD0" w14:textId="77777777" w:rsidR="00D024E2" w:rsidRPr="00D024E2" w:rsidRDefault="00D024E2" w:rsidP="00D024E2">
            <w:pPr>
              <w:suppressAutoHyphens w:val="0"/>
              <w:spacing w:before="0" w:after="0" w:line="240" w:lineRule="auto"/>
              <w:jc w:val="center"/>
              <w:rPr>
                <w:rFonts w:ascii="Calibri" w:eastAsia="Times New Roman" w:hAnsi="Calibri" w:cs="Times New Roman"/>
                <w:b/>
                <w:bCs/>
                <w:color w:val="000000"/>
                <w:sz w:val="28"/>
                <w:szCs w:val="28"/>
                <w:lang w:val="en-AU" w:eastAsia="en-AU"/>
              </w:rPr>
            </w:pPr>
            <w:r w:rsidRPr="00D024E2">
              <w:rPr>
                <w:rFonts w:ascii="Calibri" w:eastAsia="Times New Roman" w:hAnsi="Calibri" w:cs="Times New Roman"/>
                <w:b/>
                <w:bCs/>
                <w:color w:val="000000"/>
                <w:sz w:val="28"/>
                <w:szCs w:val="28"/>
                <w:lang w:val="en-AU" w:eastAsia="en-AU"/>
              </w:rPr>
              <w:t>Enhancing Human Development</w:t>
            </w:r>
          </w:p>
        </w:tc>
      </w:tr>
      <w:tr w:rsidR="00D024E2" w:rsidRPr="00D024E2" w14:paraId="6BCADB75" w14:textId="77777777" w:rsidTr="00D024E2">
        <w:trPr>
          <w:trHeight w:val="315"/>
          <w:jc w:val="center"/>
        </w:trPr>
        <w:tc>
          <w:tcPr>
            <w:tcW w:w="3520" w:type="dxa"/>
            <w:tcBorders>
              <w:top w:val="nil"/>
              <w:left w:val="nil"/>
              <w:bottom w:val="nil"/>
              <w:right w:val="nil"/>
            </w:tcBorders>
            <w:shd w:val="clear" w:color="auto" w:fill="auto"/>
            <w:noWrap/>
            <w:vAlign w:val="center"/>
            <w:hideMark/>
          </w:tcPr>
          <w:p w14:paraId="74CF289F" w14:textId="77777777" w:rsidR="00D024E2" w:rsidRPr="00D024E2" w:rsidRDefault="00D024E2" w:rsidP="00D024E2">
            <w:pPr>
              <w:suppressAutoHyphens w:val="0"/>
              <w:spacing w:before="0" w:after="0" w:line="240" w:lineRule="auto"/>
              <w:jc w:val="center"/>
              <w:rPr>
                <w:rFonts w:ascii="Calibri" w:eastAsia="Times New Roman" w:hAnsi="Calibri" w:cs="Times New Roman"/>
                <w:b/>
                <w:bCs/>
                <w:color w:val="000000"/>
                <w:sz w:val="28"/>
                <w:szCs w:val="28"/>
                <w:lang w:val="en-AU" w:eastAsia="en-AU"/>
              </w:rPr>
            </w:pPr>
          </w:p>
        </w:tc>
        <w:tc>
          <w:tcPr>
            <w:tcW w:w="420" w:type="dxa"/>
            <w:tcBorders>
              <w:top w:val="nil"/>
              <w:left w:val="nil"/>
              <w:bottom w:val="nil"/>
              <w:right w:val="nil"/>
            </w:tcBorders>
            <w:shd w:val="clear" w:color="auto" w:fill="auto"/>
            <w:noWrap/>
            <w:vAlign w:val="center"/>
            <w:hideMark/>
          </w:tcPr>
          <w:p w14:paraId="4A565DFD" w14:textId="77777777" w:rsidR="00D024E2" w:rsidRPr="00D024E2" w:rsidRDefault="00D024E2" w:rsidP="00D024E2">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3660" w:type="dxa"/>
            <w:tcBorders>
              <w:top w:val="nil"/>
              <w:left w:val="nil"/>
              <w:bottom w:val="nil"/>
              <w:right w:val="nil"/>
            </w:tcBorders>
            <w:shd w:val="clear" w:color="auto" w:fill="auto"/>
            <w:noWrap/>
            <w:vAlign w:val="center"/>
            <w:hideMark/>
          </w:tcPr>
          <w:p w14:paraId="6E60810F" w14:textId="77777777" w:rsidR="00D024E2" w:rsidRPr="00D024E2" w:rsidRDefault="00D024E2" w:rsidP="00D024E2">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460" w:type="dxa"/>
            <w:tcBorders>
              <w:top w:val="nil"/>
              <w:left w:val="nil"/>
              <w:bottom w:val="nil"/>
              <w:right w:val="nil"/>
            </w:tcBorders>
            <w:shd w:val="clear" w:color="auto" w:fill="auto"/>
            <w:noWrap/>
            <w:vAlign w:val="center"/>
            <w:hideMark/>
          </w:tcPr>
          <w:p w14:paraId="0744079A" w14:textId="77777777" w:rsidR="00D024E2" w:rsidRPr="00D024E2" w:rsidRDefault="00D024E2" w:rsidP="00D024E2">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3940" w:type="dxa"/>
            <w:tcBorders>
              <w:top w:val="nil"/>
              <w:left w:val="nil"/>
              <w:bottom w:val="nil"/>
              <w:right w:val="nil"/>
            </w:tcBorders>
            <w:shd w:val="clear" w:color="auto" w:fill="auto"/>
            <w:noWrap/>
            <w:vAlign w:val="center"/>
            <w:hideMark/>
          </w:tcPr>
          <w:p w14:paraId="57E448D4" w14:textId="77777777" w:rsidR="00D024E2" w:rsidRPr="00D024E2" w:rsidRDefault="00D024E2" w:rsidP="00D024E2">
            <w:pPr>
              <w:suppressAutoHyphens w:val="0"/>
              <w:spacing w:before="0" w:after="0" w:line="240" w:lineRule="auto"/>
              <w:rPr>
                <w:rFonts w:ascii="Times New Roman" w:eastAsia="Times New Roman" w:hAnsi="Times New Roman" w:cs="Times New Roman"/>
                <w:color w:val="auto"/>
                <w:sz w:val="20"/>
                <w:szCs w:val="20"/>
                <w:lang w:val="en-AU" w:eastAsia="en-AU"/>
              </w:rPr>
            </w:pPr>
          </w:p>
        </w:tc>
      </w:tr>
      <w:tr w:rsidR="00D024E2" w:rsidRPr="00D024E2" w14:paraId="05E4A57B" w14:textId="77777777" w:rsidTr="00D024E2">
        <w:trPr>
          <w:trHeight w:val="375"/>
          <w:jc w:val="center"/>
        </w:trPr>
        <w:tc>
          <w:tcPr>
            <w:tcW w:w="3520" w:type="dxa"/>
            <w:tcBorders>
              <w:top w:val="single" w:sz="8" w:space="0" w:color="auto"/>
              <w:left w:val="single" w:sz="8" w:space="0" w:color="auto"/>
              <w:bottom w:val="nil"/>
              <w:right w:val="single" w:sz="8" w:space="0" w:color="auto"/>
            </w:tcBorders>
            <w:shd w:val="clear" w:color="000000" w:fill="F2DCDB"/>
            <w:noWrap/>
            <w:vAlign w:val="center"/>
            <w:hideMark/>
          </w:tcPr>
          <w:p w14:paraId="60520DAA" w14:textId="77777777" w:rsidR="00D024E2" w:rsidRPr="00D024E2" w:rsidRDefault="00D024E2" w:rsidP="00D024E2">
            <w:pPr>
              <w:suppressAutoHyphens w:val="0"/>
              <w:spacing w:before="0" w:after="0" w:line="240" w:lineRule="auto"/>
              <w:rPr>
                <w:rFonts w:ascii="Calibri" w:eastAsia="Times New Roman" w:hAnsi="Calibri" w:cs="Times New Roman"/>
                <w:color w:val="000000"/>
                <w:sz w:val="28"/>
                <w:szCs w:val="28"/>
                <w:lang w:val="en-AU" w:eastAsia="en-AU"/>
              </w:rPr>
            </w:pPr>
            <w:r w:rsidRPr="00D024E2">
              <w:rPr>
                <w:rFonts w:ascii="Calibri" w:eastAsia="Times New Roman" w:hAnsi="Calibri" w:cs="Times New Roman"/>
                <w:color w:val="000000"/>
                <w:sz w:val="28"/>
                <w:szCs w:val="28"/>
                <w:lang w:val="en-AU" w:eastAsia="en-AU"/>
              </w:rPr>
              <w:t>End of Program Outcome:</w:t>
            </w:r>
          </w:p>
        </w:tc>
        <w:tc>
          <w:tcPr>
            <w:tcW w:w="420" w:type="dxa"/>
            <w:tcBorders>
              <w:top w:val="nil"/>
              <w:left w:val="nil"/>
              <w:bottom w:val="nil"/>
              <w:right w:val="nil"/>
            </w:tcBorders>
            <w:shd w:val="clear" w:color="auto" w:fill="auto"/>
            <w:noWrap/>
            <w:vAlign w:val="center"/>
            <w:hideMark/>
          </w:tcPr>
          <w:p w14:paraId="46E31DD5" w14:textId="77777777" w:rsidR="00D024E2" w:rsidRPr="00D024E2" w:rsidRDefault="00D024E2" w:rsidP="00D024E2">
            <w:pPr>
              <w:suppressAutoHyphens w:val="0"/>
              <w:spacing w:before="0" w:after="0" w:line="240" w:lineRule="auto"/>
              <w:rPr>
                <w:rFonts w:ascii="Calibri" w:eastAsia="Times New Roman" w:hAnsi="Calibri" w:cs="Times New Roman"/>
                <w:color w:val="000000"/>
                <w:sz w:val="28"/>
                <w:szCs w:val="28"/>
                <w:lang w:val="en-AU" w:eastAsia="en-AU"/>
              </w:rPr>
            </w:pPr>
          </w:p>
        </w:tc>
        <w:tc>
          <w:tcPr>
            <w:tcW w:w="3660" w:type="dxa"/>
            <w:tcBorders>
              <w:top w:val="single" w:sz="8" w:space="0" w:color="auto"/>
              <w:left w:val="single" w:sz="8" w:space="0" w:color="auto"/>
              <w:bottom w:val="nil"/>
              <w:right w:val="single" w:sz="8" w:space="0" w:color="auto"/>
            </w:tcBorders>
            <w:shd w:val="clear" w:color="000000" w:fill="FDE9D9"/>
            <w:noWrap/>
            <w:vAlign w:val="center"/>
            <w:hideMark/>
          </w:tcPr>
          <w:p w14:paraId="11FC3D83" w14:textId="77777777" w:rsidR="00D024E2" w:rsidRPr="00D024E2" w:rsidRDefault="00D024E2" w:rsidP="00D024E2">
            <w:pPr>
              <w:suppressAutoHyphens w:val="0"/>
              <w:spacing w:before="0" w:after="0" w:line="240" w:lineRule="auto"/>
              <w:rPr>
                <w:rFonts w:ascii="Calibri" w:eastAsia="Times New Roman" w:hAnsi="Calibri" w:cs="Times New Roman"/>
                <w:color w:val="000000"/>
                <w:sz w:val="28"/>
                <w:szCs w:val="28"/>
                <w:lang w:val="en-AU" w:eastAsia="en-AU"/>
              </w:rPr>
            </w:pPr>
            <w:r w:rsidRPr="00D024E2">
              <w:rPr>
                <w:rFonts w:ascii="Calibri" w:eastAsia="Times New Roman" w:hAnsi="Calibri" w:cs="Times New Roman"/>
                <w:color w:val="000000"/>
                <w:sz w:val="28"/>
                <w:szCs w:val="28"/>
                <w:lang w:val="en-AU" w:eastAsia="en-AU"/>
              </w:rPr>
              <w:t>End of program outcome:</w:t>
            </w:r>
          </w:p>
        </w:tc>
        <w:tc>
          <w:tcPr>
            <w:tcW w:w="460" w:type="dxa"/>
            <w:tcBorders>
              <w:top w:val="nil"/>
              <w:left w:val="nil"/>
              <w:bottom w:val="nil"/>
              <w:right w:val="nil"/>
            </w:tcBorders>
            <w:shd w:val="clear" w:color="auto" w:fill="auto"/>
            <w:noWrap/>
            <w:vAlign w:val="center"/>
            <w:hideMark/>
          </w:tcPr>
          <w:p w14:paraId="14D088DC" w14:textId="77777777" w:rsidR="00D024E2" w:rsidRPr="00D024E2" w:rsidRDefault="00D024E2" w:rsidP="00D024E2">
            <w:pPr>
              <w:suppressAutoHyphens w:val="0"/>
              <w:spacing w:before="0" w:after="0" w:line="240" w:lineRule="auto"/>
              <w:rPr>
                <w:rFonts w:ascii="Calibri" w:eastAsia="Times New Roman" w:hAnsi="Calibri" w:cs="Times New Roman"/>
                <w:color w:val="000000"/>
                <w:sz w:val="28"/>
                <w:szCs w:val="28"/>
                <w:lang w:val="en-AU" w:eastAsia="en-AU"/>
              </w:rPr>
            </w:pPr>
          </w:p>
        </w:tc>
        <w:tc>
          <w:tcPr>
            <w:tcW w:w="3940" w:type="dxa"/>
            <w:tcBorders>
              <w:top w:val="single" w:sz="8" w:space="0" w:color="auto"/>
              <w:left w:val="single" w:sz="8" w:space="0" w:color="auto"/>
              <w:bottom w:val="nil"/>
              <w:right w:val="single" w:sz="8" w:space="0" w:color="auto"/>
            </w:tcBorders>
            <w:shd w:val="clear" w:color="000000" w:fill="FFFFCC"/>
            <w:noWrap/>
            <w:vAlign w:val="center"/>
            <w:hideMark/>
          </w:tcPr>
          <w:p w14:paraId="1F1F113A" w14:textId="77777777" w:rsidR="00D024E2" w:rsidRPr="00D024E2" w:rsidRDefault="00D024E2" w:rsidP="00D024E2">
            <w:pPr>
              <w:suppressAutoHyphens w:val="0"/>
              <w:spacing w:before="0" w:after="0" w:line="240" w:lineRule="auto"/>
              <w:rPr>
                <w:rFonts w:ascii="Calibri" w:eastAsia="Times New Roman" w:hAnsi="Calibri" w:cs="Times New Roman"/>
                <w:color w:val="000000"/>
                <w:sz w:val="28"/>
                <w:szCs w:val="28"/>
                <w:lang w:val="en-AU" w:eastAsia="en-AU"/>
              </w:rPr>
            </w:pPr>
            <w:r w:rsidRPr="00D024E2">
              <w:rPr>
                <w:rFonts w:ascii="Calibri" w:eastAsia="Times New Roman" w:hAnsi="Calibri" w:cs="Times New Roman"/>
                <w:color w:val="000000"/>
                <w:sz w:val="28"/>
                <w:szCs w:val="28"/>
                <w:lang w:val="en-AU" w:eastAsia="en-AU"/>
              </w:rPr>
              <w:t>End of program outcome:</w:t>
            </w:r>
          </w:p>
        </w:tc>
      </w:tr>
      <w:tr w:rsidR="00D024E2" w:rsidRPr="00D024E2" w14:paraId="06B587E1" w14:textId="77777777" w:rsidTr="00D024E2">
        <w:trPr>
          <w:trHeight w:val="1875"/>
          <w:jc w:val="center"/>
        </w:trPr>
        <w:tc>
          <w:tcPr>
            <w:tcW w:w="3520" w:type="dxa"/>
            <w:tcBorders>
              <w:top w:val="nil"/>
              <w:left w:val="single" w:sz="8" w:space="0" w:color="auto"/>
              <w:bottom w:val="nil"/>
              <w:right w:val="single" w:sz="8" w:space="0" w:color="auto"/>
            </w:tcBorders>
            <w:shd w:val="clear" w:color="000000" w:fill="F2DCDB"/>
            <w:vAlign w:val="center"/>
            <w:hideMark/>
          </w:tcPr>
          <w:p w14:paraId="2FAD1722" w14:textId="77777777" w:rsidR="00D024E2" w:rsidRPr="00D024E2" w:rsidRDefault="00D024E2" w:rsidP="00D024E2">
            <w:pPr>
              <w:suppressAutoHyphens w:val="0"/>
              <w:spacing w:before="0" w:after="0" w:line="240" w:lineRule="auto"/>
              <w:rPr>
                <w:rFonts w:ascii="Symbol" w:eastAsia="Times New Roman" w:hAnsi="Symbol" w:cs="Times New Roman"/>
                <w:color w:val="000000"/>
                <w:sz w:val="28"/>
                <w:szCs w:val="28"/>
                <w:lang w:val="en-AU" w:eastAsia="en-AU"/>
              </w:rPr>
            </w:pPr>
            <w:r w:rsidRPr="00D024E2">
              <w:rPr>
                <w:rFonts w:ascii="Symbol" w:eastAsia="Times New Roman" w:hAnsi="Symbol" w:cs="Times New Roman"/>
                <w:color w:val="000000"/>
                <w:sz w:val="28"/>
                <w:szCs w:val="28"/>
                <w:lang w:val="en-AU" w:eastAsia="en-AU"/>
              </w:rPr>
              <w:t></w:t>
            </w:r>
            <w:r w:rsidRPr="00D024E2">
              <w:rPr>
                <w:rFonts w:ascii="Times New Roman" w:eastAsia="Times New Roman" w:hAnsi="Times New Roman" w:cs="Times New Roman"/>
                <w:color w:val="000000"/>
                <w:sz w:val="14"/>
                <w:szCs w:val="14"/>
                <w:lang w:val="en-AU" w:eastAsia="en-AU"/>
              </w:rPr>
              <w:t xml:space="preserve">        </w:t>
            </w:r>
            <w:r w:rsidRPr="00D024E2">
              <w:rPr>
                <w:rFonts w:ascii="Calibri" w:eastAsia="Times New Roman" w:hAnsi="Calibri" w:cs="Times New Roman"/>
                <w:color w:val="000000"/>
                <w:sz w:val="28"/>
                <w:szCs w:val="28"/>
                <w:lang w:val="en-AU" w:eastAsia="en-AU"/>
              </w:rPr>
              <w:t>Solomon Islanders increasingly recognise and participate in a legitimate state, free from conflict and economically stable</w:t>
            </w:r>
          </w:p>
        </w:tc>
        <w:tc>
          <w:tcPr>
            <w:tcW w:w="420" w:type="dxa"/>
            <w:tcBorders>
              <w:top w:val="nil"/>
              <w:left w:val="nil"/>
              <w:bottom w:val="nil"/>
              <w:right w:val="nil"/>
            </w:tcBorders>
            <w:shd w:val="clear" w:color="auto" w:fill="auto"/>
            <w:vAlign w:val="center"/>
            <w:hideMark/>
          </w:tcPr>
          <w:p w14:paraId="1E5D36B7" w14:textId="77777777" w:rsidR="00D024E2" w:rsidRPr="00D024E2" w:rsidRDefault="00D024E2" w:rsidP="00D024E2">
            <w:pPr>
              <w:suppressAutoHyphens w:val="0"/>
              <w:spacing w:before="0" w:after="0" w:line="240" w:lineRule="auto"/>
              <w:rPr>
                <w:rFonts w:ascii="Symbol" w:eastAsia="Times New Roman" w:hAnsi="Symbol" w:cs="Times New Roman"/>
                <w:color w:val="000000"/>
                <w:sz w:val="28"/>
                <w:szCs w:val="28"/>
                <w:lang w:val="en-AU" w:eastAsia="en-AU"/>
              </w:rPr>
            </w:pPr>
          </w:p>
        </w:tc>
        <w:tc>
          <w:tcPr>
            <w:tcW w:w="3660" w:type="dxa"/>
            <w:tcBorders>
              <w:top w:val="nil"/>
              <w:left w:val="single" w:sz="8" w:space="0" w:color="auto"/>
              <w:bottom w:val="nil"/>
              <w:right w:val="single" w:sz="8" w:space="0" w:color="auto"/>
            </w:tcBorders>
            <w:shd w:val="clear" w:color="000000" w:fill="FDE9D9"/>
            <w:vAlign w:val="center"/>
            <w:hideMark/>
          </w:tcPr>
          <w:p w14:paraId="7908C944" w14:textId="77777777" w:rsidR="00D024E2" w:rsidRPr="00D024E2" w:rsidRDefault="00D024E2" w:rsidP="00D024E2">
            <w:pPr>
              <w:suppressAutoHyphens w:val="0"/>
              <w:spacing w:before="0" w:after="0" w:line="240" w:lineRule="auto"/>
              <w:rPr>
                <w:rFonts w:ascii="Symbol" w:eastAsia="Times New Roman" w:hAnsi="Symbol" w:cs="Times New Roman"/>
                <w:color w:val="000000"/>
                <w:sz w:val="28"/>
                <w:szCs w:val="28"/>
                <w:lang w:val="en-AU" w:eastAsia="en-AU"/>
              </w:rPr>
            </w:pPr>
            <w:r w:rsidRPr="00D024E2">
              <w:rPr>
                <w:rFonts w:ascii="Symbol" w:eastAsia="Times New Roman" w:hAnsi="Symbol" w:cs="Times New Roman"/>
                <w:color w:val="000000"/>
                <w:sz w:val="28"/>
                <w:szCs w:val="28"/>
                <w:lang w:val="en-AU" w:eastAsia="en-AU"/>
              </w:rPr>
              <w:t></w:t>
            </w:r>
            <w:r w:rsidRPr="00D024E2">
              <w:rPr>
                <w:rFonts w:ascii="Times New Roman" w:eastAsia="Times New Roman" w:hAnsi="Times New Roman" w:cs="Times New Roman"/>
                <w:color w:val="000000"/>
                <w:sz w:val="14"/>
                <w:szCs w:val="14"/>
                <w:lang w:val="en-AU" w:eastAsia="en-AU"/>
              </w:rPr>
              <w:t xml:space="preserve">        </w:t>
            </w:r>
            <w:r w:rsidRPr="00D024E2">
              <w:rPr>
                <w:rFonts w:ascii="Calibri" w:eastAsia="Times New Roman" w:hAnsi="Calibri" w:cs="Times New Roman"/>
                <w:color w:val="000000"/>
                <w:sz w:val="28"/>
                <w:szCs w:val="28"/>
                <w:lang w:val="en-AU" w:eastAsia="en-AU"/>
              </w:rPr>
              <w:t>Solomon Islands’ economic operating environment is more attractive to business.</w:t>
            </w:r>
          </w:p>
        </w:tc>
        <w:tc>
          <w:tcPr>
            <w:tcW w:w="460" w:type="dxa"/>
            <w:tcBorders>
              <w:top w:val="nil"/>
              <w:left w:val="nil"/>
              <w:bottom w:val="nil"/>
              <w:right w:val="nil"/>
            </w:tcBorders>
            <w:shd w:val="clear" w:color="auto" w:fill="auto"/>
            <w:vAlign w:val="center"/>
            <w:hideMark/>
          </w:tcPr>
          <w:p w14:paraId="611E3E25" w14:textId="77777777" w:rsidR="00D024E2" w:rsidRPr="00D024E2" w:rsidRDefault="00D024E2" w:rsidP="00D024E2">
            <w:pPr>
              <w:suppressAutoHyphens w:val="0"/>
              <w:spacing w:before="0" w:after="0" w:line="240" w:lineRule="auto"/>
              <w:rPr>
                <w:rFonts w:ascii="Symbol" w:eastAsia="Times New Roman" w:hAnsi="Symbol" w:cs="Times New Roman"/>
                <w:color w:val="000000"/>
                <w:sz w:val="28"/>
                <w:szCs w:val="28"/>
                <w:lang w:val="en-AU" w:eastAsia="en-AU"/>
              </w:rPr>
            </w:pPr>
          </w:p>
        </w:tc>
        <w:tc>
          <w:tcPr>
            <w:tcW w:w="3940" w:type="dxa"/>
            <w:tcBorders>
              <w:top w:val="nil"/>
              <w:left w:val="single" w:sz="8" w:space="0" w:color="auto"/>
              <w:bottom w:val="nil"/>
              <w:right w:val="single" w:sz="8" w:space="0" w:color="auto"/>
            </w:tcBorders>
            <w:shd w:val="clear" w:color="000000" w:fill="FFFFCC"/>
            <w:vAlign w:val="center"/>
            <w:hideMark/>
          </w:tcPr>
          <w:p w14:paraId="604308CD" w14:textId="77777777" w:rsidR="00D024E2" w:rsidRPr="00D024E2" w:rsidRDefault="00D024E2" w:rsidP="00D024E2">
            <w:pPr>
              <w:suppressAutoHyphens w:val="0"/>
              <w:spacing w:before="0" w:after="0" w:line="240" w:lineRule="auto"/>
              <w:rPr>
                <w:rFonts w:ascii="Symbol" w:eastAsia="Times New Roman" w:hAnsi="Symbol" w:cs="Times New Roman"/>
                <w:color w:val="000000"/>
                <w:sz w:val="28"/>
                <w:szCs w:val="28"/>
                <w:lang w:val="en-AU" w:eastAsia="en-AU"/>
              </w:rPr>
            </w:pPr>
            <w:r w:rsidRPr="00D024E2">
              <w:rPr>
                <w:rFonts w:ascii="Symbol" w:eastAsia="Times New Roman" w:hAnsi="Symbol" w:cs="Times New Roman"/>
                <w:color w:val="000000"/>
                <w:sz w:val="28"/>
                <w:szCs w:val="28"/>
                <w:lang w:val="en-AU" w:eastAsia="en-AU"/>
              </w:rPr>
              <w:t></w:t>
            </w:r>
            <w:r w:rsidRPr="00D024E2">
              <w:rPr>
                <w:rFonts w:ascii="Times New Roman" w:eastAsia="Times New Roman" w:hAnsi="Times New Roman" w:cs="Times New Roman"/>
                <w:color w:val="000000"/>
                <w:sz w:val="14"/>
                <w:szCs w:val="14"/>
                <w:lang w:val="en-AU" w:eastAsia="en-AU"/>
              </w:rPr>
              <w:t xml:space="preserve">        </w:t>
            </w:r>
            <w:r w:rsidRPr="00D024E2">
              <w:rPr>
                <w:rFonts w:ascii="Calibri" w:eastAsia="Times New Roman" w:hAnsi="Calibri" w:cs="Times New Roman"/>
                <w:color w:val="000000"/>
                <w:sz w:val="28"/>
                <w:szCs w:val="28"/>
                <w:lang w:val="en-AU" w:eastAsia="en-AU"/>
              </w:rPr>
              <w:t>More men, women, girls and boys benefit from quality health and basic and vocational education services</w:t>
            </w:r>
          </w:p>
        </w:tc>
      </w:tr>
      <w:tr w:rsidR="00D024E2" w:rsidRPr="00D024E2" w14:paraId="1EC1766C" w14:textId="77777777" w:rsidTr="00D024E2">
        <w:trPr>
          <w:trHeight w:val="1140"/>
          <w:jc w:val="center"/>
        </w:trPr>
        <w:tc>
          <w:tcPr>
            <w:tcW w:w="3520" w:type="dxa"/>
            <w:tcBorders>
              <w:top w:val="nil"/>
              <w:left w:val="single" w:sz="8" w:space="0" w:color="auto"/>
              <w:bottom w:val="single" w:sz="8" w:space="0" w:color="000000"/>
              <w:right w:val="single" w:sz="8" w:space="0" w:color="auto"/>
            </w:tcBorders>
            <w:shd w:val="clear" w:color="000000" w:fill="F2DCDB"/>
            <w:vAlign w:val="center"/>
            <w:hideMark/>
          </w:tcPr>
          <w:p w14:paraId="7D2A6953" w14:textId="77777777" w:rsidR="00D024E2" w:rsidRPr="00D024E2" w:rsidRDefault="00D024E2" w:rsidP="00D024E2">
            <w:pPr>
              <w:suppressAutoHyphens w:val="0"/>
              <w:spacing w:before="0" w:after="0" w:line="240" w:lineRule="auto"/>
              <w:rPr>
                <w:rFonts w:ascii="Symbol" w:eastAsia="Times New Roman" w:hAnsi="Symbol" w:cs="Times New Roman"/>
                <w:color w:val="000000"/>
                <w:sz w:val="28"/>
                <w:szCs w:val="28"/>
                <w:lang w:val="en-AU" w:eastAsia="en-AU"/>
              </w:rPr>
            </w:pPr>
            <w:r w:rsidRPr="00D024E2">
              <w:rPr>
                <w:rFonts w:ascii="Symbol" w:eastAsia="Times New Roman" w:hAnsi="Times New Roman" w:cs="Times New Roman"/>
                <w:color w:val="000000"/>
                <w:sz w:val="28"/>
                <w:szCs w:val="28"/>
                <w:lang w:val="en-AU" w:eastAsia="en-AU"/>
              </w:rPr>
              <w:t> </w:t>
            </w:r>
          </w:p>
        </w:tc>
        <w:tc>
          <w:tcPr>
            <w:tcW w:w="420" w:type="dxa"/>
            <w:tcBorders>
              <w:top w:val="nil"/>
              <w:left w:val="nil"/>
              <w:bottom w:val="nil"/>
              <w:right w:val="nil"/>
            </w:tcBorders>
            <w:shd w:val="clear" w:color="auto" w:fill="auto"/>
            <w:vAlign w:val="center"/>
            <w:hideMark/>
          </w:tcPr>
          <w:p w14:paraId="5F1783E5" w14:textId="77777777" w:rsidR="00D024E2" w:rsidRPr="00D024E2" w:rsidRDefault="00D024E2" w:rsidP="00D024E2">
            <w:pPr>
              <w:suppressAutoHyphens w:val="0"/>
              <w:spacing w:before="0" w:after="0" w:line="240" w:lineRule="auto"/>
              <w:rPr>
                <w:rFonts w:ascii="Symbol" w:eastAsia="Times New Roman" w:hAnsi="Symbol" w:cs="Times New Roman"/>
                <w:color w:val="000000"/>
                <w:sz w:val="28"/>
                <w:szCs w:val="28"/>
                <w:lang w:val="en-AU" w:eastAsia="en-AU"/>
              </w:rPr>
            </w:pPr>
          </w:p>
        </w:tc>
        <w:tc>
          <w:tcPr>
            <w:tcW w:w="3660" w:type="dxa"/>
            <w:tcBorders>
              <w:top w:val="nil"/>
              <w:left w:val="single" w:sz="8" w:space="0" w:color="auto"/>
              <w:bottom w:val="single" w:sz="8" w:space="0" w:color="000000"/>
              <w:right w:val="single" w:sz="8" w:space="0" w:color="auto"/>
            </w:tcBorders>
            <w:shd w:val="clear" w:color="000000" w:fill="FDE9D9"/>
            <w:vAlign w:val="center"/>
            <w:hideMark/>
          </w:tcPr>
          <w:p w14:paraId="242BD404" w14:textId="77777777" w:rsidR="00D024E2" w:rsidRPr="00D024E2" w:rsidRDefault="00D024E2" w:rsidP="00D024E2">
            <w:pPr>
              <w:suppressAutoHyphens w:val="0"/>
              <w:spacing w:before="0" w:after="0" w:line="240" w:lineRule="auto"/>
              <w:rPr>
                <w:rFonts w:ascii="Symbol" w:eastAsia="Times New Roman" w:hAnsi="Symbol" w:cs="Times New Roman"/>
                <w:color w:val="000000"/>
                <w:sz w:val="28"/>
                <w:szCs w:val="28"/>
                <w:lang w:val="en-AU" w:eastAsia="en-AU"/>
              </w:rPr>
            </w:pPr>
            <w:r w:rsidRPr="00D024E2">
              <w:rPr>
                <w:rFonts w:ascii="Symbol" w:eastAsia="Times New Roman" w:hAnsi="Symbol" w:cs="Times New Roman"/>
                <w:color w:val="000000"/>
                <w:sz w:val="28"/>
                <w:szCs w:val="28"/>
                <w:lang w:val="en-AU" w:eastAsia="en-AU"/>
              </w:rPr>
              <w:t></w:t>
            </w:r>
            <w:r w:rsidRPr="00D024E2">
              <w:rPr>
                <w:rFonts w:ascii="Times New Roman" w:eastAsia="Times New Roman" w:hAnsi="Times New Roman" w:cs="Times New Roman"/>
                <w:color w:val="000000"/>
                <w:sz w:val="14"/>
                <w:szCs w:val="14"/>
                <w:lang w:val="en-AU" w:eastAsia="en-AU"/>
              </w:rPr>
              <w:t xml:space="preserve">        </w:t>
            </w:r>
            <w:r w:rsidRPr="00D024E2">
              <w:rPr>
                <w:rFonts w:ascii="Calibri" w:eastAsia="Times New Roman" w:hAnsi="Calibri" w:cs="Times New Roman"/>
                <w:color w:val="000000"/>
                <w:sz w:val="28"/>
                <w:szCs w:val="28"/>
                <w:lang w:val="en-AU" w:eastAsia="en-AU"/>
              </w:rPr>
              <w:t>More men and women are able to earn a cash-based income</w:t>
            </w:r>
          </w:p>
        </w:tc>
        <w:tc>
          <w:tcPr>
            <w:tcW w:w="460" w:type="dxa"/>
            <w:tcBorders>
              <w:top w:val="nil"/>
              <w:left w:val="nil"/>
              <w:bottom w:val="nil"/>
              <w:right w:val="nil"/>
            </w:tcBorders>
            <w:shd w:val="clear" w:color="auto" w:fill="auto"/>
            <w:vAlign w:val="center"/>
            <w:hideMark/>
          </w:tcPr>
          <w:p w14:paraId="40715F8A" w14:textId="77777777" w:rsidR="00D024E2" w:rsidRPr="00D024E2" w:rsidRDefault="00D024E2" w:rsidP="00D024E2">
            <w:pPr>
              <w:suppressAutoHyphens w:val="0"/>
              <w:spacing w:before="0" w:after="0" w:line="240" w:lineRule="auto"/>
              <w:rPr>
                <w:rFonts w:ascii="Symbol" w:eastAsia="Times New Roman" w:hAnsi="Symbol" w:cs="Times New Roman"/>
                <w:color w:val="000000"/>
                <w:sz w:val="28"/>
                <w:szCs w:val="28"/>
                <w:lang w:val="en-AU" w:eastAsia="en-AU"/>
              </w:rPr>
            </w:pPr>
          </w:p>
        </w:tc>
        <w:tc>
          <w:tcPr>
            <w:tcW w:w="3940" w:type="dxa"/>
            <w:tcBorders>
              <w:top w:val="nil"/>
              <w:left w:val="single" w:sz="8" w:space="0" w:color="auto"/>
              <w:bottom w:val="single" w:sz="8" w:space="0" w:color="000000"/>
              <w:right w:val="single" w:sz="8" w:space="0" w:color="auto"/>
            </w:tcBorders>
            <w:shd w:val="clear" w:color="000000" w:fill="FFFFCC"/>
            <w:vAlign w:val="center"/>
            <w:hideMark/>
          </w:tcPr>
          <w:p w14:paraId="586B12EA" w14:textId="77777777" w:rsidR="00D024E2" w:rsidRPr="00D024E2" w:rsidRDefault="00D024E2" w:rsidP="00D024E2">
            <w:pPr>
              <w:suppressAutoHyphens w:val="0"/>
              <w:spacing w:before="0" w:after="0" w:line="240" w:lineRule="auto"/>
              <w:rPr>
                <w:rFonts w:ascii="Symbol" w:eastAsia="Times New Roman" w:hAnsi="Symbol" w:cs="Times New Roman"/>
                <w:color w:val="000000"/>
                <w:sz w:val="28"/>
                <w:szCs w:val="28"/>
                <w:lang w:val="en-AU" w:eastAsia="en-AU"/>
              </w:rPr>
            </w:pPr>
            <w:r w:rsidRPr="00D024E2">
              <w:rPr>
                <w:rFonts w:ascii="Symbol" w:eastAsia="Times New Roman" w:hAnsi="Times New Roman" w:cs="Times New Roman"/>
                <w:color w:val="000000"/>
                <w:sz w:val="28"/>
                <w:szCs w:val="28"/>
                <w:lang w:val="en-AU" w:eastAsia="en-AU"/>
              </w:rPr>
              <w:t> </w:t>
            </w:r>
          </w:p>
        </w:tc>
      </w:tr>
    </w:tbl>
    <w:p w14:paraId="5A9EF4C1" w14:textId="225D5C43" w:rsidR="00687E7F" w:rsidRDefault="00687E7F" w:rsidP="00D024E2">
      <w:pPr>
        <w:suppressAutoHyphens w:val="0"/>
        <w:spacing w:before="0" w:after="0" w:line="240" w:lineRule="auto"/>
        <w:jc w:val="center"/>
        <w:rPr>
          <w:rFonts w:ascii="Calibri Light" w:eastAsia="Times New Roman" w:hAnsi="Calibri Light" w:cs="Times New Roman"/>
          <w:color w:val="auto"/>
          <w:sz w:val="18"/>
          <w:szCs w:val="18"/>
          <w:lang w:val="en-AU"/>
        </w:rPr>
      </w:pPr>
    </w:p>
    <w:p w14:paraId="72A94370" w14:textId="628D1C5E" w:rsidR="00D024E2" w:rsidRDefault="00D024E2" w:rsidP="002246FC">
      <w:pPr>
        <w:suppressAutoHyphens w:val="0"/>
        <w:spacing w:before="0" w:after="0" w:line="240" w:lineRule="auto"/>
        <w:rPr>
          <w:rFonts w:ascii="Calibri Light" w:eastAsia="Times New Roman" w:hAnsi="Calibri Light" w:cs="Times New Roman"/>
          <w:color w:val="auto"/>
          <w:sz w:val="18"/>
          <w:szCs w:val="18"/>
          <w:lang w:val="en-AU"/>
        </w:rPr>
      </w:pPr>
    </w:p>
    <w:p w14:paraId="5A862594" w14:textId="397008D0" w:rsidR="00D024E2" w:rsidRDefault="00D024E2" w:rsidP="00D024E2">
      <w:pPr>
        <w:suppressAutoHyphens w:val="0"/>
        <w:spacing w:before="0" w:after="0" w:line="240" w:lineRule="auto"/>
        <w:jc w:val="center"/>
        <w:rPr>
          <w:rFonts w:ascii="Calibri Light" w:eastAsia="Times New Roman" w:hAnsi="Calibri Light" w:cs="Times New Roman"/>
          <w:color w:val="auto"/>
          <w:sz w:val="18"/>
          <w:szCs w:val="18"/>
          <w:lang w:val="en-AU"/>
        </w:rPr>
      </w:pPr>
      <w:r w:rsidRPr="00D024E2">
        <w:rPr>
          <w:noProof/>
          <w:lang w:val="en-AU" w:eastAsia="en-AU"/>
        </w:rPr>
        <w:drawing>
          <wp:inline distT="0" distB="0" distL="0" distR="0" wp14:anchorId="14E9D900" wp14:editId="573C254E">
            <wp:extent cx="7617460" cy="118491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17460" cy="1184910"/>
                    </a:xfrm>
                    <a:prstGeom prst="rect">
                      <a:avLst/>
                    </a:prstGeom>
                    <a:noFill/>
                    <a:ln>
                      <a:noFill/>
                    </a:ln>
                  </pic:spPr>
                </pic:pic>
              </a:graphicData>
            </a:graphic>
          </wp:inline>
        </w:drawing>
      </w:r>
    </w:p>
    <w:tbl>
      <w:tblPr>
        <w:tblW w:w="5001" w:type="pct"/>
        <w:tblLook w:val="04A0" w:firstRow="1" w:lastRow="0" w:firstColumn="1" w:lastColumn="0" w:noHBand="0" w:noVBand="1"/>
      </w:tblPr>
      <w:tblGrid>
        <w:gridCol w:w="3680"/>
        <w:gridCol w:w="10773"/>
      </w:tblGrid>
      <w:tr w:rsidR="003D5EF4" w:rsidRPr="00415AF6" w14:paraId="3C2E290D" w14:textId="77777777" w:rsidTr="003D5EF4">
        <w:trPr>
          <w:trHeight w:val="284"/>
          <w:tblHeader/>
        </w:trPr>
        <w:tc>
          <w:tcPr>
            <w:tcW w:w="5000" w:type="pct"/>
            <w:gridSpan w:val="2"/>
            <w:tcBorders>
              <w:top w:val="single" w:sz="4" w:space="0" w:color="auto"/>
              <w:left w:val="single" w:sz="4" w:space="0" w:color="auto"/>
              <w:bottom w:val="single" w:sz="4" w:space="0" w:color="auto"/>
              <w:right w:val="single" w:sz="4" w:space="0" w:color="auto"/>
            </w:tcBorders>
            <w:shd w:val="clear" w:color="000000" w:fill="E6B8B7"/>
            <w:vAlign w:val="center"/>
            <w:hideMark/>
          </w:tcPr>
          <w:p w14:paraId="1F207B7D" w14:textId="77777777" w:rsidR="003D5EF4" w:rsidRPr="00415AF6" w:rsidRDefault="003D5EF4" w:rsidP="003D5EF4">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lastRenderedPageBreak/>
              <w:t xml:space="preserve">Australia's aid objective: </w:t>
            </w:r>
            <w:r w:rsidRPr="00415AF6">
              <w:rPr>
                <w:rFonts w:ascii="Calibri Light" w:eastAsia="Times New Roman" w:hAnsi="Calibri Light" w:cs="Times New Roman"/>
                <w:bCs/>
                <w:color w:val="000000"/>
                <w:sz w:val="20"/>
                <w:szCs w:val="20"/>
                <w:lang w:val="en-AU"/>
              </w:rPr>
              <w:t>Supporting Stability</w:t>
            </w:r>
          </w:p>
        </w:tc>
      </w:tr>
      <w:tr w:rsidR="003D5EF4" w:rsidRPr="00415AF6" w14:paraId="3BF0D73F" w14:textId="77777777" w:rsidTr="003D5EF4">
        <w:trPr>
          <w:trHeight w:val="284"/>
          <w:tblHeader/>
        </w:trPr>
        <w:tc>
          <w:tcPr>
            <w:tcW w:w="1273" w:type="pct"/>
            <w:tcBorders>
              <w:top w:val="single" w:sz="4" w:space="0" w:color="auto"/>
              <w:left w:val="single" w:sz="4" w:space="0" w:color="auto"/>
              <w:bottom w:val="single" w:sz="4" w:space="0" w:color="auto"/>
              <w:right w:val="nil"/>
            </w:tcBorders>
            <w:shd w:val="clear" w:color="000000" w:fill="E6B8B7"/>
            <w:vAlign w:val="center"/>
            <w:hideMark/>
          </w:tcPr>
          <w:p w14:paraId="51E9ABDE" w14:textId="77777777" w:rsidR="003D5EF4" w:rsidRPr="00415AF6" w:rsidRDefault="003D5EF4" w:rsidP="003D5EF4">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Plan outcome</w:t>
            </w:r>
          </w:p>
        </w:tc>
        <w:tc>
          <w:tcPr>
            <w:tcW w:w="3727" w:type="pct"/>
            <w:tcBorders>
              <w:top w:val="single" w:sz="4" w:space="0" w:color="auto"/>
              <w:left w:val="single" w:sz="4" w:space="0" w:color="auto"/>
              <w:bottom w:val="single" w:sz="4" w:space="0" w:color="auto"/>
              <w:right w:val="single" w:sz="4" w:space="0" w:color="auto"/>
            </w:tcBorders>
            <w:shd w:val="clear" w:color="000000" w:fill="E6B8B7"/>
            <w:vAlign w:val="center"/>
            <w:hideMark/>
          </w:tcPr>
          <w:p w14:paraId="0C733CD1" w14:textId="77777777" w:rsidR="003D5EF4" w:rsidRPr="00415AF6" w:rsidRDefault="003D5EF4" w:rsidP="003D5EF4">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Plan outcome indicators</w:t>
            </w:r>
          </w:p>
        </w:tc>
      </w:tr>
      <w:tr w:rsidR="003D5EF4" w:rsidRPr="00415AF6" w14:paraId="129F3A6E" w14:textId="77777777" w:rsidTr="003D5EF4">
        <w:trPr>
          <w:trHeight w:val="284"/>
          <w:tblHeader/>
        </w:trPr>
        <w:tc>
          <w:tcPr>
            <w:tcW w:w="1273" w:type="pct"/>
            <w:vMerge w:val="restart"/>
            <w:tcBorders>
              <w:top w:val="single" w:sz="4" w:space="0" w:color="auto"/>
              <w:left w:val="single" w:sz="4" w:space="0" w:color="auto"/>
              <w:right w:val="nil"/>
            </w:tcBorders>
            <w:shd w:val="clear" w:color="000000" w:fill="E6B8B7"/>
            <w:vAlign w:val="center"/>
            <w:hideMark/>
          </w:tcPr>
          <w:p w14:paraId="217E6401" w14:textId="1C6FE175" w:rsidR="003D5EF4" w:rsidRPr="00415AF6" w:rsidRDefault="003D5EF4" w:rsidP="003D5EF4">
            <w:pPr>
              <w:rPr>
                <w:rFonts w:ascii="Calibri Light" w:hAnsi="Calibri Light"/>
                <w:color w:val="000000"/>
                <w:sz w:val="20"/>
                <w:szCs w:val="20"/>
              </w:rPr>
            </w:pPr>
            <w:r w:rsidRPr="00415AF6">
              <w:rPr>
                <w:rFonts w:ascii="Calibri Light" w:hAnsi="Calibri Light"/>
                <w:bCs/>
                <w:color w:val="000000"/>
                <w:sz w:val="20"/>
                <w:szCs w:val="20"/>
              </w:rPr>
              <w:t>1</w:t>
            </w:r>
            <w:r w:rsidR="003A3C85">
              <w:rPr>
                <w:rFonts w:ascii="Calibri Light" w:hAnsi="Calibri Light"/>
                <w:bCs/>
                <w:color w:val="000000"/>
                <w:sz w:val="20"/>
                <w:szCs w:val="20"/>
              </w:rPr>
              <w:t xml:space="preserve">.  </w:t>
            </w:r>
            <w:r w:rsidRPr="00415AF6">
              <w:rPr>
                <w:rFonts w:ascii="Calibri Light" w:hAnsi="Calibri Light"/>
                <w:bCs/>
                <w:color w:val="000000"/>
                <w:sz w:val="20"/>
                <w:szCs w:val="20"/>
              </w:rPr>
              <w:t>Solomon Islanders increasingly recognise and participate in a legitimate state, free from conflict and economically stable</w:t>
            </w:r>
          </w:p>
        </w:tc>
        <w:tc>
          <w:tcPr>
            <w:tcW w:w="3727"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08CF4538"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Free and fair national elections held in 2018/19</w:t>
            </w:r>
          </w:p>
        </w:tc>
      </w:tr>
      <w:tr w:rsidR="003D5EF4" w:rsidRPr="00415AF6" w14:paraId="0F50B75B" w14:textId="77777777" w:rsidTr="003D5EF4">
        <w:trPr>
          <w:trHeight w:val="284"/>
          <w:tblHeader/>
        </w:trPr>
        <w:tc>
          <w:tcPr>
            <w:tcW w:w="1273" w:type="pct"/>
            <w:vMerge/>
            <w:tcBorders>
              <w:left w:val="single" w:sz="4" w:space="0" w:color="auto"/>
              <w:right w:val="nil"/>
            </w:tcBorders>
            <w:shd w:val="clear" w:color="000000" w:fill="E6B8B7"/>
            <w:vAlign w:val="center"/>
            <w:hideMark/>
          </w:tcPr>
          <w:p w14:paraId="01915393"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3F3FD810" w14:textId="77777777" w:rsidR="003D5EF4" w:rsidRPr="00415AF6" w:rsidRDefault="003D5EF4" w:rsidP="003D5EF4">
            <w:pPr>
              <w:suppressAutoHyphens w:val="0"/>
              <w:spacing w:before="0" w:after="0" w:line="240" w:lineRule="auto"/>
              <w:rPr>
                <w:rFonts w:ascii="Calibri Light" w:eastAsia="Times New Roman" w:hAnsi="Calibri Light" w:cs="Times New Roman"/>
                <w:i/>
                <w:color w:val="000000"/>
                <w:sz w:val="20"/>
                <w:szCs w:val="20"/>
                <w:lang w:val="en-AU"/>
              </w:rPr>
            </w:pPr>
            <w:r w:rsidRPr="00415AF6">
              <w:rPr>
                <w:rFonts w:ascii="Calibri Light" w:eastAsia="Times New Roman" w:hAnsi="Calibri Light" w:cs="Times New Roman"/>
                <w:i/>
                <w:color w:val="000000"/>
                <w:sz w:val="20"/>
                <w:szCs w:val="20"/>
                <w:lang w:val="en-AU"/>
              </w:rPr>
              <w:t>Percentage of people who agree with the statement 'that the RSIPF always treat people fairly and with respect' (revised from ‘Confidence in the police’)</w:t>
            </w:r>
          </w:p>
        </w:tc>
      </w:tr>
      <w:tr w:rsidR="003D5EF4" w:rsidRPr="00415AF6" w14:paraId="3FC45253" w14:textId="77777777" w:rsidTr="003D5EF4">
        <w:trPr>
          <w:trHeight w:val="284"/>
          <w:tblHeader/>
        </w:trPr>
        <w:tc>
          <w:tcPr>
            <w:tcW w:w="1273" w:type="pct"/>
            <w:vMerge/>
            <w:tcBorders>
              <w:left w:val="single" w:sz="4" w:space="0" w:color="auto"/>
              <w:right w:val="nil"/>
            </w:tcBorders>
            <w:shd w:val="clear" w:color="000000" w:fill="E6B8B7"/>
            <w:vAlign w:val="center"/>
            <w:hideMark/>
          </w:tcPr>
          <w:p w14:paraId="2696DF53"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05022EA6"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Debt and fiscal balance levels</w:t>
            </w:r>
          </w:p>
        </w:tc>
      </w:tr>
      <w:tr w:rsidR="003D5EF4" w:rsidRPr="00415AF6" w14:paraId="167AA3A0" w14:textId="77777777" w:rsidTr="003D5EF4">
        <w:trPr>
          <w:trHeight w:val="284"/>
          <w:tblHeader/>
        </w:trPr>
        <w:tc>
          <w:tcPr>
            <w:tcW w:w="1273" w:type="pct"/>
            <w:vMerge/>
            <w:tcBorders>
              <w:left w:val="single" w:sz="4" w:space="0" w:color="auto"/>
              <w:bottom w:val="single" w:sz="4" w:space="0" w:color="auto"/>
              <w:right w:val="nil"/>
            </w:tcBorders>
            <w:shd w:val="clear" w:color="000000" w:fill="E6B8B7"/>
            <w:vAlign w:val="center"/>
            <w:hideMark/>
          </w:tcPr>
          <w:p w14:paraId="69970095"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60FE4A70"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Positive changes in attitudes towards family violence</w:t>
            </w:r>
          </w:p>
        </w:tc>
      </w:tr>
      <w:tr w:rsidR="003D5EF4" w:rsidRPr="00415AF6" w14:paraId="37BCEE7F" w14:textId="77777777" w:rsidTr="003D5EF4">
        <w:trPr>
          <w:trHeight w:val="284"/>
          <w:tblHeader/>
        </w:trPr>
        <w:tc>
          <w:tcPr>
            <w:tcW w:w="5000" w:type="pct"/>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14:paraId="79E3EB0B" w14:textId="77777777" w:rsidR="003D5EF4" w:rsidRPr="00415AF6" w:rsidRDefault="003D5EF4" w:rsidP="003D5EF4">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 xml:space="preserve">Australia's aid objective: </w:t>
            </w:r>
            <w:r w:rsidRPr="00415AF6">
              <w:rPr>
                <w:rFonts w:ascii="Calibri Light" w:eastAsia="Times New Roman" w:hAnsi="Calibri Light" w:cs="Times New Roman"/>
                <w:bCs/>
                <w:color w:val="000000"/>
                <w:sz w:val="20"/>
                <w:szCs w:val="20"/>
                <w:lang w:val="en-AU"/>
              </w:rPr>
              <w:t>Enabling Economic Growth</w:t>
            </w:r>
          </w:p>
        </w:tc>
      </w:tr>
      <w:tr w:rsidR="003D5EF4" w:rsidRPr="00415AF6" w14:paraId="5EA44028" w14:textId="77777777" w:rsidTr="003D5EF4">
        <w:trPr>
          <w:trHeight w:val="284"/>
          <w:tblHeader/>
        </w:trPr>
        <w:tc>
          <w:tcPr>
            <w:tcW w:w="1273" w:type="pct"/>
            <w:tcBorders>
              <w:top w:val="single" w:sz="4" w:space="0" w:color="auto"/>
              <w:left w:val="single" w:sz="4" w:space="0" w:color="auto"/>
              <w:bottom w:val="single" w:sz="4" w:space="0" w:color="auto"/>
              <w:right w:val="nil"/>
            </w:tcBorders>
            <w:shd w:val="clear" w:color="000000" w:fill="FCD5B4"/>
            <w:vAlign w:val="center"/>
            <w:hideMark/>
          </w:tcPr>
          <w:p w14:paraId="66164E62" w14:textId="77777777" w:rsidR="003D5EF4" w:rsidRPr="00415AF6" w:rsidRDefault="003D5EF4" w:rsidP="003D5EF4">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Plan outcome</w:t>
            </w:r>
          </w:p>
        </w:tc>
        <w:tc>
          <w:tcPr>
            <w:tcW w:w="3727" w:type="pct"/>
            <w:tcBorders>
              <w:top w:val="single" w:sz="4" w:space="0" w:color="auto"/>
              <w:left w:val="single" w:sz="4" w:space="0" w:color="auto"/>
              <w:bottom w:val="single" w:sz="4" w:space="0" w:color="auto"/>
              <w:right w:val="single" w:sz="4" w:space="0" w:color="auto"/>
            </w:tcBorders>
            <w:shd w:val="clear" w:color="000000" w:fill="FCD5B4"/>
            <w:vAlign w:val="center"/>
            <w:hideMark/>
          </w:tcPr>
          <w:p w14:paraId="00C9F40D" w14:textId="77777777" w:rsidR="003D5EF4" w:rsidRPr="00415AF6" w:rsidRDefault="003D5EF4" w:rsidP="003D5EF4">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Plan outcome indicators</w:t>
            </w:r>
          </w:p>
        </w:tc>
      </w:tr>
      <w:tr w:rsidR="003D5EF4" w:rsidRPr="00415AF6" w14:paraId="5D2957A3" w14:textId="77777777" w:rsidTr="003D5EF4">
        <w:trPr>
          <w:trHeight w:val="284"/>
          <w:tblHeader/>
        </w:trPr>
        <w:tc>
          <w:tcPr>
            <w:tcW w:w="1273" w:type="pct"/>
            <w:vMerge w:val="restart"/>
            <w:tcBorders>
              <w:top w:val="single" w:sz="4" w:space="0" w:color="auto"/>
              <w:left w:val="single" w:sz="4" w:space="0" w:color="auto"/>
              <w:right w:val="nil"/>
            </w:tcBorders>
            <w:shd w:val="clear" w:color="000000" w:fill="FCD5B4"/>
            <w:vAlign w:val="center"/>
            <w:hideMark/>
          </w:tcPr>
          <w:p w14:paraId="5E3E2987" w14:textId="77777777" w:rsidR="003D5EF4" w:rsidRPr="00415AF6" w:rsidRDefault="003D5EF4" w:rsidP="003D5EF4">
            <w:p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bCs/>
                <w:color w:val="000000"/>
                <w:sz w:val="20"/>
                <w:szCs w:val="20"/>
                <w:lang w:val="en-AU"/>
              </w:rPr>
              <w:t>2.A  Solomon Islands’ economic operating environment is more attractive to business</w:t>
            </w:r>
          </w:p>
        </w:tc>
        <w:tc>
          <w:tcPr>
            <w:tcW w:w="3727" w:type="pct"/>
            <w:tcBorders>
              <w:top w:val="single" w:sz="4" w:space="0" w:color="auto"/>
              <w:left w:val="single" w:sz="4" w:space="0" w:color="auto"/>
              <w:bottom w:val="single" w:sz="4" w:space="0" w:color="auto"/>
              <w:right w:val="single" w:sz="4" w:space="0" w:color="auto"/>
            </w:tcBorders>
            <w:shd w:val="clear" w:color="000000" w:fill="FDE9D9"/>
            <w:vAlign w:val="center"/>
            <w:hideMark/>
          </w:tcPr>
          <w:p w14:paraId="11CC1409"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Improvement in cost of doing business index rating</w:t>
            </w:r>
          </w:p>
        </w:tc>
      </w:tr>
      <w:tr w:rsidR="003D5EF4" w:rsidRPr="00415AF6" w14:paraId="1FEAD9FD" w14:textId="77777777" w:rsidTr="003D5EF4">
        <w:trPr>
          <w:trHeight w:val="284"/>
          <w:tblHeader/>
        </w:trPr>
        <w:tc>
          <w:tcPr>
            <w:tcW w:w="1273" w:type="pct"/>
            <w:vMerge/>
            <w:tcBorders>
              <w:left w:val="single" w:sz="4" w:space="0" w:color="auto"/>
              <w:right w:val="nil"/>
            </w:tcBorders>
            <w:shd w:val="clear" w:color="000000" w:fill="FCD5B4"/>
            <w:vAlign w:val="center"/>
            <w:hideMark/>
          </w:tcPr>
          <w:p w14:paraId="1613F52A"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single" w:sz="4" w:space="0" w:color="auto"/>
              <w:bottom w:val="single" w:sz="4" w:space="0" w:color="auto"/>
              <w:right w:val="single" w:sz="4" w:space="0" w:color="auto"/>
            </w:tcBorders>
            <w:shd w:val="clear" w:color="000000" w:fill="FDE9D9"/>
            <w:vAlign w:val="center"/>
            <w:hideMark/>
          </w:tcPr>
          <w:p w14:paraId="16B103C8"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Increase in number of registered businesses</w:t>
            </w:r>
          </w:p>
        </w:tc>
      </w:tr>
      <w:tr w:rsidR="003D5EF4" w:rsidRPr="00415AF6" w14:paraId="3927291C" w14:textId="77777777" w:rsidTr="003D5EF4">
        <w:trPr>
          <w:trHeight w:val="284"/>
          <w:tblHeader/>
        </w:trPr>
        <w:tc>
          <w:tcPr>
            <w:tcW w:w="1273" w:type="pct"/>
            <w:vMerge/>
            <w:tcBorders>
              <w:left w:val="single" w:sz="4" w:space="0" w:color="auto"/>
              <w:right w:val="nil"/>
            </w:tcBorders>
            <w:shd w:val="clear" w:color="000000" w:fill="FCD5B4"/>
            <w:vAlign w:val="center"/>
            <w:hideMark/>
          </w:tcPr>
          <w:p w14:paraId="0FB97995"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single" w:sz="4" w:space="0" w:color="auto"/>
              <w:bottom w:val="single" w:sz="4" w:space="0" w:color="auto"/>
              <w:right w:val="single" w:sz="4" w:space="0" w:color="auto"/>
            </w:tcBorders>
            <w:shd w:val="clear" w:color="000000" w:fill="FDE9D9"/>
            <w:vAlign w:val="center"/>
            <w:hideMark/>
          </w:tcPr>
          <w:p w14:paraId="597A0538"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Increase in availability of private sector credit</w:t>
            </w:r>
          </w:p>
        </w:tc>
      </w:tr>
      <w:tr w:rsidR="003D5EF4" w:rsidRPr="00415AF6" w14:paraId="24AEA5AD" w14:textId="77777777" w:rsidTr="003D5EF4">
        <w:trPr>
          <w:trHeight w:val="284"/>
          <w:tblHeader/>
        </w:trPr>
        <w:tc>
          <w:tcPr>
            <w:tcW w:w="1273" w:type="pct"/>
            <w:vMerge/>
            <w:tcBorders>
              <w:left w:val="single" w:sz="4" w:space="0" w:color="auto"/>
              <w:bottom w:val="single" w:sz="4" w:space="0" w:color="auto"/>
              <w:right w:val="nil"/>
            </w:tcBorders>
            <w:shd w:val="clear" w:color="000000" w:fill="FCD5B4"/>
            <w:vAlign w:val="center"/>
            <w:hideMark/>
          </w:tcPr>
          <w:p w14:paraId="2E60E300"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single" w:sz="4" w:space="0" w:color="auto"/>
              <w:bottom w:val="single" w:sz="4" w:space="0" w:color="auto"/>
              <w:right w:val="single" w:sz="4" w:space="0" w:color="auto"/>
            </w:tcBorders>
            <w:shd w:val="clear" w:color="000000" w:fill="FDE9D9"/>
            <w:vAlign w:val="center"/>
            <w:hideMark/>
          </w:tcPr>
          <w:p w14:paraId="55F149F2"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Transport infrastructure rehabilitated/ maintained (km of roads, as well as number of wharves and bridges)</w:t>
            </w:r>
          </w:p>
        </w:tc>
      </w:tr>
      <w:tr w:rsidR="003D5EF4" w:rsidRPr="00415AF6" w14:paraId="2E706947" w14:textId="77777777" w:rsidTr="003D5EF4">
        <w:trPr>
          <w:trHeight w:val="284"/>
          <w:tblHeader/>
        </w:trPr>
        <w:tc>
          <w:tcPr>
            <w:tcW w:w="1273" w:type="pct"/>
            <w:vMerge w:val="restart"/>
            <w:tcBorders>
              <w:top w:val="single" w:sz="4" w:space="0" w:color="auto"/>
              <w:left w:val="single" w:sz="4" w:space="0" w:color="auto"/>
              <w:right w:val="single" w:sz="4" w:space="0" w:color="auto"/>
            </w:tcBorders>
            <w:shd w:val="clear" w:color="000000" w:fill="FCD5B4"/>
            <w:vAlign w:val="center"/>
            <w:hideMark/>
          </w:tcPr>
          <w:p w14:paraId="5B16B2BD" w14:textId="77777777" w:rsidR="003D5EF4" w:rsidRPr="00415AF6" w:rsidRDefault="003D5EF4" w:rsidP="003D5EF4">
            <w:p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bCs/>
                <w:color w:val="000000"/>
                <w:sz w:val="20"/>
                <w:szCs w:val="20"/>
                <w:lang w:val="en-AU"/>
              </w:rPr>
              <w:t>2.B  More men and women are able to earn a cash-based income</w:t>
            </w:r>
          </w:p>
        </w:tc>
        <w:tc>
          <w:tcPr>
            <w:tcW w:w="3727" w:type="pct"/>
            <w:tcBorders>
              <w:top w:val="single" w:sz="4" w:space="0" w:color="auto"/>
              <w:left w:val="nil"/>
              <w:bottom w:val="single" w:sz="4" w:space="0" w:color="auto"/>
              <w:right w:val="single" w:sz="4" w:space="0" w:color="auto"/>
            </w:tcBorders>
            <w:shd w:val="clear" w:color="000000" w:fill="FDE9D9"/>
            <w:vAlign w:val="center"/>
            <w:hideMark/>
          </w:tcPr>
          <w:p w14:paraId="10D3F526"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Active membership of National Provident Fund</w:t>
            </w:r>
          </w:p>
        </w:tc>
      </w:tr>
      <w:tr w:rsidR="003D5EF4" w:rsidRPr="00415AF6" w14:paraId="3F8C031E" w14:textId="77777777" w:rsidTr="003D5EF4">
        <w:trPr>
          <w:trHeight w:val="284"/>
          <w:tblHeader/>
        </w:trPr>
        <w:tc>
          <w:tcPr>
            <w:tcW w:w="1273" w:type="pct"/>
            <w:vMerge/>
            <w:tcBorders>
              <w:left w:val="single" w:sz="4" w:space="0" w:color="auto"/>
              <w:bottom w:val="single" w:sz="4" w:space="0" w:color="auto"/>
              <w:right w:val="single" w:sz="4" w:space="0" w:color="auto"/>
            </w:tcBorders>
            <w:shd w:val="clear" w:color="000000" w:fill="FCD5B4"/>
            <w:vAlign w:val="center"/>
            <w:hideMark/>
          </w:tcPr>
          <w:p w14:paraId="2983A4A8"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nil"/>
              <w:bottom w:val="single" w:sz="4" w:space="0" w:color="auto"/>
              <w:right w:val="single" w:sz="4" w:space="0" w:color="auto"/>
            </w:tcBorders>
            <w:shd w:val="clear" w:color="000000" w:fill="FDE9D9"/>
            <w:vAlign w:val="center"/>
            <w:hideMark/>
          </w:tcPr>
          <w:p w14:paraId="3A508F08"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Number of men and women with new skills for income generation</w:t>
            </w:r>
          </w:p>
        </w:tc>
      </w:tr>
      <w:tr w:rsidR="003D5EF4" w:rsidRPr="00415AF6" w14:paraId="0371F9EC" w14:textId="77777777" w:rsidTr="003D5EF4">
        <w:trPr>
          <w:trHeight w:val="284"/>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9606E3C"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b/>
                <w:bCs/>
                <w:color w:val="000000"/>
                <w:sz w:val="20"/>
                <w:szCs w:val="20"/>
                <w:lang w:val="en-AU"/>
              </w:rPr>
              <w:t xml:space="preserve">Australia's aid objective: </w:t>
            </w:r>
            <w:r w:rsidRPr="00415AF6">
              <w:rPr>
                <w:rFonts w:ascii="Calibri Light" w:eastAsia="Times New Roman" w:hAnsi="Calibri Light" w:cs="Times New Roman"/>
                <w:bCs/>
                <w:color w:val="000000"/>
                <w:sz w:val="20"/>
                <w:szCs w:val="20"/>
                <w:lang w:val="en-AU"/>
              </w:rPr>
              <w:t>Enhancing Human Development</w:t>
            </w:r>
          </w:p>
        </w:tc>
      </w:tr>
      <w:tr w:rsidR="003D5EF4" w:rsidRPr="00415AF6" w14:paraId="6B209366" w14:textId="77777777" w:rsidTr="003D5EF4">
        <w:trPr>
          <w:trHeight w:val="284"/>
          <w:tblHeader/>
        </w:trPr>
        <w:tc>
          <w:tcPr>
            <w:tcW w:w="1273" w:type="pct"/>
            <w:tcBorders>
              <w:top w:val="single" w:sz="4" w:space="0" w:color="auto"/>
              <w:left w:val="single" w:sz="4" w:space="0" w:color="auto"/>
              <w:bottom w:val="single" w:sz="4" w:space="0" w:color="auto"/>
              <w:right w:val="nil"/>
            </w:tcBorders>
            <w:shd w:val="clear" w:color="auto" w:fill="FFFF99"/>
            <w:vAlign w:val="center"/>
            <w:hideMark/>
          </w:tcPr>
          <w:p w14:paraId="468D8B9B" w14:textId="77777777" w:rsidR="003D5EF4" w:rsidRPr="00415AF6" w:rsidRDefault="003D5EF4" w:rsidP="003D5EF4">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Plan outcome</w:t>
            </w:r>
          </w:p>
        </w:tc>
        <w:tc>
          <w:tcPr>
            <w:tcW w:w="3727"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3F318DFA" w14:textId="77777777" w:rsidR="003D5EF4" w:rsidRPr="00415AF6" w:rsidRDefault="003D5EF4" w:rsidP="003D5EF4">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Plan outcome indicators</w:t>
            </w:r>
          </w:p>
        </w:tc>
      </w:tr>
      <w:tr w:rsidR="003D5EF4" w:rsidRPr="00415AF6" w14:paraId="6867AE42" w14:textId="77777777" w:rsidTr="003D5EF4">
        <w:trPr>
          <w:trHeight w:val="284"/>
          <w:tblHeader/>
        </w:trPr>
        <w:tc>
          <w:tcPr>
            <w:tcW w:w="1273" w:type="pct"/>
            <w:vMerge w:val="restart"/>
            <w:tcBorders>
              <w:top w:val="single" w:sz="4" w:space="0" w:color="auto"/>
              <w:left w:val="single" w:sz="4" w:space="0" w:color="auto"/>
              <w:right w:val="single" w:sz="4" w:space="0" w:color="auto"/>
            </w:tcBorders>
            <w:shd w:val="clear" w:color="auto" w:fill="FFFF99"/>
            <w:vAlign w:val="center"/>
            <w:hideMark/>
          </w:tcPr>
          <w:p w14:paraId="5BC39941" w14:textId="3F9F32F1" w:rsidR="003D5EF4" w:rsidRPr="00415AF6" w:rsidRDefault="003D5EF4" w:rsidP="003D5EF4">
            <w:p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3</w:t>
            </w:r>
            <w:r w:rsidR="003A3C85">
              <w:rPr>
                <w:rFonts w:ascii="Calibri Light" w:eastAsia="Times New Roman" w:hAnsi="Calibri Light" w:cs="Times New Roman"/>
                <w:color w:val="000000"/>
                <w:sz w:val="20"/>
                <w:szCs w:val="20"/>
                <w:lang w:val="en-AU"/>
              </w:rPr>
              <w:t xml:space="preserve">.  </w:t>
            </w:r>
            <w:r w:rsidRPr="00415AF6">
              <w:rPr>
                <w:rFonts w:ascii="Calibri Light" w:eastAsia="Times New Roman" w:hAnsi="Calibri Light" w:cs="Times New Roman"/>
                <w:bCs/>
                <w:color w:val="000000"/>
                <w:sz w:val="20"/>
                <w:szCs w:val="20"/>
                <w:lang w:val="en-AU"/>
              </w:rPr>
              <w:t>More men, women, girls and boys benefit from quality health and basic and vocational education services</w:t>
            </w:r>
            <w:r w:rsidRPr="00415AF6">
              <w:rPr>
                <w:rFonts w:ascii="Calibri Light" w:eastAsia="Times New Roman" w:hAnsi="Calibri Light" w:cs="Times New Roman"/>
                <w:color w:val="000000"/>
                <w:sz w:val="20"/>
                <w:szCs w:val="20"/>
                <w:lang w:val="en-AU"/>
              </w:rPr>
              <w:t xml:space="preserve"> </w:t>
            </w:r>
          </w:p>
        </w:tc>
        <w:tc>
          <w:tcPr>
            <w:tcW w:w="3727" w:type="pct"/>
            <w:tcBorders>
              <w:top w:val="single" w:sz="4" w:space="0" w:color="auto"/>
              <w:left w:val="nil"/>
              <w:bottom w:val="single" w:sz="4" w:space="0" w:color="auto"/>
              <w:right w:val="single" w:sz="4" w:space="0" w:color="auto"/>
            </w:tcBorders>
            <w:shd w:val="clear" w:color="000000" w:fill="FFFFCC"/>
            <w:vAlign w:val="center"/>
            <w:hideMark/>
          </w:tcPr>
          <w:p w14:paraId="79DB2D59" w14:textId="77777777" w:rsidR="003D5EF4" w:rsidRPr="00415AF6" w:rsidRDefault="003D5EF4" w:rsidP="003D5EF4">
            <w:pPr>
              <w:suppressAutoHyphens w:val="0"/>
              <w:spacing w:before="0" w:after="0" w:line="240" w:lineRule="auto"/>
              <w:rPr>
                <w:rFonts w:ascii="Calibri Light" w:eastAsia="Times New Roman" w:hAnsi="Calibri Light" w:cs="Times New Roman"/>
                <w:i/>
                <w:color w:val="000000"/>
                <w:sz w:val="20"/>
                <w:szCs w:val="20"/>
                <w:lang w:val="en-AU"/>
              </w:rPr>
            </w:pPr>
            <w:r w:rsidRPr="00415AF6">
              <w:rPr>
                <w:rFonts w:ascii="Calibri Light" w:eastAsia="Times New Roman" w:hAnsi="Calibri Light" w:cs="Times New Roman"/>
                <w:i/>
                <w:color w:val="000000"/>
                <w:sz w:val="20"/>
                <w:szCs w:val="20"/>
                <w:lang w:val="en-AU"/>
              </w:rPr>
              <w:t>Availability of critical and essential medicines (includes contraceptives) at Second Level Medical Stores (provincial level)  (revised from ‘Resources reaching front line’</w:t>
            </w:r>
            <w:r>
              <w:rPr>
                <w:rFonts w:ascii="Calibri Light" w:eastAsia="Times New Roman" w:hAnsi="Calibri Light" w:cs="Times New Roman"/>
                <w:i/>
                <w:color w:val="000000"/>
                <w:sz w:val="20"/>
                <w:szCs w:val="20"/>
                <w:lang w:val="en-AU"/>
              </w:rPr>
              <w:t xml:space="preserve"> – align with performance benchmark</w:t>
            </w:r>
            <w:r w:rsidRPr="00415AF6">
              <w:rPr>
                <w:rFonts w:ascii="Calibri Light" w:eastAsia="Times New Roman" w:hAnsi="Calibri Light" w:cs="Times New Roman"/>
                <w:i/>
                <w:color w:val="000000"/>
                <w:sz w:val="20"/>
                <w:szCs w:val="20"/>
                <w:lang w:val="en-AU"/>
              </w:rPr>
              <w:t>)</w:t>
            </w:r>
          </w:p>
        </w:tc>
      </w:tr>
      <w:tr w:rsidR="003D5EF4" w:rsidRPr="00415AF6" w14:paraId="1FBD31C3" w14:textId="77777777" w:rsidTr="003D5EF4">
        <w:trPr>
          <w:trHeight w:val="284"/>
          <w:tblHeader/>
        </w:trPr>
        <w:tc>
          <w:tcPr>
            <w:tcW w:w="1273" w:type="pct"/>
            <w:vMerge/>
            <w:tcBorders>
              <w:left w:val="single" w:sz="4" w:space="0" w:color="auto"/>
              <w:right w:val="single" w:sz="4" w:space="0" w:color="auto"/>
            </w:tcBorders>
            <w:shd w:val="clear" w:color="auto" w:fill="FFFF99"/>
            <w:vAlign w:val="center"/>
            <w:hideMark/>
          </w:tcPr>
          <w:p w14:paraId="6C950ECA"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nil"/>
              <w:bottom w:val="single" w:sz="4" w:space="0" w:color="auto"/>
              <w:right w:val="single" w:sz="4" w:space="0" w:color="auto"/>
            </w:tcBorders>
            <w:shd w:val="clear" w:color="000000" w:fill="FFFFCC"/>
            <w:vAlign w:val="center"/>
            <w:hideMark/>
          </w:tcPr>
          <w:p w14:paraId="2D653C0B"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i/>
                <w:color w:val="000000"/>
                <w:sz w:val="20"/>
                <w:szCs w:val="20"/>
                <w:lang w:val="en-AU"/>
              </w:rPr>
              <w:t>Percentage of teachers certified (revised from ‘Skill levels of staff and observance of guidelines’</w:t>
            </w:r>
            <w:r>
              <w:rPr>
                <w:rFonts w:ascii="Calibri Light" w:eastAsia="Times New Roman" w:hAnsi="Calibri Light" w:cs="Times New Roman"/>
                <w:i/>
                <w:color w:val="000000"/>
                <w:sz w:val="20"/>
                <w:szCs w:val="20"/>
                <w:lang w:val="en-AU"/>
              </w:rPr>
              <w:t>, align with performance benchmark</w:t>
            </w:r>
            <w:r w:rsidRPr="00415AF6">
              <w:rPr>
                <w:rFonts w:ascii="Calibri Light" w:eastAsia="Times New Roman" w:hAnsi="Calibri Light" w:cs="Times New Roman"/>
                <w:i/>
                <w:color w:val="000000"/>
                <w:sz w:val="20"/>
                <w:szCs w:val="20"/>
                <w:lang w:val="en-AU"/>
              </w:rPr>
              <w:t>)</w:t>
            </w:r>
          </w:p>
        </w:tc>
      </w:tr>
      <w:tr w:rsidR="003D5EF4" w:rsidRPr="00415AF6" w14:paraId="65C3E037" w14:textId="77777777" w:rsidTr="003D5EF4">
        <w:trPr>
          <w:trHeight w:val="284"/>
          <w:tblHeader/>
        </w:trPr>
        <w:tc>
          <w:tcPr>
            <w:tcW w:w="1273" w:type="pct"/>
            <w:vMerge/>
            <w:tcBorders>
              <w:left w:val="single" w:sz="4" w:space="0" w:color="auto"/>
              <w:right w:val="single" w:sz="4" w:space="0" w:color="auto"/>
            </w:tcBorders>
            <w:shd w:val="clear" w:color="auto" w:fill="FFFF99"/>
            <w:vAlign w:val="center"/>
            <w:hideMark/>
          </w:tcPr>
          <w:p w14:paraId="382ACF6C"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nil"/>
              <w:bottom w:val="single" w:sz="4" w:space="0" w:color="auto"/>
              <w:right w:val="single" w:sz="4" w:space="0" w:color="auto"/>
            </w:tcBorders>
            <w:shd w:val="clear" w:color="000000" w:fill="FFFFCC"/>
            <w:vAlign w:val="center"/>
            <w:hideMark/>
          </w:tcPr>
          <w:p w14:paraId="5D6423F2"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Maternal and child mortality rates</w:t>
            </w:r>
          </w:p>
        </w:tc>
      </w:tr>
      <w:tr w:rsidR="003D5EF4" w:rsidRPr="001D3EE3" w14:paraId="30E61A65" w14:textId="77777777" w:rsidTr="003D5EF4">
        <w:trPr>
          <w:trHeight w:val="284"/>
          <w:tblHeader/>
        </w:trPr>
        <w:tc>
          <w:tcPr>
            <w:tcW w:w="1273" w:type="pct"/>
            <w:vMerge/>
            <w:tcBorders>
              <w:left w:val="single" w:sz="4" w:space="0" w:color="auto"/>
              <w:right w:val="single" w:sz="4" w:space="0" w:color="auto"/>
            </w:tcBorders>
            <w:shd w:val="clear" w:color="auto" w:fill="FFFF99"/>
            <w:vAlign w:val="center"/>
            <w:hideMark/>
          </w:tcPr>
          <w:p w14:paraId="267D8E00"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nil"/>
              <w:bottom w:val="single" w:sz="4" w:space="0" w:color="auto"/>
              <w:right w:val="single" w:sz="4" w:space="0" w:color="auto"/>
            </w:tcBorders>
            <w:shd w:val="clear" w:color="000000" w:fill="FFFFCC"/>
            <w:vAlign w:val="center"/>
            <w:hideMark/>
          </w:tcPr>
          <w:p w14:paraId="39BD5EAE" w14:textId="77777777" w:rsidR="003D5EF4" w:rsidRPr="001D3EE3" w:rsidRDefault="003D5EF4" w:rsidP="003D5EF4">
            <w:pPr>
              <w:suppressAutoHyphens w:val="0"/>
              <w:spacing w:before="0" w:after="0" w:line="240" w:lineRule="auto"/>
              <w:rPr>
                <w:rFonts w:ascii="Calibri Light" w:eastAsia="Times New Roman" w:hAnsi="Calibri Light" w:cs="Times New Roman"/>
                <w:i/>
                <w:color w:val="000000"/>
                <w:sz w:val="20"/>
                <w:szCs w:val="20"/>
                <w:lang w:val="en-AU"/>
              </w:rPr>
            </w:pPr>
            <w:r w:rsidRPr="001D3EE3">
              <w:rPr>
                <w:rFonts w:ascii="Calibri Light" w:eastAsia="Times New Roman" w:hAnsi="Calibri Light" w:cs="Times New Roman"/>
                <w:i/>
                <w:color w:val="000000"/>
                <w:sz w:val="20"/>
                <w:szCs w:val="20"/>
                <w:lang w:val="en-AU"/>
              </w:rPr>
              <w:t>Number of contraceptive contacts per 1000 of population (revised from ‘Contraceptive use’)</w:t>
            </w:r>
          </w:p>
        </w:tc>
      </w:tr>
      <w:tr w:rsidR="003D5EF4" w:rsidRPr="00415AF6" w14:paraId="1C7B76BA" w14:textId="77777777" w:rsidTr="003D5EF4">
        <w:trPr>
          <w:trHeight w:val="284"/>
          <w:tblHeader/>
        </w:trPr>
        <w:tc>
          <w:tcPr>
            <w:tcW w:w="1273" w:type="pct"/>
            <w:vMerge/>
            <w:tcBorders>
              <w:left w:val="single" w:sz="4" w:space="0" w:color="auto"/>
              <w:right w:val="single" w:sz="4" w:space="0" w:color="auto"/>
            </w:tcBorders>
            <w:shd w:val="clear" w:color="auto" w:fill="FFFF99"/>
            <w:vAlign w:val="center"/>
            <w:hideMark/>
          </w:tcPr>
          <w:p w14:paraId="068F5EB9"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nil"/>
              <w:bottom w:val="single" w:sz="4" w:space="0" w:color="auto"/>
              <w:right w:val="single" w:sz="4" w:space="0" w:color="auto"/>
            </w:tcBorders>
            <w:shd w:val="clear" w:color="000000" w:fill="FFFFCC"/>
            <w:vAlign w:val="center"/>
            <w:hideMark/>
          </w:tcPr>
          <w:p w14:paraId="4531A45E"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1D3EE3">
              <w:rPr>
                <w:rFonts w:ascii="Calibri Light" w:eastAsia="Times New Roman" w:hAnsi="Calibri Light" w:cs="Times New Roman"/>
                <w:color w:val="auto"/>
                <w:sz w:val="20"/>
                <w:szCs w:val="20"/>
                <w:lang w:val="en-AU"/>
              </w:rPr>
              <w:t>% of schools with access to improved water source and sanitation</w:t>
            </w:r>
          </w:p>
        </w:tc>
      </w:tr>
      <w:tr w:rsidR="003D5EF4" w:rsidRPr="00415AF6" w14:paraId="417803A7" w14:textId="77777777" w:rsidTr="003D5EF4">
        <w:trPr>
          <w:trHeight w:val="284"/>
          <w:tblHeader/>
        </w:trPr>
        <w:tc>
          <w:tcPr>
            <w:tcW w:w="1273" w:type="pct"/>
            <w:vMerge/>
            <w:tcBorders>
              <w:left w:val="single" w:sz="4" w:space="0" w:color="auto"/>
              <w:right w:val="single" w:sz="4" w:space="0" w:color="auto"/>
            </w:tcBorders>
            <w:shd w:val="clear" w:color="auto" w:fill="FFFF99"/>
            <w:vAlign w:val="center"/>
            <w:hideMark/>
          </w:tcPr>
          <w:p w14:paraId="47868979"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nil"/>
              <w:bottom w:val="single" w:sz="4" w:space="0" w:color="auto"/>
              <w:right w:val="single" w:sz="4" w:space="0" w:color="auto"/>
            </w:tcBorders>
            <w:shd w:val="clear" w:color="000000" w:fill="FFFFCC"/>
            <w:vAlign w:val="center"/>
            <w:hideMark/>
          </w:tcPr>
          <w:p w14:paraId="0F54C0E0"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Girls and boys reaching national literacy and numeracy standards in Year 4 and Year 6</w:t>
            </w:r>
          </w:p>
        </w:tc>
      </w:tr>
      <w:tr w:rsidR="003D5EF4" w:rsidRPr="00415AF6" w14:paraId="6438A09D" w14:textId="77777777" w:rsidTr="003D5EF4">
        <w:trPr>
          <w:trHeight w:val="284"/>
          <w:tblHeader/>
        </w:trPr>
        <w:tc>
          <w:tcPr>
            <w:tcW w:w="1273" w:type="pct"/>
            <w:vMerge/>
            <w:tcBorders>
              <w:left w:val="single" w:sz="4" w:space="0" w:color="auto"/>
              <w:bottom w:val="single" w:sz="4" w:space="0" w:color="auto"/>
              <w:right w:val="single" w:sz="4" w:space="0" w:color="auto"/>
            </w:tcBorders>
            <w:shd w:val="clear" w:color="auto" w:fill="FFFF99"/>
            <w:vAlign w:val="center"/>
            <w:hideMark/>
          </w:tcPr>
          <w:p w14:paraId="3430F2F0"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nil"/>
              <w:bottom w:val="single" w:sz="4" w:space="0" w:color="auto"/>
              <w:right w:val="single" w:sz="4" w:space="0" w:color="auto"/>
            </w:tcBorders>
            <w:shd w:val="clear" w:color="000000" w:fill="FFFFCC"/>
            <w:vAlign w:val="center"/>
            <w:hideMark/>
          </w:tcPr>
          <w:p w14:paraId="54E4AFC9"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Girls and boys completing basic education</w:t>
            </w:r>
          </w:p>
        </w:tc>
      </w:tr>
      <w:tr w:rsidR="003D5EF4" w:rsidRPr="00415AF6" w14:paraId="20729F37" w14:textId="77777777" w:rsidTr="003D5EF4">
        <w:trPr>
          <w:trHeight w:val="284"/>
          <w:tblHeader/>
        </w:trPr>
        <w:tc>
          <w:tcPr>
            <w:tcW w:w="1273" w:type="pct"/>
            <w:vMerge/>
            <w:tcBorders>
              <w:top w:val="single" w:sz="4" w:space="0" w:color="auto"/>
              <w:left w:val="single" w:sz="4" w:space="0" w:color="auto"/>
              <w:right w:val="single" w:sz="4" w:space="0" w:color="auto"/>
            </w:tcBorders>
            <w:shd w:val="clear" w:color="auto" w:fill="FFFF99"/>
            <w:vAlign w:val="center"/>
            <w:hideMark/>
          </w:tcPr>
          <w:p w14:paraId="6B7684C5"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nil"/>
              <w:bottom w:val="single" w:sz="4" w:space="0" w:color="auto"/>
              <w:right w:val="single" w:sz="4" w:space="0" w:color="auto"/>
            </w:tcBorders>
            <w:shd w:val="clear" w:color="000000" w:fill="FFFFCC"/>
            <w:vAlign w:val="center"/>
            <w:hideMark/>
          </w:tcPr>
          <w:p w14:paraId="3CD05C53"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Gender parity at junior secondary level</w:t>
            </w:r>
          </w:p>
        </w:tc>
      </w:tr>
      <w:tr w:rsidR="003D5EF4" w:rsidRPr="00415AF6" w14:paraId="1453FBEC" w14:textId="77777777" w:rsidTr="003D5EF4">
        <w:trPr>
          <w:trHeight w:val="284"/>
          <w:tblHeader/>
        </w:trPr>
        <w:tc>
          <w:tcPr>
            <w:tcW w:w="1273" w:type="pct"/>
            <w:vMerge/>
            <w:tcBorders>
              <w:left w:val="single" w:sz="4" w:space="0" w:color="auto"/>
              <w:bottom w:val="single" w:sz="4" w:space="0" w:color="auto"/>
              <w:right w:val="single" w:sz="4" w:space="0" w:color="auto"/>
            </w:tcBorders>
            <w:shd w:val="clear" w:color="auto" w:fill="FFFF99"/>
            <w:vAlign w:val="center"/>
            <w:hideMark/>
          </w:tcPr>
          <w:p w14:paraId="6852CA42"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nil"/>
              <w:bottom w:val="single" w:sz="4" w:space="0" w:color="auto"/>
              <w:right w:val="single" w:sz="4" w:space="0" w:color="auto"/>
            </w:tcBorders>
            <w:shd w:val="clear" w:color="000000" w:fill="FFFFCC"/>
            <w:vAlign w:val="center"/>
            <w:hideMark/>
          </w:tcPr>
          <w:p w14:paraId="4B26388B" w14:textId="77777777" w:rsidR="003D5EF4" w:rsidRPr="00415AF6" w:rsidRDefault="003D5EF4" w:rsidP="003D5EF4">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Levels of satisfaction with service delivery</w:t>
            </w:r>
          </w:p>
        </w:tc>
      </w:tr>
    </w:tbl>
    <w:p w14:paraId="74F454E3" w14:textId="77777777" w:rsidR="003D5EF4" w:rsidRDefault="003D5EF4" w:rsidP="002246FC">
      <w:pPr>
        <w:suppressAutoHyphens w:val="0"/>
        <w:spacing w:before="0" w:after="0" w:line="240" w:lineRule="auto"/>
        <w:rPr>
          <w:rFonts w:ascii="Calibri Light" w:eastAsia="Times New Roman" w:hAnsi="Calibri Light" w:cs="Times New Roman"/>
          <w:color w:val="auto"/>
          <w:sz w:val="18"/>
          <w:szCs w:val="18"/>
          <w:lang w:val="en-AU"/>
        </w:rPr>
      </w:pPr>
    </w:p>
    <w:p w14:paraId="5C698598" w14:textId="77777777" w:rsidR="003D5EF4" w:rsidRPr="00415AF6" w:rsidRDefault="003D5EF4" w:rsidP="002246FC">
      <w:pPr>
        <w:suppressAutoHyphens w:val="0"/>
        <w:spacing w:before="0" w:after="0" w:line="240" w:lineRule="auto"/>
        <w:rPr>
          <w:rFonts w:ascii="Calibri Light" w:eastAsia="Times New Roman" w:hAnsi="Calibri Light" w:cs="Times New Roman"/>
          <w:color w:val="auto"/>
          <w:sz w:val="18"/>
          <w:szCs w:val="18"/>
          <w:lang w:val="en-AU"/>
        </w:rPr>
      </w:pPr>
    </w:p>
    <w:tbl>
      <w:tblPr>
        <w:tblW w:w="5001" w:type="pct"/>
        <w:tblLook w:val="04A0" w:firstRow="1" w:lastRow="0" w:firstColumn="1" w:lastColumn="0" w:noHBand="0" w:noVBand="1"/>
      </w:tblPr>
      <w:tblGrid>
        <w:gridCol w:w="3680"/>
        <w:gridCol w:w="10773"/>
      </w:tblGrid>
      <w:tr w:rsidR="00415AF6" w:rsidRPr="00415AF6" w14:paraId="73EAE45B" w14:textId="77777777" w:rsidTr="002D3B50">
        <w:trPr>
          <w:trHeight w:val="284"/>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CDBA9"/>
            <w:vAlign w:val="center"/>
            <w:hideMark/>
          </w:tcPr>
          <w:p w14:paraId="5736FF3E" w14:textId="77777777" w:rsidR="00415AF6" w:rsidRPr="00415AF6" w:rsidRDefault="00415AF6"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b/>
                <w:bCs/>
                <w:color w:val="000000"/>
                <w:sz w:val="20"/>
                <w:szCs w:val="20"/>
                <w:lang w:val="en-AU"/>
              </w:rPr>
              <w:lastRenderedPageBreak/>
              <w:t>Australia's aid objective</w:t>
            </w:r>
            <w:r w:rsidRPr="00415AF6">
              <w:rPr>
                <w:rFonts w:ascii="Calibri Light" w:eastAsia="Times New Roman" w:hAnsi="Calibri Light" w:cs="Times New Roman"/>
                <w:bCs/>
                <w:color w:val="000000"/>
                <w:sz w:val="20"/>
                <w:szCs w:val="20"/>
                <w:lang w:val="en-AU"/>
              </w:rPr>
              <w:t>: Program Enabling</w:t>
            </w:r>
          </w:p>
        </w:tc>
      </w:tr>
      <w:tr w:rsidR="00415AF6" w:rsidRPr="00415AF6" w14:paraId="2F8AE6C2" w14:textId="77777777" w:rsidTr="002D3B50">
        <w:trPr>
          <w:trHeight w:val="284"/>
          <w:tblHeader/>
        </w:trPr>
        <w:tc>
          <w:tcPr>
            <w:tcW w:w="1273" w:type="pct"/>
            <w:tcBorders>
              <w:top w:val="single" w:sz="4" w:space="0" w:color="auto"/>
              <w:left w:val="single" w:sz="4" w:space="0" w:color="auto"/>
              <w:bottom w:val="single" w:sz="4" w:space="0" w:color="auto"/>
              <w:right w:val="nil"/>
            </w:tcBorders>
            <w:shd w:val="clear" w:color="auto" w:fill="CCDBA9"/>
            <w:vAlign w:val="center"/>
            <w:hideMark/>
          </w:tcPr>
          <w:p w14:paraId="15477A69" w14:textId="77777777" w:rsidR="00415AF6" w:rsidRPr="00415AF6" w:rsidRDefault="00415AF6" w:rsidP="002D3B50">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Plan outcome</w:t>
            </w:r>
          </w:p>
        </w:tc>
        <w:tc>
          <w:tcPr>
            <w:tcW w:w="3727" w:type="pct"/>
            <w:tcBorders>
              <w:top w:val="single" w:sz="4" w:space="0" w:color="auto"/>
              <w:left w:val="single" w:sz="4" w:space="0" w:color="auto"/>
              <w:bottom w:val="single" w:sz="4" w:space="0" w:color="auto"/>
              <w:right w:val="single" w:sz="4" w:space="0" w:color="auto"/>
            </w:tcBorders>
            <w:shd w:val="clear" w:color="auto" w:fill="CCDBA9"/>
            <w:vAlign w:val="center"/>
            <w:hideMark/>
          </w:tcPr>
          <w:p w14:paraId="722FD1A7" w14:textId="77777777" w:rsidR="00415AF6" w:rsidRPr="00415AF6" w:rsidRDefault="00415AF6" w:rsidP="002D3B50">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Plan outcome indicators</w:t>
            </w:r>
          </w:p>
        </w:tc>
      </w:tr>
      <w:tr w:rsidR="00415AF6" w:rsidRPr="00415AF6" w14:paraId="060C63A0" w14:textId="77777777" w:rsidTr="002D3B50">
        <w:trPr>
          <w:trHeight w:val="284"/>
          <w:tblHeader/>
        </w:trPr>
        <w:tc>
          <w:tcPr>
            <w:tcW w:w="1273" w:type="pct"/>
            <w:tcBorders>
              <w:top w:val="single" w:sz="4" w:space="0" w:color="auto"/>
              <w:left w:val="single" w:sz="4" w:space="0" w:color="auto"/>
              <w:bottom w:val="single" w:sz="4" w:space="0" w:color="auto"/>
              <w:right w:val="single" w:sz="4" w:space="0" w:color="auto"/>
            </w:tcBorders>
            <w:shd w:val="clear" w:color="auto" w:fill="CCDBA9"/>
            <w:vAlign w:val="center"/>
            <w:hideMark/>
          </w:tcPr>
          <w:p w14:paraId="7EC37A50" w14:textId="07476FBB" w:rsidR="00415AF6" w:rsidRPr="00415AF6" w:rsidRDefault="00415AF6" w:rsidP="002D3B50">
            <w:p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4</w:t>
            </w:r>
            <w:r w:rsidR="003A3C85">
              <w:rPr>
                <w:rFonts w:ascii="Calibri Light" w:eastAsia="Times New Roman" w:hAnsi="Calibri Light" w:cs="Times New Roman"/>
                <w:color w:val="000000"/>
                <w:sz w:val="20"/>
                <w:szCs w:val="20"/>
                <w:lang w:val="en-AU"/>
              </w:rPr>
              <w:t xml:space="preserve">.  </w:t>
            </w:r>
            <w:r w:rsidRPr="00415AF6">
              <w:rPr>
                <w:rFonts w:ascii="Calibri Light" w:eastAsia="Times New Roman" w:hAnsi="Calibri Light" w:cs="Times New Roman"/>
                <w:color w:val="000000"/>
                <w:sz w:val="20"/>
                <w:szCs w:val="20"/>
                <w:lang w:val="en-AU"/>
              </w:rPr>
              <w:t>The proportion of the program linked to Solomon Islands' performance increases</w:t>
            </w:r>
          </w:p>
        </w:tc>
        <w:tc>
          <w:tcPr>
            <w:tcW w:w="3727" w:type="pct"/>
            <w:tcBorders>
              <w:top w:val="single" w:sz="4" w:space="0" w:color="auto"/>
              <w:left w:val="nil"/>
              <w:bottom w:val="single" w:sz="4" w:space="0" w:color="auto"/>
              <w:right w:val="single" w:sz="4" w:space="0" w:color="auto"/>
            </w:tcBorders>
            <w:shd w:val="clear" w:color="auto" w:fill="EBF1DE"/>
            <w:vAlign w:val="center"/>
            <w:hideMark/>
          </w:tcPr>
          <w:p w14:paraId="2C384719" w14:textId="77777777" w:rsidR="00415AF6" w:rsidRPr="00415AF6" w:rsidRDefault="00415AF6"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Proportion of PLA in total annual expenditure</w:t>
            </w:r>
          </w:p>
        </w:tc>
      </w:tr>
      <w:tr w:rsidR="00415AF6" w:rsidRPr="00415AF6" w14:paraId="00CE4E67" w14:textId="77777777" w:rsidTr="002D3B50">
        <w:trPr>
          <w:trHeight w:val="284"/>
          <w:tblHeader/>
        </w:trPr>
        <w:tc>
          <w:tcPr>
            <w:tcW w:w="1273" w:type="pct"/>
            <w:tcBorders>
              <w:top w:val="single" w:sz="4" w:space="0" w:color="auto"/>
              <w:left w:val="single" w:sz="4" w:space="0" w:color="auto"/>
              <w:bottom w:val="single" w:sz="4" w:space="0" w:color="auto"/>
              <w:right w:val="single" w:sz="4" w:space="0" w:color="auto"/>
            </w:tcBorders>
            <w:shd w:val="clear" w:color="auto" w:fill="CCDBA9"/>
            <w:vAlign w:val="center"/>
            <w:hideMark/>
          </w:tcPr>
          <w:p w14:paraId="2456A6ED" w14:textId="4C4108F8" w:rsidR="00415AF6" w:rsidRPr="00415AF6" w:rsidRDefault="00415AF6" w:rsidP="002D3B50">
            <w:p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5</w:t>
            </w:r>
            <w:r w:rsidR="003A3C85">
              <w:rPr>
                <w:rFonts w:ascii="Calibri Light" w:eastAsia="Times New Roman" w:hAnsi="Calibri Light" w:cs="Times New Roman"/>
                <w:color w:val="000000"/>
                <w:sz w:val="20"/>
                <w:szCs w:val="20"/>
                <w:lang w:val="en-AU"/>
              </w:rPr>
              <w:t xml:space="preserve">.  </w:t>
            </w:r>
            <w:r w:rsidRPr="00415AF6">
              <w:rPr>
                <w:rFonts w:ascii="Calibri Light" w:eastAsia="Times New Roman" w:hAnsi="Calibri Light" w:cs="Times New Roman"/>
                <w:color w:val="000000"/>
                <w:sz w:val="20"/>
                <w:szCs w:val="20"/>
                <w:lang w:val="en-AU"/>
              </w:rPr>
              <w:t>An increasingly consolidated program</w:t>
            </w:r>
          </w:p>
        </w:tc>
        <w:tc>
          <w:tcPr>
            <w:tcW w:w="3727" w:type="pct"/>
            <w:tcBorders>
              <w:top w:val="single" w:sz="4" w:space="0" w:color="auto"/>
              <w:left w:val="nil"/>
              <w:bottom w:val="single" w:sz="4" w:space="0" w:color="auto"/>
              <w:right w:val="single" w:sz="4" w:space="0" w:color="auto"/>
            </w:tcBorders>
            <w:shd w:val="clear" w:color="auto" w:fill="EBF1DE"/>
            <w:vAlign w:val="center"/>
            <w:hideMark/>
          </w:tcPr>
          <w:p w14:paraId="2B4E959C" w14:textId="77777777" w:rsidR="00415AF6" w:rsidRPr="00415AF6" w:rsidRDefault="00415AF6" w:rsidP="00791F67">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xml:space="preserve">Number of individual </w:t>
            </w:r>
            <w:r w:rsidR="00791F67">
              <w:rPr>
                <w:rFonts w:ascii="Calibri Light" w:eastAsia="Times New Roman" w:hAnsi="Calibri Light" w:cs="Times New Roman"/>
                <w:i/>
                <w:color w:val="000000"/>
                <w:sz w:val="20"/>
                <w:szCs w:val="20"/>
                <w:lang w:val="en-AU"/>
              </w:rPr>
              <w:t>investments</w:t>
            </w:r>
            <w:r w:rsidR="00791F67" w:rsidRPr="00415AF6">
              <w:rPr>
                <w:rFonts w:ascii="Calibri Light" w:eastAsia="Times New Roman" w:hAnsi="Calibri Light" w:cs="Times New Roman"/>
                <w:color w:val="000000"/>
                <w:sz w:val="20"/>
                <w:szCs w:val="20"/>
                <w:lang w:val="en-AU"/>
              </w:rPr>
              <w:t xml:space="preserve"> </w:t>
            </w:r>
            <w:r w:rsidRPr="00415AF6">
              <w:rPr>
                <w:rFonts w:ascii="Calibri Light" w:eastAsia="Times New Roman" w:hAnsi="Calibri Light" w:cs="Times New Roman"/>
                <w:color w:val="000000"/>
                <w:sz w:val="20"/>
                <w:szCs w:val="20"/>
                <w:lang w:val="en-AU"/>
              </w:rPr>
              <w:t>in AidWorks</w:t>
            </w:r>
            <w:r w:rsidR="00791F67" w:rsidRPr="002C5836">
              <w:rPr>
                <w:rFonts w:ascii="Calibri Light" w:eastAsia="Times New Roman" w:hAnsi="Calibri Light" w:cs="Times New Roman"/>
                <w:i/>
                <w:color w:val="000000"/>
                <w:sz w:val="20"/>
                <w:szCs w:val="20"/>
                <w:lang w:val="en-AU"/>
              </w:rPr>
              <w:t xml:space="preserve"> (investments replaced initiatives)</w:t>
            </w:r>
          </w:p>
        </w:tc>
      </w:tr>
      <w:tr w:rsidR="00415AF6" w:rsidRPr="00415AF6" w14:paraId="6181952B" w14:textId="77777777" w:rsidTr="002D3B50">
        <w:trPr>
          <w:trHeight w:val="284"/>
          <w:tblHeader/>
        </w:trPr>
        <w:tc>
          <w:tcPr>
            <w:tcW w:w="1273" w:type="pct"/>
            <w:tcBorders>
              <w:top w:val="single" w:sz="4" w:space="0" w:color="auto"/>
              <w:left w:val="single" w:sz="4" w:space="0" w:color="auto"/>
              <w:bottom w:val="single" w:sz="4" w:space="0" w:color="auto"/>
              <w:right w:val="single" w:sz="4" w:space="0" w:color="auto"/>
            </w:tcBorders>
            <w:shd w:val="clear" w:color="auto" w:fill="CCDBA9"/>
            <w:vAlign w:val="center"/>
            <w:hideMark/>
          </w:tcPr>
          <w:p w14:paraId="05A278E6" w14:textId="41101527" w:rsidR="00415AF6" w:rsidRPr="00415AF6" w:rsidRDefault="00415AF6" w:rsidP="002D3B50">
            <w:p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6</w:t>
            </w:r>
            <w:r w:rsidR="003A3C85">
              <w:rPr>
                <w:rFonts w:ascii="Calibri Light" w:eastAsia="Times New Roman" w:hAnsi="Calibri Light" w:cs="Times New Roman"/>
                <w:color w:val="000000"/>
                <w:sz w:val="20"/>
                <w:szCs w:val="20"/>
                <w:lang w:val="en-AU"/>
              </w:rPr>
              <w:t xml:space="preserve">.  </w:t>
            </w:r>
            <w:r w:rsidRPr="00415AF6">
              <w:rPr>
                <w:rFonts w:ascii="Calibri Light" w:eastAsia="Times New Roman" w:hAnsi="Calibri Light" w:cs="Times New Roman"/>
                <w:color w:val="000000"/>
                <w:sz w:val="20"/>
                <w:szCs w:val="20"/>
                <w:lang w:val="en-AU"/>
              </w:rPr>
              <w:t>80% of initiatives marked satisfactory or above for gender in AQCs</w:t>
            </w:r>
          </w:p>
        </w:tc>
        <w:tc>
          <w:tcPr>
            <w:tcW w:w="3727" w:type="pct"/>
            <w:tcBorders>
              <w:top w:val="single" w:sz="4" w:space="0" w:color="auto"/>
              <w:left w:val="nil"/>
              <w:bottom w:val="single" w:sz="4" w:space="0" w:color="auto"/>
              <w:right w:val="single" w:sz="4" w:space="0" w:color="auto"/>
            </w:tcBorders>
            <w:shd w:val="clear" w:color="auto" w:fill="EBF1DE"/>
            <w:vAlign w:val="center"/>
            <w:hideMark/>
          </w:tcPr>
          <w:p w14:paraId="4504BADD" w14:textId="77777777" w:rsidR="00415AF6" w:rsidRPr="00415AF6" w:rsidRDefault="00415AF6"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Ratio of satisfactory markings to total</w:t>
            </w:r>
          </w:p>
        </w:tc>
      </w:tr>
      <w:tr w:rsidR="00415AF6" w:rsidRPr="00415AF6" w14:paraId="2AB76037" w14:textId="77777777" w:rsidTr="002D3B50">
        <w:trPr>
          <w:trHeight w:val="284"/>
          <w:tblHeader/>
        </w:trPr>
        <w:tc>
          <w:tcPr>
            <w:tcW w:w="1273" w:type="pct"/>
            <w:tcBorders>
              <w:top w:val="single" w:sz="4" w:space="0" w:color="auto"/>
              <w:left w:val="single" w:sz="4" w:space="0" w:color="auto"/>
              <w:bottom w:val="single" w:sz="4" w:space="0" w:color="auto"/>
              <w:right w:val="single" w:sz="4" w:space="0" w:color="auto"/>
            </w:tcBorders>
            <w:shd w:val="clear" w:color="auto" w:fill="CCDBA9"/>
            <w:vAlign w:val="center"/>
            <w:hideMark/>
          </w:tcPr>
          <w:p w14:paraId="43448E41" w14:textId="593CB030" w:rsidR="00415AF6" w:rsidRPr="00415AF6" w:rsidRDefault="00415AF6" w:rsidP="002D3B50">
            <w:p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7</w:t>
            </w:r>
            <w:r w:rsidR="003A3C85">
              <w:rPr>
                <w:rFonts w:ascii="Calibri Light" w:eastAsia="Times New Roman" w:hAnsi="Calibri Light" w:cs="Times New Roman"/>
                <w:color w:val="000000"/>
                <w:sz w:val="20"/>
                <w:szCs w:val="20"/>
                <w:lang w:val="en-AU"/>
              </w:rPr>
              <w:t xml:space="preserve">.  </w:t>
            </w:r>
            <w:r w:rsidRPr="00415AF6">
              <w:rPr>
                <w:rFonts w:ascii="Calibri Light" w:eastAsia="Times New Roman" w:hAnsi="Calibri Light" w:cs="Times New Roman"/>
                <w:color w:val="000000"/>
                <w:sz w:val="20"/>
                <w:szCs w:val="20"/>
                <w:lang w:val="en-AU"/>
              </w:rPr>
              <w:t>All partnerships with multilateral and key donors meet partnerships objectives and are assessed as adding value to DFAT funding</w:t>
            </w:r>
          </w:p>
        </w:tc>
        <w:tc>
          <w:tcPr>
            <w:tcW w:w="3727" w:type="pct"/>
            <w:tcBorders>
              <w:top w:val="single" w:sz="4" w:space="0" w:color="auto"/>
              <w:left w:val="nil"/>
              <w:bottom w:val="single" w:sz="4" w:space="0" w:color="auto"/>
              <w:right w:val="single" w:sz="4" w:space="0" w:color="auto"/>
            </w:tcBorders>
            <w:shd w:val="clear" w:color="auto" w:fill="EBF1DE"/>
            <w:vAlign w:val="center"/>
            <w:hideMark/>
          </w:tcPr>
          <w:p w14:paraId="38122237" w14:textId="77777777" w:rsidR="00415AF6" w:rsidRPr="00415AF6" w:rsidRDefault="00415AF6"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partnerships rated satisfactory or above in PPAs or similar assessment</w:t>
            </w:r>
          </w:p>
        </w:tc>
      </w:tr>
      <w:tr w:rsidR="00415AF6" w:rsidRPr="00415AF6" w14:paraId="1DB6E50E" w14:textId="77777777" w:rsidTr="002D3B50">
        <w:trPr>
          <w:trHeight w:val="284"/>
          <w:tblHeader/>
        </w:trPr>
        <w:tc>
          <w:tcPr>
            <w:tcW w:w="1273" w:type="pct"/>
            <w:tcBorders>
              <w:top w:val="single" w:sz="4" w:space="0" w:color="auto"/>
              <w:left w:val="single" w:sz="4" w:space="0" w:color="auto"/>
              <w:bottom w:val="single" w:sz="4" w:space="0" w:color="auto"/>
              <w:right w:val="single" w:sz="4" w:space="0" w:color="auto"/>
            </w:tcBorders>
            <w:shd w:val="clear" w:color="auto" w:fill="CCDBA9"/>
            <w:vAlign w:val="center"/>
            <w:hideMark/>
          </w:tcPr>
          <w:p w14:paraId="57F2D55A" w14:textId="1BB9CBE5" w:rsidR="00415AF6" w:rsidRPr="00415AF6" w:rsidRDefault="00415AF6" w:rsidP="002D3B50">
            <w:p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8</w:t>
            </w:r>
            <w:r w:rsidR="003A3C85">
              <w:rPr>
                <w:rFonts w:ascii="Calibri Light" w:eastAsia="Times New Roman" w:hAnsi="Calibri Light" w:cs="Times New Roman"/>
                <w:color w:val="000000"/>
                <w:sz w:val="20"/>
                <w:szCs w:val="20"/>
                <w:lang w:val="en-AU"/>
              </w:rPr>
              <w:t xml:space="preserve">.  </w:t>
            </w:r>
            <w:r w:rsidRPr="00415AF6">
              <w:rPr>
                <w:rFonts w:ascii="Calibri Light" w:eastAsia="Times New Roman" w:hAnsi="Calibri Light" w:cs="Times New Roman"/>
                <w:color w:val="000000"/>
                <w:sz w:val="20"/>
                <w:szCs w:val="20"/>
                <w:lang w:val="en-AU"/>
              </w:rPr>
              <w:t>Scholarships program directed to priority areas and achieving targets for successful course completion</w:t>
            </w:r>
          </w:p>
        </w:tc>
        <w:tc>
          <w:tcPr>
            <w:tcW w:w="3727" w:type="pct"/>
            <w:tcBorders>
              <w:top w:val="single" w:sz="4" w:space="0" w:color="auto"/>
              <w:left w:val="nil"/>
              <w:bottom w:val="single" w:sz="4" w:space="0" w:color="auto"/>
              <w:right w:val="single" w:sz="4" w:space="0" w:color="auto"/>
            </w:tcBorders>
            <w:shd w:val="clear" w:color="auto" w:fill="EBF1DE"/>
            <w:vAlign w:val="center"/>
            <w:hideMark/>
          </w:tcPr>
          <w:p w14:paraId="19EFC074" w14:textId="77777777" w:rsidR="00415AF6" w:rsidRPr="00415AF6" w:rsidRDefault="00415AF6"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Scholarship completion rate</w:t>
            </w:r>
            <w:r w:rsidR="00C048F8">
              <w:rPr>
                <w:rFonts w:ascii="Calibri Light" w:eastAsia="Times New Roman" w:hAnsi="Calibri Light" w:cs="Times New Roman"/>
                <w:color w:val="000000"/>
                <w:sz w:val="20"/>
                <w:szCs w:val="20"/>
                <w:lang w:val="en-AU"/>
              </w:rPr>
              <w:t xml:space="preserve"> </w:t>
            </w:r>
            <w:r w:rsidR="00C048F8" w:rsidRPr="001D3EE3">
              <w:rPr>
                <w:rFonts w:ascii="Calibri Light" w:eastAsia="Times New Roman" w:hAnsi="Calibri Light" w:cs="Times New Roman"/>
                <w:i/>
                <w:color w:val="000000"/>
                <w:sz w:val="20"/>
                <w:szCs w:val="20"/>
                <w:lang w:val="en-AU"/>
              </w:rPr>
              <w:t>disaggregated by sex</w:t>
            </w:r>
          </w:p>
        </w:tc>
      </w:tr>
      <w:tr w:rsidR="00415AF6" w:rsidRPr="00415AF6" w14:paraId="62456174" w14:textId="77777777" w:rsidTr="002D3B50">
        <w:trPr>
          <w:trHeight w:val="284"/>
          <w:tblHeader/>
        </w:trPr>
        <w:tc>
          <w:tcPr>
            <w:tcW w:w="1273" w:type="pct"/>
            <w:tcBorders>
              <w:top w:val="single" w:sz="4" w:space="0" w:color="auto"/>
              <w:left w:val="single" w:sz="4" w:space="0" w:color="auto"/>
              <w:bottom w:val="single" w:sz="4" w:space="0" w:color="auto"/>
              <w:right w:val="single" w:sz="4" w:space="0" w:color="auto"/>
            </w:tcBorders>
            <w:shd w:val="clear" w:color="auto" w:fill="CCDBA9"/>
            <w:vAlign w:val="center"/>
            <w:hideMark/>
          </w:tcPr>
          <w:p w14:paraId="0C7E056F" w14:textId="5DE52283" w:rsidR="00415AF6" w:rsidRPr="00415AF6" w:rsidRDefault="00415AF6" w:rsidP="002D3B50">
            <w:p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9</w:t>
            </w:r>
            <w:r w:rsidR="003A3C85">
              <w:rPr>
                <w:rFonts w:ascii="Calibri Light" w:eastAsia="Times New Roman" w:hAnsi="Calibri Light" w:cs="Times New Roman"/>
                <w:color w:val="000000"/>
                <w:sz w:val="20"/>
                <w:szCs w:val="20"/>
                <w:lang w:val="en-AU"/>
              </w:rPr>
              <w:t xml:space="preserve">.  </w:t>
            </w:r>
            <w:r w:rsidRPr="00415AF6">
              <w:rPr>
                <w:rFonts w:ascii="Calibri Light" w:eastAsia="Times New Roman" w:hAnsi="Calibri Light" w:cs="Times New Roman"/>
                <w:color w:val="000000"/>
                <w:sz w:val="20"/>
                <w:szCs w:val="20"/>
                <w:lang w:val="en-AU"/>
              </w:rPr>
              <w:t>The program increasingly identities and targets the needs of people with disability</w:t>
            </w:r>
          </w:p>
        </w:tc>
        <w:tc>
          <w:tcPr>
            <w:tcW w:w="3727" w:type="pct"/>
            <w:tcBorders>
              <w:top w:val="single" w:sz="4" w:space="0" w:color="auto"/>
              <w:left w:val="nil"/>
              <w:bottom w:val="single" w:sz="4" w:space="0" w:color="auto"/>
              <w:right w:val="single" w:sz="4" w:space="0" w:color="auto"/>
            </w:tcBorders>
            <w:shd w:val="clear" w:color="auto" w:fill="EBF1DE"/>
            <w:vAlign w:val="center"/>
            <w:hideMark/>
          </w:tcPr>
          <w:p w14:paraId="59A32167" w14:textId="77777777" w:rsidR="00415AF6" w:rsidRPr="00415AF6" w:rsidRDefault="00415AF6"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Evidence of intentional efforts to address barriers to inclusion for people with disability at key points in the program cycle</w:t>
            </w:r>
          </w:p>
        </w:tc>
      </w:tr>
      <w:tr w:rsidR="00415AF6" w:rsidRPr="00415AF6" w14:paraId="39789B87" w14:textId="77777777" w:rsidTr="002D3B50">
        <w:trPr>
          <w:trHeight w:val="284"/>
          <w:tblHeader/>
        </w:trPr>
        <w:tc>
          <w:tcPr>
            <w:tcW w:w="1273" w:type="pct"/>
            <w:vMerge w:val="restart"/>
            <w:tcBorders>
              <w:top w:val="single" w:sz="4" w:space="0" w:color="auto"/>
              <w:left w:val="single" w:sz="4" w:space="0" w:color="auto"/>
              <w:right w:val="single" w:sz="4" w:space="0" w:color="auto"/>
            </w:tcBorders>
            <w:shd w:val="clear" w:color="auto" w:fill="CCDBA9"/>
            <w:vAlign w:val="center"/>
            <w:hideMark/>
          </w:tcPr>
          <w:p w14:paraId="1AB894B5" w14:textId="0A4761F6" w:rsidR="00415AF6" w:rsidRPr="00415AF6" w:rsidRDefault="00415AF6" w:rsidP="002D3B50">
            <w:p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10</w:t>
            </w:r>
            <w:r w:rsidR="003A3C85">
              <w:rPr>
                <w:rFonts w:ascii="Calibri Light" w:eastAsia="Times New Roman" w:hAnsi="Calibri Light" w:cs="Times New Roman"/>
                <w:color w:val="000000"/>
                <w:sz w:val="20"/>
                <w:szCs w:val="20"/>
                <w:lang w:val="en-AU"/>
              </w:rPr>
              <w:t xml:space="preserve">.  </w:t>
            </w:r>
            <w:r w:rsidRPr="00415AF6">
              <w:rPr>
                <w:rFonts w:ascii="Calibri Light" w:eastAsia="Times New Roman" w:hAnsi="Calibri Light" w:cs="Times New Roman"/>
                <w:color w:val="000000"/>
                <w:sz w:val="20"/>
                <w:szCs w:val="20"/>
                <w:lang w:val="en-AU"/>
              </w:rPr>
              <w:t>The program is able to identify and deal with cases of fraudulent use of aid funds</w:t>
            </w:r>
          </w:p>
        </w:tc>
        <w:tc>
          <w:tcPr>
            <w:tcW w:w="3727" w:type="pct"/>
            <w:tcBorders>
              <w:top w:val="single" w:sz="4" w:space="0" w:color="auto"/>
              <w:left w:val="nil"/>
              <w:bottom w:val="single" w:sz="4" w:space="0" w:color="auto"/>
              <w:right w:val="single" w:sz="4" w:space="0" w:color="auto"/>
            </w:tcBorders>
            <w:shd w:val="clear" w:color="auto" w:fill="EBF1DE"/>
            <w:vAlign w:val="center"/>
            <w:hideMark/>
          </w:tcPr>
          <w:p w14:paraId="362D9701" w14:textId="77777777" w:rsidR="00415AF6" w:rsidRPr="00415AF6" w:rsidRDefault="00415AF6"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Evidence of Quarterly Risk Reviews</w:t>
            </w:r>
          </w:p>
          <w:p w14:paraId="0E06E47F" w14:textId="77777777" w:rsidR="00415AF6" w:rsidRPr="00415AF6" w:rsidRDefault="00415AF6"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fraud cases per quarter # of cases closed per quarter</w:t>
            </w:r>
          </w:p>
        </w:tc>
      </w:tr>
      <w:tr w:rsidR="00415AF6" w:rsidRPr="00415AF6" w14:paraId="6C8781E7" w14:textId="77777777" w:rsidTr="002D3B50">
        <w:trPr>
          <w:trHeight w:val="284"/>
          <w:tblHeader/>
        </w:trPr>
        <w:tc>
          <w:tcPr>
            <w:tcW w:w="1273" w:type="pct"/>
            <w:vMerge/>
            <w:tcBorders>
              <w:left w:val="single" w:sz="4" w:space="0" w:color="auto"/>
              <w:bottom w:val="single" w:sz="4" w:space="0" w:color="auto"/>
              <w:right w:val="single" w:sz="4" w:space="0" w:color="auto"/>
            </w:tcBorders>
            <w:shd w:val="clear" w:color="auto" w:fill="CCDBA9"/>
            <w:vAlign w:val="center"/>
            <w:hideMark/>
          </w:tcPr>
          <w:p w14:paraId="62F35724" w14:textId="77777777" w:rsidR="00415AF6" w:rsidRPr="00415AF6" w:rsidRDefault="00415AF6"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tcBorders>
              <w:top w:val="single" w:sz="4" w:space="0" w:color="auto"/>
              <w:left w:val="nil"/>
              <w:bottom w:val="single" w:sz="4" w:space="0" w:color="auto"/>
              <w:right w:val="single" w:sz="4" w:space="0" w:color="auto"/>
            </w:tcBorders>
            <w:shd w:val="clear" w:color="auto" w:fill="EBF1DE"/>
            <w:vAlign w:val="center"/>
            <w:hideMark/>
          </w:tcPr>
          <w:p w14:paraId="2C62FCC3" w14:textId="77777777" w:rsidR="00415AF6" w:rsidRPr="00415AF6" w:rsidRDefault="00415AF6"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Assessment of National Systems management responses tracked and implemented</w:t>
            </w:r>
          </w:p>
        </w:tc>
      </w:tr>
      <w:tr w:rsidR="00415AF6" w:rsidRPr="00415AF6" w14:paraId="0CA9C3A1" w14:textId="77777777" w:rsidTr="002D3B50">
        <w:trPr>
          <w:trHeight w:val="284"/>
          <w:tblHeader/>
        </w:trPr>
        <w:tc>
          <w:tcPr>
            <w:tcW w:w="5000" w:type="pct"/>
            <w:gridSpan w:val="2"/>
            <w:tcBorders>
              <w:left w:val="single" w:sz="4" w:space="0" w:color="auto"/>
              <w:bottom w:val="single" w:sz="4" w:space="0" w:color="auto"/>
              <w:right w:val="single" w:sz="4" w:space="0" w:color="auto"/>
            </w:tcBorders>
            <w:shd w:val="clear" w:color="000000" w:fill="D9D9D9"/>
            <w:vAlign w:val="center"/>
          </w:tcPr>
          <w:p w14:paraId="258F7C8C" w14:textId="77777777" w:rsidR="00415AF6" w:rsidRPr="00415AF6" w:rsidRDefault="00415AF6"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b/>
                <w:color w:val="000000"/>
                <w:sz w:val="20"/>
                <w:szCs w:val="20"/>
                <w:lang w:val="en-AU"/>
              </w:rPr>
              <w:t>Variables in the development environment</w:t>
            </w:r>
          </w:p>
        </w:tc>
      </w:tr>
      <w:tr w:rsidR="00415AF6" w:rsidRPr="00415AF6" w14:paraId="7573A738" w14:textId="77777777" w:rsidTr="002D3B50">
        <w:trPr>
          <w:trHeight w:val="284"/>
          <w:tblHeader/>
        </w:trPr>
        <w:tc>
          <w:tcPr>
            <w:tcW w:w="5000" w:type="pct"/>
            <w:gridSpan w:val="2"/>
            <w:tcBorders>
              <w:left w:val="single" w:sz="4" w:space="0" w:color="auto"/>
              <w:bottom w:val="single" w:sz="4" w:space="0" w:color="auto"/>
              <w:right w:val="single" w:sz="4" w:space="0" w:color="auto"/>
            </w:tcBorders>
            <w:shd w:val="clear" w:color="000000" w:fill="D9D9D9"/>
            <w:vAlign w:val="center"/>
          </w:tcPr>
          <w:p w14:paraId="67C2B6E0" w14:textId="77777777" w:rsidR="00415AF6" w:rsidRPr="00415AF6" w:rsidRDefault="00415AF6" w:rsidP="002D3B50">
            <w:pPr>
              <w:numPr>
                <w:ilvl w:val="0"/>
                <w:numId w:val="43"/>
              </w:num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increased understanding of citizen's rights</w:t>
            </w:r>
          </w:p>
          <w:p w14:paraId="33EEA2D7" w14:textId="77777777" w:rsidR="00415AF6" w:rsidRPr="00415AF6" w:rsidRDefault="00415AF6" w:rsidP="002D3B50">
            <w:pPr>
              <w:numPr>
                <w:ilvl w:val="0"/>
                <w:numId w:val="43"/>
              </w:num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risks of exclusion (provincial, rural/urban, age-related) understood and contained</w:t>
            </w:r>
          </w:p>
          <w:p w14:paraId="64E9E86C" w14:textId="77777777" w:rsidR="00415AF6" w:rsidRPr="00415AF6" w:rsidRDefault="00415AF6" w:rsidP="002D3B50">
            <w:pPr>
              <w:numPr>
                <w:ilvl w:val="0"/>
                <w:numId w:val="43"/>
              </w:num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reduced opportunities for corruption</w:t>
            </w:r>
          </w:p>
          <w:p w14:paraId="7C865AA9" w14:textId="77777777" w:rsidR="00415AF6" w:rsidRPr="00415AF6" w:rsidRDefault="00415AF6" w:rsidP="002D3B50">
            <w:pPr>
              <w:numPr>
                <w:ilvl w:val="0"/>
                <w:numId w:val="43"/>
              </w:num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shifting community perception of the role of women</w:t>
            </w:r>
          </w:p>
          <w:p w14:paraId="49510705" w14:textId="77777777" w:rsidR="00415AF6" w:rsidRPr="00415AF6" w:rsidRDefault="00415AF6" w:rsidP="002D3B50">
            <w:pPr>
              <w:numPr>
                <w:ilvl w:val="0"/>
                <w:numId w:val="43"/>
              </w:num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no increase in political volatility</w:t>
            </w:r>
          </w:p>
          <w:p w14:paraId="44872DF2" w14:textId="77777777" w:rsidR="00415AF6" w:rsidRPr="00415AF6" w:rsidRDefault="00415AF6" w:rsidP="002D3B50">
            <w:pPr>
              <w:numPr>
                <w:ilvl w:val="0"/>
                <w:numId w:val="43"/>
              </w:num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economic, political and environmental shocks not destabilising</w:t>
            </w:r>
          </w:p>
          <w:p w14:paraId="10FA82AB" w14:textId="77777777" w:rsidR="00415AF6" w:rsidRPr="00415AF6" w:rsidRDefault="00415AF6" w:rsidP="002D3B50">
            <w:pPr>
              <w:numPr>
                <w:ilvl w:val="0"/>
                <w:numId w:val="43"/>
              </w:numPr>
              <w:suppressAutoHyphens w:val="0"/>
              <w:spacing w:before="0" w:after="0" w:line="240" w:lineRule="auto"/>
              <w:contextualSpacing/>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SIG leadership on land reform</w:t>
            </w:r>
          </w:p>
        </w:tc>
      </w:tr>
    </w:tbl>
    <w:p w14:paraId="70E30C06" w14:textId="77777777" w:rsidR="00687E7F" w:rsidRPr="00415AF6" w:rsidRDefault="00687E7F">
      <w:pPr>
        <w:rPr>
          <w:rFonts w:ascii="Calibri Light" w:hAnsi="Calibri Light"/>
          <w:sz w:val="18"/>
          <w:szCs w:val="18"/>
        </w:rPr>
      </w:pPr>
      <w:r w:rsidRPr="00415AF6">
        <w:rPr>
          <w:rFonts w:ascii="Calibri Light" w:hAnsi="Calibri Light"/>
          <w:sz w:val="18"/>
          <w:szCs w:val="18"/>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0773"/>
      </w:tblGrid>
      <w:tr w:rsidR="00687E7F" w:rsidRPr="00415AF6" w14:paraId="34260FAD" w14:textId="77777777" w:rsidTr="00415AF6">
        <w:trPr>
          <w:trHeight w:val="284"/>
        </w:trPr>
        <w:tc>
          <w:tcPr>
            <w:tcW w:w="1273" w:type="pct"/>
            <w:shd w:val="clear" w:color="auto" w:fill="E6B8B7"/>
            <w:vAlign w:val="center"/>
            <w:hideMark/>
          </w:tcPr>
          <w:p w14:paraId="5151259C" w14:textId="77777777" w:rsidR="00687E7F" w:rsidRPr="00415AF6" w:rsidRDefault="00687E7F" w:rsidP="002D3B50">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lastRenderedPageBreak/>
              <w:t>Australia's aid objective</w:t>
            </w:r>
          </w:p>
        </w:tc>
        <w:tc>
          <w:tcPr>
            <w:tcW w:w="3727" w:type="pct"/>
            <w:shd w:val="clear" w:color="auto" w:fill="E6B8B7"/>
            <w:vAlign w:val="center"/>
            <w:hideMark/>
          </w:tcPr>
          <w:p w14:paraId="311CAD03" w14:textId="77777777" w:rsidR="00687E7F" w:rsidRPr="00415AF6" w:rsidRDefault="00687E7F" w:rsidP="002D3B50">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 xml:space="preserve">Supporting Stability Plan outcome - </w:t>
            </w:r>
            <w:r w:rsidRPr="00415AF6">
              <w:rPr>
                <w:rFonts w:ascii="Calibri Light" w:eastAsia="Times New Roman" w:hAnsi="Calibri Light" w:cs="Times New Roman"/>
                <w:b/>
                <w:color w:val="000000"/>
                <w:sz w:val="20"/>
                <w:szCs w:val="20"/>
                <w:lang w:val="en-AU"/>
              </w:rPr>
              <w:t>Solomon Islanders increasingly benefit from a functioning, economically stable state and a secure environment</w:t>
            </w:r>
          </w:p>
        </w:tc>
      </w:tr>
      <w:tr w:rsidR="00687E7F" w:rsidRPr="00415AF6" w14:paraId="402EDD07" w14:textId="77777777" w:rsidTr="00415AF6">
        <w:trPr>
          <w:trHeight w:val="284"/>
        </w:trPr>
        <w:tc>
          <w:tcPr>
            <w:tcW w:w="1273" w:type="pct"/>
            <w:shd w:val="clear" w:color="auto" w:fill="E6B8B7"/>
            <w:vAlign w:val="center"/>
            <w:hideMark/>
          </w:tcPr>
          <w:p w14:paraId="3334338B" w14:textId="77777777" w:rsidR="00687E7F" w:rsidRPr="00415AF6" w:rsidRDefault="00687E7F" w:rsidP="002D3B50">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Intermediate outcome</w:t>
            </w:r>
          </w:p>
        </w:tc>
        <w:tc>
          <w:tcPr>
            <w:tcW w:w="3727" w:type="pct"/>
            <w:shd w:val="clear" w:color="auto" w:fill="E6B8B7"/>
            <w:vAlign w:val="center"/>
            <w:hideMark/>
          </w:tcPr>
          <w:p w14:paraId="74AA3136" w14:textId="77777777" w:rsidR="00687E7F" w:rsidRPr="00415AF6" w:rsidRDefault="00687E7F" w:rsidP="002D3B50">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Intermediate outcome indicators</w:t>
            </w:r>
          </w:p>
        </w:tc>
      </w:tr>
      <w:tr w:rsidR="00687E7F" w:rsidRPr="00415AF6" w14:paraId="42379881" w14:textId="77777777" w:rsidTr="00415AF6">
        <w:trPr>
          <w:trHeight w:val="284"/>
        </w:trPr>
        <w:tc>
          <w:tcPr>
            <w:tcW w:w="1273" w:type="pct"/>
            <w:vMerge w:val="restart"/>
            <w:shd w:val="clear" w:color="000000" w:fill="E6B8B7"/>
            <w:vAlign w:val="center"/>
            <w:hideMark/>
          </w:tcPr>
          <w:p w14:paraId="60E22B7C"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Strengthened electoral administration</w:t>
            </w:r>
          </w:p>
        </w:tc>
        <w:tc>
          <w:tcPr>
            <w:tcW w:w="3727" w:type="pct"/>
            <w:shd w:val="clear" w:color="000000" w:fill="F2DCDB"/>
            <w:vAlign w:val="center"/>
            <w:hideMark/>
          </w:tcPr>
          <w:p w14:paraId="5FAB1AFF"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Sustainable and inclusive voter registration system adopted</w:t>
            </w:r>
          </w:p>
        </w:tc>
      </w:tr>
      <w:tr w:rsidR="00687E7F" w:rsidRPr="00415AF6" w14:paraId="0B64339A" w14:textId="77777777" w:rsidTr="00415AF6">
        <w:trPr>
          <w:trHeight w:val="284"/>
        </w:trPr>
        <w:tc>
          <w:tcPr>
            <w:tcW w:w="1273" w:type="pct"/>
            <w:vMerge/>
            <w:shd w:val="clear" w:color="000000" w:fill="E6B8B7"/>
            <w:vAlign w:val="center"/>
            <w:hideMark/>
          </w:tcPr>
          <w:p w14:paraId="69E26DF8"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shd w:val="clear" w:color="000000" w:fill="F2DCDB"/>
            <w:vAlign w:val="center"/>
            <w:hideMark/>
          </w:tcPr>
          <w:p w14:paraId="2EA1AC85"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Electoral and legal reforms contributing to a strengthened electoral system implemented</w:t>
            </w:r>
          </w:p>
        </w:tc>
      </w:tr>
      <w:tr w:rsidR="00687E7F" w:rsidRPr="00415AF6" w14:paraId="64C21ECE" w14:textId="77777777" w:rsidTr="00415AF6">
        <w:trPr>
          <w:trHeight w:val="284"/>
        </w:trPr>
        <w:tc>
          <w:tcPr>
            <w:tcW w:w="1273" w:type="pct"/>
            <w:shd w:val="clear" w:color="000000" w:fill="E6B8B7"/>
            <w:vAlign w:val="center"/>
            <w:hideMark/>
          </w:tcPr>
          <w:p w14:paraId="1E1C40C9"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Courts are more accessible and communities are effectively resolving disputes</w:t>
            </w:r>
          </w:p>
        </w:tc>
        <w:tc>
          <w:tcPr>
            <w:tcW w:w="3727" w:type="pct"/>
            <w:shd w:val="clear" w:color="000000" w:fill="F2DCDB"/>
            <w:vAlign w:val="center"/>
            <w:hideMark/>
          </w:tcPr>
          <w:p w14:paraId="3CEE2E72"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cases disposed of, by province</w:t>
            </w:r>
          </w:p>
          <w:p w14:paraId="18789393"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people feeling safe</w:t>
            </w:r>
          </w:p>
        </w:tc>
      </w:tr>
      <w:tr w:rsidR="00687E7F" w:rsidRPr="00415AF6" w14:paraId="69A9D4AE" w14:textId="77777777" w:rsidTr="00415AF6">
        <w:trPr>
          <w:trHeight w:val="284"/>
        </w:trPr>
        <w:tc>
          <w:tcPr>
            <w:tcW w:w="1273" w:type="pct"/>
            <w:vMerge w:val="restart"/>
            <w:shd w:val="clear" w:color="000000" w:fill="E6B8B7"/>
            <w:vAlign w:val="center"/>
            <w:hideMark/>
          </w:tcPr>
          <w:p w14:paraId="0624ABB7" w14:textId="77777777" w:rsidR="00687E7F" w:rsidRPr="00415AF6" w:rsidRDefault="00687E7F" w:rsidP="002D3B50">
            <w:pPr>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Credible fiscal strategy</w:t>
            </w:r>
          </w:p>
        </w:tc>
        <w:tc>
          <w:tcPr>
            <w:tcW w:w="3727" w:type="pct"/>
            <w:shd w:val="clear" w:color="000000" w:fill="F2DCDB"/>
            <w:vAlign w:val="center"/>
            <w:hideMark/>
          </w:tcPr>
          <w:p w14:paraId="47DC4E04"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Perceptions of accessibility and performance of community grievance systems</w:t>
            </w:r>
          </w:p>
        </w:tc>
      </w:tr>
      <w:tr w:rsidR="00687E7F" w:rsidRPr="00415AF6" w14:paraId="6DE160E2" w14:textId="77777777" w:rsidTr="00415AF6">
        <w:trPr>
          <w:trHeight w:val="284"/>
        </w:trPr>
        <w:tc>
          <w:tcPr>
            <w:tcW w:w="1273" w:type="pct"/>
            <w:vMerge/>
            <w:shd w:val="clear" w:color="000000" w:fill="E6B8B7"/>
            <w:vAlign w:val="center"/>
            <w:hideMark/>
          </w:tcPr>
          <w:p w14:paraId="33510043"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shd w:val="clear" w:color="000000" w:fill="F2DCDB"/>
            <w:vAlign w:val="center"/>
            <w:hideMark/>
          </w:tcPr>
          <w:p w14:paraId="4583D724"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2016 revenue estimated</w:t>
            </w:r>
          </w:p>
        </w:tc>
      </w:tr>
      <w:tr w:rsidR="00C048F8" w:rsidRPr="00415AF6" w14:paraId="5D4097FE" w14:textId="77777777" w:rsidTr="00415AF6">
        <w:trPr>
          <w:trHeight w:val="284"/>
        </w:trPr>
        <w:tc>
          <w:tcPr>
            <w:tcW w:w="1273" w:type="pct"/>
            <w:vMerge/>
            <w:vAlign w:val="center"/>
          </w:tcPr>
          <w:p w14:paraId="7A4EB203" w14:textId="77777777" w:rsidR="00C048F8" w:rsidRPr="00415AF6" w:rsidRDefault="00C048F8"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shd w:val="clear" w:color="000000" w:fill="F2DCDB"/>
            <w:vAlign w:val="center"/>
          </w:tcPr>
          <w:p w14:paraId="38101D4B" w14:textId="77777777" w:rsidR="00C048F8" w:rsidRPr="001D3EE3" w:rsidRDefault="00C048F8" w:rsidP="002D3B50">
            <w:pPr>
              <w:suppressAutoHyphens w:val="0"/>
              <w:spacing w:before="0" w:after="0" w:line="240" w:lineRule="auto"/>
              <w:rPr>
                <w:rFonts w:ascii="Calibri Light" w:eastAsia="Times New Roman" w:hAnsi="Calibri Light" w:cs="Times New Roman"/>
                <w:i/>
                <w:color w:val="000000"/>
                <w:sz w:val="20"/>
                <w:szCs w:val="20"/>
                <w:lang w:val="en-AU"/>
              </w:rPr>
            </w:pPr>
            <w:r w:rsidRPr="001D3EE3">
              <w:rPr>
                <w:rFonts w:ascii="Calibri Light" w:eastAsia="Times New Roman" w:hAnsi="Calibri Light" w:cs="Times New Roman"/>
                <w:i/>
                <w:color w:val="000000"/>
                <w:sz w:val="20"/>
                <w:szCs w:val="20"/>
                <w:lang w:val="en-AU"/>
              </w:rPr>
              <w:t>Aggregate revenue out-turn compared to original approved budget (new indicator)</w:t>
            </w:r>
          </w:p>
        </w:tc>
      </w:tr>
      <w:tr w:rsidR="00687E7F" w:rsidRPr="00415AF6" w14:paraId="3B71B622" w14:textId="77777777" w:rsidTr="00415AF6">
        <w:trPr>
          <w:trHeight w:val="284"/>
        </w:trPr>
        <w:tc>
          <w:tcPr>
            <w:tcW w:w="1273" w:type="pct"/>
            <w:vMerge/>
            <w:vAlign w:val="center"/>
            <w:hideMark/>
          </w:tcPr>
          <w:p w14:paraId="1213CBA2"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shd w:val="clear" w:color="000000" w:fill="F2DCDB"/>
            <w:vAlign w:val="center"/>
            <w:hideMark/>
          </w:tcPr>
          <w:p w14:paraId="1C77CFF5" w14:textId="0E62EE6A" w:rsidR="00687E7F" w:rsidRPr="001D3EE3" w:rsidRDefault="00C048F8" w:rsidP="002D3B50">
            <w:pPr>
              <w:suppressAutoHyphens w:val="0"/>
              <w:spacing w:before="0" w:after="0" w:line="240" w:lineRule="auto"/>
              <w:rPr>
                <w:rFonts w:ascii="Calibri Light" w:eastAsia="Times New Roman" w:hAnsi="Calibri Light" w:cs="Times New Roman"/>
                <w:i/>
                <w:color w:val="000000"/>
                <w:sz w:val="20"/>
                <w:szCs w:val="20"/>
                <w:lang w:val="en-AU"/>
              </w:rPr>
            </w:pPr>
            <w:r w:rsidRPr="001D3EE3">
              <w:rPr>
                <w:rFonts w:ascii="Calibri Light" w:eastAsia="Times New Roman" w:hAnsi="Calibri Light" w:cs="Times New Roman"/>
                <w:i/>
                <w:color w:val="000000"/>
                <w:sz w:val="20"/>
                <w:szCs w:val="20"/>
                <w:lang w:val="en-AU"/>
              </w:rPr>
              <w:t xml:space="preserve">Level of budget deficit (SB$ </w:t>
            </w:r>
            <w:r w:rsidR="00EC481D">
              <w:rPr>
                <w:rFonts w:ascii="Calibri Light" w:eastAsia="Times New Roman" w:hAnsi="Calibri Light" w:cs="Times New Roman"/>
                <w:i/>
                <w:color w:val="000000"/>
                <w:sz w:val="20"/>
                <w:szCs w:val="20"/>
                <w:lang w:val="en-AU"/>
              </w:rPr>
              <w:t xml:space="preserve"> million</w:t>
            </w:r>
            <w:r w:rsidRPr="001D3EE3">
              <w:rPr>
                <w:rFonts w:ascii="Calibri Light" w:eastAsia="Times New Roman" w:hAnsi="Calibri Light" w:cs="Times New Roman"/>
                <w:i/>
                <w:color w:val="000000"/>
                <w:sz w:val="20"/>
                <w:szCs w:val="20"/>
                <w:lang w:val="en-AU"/>
              </w:rPr>
              <w:t>) (revised from ‘</w:t>
            </w:r>
            <w:r w:rsidR="00687E7F" w:rsidRPr="001D3EE3">
              <w:rPr>
                <w:rFonts w:ascii="Calibri Light" w:eastAsia="Times New Roman" w:hAnsi="Calibri Light" w:cs="Times New Roman"/>
                <w:i/>
                <w:color w:val="000000"/>
                <w:sz w:val="20"/>
                <w:szCs w:val="20"/>
                <w:lang w:val="en-AU"/>
              </w:rPr>
              <w:t>Reduction in budget deficit</w:t>
            </w:r>
            <w:r w:rsidRPr="001D3EE3">
              <w:rPr>
                <w:rFonts w:ascii="Calibri Light" w:eastAsia="Times New Roman" w:hAnsi="Calibri Light" w:cs="Times New Roman"/>
                <w:i/>
                <w:color w:val="000000"/>
                <w:sz w:val="20"/>
                <w:szCs w:val="20"/>
                <w:lang w:val="en-AU"/>
              </w:rPr>
              <w:t>’)</w:t>
            </w:r>
          </w:p>
        </w:tc>
      </w:tr>
      <w:tr w:rsidR="00687E7F" w:rsidRPr="00415AF6" w14:paraId="0FE179B7" w14:textId="77777777" w:rsidTr="00415AF6">
        <w:trPr>
          <w:trHeight w:val="284"/>
        </w:trPr>
        <w:tc>
          <w:tcPr>
            <w:tcW w:w="1273" w:type="pct"/>
            <w:vMerge w:val="restart"/>
            <w:shd w:val="clear" w:color="000000" w:fill="E6B8B7"/>
            <w:vAlign w:val="center"/>
            <w:hideMark/>
          </w:tcPr>
          <w:p w14:paraId="1464FECF"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Improved transparency &amp; accountability on the budget process</w:t>
            </w:r>
          </w:p>
        </w:tc>
        <w:tc>
          <w:tcPr>
            <w:tcW w:w="3727" w:type="pct"/>
            <w:shd w:val="clear" w:color="000000" w:fill="F2DCDB"/>
            <w:vAlign w:val="center"/>
            <w:hideMark/>
          </w:tcPr>
          <w:p w14:paraId="0190177B"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Budget outcome statement released publicly</w:t>
            </w:r>
          </w:p>
        </w:tc>
      </w:tr>
      <w:tr w:rsidR="00687E7F" w:rsidRPr="00415AF6" w14:paraId="4E2A8842" w14:textId="77777777" w:rsidTr="00415AF6">
        <w:trPr>
          <w:trHeight w:val="284"/>
        </w:trPr>
        <w:tc>
          <w:tcPr>
            <w:tcW w:w="1273" w:type="pct"/>
            <w:vMerge/>
            <w:vAlign w:val="center"/>
            <w:hideMark/>
          </w:tcPr>
          <w:p w14:paraId="58072584"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shd w:val="clear" w:color="000000" w:fill="F2DCDB"/>
            <w:vAlign w:val="center"/>
            <w:hideMark/>
          </w:tcPr>
          <w:p w14:paraId="25371B99"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Report of the Public Accounts Committee inquiry in the annual budget and supplementary budget    published</w:t>
            </w:r>
          </w:p>
        </w:tc>
      </w:tr>
      <w:tr w:rsidR="00687E7F" w:rsidRPr="00415AF6" w14:paraId="3E335563" w14:textId="77777777" w:rsidTr="00415AF6">
        <w:trPr>
          <w:trHeight w:val="284"/>
        </w:trPr>
        <w:tc>
          <w:tcPr>
            <w:tcW w:w="1273" w:type="pct"/>
            <w:shd w:val="clear" w:color="000000" w:fill="E6B8B7"/>
            <w:vAlign w:val="center"/>
            <w:hideMark/>
          </w:tcPr>
          <w:p w14:paraId="50BA3759"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SIG increases funding to RSIPF</w:t>
            </w:r>
          </w:p>
        </w:tc>
        <w:tc>
          <w:tcPr>
            <w:tcW w:w="3727" w:type="pct"/>
            <w:shd w:val="clear" w:color="000000" w:fill="F2DCDB"/>
            <w:vAlign w:val="center"/>
            <w:hideMark/>
          </w:tcPr>
          <w:p w14:paraId="12EA3657"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Increase in SIG budget for RSIPF</w:t>
            </w:r>
          </w:p>
        </w:tc>
      </w:tr>
      <w:tr w:rsidR="00687E7F" w:rsidRPr="00415AF6" w14:paraId="3FFD9B9A" w14:textId="77777777" w:rsidTr="00415AF6">
        <w:trPr>
          <w:trHeight w:val="284"/>
        </w:trPr>
        <w:tc>
          <w:tcPr>
            <w:tcW w:w="1273" w:type="pct"/>
            <w:shd w:val="clear" w:color="000000" w:fill="E6B8B7"/>
            <w:vAlign w:val="center"/>
            <w:hideMark/>
          </w:tcPr>
          <w:p w14:paraId="525F9021"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Procurement improvements accelerating service delivery and providing value for money</w:t>
            </w:r>
          </w:p>
        </w:tc>
        <w:tc>
          <w:tcPr>
            <w:tcW w:w="3727" w:type="pct"/>
            <w:shd w:val="clear" w:color="000000" w:fill="F2DCDB"/>
            <w:vAlign w:val="center"/>
            <w:hideMark/>
          </w:tcPr>
          <w:p w14:paraId="372921AC"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xml:space="preserve"> % procurements planned versus executed through SIG systems for health, education, transport</w:t>
            </w:r>
          </w:p>
        </w:tc>
      </w:tr>
      <w:tr w:rsidR="00687E7F" w:rsidRPr="00415AF6" w14:paraId="7C97F1B4" w14:textId="77777777" w:rsidTr="00415AF6">
        <w:trPr>
          <w:trHeight w:val="284"/>
        </w:trPr>
        <w:tc>
          <w:tcPr>
            <w:tcW w:w="1273" w:type="pct"/>
            <w:vMerge w:val="restart"/>
            <w:shd w:val="clear" w:color="000000" w:fill="E6B8B7"/>
            <w:vAlign w:val="center"/>
            <w:hideMark/>
          </w:tcPr>
          <w:p w14:paraId="7F472DCC"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Quality of Australian dialogue with SI over the effectiveness and stability of the state and progress of the economy maintained</w:t>
            </w:r>
          </w:p>
        </w:tc>
        <w:tc>
          <w:tcPr>
            <w:tcW w:w="3727" w:type="pct"/>
            <w:shd w:val="clear" w:color="000000" w:fill="F2DCDB"/>
            <w:vAlign w:val="center"/>
            <w:hideMark/>
          </w:tcPr>
          <w:p w14:paraId="68B4D68E" w14:textId="77777777" w:rsidR="00687E7F" w:rsidRPr="001D3EE3" w:rsidRDefault="00C048F8" w:rsidP="002D3B50">
            <w:pPr>
              <w:suppressAutoHyphens w:val="0"/>
              <w:spacing w:before="0" w:after="0" w:line="240" w:lineRule="auto"/>
              <w:rPr>
                <w:rFonts w:ascii="Calibri Light" w:eastAsia="Times New Roman" w:hAnsi="Calibri Light" w:cs="Times New Roman"/>
                <w:i/>
                <w:color w:val="000000"/>
                <w:sz w:val="20"/>
                <w:szCs w:val="20"/>
                <w:lang w:val="en-AU"/>
              </w:rPr>
            </w:pPr>
            <w:r w:rsidRPr="001D3EE3">
              <w:rPr>
                <w:rFonts w:ascii="Calibri Light" w:eastAsia="Times New Roman" w:hAnsi="Calibri Light" w:cs="Times New Roman"/>
                <w:i/>
                <w:color w:val="000000"/>
                <w:sz w:val="20"/>
                <w:szCs w:val="20"/>
                <w:lang w:val="en-AU"/>
              </w:rPr>
              <w:t>HLCs held and dialogue high quality resulting in agreed consultation outcomes (revised from ‘</w:t>
            </w:r>
            <w:r w:rsidR="00687E7F" w:rsidRPr="001D3EE3">
              <w:rPr>
                <w:rFonts w:ascii="Calibri Light" w:eastAsia="Times New Roman" w:hAnsi="Calibri Light" w:cs="Times New Roman"/>
                <w:i/>
                <w:color w:val="000000"/>
                <w:sz w:val="20"/>
                <w:szCs w:val="20"/>
                <w:lang w:val="en-AU"/>
              </w:rPr>
              <w:t>HLCs held and dialogue high quality</w:t>
            </w:r>
            <w:r w:rsidRPr="001D3EE3">
              <w:rPr>
                <w:rFonts w:ascii="Calibri Light" w:eastAsia="Times New Roman" w:hAnsi="Calibri Light" w:cs="Times New Roman"/>
                <w:i/>
                <w:color w:val="000000"/>
                <w:sz w:val="20"/>
                <w:szCs w:val="20"/>
                <w:lang w:val="en-AU"/>
              </w:rPr>
              <w:t>’)</w:t>
            </w:r>
          </w:p>
        </w:tc>
      </w:tr>
      <w:tr w:rsidR="00687E7F" w:rsidRPr="00415AF6" w14:paraId="534AF205" w14:textId="77777777" w:rsidTr="00415AF6">
        <w:trPr>
          <w:trHeight w:val="284"/>
        </w:trPr>
        <w:tc>
          <w:tcPr>
            <w:tcW w:w="1273" w:type="pct"/>
            <w:vMerge/>
            <w:shd w:val="clear" w:color="000000" w:fill="E6B8B7"/>
            <w:vAlign w:val="center"/>
            <w:hideMark/>
          </w:tcPr>
          <w:p w14:paraId="6C208AB6"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727" w:type="pct"/>
            <w:shd w:val="clear" w:color="000000" w:fill="F2DCDB"/>
            <w:vAlign w:val="center"/>
            <w:hideMark/>
          </w:tcPr>
          <w:p w14:paraId="37765FEE"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Functioning Core Economic Working Group</w:t>
            </w:r>
          </w:p>
        </w:tc>
      </w:tr>
      <w:tr w:rsidR="00687E7F" w:rsidRPr="00415AF6" w14:paraId="3E3932A3" w14:textId="77777777" w:rsidTr="00415AF6">
        <w:trPr>
          <w:trHeight w:val="284"/>
        </w:trPr>
        <w:tc>
          <w:tcPr>
            <w:tcW w:w="1273" w:type="pct"/>
            <w:shd w:val="clear" w:color="000000" w:fill="E6B8B7"/>
            <w:vAlign w:val="center"/>
            <w:hideMark/>
          </w:tcPr>
          <w:p w14:paraId="7D338B5F"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Increased awareness and protection of women's rights</w:t>
            </w:r>
          </w:p>
        </w:tc>
        <w:tc>
          <w:tcPr>
            <w:tcW w:w="3727" w:type="pct"/>
            <w:shd w:val="clear" w:color="000000" w:fill="F2DCDB"/>
            <w:vAlign w:val="center"/>
            <w:hideMark/>
          </w:tcPr>
          <w:p w14:paraId="3D76A862"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Family Violence 100 reports lodged</w:t>
            </w:r>
          </w:p>
          <w:p w14:paraId="0C268E99"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Men and women demonstrate attitude change and decreased acceptance of violence</w:t>
            </w:r>
          </w:p>
        </w:tc>
      </w:tr>
      <w:tr w:rsidR="00687E7F" w:rsidRPr="00415AF6" w14:paraId="3C7FA82C" w14:textId="77777777" w:rsidTr="00415AF6">
        <w:trPr>
          <w:trHeight w:val="284"/>
        </w:trPr>
        <w:tc>
          <w:tcPr>
            <w:tcW w:w="1273" w:type="pct"/>
            <w:shd w:val="clear" w:color="000000" w:fill="E6B8B7"/>
            <w:vAlign w:val="center"/>
            <w:hideMark/>
          </w:tcPr>
          <w:p w14:paraId="335873C1"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Increased numbers of women in public service leadership positions</w:t>
            </w:r>
          </w:p>
        </w:tc>
        <w:tc>
          <w:tcPr>
            <w:tcW w:w="3727" w:type="pct"/>
            <w:shd w:val="clear" w:color="000000" w:fill="F2DCDB"/>
            <w:vAlign w:val="center"/>
            <w:hideMark/>
          </w:tcPr>
          <w:p w14:paraId="635D731A" w14:textId="4F8B3CF8"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women in decision-making role (SS1 to SS5) – This will primarily capture number of women in senior management roles (i.e</w:t>
            </w:r>
            <w:r w:rsidR="003A3C85">
              <w:rPr>
                <w:rFonts w:ascii="Calibri Light" w:eastAsia="Times New Roman" w:hAnsi="Calibri Light" w:cs="Times New Roman"/>
                <w:color w:val="000000"/>
                <w:sz w:val="20"/>
                <w:szCs w:val="20"/>
                <w:lang w:val="en-AU"/>
              </w:rPr>
              <w:t xml:space="preserve">.  </w:t>
            </w:r>
            <w:r w:rsidRPr="00415AF6">
              <w:rPr>
                <w:rFonts w:ascii="Calibri Light" w:eastAsia="Times New Roman" w:hAnsi="Calibri Light" w:cs="Times New Roman"/>
                <w:color w:val="000000"/>
                <w:sz w:val="20"/>
                <w:szCs w:val="20"/>
                <w:lang w:val="en-AU"/>
              </w:rPr>
              <w:t>Permanent Secretaries &amp; Under Secretaries)</w:t>
            </w:r>
          </w:p>
          <w:p w14:paraId="13158AEF"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women in feeder grades (Level 10-13) – This will primarily capture number of women in middle management (Directors &amp; Deputy Directors)</w:t>
            </w:r>
          </w:p>
        </w:tc>
      </w:tr>
    </w:tbl>
    <w:p w14:paraId="0863866A" w14:textId="77777777" w:rsidR="002246FC" w:rsidRPr="00415AF6" w:rsidRDefault="002246FC" w:rsidP="002246FC">
      <w:pPr>
        <w:suppressAutoHyphens w:val="0"/>
        <w:spacing w:before="0" w:after="0" w:line="240" w:lineRule="auto"/>
        <w:rPr>
          <w:rFonts w:ascii="Calibri Light" w:eastAsia="Times New Roman" w:hAnsi="Calibri Light" w:cs="Times New Roman"/>
          <w:color w:val="auto"/>
          <w:sz w:val="18"/>
          <w:szCs w:val="18"/>
          <w:lang w:val="en-AU"/>
        </w:rPr>
      </w:pPr>
    </w:p>
    <w:p w14:paraId="6D284F98" w14:textId="77777777" w:rsidR="00415AF6" w:rsidRDefault="00415AF6">
      <w: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9923"/>
      </w:tblGrid>
      <w:tr w:rsidR="002246FC" w:rsidRPr="00415AF6" w14:paraId="44FEDED2" w14:textId="77777777" w:rsidTr="00415AF6">
        <w:trPr>
          <w:trHeight w:val="284"/>
        </w:trPr>
        <w:tc>
          <w:tcPr>
            <w:tcW w:w="1567" w:type="pct"/>
            <w:shd w:val="clear" w:color="auto" w:fill="FCD5B4"/>
            <w:vAlign w:val="center"/>
          </w:tcPr>
          <w:p w14:paraId="3E82782C" w14:textId="77777777" w:rsidR="002246FC" w:rsidRPr="00415AF6" w:rsidRDefault="002246FC" w:rsidP="002246FC">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color w:val="auto"/>
                <w:sz w:val="20"/>
                <w:szCs w:val="20"/>
                <w:lang w:val="en-AU"/>
              </w:rPr>
              <w:lastRenderedPageBreak/>
              <w:br w:type="page"/>
            </w:r>
            <w:r w:rsidRPr="00415AF6">
              <w:rPr>
                <w:rFonts w:ascii="Calibri Light" w:eastAsia="Times New Roman" w:hAnsi="Calibri Light" w:cs="Times New Roman"/>
                <w:b/>
                <w:bCs/>
                <w:color w:val="000000"/>
                <w:sz w:val="20"/>
                <w:szCs w:val="20"/>
                <w:lang w:val="en-AU"/>
              </w:rPr>
              <w:t>Australia's aid objective</w:t>
            </w:r>
          </w:p>
        </w:tc>
        <w:tc>
          <w:tcPr>
            <w:tcW w:w="3433" w:type="pct"/>
            <w:shd w:val="clear" w:color="auto" w:fill="FCD5B4"/>
            <w:vAlign w:val="center"/>
          </w:tcPr>
          <w:p w14:paraId="2E4916DD" w14:textId="77777777" w:rsidR="002246FC" w:rsidRPr="00415AF6" w:rsidRDefault="002246FC" w:rsidP="002246FC">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 xml:space="preserve">Enabling Economic Growth Plan outcome 2A </w:t>
            </w:r>
            <w:r w:rsidRPr="00415AF6">
              <w:rPr>
                <w:rFonts w:ascii="Calibri Light" w:eastAsia="Times New Roman" w:hAnsi="Calibri Light" w:cs="Times New Roman"/>
                <w:b/>
                <w:color w:val="000000"/>
                <w:sz w:val="20"/>
                <w:szCs w:val="20"/>
                <w:lang w:val="en-AU"/>
              </w:rPr>
              <w:t>Solomon Islands' enabling environment is more attractive to business</w:t>
            </w:r>
          </w:p>
        </w:tc>
      </w:tr>
      <w:tr w:rsidR="002246FC" w:rsidRPr="00415AF6" w14:paraId="3A1B9B2B" w14:textId="77777777" w:rsidTr="00415AF6">
        <w:trPr>
          <w:trHeight w:val="284"/>
        </w:trPr>
        <w:tc>
          <w:tcPr>
            <w:tcW w:w="1567" w:type="pct"/>
            <w:shd w:val="clear" w:color="auto" w:fill="FCD5B4"/>
            <w:vAlign w:val="center"/>
            <w:hideMark/>
          </w:tcPr>
          <w:p w14:paraId="00B70385" w14:textId="77777777" w:rsidR="002246FC" w:rsidRPr="00415AF6" w:rsidRDefault="002246FC" w:rsidP="002246FC">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Intermediate outcome</w:t>
            </w:r>
          </w:p>
        </w:tc>
        <w:tc>
          <w:tcPr>
            <w:tcW w:w="3433" w:type="pct"/>
            <w:shd w:val="clear" w:color="auto" w:fill="FCD5B4"/>
            <w:vAlign w:val="center"/>
            <w:hideMark/>
          </w:tcPr>
          <w:p w14:paraId="080EC802" w14:textId="77777777" w:rsidR="002246FC" w:rsidRPr="00415AF6" w:rsidRDefault="002246FC" w:rsidP="002246FC">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Intermediate outcome indicators</w:t>
            </w:r>
          </w:p>
        </w:tc>
      </w:tr>
      <w:tr w:rsidR="002246FC" w:rsidRPr="00415AF6" w14:paraId="0854AF9F" w14:textId="77777777" w:rsidTr="00415AF6">
        <w:trPr>
          <w:trHeight w:val="284"/>
        </w:trPr>
        <w:tc>
          <w:tcPr>
            <w:tcW w:w="1567" w:type="pct"/>
            <w:shd w:val="clear" w:color="000000" w:fill="FCD5B4"/>
            <w:vAlign w:val="center"/>
            <w:hideMark/>
          </w:tcPr>
          <w:p w14:paraId="501C8691"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Selected constraints to growth addressed</w:t>
            </w:r>
          </w:p>
        </w:tc>
        <w:tc>
          <w:tcPr>
            <w:tcW w:w="3433" w:type="pct"/>
            <w:shd w:val="clear" w:color="000000" w:fill="FDE9D9"/>
            <w:vAlign w:val="center"/>
            <w:hideMark/>
          </w:tcPr>
          <w:p w14:paraId="716344D6"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Evidence of progress in addressing infrastructure gaps and high utility costs</w:t>
            </w:r>
          </w:p>
        </w:tc>
      </w:tr>
      <w:tr w:rsidR="002246FC" w:rsidRPr="00415AF6" w14:paraId="506136CB" w14:textId="77777777" w:rsidTr="00415AF6">
        <w:trPr>
          <w:trHeight w:val="284"/>
        </w:trPr>
        <w:tc>
          <w:tcPr>
            <w:tcW w:w="1567" w:type="pct"/>
            <w:shd w:val="clear" w:color="000000" w:fill="FCD5B4"/>
            <w:vAlign w:val="center"/>
            <w:hideMark/>
          </w:tcPr>
          <w:p w14:paraId="33E20D33"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Australia catalyses one, new, large, credible investment</w:t>
            </w:r>
          </w:p>
        </w:tc>
        <w:tc>
          <w:tcPr>
            <w:tcW w:w="3433" w:type="pct"/>
            <w:shd w:val="clear" w:color="000000" w:fill="FDE9D9"/>
            <w:vAlign w:val="center"/>
            <w:hideMark/>
          </w:tcPr>
          <w:p w14:paraId="02213E57" w14:textId="77777777" w:rsidR="002246FC" w:rsidRPr="001D3EE3" w:rsidRDefault="00C048F8" w:rsidP="002246FC">
            <w:pPr>
              <w:suppressAutoHyphens w:val="0"/>
              <w:spacing w:before="0" w:after="0" w:line="240" w:lineRule="auto"/>
              <w:rPr>
                <w:rFonts w:ascii="Calibri Light" w:eastAsia="Times New Roman" w:hAnsi="Calibri Light" w:cs="Times New Roman"/>
                <w:i/>
                <w:color w:val="000000"/>
                <w:sz w:val="20"/>
                <w:szCs w:val="20"/>
                <w:lang w:val="en-AU"/>
              </w:rPr>
            </w:pPr>
            <w:r w:rsidRPr="001D3EE3">
              <w:rPr>
                <w:rFonts w:ascii="Calibri Light" w:eastAsia="Times New Roman" w:hAnsi="Calibri Light" w:cs="Times New Roman"/>
                <w:i/>
                <w:color w:val="000000"/>
                <w:sz w:val="20"/>
                <w:szCs w:val="20"/>
                <w:lang w:val="en-AU"/>
              </w:rPr>
              <w:t>Tina river hydropower project progressing as planned (revised from ‘</w:t>
            </w:r>
            <w:r w:rsidR="002246FC" w:rsidRPr="001D3EE3">
              <w:rPr>
                <w:rFonts w:ascii="Calibri Light" w:eastAsia="Times New Roman" w:hAnsi="Calibri Light" w:cs="Times New Roman"/>
                <w:i/>
                <w:color w:val="000000"/>
                <w:sz w:val="20"/>
                <w:szCs w:val="20"/>
                <w:lang w:val="en-AU"/>
              </w:rPr>
              <w:t>Evidence of annual progress towards an identified investment</w:t>
            </w:r>
            <w:r w:rsidRPr="001D3EE3">
              <w:rPr>
                <w:rFonts w:ascii="Calibri Light" w:eastAsia="Times New Roman" w:hAnsi="Calibri Light" w:cs="Times New Roman"/>
                <w:i/>
                <w:color w:val="000000"/>
                <w:sz w:val="20"/>
                <w:szCs w:val="20"/>
                <w:lang w:val="en-AU"/>
              </w:rPr>
              <w:t>’)</w:t>
            </w:r>
          </w:p>
        </w:tc>
      </w:tr>
      <w:tr w:rsidR="002246FC" w:rsidRPr="00415AF6" w14:paraId="115A0A0F" w14:textId="77777777" w:rsidTr="00415AF6">
        <w:trPr>
          <w:trHeight w:val="284"/>
        </w:trPr>
        <w:tc>
          <w:tcPr>
            <w:tcW w:w="1567" w:type="pct"/>
            <w:vMerge w:val="restart"/>
            <w:shd w:val="clear" w:color="000000" w:fill="FCD5B4"/>
            <w:vAlign w:val="center"/>
            <w:hideMark/>
          </w:tcPr>
          <w:p w14:paraId="3C7FE383"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xml:space="preserve">Public procurement rules are increasingly transparent, efficient, equitable and consistently applied </w:t>
            </w:r>
            <w:r w:rsidRPr="00415AF6">
              <w:rPr>
                <w:rFonts w:ascii="Calibri Light" w:eastAsia="Times New Roman" w:hAnsi="Calibri Light" w:cs="Times New Roman"/>
                <w:i/>
                <w:iCs/>
                <w:color w:val="000000"/>
                <w:sz w:val="20"/>
                <w:szCs w:val="20"/>
                <w:lang w:val="en-AU"/>
              </w:rPr>
              <w:t>[ease of procurement for business]</w:t>
            </w:r>
          </w:p>
        </w:tc>
        <w:tc>
          <w:tcPr>
            <w:tcW w:w="3433" w:type="pct"/>
            <w:shd w:val="clear" w:color="000000" w:fill="FDE9D9"/>
            <w:vAlign w:val="center"/>
            <w:hideMark/>
          </w:tcPr>
          <w:p w14:paraId="1147FA4D"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Timely submission of tenders awarded by CTB are  advertised on the SIG MoFT website quarterly</w:t>
            </w:r>
          </w:p>
        </w:tc>
      </w:tr>
      <w:tr w:rsidR="002246FC" w:rsidRPr="00415AF6" w14:paraId="3B53D23F" w14:textId="77777777" w:rsidTr="00415AF6">
        <w:trPr>
          <w:trHeight w:val="284"/>
        </w:trPr>
        <w:tc>
          <w:tcPr>
            <w:tcW w:w="1567" w:type="pct"/>
            <w:vMerge/>
            <w:shd w:val="clear" w:color="000000" w:fill="FCD5B4"/>
            <w:vAlign w:val="center"/>
            <w:hideMark/>
          </w:tcPr>
          <w:p w14:paraId="464089C3"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DE9D9"/>
            <w:vAlign w:val="center"/>
            <w:hideMark/>
          </w:tcPr>
          <w:p w14:paraId="34F1CD0A" w14:textId="77777777" w:rsidR="002246FC" w:rsidRPr="002C5836" w:rsidRDefault="00C048F8" w:rsidP="002246FC">
            <w:pPr>
              <w:suppressAutoHyphens w:val="0"/>
              <w:spacing w:before="0" w:after="0" w:line="240" w:lineRule="auto"/>
              <w:rPr>
                <w:rFonts w:ascii="Calibri Light" w:eastAsia="Times New Roman" w:hAnsi="Calibri Light" w:cs="Times New Roman"/>
                <w:i/>
                <w:color w:val="000000"/>
                <w:sz w:val="20"/>
                <w:szCs w:val="20"/>
                <w:lang w:val="en-AU"/>
              </w:rPr>
            </w:pPr>
            <w:r w:rsidRPr="002C5836">
              <w:rPr>
                <w:rFonts w:ascii="Calibri Light" w:eastAsia="Times New Roman" w:hAnsi="Calibri Light" w:cs="Times New Roman"/>
                <w:i/>
                <w:color w:val="000000"/>
                <w:sz w:val="20"/>
                <w:szCs w:val="20"/>
                <w:lang w:val="en-AU"/>
              </w:rPr>
              <w:t>Percentage of NTF payments passing MoFT compliance checks first time (revised from ‘</w:t>
            </w:r>
            <w:r w:rsidR="002246FC" w:rsidRPr="002C5836">
              <w:rPr>
                <w:rFonts w:ascii="Calibri Light" w:eastAsia="Times New Roman" w:hAnsi="Calibri Light" w:cs="Times New Roman"/>
                <w:i/>
                <w:color w:val="000000"/>
                <w:sz w:val="20"/>
                <w:szCs w:val="20"/>
                <w:lang w:val="en-AU"/>
              </w:rPr>
              <w:t>% of NTF procurements passing MID and MoFT compliance checks first time around</w:t>
            </w:r>
            <w:r w:rsidRPr="002C5836">
              <w:rPr>
                <w:rFonts w:ascii="Calibri Light" w:eastAsia="Times New Roman" w:hAnsi="Calibri Light" w:cs="Times New Roman"/>
                <w:i/>
                <w:color w:val="000000"/>
                <w:sz w:val="20"/>
                <w:szCs w:val="20"/>
                <w:lang w:val="en-AU"/>
              </w:rPr>
              <w:t>’)</w:t>
            </w:r>
          </w:p>
        </w:tc>
      </w:tr>
      <w:tr w:rsidR="00C048F8" w:rsidRPr="00415AF6" w14:paraId="1714EF5C" w14:textId="77777777" w:rsidTr="00415AF6">
        <w:trPr>
          <w:trHeight w:val="284"/>
        </w:trPr>
        <w:tc>
          <w:tcPr>
            <w:tcW w:w="1567" w:type="pct"/>
            <w:vMerge w:val="restart"/>
            <w:shd w:val="clear" w:color="000000" w:fill="FCD5B4"/>
            <w:vAlign w:val="center"/>
            <w:hideMark/>
          </w:tcPr>
          <w:p w14:paraId="19B59E05" w14:textId="77777777" w:rsidR="00C048F8" w:rsidRPr="00415AF6" w:rsidRDefault="00C048F8"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Effective structures for private sector and investor dialogue with government (advocacy)</w:t>
            </w:r>
          </w:p>
        </w:tc>
        <w:tc>
          <w:tcPr>
            <w:tcW w:w="3433" w:type="pct"/>
            <w:shd w:val="clear" w:color="000000" w:fill="FDE9D9"/>
            <w:vAlign w:val="center"/>
            <w:hideMark/>
          </w:tcPr>
          <w:p w14:paraId="677BE534" w14:textId="77777777" w:rsidR="00C048F8" w:rsidRPr="003D5EF4" w:rsidRDefault="00C048F8" w:rsidP="002246FC">
            <w:pPr>
              <w:suppressAutoHyphens w:val="0"/>
              <w:spacing w:before="0" w:after="0" w:line="240" w:lineRule="auto"/>
              <w:rPr>
                <w:rFonts w:ascii="Calibri Light" w:eastAsia="Times New Roman" w:hAnsi="Calibri Light" w:cs="Times New Roman"/>
                <w:i/>
                <w:color w:val="000000"/>
                <w:sz w:val="20"/>
                <w:szCs w:val="20"/>
                <w:lang w:val="en-AU"/>
              </w:rPr>
            </w:pPr>
            <w:r w:rsidRPr="003D5EF4">
              <w:rPr>
                <w:rFonts w:ascii="Calibri Light" w:eastAsia="Times New Roman" w:hAnsi="Calibri Light" w:cs="Times New Roman"/>
                <w:i/>
                <w:color w:val="000000"/>
                <w:sz w:val="20"/>
                <w:szCs w:val="20"/>
                <w:lang w:val="en-AU"/>
              </w:rPr>
              <w:t>Ministerial representation and participation in annual Australia-Solomon Island Business Forum (new indicator</w:t>
            </w:r>
            <w:r w:rsidR="003D5EF4" w:rsidRPr="003D5EF4">
              <w:rPr>
                <w:rFonts w:ascii="Calibri Light" w:eastAsia="Times New Roman" w:hAnsi="Calibri Light" w:cs="Times New Roman"/>
                <w:i/>
                <w:color w:val="000000"/>
                <w:sz w:val="20"/>
                <w:szCs w:val="20"/>
                <w:lang w:val="en-AU"/>
              </w:rPr>
              <w:t>, replaces previous indicators on private sector engagement</w:t>
            </w:r>
            <w:r w:rsidR="00E52CA5">
              <w:rPr>
                <w:rFonts w:ascii="Calibri Light" w:eastAsia="Times New Roman" w:hAnsi="Calibri Light" w:cs="Times New Roman"/>
                <w:i/>
                <w:color w:val="000000"/>
                <w:sz w:val="20"/>
                <w:szCs w:val="20"/>
                <w:lang w:val="en-AU"/>
              </w:rPr>
              <w:t xml:space="preserve"> with government</w:t>
            </w:r>
            <w:r w:rsidRPr="003D5EF4">
              <w:rPr>
                <w:rFonts w:ascii="Calibri Light" w:eastAsia="Times New Roman" w:hAnsi="Calibri Light" w:cs="Times New Roman"/>
                <w:i/>
                <w:color w:val="000000"/>
                <w:sz w:val="20"/>
                <w:szCs w:val="20"/>
                <w:lang w:val="en-AU"/>
              </w:rPr>
              <w:t>)</w:t>
            </w:r>
          </w:p>
        </w:tc>
      </w:tr>
      <w:tr w:rsidR="00C048F8" w:rsidRPr="00415AF6" w14:paraId="65A3A599" w14:textId="77777777" w:rsidTr="00415AF6">
        <w:trPr>
          <w:trHeight w:val="284"/>
        </w:trPr>
        <w:tc>
          <w:tcPr>
            <w:tcW w:w="1567" w:type="pct"/>
            <w:vMerge/>
            <w:shd w:val="clear" w:color="000000" w:fill="FCD5B4"/>
            <w:vAlign w:val="center"/>
          </w:tcPr>
          <w:p w14:paraId="192F4C61" w14:textId="77777777" w:rsidR="00C048F8" w:rsidRPr="00415AF6" w:rsidRDefault="00C048F8"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DE9D9"/>
            <w:vAlign w:val="center"/>
          </w:tcPr>
          <w:p w14:paraId="4691E24E" w14:textId="77777777" w:rsidR="00C048F8" w:rsidRPr="002C5836" w:rsidRDefault="00C048F8" w:rsidP="002246FC">
            <w:pPr>
              <w:suppressAutoHyphens w:val="0"/>
              <w:spacing w:before="0" w:after="0" w:line="240" w:lineRule="auto"/>
              <w:rPr>
                <w:rFonts w:ascii="Calibri Light" w:eastAsia="Times New Roman" w:hAnsi="Calibri Light" w:cs="Times New Roman"/>
                <w:i/>
                <w:color w:val="000000"/>
                <w:sz w:val="20"/>
                <w:szCs w:val="20"/>
                <w:lang w:val="en-AU"/>
              </w:rPr>
            </w:pPr>
            <w:r w:rsidRPr="002C5836">
              <w:rPr>
                <w:rFonts w:ascii="Calibri Light" w:eastAsia="Times New Roman" w:hAnsi="Calibri Light" w:cs="Times New Roman"/>
                <w:i/>
                <w:color w:val="000000"/>
                <w:sz w:val="20"/>
                <w:szCs w:val="20"/>
                <w:lang w:val="en-AU"/>
              </w:rPr>
              <w:t>Proportion of monthly meetings between SIG and SICCI that are held (new indicator)</w:t>
            </w:r>
          </w:p>
        </w:tc>
      </w:tr>
      <w:tr w:rsidR="002246FC" w:rsidRPr="00415AF6" w14:paraId="56638C55" w14:textId="77777777" w:rsidTr="00415AF6">
        <w:trPr>
          <w:trHeight w:val="284"/>
        </w:trPr>
        <w:tc>
          <w:tcPr>
            <w:tcW w:w="1567" w:type="pct"/>
            <w:vMerge w:val="restart"/>
            <w:shd w:val="clear" w:color="000000" w:fill="FCD5B4"/>
            <w:vAlign w:val="center"/>
            <w:hideMark/>
          </w:tcPr>
          <w:p w14:paraId="5214C190"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Transport maintenance and rehabilitation is managed through an efficient, transparent, effective and collaborative mechanism</w:t>
            </w:r>
          </w:p>
        </w:tc>
        <w:tc>
          <w:tcPr>
            <w:tcW w:w="3433" w:type="pct"/>
            <w:shd w:val="clear" w:color="000000" w:fill="FDE9D9"/>
            <w:vAlign w:val="center"/>
            <w:hideMark/>
          </w:tcPr>
          <w:p w14:paraId="01528922"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and % of SIG transport infrastructure expenditure going through the National Transport Fund (NTF)</w:t>
            </w:r>
          </w:p>
        </w:tc>
      </w:tr>
      <w:tr w:rsidR="002246FC" w:rsidRPr="00415AF6" w14:paraId="59D5AFC9" w14:textId="77777777" w:rsidTr="00415AF6">
        <w:trPr>
          <w:trHeight w:val="284"/>
        </w:trPr>
        <w:tc>
          <w:tcPr>
            <w:tcW w:w="1567" w:type="pct"/>
            <w:vMerge/>
            <w:shd w:val="clear" w:color="000000" w:fill="FCD5B4"/>
            <w:vAlign w:val="center"/>
            <w:hideMark/>
          </w:tcPr>
          <w:p w14:paraId="440B6E73"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DE9D9"/>
            <w:vAlign w:val="center"/>
            <w:hideMark/>
          </w:tcPr>
          <w:p w14:paraId="0599015B"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and value of NTF procurements</w:t>
            </w:r>
          </w:p>
        </w:tc>
      </w:tr>
      <w:tr w:rsidR="002246FC" w:rsidRPr="00415AF6" w14:paraId="4CA01B36" w14:textId="77777777" w:rsidTr="00415AF6">
        <w:trPr>
          <w:trHeight w:val="284"/>
        </w:trPr>
        <w:tc>
          <w:tcPr>
            <w:tcW w:w="1567" w:type="pct"/>
            <w:shd w:val="clear" w:color="000000" w:fill="FCD5B4"/>
            <w:vAlign w:val="center"/>
            <w:hideMark/>
          </w:tcPr>
          <w:p w14:paraId="75C5A6E8"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Infrastructure development prioritised to meet needs of productive sectors</w:t>
            </w:r>
          </w:p>
        </w:tc>
        <w:tc>
          <w:tcPr>
            <w:tcW w:w="3433" w:type="pct"/>
            <w:shd w:val="clear" w:color="000000" w:fill="FDE9D9"/>
            <w:vAlign w:val="center"/>
            <w:hideMark/>
          </w:tcPr>
          <w:p w14:paraId="3AA0F9E8"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Progress on Solomon Islands National Infrastructure Investment Plan</w:t>
            </w:r>
          </w:p>
        </w:tc>
      </w:tr>
      <w:tr w:rsidR="002246FC" w:rsidRPr="00415AF6" w14:paraId="7EFCA91A" w14:textId="77777777" w:rsidTr="00415AF6">
        <w:trPr>
          <w:trHeight w:val="284"/>
        </w:trPr>
        <w:tc>
          <w:tcPr>
            <w:tcW w:w="1567" w:type="pct"/>
            <w:shd w:val="clear" w:color="auto" w:fill="FCD5B4"/>
            <w:vAlign w:val="center"/>
          </w:tcPr>
          <w:p w14:paraId="3540CFF8" w14:textId="77777777" w:rsidR="002246FC" w:rsidRPr="00415AF6" w:rsidRDefault="002246FC" w:rsidP="002246FC">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Australia's aid objective</w:t>
            </w:r>
          </w:p>
        </w:tc>
        <w:tc>
          <w:tcPr>
            <w:tcW w:w="3433" w:type="pct"/>
            <w:shd w:val="clear" w:color="auto" w:fill="FCD5B4"/>
            <w:vAlign w:val="center"/>
          </w:tcPr>
          <w:p w14:paraId="12771F69" w14:textId="77777777" w:rsidR="002246FC" w:rsidRPr="00415AF6" w:rsidRDefault="002246FC" w:rsidP="002246FC">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Enabling Economic Growth - Plan outcome 2B More men and women can earn a cash income</w:t>
            </w:r>
          </w:p>
        </w:tc>
      </w:tr>
      <w:tr w:rsidR="002246FC" w:rsidRPr="00415AF6" w14:paraId="46DD06D3" w14:textId="77777777" w:rsidTr="00415AF6">
        <w:trPr>
          <w:trHeight w:val="284"/>
        </w:trPr>
        <w:tc>
          <w:tcPr>
            <w:tcW w:w="1567" w:type="pct"/>
            <w:shd w:val="clear" w:color="auto" w:fill="FCD5B4"/>
            <w:vAlign w:val="center"/>
            <w:hideMark/>
          </w:tcPr>
          <w:p w14:paraId="3DF03FDC" w14:textId="77777777" w:rsidR="002246FC" w:rsidRPr="00415AF6" w:rsidRDefault="002246FC" w:rsidP="002246FC">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Intermediate outcome</w:t>
            </w:r>
          </w:p>
        </w:tc>
        <w:tc>
          <w:tcPr>
            <w:tcW w:w="3433" w:type="pct"/>
            <w:shd w:val="clear" w:color="auto" w:fill="FCD5B4"/>
            <w:vAlign w:val="center"/>
            <w:hideMark/>
          </w:tcPr>
          <w:p w14:paraId="44CEA6AD" w14:textId="77777777" w:rsidR="002246FC" w:rsidRPr="00415AF6" w:rsidRDefault="002246FC" w:rsidP="002246FC">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Intermediate outcome indicators</w:t>
            </w:r>
          </w:p>
        </w:tc>
      </w:tr>
      <w:tr w:rsidR="002246FC" w:rsidRPr="00415AF6" w14:paraId="5B922D86" w14:textId="77777777" w:rsidTr="00415AF6">
        <w:trPr>
          <w:trHeight w:val="284"/>
        </w:trPr>
        <w:tc>
          <w:tcPr>
            <w:tcW w:w="1567" w:type="pct"/>
            <w:shd w:val="clear" w:color="000000" w:fill="FCD5B4"/>
            <w:vAlign w:val="center"/>
            <w:hideMark/>
          </w:tcPr>
          <w:p w14:paraId="285BAD89"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Increased private sector participation in service delivery</w:t>
            </w:r>
          </w:p>
        </w:tc>
        <w:tc>
          <w:tcPr>
            <w:tcW w:w="3433" w:type="pct"/>
            <w:shd w:val="clear" w:color="000000" w:fill="FDE9D9"/>
            <w:vAlign w:val="center"/>
            <w:hideMark/>
          </w:tcPr>
          <w:p w14:paraId="601D3549"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amount of procurement pipeline in education, health and NTF contracted to the private sector</w:t>
            </w:r>
          </w:p>
        </w:tc>
      </w:tr>
      <w:tr w:rsidR="002246FC" w:rsidRPr="00415AF6" w14:paraId="45AA30DC" w14:textId="77777777" w:rsidTr="00415AF6">
        <w:trPr>
          <w:trHeight w:val="284"/>
        </w:trPr>
        <w:tc>
          <w:tcPr>
            <w:tcW w:w="1567" w:type="pct"/>
            <w:shd w:val="clear" w:color="000000" w:fill="FCD5B4"/>
            <w:vAlign w:val="center"/>
            <w:hideMark/>
          </w:tcPr>
          <w:p w14:paraId="11E95F20"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Barriers to trade are reduced</w:t>
            </w:r>
          </w:p>
        </w:tc>
        <w:tc>
          <w:tcPr>
            <w:tcW w:w="3433" w:type="pct"/>
            <w:shd w:val="clear" w:color="000000" w:fill="FDE9D9"/>
            <w:vAlign w:val="center"/>
            <w:hideMark/>
          </w:tcPr>
          <w:p w14:paraId="40F30240"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Customs clearance times</w:t>
            </w:r>
          </w:p>
        </w:tc>
      </w:tr>
      <w:tr w:rsidR="002246FC" w:rsidRPr="00415AF6" w14:paraId="3A132AAA" w14:textId="77777777" w:rsidTr="00415AF6">
        <w:trPr>
          <w:trHeight w:val="284"/>
        </w:trPr>
        <w:tc>
          <w:tcPr>
            <w:tcW w:w="1567" w:type="pct"/>
            <w:shd w:val="clear" w:color="000000" w:fill="FCD5B4"/>
            <w:vAlign w:val="center"/>
            <w:hideMark/>
          </w:tcPr>
          <w:p w14:paraId="2D213912"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Men and women farmers use enhanced practices</w:t>
            </w:r>
          </w:p>
        </w:tc>
        <w:tc>
          <w:tcPr>
            <w:tcW w:w="3433" w:type="pct"/>
            <w:shd w:val="clear" w:color="000000" w:fill="FDE9D9"/>
            <w:vAlign w:val="center"/>
            <w:hideMark/>
          </w:tcPr>
          <w:p w14:paraId="6E973683"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men and women farmers trained in farming practices to improve yields/ values of produce</w:t>
            </w:r>
          </w:p>
        </w:tc>
      </w:tr>
      <w:tr w:rsidR="002246FC" w:rsidRPr="00415AF6" w14:paraId="66EB2346" w14:textId="77777777" w:rsidTr="00415AF6">
        <w:trPr>
          <w:trHeight w:val="284"/>
        </w:trPr>
        <w:tc>
          <w:tcPr>
            <w:tcW w:w="1567" w:type="pct"/>
            <w:shd w:val="clear" w:color="000000" w:fill="FCD5B4"/>
            <w:vAlign w:val="center"/>
            <w:hideMark/>
          </w:tcPr>
          <w:p w14:paraId="0C5884F7"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Rural men and women linked to markets</w:t>
            </w:r>
          </w:p>
        </w:tc>
        <w:tc>
          <w:tcPr>
            <w:tcW w:w="3433" w:type="pct"/>
            <w:shd w:val="clear" w:color="000000" w:fill="FDE9D9"/>
            <w:vAlign w:val="center"/>
            <w:hideMark/>
          </w:tcPr>
          <w:p w14:paraId="3AF1BCF7"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Exports of cocoa, timber, fish and coconut products</w:t>
            </w:r>
          </w:p>
        </w:tc>
      </w:tr>
      <w:tr w:rsidR="002246FC" w:rsidRPr="00415AF6" w14:paraId="178ACA6C" w14:textId="77777777" w:rsidTr="00415AF6">
        <w:trPr>
          <w:trHeight w:val="284"/>
        </w:trPr>
        <w:tc>
          <w:tcPr>
            <w:tcW w:w="1567" w:type="pct"/>
            <w:vMerge w:val="restart"/>
            <w:shd w:val="clear" w:color="000000" w:fill="FCD5B4"/>
            <w:vAlign w:val="center"/>
            <w:hideMark/>
          </w:tcPr>
          <w:p w14:paraId="65B52293"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Men and women have access to Australian funded business and vocational skills training</w:t>
            </w:r>
          </w:p>
        </w:tc>
        <w:tc>
          <w:tcPr>
            <w:tcW w:w="3433" w:type="pct"/>
            <w:shd w:val="clear" w:color="000000" w:fill="FDE9D9"/>
            <w:vAlign w:val="center"/>
            <w:hideMark/>
          </w:tcPr>
          <w:p w14:paraId="70FC3BB0"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women trained under SIWIBA support</w:t>
            </w:r>
          </w:p>
        </w:tc>
      </w:tr>
      <w:tr w:rsidR="002246FC" w:rsidRPr="00415AF6" w14:paraId="589BAA87" w14:textId="77777777" w:rsidTr="00415AF6">
        <w:trPr>
          <w:trHeight w:val="284"/>
        </w:trPr>
        <w:tc>
          <w:tcPr>
            <w:tcW w:w="1567" w:type="pct"/>
            <w:vMerge/>
            <w:shd w:val="clear" w:color="000000" w:fill="FCD5B4"/>
            <w:vAlign w:val="center"/>
            <w:hideMark/>
          </w:tcPr>
          <w:p w14:paraId="428451E6"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DE9D9"/>
            <w:vAlign w:val="center"/>
            <w:hideMark/>
          </w:tcPr>
          <w:p w14:paraId="6946B507" w14:textId="77777777" w:rsidR="002246FC" w:rsidRPr="00415AF6" w:rsidRDefault="00B604CF" w:rsidP="00B604CF">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xml:space="preserve"># </w:t>
            </w:r>
            <w:r w:rsidR="002246FC" w:rsidRPr="00415AF6">
              <w:rPr>
                <w:rFonts w:ascii="Calibri Light" w:eastAsia="Times New Roman" w:hAnsi="Calibri Light" w:cs="Times New Roman"/>
                <w:color w:val="000000"/>
                <w:sz w:val="20"/>
                <w:szCs w:val="20"/>
                <w:lang w:val="en-AU"/>
              </w:rPr>
              <w:t>men and women trained through APTC, Skills for Economic Growth and Youth at Work, Scholarships and Fellowships</w:t>
            </w:r>
          </w:p>
        </w:tc>
      </w:tr>
      <w:tr w:rsidR="002246FC" w:rsidRPr="00415AF6" w14:paraId="44473908" w14:textId="77777777" w:rsidTr="00415AF6">
        <w:trPr>
          <w:trHeight w:val="284"/>
        </w:trPr>
        <w:tc>
          <w:tcPr>
            <w:tcW w:w="1567" w:type="pct"/>
            <w:shd w:val="clear" w:color="000000" w:fill="FCD5B4"/>
            <w:vAlign w:val="center"/>
            <w:hideMark/>
          </w:tcPr>
          <w:p w14:paraId="66E9E6D7"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Numbers of men and women using international income earning opportunities</w:t>
            </w:r>
          </w:p>
        </w:tc>
        <w:tc>
          <w:tcPr>
            <w:tcW w:w="3433" w:type="pct"/>
            <w:shd w:val="clear" w:color="000000" w:fill="FDE9D9"/>
            <w:vAlign w:val="center"/>
            <w:hideMark/>
          </w:tcPr>
          <w:p w14:paraId="3649B23A"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participants in labour mobility scheme</w:t>
            </w:r>
          </w:p>
        </w:tc>
      </w:tr>
      <w:tr w:rsidR="00C048F8" w:rsidRPr="00415AF6" w14:paraId="0A57874F" w14:textId="77777777" w:rsidTr="00415AF6">
        <w:trPr>
          <w:trHeight w:val="284"/>
        </w:trPr>
        <w:tc>
          <w:tcPr>
            <w:tcW w:w="1567" w:type="pct"/>
            <w:vMerge w:val="restart"/>
            <w:shd w:val="clear" w:color="000000" w:fill="FCD5B4"/>
            <w:vAlign w:val="center"/>
            <w:hideMark/>
          </w:tcPr>
          <w:p w14:paraId="7B63B933" w14:textId="77777777" w:rsidR="00C048F8" w:rsidRPr="00415AF6" w:rsidRDefault="00C048F8"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Barriers to women's participation in the working environment and strategies to address them are identified</w:t>
            </w:r>
          </w:p>
        </w:tc>
        <w:tc>
          <w:tcPr>
            <w:tcW w:w="3433" w:type="pct"/>
            <w:shd w:val="clear" w:color="000000" w:fill="FDE9D9"/>
            <w:vAlign w:val="center"/>
            <w:hideMark/>
          </w:tcPr>
          <w:p w14:paraId="3BC4DCCD" w14:textId="77777777" w:rsidR="00C048F8" w:rsidRPr="00415AF6" w:rsidRDefault="00C048F8"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Data from IFC "Empowering Women in the Private Sector" program</w:t>
            </w:r>
          </w:p>
        </w:tc>
      </w:tr>
      <w:tr w:rsidR="00C048F8" w:rsidRPr="00415AF6" w14:paraId="4C46CB7F" w14:textId="77777777" w:rsidTr="00415AF6">
        <w:trPr>
          <w:trHeight w:val="284"/>
        </w:trPr>
        <w:tc>
          <w:tcPr>
            <w:tcW w:w="1567" w:type="pct"/>
            <w:vMerge/>
            <w:shd w:val="clear" w:color="000000" w:fill="FCD5B4"/>
            <w:vAlign w:val="center"/>
          </w:tcPr>
          <w:p w14:paraId="5AEE8537" w14:textId="77777777" w:rsidR="00C048F8" w:rsidRPr="00415AF6" w:rsidRDefault="00C048F8"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DE9D9"/>
            <w:vAlign w:val="center"/>
          </w:tcPr>
          <w:p w14:paraId="0B796C92" w14:textId="77777777" w:rsidR="00C048F8" w:rsidRPr="002C5836" w:rsidRDefault="00C048F8" w:rsidP="002246FC">
            <w:pPr>
              <w:suppressAutoHyphens w:val="0"/>
              <w:spacing w:before="0" w:after="0" w:line="240" w:lineRule="auto"/>
              <w:rPr>
                <w:rFonts w:ascii="Calibri Light" w:eastAsia="Times New Roman" w:hAnsi="Calibri Light" w:cs="Times New Roman"/>
                <w:i/>
                <w:color w:val="000000"/>
                <w:sz w:val="20"/>
                <w:szCs w:val="20"/>
                <w:lang w:val="en-AU"/>
              </w:rPr>
            </w:pPr>
            <w:r w:rsidRPr="002C5836">
              <w:rPr>
                <w:rFonts w:ascii="Calibri Light" w:eastAsia="Times New Roman" w:hAnsi="Calibri Light" w:cs="Times New Roman"/>
                <w:i/>
                <w:color w:val="000000"/>
                <w:sz w:val="20"/>
                <w:szCs w:val="20"/>
                <w:lang w:val="en-AU"/>
              </w:rPr>
              <w:t>Number of entities that implemented at least one recommended change in procedures, polices, practices or standards aimed at improving gender equality (new indicator)</w:t>
            </w:r>
          </w:p>
        </w:tc>
      </w:tr>
    </w:tbl>
    <w:p w14:paraId="52F9924A" w14:textId="77777777" w:rsidR="002246FC" w:rsidRPr="00415AF6" w:rsidRDefault="002246FC" w:rsidP="002246FC">
      <w:pPr>
        <w:suppressAutoHyphens w:val="0"/>
        <w:spacing w:before="0" w:after="0" w:line="240" w:lineRule="auto"/>
        <w:rPr>
          <w:rFonts w:ascii="Calibri Light" w:eastAsia="Times New Roman" w:hAnsi="Calibri Light" w:cs="Times New Roman"/>
          <w:color w:val="auto"/>
          <w:sz w:val="18"/>
          <w:szCs w:val="18"/>
          <w:lang w:val="en-AU"/>
        </w:rPr>
      </w:pPr>
      <w:bookmarkStart w:id="1" w:name="RANGE!A1:D21"/>
    </w:p>
    <w:p w14:paraId="4B6E01D7" w14:textId="77777777" w:rsidR="00687E7F" w:rsidRDefault="00687E7F">
      <w:pPr>
        <w:rPr>
          <w:rFonts w:ascii="Calibri Light" w:hAnsi="Calibri Light"/>
          <w:sz w:val="18"/>
          <w:szCs w:val="18"/>
        </w:rPr>
      </w:pPr>
    </w:p>
    <w:p w14:paraId="56497098" w14:textId="77777777" w:rsidR="003D5EF4" w:rsidRPr="00415AF6" w:rsidRDefault="003D5EF4">
      <w:pPr>
        <w:rPr>
          <w:rFonts w:ascii="Calibri Light" w:hAnsi="Calibri Light"/>
          <w:sz w:val="18"/>
          <w:szCs w:val="1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9923"/>
      </w:tblGrid>
      <w:tr w:rsidR="00687E7F" w:rsidRPr="00415AF6" w14:paraId="764E5AC9" w14:textId="77777777" w:rsidTr="00415AF6">
        <w:trPr>
          <w:trHeight w:val="284"/>
        </w:trPr>
        <w:tc>
          <w:tcPr>
            <w:tcW w:w="1567" w:type="pct"/>
            <w:shd w:val="clear" w:color="auto" w:fill="FFFF99"/>
            <w:vAlign w:val="center"/>
            <w:hideMark/>
          </w:tcPr>
          <w:p w14:paraId="5A7148BD" w14:textId="77777777" w:rsidR="00687E7F" w:rsidRPr="00415AF6" w:rsidRDefault="00687E7F" w:rsidP="002D3B50">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lastRenderedPageBreak/>
              <w:t>Australia's aid objective</w:t>
            </w:r>
          </w:p>
        </w:tc>
        <w:tc>
          <w:tcPr>
            <w:tcW w:w="3433" w:type="pct"/>
            <w:shd w:val="clear" w:color="auto" w:fill="FFFF99"/>
            <w:vAlign w:val="center"/>
            <w:hideMark/>
          </w:tcPr>
          <w:p w14:paraId="47006C7A" w14:textId="77777777" w:rsidR="00687E7F" w:rsidRPr="00415AF6" w:rsidRDefault="00687E7F" w:rsidP="002D3B50">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Enhancing Human Development – Plan outcome 3 - More men and women can earn a cash income</w:t>
            </w:r>
          </w:p>
        </w:tc>
      </w:tr>
      <w:tr w:rsidR="00687E7F" w:rsidRPr="00415AF6" w14:paraId="52A8E125" w14:textId="77777777" w:rsidTr="00415AF6">
        <w:trPr>
          <w:trHeight w:val="284"/>
        </w:trPr>
        <w:tc>
          <w:tcPr>
            <w:tcW w:w="1567" w:type="pct"/>
            <w:shd w:val="clear" w:color="auto" w:fill="FFFF99"/>
            <w:vAlign w:val="center"/>
            <w:hideMark/>
          </w:tcPr>
          <w:p w14:paraId="36FDC263" w14:textId="77777777" w:rsidR="00687E7F" w:rsidRPr="00415AF6" w:rsidRDefault="00687E7F" w:rsidP="002D3B50">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Intermediate outcome</w:t>
            </w:r>
          </w:p>
        </w:tc>
        <w:tc>
          <w:tcPr>
            <w:tcW w:w="3433" w:type="pct"/>
            <w:shd w:val="clear" w:color="auto" w:fill="FFFF99"/>
            <w:vAlign w:val="center"/>
            <w:hideMark/>
          </w:tcPr>
          <w:p w14:paraId="40172310" w14:textId="77777777" w:rsidR="00687E7F" w:rsidRPr="00415AF6" w:rsidRDefault="00687E7F" w:rsidP="002D3B50">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Intermediate outcome indicators</w:t>
            </w:r>
          </w:p>
        </w:tc>
      </w:tr>
      <w:tr w:rsidR="00687E7F" w:rsidRPr="00415AF6" w14:paraId="61439AAB" w14:textId="77777777" w:rsidTr="00415AF6">
        <w:trPr>
          <w:trHeight w:val="284"/>
        </w:trPr>
        <w:tc>
          <w:tcPr>
            <w:tcW w:w="1567" w:type="pct"/>
            <w:vMerge w:val="restart"/>
            <w:shd w:val="clear" w:color="000000" w:fill="FFFF99"/>
            <w:vAlign w:val="center"/>
            <w:hideMark/>
          </w:tcPr>
          <w:p w14:paraId="33D23B75"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SIG protects budgets for basic service delivery</w:t>
            </w:r>
          </w:p>
        </w:tc>
        <w:tc>
          <w:tcPr>
            <w:tcW w:w="3433" w:type="pct"/>
            <w:shd w:val="clear" w:color="000000" w:fill="FFFFCC"/>
            <w:vAlign w:val="center"/>
            <w:hideMark/>
          </w:tcPr>
          <w:p w14:paraId="233FCA60"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SIG's % total budget allocated to health</w:t>
            </w:r>
          </w:p>
        </w:tc>
      </w:tr>
      <w:tr w:rsidR="00687E7F" w:rsidRPr="00415AF6" w14:paraId="433A624D" w14:textId="77777777" w:rsidTr="00415AF6">
        <w:trPr>
          <w:trHeight w:val="284"/>
        </w:trPr>
        <w:tc>
          <w:tcPr>
            <w:tcW w:w="1567" w:type="pct"/>
            <w:vMerge/>
            <w:shd w:val="clear" w:color="000000" w:fill="FFFF99"/>
            <w:vAlign w:val="center"/>
            <w:hideMark/>
          </w:tcPr>
          <w:p w14:paraId="79916B22"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5AC7EF76"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SIG's % total budget allocated to education</w:t>
            </w:r>
          </w:p>
        </w:tc>
      </w:tr>
      <w:tr w:rsidR="00687E7F" w:rsidRPr="00415AF6" w14:paraId="7260FFFA" w14:textId="77777777" w:rsidTr="00415AF6">
        <w:trPr>
          <w:trHeight w:val="284"/>
        </w:trPr>
        <w:tc>
          <w:tcPr>
            <w:tcW w:w="1567" w:type="pct"/>
            <w:vMerge/>
            <w:shd w:val="clear" w:color="000000" w:fill="FFFF99"/>
            <w:vAlign w:val="center"/>
            <w:hideMark/>
          </w:tcPr>
          <w:p w14:paraId="31D9F50C"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119A955E"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health recurrent budgets allocated to basic service delivery for primary health care through funding to provinces</w:t>
            </w:r>
          </w:p>
        </w:tc>
      </w:tr>
      <w:tr w:rsidR="00687E7F" w:rsidRPr="00415AF6" w14:paraId="5736FA62" w14:textId="77777777" w:rsidTr="00415AF6">
        <w:trPr>
          <w:trHeight w:val="284"/>
        </w:trPr>
        <w:tc>
          <w:tcPr>
            <w:tcW w:w="1567" w:type="pct"/>
            <w:vMerge/>
            <w:shd w:val="clear" w:color="000000" w:fill="FFFF99"/>
            <w:vAlign w:val="center"/>
            <w:hideMark/>
          </w:tcPr>
          <w:p w14:paraId="0E4908F1"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22E8C76A"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education recurrent budget allocated to basic service delivery basic education</w:t>
            </w:r>
          </w:p>
        </w:tc>
      </w:tr>
      <w:tr w:rsidR="00687E7F" w:rsidRPr="00415AF6" w14:paraId="07C6B543" w14:textId="77777777" w:rsidTr="00415AF6">
        <w:trPr>
          <w:trHeight w:val="284"/>
        </w:trPr>
        <w:tc>
          <w:tcPr>
            <w:tcW w:w="1567" w:type="pct"/>
            <w:vMerge w:val="restart"/>
            <w:shd w:val="clear" w:color="000000" w:fill="FFFF99"/>
            <w:vAlign w:val="center"/>
            <w:hideMark/>
          </w:tcPr>
          <w:p w14:paraId="73306960"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Procurement improvements accelerating service delivery and providing value for money [</w:t>
            </w:r>
            <w:r w:rsidRPr="00415AF6">
              <w:rPr>
                <w:rFonts w:ascii="Calibri Light" w:eastAsia="Times New Roman" w:hAnsi="Calibri Light" w:cs="Times New Roman"/>
                <w:i/>
                <w:iCs/>
                <w:color w:val="000000"/>
                <w:sz w:val="20"/>
                <w:szCs w:val="20"/>
                <w:lang w:val="en-AU"/>
              </w:rPr>
              <w:t>capacity of procurement system</w:t>
            </w:r>
            <w:r w:rsidRPr="00415AF6">
              <w:rPr>
                <w:rFonts w:ascii="Calibri Light" w:eastAsia="Times New Roman" w:hAnsi="Calibri Light" w:cs="Times New Roman"/>
                <w:color w:val="000000"/>
                <w:sz w:val="20"/>
                <w:szCs w:val="20"/>
                <w:lang w:val="en-AU"/>
              </w:rPr>
              <w:t>]</w:t>
            </w:r>
          </w:p>
        </w:tc>
        <w:tc>
          <w:tcPr>
            <w:tcW w:w="3433" w:type="pct"/>
            <w:shd w:val="clear" w:color="000000" w:fill="FFFFCC"/>
            <w:vAlign w:val="center"/>
            <w:hideMark/>
          </w:tcPr>
          <w:p w14:paraId="234777AC"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essential medicine available at second level medical stores, and at rural health centres</w:t>
            </w:r>
          </w:p>
        </w:tc>
      </w:tr>
      <w:tr w:rsidR="00687E7F" w:rsidRPr="00415AF6" w14:paraId="7662354A" w14:textId="77777777" w:rsidTr="00415AF6">
        <w:trPr>
          <w:trHeight w:val="284"/>
        </w:trPr>
        <w:tc>
          <w:tcPr>
            <w:tcW w:w="1567" w:type="pct"/>
            <w:vMerge/>
            <w:vAlign w:val="center"/>
            <w:hideMark/>
          </w:tcPr>
          <w:p w14:paraId="6D249285"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2F15E796"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Number of books and curriculum materials distributed</w:t>
            </w:r>
          </w:p>
        </w:tc>
      </w:tr>
      <w:tr w:rsidR="00687E7F" w:rsidRPr="00415AF6" w14:paraId="5CAFE517" w14:textId="77777777" w:rsidTr="00415AF6">
        <w:trPr>
          <w:trHeight w:val="284"/>
        </w:trPr>
        <w:tc>
          <w:tcPr>
            <w:tcW w:w="1567" w:type="pct"/>
            <w:vMerge/>
            <w:vAlign w:val="center"/>
            <w:hideMark/>
          </w:tcPr>
          <w:p w14:paraId="30A342E2"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02499A44"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Number of new classrooms built and classrooms repaired</w:t>
            </w:r>
          </w:p>
        </w:tc>
      </w:tr>
      <w:tr w:rsidR="00687E7F" w:rsidRPr="00415AF6" w14:paraId="489F2B25" w14:textId="77777777" w:rsidTr="00415AF6">
        <w:trPr>
          <w:trHeight w:val="284"/>
        </w:trPr>
        <w:tc>
          <w:tcPr>
            <w:tcW w:w="1567" w:type="pct"/>
            <w:vMerge/>
            <w:vAlign w:val="center"/>
            <w:hideMark/>
          </w:tcPr>
          <w:p w14:paraId="62F47AA6"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5812143C"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items addressed in PFM road map in health</w:t>
            </w:r>
          </w:p>
        </w:tc>
      </w:tr>
      <w:tr w:rsidR="00687E7F" w:rsidRPr="00415AF6" w14:paraId="24EDF7C2" w14:textId="77777777" w:rsidTr="00415AF6">
        <w:trPr>
          <w:trHeight w:val="284"/>
        </w:trPr>
        <w:tc>
          <w:tcPr>
            <w:tcW w:w="1567" w:type="pct"/>
            <w:vMerge/>
            <w:shd w:val="clear" w:color="000000" w:fill="FFFF99"/>
            <w:vAlign w:val="center"/>
            <w:hideMark/>
          </w:tcPr>
          <w:p w14:paraId="1D47131E"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4AB53639"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items addressed in PFM road map in education</w:t>
            </w:r>
          </w:p>
        </w:tc>
      </w:tr>
      <w:tr w:rsidR="00687E7F" w:rsidRPr="00415AF6" w14:paraId="4F478B23" w14:textId="77777777" w:rsidTr="00415AF6">
        <w:trPr>
          <w:trHeight w:val="284"/>
        </w:trPr>
        <w:tc>
          <w:tcPr>
            <w:tcW w:w="1567" w:type="pct"/>
            <w:vMerge/>
            <w:shd w:val="clear" w:color="000000" w:fill="FFFF99"/>
            <w:vAlign w:val="center"/>
            <w:hideMark/>
          </w:tcPr>
          <w:p w14:paraId="58469927"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276E588B"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schools upgraded</w:t>
            </w:r>
          </w:p>
        </w:tc>
      </w:tr>
      <w:tr w:rsidR="00687E7F" w:rsidRPr="00415AF6" w14:paraId="5032F1AD" w14:textId="77777777" w:rsidTr="00415AF6">
        <w:trPr>
          <w:trHeight w:val="284"/>
        </w:trPr>
        <w:tc>
          <w:tcPr>
            <w:tcW w:w="1567" w:type="pct"/>
            <w:vMerge w:val="restart"/>
            <w:shd w:val="clear" w:color="000000" w:fill="FFFF99"/>
            <w:vAlign w:val="center"/>
            <w:hideMark/>
          </w:tcPr>
          <w:p w14:paraId="06B191DD"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TVET courses of improved quality are delivered within a revised national qualifications framework</w:t>
            </w:r>
          </w:p>
        </w:tc>
        <w:tc>
          <w:tcPr>
            <w:tcW w:w="3433" w:type="pct"/>
            <w:shd w:val="clear" w:color="000000" w:fill="FFFFCC"/>
            <w:vAlign w:val="center"/>
            <w:hideMark/>
          </w:tcPr>
          <w:p w14:paraId="65357E16"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National Qualifications Framework in place and evidence of its use and institutionalisation</w:t>
            </w:r>
          </w:p>
        </w:tc>
      </w:tr>
      <w:tr w:rsidR="00687E7F" w:rsidRPr="00415AF6" w14:paraId="0D39AE94" w14:textId="77777777" w:rsidTr="00415AF6">
        <w:trPr>
          <w:trHeight w:val="284"/>
        </w:trPr>
        <w:tc>
          <w:tcPr>
            <w:tcW w:w="1567" w:type="pct"/>
            <w:vMerge/>
            <w:vAlign w:val="center"/>
            <w:hideMark/>
          </w:tcPr>
          <w:p w14:paraId="4D6E51F6"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1C4B3B96"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people trained in TVET courses that meet national or international standards</w:t>
            </w:r>
          </w:p>
        </w:tc>
      </w:tr>
      <w:tr w:rsidR="00687E7F" w:rsidRPr="00415AF6" w14:paraId="2264AC19" w14:textId="77777777" w:rsidTr="00415AF6">
        <w:trPr>
          <w:trHeight w:val="284"/>
        </w:trPr>
        <w:tc>
          <w:tcPr>
            <w:tcW w:w="1567" w:type="pct"/>
            <w:vMerge w:val="restart"/>
            <w:shd w:val="clear" w:color="000000" w:fill="FFFF99"/>
            <w:vAlign w:val="center"/>
            <w:hideMark/>
          </w:tcPr>
          <w:p w14:paraId="78EB295F"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Service delivery staff are trained</w:t>
            </w:r>
          </w:p>
        </w:tc>
        <w:tc>
          <w:tcPr>
            <w:tcW w:w="3433" w:type="pct"/>
            <w:shd w:val="clear" w:color="000000" w:fill="FFFFCC"/>
            <w:vAlign w:val="center"/>
            <w:hideMark/>
          </w:tcPr>
          <w:p w14:paraId="709F17E5"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medical graduates who successfully complete internships in-country</w:t>
            </w:r>
          </w:p>
        </w:tc>
      </w:tr>
      <w:tr w:rsidR="00687E7F" w:rsidRPr="00415AF6" w14:paraId="5D27AAA7" w14:textId="77777777" w:rsidTr="00415AF6">
        <w:trPr>
          <w:trHeight w:val="284"/>
        </w:trPr>
        <w:tc>
          <w:tcPr>
            <w:tcW w:w="1567" w:type="pct"/>
            <w:vMerge/>
            <w:vAlign w:val="center"/>
            <w:hideMark/>
          </w:tcPr>
          <w:p w14:paraId="0B2AF0F6"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096AB17C"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doctors and nurses trained</w:t>
            </w:r>
          </w:p>
        </w:tc>
      </w:tr>
      <w:tr w:rsidR="00687E7F" w:rsidRPr="00415AF6" w14:paraId="3C463066" w14:textId="77777777" w:rsidTr="00415AF6">
        <w:trPr>
          <w:trHeight w:val="284"/>
        </w:trPr>
        <w:tc>
          <w:tcPr>
            <w:tcW w:w="1567" w:type="pct"/>
            <w:vMerge/>
            <w:vAlign w:val="center"/>
            <w:hideMark/>
          </w:tcPr>
          <w:p w14:paraId="55CAA2E1"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59D78640"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teachers trained</w:t>
            </w:r>
          </w:p>
        </w:tc>
      </w:tr>
      <w:tr w:rsidR="00687E7F" w:rsidRPr="00415AF6" w14:paraId="79A72DE3" w14:textId="77777777" w:rsidTr="00415AF6">
        <w:trPr>
          <w:trHeight w:val="284"/>
        </w:trPr>
        <w:tc>
          <w:tcPr>
            <w:tcW w:w="1567" w:type="pct"/>
            <w:vMerge w:val="restart"/>
            <w:shd w:val="clear" w:color="000000" w:fill="FFFF99"/>
            <w:vAlign w:val="center"/>
            <w:hideMark/>
          </w:tcPr>
          <w:p w14:paraId="6BBB8927"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Services are targeted at priority needs for men and women, boys and girls</w:t>
            </w:r>
          </w:p>
        </w:tc>
        <w:tc>
          <w:tcPr>
            <w:tcW w:w="3433" w:type="pct"/>
            <w:shd w:val="clear" w:color="000000" w:fill="FFFFCC"/>
            <w:vAlign w:val="center"/>
            <w:hideMark/>
          </w:tcPr>
          <w:p w14:paraId="14897DAE"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Contraceptive use – number of contraceptive contacts</w:t>
            </w:r>
          </w:p>
        </w:tc>
      </w:tr>
      <w:tr w:rsidR="00687E7F" w:rsidRPr="00415AF6" w14:paraId="12A0E4EA" w14:textId="77777777" w:rsidTr="00415AF6">
        <w:trPr>
          <w:trHeight w:val="284"/>
        </w:trPr>
        <w:tc>
          <w:tcPr>
            <w:tcW w:w="1567" w:type="pct"/>
            <w:vMerge/>
            <w:vAlign w:val="center"/>
            <w:hideMark/>
          </w:tcPr>
          <w:p w14:paraId="1D9847B7"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760400D5"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Proportion of malnourished and stunted children</w:t>
            </w:r>
          </w:p>
        </w:tc>
      </w:tr>
      <w:tr w:rsidR="00687E7F" w:rsidRPr="00415AF6" w14:paraId="4A322F3F" w14:textId="77777777" w:rsidTr="00415AF6">
        <w:trPr>
          <w:trHeight w:val="284"/>
        </w:trPr>
        <w:tc>
          <w:tcPr>
            <w:tcW w:w="1567" w:type="pct"/>
            <w:vMerge/>
            <w:vAlign w:val="center"/>
            <w:hideMark/>
          </w:tcPr>
          <w:p w14:paraId="417AB076"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1AD07556"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girls receiving HPV vaccination</w:t>
            </w:r>
          </w:p>
        </w:tc>
      </w:tr>
      <w:tr w:rsidR="00687E7F" w:rsidRPr="00415AF6" w14:paraId="23F1D1DE" w14:textId="77777777" w:rsidTr="00415AF6">
        <w:trPr>
          <w:trHeight w:val="284"/>
        </w:trPr>
        <w:tc>
          <w:tcPr>
            <w:tcW w:w="1567" w:type="pct"/>
            <w:vMerge/>
            <w:vAlign w:val="center"/>
            <w:hideMark/>
          </w:tcPr>
          <w:p w14:paraId="024B56E9"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1F51E603"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Mortality rates for women, children under 5, and infants all improve incrementally in years without significant outbreaks</w:t>
            </w:r>
          </w:p>
        </w:tc>
      </w:tr>
      <w:tr w:rsidR="00687E7F" w:rsidRPr="00415AF6" w14:paraId="46798626" w14:textId="77777777" w:rsidTr="00415AF6">
        <w:trPr>
          <w:trHeight w:val="284"/>
        </w:trPr>
        <w:tc>
          <w:tcPr>
            <w:tcW w:w="1567" w:type="pct"/>
            <w:vMerge/>
            <w:vAlign w:val="center"/>
            <w:hideMark/>
          </w:tcPr>
          <w:p w14:paraId="0F0CF4CA"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7F179344"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Malaria annual parasitic incidence rates</w:t>
            </w:r>
          </w:p>
        </w:tc>
      </w:tr>
      <w:tr w:rsidR="00687E7F" w:rsidRPr="00415AF6" w14:paraId="185906DC" w14:textId="77777777" w:rsidTr="00415AF6">
        <w:trPr>
          <w:trHeight w:val="284"/>
        </w:trPr>
        <w:tc>
          <w:tcPr>
            <w:tcW w:w="1567" w:type="pct"/>
            <w:vMerge/>
            <w:vAlign w:val="center"/>
            <w:hideMark/>
          </w:tcPr>
          <w:p w14:paraId="3F1C2FC1"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3760D1AF"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SISTA results show an increase in literacy, numeracy and writing</w:t>
            </w:r>
          </w:p>
        </w:tc>
      </w:tr>
      <w:tr w:rsidR="00687E7F" w:rsidRPr="00415AF6" w14:paraId="433DFF1C" w14:textId="77777777" w:rsidTr="00415AF6">
        <w:trPr>
          <w:trHeight w:val="284"/>
        </w:trPr>
        <w:tc>
          <w:tcPr>
            <w:tcW w:w="1567" w:type="pct"/>
            <w:vMerge/>
            <w:vAlign w:val="center"/>
            <w:hideMark/>
          </w:tcPr>
          <w:p w14:paraId="2A68E90F"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15C1B4B3"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Net Enrolment Rate – Primary and Junior Secondary</w:t>
            </w:r>
          </w:p>
        </w:tc>
      </w:tr>
      <w:tr w:rsidR="00687E7F" w:rsidRPr="00415AF6" w14:paraId="64E4BFE1" w14:textId="77777777" w:rsidTr="00415AF6">
        <w:trPr>
          <w:trHeight w:val="284"/>
        </w:trPr>
        <w:tc>
          <w:tcPr>
            <w:tcW w:w="1567" w:type="pct"/>
            <w:vMerge/>
            <w:vAlign w:val="center"/>
            <w:hideMark/>
          </w:tcPr>
          <w:p w14:paraId="3C70A4F9"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4875A917"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Wheat and rice fortified to SIG national and WHO standards</w:t>
            </w:r>
          </w:p>
        </w:tc>
      </w:tr>
      <w:tr w:rsidR="00687E7F" w:rsidRPr="00415AF6" w14:paraId="63B72951" w14:textId="77777777" w:rsidTr="00415AF6">
        <w:trPr>
          <w:trHeight w:val="284"/>
        </w:trPr>
        <w:tc>
          <w:tcPr>
            <w:tcW w:w="1567" w:type="pct"/>
            <w:vMerge w:val="restart"/>
            <w:shd w:val="clear" w:color="000000" w:fill="FFFF99"/>
            <w:vAlign w:val="center"/>
            <w:hideMark/>
          </w:tcPr>
          <w:p w14:paraId="36A2037D"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Service delivery meets needs of women and girls</w:t>
            </w:r>
          </w:p>
        </w:tc>
        <w:tc>
          <w:tcPr>
            <w:tcW w:w="3433" w:type="pct"/>
            <w:shd w:val="clear" w:color="000000" w:fill="FFFFCC"/>
            <w:vAlign w:val="center"/>
            <w:hideMark/>
          </w:tcPr>
          <w:p w14:paraId="006CA9B5"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births attended by a skilled birth attendant</w:t>
            </w:r>
          </w:p>
        </w:tc>
      </w:tr>
      <w:tr w:rsidR="00687E7F" w:rsidRPr="00415AF6" w14:paraId="7AB5E09D" w14:textId="77777777" w:rsidTr="00415AF6">
        <w:trPr>
          <w:trHeight w:val="284"/>
        </w:trPr>
        <w:tc>
          <w:tcPr>
            <w:tcW w:w="1567" w:type="pct"/>
            <w:vMerge/>
            <w:vAlign w:val="center"/>
            <w:hideMark/>
          </w:tcPr>
          <w:p w14:paraId="04B8FAD9"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p>
        </w:tc>
        <w:tc>
          <w:tcPr>
            <w:tcW w:w="3433" w:type="pct"/>
            <w:shd w:val="clear" w:color="000000" w:fill="FFFFCC"/>
            <w:vAlign w:val="center"/>
            <w:hideMark/>
          </w:tcPr>
          <w:p w14:paraId="477BFD6C" w14:textId="77777777" w:rsidR="00687E7F" w:rsidRPr="00415AF6" w:rsidRDefault="00687E7F" w:rsidP="002D3B50">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schools without adequate water and sanitation</w:t>
            </w:r>
          </w:p>
        </w:tc>
      </w:tr>
    </w:tbl>
    <w:p w14:paraId="2E76D2B5" w14:textId="77777777" w:rsidR="00687E7F" w:rsidRPr="00415AF6" w:rsidRDefault="00687E7F" w:rsidP="002246FC">
      <w:pPr>
        <w:suppressAutoHyphens w:val="0"/>
        <w:spacing w:before="0" w:after="0" w:line="240" w:lineRule="auto"/>
        <w:rPr>
          <w:rFonts w:ascii="Calibri Light" w:eastAsia="Times New Roman" w:hAnsi="Calibri Light" w:cs="Times New Roman"/>
          <w:color w:val="auto"/>
          <w:sz w:val="18"/>
          <w:szCs w:val="18"/>
          <w:lang w:val="en-AU"/>
        </w:rPr>
      </w:pPr>
    </w:p>
    <w:p w14:paraId="1F7E4458" w14:textId="77777777" w:rsidR="002C5836" w:rsidRDefault="002C5836" w:rsidP="002C5836">
      <w:pPr>
        <w:suppressAutoHyphens w:val="0"/>
        <w:spacing w:before="0" w:after="120" w:line="440" w:lineRule="atLeast"/>
        <w:rPr>
          <w:rFonts w:ascii="Calibri Light" w:eastAsia="Times New Roman" w:hAnsi="Calibri Light" w:cs="Times New Roman"/>
          <w:b/>
          <w:color w:val="auto"/>
          <w:sz w:val="20"/>
          <w:szCs w:val="20"/>
          <w:lang w:val="en-AU"/>
        </w:rPr>
      </w:pPr>
    </w:p>
    <w:p w14:paraId="4A10AE99" w14:textId="77777777" w:rsidR="002246FC" w:rsidRPr="002C5836" w:rsidRDefault="002246FC" w:rsidP="002C5836">
      <w:pPr>
        <w:suppressAutoHyphens w:val="0"/>
        <w:spacing w:before="0" w:after="0" w:line="440" w:lineRule="atLeast"/>
        <w:rPr>
          <w:rFonts w:ascii="Calibri Light" w:eastAsia="Times New Roman" w:hAnsi="Calibri Light" w:cs="Times New Roman"/>
          <w:b/>
          <w:color w:val="auto"/>
          <w:sz w:val="24"/>
          <w:szCs w:val="24"/>
          <w:lang w:val="en-AU"/>
        </w:rPr>
      </w:pPr>
      <w:r w:rsidRPr="002C5836">
        <w:rPr>
          <w:rFonts w:ascii="Calibri Light" w:eastAsia="Times New Roman" w:hAnsi="Calibri Light" w:cs="Times New Roman"/>
          <w:b/>
          <w:color w:val="auto"/>
          <w:sz w:val="24"/>
          <w:szCs w:val="24"/>
          <w:lang w:val="en-AU"/>
        </w:rPr>
        <w:lastRenderedPageBreak/>
        <w:t>Gender Performance Assessment Framework</w:t>
      </w:r>
    </w:p>
    <w:p w14:paraId="7D06FA1F" w14:textId="77777777" w:rsidR="00687E7F" w:rsidRPr="00415AF6" w:rsidRDefault="00687E7F" w:rsidP="002246FC">
      <w:pPr>
        <w:suppressAutoHyphens w:val="0"/>
        <w:spacing w:before="0" w:after="0" w:line="240" w:lineRule="auto"/>
        <w:rPr>
          <w:rFonts w:ascii="Calibri Light" w:eastAsia="Times New Roman" w:hAnsi="Calibri Light" w:cs="Times New Roman"/>
          <w:color w:val="auto"/>
          <w:sz w:val="18"/>
          <w:szCs w:val="18"/>
          <w:lang w:val="en-AU"/>
        </w:rPr>
      </w:pPr>
    </w:p>
    <w:tbl>
      <w:tblPr>
        <w:tblW w:w="5000" w:type="pct"/>
        <w:tblLayout w:type="fixed"/>
        <w:tblLook w:val="04A0" w:firstRow="1" w:lastRow="0" w:firstColumn="1" w:lastColumn="0" w:noHBand="0" w:noVBand="1"/>
      </w:tblPr>
      <w:tblGrid>
        <w:gridCol w:w="2263"/>
        <w:gridCol w:w="4974"/>
        <w:gridCol w:w="7213"/>
      </w:tblGrid>
      <w:tr w:rsidR="002246FC" w:rsidRPr="00415AF6" w14:paraId="3F67776A" w14:textId="77777777" w:rsidTr="00415AF6">
        <w:trPr>
          <w:trHeight w:val="284"/>
        </w:trPr>
        <w:tc>
          <w:tcPr>
            <w:tcW w:w="783" w:type="pct"/>
            <w:tcBorders>
              <w:top w:val="single" w:sz="4" w:space="0" w:color="auto"/>
              <w:left w:val="single" w:sz="4" w:space="0" w:color="auto"/>
              <w:bottom w:val="single" w:sz="4" w:space="0" w:color="auto"/>
              <w:right w:val="single" w:sz="4" w:space="0" w:color="auto"/>
            </w:tcBorders>
            <w:shd w:val="clear" w:color="auto" w:fill="A0D4E0"/>
            <w:noWrap/>
            <w:vAlign w:val="center"/>
            <w:hideMark/>
          </w:tcPr>
          <w:bookmarkEnd w:id="1"/>
          <w:p w14:paraId="0FB66F9A" w14:textId="77777777" w:rsidR="002246FC" w:rsidRPr="00415AF6" w:rsidRDefault="002246FC" w:rsidP="00687E7F">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 xml:space="preserve">Long-term Outcome </w:t>
            </w:r>
          </w:p>
        </w:tc>
        <w:tc>
          <w:tcPr>
            <w:tcW w:w="1721" w:type="pct"/>
            <w:tcBorders>
              <w:top w:val="single" w:sz="4" w:space="0" w:color="auto"/>
              <w:left w:val="nil"/>
              <w:bottom w:val="single" w:sz="4" w:space="0" w:color="auto"/>
              <w:right w:val="single" w:sz="4" w:space="0" w:color="auto"/>
            </w:tcBorders>
            <w:shd w:val="clear" w:color="auto" w:fill="A0D4E0"/>
            <w:vAlign w:val="center"/>
            <w:hideMark/>
          </w:tcPr>
          <w:p w14:paraId="64E40FA1" w14:textId="77777777" w:rsidR="002246FC" w:rsidRPr="00415AF6" w:rsidRDefault="002246FC" w:rsidP="00687E7F">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Intermediate Outcomes</w:t>
            </w:r>
          </w:p>
        </w:tc>
        <w:tc>
          <w:tcPr>
            <w:tcW w:w="2496" w:type="pct"/>
            <w:tcBorders>
              <w:top w:val="single" w:sz="4" w:space="0" w:color="auto"/>
              <w:left w:val="nil"/>
              <w:bottom w:val="single" w:sz="4" w:space="0" w:color="auto"/>
              <w:right w:val="single" w:sz="4" w:space="0" w:color="auto"/>
            </w:tcBorders>
            <w:shd w:val="clear" w:color="auto" w:fill="A0D4E0"/>
            <w:vAlign w:val="center"/>
            <w:hideMark/>
          </w:tcPr>
          <w:p w14:paraId="1C388588" w14:textId="77777777" w:rsidR="002246FC" w:rsidRPr="00415AF6" w:rsidRDefault="002246FC" w:rsidP="002246FC">
            <w:pPr>
              <w:suppressAutoHyphens w:val="0"/>
              <w:spacing w:before="0" w:after="0" w:line="240" w:lineRule="auto"/>
              <w:rPr>
                <w:rFonts w:ascii="Calibri Light" w:eastAsia="Times New Roman" w:hAnsi="Calibri Light" w:cs="Times New Roman"/>
                <w:b/>
                <w:bCs/>
                <w:color w:val="000000"/>
                <w:sz w:val="20"/>
                <w:szCs w:val="20"/>
                <w:lang w:val="en-AU"/>
              </w:rPr>
            </w:pPr>
            <w:r w:rsidRPr="00415AF6">
              <w:rPr>
                <w:rFonts w:ascii="Calibri Light" w:eastAsia="Times New Roman" w:hAnsi="Calibri Light" w:cs="Times New Roman"/>
                <w:b/>
                <w:bCs/>
                <w:color w:val="000000"/>
                <w:sz w:val="20"/>
                <w:szCs w:val="20"/>
                <w:lang w:val="en-AU"/>
              </w:rPr>
              <w:t>Intermediate outcome Indicators</w:t>
            </w:r>
          </w:p>
        </w:tc>
      </w:tr>
      <w:tr w:rsidR="002246FC" w:rsidRPr="00415AF6" w14:paraId="6A674F67" w14:textId="77777777" w:rsidTr="00415AF6">
        <w:trPr>
          <w:trHeight w:val="284"/>
        </w:trPr>
        <w:tc>
          <w:tcPr>
            <w:tcW w:w="783" w:type="pct"/>
            <w:vMerge w:val="restart"/>
            <w:tcBorders>
              <w:top w:val="single" w:sz="4" w:space="0" w:color="auto"/>
              <w:left w:val="single" w:sz="4" w:space="0" w:color="auto"/>
              <w:bottom w:val="single" w:sz="4" w:space="0" w:color="auto"/>
              <w:right w:val="single" w:sz="4" w:space="0" w:color="auto"/>
            </w:tcBorders>
            <w:shd w:val="clear" w:color="auto" w:fill="A0D4E0"/>
            <w:noWrap/>
            <w:vAlign w:val="center"/>
            <w:hideMark/>
          </w:tcPr>
          <w:p w14:paraId="7F5D0282"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Reduced Family Violence</w:t>
            </w:r>
          </w:p>
        </w:tc>
        <w:tc>
          <w:tcPr>
            <w:tcW w:w="1721" w:type="pct"/>
            <w:tcBorders>
              <w:top w:val="single" w:sz="4" w:space="0" w:color="auto"/>
              <w:left w:val="nil"/>
              <w:bottom w:val="single" w:sz="4" w:space="0" w:color="auto"/>
              <w:right w:val="single" w:sz="4" w:space="0" w:color="auto"/>
            </w:tcBorders>
            <w:shd w:val="clear" w:color="auto" w:fill="DAEEF3"/>
            <w:vAlign w:val="center"/>
            <w:hideMark/>
          </w:tcPr>
          <w:p w14:paraId="2E362FBC"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More communities perceive GBV as unacceptable</w:t>
            </w: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6FD21889"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Increased proportion of men &amp; women who consider family violence to be unacceptable</w:t>
            </w:r>
          </w:p>
          <w:p w14:paraId="6A04266B"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p w14:paraId="3C42D161"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Proportion of people in selected communities who believe there is a problem with family violence in their community</w:t>
            </w:r>
          </w:p>
        </w:tc>
      </w:tr>
      <w:tr w:rsidR="002246FC" w:rsidRPr="00415AF6" w14:paraId="40BD28B5"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185E021B"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vMerge w:val="restart"/>
            <w:tcBorders>
              <w:top w:val="single" w:sz="4" w:space="0" w:color="auto"/>
              <w:left w:val="nil"/>
              <w:bottom w:val="single" w:sz="4" w:space="0" w:color="auto"/>
              <w:right w:val="single" w:sz="4" w:space="0" w:color="auto"/>
            </w:tcBorders>
            <w:shd w:val="clear" w:color="auto" w:fill="DAEEF3"/>
            <w:vAlign w:val="center"/>
            <w:hideMark/>
          </w:tcPr>
          <w:p w14:paraId="6983778F"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Increasing reporting of family violence</w:t>
            </w: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738E9A2A"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Family Violence 100 reports lodged</w:t>
            </w:r>
          </w:p>
        </w:tc>
      </w:tr>
      <w:tr w:rsidR="002246FC" w:rsidRPr="00415AF6" w14:paraId="72DD8D3A"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33CF6D83"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vMerge/>
            <w:tcBorders>
              <w:top w:val="single" w:sz="4" w:space="0" w:color="auto"/>
              <w:left w:val="nil"/>
              <w:bottom w:val="single" w:sz="4" w:space="0" w:color="auto"/>
              <w:right w:val="single" w:sz="4" w:space="0" w:color="auto"/>
            </w:tcBorders>
            <w:shd w:val="clear" w:color="auto" w:fill="DAEEF3"/>
            <w:noWrap/>
            <w:vAlign w:val="center"/>
            <w:hideMark/>
          </w:tcPr>
          <w:p w14:paraId="37A9188D"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6D1FAA84"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police safety notices, interim and final protection orders issued</w:t>
            </w:r>
          </w:p>
        </w:tc>
      </w:tr>
      <w:tr w:rsidR="002246FC" w:rsidRPr="00415AF6" w14:paraId="20D11960"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387FCCE7"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tcBorders>
              <w:top w:val="single" w:sz="4" w:space="0" w:color="auto"/>
              <w:left w:val="nil"/>
              <w:bottom w:val="single" w:sz="4" w:space="0" w:color="auto"/>
              <w:right w:val="single" w:sz="4" w:space="0" w:color="auto"/>
            </w:tcBorders>
            <w:shd w:val="clear" w:color="auto" w:fill="DAEEF3"/>
            <w:vAlign w:val="center"/>
            <w:hideMark/>
          </w:tcPr>
          <w:p w14:paraId="19E483E0"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Improved quality of services for survivors of GBV</w:t>
            </w: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6EA3E690"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services reporting increased ability to provide services for survivors of GBV</w:t>
            </w:r>
          </w:p>
        </w:tc>
      </w:tr>
      <w:tr w:rsidR="002246FC" w:rsidRPr="00415AF6" w14:paraId="5D1A45A6"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10C7437B"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tcBorders>
              <w:top w:val="single" w:sz="4" w:space="0" w:color="auto"/>
              <w:left w:val="nil"/>
              <w:bottom w:val="single" w:sz="4" w:space="0" w:color="auto"/>
              <w:right w:val="single" w:sz="4" w:space="0" w:color="auto"/>
            </w:tcBorders>
            <w:shd w:val="clear" w:color="auto" w:fill="DAEEF3"/>
            <w:vAlign w:val="center"/>
            <w:hideMark/>
          </w:tcPr>
          <w:p w14:paraId="477483B9"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Increased government funding for addressing family violence</w:t>
            </w: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5BEE3954"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Funding for implementation of Family Protection Act appropriated in annual budget</w:t>
            </w:r>
          </w:p>
        </w:tc>
      </w:tr>
      <w:tr w:rsidR="002246FC" w:rsidRPr="00415AF6" w14:paraId="315F0307"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53EECDFD"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tcBorders>
              <w:top w:val="single" w:sz="4" w:space="0" w:color="auto"/>
              <w:left w:val="nil"/>
              <w:bottom w:val="single" w:sz="4" w:space="0" w:color="auto"/>
              <w:right w:val="single" w:sz="4" w:space="0" w:color="auto"/>
            </w:tcBorders>
            <w:shd w:val="clear" w:color="auto" w:fill="DAEEF3"/>
            <w:vAlign w:val="center"/>
            <w:hideMark/>
          </w:tcPr>
          <w:p w14:paraId="0B615734"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Business case for action by businesses to address GBV developed and accepted</w:t>
            </w: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305B15C5"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Evidence of changes in policies or practices to address family violence in the workplace</w:t>
            </w:r>
          </w:p>
        </w:tc>
      </w:tr>
      <w:tr w:rsidR="002246FC" w:rsidRPr="00415AF6" w14:paraId="110AED86" w14:textId="77777777" w:rsidTr="00415AF6">
        <w:trPr>
          <w:trHeight w:val="284"/>
        </w:trPr>
        <w:tc>
          <w:tcPr>
            <w:tcW w:w="783" w:type="pct"/>
            <w:vMerge w:val="restart"/>
            <w:tcBorders>
              <w:top w:val="single" w:sz="4" w:space="0" w:color="auto"/>
              <w:left w:val="single" w:sz="4" w:space="0" w:color="auto"/>
              <w:bottom w:val="single" w:sz="4" w:space="0" w:color="auto"/>
              <w:right w:val="single" w:sz="4" w:space="0" w:color="auto"/>
            </w:tcBorders>
            <w:shd w:val="clear" w:color="auto" w:fill="A0D4E0"/>
            <w:noWrap/>
            <w:vAlign w:val="center"/>
            <w:hideMark/>
          </w:tcPr>
          <w:p w14:paraId="250402EE"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Economic Empowerment of Women</w:t>
            </w:r>
          </w:p>
        </w:tc>
        <w:tc>
          <w:tcPr>
            <w:tcW w:w="1721" w:type="pct"/>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25F120B5"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Improved access to formal employment and financial services for women</w:t>
            </w: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2E8074BB"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Number of poor women who increase their access to financial services (Aggregate Development Result)</w:t>
            </w:r>
          </w:p>
        </w:tc>
      </w:tr>
      <w:tr w:rsidR="002246FC" w:rsidRPr="00415AF6" w14:paraId="33FD30C1"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6B46DB02"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184CD7D0"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56FFF23F"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people employed by contractors for labour-based road works that are women</w:t>
            </w:r>
          </w:p>
        </w:tc>
      </w:tr>
      <w:tr w:rsidR="002246FC" w:rsidRPr="00415AF6" w14:paraId="773699FD"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13443C19"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BC258B5"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29D1F87D"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women with National Provident Fund membership</w:t>
            </w:r>
          </w:p>
        </w:tc>
      </w:tr>
      <w:tr w:rsidR="002246FC" w:rsidRPr="00415AF6" w14:paraId="027AB403"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04BE832A"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1BBA864D"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Women accessing business development and vocational skills training to increase their income earning potential</w:t>
            </w: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5DBEF99C"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women received business or income generating training</w:t>
            </w:r>
          </w:p>
        </w:tc>
      </w:tr>
      <w:tr w:rsidR="002246FC" w:rsidRPr="00415AF6" w14:paraId="0E204016"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38587E81"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5F9E32C"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2496" w:type="pct"/>
            <w:tcBorders>
              <w:top w:val="single" w:sz="4" w:space="0" w:color="auto"/>
              <w:left w:val="nil"/>
              <w:bottom w:val="single" w:sz="4" w:space="0" w:color="auto"/>
              <w:right w:val="nil"/>
            </w:tcBorders>
            <w:shd w:val="clear" w:color="auto" w:fill="DAEEF3"/>
            <w:vAlign w:val="center"/>
            <w:hideMark/>
          </w:tcPr>
          <w:p w14:paraId="4E8CE454"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female trainees reporting increased skills/knowledge</w:t>
            </w:r>
          </w:p>
        </w:tc>
      </w:tr>
      <w:tr w:rsidR="002246FC" w:rsidRPr="00415AF6" w14:paraId="6B3CC608"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0647501B"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78D8D38D"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3138CDD2"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women trained through APTC, Skills for Economic Growth and Youth at Work</w:t>
            </w:r>
          </w:p>
        </w:tc>
      </w:tr>
      <w:tr w:rsidR="002246FC" w:rsidRPr="00415AF6" w14:paraId="49240A54"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15860B75"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tcBorders>
              <w:top w:val="single" w:sz="4" w:space="0" w:color="auto"/>
              <w:left w:val="nil"/>
              <w:bottom w:val="single" w:sz="4" w:space="0" w:color="auto"/>
              <w:right w:val="single" w:sz="4" w:space="0" w:color="auto"/>
            </w:tcBorders>
            <w:shd w:val="clear" w:color="auto" w:fill="DAEEF3"/>
            <w:vAlign w:val="center"/>
            <w:hideMark/>
          </w:tcPr>
          <w:p w14:paraId="5272465E"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Women joining business networks within Solomon Islands</w:t>
            </w: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05026D34"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female membership of business associations</w:t>
            </w:r>
          </w:p>
        </w:tc>
      </w:tr>
      <w:tr w:rsidR="002246FC" w:rsidRPr="00415AF6" w14:paraId="459FD23C"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06AD1954"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tcBorders>
              <w:top w:val="single" w:sz="4" w:space="0" w:color="auto"/>
              <w:left w:val="nil"/>
              <w:bottom w:val="single" w:sz="4" w:space="0" w:color="auto"/>
              <w:right w:val="single" w:sz="4" w:space="0" w:color="auto"/>
            </w:tcBorders>
            <w:shd w:val="clear" w:color="auto" w:fill="DAEEF3"/>
            <w:vAlign w:val="center"/>
            <w:hideMark/>
          </w:tcPr>
          <w:p w14:paraId="39B152B4"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Women-led groups successfully winning contracts</w:t>
            </w: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62BE9D27"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 of labour-based road works contracts awarded to women-led groups</w:t>
            </w:r>
          </w:p>
        </w:tc>
      </w:tr>
      <w:tr w:rsidR="002246FC" w:rsidRPr="00415AF6" w14:paraId="53FE95B8" w14:textId="77777777" w:rsidTr="00415AF6">
        <w:trPr>
          <w:trHeight w:val="284"/>
        </w:trPr>
        <w:tc>
          <w:tcPr>
            <w:tcW w:w="783" w:type="pct"/>
            <w:vMerge w:val="restart"/>
            <w:tcBorders>
              <w:top w:val="single" w:sz="4" w:space="0" w:color="auto"/>
              <w:left w:val="single" w:sz="4" w:space="0" w:color="auto"/>
              <w:bottom w:val="single" w:sz="4" w:space="0" w:color="auto"/>
              <w:right w:val="single" w:sz="4" w:space="0" w:color="auto"/>
            </w:tcBorders>
            <w:shd w:val="clear" w:color="auto" w:fill="A0D4E0"/>
            <w:noWrap/>
            <w:vAlign w:val="center"/>
            <w:hideMark/>
          </w:tcPr>
          <w:p w14:paraId="1F51254F"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Women in Leadership</w:t>
            </w:r>
          </w:p>
        </w:tc>
        <w:tc>
          <w:tcPr>
            <w:tcW w:w="1721" w:type="pct"/>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0711158E"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Interventions to improve women's participation and progression in public service being implemented</w:t>
            </w:r>
          </w:p>
        </w:tc>
        <w:tc>
          <w:tcPr>
            <w:tcW w:w="2496" w:type="pct"/>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3574917F"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Evidence of barriers to women's participation &amp; progression in the public service being identified and addressed</w:t>
            </w:r>
          </w:p>
        </w:tc>
      </w:tr>
      <w:tr w:rsidR="002246FC" w:rsidRPr="00415AF6" w14:paraId="3F795602" w14:textId="77777777" w:rsidTr="00415AF6">
        <w:trPr>
          <w:trHeight w:val="560"/>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68C292DA"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0B889B53"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2496"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12BB88BC"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r>
      <w:tr w:rsidR="002246FC" w:rsidRPr="00415AF6" w14:paraId="1558699C" w14:textId="77777777" w:rsidTr="00415AF6">
        <w:trPr>
          <w:trHeight w:val="284"/>
        </w:trPr>
        <w:tc>
          <w:tcPr>
            <w:tcW w:w="783" w:type="pct"/>
            <w:vMerge w:val="restart"/>
            <w:tcBorders>
              <w:top w:val="single" w:sz="4" w:space="0" w:color="auto"/>
              <w:left w:val="single" w:sz="4" w:space="0" w:color="auto"/>
              <w:bottom w:val="single" w:sz="4" w:space="0" w:color="auto"/>
              <w:right w:val="single" w:sz="4" w:space="0" w:color="auto"/>
            </w:tcBorders>
            <w:shd w:val="clear" w:color="auto" w:fill="A0D4E0"/>
            <w:vAlign w:val="center"/>
            <w:hideMark/>
          </w:tcPr>
          <w:p w14:paraId="2CE57008"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Australia is recognised for its promotion of gender equality in its aid program in Solomon Islands</w:t>
            </w:r>
          </w:p>
        </w:tc>
        <w:tc>
          <w:tcPr>
            <w:tcW w:w="1721" w:type="pct"/>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7907AC8F"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80% of Australian Aid Investments in Solomon Islands effectively mainstream gender equality</w:t>
            </w: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3673D8FE"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All future aid investment designs &amp; evaluations to include gender/social inclusion team member</w:t>
            </w:r>
          </w:p>
        </w:tc>
      </w:tr>
      <w:tr w:rsidR="002246FC" w:rsidRPr="00415AF6" w14:paraId="3DED1425"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7BD83745"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0CD5BB6"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51442284"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Sex-disaggregated data is collected and used in planning, budgeting and monitoring</w:t>
            </w:r>
          </w:p>
        </w:tc>
      </w:tr>
      <w:tr w:rsidR="002246FC" w:rsidRPr="00415AF6" w14:paraId="592DF75A" w14:textId="77777777" w:rsidTr="00415AF6">
        <w:trPr>
          <w:trHeight w:val="284"/>
        </w:trPr>
        <w:tc>
          <w:tcPr>
            <w:tcW w:w="783" w:type="pct"/>
            <w:vMerge/>
            <w:tcBorders>
              <w:top w:val="single" w:sz="4" w:space="0" w:color="auto"/>
              <w:left w:val="single" w:sz="4" w:space="0" w:color="auto"/>
              <w:bottom w:val="single" w:sz="4" w:space="0" w:color="auto"/>
              <w:right w:val="single" w:sz="4" w:space="0" w:color="auto"/>
            </w:tcBorders>
            <w:shd w:val="clear" w:color="auto" w:fill="A0D4E0"/>
            <w:vAlign w:val="center"/>
            <w:hideMark/>
          </w:tcPr>
          <w:p w14:paraId="4B2AA263"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1721"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DA48CBA"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p>
        </w:tc>
        <w:tc>
          <w:tcPr>
            <w:tcW w:w="2496" w:type="pct"/>
            <w:tcBorders>
              <w:top w:val="single" w:sz="4" w:space="0" w:color="auto"/>
              <w:left w:val="nil"/>
              <w:bottom w:val="single" w:sz="4" w:space="0" w:color="auto"/>
              <w:right w:val="single" w:sz="4" w:space="0" w:color="auto"/>
            </w:tcBorders>
            <w:shd w:val="clear" w:color="auto" w:fill="DAEEF3"/>
            <w:vAlign w:val="center"/>
            <w:hideMark/>
          </w:tcPr>
          <w:p w14:paraId="6CB79076" w14:textId="77777777" w:rsidR="002246FC" w:rsidRPr="00415AF6" w:rsidRDefault="002246FC" w:rsidP="002246FC">
            <w:pPr>
              <w:suppressAutoHyphens w:val="0"/>
              <w:spacing w:before="0" w:after="0" w:line="240" w:lineRule="auto"/>
              <w:rPr>
                <w:rFonts w:ascii="Calibri Light" w:eastAsia="Times New Roman" w:hAnsi="Calibri Light" w:cs="Times New Roman"/>
                <w:color w:val="000000"/>
                <w:sz w:val="20"/>
                <w:szCs w:val="20"/>
                <w:lang w:val="en-AU"/>
              </w:rPr>
            </w:pPr>
            <w:r w:rsidRPr="00415AF6">
              <w:rPr>
                <w:rFonts w:ascii="Calibri Light" w:eastAsia="Times New Roman" w:hAnsi="Calibri Light" w:cs="Times New Roman"/>
                <w:color w:val="000000"/>
                <w:sz w:val="20"/>
                <w:szCs w:val="20"/>
                <w:lang w:val="en-AU"/>
              </w:rPr>
              <w:t>80% of investments marked satisfactory or above for gender in AQCs</w:t>
            </w:r>
          </w:p>
        </w:tc>
      </w:tr>
    </w:tbl>
    <w:p w14:paraId="437B0211" w14:textId="323D68B0" w:rsidR="00CA7DD8" w:rsidRDefault="00EF7D47" w:rsidP="00EF7D47">
      <w:pPr>
        <w:tabs>
          <w:tab w:val="left" w:pos="13749"/>
        </w:tabs>
        <w:suppressAutoHyphens w:val="0"/>
        <w:spacing w:before="0" w:after="0" w:line="240" w:lineRule="auto"/>
      </w:pPr>
      <w:r>
        <w:rPr>
          <w:rFonts w:ascii="Times New Roman" w:eastAsia="Times New Roman" w:hAnsi="Times New Roman" w:cs="Times New Roman"/>
          <w:color w:val="auto"/>
          <w:sz w:val="24"/>
          <w:szCs w:val="24"/>
          <w:lang w:val="en-AU"/>
        </w:rPr>
        <w:tab/>
      </w:r>
    </w:p>
    <w:sectPr w:rsidR="00CA7DD8" w:rsidSect="00EF7D47">
      <w:headerReference w:type="default" r:id="rId32"/>
      <w:pgSz w:w="16838" w:h="11906" w:orient="landscape" w:code="9"/>
      <w:pgMar w:top="1134" w:right="1527" w:bottom="1134" w:left="851" w:header="1418" w:footer="267" w:gutter="0"/>
      <w:cols w:space="397"/>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29A73" w14:textId="77777777" w:rsidR="00B45FF0" w:rsidRDefault="00B45FF0" w:rsidP="00EF4574">
      <w:pPr>
        <w:spacing w:before="0" w:after="0" w:line="240" w:lineRule="auto"/>
      </w:pPr>
      <w:r>
        <w:separator/>
      </w:r>
    </w:p>
  </w:endnote>
  <w:endnote w:type="continuationSeparator" w:id="0">
    <w:p w14:paraId="5728D62B" w14:textId="77777777" w:rsidR="00B45FF0" w:rsidRDefault="00B45FF0"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6A791" w14:textId="77777777" w:rsidR="00D710C1" w:rsidRDefault="00D71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CEE9" w14:textId="77777777" w:rsidR="00B45FF0" w:rsidRPr="00CD0E4B" w:rsidRDefault="00B45FF0" w:rsidP="00C406F0">
    <w:pPr>
      <w:pStyle w:val="Footer"/>
    </w:pPr>
    <w:r w:rsidRPr="00CD0E4B">
      <w:rPr>
        <w:noProof/>
        <w:lang w:val="en-AU" w:eastAsia="en-AU"/>
      </w:rPr>
      <w:drawing>
        <wp:inline distT="0" distB="0" distL="0" distR="0" wp14:anchorId="0188DBC5" wp14:editId="7A63BCF3">
          <wp:extent cx="90000" cy="745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7488ACEA" w14:textId="77777777" w:rsidR="00B45FF0" w:rsidRDefault="00B45FF0">
    <w:pPr>
      <w:pStyle w:val="Footer"/>
    </w:pP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80E1" w14:textId="77777777" w:rsidR="00D710C1" w:rsidRDefault="00D71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71C21" w14:textId="77777777" w:rsidR="00B45FF0" w:rsidRPr="008C5A0E" w:rsidRDefault="00B45FF0" w:rsidP="001D663E">
      <w:pPr>
        <w:pStyle w:val="Footer"/>
        <w:pBdr>
          <w:top w:val="single" w:sz="4" w:space="1" w:color="495965" w:themeColor="text2"/>
        </w:pBdr>
      </w:pPr>
    </w:p>
  </w:footnote>
  <w:footnote w:type="continuationSeparator" w:id="0">
    <w:p w14:paraId="6CC735A3" w14:textId="77777777" w:rsidR="00B45FF0" w:rsidRDefault="00B45FF0"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16FCD" w14:textId="77777777" w:rsidR="00D710C1" w:rsidRDefault="00D71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EB2F" w14:textId="77777777" w:rsidR="00B45FF0" w:rsidRPr="00333501" w:rsidRDefault="00B45FF0" w:rsidP="008F56A8">
    <w:pPr>
      <w:pStyle w:val="Header"/>
      <w:jc w:val="left"/>
    </w:pPr>
    <w:r>
      <w:rPr>
        <w:noProof/>
        <w:lang w:val="en-AU" w:eastAsia="en-AU"/>
      </w:rPr>
      <w:drawing>
        <wp:anchor distT="0" distB="0" distL="114300" distR="114300" simplePos="0" relativeHeight="251656192" behindDoc="1" locked="1" layoutInCell="1" allowOverlap="1" wp14:anchorId="002A3F53" wp14:editId="6FCC092C">
          <wp:simplePos x="0" y="0"/>
          <wp:positionH relativeFrom="page">
            <wp:posOffset>14605</wp:posOffset>
          </wp:positionH>
          <wp:positionV relativeFrom="page">
            <wp:posOffset>141605</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B7B6" w14:textId="77777777" w:rsidR="00D710C1" w:rsidRDefault="00D710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D5EAD" w14:textId="77777777" w:rsidR="00B45FF0" w:rsidRPr="00333501" w:rsidRDefault="00B45FF0" w:rsidP="008F56A8">
    <w:pPr>
      <w:pStyle w:val="Header"/>
      <w:jc w:val="left"/>
    </w:pPr>
    <w:r>
      <w:rPr>
        <w:noProof/>
        <w:lang w:val="en-AU" w:eastAsia="en-AU"/>
      </w:rPr>
      <w:drawing>
        <wp:anchor distT="0" distB="0" distL="114300" distR="114300" simplePos="0" relativeHeight="251658240" behindDoc="1" locked="1" layoutInCell="1" allowOverlap="1" wp14:anchorId="2D1609E4" wp14:editId="46DC3E08">
          <wp:simplePos x="0" y="0"/>
          <wp:positionH relativeFrom="page">
            <wp:align>left</wp:align>
          </wp:positionH>
          <wp:positionV relativeFrom="margin">
            <wp:posOffset>-1007745</wp:posOffset>
          </wp:positionV>
          <wp:extent cx="10654030" cy="744982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54030" cy="7449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D514D"/>
    <w:multiLevelType w:val="hybridMultilevel"/>
    <w:tmpl w:val="2F86AA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993163"/>
    <w:multiLevelType w:val="hybridMultilevel"/>
    <w:tmpl w:val="BB369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7D0954"/>
    <w:multiLevelType w:val="hybridMultilevel"/>
    <w:tmpl w:val="F58239F6"/>
    <w:lvl w:ilvl="0" w:tplc="0E5A05A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A2F39DD"/>
    <w:multiLevelType w:val="hybridMultilevel"/>
    <w:tmpl w:val="9C141D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248654EE"/>
    <w:multiLevelType w:val="hybridMultilevel"/>
    <w:tmpl w:val="12A0F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E70672"/>
    <w:multiLevelType w:val="hybridMultilevel"/>
    <w:tmpl w:val="F4A2AF40"/>
    <w:lvl w:ilvl="0" w:tplc="33EC71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BC1410"/>
    <w:multiLevelType w:val="hybridMultilevel"/>
    <w:tmpl w:val="6EB8EA76"/>
    <w:lvl w:ilvl="0" w:tplc="3BF0B1F6">
      <w:start w:val="1"/>
      <w:numFmt w:val="bullet"/>
      <w:lvlText w:val=""/>
      <w:lvlJc w:val="left"/>
      <w:pPr>
        <w:ind w:left="360" w:hanging="360"/>
      </w:pPr>
      <w:rPr>
        <w:rFonts w:ascii="Symbol" w:hAnsi="Symbol" w:hint="default"/>
        <w:color w:val="495965" w:themeColor="text2"/>
        <w:sz w:val="17"/>
        <w:szCs w:val="1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9232FF"/>
    <w:multiLevelType w:val="hybridMultilevel"/>
    <w:tmpl w:val="540CB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B13D7"/>
    <w:multiLevelType w:val="hybridMultilevel"/>
    <w:tmpl w:val="2DBE5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D333C49"/>
    <w:multiLevelType w:val="hybridMultilevel"/>
    <w:tmpl w:val="69705B8E"/>
    <w:lvl w:ilvl="0" w:tplc="B88676F2">
      <w:start w:val="1"/>
      <w:numFmt w:val="decimal"/>
      <w:lvlText w:val="%1."/>
      <w:lvlJc w:val="left"/>
      <w:pPr>
        <w:ind w:left="720" w:hanging="360"/>
      </w:pPr>
      <w:rPr>
        <w:rFonts w:asciiTheme="minorHAnsi" w:hAnsiTheme="minorHAnsi" w:hint="default"/>
        <w:color w:val="495965" w:themeColor="text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3C1EA7"/>
    <w:multiLevelType w:val="multilevel"/>
    <w:tmpl w:val="43428892"/>
    <w:numStyleLink w:val="BulletsList"/>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68AE20ED"/>
    <w:multiLevelType w:val="hybridMultilevel"/>
    <w:tmpl w:val="5816D158"/>
    <w:lvl w:ilvl="0" w:tplc="FCCE055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D30597"/>
    <w:multiLevelType w:val="hybridMultilevel"/>
    <w:tmpl w:val="5EB6C62C"/>
    <w:lvl w:ilvl="0" w:tplc="43B848B4">
      <w:start w:val="1"/>
      <w:numFmt w:val="decimal"/>
      <w:lvlText w:val="%1."/>
      <w:lvlJc w:val="left"/>
      <w:pPr>
        <w:ind w:left="360" w:hanging="360"/>
      </w:pPr>
      <w:rPr>
        <w:rFonts w:asciiTheme="minorHAnsi" w:hAnsiTheme="minorHAnsi" w:hint="default"/>
        <w:color w:val="495965" w:themeColor="text2"/>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6F6FAA"/>
    <w:multiLevelType w:val="hybridMultilevel"/>
    <w:tmpl w:val="1D967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8"/>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0"/>
  </w:num>
  <w:num w:numId="23">
    <w:abstractNumId w:val="20"/>
  </w:num>
  <w:num w:numId="24">
    <w:abstractNumId w:val="30"/>
  </w:num>
  <w:num w:numId="25">
    <w:abstractNumId w:val="30"/>
  </w:num>
  <w:num w:numId="26">
    <w:abstractNumId w:val="30"/>
  </w:num>
  <w:num w:numId="27">
    <w:abstractNumId w:val="28"/>
  </w:num>
  <w:num w:numId="28">
    <w:abstractNumId w:val="12"/>
  </w:num>
  <w:num w:numId="29">
    <w:abstractNumId w:val="12"/>
  </w:num>
  <w:num w:numId="30">
    <w:abstractNumId w:val="12"/>
  </w:num>
  <w:num w:numId="31">
    <w:abstractNumId w:val="21"/>
  </w:num>
  <w:num w:numId="32">
    <w:abstractNumId w:val="27"/>
  </w:num>
  <w:num w:numId="33">
    <w:abstractNumId w:val="34"/>
  </w:num>
  <w:num w:numId="34">
    <w:abstractNumId w:val="25"/>
  </w:num>
  <w:num w:numId="35">
    <w:abstractNumId w:val="15"/>
  </w:num>
  <w:num w:numId="36">
    <w:abstractNumId w:val="18"/>
  </w:num>
  <w:num w:numId="37">
    <w:abstractNumId w:val="17"/>
  </w:num>
  <w:num w:numId="38">
    <w:abstractNumId w:val="19"/>
  </w:num>
  <w:num w:numId="39">
    <w:abstractNumId w:val="23"/>
  </w:num>
  <w:num w:numId="40">
    <w:abstractNumId w:val="29"/>
  </w:num>
  <w:num w:numId="41">
    <w:abstractNumId w:val="35"/>
  </w:num>
  <w:num w:numId="42">
    <w:abstractNumId w:val="26"/>
  </w:num>
  <w:num w:numId="43">
    <w:abstractNumId w:val="11"/>
  </w:num>
  <w:num w:numId="44">
    <w:abstractNumId w:val="14"/>
  </w:num>
  <w:num w:numId="45">
    <w:abstractNumId w:val="22"/>
  </w:num>
  <w:num w:numId="46">
    <w:abstractNumId w:val="32"/>
  </w:num>
  <w:num w:numId="47">
    <w:abstractNumId w:val="24"/>
  </w:num>
  <w:num w:numId="48">
    <w:abstractNumId w:val="16"/>
  </w:num>
  <w:num w:numId="49">
    <w:abstractNumId w:val="36"/>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087"/>
    <w:rsid w:val="00001CFD"/>
    <w:rsid w:val="00001DA8"/>
    <w:rsid w:val="00002F31"/>
    <w:rsid w:val="00005059"/>
    <w:rsid w:val="00005C2F"/>
    <w:rsid w:val="000074EC"/>
    <w:rsid w:val="00015316"/>
    <w:rsid w:val="00016571"/>
    <w:rsid w:val="0002080A"/>
    <w:rsid w:val="00021CCF"/>
    <w:rsid w:val="0002782F"/>
    <w:rsid w:val="000279C5"/>
    <w:rsid w:val="00027F29"/>
    <w:rsid w:val="00031512"/>
    <w:rsid w:val="000326B6"/>
    <w:rsid w:val="000328EF"/>
    <w:rsid w:val="00033AB7"/>
    <w:rsid w:val="0004281A"/>
    <w:rsid w:val="00042E6C"/>
    <w:rsid w:val="000440B1"/>
    <w:rsid w:val="00046D77"/>
    <w:rsid w:val="000509A7"/>
    <w:rsid w:val="00053954"/>
    <w:rsid w:val="00054E4D"/>
    <w:rsid w:val="0005513F"/>
    <w:rsid w:val="00060073"/>
    <w:rsid w:val="00060268"/>
    <w:rsid w:val="00061166"/>
    <w:rsid w:val="0006703A"/>
    <w:rsid w:val="00070220"/>
    <w:rsid w:val="00072D74"/>
    <w:rsid w:val="000743D0"/>
    <w:rsid w:val="000842F7"/>
    <w:rsid w:val="00084483"/>
    <w:rsid w:val="00086952"/>
    <w:rsid w:val="00086BA2"/>
    <w:rsid w:val="000902BB"/>
    <w:rsid w:val="000917CD"/>
    <w:rsid w:val="000926DD"/>
    <w:rsid w:val="00092EE8"/>
    <w:rsid w:val="000A3A39"/>
    <w:rsid w:val="000A53A5"/>
    <w:rsid w:val="000A7658"/>
    <w:rsid w:val="000A7F94"/>
    <w:rsid w:val="000B5F2E"/>
    <w:rsid w:val="000C6FBF"/>
    <w:rsid w:val="000C74E1"/>
    <w:rsid w:val="000D28AB"/>
    <w:rsid w:val="000D52FE"/>
    <w:rsid w:val="000D66D6"/>
    <w:rsid w:val="000D67A7"/>
    <w:rsid w:val="000E314A"/>
    <w:rsid w:val="000F2187"/>
    <w:rsid w:val="000F4E11"/>
    <w:rsid w:val="000F5307"/>
    <w:rsid w:val="000F7180"/>
    <w:rsid w:val="000F7BC7"/>
    <w:rsid w:val="00102629"/>
    <w:rsid w:val="001103E6"/>
    <w:rsid w:val="00113A18"/>
    <w:rsid w:val="001147EE"/>
    <w:rsid w:val="00115789"/>
    <w:rsid w:val="00124E66"/>
    <w:rsid w:val="001251AF"/>
    <w:rsid w:val="0012617E"/>
    <w:rsid w:val="00126A51"/>
    <w:rsid w:val="001303A5"/>
    <w:rsid w:val="001357F1"/>
    <w:rsid w:val="00135E92"/>
    <w:rsid w:val="00146A3E"/>
    <w:rsid w:val="00146F6E"/>
    <w:rsid w:val="00150106"/>
    <w:rsid w:val="00151561"/>
    <w:rsid w:val="001541EA"/>
    <w:rsid w:val="001562A7"/>
    <w:rsid w:val="00160B2F"/>
    <w:rsid w:val="001620A0"/>
    <w:rsid w:val="00162218"/>
    <w:rsid w:val="001634C5"/>
    <w:rsid w:val="00163E6D"/>
    <w:rsid w:val="00166962"/>
    <w:rsid w:val="00166B1E"/>
    <w:rsid w:val="00171B01"/>
    <w:rsid w:val="00172F61"/>
    <w:rsid w:val="00173B4C"/>
    <w:rsid w:val="00174B8C"/>
    <w:rsid w:val="00177550"/>
    <w:rsid w:val="00180DD5"/>
    <w:rsid w:val="00183BE3"/>
    <w:rsid w:val="00184818"/>
    <w:rsid w:val="0018655C"/>
    <w:rsid w:val="00186EA3"/>
    <w:rsid w:val="001875E0"/>
    <w:rsid w:val="00190B6F"/>
    <w:rsid w:val="00191D7B"/>
    <w:rsid w:val="00196DAD"/>
    <w:rsid w:val="001A43DE"/>
    <w:rsid w:val="001A44EB"/>
    <w:rsid w:val="001A530B"/>
    <w:rsid w:val="001A5375"/>
    <w:rsid w:val="001A6794"/>
    <w:rsid w:val="001B114E"/>
    <w:rsid w:val="001B1CE1"/>
    <w:rsid w:val="001B247C"/>
    <w:rsid w:val="001B5019"/>
    <w:rsid w:val="001C5B77"/>
    <w:rsid w:val="001D3EE3"/>
    <w:rsid w:val="001D52B4"/>
    <w:rsid w:val="001D663E"/>
    <w:rsid w:val="001E1DC0"/>
    <w:rsid w:val="001E286F"/>
    <w:rsid w:val="001E4528"/>
    <w:rsid w:val="001E5FB8"/>
    <w:rsid w:val="001F18DD"/>
    <w:rsid w:val="001F2408"/>
    <w:rsid w:val="001F52B5"/>
    <w:rsid w:val="00200103"/>
    <w:rsid w:val="0020363F"/>
    <w:rsid w:val="002042D4"/>
    <w:rsid w:val="0020616D"/>
    <w:rsid w:val="00207FCC"/>
    <w:rsid w:val="002114B8"/>
    <w:rsid w:val="0021193B"/>
    <w:rsid w:val="002124CC"/>
    <w:rsid w:val="002129FB"/>
    <w:rsid w:val="002138A5"/>
    <w:rsid w:val="00214C41"/>
    <w:rsid w:val="00216303"/>
    <w:rsid w:val="002163C2"/>
    <w:rsid w:val="00217FD6"/>
    <w:rsid w:val="00220DF7"/>
    <w:rsid w:val="00222186"/>
    <w:rsid w:val="002246FC"/>
    <w:rsid w:val="00226885"/>
    <w:rsid w:val="002309D8"/>
    <w:rsid w:val="00231111"/>
    <w:rsid w:val="00235866"/>
    <w:rsid w:val="00236A53"/>
    <w:rsid w:val="0025215B"/>
    <w:rsid w:val="00253207"/>
    <w:rsid w:val="00254CF2"/>
    <w:rsid w:val="002556F5"/>
    <w:rsid w:val="00270DD1"/>
    <w:rsid w:val="00273CBD"/>
    <w:rsid w:val="00274F44"/>
    <w:rsid w:val="00275DB7"/>
    <w:rsid w:val="0027602A"/>
    <w:rsid w:val="00284957"/>
    <w:rsid w:val="0028602A"/>
    <w:rsid w:val="00287349"/>
    <w:rsid w:val="002876C0"/>
    <w:rsid w:val="002877F6"/>
    <w:rsid w:val="002910FC"/>
    <w:rsid w:val="00294EED"/>
    <w:rsid w:val="0029647C"/>
    <w:rsid w:val="00297F06"/>
    <w:rsid w:val="002A4506"/>
    <w:rsid w:val="002A4F55"/>
    <w:rsid w:val="002A51CA"/>
    <w:rsid w:val="002A6406"/>
    <w:rsid w:val="002A6AC8"/>
    <w:rsid w:val="002A740D"/>
    <w:rsid w:val="002B2930"/>
    <w:rsid w:val="002B3E95"/>
    <w:rsid w:val="002B5E10"/>
    <w:rsid w:val="002C5836"/>
    <w:rsid w:val="002D1532"/>
    <w:rsid w:val="002D19A8"/>
    <w:rsid w:val="002D2B16"/>
    <w:rsid w:val="002D3B50"/>
    <w:rsid w:val="002D4F8B"/>
    <w:rsid w:val="002E0DA5"/>
    <w:rsid w:val="002E1974"/>
    <w:rsid w:val="002E661D"/>
    <w:rsid w:val="002F180E"/>
    <w:rsid w:val="002F1A81"/>
    <w:rsid w:val="002F2BE6"/>
    <w:rsid w:val="002F43F6"/>
    <w:rsid w:val="002F5D50"/>
    <w:rsid w:val="002F765D"/>
    <w:rsid w:val="003002C0"/>
    <w:rsid w:val="00301144"/>
    <w:rsid w:val="00302871"/>
    <w:rsid w:val="00304D7D"/>
    <w:rsid w:val="003062A3"/>
    <w:rsid w:val="00310A1B"/>
    <w:rsid w:val="003117A3"/>
    <w:rsid w:val="00312BBA"/>
    <w:rsid w:val="00313336"/>
    <w:rsid w:val="003148B7"/>
    <w:rsid w:val="003158C3"/>
    <w:rsid w:val="00320251"/>
    <w:rsid w:val="0032118E"/>
    <w:rsid w:val="00324651"/>
    <w:rsid w:val="00325492"/>
    <w:rsid w:val="00326DA2"/>
    <w:rsid w:val="003274CD"/>
    <w:rsid w:val="00332EC9"/>
    <w:rsid w:val="003334B5"/>
    <w:rsid w:val="00333501"/>
    <w:rsid w:val="003342B7"/>
    <w:rsid w:val="003350DE"/>
    <w:rsid w:val="00341BDF"/>
    <w:rsid w:val="00343989"/>
    <w:rsid w:val="003446ED"/>
    <w:rsid w:val="003457C4"/>
    <w:rsid w:val="0034658F"/>
    <w:rsid w:val="003467BC"/>
    <w:rsid w:val="00350612"/>
    <w:rsid w:val="0035119D"/>
    <w:rsid w:val="00353351"/>
    <w:rsid w:val="00355D98"/>
    <w:rsid w:val="00357035"/>
    <w:rsid w:val="003572BF"/>
    <w:rsid w:val="00367A61"/>
    <w:rsid w:val="00367BBC"/>
    <w:rsid w:val="00370184"/>
    <w:rsid w:val="00374614"/>
    <w:rsid w:val="00374821"/>
    <w:rsid w:val="00376237"/>
    <w:rsid w:val="0037640B"/>
    <w:rsid w:val="00376E52"/>
    <w:rsid w:val="00381483"/>
    <w:rsid w:val="003855F4"/>
    <w:rsid w:val="00385DFD"/>
    <w:rsid w:val="00390A42"/>
    <w:rsid w:val="003928E1"/>
    <w:rsid w:val="003929D1"/>
    <w:rsid w:val="003978F3"/>
    <w:rsid w:val="003A3C85"/>
    <w:rsid w:val="003A44F8"/>
    <w:rsid w:val="003A613F"/>
    <w:rsid w:val="003A61E5"/>
    <w:rsid w:val="003B0831"/>
    <w:rsid w:val="003B1BFB"/>
    <w:rsid w:val="003B4A73"/>
    <w:rsid w:val="003B4F12"/>
    <w:rsid w:val="003B6986"/>
    <w:rsid w:val="003C0DFD"/>
    <w:rsid w:val="003C1747"/>
    <w:rsid w:val="003C1B43"/>
    <w:rsid w:val="003C600C"/>
    <w:rsid w:val="003D2170"/>
    <w:rsid w:val="003D352D"/>
    <w:rsid w:val="003D5EF4"/>
    <w:rsid w:val="003E16DA"/>
    <w:rsid w:val="003E4DAB"/>
    <w:rsid w:val="003E639D"/>
    <w:rsid w:val="003F2713"/>
    <w:rsid w:val="003F6B0D"/>
    <w:rsid w:val="003F7251"/>
    <w:rsid w:val="00400B0F"/>
    <w:rsid w:val="00401030"/>
    <w:rsid w:val="004019BC"/>
    <w:rsid w:val="00402ACC"/>
    <w:rsid w:val="004068A3"/>
    <w:rsid w:val="00407DB4"/>
    <w:rsid w:val="004120EC"/>
    <w:rsid w:val="00414B2C"/>
    <w:rsid w:val="004150F9"/>
    <w:rsid w:val="00415AF6"/>
    <w:rsid w:val="00417BAB"/>
    <w:rsid w:val="00423F31"/>
    <w:rsid w:val="0042509A"/>
    <w:rsid w:val="00425908"/>
    <w:rsid w:val="00425E67"/>
    <w:rsid w:val="004273C8"/>
    <w:rsid w:val="004304DB"/>
    <w:rsid w:val="00431899"/>
    <w:rsid w:val="00431E2C"/>
    <w:rsid w:val="00434F8B"/>
    <w:rsid w:val="0043564E"/>
    <w:rsid w:val="00436443"/>
    <w:rsid w:val="004370E4"/>
    <w:rsid w:val="00437E9C"/>
    <w:rsid w:val="004425A1"/>
    <w:rsid w:val="00442F38"/>
    <w:rsid w:val="0044417B"/>
    <w:rsid w:val="004503E3"/>
    <w:rsid w:val="00453A53"/>
    <w:rsid w:val="0045593E"/>
    <w:rsid w:val="00465190"/>
    <w:rsid w:val="00465BAD"/>
    <w:rsid w:val="004662C6"/>
    <w:rsid w:val="0047208D"/>
    <w:rsid w:val="004739F3"/>
    <w:rsid w:val="00473FA3"/>
    <w:rsid w:val="00475DB1"/>
    <w:rsid w:val="004807ED"/>
    <w:rsid w:val="00481941"/>
    <w:rsid w:val="00485BEB"/>
    <w:rsid w:val="00486804"/>
    <w:rsid w:val="00492335"/>
    <w:rsid w:val="00497742"/>
    <w:rsid w:val="004977A1"/>
    <w:rsid w:val="004A0AAC"/>
    <w:rsid w:val="004A256B"/>
    <w:rsid w:val="004A2A85"/>
    <w:rsid w:val="004A2BD4"/>
    <w:rsid w:val="004A3765"/>
    <w:rsid w:val="004A3D60"/>
    <w:rsid w:val="004A5B72"/>
    <w:rsid w:val="004A65ED"/>
    <w:rsid w:val="004A6C05"/>
    <w:rsid w:val="004A7E72"/>
    <w:rsid w:val="004B3775"/>
    <w:rsid w:val="004B4451"/>
    <w:rsid w:val="004B7733"/>
    <w:rsid w:val="004B7DEA"/>
    <w:rsid w:val="004C0186"/>
    <w:rsid w:val="004C2A6E"/>
    <w:rsid w:val="004C59C9"/>
    <w:rsid w:val="004C5AA0"/>
    <w:rsid w:val="004D0BA0"/>
    <w:rsid w:val="004D31EC"/>
    <w:rsid w:val="004D43F3"/>
    <w:rsid w:val="004D5837"/>
    <w:rsid w:val="004D7CB1"/>
    <w:rsid w:val="004E0264"/>
    <w:rsid w:val="004E058F"/>
    <w:rsid w:val="004E1282"/>
    <w:rsid w:val="004E162B"/>
    <w:rsid w:val="004E1760"/>
    <w:rsid w:val="004E3B87"/>
    <w:rsid w:val="004E7109"/>
    <w:rsid w:val="004F0AD4"/>
    <w:rsid w:val="004F437F"/>
    <w:rsid w:val="004F7BB0"/>
    <w:rsid w:val="004F7EA3"/>
    <w:rsid w:val="00504471"/>
    <w:rsid w:val="005062B5"/>
    <w:rsid w:val="0051005C"/>
    <w:rsid w:val="00510921"/>
    <w:rsid w:val="00510AD3"/>
    <w:rsid w:val="00510FAB"/>
    <w:rsid w:val="00513348"/>
    <w:rsid w:val="005135AB"/>
    <w:rsid w:val="0051373D"/>
    <w:rsid w:val="00514A9F"/>
    <w:rsid w:val="00517197"/>
    <w:rsid w:val="005240B8"/>
    <w:rsid w:val="00532983"/>
    <w:rsid w:val="00533B5D"/>
    <w:rsid w:val="0053518E"/>
    <w:rsid w:val="0053523B"/>
    <w:rsid w:val="00536423"/>
    <w:rsid w:val="00544DD0"/>
    <w:rsid w:val="00546131"/>
    <w:rsid w:val="00550780"/>
    <w:rsid w:val="005511BF"/>
    <w:rsid w:val="00555A93"/>
    <w:rsid w:val="005569E7"/>
    <w:rsid w:val="00561193"/>
    <w:rsid w:val="00564747"/>
    <w:rsid w:val="00564E03"/>
    <w:rsid w:val="0056653E"/>
    <w:rsid w:val="005669FC"/>
    <w:rsid w:val="005746BC"/>
    <w:rsid w:val="00576BEA"/>
    <w:rsid w:val="00581D10"/>
    <w:rsid w:val="00585AF5"/>
    <w:rsid w:val="0058604F"/>
    <w:rsid w:val="0059146A"/>
    <w:rsid w:val="0059150F"/>
    <w:rsid w:val="005943DF"/>
    <w:rsid w:val="005A0B46"/>
    <w:rsid w:val="005A4E16"/>
    <w:rsid w:val="005B5769"/>
    <w:rsid w:val="005C1EC9"/>
    <w:rsid w:val="005C2CB7"/>
    <w:rsid w:val="005C4B1E"/>
    <w:rsid w:val="005D01D4"/>
    <w:rsid w:val="005D3655"/>
    <w:rsid w:val="005E2F06"/>
    <w:rsid w:val="005E606B"/>
    <w:rsid w:val="005F2DA7"/>
    <w:rsid w:val="00600479"/>
    <w:rsid w:val="00611003"/>
    <w:rsid w:val="00615669"/>
    <w:rsid w:val="0061710F"/>
    <w:rsid w:val="00622F77"/>
    <w:rsid w:val="00623283"/>
    <w:rsid w:val="00623BA1"/>
    <w:rsid w:val="00626063"/>
    <w:rsid w:val="006310C8"/>
    <w:rsid w:val="006346BC"/>
    <w:rsid w:val="00635E23"/>
    <w:rsid w:val="00636172"/>
    <w:rsid w:val="0063742E"/>
    <w:rsid w:val="006406BB"/>
    <w:rsid w:val="00640FE1"/>
    <w:rsid w:val="00646A0E"/>
    <w:rsid w:val="00653999"/>
    <w:rsid w:val="00654351"/>
    <w:rsid w:val="00654DAD"/>
    <w:rsid w:val="006562D3"/>
    <w:rsid w:val="00656B13"/>
    <w:rsid w:val="00657AEE"/>
    <w:rsid w:val="006601BB"/>
    <w:rsid w:val="00661AD2"/>
    <w:rsid w:val="00664C35"/>
    <w:rsid w:val="0066612E"/>
    <w:rsid w:val="0066652A"/>
    <w:rsid w:val="006668D0"/>
    <w:rsid w:val="00667C82"/>
    <w:rsid w:val="006734A4"/>
    <w:rsid w:val="006736DB"/>
    <w:rsid w:val="0067418D"/>
    <w:rsid w:val="006745EF"/>
    <w:rsid w:val="006757B9"/>
    <w:rsid w:val="006779BB"/>
    <w:rsid w:val="00680522"/>
    <w:rsid w:val="00681952"/>
    <w:rsid w:val="00681F08"/>
    <w:rsid w:val="00682167"/>
    <w:rsid w:val="00686A3F"/>
    <w:rsid w:val="00687E7F"/>
    <w:rsid w:val="00692484"/>
    <w:rsid w:val="006926A1"/>
    <w:rsid w:val="00693115"/>
    <w:rsid w:val="006946A9"/>
    <w:rsid w:val="006956F3"/>
    <w:rsid w:val="006A111B"/>
    <w:rsid w:val="006A40B2"/>
    <w:rsid w:val="006A41BC"/>
    <w:rsid w:val="006A60D2"/>
    <w:rsid w:val="006B10C3"/>
    <w:rsid w:val="006C1D49"/>
    <w:rsid w:val="006C2956"/>
    <w:rsid w:val="006C42AF"/>
    <w:rsid w:val="006C4F09"/>
    <w:rsid w:val="006C5F85"/>
    <w:rsid w:val="006C6D45"/>
    <w:rsid w:val="006C7F06"/>
    <w:rsid w:val="006D21C2"/>
    <w:rsid w:val="006D526C"/>
    <w:rsid w:val="006D6CA3"/>
    <w:rsid w:val="006E238E"/>
    <w:rsid w:val="006E554B"/>
    <w:rsid w:val="006E6491"/>
    <w:rsid w:val="006E7DFF"/>
    <w:rsid w:val="006F0C67"/>
    <w:rsid w:val="006F1317"/>
    <w:rsid w:val="006F27B1"/>
    <w:rsid w:val="006F3B3C"/>
    <w:rsid w:val="00701CEE"/>
    <w:rsid w:val="0070206E"/>
    <w:rsid w:val="00703B32"/>
    <w:rsid w:val="00711849"/>
    <w:rsid w:val="00711D8E"/>
    <w:rsid w:val="00712672"/>
    <w:rsid w:val="00712A9F"/>
    <w:rsid w:val="00713FD8"/>
    <w:rsid w:val="00714D24"/>
    <w:rsid w:val="00724F7E"/>
    <w:rsid w:val="00725B13"/>
    <w:rsid w:val="007261ED"/>
    <w:rsid w:val="00730971"/>
    <w:rsid w:val="00731419"/>
    <w:rsid w:val="00732E34"/>
    <w:rsid w:val="0073310C"/>
    <w:rsid w:val="00733426"/>
    <w:rsid w:val="00734E39"/>
    <w:rsid w:val="00734E3F"/>
    <w:rsid w:val="00736985"/>
    <w:rsid w:val="00743DCB"/>
    <w:rsid w:val="00745DF5"/>
    <w:rsid w:val="00746CA9"/>
    <w:rsid w:val="00747513"/>
    <w:rsid w:val="00751F78"/>
    <w:rsid w:val="0075389C"/>
    <w:rsid w:val="0076250F"/>
    <w:rsid w:val="00765052"/>
    <w:rsid w:val="007653E8"/>
    <w:rsid w:val="00771B53"/>
    <w:rsid w:val="00771BE5"/>
    <w:rsid w:val="0078199D"/>
    <w:rsid w:val="00783588"/>
    <w:rsid w:val="0078374B"/>
    <w:rsid w:val="00784031"/>
    <w:rsid w:val="00790E31"/>
    <w:rsid w:val="007911B6"/>
    <w:rsid w:val="00791F67"/>
    <w:rsid w:val="00793933"/>
    <w:rsid w:val="00793AAD"/>
    <w:rsid w:val="00796ED9"/>
    <w:rsid w:val="007A1434"/>
    <w:rsid w:val="007A5106"/>
    <w:rsid w:val="007A6628"/>
    <w:rsid w:val="007A6ABD"/>
    <w:rsid w:val="007B4865"/>
    <w:rsid w:val="007B5B7E"/>
    <w:rsid w:val="007B6200"/>
    <w:rsid w:val="007B79B8"/>
    <w:rsid w:val="007C000A"/>
    <w:rsid w:val="007C0940"/>
    <w:rsid w:val="007C2540"/>
    <w:rsid w:val="007C2597"/>
    <w:rsid w:val="007C4A39"/>
    <w:rsid w:val="007C5B43"/>
    <w:rsid w:val="007C6044"/>
    <w:rsid w:val="007C7418"/>
    <w:rsid w:val="007D0299"/>
    <w:rsid w:val="007D2E25"/>
    <w:rsid w:val="007D3F5F"/>
    <w:rsid w:val="007D597C"/>
    <w:rsid w:val="007E058A"/>
    <w:rsid w:val="007E05F9"/>
    <w:rsid w:val="007E28AC"/>
    <w:rsid w:val="007E36CA"/>
    <w:rsid w:val="007E4546"/>
    <w:rsid w:val="007E46ED"/>
    <w:rsid w:val="007E5A85"/>
    <w:rsid w:val="007E5C78"/>
    <w:rsid w:val="007F2D66"/>
    <w:rsid w:val="007F3395"/>
    <w:rsid w:val="007F67FB"/>
    <w:rsid w:val="007F7A63"/>
    <w:rsid w:val="00801610"/>
    <w:rsid w:val="00801B9F"/>
    <w:rsid w:val="008057FD"/>
    <w:rsid w:val="00813824"/>
    <w:rsid w:val="00816882"/>
    <w:rsid w:val="00821F2A"/>
    <w:rsid w:val="0082405D"/>
    <w:rsid w:val="00836C77"/>
    <w:rsid w:val="00837BB8"/>
    <w:rsid w:val="00841FDE"/>
    <w:rsid w:val="008446A8"/>
    <w:rsid w:val="008475F0"/>
    <w:rsid w:val="008518C3"/>
    <w:rsid w:val="008565EA"/>
    <w:rsid w:val="008601E4"/>
    <w:rsid w:val="00860B30"/>
    <w:rsid w:val="00860E4D"/>
    <w:rsid w:val="00862783"/>
    <w:rsid w:val="008630C9"/>
    <w:rsid w:val="00864210"/>
    <w:rsid w:val="008655A5"/>
    <w:rsid w:val="00866D4F"/>
    <w:rsid w:val="00867250"/>
    <w:rsid w:val="008719EF"/>
    <w:rsid w:val="00874CD5"/>
    <w:rsid w:val="00875740"/>
    <w:rsid w:val="00875AB6"/>
    <w:rsid w:val="00880004"/>
    <w:rsid w:val="00882452"/>
    <w:rsid w:val="00886E4E"/>
    <w:rsid w:val="008910B2"/>
    <w:rsid w:val="00891631"/>
    <w:rsid w:val="0089217E"/>
    <w:rsid w:val="00893C38"/>
    <w:rsid w:val="008A0C5D"/>
    <w:rsid w:val="008A4D1D"/>
    <w:rsid w:val="008A5AFE"/>
    <w:rsid w:val="008A5C01"/>
    <w:rsid w:val="008B68D7"/>
    <w:rsid w:val="008B757C"/>
    <w:rsid w:val="008B7D42"/>
    <w:rsid w:val="008C2F58"/>
    <w:rsid w:val="008C56BA"/>
    <w:rsid w:val="008C5A0E"/>
    <w:rsid w:val="008C600C"/>
    <w:rsid w:val="008C6F91"/>
    <w:rsid w:val="008D0FF5"/>
    <w:rsid w:val="008D1B23"/>
    <w:rsid w:val="008D1B76"/>
    <w:rsid w:val="008D3D42"/>
    <w:rsid w:val="008E445B"/>
    <w:rsid w:val="008E47D1"/>
    <w:rsid w:val="008E6264"/>
    <w:rsid w:val="008F0C31"/>
    <w:rsid w:val="008F1A3B"/>
    <w:rsid w:val="008F2B44"/>
    <w:rsid w:val="008F56A8"/>
    <w:rsid w:val="008F74C7"/>
    <w:rsid w:val="0090099E"/>
    <w:rsid w:val="00901EE5"/>
    <w:rsid w:val="00904F62"/>
    <w:rsid w:val="009067B9"/>
    <w:rsid w:val="00911FAA"/>
    <w:rsid w:val="009176E9"/>
    <w:rsid w:val="009219F1"/>
    <w:rsid w:val="00921A74"/>
    <w:rsid w:val="00921EF7"/>
    <w:rsid w:val="00923638"/>
    <w:rsid w:val="00925F90"/>
    <w:rsid w:val="0092769A"/>
    <w:rsid w:val="009423D7"/>
    <w:rsid w:val="009526CC"/>
    <w:rsid w:val="0095319B"/>
    <w:rsid w:val="009544BE"/>
    <w:rsid w:val="00955D29"/>
    <w:rsid w:val="009570FF"/>
    <w:rsid w:val="0096232C"/>
    <w:rsid w:val="00962490"/>
    <w:rsid w:val="0096346B"/>
    <w:rsid w:val="00965FD7"/>
    <w:rsid w:val="00970924"/>
    <w:rsid w:val="00971972"/>
    <w:rsid w:val="00972913"/>
    <w:rsid w:val="0097411F"/>
    <w:rsid w:val="00977898"/>
    <w:rsid w:val="009834FE"/>
    <w:rsid w:val="00985226"/>
    <w:rsid w:val="00985E7A"/>
    <w:rsid w:val="009903F3"/>
    <w:rsid w:val="00992C76"/>
    <w:rsid w:val="00995CAC"/>
    <w:rsid w:val="00996705"/>
    <w:rsid w:val="009977AD"/>
    <w:rsid w:val="009A111C"/>
    <w:rsid w:val="009A410E"/>
    <w:rsid w:val="009A791D"/>
    <w:rsid w:val="009B0F23"/>
    <w:rsid w:val="009B35CB"/>
    <w:rsid w:val="009B3F25"/>
    <w:rsid w:val="009B4D3B"/>
    <w:rsid w:val="009C0458"/>
    <w:rsid w:val="009C14E3"/>
    <w:rsid w:val="009C669C"/>
    <w:rsid w:val="009D2414"/>
    <w:rsid w:val="009D6639"/>
    <w:rsid w:val="009D69EB"/>
    <w:rsid w:val="009D7407"/>
    <w:rsid w:val="009D7D67"/>
    <w:rsid w:val="009E0866"/>
    <w:rsid w:val="009E396A"/>
    <w:rsid w:val="009E3DDE"/>
    <w:rsid w:val="009E7BB8"/>
    <w:rsid w:val="009F1D80"/>
    <w:rsid w:val="009F39BE"/>
    <w:rsid w:val="009F5488"/>
    <w:rsid w:val="009F6423"/>
    <w:rsid w:val="00A05D14"/>
    <w:rsid w:val="00A0688C"/>
    <w:rsid w:val="00A06B50"/>
    <w:rsid w:val="00A10C43"/>
    <w:rsid w:val="00A10CF7"/>
    <w:rsid w:val="00A13388"/>
    <w:rsid w:val="00A22430"/>
    <w:rsid w:val="00A24A62"/>
    <w:rsid w:val="00A2747F"/>
    <w:rsid w:val="00A31C9F"/>
    <w:rsid w:val="00A31EA0"/>
    <w:rsid w:val="00A3703C"/>
    <w:rsid w:val="00A4144F"/>
    <w:rsid w:val="00A433DC"/>
    <w:rsid w:val="00A44064"/>
    <w:rsid w:val="00A503BC"/>
    <w:rsid w:val="00A51892"/>
    <w:rsid w:val="00A5211A"/>
    <w:rsid w:val="00A52FB3"/>
    <w:rsid w:val="00A54034"/>
    <w:rsid w:val="00A5467A"/>
    <w:rsid w:val="00A56F14"/>
    <w:rsid w:val="00A577A0"/>
    <w:rsid w:val="00A606F7"/>
    <w:rsid w:val="00A615E6"/>
    <w:rsid w:val="00A62050"/>
    <w:rsid w:val="00A635AA"/>
    <w:rsid w:val="00A63FB4"/>
    <w:rsid w:val="00A644BE"/>
    <w:rsid w:val="00A6469E"/>
    <w:rsid w:val="00A65BE5"/>
    <w:rsid w:val="00A67D90"/>
    <w:rsid w:val="00A70D3E"/>
    <w:rsid w:val="00A754D3"/>
    <w:rsid w:val="00A80F95"/>
    <w:rsid w:val="00A8197B"/>
    <w:rsid w:val="00A8234C"/>
    <w:rsid w:val="00A83669"/>
    <w:rsid w:val="00A94591"/>
    <w:rsid w:val="00A96804"/>
    <w:rsid w:val="00AA0ED3"/>
    <w:rsid w:val="00AA311C"/>
    <w:rsid w:val="00AA4A53"/>
    <w:rsid w:val="00AA7BE3"/>
    <w:rsid w:val="00AB1D94"/>
    <w:rsid w:val="00AB296F"/>
    <w:rsid w:val="00AB5E7F"/>
    <w:rsid w:val="00AB6E06"/>
    <w:rsid w:val="00AB7AE5"/>
    <w:rsid w:val="00AC164A"/>
    <w:rsid w:val="00AC302F"/>
    <w:rsid w:val="00AC373E"/>
    <w:rsid w:val="00AC5500"/>
    <w:rsid w:val="00AC6772"/>
    <w:rsid w:val="00AC6DC2"/>
    <w:rsid w:val="00AD0685"/>
    <w:rsid w:val="00AD5C00"/>
    <w:rsid w:val="00AE1F4D"/>
    <w:rsid w:val="00AE76C0"/>
    <w:rsid w:val="00AF05BA"/>
    <w:rsid w:val="00AF1B85"/>
    <w:rsid w:val="00AF2050"/>
    <w:rsid w:val="00AF5DEB"/>
    <w:rsid w:val="00AF6D5D"/>
    <w:rsid w:val="00AF7B13"/>
    <w:rsid w:val="00B03CA8"/>
    <w:rsid w:val="00B07B1B"/>
    <w:rsid w:val="00B10AF8"/>
    <w:rsid w:val="00B12FFB"/>
    <w:rsid w:val="00B132EC"/>
    <w:rsid w:val="00B16084"/>
    <w:rsid w:val="00B21613"/>
    <w:rsid w:val="00B25718"/>
    <w:rsid w:val="00B331DC"/>
    <w:rsid w:val="00B37241"/>
    <w:rsid w:val="00B37C19"/>
    <w:rsid w:val="00B41820"/>
    <w:rsid w:val="00B438D3"/>
    <w:rsid w:val="00B45FF0"/>
    <w:rsid w:val="00B5548C"/>
    <w:rsid w:val="00B55E19"/>
    <w:rsid w:val="00B5776B"/>
    <w:rsid w:val="00B604CF"/>
    <w:rsid w:val="00B643C8"/>
    <w:rsid w:val="00B65367"/>
    <w:rsid w:val="00B66F5A"/>
    <w:rsid w:val="00B70D1E"/>
    <w:rsid w:val="00B7133D"/>
    <w:rsid w:val="00B723D7"/>
    <w:rsid w:val="00B7363B"/>
    <w:rsid w:val="00B84284"/>
    <w:rsid w:val="00B8475A"/>
    <w:rsid w:val="00B84818"/>
    <w:rsid w:val="00B848F1"/>
    <w:rsid w:val="00B90389"/>
    <w:rsid w:val="00B922C1"/>
    <w:rsid w:val="00B96A1B"/>
    <w:rsid w:val="00B97E0C"/>
    <w:rsid w:val="00BA070F"/>
    <w:rsid w:val="00BA25F7"/>
    <w:rsid w:val="00BA2B02"/>
    <w:rsid w:val="00BA4B6D"/>
    <w:rsid w:val="00BB254C"/>
    <w:rsid w:val="00BB26C5"/>
    <w:rsid w:val="00BB2D5B"/>
    <w:rsid w:val="00BC212D"/>
    <w:rsid w:val="00BC337C"/>
    <w:rsid w:val="00BC7C9E"/>
    <w:rsid w:val="00BD058E"/>
    <w:rsid w:val="00BD076C"/>
    <w:rsid w:val="00BD25D5"/>
    <w:rsid w:val="00BD4BC8"/>
    <w:rsid w:val="00BD4CBE"/>
    <w:rsid w:val="00BD4E04"/>
    <w:rsid w:val="00BD5200"/>
    <w:rsid w:val="00BD607E"/>
    <w:rsid w:val="00BE2C57"/>
    <w:rsid w:val="00BE38EB"/>
    <w:rsid w:val="00BE44BC"/>
    <w:rsid w:val="00BE6C6D"/>
    <w:rsid w:val="00BE6D81"/>
    <w:rsid w:val="00BE737D"/>
    <w:rsid w:val="00BE7848"/>
    <w:rsid w:val="00BF2963"/>
    <w:rsid w:val="00BF403B"/>
    <w:rsid w:val="00BF471C"/>
    <w:rsid w:val="00BF4990"/>
    <w:rsid w:val="00BF4DE6"/>
    <w:rsid w:val="00BF6E34"/>
    <w:rsid w:val="00BF7CE1"/>
    <w:rsid w:val="00C013EF"/>
    <w:rsid w:val="00C025C4"/>
    <w:rsid w:val="00C02765"/>
    <w:rsid w:val="00C03B85"/>
    <w:rsid w:val="00C048F8"/>
    <w:rsid w:val="00C06BB6"/>
    <w:rsid w:val="00C128D4"/>
    <w:rsid w:val="00C177EB"/>
    <w:rsid w:val="00C216E8"/>
    <w:rsid w:val="00C21F74"/>
    <w:rsid w:val="00C2341E"/>
    <w:rsid w:val="00C23E07"/>
    <w:rsid w:val="00C26C52"/>
    <w:rsid w:val="00C31702"/>
    <w:rsid w:val="00C332DF"/>
    <w:rsid w:val="00C346A2"/>
    <w:rsid w:val="00C348D7"/>
    <w:rsid w:val="00C37252"/>
    <w:rsid w:val="00C406F0"/>
    <w:rsid w:val="00C41A61"/>
    <w:rsid w:val="00C42CDE"/>
    <w:rsid w:val="00C42DA0"/>
    <w:rsid w:val="00C47708"/>
    <w:rsid w:val="00C500D7"/>
    <w:rsid w:val="00C5182A"/>
    <w:rsid w:val="00C553AD"/>
    <w:rsid w:val="00C6320F"/>
    <w:rsid w:val="00C63EE9"/>
    <w:rsid w:val="00C64938"/>
    <w:rsid w:val="00C6626C"/>
    <w:rsid w:val="00C70F6F"/>
    <w:rsid w:val="00C71670"/>
    <w:rsid w:val="00C72763"/>
    <w:rsid w:val="00C7499E"/>
    <w:rsid w:val="00C76223"/>
    <w:rsid w:val="00C812C5"/>
    <w:rsid w:val="00C846B6"/>
    <w:rsid w:val="00C8513A"/>
    <w:rsid w:val="00C8566A"/>
    <w:rsid w:val="00C9012A"/>
    <w:rsid w:val="00C90AA1"/>
    <w:rsid w:val="00C91AD5"/>
    <w:rsid w:val="00C94D75"/>
    <w:rsid w:val="00C96877"/>
    <w:rsid w:val="00CA10F7"/>
    <w:rsid w:val="00CA1638"/>
    <w:rsid w:val="00CA37B1"/>
    <w:rsid w:val="00CA64D7"/>
    <w:rsid w:val="00CA7DD8"/>
    <w:rsid w:val="00CB06DC"/>
    <w:rsid w:val="00CB0BE0"/>
    <w:rsid w:val="00CB1959"/>
    <w:rsid w:val="00CB5666"/>
    <w:rsid w:val="00CB7234"/>
    <w:rsid w:val="00CB73B6"/>
    <w:rsid w:val="00CC4889"/>
    <w:rsid w:val="00CD0E4B"/>
    <w:rsid w:val="00CD524E"/>
    <w:rsid w:val="00CD61D1"/>
    <w:rsid w:val="00CD62B4"/>
    <w:rsid w:val="00CE0155"/>
    <w:rsid w:val="00CE034D"/>
    <w:rsid w:val="00CE4E88"/>
    <w:rsid w:val="00CE58AC"/>
    <w:rsid w:val="00CE5DF0"/>
    <w:rsid w:val="00CF0B1E"/>
    <w:rsid w:val="00CF2CB0"/>
    <w:rsid w:val="00CF2DE8"/>
    <w:rsid w:val="00CF3591"/>
    <w:rsid w:val="00CF3AAE"/>
    <w:rsid w:val="00CF7B1B"/>
    <w:rsid w:val="00D00802"/>
    <w:rsid w:val="00D024E2"/>
    <w:rsid w:val="00D027D9"/>
    <w:rsid w:val="00D0296C"/>
    <w:rsid w:val="00D06693"/>
    <w:rsid w:val="00D07062"/>
    <w:rsid w:val="00D10A65"/>
    <w:rsid w:val="00D10DF2"/>
    <w:rsid w:val="00D146A2"/>
    <w:rsid w:val="00D15A00"/>
    <w:rsid w:val="00D166F7"/>
    <w:rsid w:val="00D2124A"/>
    <w:rsid w:val="00D21C42"/>
    <w:rsid w:val="00D30047"/>
    <w:rsid w:val="00D3315E"/>
    <w:rsid w:val="00D33BF8"/>
    <w:rsid w:val="00D34C83"/>
    <w:rsid w:val="00D34EA7"/>
    <w:rsid w:val="00D35387"/>
    <w:rsid w:val="00D355F9"/>
    <w:rsid w:val="00D402EE"/>
    <w:rsid w:val="00D40AEB"/>
    <w:rsid w:val="00D42C7E"/>
    <w:rsid w:val="00D460DC"/>
    <w:rsid w:val="00D46ABA"/>
    <w:rsid w:val="00D504A6"/>
    <w:rsid w:val="00D504B4"/>
    <w:rsid w:val="00D513C7"/>
    <w:rsid w:val="00D51FB2"/>
    <w:rsid w:val="00D544D1"/>
    <w:rsid w:val="00D57058"/>
    <w:rsid w:val="00D579E8"/>
    <w:rsid w:val="00D60FE1"/>
    <w:rsid w:val="00D628A3"/>
    <w:rsid w:val="00D635A8"/>
    <w:rsid w:val="00D64BD1"/>
    <w:rsid w:val="00D653F4"/>
    <w:rsid w:val="00D678FF"/>
    <w:rsid w:val="00D70411"/>
    <w:rsid w:val="00D70AE2"/>
    <w:rsid w:val="00D710C1"/>
    <w:rsid w:val="00D72760"/>
    <w:rsid w:val="00D73EFE"/>
    <w:rsid w:val="00D7584E"/>
    <w:rsid w:val="00D768DC"/>
    <w:rsid w:val="00D86954"/>
    <w:rsid w:val="00D90EB0"/>
    <w:rsid w:val="00D9220F"/>
    <w:rsid w:val="00D9305A"/>
    <w:rsid w:val="00D93578"/>
    <w:rsid w:val="00D9524A"/>
    <w:rsid w:val="00D96973"/>
    <w:rsid w:val="00D97FAD"/>
    <w:rsid w:val="00DA040F"/>
    <w:rsid w:val="00DA45C7"/>
    <w:rsid w:val="00DA4D0B"/>
    <w:rsid w:val="00DA7F97"/>
    <w:rsid w:val="00DB0A00"/>
    <w:rsid w:val="00DB3219"/>
    <w:rsid w:val="00DB7447"/>
    <w:rsid w:val="00DC021E"/>
    <w:rsid w:val="00DC08F7"/>
    <w:rsid w:val="00DC3A16"/>
    <w:rsid w:val="00DC59A1"/>
    <w:rsid w:val="00DD0CC1"/>
    <w:rsid w:val="00DD1986"/>
    <w:rsid w:val="00DD2021"/>
    <w:rsid w:val="00DD2FF6"/>
    <w:rsid w:val="00DD60F3"/>
    <w:rsid w:val="00DE084C"/>
    <w:rsid w:val="00DE14F2"/>
    <w:rsid w:val="00DE2E8F"/>
    <w:rsid w:val="00DE31CE"/>
    <w:rsid w:val="00DE7B7F"/>
    <w:rsid w:val="00DF1661"/>
    <w:rsid w:val="00DF1DEC"/>
    <w:rsid w:val="00DF1FAF"/>
    <w:rsid w:val="00DF6157"/>
    <w:rsid w:val="00DF75B8"/>
    <w:rsid w:val="00DF766F"/>
    <w:rsid w:val="00E025F8"/>
    <w:rsid w:val="00E05D0B"/>
    <w:rsid w:val="00E068F6"/>
    <w:rsid w:val="00E0719C"/>
    <w:rsid w:val="00E101AE"/>
    <w:rsid w:val="00E152CD"/>
    <w:rsid w:val="00E1578E"/>
    <w:rsid w:val="00E20382"/>
    <w:rsid w:val="00E22076"/>
    <w:rsid w:val="00E245D7"/>
    <w:rsid w:val="00E24AAB"/>
    <w:rsid w:val="00E272F9"/>
    <w:rsid w:val="00E2784E"/>
    <w:rsid w:val="00E31975"/>
    <w:rsid w:val="00E31A56"/>
    <w:rsid w:val="00E349A0"/>
    <w:rsid w:val="00E356C4"/>
    <w:rsid w:val="00E357B7"/>
    <w:rsid w:val="00E36BFC"/>
    <w:rsid w:val="00E36F91"/>
    <w:rsid w:val="00E413E1"/>
    <w:rsid w:val="00E43B17"/>
    <w:rsid w:val="00E4409E"/>
    <w:rsid w:val="00E44C21"/>
    <w:rsid w:val="00E44F7C"/>
    <w:rsid w:val="00E46295"/>
    <w:rsid w:val="00E47CE3"/>
    <w:rsid w:val="00E505F1"/>
    <w:rsid w:val="00E51719"/>
    <w:rsid w:val="00E52CA5"/>
    <w:rsid w:val="00E531AB"/>
    <w:rsid w:val="00E53679"/>
    <w:rsid w:val="00E53685"/>
    <w:rsid w:val="00E53800"/>
    <w:rsid w:val="00E5500A"/>
    <w:rsid w:val="00E55B36"/>
    <w:rsid w:val="00E57A9D"/>
    <w:rsid w:val="00E6081F"/>
    <w:rsid w:val="00E61E2E"/>
    <w:rsid w:val="00E63959"/>
    <w:rsid w:val="00E6585D"/>
    <w:rsid w:val="00E660AC"/>
    <w:rsid w:val="00E71C15"/>
    <w:rsid w:val="00E727E9"/>
    <w:rsid w:val="00E72C4E"/>
    <w:rsid w:val="00E75A59"/>
    <w:rsid w:val="00E7674E"/>
    <w:rsid w:val="00E76EA9"/>
    <w:rsid w:val="00E867EB"/>
    <w:rsid w:val="00E90226"/>
    <w:rsid w:val="00E9077D"/>
    <w:rsid w:val="00EA04B2"/>
    <w:rsid w:val="00EA0B25"/>
    <w:rsid w:val="00EA20F3"/>
    <w:rsid w:val="00EA3973"/>
    <w:rsid w:val="00EA52FA"/>
    <w:rsid w:val="00EB184E"/>
    <w:rsid w:val="00EB1A4C"/>
    <w:rsid w:val="00EB1D0E"/>
    <w:rsid w:val="00EB2D0F"/>
    <w:rsid w:val="00EB2DD0"/>
    <w:rsid w:val="00EB3F29"/>
    <w:rsid w:val="00EB750F"/>
    <w:rsid w:val="00EB77B8"/>
    <w:rsid w:val="00EB7881"/>
    <w:rsid w:val="00EC2EAE"/>
    <w:rsid w:val="00EC479F"/>
    <w:rsid w:val="00EC481D"/>
    <w:rsid w:val="00EC78AD"/>
    <w:rsid w:val="00EC7E82"/>
    <w:rsid w:val="00ED2831"/>
    <w:rsid w:val="00ED3BBE"/>
    <w:rsid w:val="00ED4256"/>
    <w:rsid w:val="00ED43D1"/>
    <w:rsid w:val="00ED4545"/>
    <w:rsid w:val="00ED4C1E"/>
    <w:rsid w:val="00ED5BB5"/>
    <w:rsid w:val="00ED751C"/>
    <w:rsid w:val="00ED7FFE"/>
    <w:rsid w:val="00EE0700"/>
    <w:rsid w:val="00EE2649"/>
    <w:rsid w:val="00EE2938"/>
    <w:rsid w:val="00EE4EE1"/>
    <w:rsid w:val="00EE508B"/>
    <w:rsid w:val="00EE61C8"/>
    <w:rsid w:val="00EE7487"/>
    <w:rsid w:val="00EF2CB4"/>
    <w:rsid w:val="00EF4574"/>
    <w:rsid w:val="00EF4E18"/>
    <w:rsid w:val="00EF6543"/>
    <w:rsid w:val="00EF7D47"/>
    <w:rsid w:val="00F02B55"/>
    <w:rsid w:val="00F038F6"/>
    <w:rsid w:val="00F0432C"/>
    <w:rsid w:val="00F07B2F"/>
    <w:rsid w:val="00F105B9"/>
    <w:rsid w:val="00F12163"/>
    <w:rsid w:val="00F156EE"/>
    <w:rsid w:val="00F166D8"/>
    <w:rsid w:val="00F21ED5"/>
    <w:rsid w:val="00F2265D"/>
    <w:rsid w:val="00F262E3"/>
    <w:rsid w:val="00F2676D"/>
    <w:rsid w:val="00F2684E"/>
    <w:rsid w:val="00F30909"/>
    <w:rsid w:val="00F3213B"/>
    <w:rsid w:val="00F3460E"/>
    <w:rsid w:val="00F4024D"/>
    <w:rsid w:val="00F4069F"/>
    <w:rsid w:val="00F43240"/>
    <w:rsid w:val="00F50B5D"/>
    <w:rsid w:val="00F53473"/>
    <w:rsid w:val="00F53568"/>
    <w:rsid w:val="00F5404C"/>
    <w:rsid w:val="00F608A0"/>
    <w:rsid w:val="00F70151"/>
    <w:rsid w:val="00F71EEE"/>
    <w:rsid w:val="00F729EF"/>
    <w:rsid w:val="00F746DC"/>
    <w:rsid w:val="00F76704"/>
    <w:rsid w:val="00F77558"/>
    <w:rsid w:val="00F77CAE"/>
    <w:rsid w:val="00F77ECA"/>
    <w:rsid w:val="00F816A7"/>
    <w:rsid w:val="00F82271"/>
    <w:rsid w:val="00F83428"/>
    <w:rsid w:val="00F83570"/>
    <w:rsid w:val="00F87DAC"/>
    <w:rsid w:val="00F90415"/>
    <w:rsid w:val="00F914FC"/>
    <w:rsid w:val="00F91D34"/>
    <w:rsid w:val="00F91F91"/>
    <w:rsid w:val="00F932D4"/>
    <w:rsid w:val="00F938B1"/>
    <w:rsid w:val="00F94908"/>
    <w:rsid w:val="00F94C20"/>
    <w:rsid w:val="00F96BB9"/>
    <w:rsid w:val="00FA4458"/>
    <w:rsid w:val="00FA6FCB"/>
    <w:rsid w:val="00FB39A3"/>
    <w:rsid w:val="00FB6512"/>
    <w:rsid w:val="00FB7454"/>
    <w:rsid w:val="00FC1CAE"/>
    <w:rsid w:val="00FC5B6E"/>
    <w:rsid w:val="00FC6ED3"/>
    <w:rsid w:val="00FD08ED"/>
    <w:rsid w:val="00FD214B"/>
    <w:rsid w:val="00FD3C4F"/>
    <w:rsid w:val="00FE14B6"/>
    <w:rsid w:val="00FE15D5"/>
    <w:rsid w:val="00FE27B4"/>
    <w:rsid w:val="00FE32DE"/>
    <w:rsid w:val="00FE3379"/>
    <w:rsid w:val="00FE6609"/>
    <w:rsid w:val="00FE6D51"/>
    <w:rsid w:val="00FF09F3"/>
    <w:rsid w:val="00FF132F"/>
    <w:rsid w:val="00FF4150"/>
    <w:rsid w:val="00FF58BF"/>
    <w:rsid w:val="00FF5B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3E1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List Paragraph1,Recommendation,List Paragraph11,L,F5 List Paragraph,Dot pt,CV text,Table text,List Paragraph111,Medium Grid 1 - Accent 21,Numbered Paragraph,List Paragraph2"/>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List Paragraph1 Char,Recommendation Char,List Paragraph11 Char,L Char,F5 List Paragraph Char,Dot pt Char,CV text Char,Table text Char,List Paragraph2 Char"/>
    <w:basedOn w:val="DefaultParagraphFont"/>
    <w:link w:val="ListParagraph"/>
    <w:uiPriority w:val="34"/>
    <w:qFormat/>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character" w:styleId="CommentReference">
    <w:name w:val="annotation reference"/>
    <w:basedOn w:val="DefaultParagraphFont"/>
    <w:uiPriority w:val="99"/>
    <w:semiHidden/>
    <w:unhideWhenUsed/>
    <w:rsid w:val="009176E9"/>
    <w:rPr>
      <w:sz w:val="16"/>
      <w:szCs w:val="16"/>
    </w:rPr>
  </w:style>
  <w:style w:type="paragraph" w:styleId="CommentText">
    <w:name w:val="annotation text"/>
    <w:basedOn w:val="Normal"/>
    <w:link w:val="CommentTextChar"/>
    <w:uiPriority w:val="99"/>
    <w:semiHidden/>
    <w:unhideWhenUsed/>
    <w:rsid w:val="009176E9"/>
    <w:pPr>
      <w:spacing w:line="240" w:lineRule="auto"/>
    </w:pPr>
    <w:rPr>
      <w:sz w:val="20"/>
      <w:szCs w:val="20"/>
    </w:rPr>
  </w:style>
  <w:style w:type="character" w:customStyle="1" w:styleId="CommentTextChar">
    <w:name w:val="Comment Text Char"/>
    <w:basedOn w:val="DefaultParagraphFont"/>
    <w:link w:val="CommentText"/>
    <w:uiPriority w:val="99"/>
    <w:semiHidden/>
    <w:rsid w:val="009176E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9176E9"/>
    <w:rPr>
      <w:b/>
      <w:bCs/>
    </w:rPr>
  </w:style>
  <w:style w:type="character" w:customStyle="1" w:styleId="CommentSubjectChar">
    <w:name w:val="Comment Subject Char"/>
    <w:basedOn w:val="CommentTextChar"/>
    <w:link w:val="CommentSubject"/>
    <w:uiPriority w:val="99"/>
    <w:semiHidden/>
    <w:rsid w:val="009176E9"/>
    <w:rPr>
      <w:b/>
      <w:bCs/>
      <w:color w:val="495965" w:themeColor="text2"/>
      <w:sz w:val="20"/>
      <w:szCs w:val="20"/>
      <w:lang w:val="en-GB"/>
    </w:rPr>
  </w:style>
  <w:style w:type="paragraph" w:styleId="Revision">
    <w:name w:val="Revision"/>
    <w:hidden/>
    <w:uiPriority w:val="99"/>
    <w:semiHidden/>
    <w:rsid w:val="00ED5BB5"/>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275">
      <w:bodyDiv w:val="1"/>
      <w:marLeft w:val="0"/>
      <w:marRight w:val="0"/>
      <w:marTop w:val="0"/>
      <w:marBottom w:val="0"/>
      <w:divBdr>
        <w:top w:val="none" w:sz="0" w:space="0" w:color="auto"/>
        <w:left w:val="none" w:sz="0" w:space="0" w:color="auto"/>
        <w:bottom w:val="none" w:sz="0" w:space="0" w:color="auto"/>
        <w:right w:val="none" w:sz="0" w:space="0" w:color="auto"/>
      </w:divBdr>
    </w:div>
    <w:div w:id="321393694">
      <w:bodyDiv w:val="1"/>
      <w:marLeft w:val="0"/>
      <w:marRight w:val="0"/>
      <w:marTop w:val="0"/>
      <w:marBottom w:val="0"/>
      <w:divBdr>
        <w:top w:val="none" w:sz="0" w:space="0" w:color="auto"/>
        <w:left w:val="none" w:sz="0" w:space="0" w:color="auto"/>
        <w:bottom w:val="none" w:sz="0" w:space="0" w:color="auto"/>
        <w:right w:val="none" w:sz="0" w:space="0" w:color="auto"/>
      </w:divBdr>
    </w:div>
    <w:div w:id="443042102">
      <w:bodyDiv w:val="1"/>
      <w:marLeft w:val="0"/>
      <w:marRight w:val="0"/>
      <w:marTop w:val="0"/>
      <w:marBottom w:val="0"/>
      <w:divBdr>
        <w:top w:val="none" w:sz="0" w:space="0" w:color="auto"/>
        <w:left w:val="none" w:sz="0" w:space="0" w:color="auto"/>
        <w:bottom w:val="none" w:sz="0" w:space="0" w:color="auto"/>
        <w:right w:val="none" w:sz="0" w:space="0" w:color="auto"/>
      </w:divBdr>
    </w:div>
    <w:div w:id="667948219">
      <w:bodyDiv w:val="1"/>
      <w:marLeft w:val="0"/>
      <w:marRight w:val="0"/>
      <w:marTop w:val="0"/>
      <w:marBottom w:val="0"/>
      <w:divBdr>
        <w:top w:val="none" w:sz="0" w:space="0" w:color="auto"/>
        <w:left w:val="none" w:sz="0" w:space="0" w:color="auto"/>
        <w:bottom w:val="none" w:sz="0" w:space="0" w:color="auto"/>
        <w:right w:val="none" w:sz="0" w:space="0" w:color="auto"/>
      </w:divBdr>
    </w:div>
    <w:div w:id="955333570">
      <w:bodyDiv w:val="1"/>
      <w:marLeft w:val="0"/>
      <w:marRight w:val="0"/>
      <w:marTop w:val="0"/>
      <w:marBottom w:val="0"/>
      <w:divBdr>
        <w:top w:val="none" w:sz="0" w:space="0" w:color="auto"/>
        <w:left w:val="none" w:sz="0" w:space="0" w:color="auto"/>
        <w:bottom w:val="none" w:sz="0" w:space="0" w:color="auto"/>
        <w:right w:val="none" w:sz="0" w:space="0" w:color="auto"/>
      </w:divBdr>
    </w:div>
    <w:div w:id="964233950">
      <w:bodyDiv w:val="1"/>
      <w:marLeft w:val="0"/>
      <w:marRight w:val="0"/>
      <w:marTop w:val="0"/>
      <w:marBottom w:val="0"/>
      <w:divBdr>
        <w:top w:val="none" w:sz="0" w:space="0" w:color="auto"/>
        <w:left w:val="none" w:sz="0" w:space="0" w:color="auto"/>
        <w:bottom w:val="none" w:sz="0" w:space="0" w:color="auto"/>
        <w:right w:val="none" w:sz="0" w:space="0" w:color="auto"/>
      </w:divBdr>
    </w:div>
    <w:div w:id="1082142414">
      <w:bodyDiv w:val="1"/>
      <w:marLeft w:val="0"/>
      <w:marRight w:val="0"/>
      <w:marTop w:val="0"/>
      <w:marBottom w:val="0"/>
      <w:divBdr>
        <w:top w:val="none" w:sz="0" w:space="0" w:color="auto"/>
        <w:left w:val="none" w:sz="0" w:space="0" w:color="auto"/>
        <w:bottom w:val="none" w:sz="0" w:space="0" w:color="auto"/>
        <w:right w:val="none" w:sz="0" w:space="0" w:color="auto"/>
      </w:divBdr>
    </w:div>
    <w:div w:id="1163156334">
      <w:bodyDiv w:val="1"/>
      <w:marLeft w:val="0"/>
      <w:marRight w:val="0"/>
      <w:marTop w:val="0"/>
      <w:marBottom w:val="0"/>
      <w:divBdr>
        <w:top w:val="none" w:sz="0" w:space="0" w:color="auto"/>
        <w:left w:val="none" w:sz="0" w:space="0" w:color="auto"/>
        <w:bottom w:val="none" w:sz="0" w:space="0" w:color="auto"/>
        <w:right w:val="none" w:sz="0" w:space="0" w:color="auto"/>
      </w:divBdr>
    </w:div>
    <w:div w:id="1319648291">
      <w:bodyDiv w:val="1"/>
      <w:marLeft w:val="0"/>
      <w:marRight w:val="0"/>
      <w:marTop w:val="0"/>
      <w:marBottom w:val="0"/>
      <w:divBdr>
        <w:top w:val="none" w:sz="0" w:space="0" w:color="auto"/>
        <w:left w:val="none" w:sz="0" w:space="0" w:color="auto"/>
        <w:bottom w:val="none" w:sz="0" w:space="0" w:color="auto"/>
        <w:right w:val="none" w:sz="0" w:space="0" w:color="auto"/>
      </w:divBdr>
    </w:div>
    <w:div w:id="1472751223">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701737349">
      <w:bodyDiv w:val="1"/>
      <w:marLeft w:val="0"/>
      <w:marRight w:val="0"/>
      <w:marTop w:val="0"/>
      <w:marBottom w:val="0"/>
      <w:divBdr>
        <w:top w:val="none" w:sz="0" w:space="0" w:color="auto"/>
        <w:left w:val="none" w:sz="0" w:space="0" w:color="auto"/>
        <w:bottom w:val="none" w:sz="0" w:space="0" w:color="auto"/>
        <w:right w:val="none" w:sz="0" w:space="0" w:color="auto"/>
      </w:divBdr>
    </w:div>
    <w:div w:id="20857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wmf"/><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8.jpeg"/><Relationship Id="rId29" Type="http://schemas.openxmlformats.org/officeDocument/2006/relationships/image" Target="media/image17.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header" Target="header4.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image" Target="media/image7.JPG"/><Relationship Id="rId31" Type="http://schemas.openxmlformats.org/officeDocument/2006/relationships/image" Target="media/image18.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chart" Target="charts/chart1.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TITAN\HONI\Clients\gfurness\Docs\Offline%20Records%20(HO)\Partner%20Types%20for%202017%20APP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Chart 2:</a:t>
            </a:r>
            <a:r>
              <a:rPr lang="en-AU" baseline="0"/>
              <a:t> Bilateral aid expenditure by delivery partner type 2016-17</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05-40E6-A5D3-F8D37803148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05-40E6-A5D3-F8D37803148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05-40E6-A5D3-F8D37803148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05-40E6-A5D3-F8D378031489}"/>
              </c:ext>
            </c:extLst>
          </c:dPt>
          <c:dPt>
            <c:idx val="4"/>
            <c:bubble3D val="0"/>
            <c:spPr>
              <a:solidFill>
                <a:srgbClr val="7030A0">
                  <a:alpha val="76000"/>
                </a:srgbClr>
              </a:solidFill>
              <a:ln w="19050">
                <a:solidFill>
                  <a:schemeClr val="lt1"/>
                </a:solidFill>
              </a:ln>
              <a:effectLst/>
            </c:spPr>
            <c:extLst>
              <c:ext xmlns:c16="http://schemas.microsoft.com/office/drawing/2014/chart" uri="{C3380CC4-5D6E-409C-BE32-E72D297353CC}">
                <c16:uniqueId val="{00000009-A605-40E6-A5D3-F8D37803148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605-40E6-A5D3-F8D378031489}"/>
              </c:ext>
            </c:extLst>
          </c:dPt>
          <c:dPt>
            <c:idx val="6"/>
            <c:bubble3D val="0"/>
            <c:spPr>
              <a:solidFill>
                <a:schemeClr val="accent5"/>
              </a:solidFill>
              <a:ln w="19050">
                <a:solidFill>
                  <a:schemeClr val="lt1"/>
                </a:solidFill>
              </a:ln>
              <a:effectLst/>
            </c:spPr>
            <c:extLst>
              <c:ext xmlns:c16="http://schemas.microsoft.com/office/drawing/2014/chart" uri="{C3380CC4-5D6E-409C-BE32-E72D297353CC}">
                <c16:uniqueId val="{0000000D-A605-40E6-A5D3-F8D378031489}"/>
              </c:ext>
            </c:extLst>
          </c:dPt>
          <c:dLbls>
            <c:dLbl>
              <c:idx val="1"/>
              <c:layout>
                <c:manualLayout>
                  <c:x val="8.3004772774434507E-3"/>
                  <c:y val="-4.9601417183348102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605-40E6-A5D3-F8D378031489}"/>
                </c:ext>
              </c:extLst>
            </c:dLbl>
            <c:dLbl>
              <c:idx val="2"/>
              <c:layout>
                <c:manualLayout>
                  <c:x val="2.0751193193608601E-3"/>
                  <c:y val="6.3773250664304601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A605-40E6-A5D3-F8D378031489}"/>
                </c:ext>
              </c:extLst>
            </c:dLbl>
            <c:dLbl>
              <c:idx val="6"/>
              <c:layout>
                <c:manualLayout>
                  <c:x val="-0.112056443245487"/>
                  <c:y val="3.18866253321523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A605-40E6-A5D3-F8D3780314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Sheet1!$A$15:$A$21</c:f>
              <c:strCache>
                <c:ptCount val="7"/>
                <c:pt idx="0">
                  <c:v>Multilateral organisations</c:v>
                </c:pt>
                <c:pt idx="1">
                  <c:v>Academic Institutions</c:v>
                </c:pt>
                <c:pt idx="2">
                  <c:v>Australian Government Departments</c:v>
                </c:pt>
                <c:pt idx="3">
                  <c:v>Government of Solomon Islands</c:v>
                </c:pt>
                <c:pt idx="4">
                  <c:v>NGOs</c:v>
                </c:pt>
                <c:pt idx="5">
                  <c:v>Private Sector</c:v>
                </c:pt>
                <c:pt idx="6">
                  <c:v>Other</c:v>
                </c:pt>
              </c:strCache>
            </c:strRef>
          </c:cat>
          <c:val>
            <c:numRef>
              <c:f>Sheet1!$C$15:$C$21</c:f>
              <c:numCache>
                <c:formatCode>General</c:formatCode>
                <c:ptCount val="7"/>
                <c:pt idx="0">
                  <c:v>18.660690809999991</c:v>
                </c:pt>
                <c:pt idx="1">
                  <c:v>3.616098319999999</c:v>
                </c:pt>
                <c:pt idx="2">
                  <c:v>1.30126689</c:v>
                </c:pt>
                <c:pt idx="3">
                  <c:v>30.903449999999989</c:v>
                </c:pt>
                <c:pt idx="4">
                  <c:v>4.55930401</c:v>
                </c:pt>
                <c:pt idx="5">
                  <c:v>30.699337359999991</c:v>
                </c:pt>
                <c:pt idx="6">
                  <c:v>3.3377996099999989</c:v>
                </c:pt>
              </c:numCache>
            </c:numRef>
          </c:val>
          <c:extLst>
            <c:ext xmlns:c16="http://schemas.microsoft.com/office/drawing/2014/chart" uri="{C3380CC4-5D6E-409C-BE32-E72D297353CC}">
              <c16:uniqueId val="{0000000E-A605-40E6-A5D3-F8D37803148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A5CF15-792C-45C5-96E1-B4083B7E60E5}"/>
</file>

<file path=customXml/itemProps2.xml><?xml version="1.0" encoding="utf-8"?>
<ds:datastoreItem xmlns:ds="http://schemas.openxmlformats.org/officeDocument/2006/customXml" ds:itemID="{73DFE1AC-E676-4FAA-92F3-EB62C415B1D9}"/>
</file>

<file path=customXml/itemProps3.xml><?xml version="1.0" encoding="utf-8"?>
<ds:datastoreItem xmlns:ds="http://schemas.openxmlformats.org/officeDocument/2006/customXml" ds:itemID="{997C6F6E-ED8C-4BF5-A825-257770B962E1}"/>
</file>

<file path=customXml/itemProps4.xml><?xml version="1.0" encoding="utf-8"?>
<ds:datastoreItem xmlns:ds="http://schemas.openxmlformats.org/officeDocument/2006/customXml" ds:itemID="{0A29A145-C746-4E00-A0F0-11D3E824C64A}"/>
</file>

<file path=docProps/app.xml><?xml version="1.0" encoding="utf-8"?>
<Properties xmlns="http://schemas.openxmlformats.org/officeDocument/2006/extended-properties" xmlns:vt="http://schemas.openxmlformats.org/officeDocument/2006/docPropsVTypes">
  <Template>Normal.dotm</Template>
  <TotalTime>0</TotalTime>
  <Pages>30</Pages>
  <Words>13219</Words>
  <Characters>75350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Solomon Islands Aid Program Performance Report 2016-17</vt:lpstr>
    </vt:vector>
  </TitlesOfParts>
  <Company/>
  <LinksUpToDate>false</LinksUpToDate>
  <CharactersWithSpaces>88393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Solomon Islands Aid Program Performance Report 2016-17</dc:title>
  <dc:creator/>
  <cp:lastModifiedBy/>
  <cp:revision>1</cp:revision>
  <dcterms:created xsi:type="dcterms:W3CDTF">2017-09-21T03:50:00Z</dcterms:created>
  <dcterms:modified xsi:type="dcterms:W3CDTF">2017-09-21T03:51:00Z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e476b02a-1acf-4854-a7c9-79f6baca8b38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1125600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