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6E05" w14:textId="77777777" w:rsidR="0059146A" w:rsidRDefault="0059146A" w:rsidP="005B5769">
      <w:pPr>
        <w:pStyle w:val="ListBullet"/>
        <w:tabs>
          <w:tab w:val="clear" w:pos="284"/>
        </w:tabs>
      </w:pPr>
    </w:p>
    <w:p w14:paraId="77548AC8" w14:textId="77777777" w:rsidR="0059146A" w:rsidRDefault="0059146A" w:rsidP="005B5769">
      <w:pPr>
        <w:pStyle w:val="ListBullet"/>
        <w:tabs>
          <w:tab w:val="clear" w:pos="284"/>
        </w:tabs>
      </w:pPr>
    </w:p>
    <w:p w14:paraId="015D1A1D" w14:textId="77777777" w:rsidR="0059146A" w:rsidRPr="0059146A" w:rsidRDefault="0059146A" w:rsidP="005B5769">
      <w:pPr>
        <w:pStyle w:val="ListBullet"/>
        <w:tabs>
          <w:tab w:val="clear" w:pos="284"/>
        </w:tabs>
      </w:pPr>
    </w:p>
    <w:p w14:paraId="6BBF7CF6" w14:textId="77777777" w:rsidR="00A56F14" w:rsidRPr="0059146A" w:rsidRDefault="00A56F14" w:rsidP="0059146A">
      <w:pPr>
        <w:pStyle w:val="ListBullet"/>
        <w:tabs>
          <w:tab w:val="clear" w:pos="284"/>
        </w:tabs>
      </w:pPr>
    </w:p>
    <w:p w14:paraId="2C29CC93" w14:textId="77777777" w:rsidR="00A56F14" w:rsidRDefault="00A56F14" w:rsidP="00A56F14">
      <w:pPr>
        <w:spacing w:after="200" w:line="276" w:lineRule="auto"/>
        <w:rPr>
          <w:b/>
        </w:rPr>
      </w:pPr>
    </w:p>
    <w:p w14:paraId="5A99F54C" w14:textId="77777777" w:rsidR="00A56F14" w:rsidRDefault="00A56F14" w:rsidP="00A56F14">
      <w:pPr>
        <w:spacing w:after="200" w:line="276" w:lineRule="auto"/>
        <w:rPr>
          <w:b/>
        </w:rPr>
      </w:pPr>
    </w:p>
    <w:p w14:paraId="5F6452E7" w14:textId="77777777" w:rsidR="00C6626C" w:rsidRDefault="00C6626C" w:rsidP="00A56F14"/>
    <w:p w14:paraId="26CD5025" w14:textId="77777777" w:rsidR="00C6626C" w:rsidRDefault="00C6626C" w:rsidP="00A56F14"/>
    <w:p w14:paraId="2D886852" w14:textId="77777777" w:rsidR="00C6626C" w:rsidRDefault="00C6626C" w:rsidP="00A56F14"/>
    <w:p w14:paraId="6516D333" w14:textId="77777777" w:rsidR="00C6626C" w:rsidRDefault="00C6626C" w:rsidP="00A56F14"/>
    <w:p w14:paraId="37B13B52" w14:textId="77777777" w:rsidR="00C6626C" w:rsidRDefault="00C6626C" w:rsidP="00A56F14"/>
    <w:p w14:paraId="253D92EE" w14:textId="77777777" w:rsidR="00C6626C" w:rsidRDefault="00C6626C" w:rsidP="00A56F14"/>
    <w:p w14:paraId="463A7BA5" w14:textId="77777777" w:rsidR="00C6626C" w:rsidRDefault="00C6626C" w:rsidP="00A56F14"/>
    <w:p w14:paraId="4CA631D9" w14:textId="77777777" w:rsidR="00C6626C" w:rsidRDefault="00C6626C" w:rsidP="00A56F14"/>
    <w:p w14:paraId="1ED3218F" w14:textId="77777777" w:rsidR="00C6626C" w:rsidRDefault="00C6626C" w:rsidP="00A56F14"/>
    <w:p w14:paraId="24BB289E" w14:textId="77777777" w:rsidR="00C6626C" w:rsidRDefault="00C6626C" w:rsidP="00A56F14"/>
    <w:p w14:paraId="3B11FBAF" w14:textId="77777777" w:rsidR="00C6626C" w:rsidRDefault="00C6626C" w:rsidP="00A56F14"/>
    <w:p w14:paraId="3BF12A96" w14:textId="77777777" w:rsidR="00C6626C" w:rsidRDefault="00C6626C" w:rsidP="00A56F14"/>
    <w:p w14:paraId="2DFB974F" w14:textId="77777777" w:rsidR="00C6626C" w:rsidRDefault="00C6626C" w:rsidP="00A56F14"/>
    <w:p w14:paraId="27E86ADF" w14:textId="77777777" w:rsidR="00C6626C" w:rsidRDefault="00C6626C" w:rsidP="00A56F14"/>
    <w:p w14:paraId="1A58B731" w14:textId="77777777" w:rsidR="00C6626C" w:rsidRDefault="00C6626C" w:rsidP="00A56F14"/>
    <w:p w14:paraId="5878A5E5" w14:textId="77777777" w:rsidR="00C6626C" w:rsidRDefault="00C6626C" w:rsidP="00A56F14"/>
    <w:p w14:paraId="27812CE4" w14:textId="77777777" w:rsidR="00C6626C" w:rsidRDefault="00C6626C" w:rsidP="00A56F14"/>
    <w:p w14:paraId="21A3F37B" w14:textId="77777777" w:rsidR="00C6626C" w:rsidRDefault="00C6626C" w:rsidP="00A56F14"/>
    <w:p w14:paraId="29C0888E" w14:textId="77777777" w:rsidR="00C6626C" w:rsidRDefault="00C6626C" w:rsidP="00A56F14"/>
    <w:p w14:paraId="5A438561" w14:textId="77777777" w:rsidR="00C6626C" w:rsidRDefault="00C6626C" w:rsidP="00A56F14"/>
    <w:p w14:paraId="6B60B340" w14:textId="77777777" w:rsidR="00C6626C" w:rsidRDefault="00C6626C" w:rsidP="00A56F14"/>
    <w:p w14:paraId="77C9965B"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32615E96" wp14:editId="5C7679A8">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482601B7" wp14:editId="751CA198">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0B9A27DC" w14:textId="77777777" w:rsidR="00C6626C" w:rsidRPr="002A51CA" w:rsidRDefault="00C6626C" w:rsidP="002A51CA">
      <w:pPr>
        <w:pStyle w:val="Title"/>
        <w:spacing w:after="120" w:line="600" w:lineRule="exact"/>
        <w:rPr>
          <w:spacing w:val="-20"/>
          <w:sz w:val="60"/>
        </w:rPr>
      </w:pPr>
      <w:r w:rsidRPr="002A51CA">
        <w:rPr>
          <w:spacing w:val="-20"/>
          <w:sz w:val="60"/>
        </w:rPr>
        <w:t>Report 2015-16</w:t>
      </w:r>
    </w:p>
    <w:p w14:paraId="33F7CDB5" w14:textId="77777777" w:rsidR="00C6626C" w:rsidRDefault="00CD01E0" w:rsidP="00A56F14">
      <w:r>
        <w:rPr>
          <w:sz w:val="40"/>
        </w:rPr>
        <w:t>Solomon Islands</w:t>
      </w:r>
    </w:p>
    <w:p w14:paraId="449B67BA" w14:textId="77777777" w:rsidR="00C6626C" w:rsidRPr="002A51CA" w:rsidRDefault="00C6626C" w:rsidP="00A56F14">
      <w:pPr>
        <w:rPr>
          <w:sz w:val="24"/>
        </w:rPr>
      </w:pPr>
      <w:r w:rsidRPr="002A51CA">
        <w:rPr>
          <w:sz w:val="24"/>
        </w:rPr>
        <w:t>September 2016</w:t>
      </w:r>
    </w:p>
    <w:p w14:paraId="18E735A5" w14:textId="77777777" w:rsidR="00C6626C" w:rsidRDefault="00C6626C" w:rsidP="00A56F14">
      <w:pPr>
        <w:sectPr w:rsidR="00C6626C" w:rsidSect="00C6626C">
          <w:headerReference w:type="default" r:id="rId13"/>
          <w:pgSz w:w="11906" w:h="16838" w:code="9"/>
          <w:pgMar w:top="1952" w:right="1134" w:bottom="851" w:left="1134" w:header="1814" w:footer="567" w:gutter="0"/>
          <w:cols w:space="397"/>
          <w:docGrid w:linePitch="360"/>
        </w:sectPr>
      </w:pPr>
    </w:p>
    <w:p w14:paraId="7901C411"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14:paraId="53CBCB2B" w14:textId="77777777" w:rsidR="00837CDD" w:rsidRDefault="00837CDD" w:rsidP="002A51CA">
      <w:r w:rsidRPr="00B26FE1">
        <w:t>T</w:t>
      </w:r>
      <w:r w:rsidRPr="006D3352">
        <w:t>his</w:t>
      </w:r>
      <w:r>
        <w:t xml:space="preserve"> Aid Program Performance Report is the first assessment of performance against the </w:t>
      </w:r>
      <w:r w:rsidR="00026F8E">
        <w:t>Australian Aid Investment Plan (AIP) for Solomon Islands approved by Minister for Foreign Affairs Julie Bishop on 30</w:t>
      </w:r>
      <w:r w:rsidR="00A641CE">
        <w:t> </w:t>
      </w:r>
      <w:r w:rsidR="00026F8E">
        <w:t xml:space="preserve">September 2015. In 2015-16, </w:t>
      </w:r>
      <w:r>
        <w:t xml:space="preserve">Australia’s aid program demonstrated </w:t>
      </w:r>
      <w:r w:rsidR="002B1D16">
        <w:t xml:space="preserve">overall </w:t>
      </w:r>
      <w:r>
        <w:t xml:space="preserve">strong performance against </w:t>
      </w:r>
      <w:r w:rsidR="00026F8E">
        <w:t>the</w:t>
      </w:r>
      <w:r>
        <w:t xml:space="preserve"> </w:t>
      </w:r>
      <w:r w:rsidR="00026F8E">
        <w:t>three AIP outcome areas of: supporting stability; enabling economic growth and enhancing human development in Solomon Islands</w:t>
      </w:r>
      <w:r w:rsidR="005F1651">
        <w:t>.</w:t>
      </w:r>
    </w:p>
    <w:p w14:paraId="4C3E085D" w14:textId="77777777" w:rsidR="00380C21" w:rsidRDefault="00380C21" w:rsidP="00380C21">
      <w:r w:rsidRPr="004E194F">
        <w:t xml:space="preserve">Our leadership and support to the 15-country Regional Assistance Mission to Solomon Islands (RAMSI) continued to </w:t>
      </w:r>
      <w:r>
        <w:t>underpin</w:t>
      </w:r>
      <w:r w:rsidRPr="004E194F">
        <w:t xml:space="preserve"> long-term stability and </w:t>
      </w:r>
      <w:r>
        <w:t>development</w:t>
      </w:r>
      <w:r w:rsidRPr="004E194F">
        <w:t xml:space="preserve"> in Solomon Islands through capacity development and infrastructure support to the Royal Solomon Islands Police Force (RSIPF). </w:t>
      </w:r>
      <w:r w:rsidRPr="0023096B">
        <w:t xml:space="preserve">The forthcoming conclusion of the RAMSI mission in June 2017 signals a significant transition for Solomon Islands. </w:t>
      </w:r>
      <w:r>
        <w:t xml:space="preserve">Demonstrating </w:t>
      </w:r>
      <w:r w:rsidRPr="00CB4D46">
        <w:rPr>
          <w:b/>
        </w:rPr>
        <w:t>Australia’s long-term commitment to a peaceful and stable Solomon Islands</w:t>
      </w:r>
      <w:r w:rsidRPr="00B13D00">
        <w:t>,</w:t>
      </w:r>
      <w:r>
        <w:rPr>
          <w:b/>
        </w:rPr>
        <w:t xml:space="preserve"> </w:t>
      </w:r>
      <w:r w:rsidRPr="003268B2">
        <w:t>p</w:t>
      </w:r>
      <w:r w:rsidRPr="0023096B">
        <w:t>lanning began in earnest for the next phase of Australia’s development assistance</w:t>
      </w:r>
      <w:r>
        <w:t>. This includes</w:t>
      </w:r>
      <w:r w:rsidRPr="006D3352">
        <w:t xml:space="preserve"> </w:t>
      </w:r>
      <w:r>
        <w:t>d</w:t>
      </w:r>
      <w:r w:rsidRPr="004E194F">
        <w:t>eveloping a coherent suite of governance</w:t>
      </w:r>
      <w:r>
        <w:t xml:space="preserve">, </w:t>
      </w:r>
      <w:r w:rsidRPr="004E194F">
        <w:t xml:space="preserve">justice </w:t>
      </w:r>
      <w:r>
        <w:t xml:space="preserve">and policing </w:t>
      </w:r>
      <w:r w:rsidRPr="004E194F">
        <w:t xml:space="preserve">assistance to be delivered </w:t>
      </w:r>
      <w:r>
        <w:t>bilaterally f</w:t>
      </w:r>
      <w:r w:rsidRPr="004E194F">
        <w:t xml:space="preserve">rom 1 July </w:t>
      </w:r>
      <w:r>
        <w:t>2017.</w:t>
      </w:r>
    </w:p>
    <w:p w14:paraId="02D3A62A" w14:textId="77777777" w:rsidR="00380C21" w:rsidRPr="009556C4" w:rsidRDefault="00380C21" w:rsidP="00380C21">
      <w:r w:rsidRPr="004E194F">
        <w:t xml:space="preserve">Australia </w:t>
      </w:r>
      <w:r>
        <w:t xml:space="preserve">maintained foundational support for </w:t>
      </w:r>
      <w:r w:rsidRPr="00A83D5C">
        <w:rPr>
          <w:b/>
        </w:rPr>
        <w:t>stability</w:t>
      </w:r>
      <w:r>
        <w:t xml:space="preserve"> in Solomon Islands, working towards </w:t>
      </w:r>
      <w:r>
        <w:rPr>
          <w:color w:val="495965" w:themeColor="dark2"/>
        </w:rPr>
        <w:t>a functioning, economically stable state and a secure environment</w:t>
      </w:r>
      <w:r w:rsidRPr="004E194F">
        <w:t xml:space="preserve">. Australia </w:t>
      </w:r>
      <w:r>
        <w:t xml:space="preserve">supported stronger </w:t>
      </w:r>
      <w:r w:rsidRPr="0023096B">
        <w:t>Solomon Islands Government service delivery</w:t>
      </w:r>
      <w:r>
        <w:t>,</w:t>
      </w:r>
      <w:r w:rsidRPr="0023096B">
        <w:t xml:space="preserve"> and promoted macroeconomic </w:t>
      </w:r>
      <w:r w:rsidRPr="00A83D5C">
        <w:t>stability t</w:t>
      </w:r>
      <w:r w:rsidRPr="0023096B">
        <w:t xml:space="preserve">hrough consolidation of public sector and public financial management reforms. Australia’s support to </w:t>
      </w:r>
      <w:r>
        <w:t xml:space="preserve">Solomon Islands’ </w:t>
      </w:r>
      <w:r w:rsidRPr="0023096B">
        <w:t>courts and other justice agencies helped continue to maintain law and order; and provi</w:t>
      </w:r>
      <w:r w:rsidR="005F1651">
        <w:t>de increased access to justice.</w:t>
      </w:r>
    </w:p>
    <w:p w14:paraId="0C9A4C96" w14:textId="77777777" w:rsidR="003D0641" w:rsidRDefault="00701CDE" w:rsidP="003D0641">
      <w:pPr>
        <w:rPr>
          <w:szCs w:val="21"/>
        </w:rPr>
      </w:pPr>
      <w:r>
        <w:rPr>
          <w:iCs/>
          <w:szCs w:val="21"/>
          <w:lang w:val="en-US"/>
        </w:rPr>
        <w:t xml:space="preserve">In 2015-16, </w:t>
      </w:r>
      <w:r w:rsidR="003D0641" w:rsidRPr="00286867">
        <w:rPr>
          <w:iCs/>
          <w:szCs w:val="21"/>
          <w:lang w:val="en-US"/>
        </w:rPr>
        <w:t>t</w:t>
      </w:r>
      <w:r w:rsidR="003D0641" w:rsidRPr="00286867">
        <w:t>h</w:t>
      </w:r>
      <w:r w:rsidR="003D0641">
        <w:t>e program</w:t>
      </w:r>
      <w:r>
        <w:t xml:space="preserve"> continued </w:t>
      </w:r>
      <w:r w:rsidR="003808E0">
        <w:t xml:space="preserve">a gradual adjustment </w:t>
      </w:r>
      <w:r w:rsidR="003D0641">
        <w:t xml:space="preserve">towards a greater focus on </w:t>
      </w:r>
      <w:r w:rsidR="00CA1FF5">
        <w:t>promoting</w:t>
      </w:r>
      <w:r w:rsidR="003D0641">
        <w:t xml:space="preserve"> </w:t>
      </w:r>
      <w:r w:rsidR="003D0641" w:rsidRPr="00286867">
        <w:rPr>
          <w:b/>
        </w:rPr>
        <w:t xml:space="preserve">economic </w:t>
      </w:r>
      <w:r w:rsidR="003D0641" w:rsidRPr="00F80F0E">
        <w:rPr>
          <w:b/>
        </w:rPr>
        <w:t>growth</w:t>
      </w:r>
      <w:r w:rsidR="003D0641">
        <w:t xml:space="preserve"> in Solomon Islands. Supporting a</w:t>
      </w:r>
      <w:r w:rsidR="00650C03">
        <w:t xml:space="preserve"> more attractive e</w:t>
      </w:r>
      <w:r w:rsidR="00EE0E2B">
        <w:t>nabling en</w:t>
      </w:r>
      <w:r w:rsidR="00650C03">
        <w:t>vironment</w:t>
      </w:r>
      <w:r w:rsidR="003D0641">
        <w:t xml:space="preserve"> </w:t>
      </w:r>
      <w:r w:rsidR="00650C03">
        <w:t xml:space="preserve">for business, </w:t>
      </w:r>
      <w:r w:rsidR="003D0641">
        <w:t xml:space="preserve">Australia </w:t>
      </w:r>
      <w:r w:rsidR="004D709F">
        <w:t>began a major new phase of investment in transport infrastructure</w:t>
      </w:r>
      <w:r w:rsidR="006552FA">
        <w:t xml:space="preserve">, </w:t>
      </w:r>
      <w:r w:rsidR="000D1FFE">
        <w:t xml:space="preserve">commenced </w:t>
      </w:r>
      <w:r w:rsidR="00CA1FF5">
        <w:t>rollout</w:t>
      </w:r>
      <w:r w:rsidR="004D709F">
        <w:t xml:space="preserve"> of the Skills for Economic Growth </w:t>
      </w:r>
      <w:r w:rsidR="00CA1FF5">
        <w:t>p</w:t>
      </w:r>
      <w:r w:rsidR="004D709F">
        <w:t>rogram</w:t>
      </w:r>
      <w:r w:rsidR="006552FA">
        <w:t xml:space="preserve"> and played a critical convening role to support the private sector</w:t>
      </w:r>
      <w:r w:rsidR="004D709F">
        <w:t xml:space="preserve">. </w:t>
      </w:r>
      <w:r w:rsidR="003D0641">
        <w:t xml:space="preserve">Australia continued to </w:t>
      </w:r>
      <w:r w:rsidR="00CA1FF5">
        <w:t>help</w:t>
      </w:r>
      <w:r w:rsidR="003D0641">
        <w:t xml:space="preserve"> more men and women earn cash-based income</w:t>
      </w:r>
      <w:r w:rsidR="002B1D16">
        <w:t>s</w:t>
      </w:r>
      <w:r w:rsidR="003D0641">
        <w:t xml:space="preserve"> through rural development, women’s economic empowerment and targeted aid-for-trade investments.</w:t>
      </w:r>
      <w:r w:rsidR="006552FA" w:rsidRPr="006552FA">
        <w:t xml:space="preserve"> </w:t>
      </w:r>
      <w:r w:rsidR="00CA1FF5">
        <w:t>Whilst delayed, d</w:t>
      </w:r>
      <w:r w:rsidR="006552FA">
        <w:t xml:space="preserve">esign of the new Solomon Islands Growth Program </w:t>
      </w:r>
      <w:r w:rsidR="00CA1FF5">
        <w:t>i</w:t>
      </w:r>
      <w:r w:rsidR="006552FA">
        <w:t>s on</w:t>
      </w:r>
      <w:r w:rsidR="003808E0">
        <w:t xml:space="preserve"> </w:t>
      </w:r>
      <w:r w:rsidR="006552FA">
        <w:t>track to boost Australia’s commitment to inclusive economic growth.</w:t>
      </w:r>
    </w:p>
    <w:p w14:paraId="1678DA3C" w14:textId="77777777" w:rsidR="00B60588" w:rsidRPr="00B60588" w:rsidRDefault="00B60588" w:rsidP="00B60588">
      <w:r w:rsidRPr="00B60588">
        <w:t xml:space="preserve">Australia’s support for </w:t>
      </w:r>
      <w:r w:rsidRPr="00B60588">
        <w:rPr>
          <w:b/>
        </w:rPr>
        <w:t>human development</w:t>
      </w:r>
      <w:r w:rsidRPr="00B60588">
        <w:t xml:space="preserve"> </w:t>
      </w:r>
      <w:r w:rsidR="00A83D5C">
        <w:t>drove</w:t>
      </w:r>
      <w:r w:rsidRPr="00B60588">
        <w:t xml:space="preserve"> </w:t>
      </w:r>
      <w:r w:rsidR="00D01F16">
        <w:t xml:space="preserve">greater </w:t>
      </w:r>
      <w:r w:rsidR="00064423">
        <w:t>access</w:t>
      </w:r>
      <w:r w:rsidR="00D01F16">
        <w:t xml:space="preserve"> </w:t>
      </w:r>
      <w:r w:rsidR="00DF27B9">
        <w:t>for</w:t>
      </w:r>
      <w:r w:rsidR="00D01F16">
        <w:t xml:space="preserve"> Solomon Islanders </w:t>
      </w:r>
      <w:r w:rsidR="00064423">
        <w:t>to</w:t>
      </w:r>
      <w:r w:rsidR="00D01F16">
        <w:t xml:space="preserve"> quality health and education services. Our targeted use of </w:t>
      </w:r>
      <w:r w:rsidRPr="00B60588">
        <w:t>performance-linked aid and policy dialogue</w:t>
      </w:r>
      <w:r w:rsidR="00D01F16">
        <w:t xml:space="preserve"> helped t</w:t>
      </w:r>
      <w:r w:rsidRPr="00B60588">
        <w:t>he Solomon Islands Government to improve teacher training, literacy and numeracy and school infrastructure</w:t>
      </w:r>
      <w:r w:rsidR="00D01F16">
        <w:t xml:space="preserve">; and </w:t>
      </w:r>
      <w:r w:rsidR="00B4736B">
        <w:t xml:space="preserve">improve health service delivery, </w:t>
      </w:r>
      <w:r w:rsidR="00B4736B" w:rsidRPr="00B60588">
        <w:t>par</w:t>
      </w:r>
      <w:r w:rsidR="00B4736B">
        <w:t>ticularly at a provincial level, through improved public financial management.</w:t>
      </w:r>
    </w:p>
    <w:p w14:paraId="3558DBB2" w14:textId="77777777" w:rsidR="00B60588" w:rsidRPr="004E194F" w:rsidRDefault="00A83D5C" w:rsidP="002A51CA">
      <w:r>
        <w:t xml:space="preserve">The </w:t>
      </w:r>
      <w:r w:rsidR="00541F31" w:rsidRPr="004E194F">
        <w:t>Australia</w:t>
      </w:r>
      <w:r>
        <w:t xml:space="preserve">n aid program strengthened </w:t>
      </w:r>
      <w:r w:rsidR="00F201D2">
        <w:t>efforts to promote</w:t>
      </w:r>
      <w:r>
        <w:t xml:space="preserve"> </w:t>
      </w:r>
      <w:r w:rsidRPr="00A83D5C">
        <w:rPr>
          <w:b/>
        </w:rPr>
        <w:t>gender equality</w:t>
      </w:r>
      <w:r w:rsidR="00A262EE">
        <w:rPr>
          <w:b/>
        </w:rPr>
        <w:t xml:space="preserve">. </w:t>
      </w:r>
      <w:r w:rsidR="003808E0">
        <w:t>W</w:t>
      </w:r>
      <w:r>
        <w:t xml:space="preserve">ork to </w:t>
      </w:r>
      <w:r w:rsidR="00B60588" w:rsidRPr="004E194F">
        <w:t xml:space="preserve">promote women’s economic empowerment and </w:t>
      </w:r>
      <w:r w:rsidR="00DF27B9">
        <w:t>to prevent and respond</w:t>
      </w:r>
      <w:r w:rsidR="00B60588" w:rsidRPr="004E194F">
        <w:t xml:space="preserve"> to violence against women</w:t>
      </w:r>
      <w:r w:rsidR="003808E0">
        <w:t xml:space="preserve"> was a particular focus</w:t>
      </w:r>
      <w:r w:rsidR="00B60588" w:rsidRPr="004E194F">
        <w:t xml:space="preserve">. Australia supported implementation of the </w:t>
      </w:r>
      <w:r w:rsidR="00B60588" w:rsidRPr="004E194F">
        <w:rPr>
          <w:i/>
        </w:rPr>
        <w:t>Family Protection Act 201</w:t>
      </w:r>
      <w:r w:rsidR="004E194F" w:rsidRPr="004E194F">
        <w:rPr>
          <w:i/>
        </w:rPr>
        <w:t>4</w:t>
      </w:r>
      <w:r w:rsidR="00584D90" w:rsidRPr="004E194F">
        <w:t xml:space="preserve">, </w:t>
      </w:r>
      <w:r w:rsidR="00B60588" w:rsidRPr="004E194F">
        <w:t xml:space="preserve">a major milestone in Solomon Islands’ efforts to address domestic violence. </w:t>
      </w:r>
      <w:r w:rsidR="003808E0">
        <w:t>Gender equality was addressed more systematically</w:t>
      </w:r>
      <w:r w:rsidR="00B60588" w:rsidRPr="004E194F">
        <w:t xml:space="preserve"> </w:t>
      </w:r>
      <w:r w:rsidR="003808E0">
        <w:t>in other sectors.</w:t>
      </w:r>
      <w:r w:rsidR="00B60588" w:rsidRPr="004E194F">
        <w:t xml:space="preserve"> </w:t>
      </w:r>
      <w:r w:rsidR="005932E6">
        <w:t xml:space="preserve">Australia’s work in human development included progress on including </w:t>
      </w:r>
      <w:r w:rsidR="005932E6" w:rsidRPr="005932E6">
        <w:rPr>
          <w:b/>
        </w:rPr>
        <w:t>people with disability</w:t>
      </w:r>
      <w:r w:rsidR="005932E6">
        <w:t>.</w:t>
      </w:r>
    </w:p>
    <w:p w14:paraId="2CF11731"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Context</w:t>
      </w:r>
    </w:p>
    <w:p w14:paraId="381374A0" w14:textId="77777777" w:rsidR="00381504" w:rsidRDefault="00381504" w:rsidP="00FE58EE">
      <w:r>
        <w:t xml:space="preserve">Solomon Islands </w:t>
      </w:r>
      <w:r w:rsidR="0057736F">
        <w:t>experienced a year of relative stability in 2015-16, allowing for consolidation of improvements in service delivery and government capacity. However ongoing fragility</w:t>
      </w:r>
      <w:r w:rsidR="00491AA2">
        <w:t>,</w:t>
      </w:r>
      <w:r w:rsidR="00930221">
        <w:t xml:space="preserve"> and significant challenges to national development</w:t>
      </w:r>
      <w:r w:rsidR="00491AA2">
        <w:t xml:space="preserve"> remain</w:t>
      </w:r>
      <w:r w:rsidR="00930221">
        <w:t xml:space="preserve">. Solomon Islands </w:t>
      </w:r>
      <w:r w:rsidR="00150900">
        <w:t>is</w:t>
      </w:r>
      <w:r w:rsidR="00930221">
        <w:t xml:space="preserve"> one of the </w:t>
      </w:r>
      <w:r w:rsidR="00150900">
        <w:t xml:space="preserve">Pacific’s </w:t>
      </w:r>
      <w:r w:rsidR="00930221">
        <w:t>poorest countries</w:t>
      </w:r>
      <w:r w:rsidR="007C553C">
        <w:t>, with high costs of service delivery due to a small and geographically dispersed population.</w:t>
      </w:r>
    </w:p>
    <w:p w14:paraId="5D6DFAB3" w14:textId="77777777" w:rsidR="0060141E" w:rsidRDefault="0060141E" w:rsidP="0060141E">
      <w:r>
        <w:t xml:space="preserve">Solomon Islands did not experience any major natural disasters in 2015-16. However the country </w:t>
      </w:r>
      <w:r w:rsidR="0072074B">
        <w:t>is exposed</w:t>
      </w:r>
      <w:r>
        <w:t xml:space="preserve"> to the impacts of </w:t>
      </w:r>
      <w:r w:rsidRPr="002F6A63">
        <w:t>climate change</w:t>
      </w:r>
      <w:r w:rsidR="004071D5" w:rsidRPr="002F6A63">
        <w:t>;</w:t>
      </w:r>
      <w:r w:rsidRPr="002F6A63">
        <w:t xml:space="preserve"> and macroeconomic stability remains an ongoing challenge</w:t>
      </w:r>
      <w:r>
        <w:t>. In 2015, the economy grew at around 3 per cent</w:t>
      </w:r>
      <w:r w:rsidR="00150900">
        <w:t>. Wi</w:t>
      </w:r>
      <w:r w:rsidR="0076426B">
        <w:t xml:space="preserve">th a population growth rate of approximately 2.5 per cent per annum, the economy cannot currently support an improvement in overall living standards. Growth was </w:t>
      </w:r>
      <w:r>
        <w:t xml:space="preserve">driven by high levels of government expenditure and record increases of log exports. </w:t>
      </w:r>
      <w:r w:rsidR="00951329">
        <w:t>A</w:t>
      </w:r>
      <w:r>
        <w:t>griculture and raw materials (including logging) account</w:t>
      </w:r>
      <w:r w:rsidR="00F201D2">
        <w:t>ed</w:t>
      </w:r>
      <w:r>
        <w:t xml:space="preserve"> for 69 per cent of exports, leaving the narrow-base</w:t>
      </w:r>
      <w:r w:rsidR="005F1651">
        <w:t>d economy vulnerable to shocks.</w:t>
      </w:r>
    </w:p>
    <w:p w14:paraId="5F377BA5" w14:textId="77777777" w:rsidR="00277A65" w:rsidRDefault="0076426B" w:rsidP="00FE58EE">
      <w:r>
        <w:lastRenderedPageBreak/>
        <w:t>Macroeconomic fundamentals remain sound - de</w:t>
      </w:r>
      <w:r w:rsidR="00930221" w:rsidRPr="0023096B">
        <w:t>bt levels re</w:t>
      </w:r>
      <w:r w:rsidR="00F201D2">
        <w:t>m</w:t>
      </w:r>
      <w:r w:rsidR="00930221" w:rsidRPr="0023096B">
        <w:t xml:space="preserve">ained at an enviable 8 per cent of GDP, </w:t>
      </w:r>
      <w:r w:rsidR="00491AA2">
        <w:t>enabling</w:t>
      </w:r>
      <w:r>
        <w:t xml:space="preserve"> </w:t>
      </w:r>
      <w:r w:rsidR="00930221" w:rsidRPr="0023096B">
        <w:t xml:space="preserve">Solomon Islands to borrow for </w:t>
      </w:r>
      <w:r w:rsidR="004071D5" w:rsidRPr="0023096B">
        <w:t>emerging</w:t>
      </w:r>
      <w:r w:rsidR="00E72569" w:rsidRPr="0023096B">
        <w:t xml:space="preserve"> opportunities for </w:t>
      </w:r>
      <w:r w:rsidR="00930221" w:rsidRPr="0023096B">
        <w:t>productive investment.</w:t>
      </w:r>
      <w:r w:rsidR="00930221">
        <w:t xml:space="preserve"> </w:t>
      </w:r>
      <w:r w:rsidR="00CB1136">
        <w:t>However t</w:t>
      </w:r>
      <w:r w:rsidR="00CB1136" w:rsidRPr="0060141E">
        <w:t xml:space="preserve">he Government ended </w:t>
      </w:r>
      <w:r w:rsidR="00150900">
        <w:t xml:space="preserve">the </w:t>
      </w:r>
      <w:r w:rsidR="00CB1136" w:rsidRPr="0060141E">
        <w:t xml:space="preserve">2015 </w:t>
      </w:r>
      <w:r w:rsidR="00150900">
        <w:t xml:space="preserve">fiscal year </w:t>
      </w:r>
      <w:r w:rsidR="00CB1136" w:rsidRPr="0060141E">
        <w:t>with a deficit of $172 million, reversing the surplus recorded in 2014. Driving this negative outturn was high expenditure relative to revenue collections across the year</w:t>
      </w:r>
      <w:r w:rsidR="00CB1136">
        <w:rPr>
          <w:rStyle w:val="FootnoteReference"/>
        </w:rPr>
        <w:footnoteReference w:id="1"/>
      </w:r>
      <w:r>
        <w:t xml:space="preserve"> </w:t>
      </w:r>
      <w:r w:rsidR="00821247">
        <w:t xml:space="preserve">leading to a deterioration in cash reserves. </w:t>
      </w:r>
      <w:r w:rsidR="00930221">
        <w:t xml:space="preserve">Solomon Islands </w:t>
      </w:r>
      <w:r w:rsidR="00F201D2">
        <w:t xml:space="preserve">was ranked 112 out </w:t>
      </w:r>
      <w:r w:rsidR="006730D7">
        <w:t xml:space="preserve">of </w:t>
      </w:r>
      <w:r w:rsidR="00F201D2">
        <w:t xml:space="preserve">189 </w:t>
      </w:r>
      <w:r w:rsidR="00930221">
        <w:t xml:space="preserve">on the </w:t>
      </w:r>
      <w:r w:rsidR="00277A65">
        <w:t>W</w:t>
      </w:r>
      <w:r w:rsidR="00930221">
        <w:t xml:space="preserve">orld Bank’s Doing </w:t>
      </w:r>
      <w:r w:rsidR="00277A65">
        <w:t>B</w:t>
      </w:r>
      <w:r w:rsidR="00930221">
        <w:t>usiness In</w:t>
      </w:r>
      <w:r w:rsidR="00277A65">
        <w:t>d</w:t>
      </w:r>
      <w:r w:rsidR="00930221">
        <w:t>ex</w:t>
      </w:r>
      <w:r w:rsidR="00F201D2">
        <w:t xml:space="preserve"> in 2016</w:t>
      </w:r>
      <w:r w:rsidR="00F201D2">
        <w:rPr>
          <w:rStyle w:val="FootnoteReference"/>
        </w:rPr>
        <w:footnoteReference w:id="2"/>
      </w:r>
      <w:r w:rsidR="00F201D2">
        <w:t xml:space="preserve"> – remaining </w:t>
      </w:r>
      <w:r>
        <w:t xml:space="preserve">a </w:t>
      </w:r>
      <w:r w:rsidR="00491AA2">
        <w:t>demanding</w:t>
      </w:r>
      <w:r>
        <w:t xml:space="preserve"> place to do business</w:t>
      </w:r>
      <w:r w:rsidR="005F1651">
        <w:t>.</w:t>
      </w:r>
    </w:p>
    <w:p w14:paraId="6E8F41E1" w14:textId="77777777" w:rsidR="00234557" w:rsidRDefault="00234557" w:rsidP="00FE58EE">
      <w:r>
        <w:t xml:space="preserve">Inclusive growth remains a challenge for Solomon Islands. </w:t>
      </w:r>
      <w:r w:rsidR="00B26FE1" w:rsidRPr="002B1954">
        <w:rPr>
          <w:szCs w:val="21"/>
        </w:rPr>
        <w:t>Nearly 80 per cent of the population lives in rural areas</w:t>
      </w:r>
      <w:r w:rsidR="00B26FE1">
        <w:rPr>
          <w:szCs w:val="21"/>
        </w:rPr>
        <w:t>,</w:t>
      </w:r>
      <w:r w:rsidR="00B26FE1" w:rsidRPr="002B1954">
        <w:rPr>
          <w:szCs w:val="21"/>
        </w:rPr>
        <w:t xml:space="preserve"> dependent on a combination of subsistence farming and informal employment </w:t>
      </w:r>
      <w:r w:rsidR="00B26FE1" w:rsidRPr="0066569D">
        <w:rPr>
          <w:szCs w:val="21"/>
        </w:rPr>
        <w:t>for livelihood</w:t>
      </w:r>
      <w:r w:rsidR="00B26FE1">
        <w:t>s</w:t>
      </w:r>
      <w:r w:rsidR="00477BA4">
        <w:rPr>
          <w:rStyle w:val="FootnoteReference"/>
        </w:rPr>
        <w:footnoteReference w:id="3"/>
      </w:r>
      <w:r w:rsidR="00B26FE1">
        <w:t>. O</w:t>
      </w:r>
      <w:r>
        <w:t xml:space="preserve">nly 21 per cent of adults </w:t>
      </w:r>
      <w:r w:rsidR="00B26FE1">
        <w:t xml:space="preserve">are </w:t>
      </w:r>
      <w:r>
        <w:t xml:space="preserve">employed in the formal sector, and of those, </w:t>
      </w:r>
      <w:r w:rsidR="001A6E1E">
        <w:t>38</w:t>
      </w:r>
      <w:r>
        <w:t xml:space="preserve"> per cent are public servants</w:t>
      </w:r>
      <w:r w:rsidR="001A6E1E">
        <w:rPr>
          <w:rStyle w:val="FootnoteReference"/>
        </w:rPr>
        <w:footnoteReference w:id="4"/>
      </w:r>
      <w:r>
        <w:t xml:space="preserve">. </w:t>
      </w:r>
      <w:r w:rsidR="0053424A">
        <w:t xml:space="preserve">Men are more than twice as likely as women to </w:t>
      </w:r>
      <w:r w:rsidR="00491AA2">
        <w:t>work</w:t>
      </w:r>
      <w:r w:rsidR="0053424A">
        <w:t xml:space="preserve"> in the formal sector</w:t>
      </w:r>
      <w:r w:rsidR="00B26FE1">
        <w:t>.</w:t>
      </w:r>
    </w:p>
    <w:p w14:paraId="08DF45E2" w14:textId="77777777" w:rsidR="00B60588" w:rsidRDefault="00417489" w:rsidP="00B60588">
      <w:r w:rsidRPr="002F6A63">
        <w:t>By the end of the Millennium Development Goals reporting period, Solomon Islands had not achieved any of the MDGs</w:t>
      </w:r>
      <w:r>
        <w:rPr>
          <w:color w:val="1F497D"/>
        </w:rPr>
        <w:t>.</w:t>
      </w:r>
      <w:r>
        <w:rPr>
          <w:rStyle w:val="FootnoteReference"/>
          <w:color w:val="1F497D"/>
        </w:rPr>
        <w:footnoteReference w:id="5"/>
      </w:r>
      <w:r>
        <w:t xml:space="preserve"> </w:t>
      </w:r>
      <w:r w:rsidR="0053424A">
        <w:t>While literacy and numeracy among the school-aged population is increasing,</w:t>
      </w:r>
      <w:r w:rsidR="0053424A" w:rsidRPr="00A548FE">
        <w:t xml:space="preserve"> only one in five adults </w:t>
      </w:r>
      <w:r w:rsidR="0053424A">
        <w:t xml:space="preserve">in Solomon Islands is </w:t>
      </w:r>
      <w:r w:rsidR="0053424A" w:rsidRPr="00A548FE">
        <w:t>literate</w:t>
      </w:r>
      <w:r w:rsidR="0053424A">
        <w:t xml:space="preserve">. </w:t>
      </w:r>
      <w:r w:rsidR="00B60588">
        <w:t xml:space="preserve">Solomon Islands is making progress towards universal primary education, </w:t>
      </w:r>
      <w:r w:rsidR="00491AA2">
        <w:t>but</w:t>
      </w:r>
      <w:r w:rsidR="0053424A">
        <w:t xml:space="preserve"> </w:t>
      </w:r>
      <w:r w:rsidR="00B60588">
        <w:t>secondary school participation levels remain low.</w:t>
      </w:r>
      <w:r w:rsidR="00491AA2">
        <w:t xml:space="preserve"> There is increasing demand for</w:t>
      </w:r>
      <w:r w:rsidR="00B60588">
        <w:t xml:space="preserve"> senior high school</w:t>
      </w:r>
      <w:r w:rsidR="00491AA2" w:rsidRPr="00491AA2">
        <w:t xml:space="preserve"> </w:t>
      </w:r>
      <w:r w:rsidR="00491AA2">
        <w:t>places</w:t>
      </w:r>
      <w:r w:rsidR="00B60588">
        <w:t xml:space="preserve">, high demand for tertiary scholarships and a need for improved </w:t>
      </w:r>
      <w:r w:rsidR="00491AA2">
        <w:t>technical and vocational courses</w:t>
      </w:r>
      <w:r w:rsidR="00A548FE">
        <w:t>.</w:t>
      </w:r>
    </w:p>
    <w:p w14:paraId="7888AD5D" w14:textId="77777777" w:rsidR="00B4751D" w:rsidRDefault="00B26FE1" w:rsidP="00DA2C86">
      <w:r>
        <w:t>T</w:t>
      </w:r>
      <w:r w:rsidR="0023096B">
        <w:t xml:space="preserve">he </w:t>
      </w:r>
      <w:r w:rsidR="00B60588">
        <w:t>past decade has seen some significant progress</w:t>
      </w:r>
      <w:r w:rsidR="006F2E98">
        <w:t xml:space="preserve"> in population health</w:t>
      </w:r>
      <w:r w:rsidR="00B60588">
        <w:t>: maternal mortality has reduced by two thirds, child mortality has reduced by half</w:t>
      </w:r>
      <w:r w:rsidR="00980657">
        <w:t xml:space="preserve"> and</w:t>
      </w:r>
      <w:r w:rsidR="00B60588">
        <w:t xml:space="preserve"> malaria incidence has declined by 75 per cent</w:t>
      </w:r>
      <w:r w:rsidR="00CA1FF5">
        <w:t>. However</w:t>
      </w:r>
      <w:r w:rsidR="00B60588">
        <w:t>, many challenges remain. Children are still dying from preventable diseases such as diarrhoea and pneumonia. The coverage of essential medicine vaccine</w:t>
      </w:r>
      <w:r w:rsidR="00CA1FF5">
        <w:t>s</w:t>
      </w:r>
      <w:r w:rsidR="00B60588">
        <w:t xml:space="preserve"> is not universal, and </w:t>
      </w:r>
      <w:r w:rsidR="00062F30">
        <w:t xml:space="preserve">access to </w:t>
      </w:r>
      <w:r w:rsidR="00B60588">
        <w:t xml:space="preserve">water </w:t>
      </w:r>
      <w:r w:rsidR="00B60588" w:rsidRPr="00062F30">
        <w:t>(54 per cent</w:t>
      </w:r>
      <w:r w:rsidR="000265D4" w:rsidRPr="00062F30">
        <w:t xml:space="preserve"> in rural areas</w:t>
      </w:r>
      <w:r w:rsidR="00062F30" w:rsidRPr="00062F30">
        <w:t>; 80</w:t>
      </w:r>
      <w:r w:rsidR="001B1C9B">
        <w:t xml:space="preserve"> per cent</w:t>
      </w:r>
      <w:r w:rsidR="00062F30" w:rsidRPr="00062F30">
        <w:t xml:space="preserve"> Honiara</w:t>
      </w:r>
      <w:r w:rsidR="00B60588" w:rsidRPr="00062F30">
        <w:t>)</w:t>
      </w:r>
      <w:r w:rsidR="00B60588">
        <w:t xml:space="preserve"> and sanitation (13 per cent</w:t>
      </w:r>
      <w:r w:rsidR="00062F30">
        <w:t xml:space="preserve"> in rural areas</w:t>
      </w:r>
      <w:r w:rsidR="00B60588">
        <w:t>) rema</w:t>
      </w:r>
      <w:r w:rsidR="005F1651">
        <w:t>ins below the regional average.</w:t>
      </w:r>
    </w:p>
    <w:p w14:paraId="2E6FC6D1" w14:textId="77777777" w:rsidR="00A543F4" w:rsidRDefault="00A543F4" w:rsidP="00DA2C86">
      <w:r>
        <w:t>Gender inequality remains a significant challenge for Solomon Islands, manifest</w:t>
      </w:r>
      <w:r w:rsidR="00B26FE1">
        <w:t>ed</w:t>
      </w:r>
      <w:r>
        <w:t xml:space="preserve"> in high rates of violence</w:t>
      </w:r>
      <w:r w:rsidR="00DF27B9">
        <w:t xml:space="preserve"> against women</w:t>
      </w:r>
      <w:r>
        <w:t xml:space="preserve">, </w:t>
      </w:r>
      <w:r w:rsidR="007D27CE">
        <w:t xml:space="preserve">few women in leadership and constrained economic opportunities for women. </w:t>
      </w:r>
      <w:r w:rsidR="00D67CB4">
        <w:t>Almost</w:t>
      </w:r>
      <w:r w:rsidR="007D27CE">
        <w:t xml:space="preserve"> two thirds of ever-partnered women in Solomon Islands have experienced violence by a partner</w:t>
      </w:r>
      <w:r w:rsidR="00D74D42">
        <w:rPr>
          <w:rStyle w:val="FootnoteReference"/>
        </w:rPr>
        <w:footnoteReference w:id="6"/>
      </w:r>
      <w:r w:rsidR="0053424A">
        <w:t>.</w:t>
      </w:r>
      <w:r w:rsidR="007D27CE">
        <w:t xml:space="preserve"> </w:t>
      </w:r>
      <w:r w:rsidR="00FA3458">
        <w:t>Improving gender equality in Solomon Islands will take a sustained effort over many decades.</w:t>
      </w:r>
    </w:p>
    <w:p w14:paraId="112B077C" w14:textId="77777777" w:rsidR="003E6710" w:rsidRPr="003E6710" w:rsidRDefault="000265D4" w:rsidP="003E6710">
      <w:r>
        <w:t xml:space="preserve">Australia </w:t>
      </w:r>
      <w:r w:rsidR="0053424A">
        <w:t xml:space="preserve">continued to </w:t>
      </w:r>
      <w:r>
        <w:t>enjoy a strong relationship with Solomon Islands Government</w:t>
      </w:r>
      <w:r w:rsidR="0053424A">
        <w:t xml:space="preserve"> in 2015-16</w:t>
      </w:r>
      <w:r w:rsidR="00205D52" w:rsidRPr="007426F6">
        <w:t xml:space="preserve">. </w:t>
      </w:r>
      <w:r w:rsidR="007C553C" w:rsidRPr="007426F6">
        <w:t>Whilst Solomon Islands is now 13 years post-c</w:t>
      </w:r>
      <w:r w:rsidR="007C553C">
        <w:t xml:space="preserve">onflict, </w:t>
      </w:r>
      <w:r w:rsidR="00D77512">
        <w:t xml:space="preserve">Australia’s </w:t>
      </w:r>
      <w:r w:rsidR="003E6710">
        <w:t xml:space="preserve">engagement remains necessarily deep and broad, </w:t>
      </w:r>
      <w:r w:rsidR="003E6710" w:rsidRPr="003E6710">
        <w:t>draw</w:t>
      </w:r>
      <w:r w:rsidR="003E6710">
        <w:t>ing</w:t>
      </w:r>
      <w:r w:rsidR="003E6710" w:rsidRPr="003E6710">
        <w:t xml:space="preserve"> upon our experience and partnerships across a range of sectors to help promote and support </w:t>
      </w:r>
      <w:r w:rsidR="006E497C">
        <w:t>development</w:t>
      </w:r>
      <w:r w:rsidR="003E6710" w:rsidRPr="003E6710">
        <w:t xml:space="preserve">. </w:t>
      </w:r>
      <w:r w:rsidR="00150900" w:rsidRPr="00150900">
        <w:t>The year saw</w:t>
      </w:r>
      <w:r>
        <w:t xml:space="preserve"> evidence of a maturing in the relationship, with examples of greater </w:t>
      </w:r>
      <w:r w:rsidR="0060141E">
        <w:t xml:space="preserve">Solomon Islands Government </w:t>
      </w:r>
      <w:r>
        <w:t>ownership on selected policy issues.</w:t>
      </w:r>
    </w:p>
    <w:p w14:paraId="3ACAE56E" w14:textId="77777777" w:rsidR="003E6710" w:rsidRPr="003E6710" w:rsidRDefault="003E6710" w:rsidP="003E6710">
      <w:r w:rsidRPr="003E6710">
        <w:t>Australia’s aid program in Solomon Islands focus</w:t>
      </w:r>
      <w:r w:rsidR="00070D0C">
        <w:t>es</w:t>
      </w:r>
      <w:r w:rsidRPr="003E6710">
        <w:t xml:space="preserve"> on three strategic </w:t>
      </w:r>
      <w:r w:rsidR="002F6A63">
        <w:t>outcome areas</w:t>
      </w:r>
      <w:r w:rsidR="005F1651">
        <w:t>:</w:t>
      </w:r>
    </w:p>
    <w:p w14:paraId="14D08E72" w14:textId="77777777" w:rsidR="003E6710" w:rsidRPr="003E6710" w:rsidRDefault="003E6710" w:rsidP="005F1651">
      <w:pPr>
        <w:ind w:left="720"/>
      </w:pPr>
      <w:r w:rsidRPr="003E6710">
        <w:t>1. Supporting stability</w:t>
      </w:r>
      <w:r w:rsidR="00361C64">
        <w:t xml:space="preserve"> -</w:t>
      </w:r>
      <w:r w:rsidR="007C553C">
        <w:t xml:space="preserve"> </w:t>
      </w:r>
      <w:r w:rsidR="00361C64">
        <w:rPr>
          <w:color w:val="495965" w:themeColor="dark2"/>
        </w:rPr>
        <w:t>whereby Solomon Islanders increasingly benefit from a functioning, economically stable state and a secure environment</w:t>
      </w:r>
      <w:r w:rsidR="001F744D">
        <w:t>;</w:t>
      </w:r>
    </w:p>
    <w:p w14:paraId="1FF56AF5" w14:textId="77777777" w:rsidR="003E6710" w:rsidRPr="003E6710" w:rsidRDefault="003E6710" w:rsidP="005F1651">
      <w:pPr>
        <w:ind w:left="720"/>
      </w:pPr>
      <w:r w:rsidRPr="003E6710">
        <w:t>2. Enabling economic growth</w:t>
      </w:r>
      <w:r w:rsidR="00361C64">
        <w:t xml:space="preserve"> - </w:t>
      </w:r>
      <w:r w:rsidR="007C553C">
        <w:t xml:space="preserve">whereby Solomon Islands' </w:t>
      </w:r>
      <w:r w:rsidR="00361C64">
        <w:rPr>
          <w:color w:val="495965" w:themeColor="dark2"/>
        </w:rPr>
        <w:t>enabling environment is more attractive to business; and more men and women can earn a cash income</w:t>
      </w:r>
      <w:r w:rsidR="007C553C">
        <w:t xml:space="preserve">; and </w:t>
      </w:r>
    </w:p>
    <w:p w14:paraId="2514EDAE" w14:textId="77777777" w:rsidR="003E6710" w:rsidRPr="003E6710" w:rsidRDefault="003E6710" w:rsidP="005F1651">
      <w:pPr>
        <w:ind w:left="720"/>
      </w:pPr>
      <w:r w:rsidRPr="003E6710">
        <w:t>3. Enhancing human development</w:t>
      </w:r>
      <w:r w:rsidR="00361C64">
        <w:t xml:space="preserve"> - </w:t>
      </w:r>
      <w:r w:rsidR="00361C64">
        <w:rPr>
          <w:color w:val="495965" w:themeColor="dark2"/>
        </w:rPr>
        <w:t>whereby Solomon Islanders have increasing access to quality health and education services</w:t>
      </w:r>
      <w:r w:rsidR="005F1651">
        <w:t>.</w:t>
      </w:r>
    </w:p>
    <w:p w14:paraId="2EEEFA4A" w14:textId="77777777" w:rsidR="00C6626C" w:rsidRPr="002A51CA" w:rsidRDefault="00131528" w:rsidP="00131528">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r w:rsidR="00C6626C" w:rsidRPr="002A51CA">
        <w:rPr>
          <w:rFonts w:asciiTheme="majorHAnsi" w:eastAsiaTheme="majorEastAsia" w:hAnsiTheme="majorHAnsi" w:cstheme="majorBidi"/>
          <w:caps/>
          <w:sz w:val="38"/>
          <w:szCs w:val="26"/>
        </w:rPr>
        <w:lastRenderedPageBreak/>
        <w:t>Expenditure</w:t>
      </w:r>
    </w:p>
    <w:p w14:paraId="2104A6B3" w14:textId="77777777" w:rsidR="004A2B04" w:rsidRDefault="004A2B04" w:rsidP="00934206">
      <w:r w:rsidRPr="00512F20">
        <w:t xml:space="preserve">Australia </w:t>
      </w:r>
      <w:r>
        <w:t>remains Solomon Islands’</w:t>
      </w:r>
      <w:r w:rsidRPr="00512F20">
        <w:t xml:space="preserve"> largest donor</w:t>
      </w:r>
      <w:r>
        <w:t xml:space="preserve">, </w:t>
      </w:r>
      <w:r w:rsidRPr="00D754ED">
        <w:t xml:space="preserve">providing </w:t>
      </w:r>
      <w:r w:rsidR="008562E5" w:rsidRPr="00D754ED">
        <w:t xml:space="preserve">almost </w:t>
      </w:r>
      <w:r w:rsidRPr="00D754ED">
        <w:t xml:space="preserve">three-quarters of </w:t>
      </w:r>
      <w:r w:rsidR="00D754ED" w:rsidRPr="00512F20">
        <w:t>Solomon Islands’ aid</w:t>
      </w:r>
      <w:r w:rsidR="00D754ED">
        <w:rPr>
          <w:rStyle w:val="FootnoteReference"/>
        </w:rPr>
        <w:t xml:space="preserve"> </w:t>
      </w:r>
      <w:r w:rsidR="00D754ED">
        <w:rPr>
          <w:rStyle w:val="FootnoteReference"/>
        </w:rPr>
        <w:footnoteReference w:id="7"/>
      </w:r>
      <w:r w:rsidR="001F744D">
        <w:t xml:space="preserve">; equivalent to </w:t>
      </w:r>
      <w:r w:rsidR="001F744D" w:rsidRPr="00D75E3F">
        <w:t>a</w:t>
      </w:r>
      <w:r w:rsidR="006F2E98" w:rsidRPr="00D75E3F">
        <w:t xml:space="preserve">lmost </w:t>
      </w:r>
      <w:r w:rsidR="004A4FDA" w:rsidRPr="00D75E3F">
        <w:t>11</w:t>
      </w:r>
      <w:r w:rsidR="006F2E98">
        <w:t xml:space="preserve"> per cent of</w:t>
      </w:r>
      <w:r w:rsidR="006F2E98" w:rsidRPr="007426F6">
        <w:t xml:space="preserve"> </w:t>
      </w:r>
      <w:r w:rsidR="006F2E98" w:rsidRPr="00B133D6">
        <w:t>Solomon Islands</w:t>
      </w:r>
      <w:r w:rsidR="006F2E98" w:rsidRPr="007426F6">
        <w:t>’ GDP</w:t>
      </w:r>
      <w:r w:rsidR="006F2E98">
        <w:rPr>
          <w:rStyle w:val="FootnoteReference"/>
        </w:rPr>
        <w:footnoteReference w:id="8"/>
      </w:r>
      <w:r w:rsidR="001F744D">
        <w:t xml:space="preserve">; and </w:t>
      </w:r>
      <w:r w:rsidR="009060AE">
        <w:t xml:space="preserve">equivalent to </w:t>
      </w:r>
      <w:r w:rsidR="001F744D">
        <w:t>more than</w:t>
      </w:r>
      <w:r w:rsidR="001F744D" w:rsidRPr="00F50D00">
        <w:t xml:space="preserve"> 25 per cent of Solomon Islands Government’s budget</w:t>
      </w:r>
      <w:r w:rsidR="001F744D">
        <w:t xml:space="preserve">. </w:t>
      </w:r>
      <w:r w:rsidR="00491AA2">
        <w:t>In 2015, approximately 26 per cent of Australia’s development assistance to the Solomon Islands was paid through Solomon Islands Government systems</w:t>
      </w:r>
      <w:r w:rsidR="00491AA2" w:rsidRPr="00150900">
        <w:t xml:space="preserve">. </w:t>
      </w:r>
      <w:r w:rsidR="001F744D">
        <w:t>In 2015-16</w:t>
      </w:r>
      <w:r w:rsidR="001F744D" w:rsidRPr="00F50D00">
        <w:t>, Australia’s official development assistance to Solomon Islands was $170.2</w:t>
      </w:r>
      <w:r w:rsidR="001F744D">
        <w:t xml:space="preserve"> </w:t>
      </w:r>
      <w:r w:rsidR="001F744D" w:rsidRPr="00F50D00">
        <w:t xml:space="preserve">million, </w:t>
      </w:r>
      <w:r w:rsidR="006F2E98">
        <w:t xml:space="preserve">across </w:t>
      </w:r>
      <w:r w:rsidRPr="00934206">
        <w:t xml:space="preserve">the </w:t>
      </w:r>
      <w:r w:rsidR="003A053B" w:rsidRPr="00934206">
        <w:t xml:space="preserve">three </w:t>
      </w:r>
      <w:r w:rsidR="002F55A2">
        <w:t>AIP</w:t>
      </w:r>
      <w:r w:rsidR="003A053B" w:rsidRPr="00934206">
        <w:t xml:space="preserve"> outcome </w:t>
      </w:r>
      <w:r w:rsidR="001F744D">
        <w:t>areas.</w:t>
      </w:r>
      <w:r w:rsidRPr="00F50D00">
        <w:t xml:space="preserve"> Approximately $</w:t>
      </w:r>
      <w:r w:rsidR="00F85090" w:rsidRPr="00F50D00">
        <w:t>91.</w:t>
      </w:r>
      <w:r w:rsidR="004A2314">
        <w:t>1</w:t>
      </w:r>
      <w:r w:rsidR="00F85090" w:rsidRPr="00F50D00">
        <w:t xml:space="preserve"> </w:t>
      </w:r>
      <w:r w:rsidRPr="00F50D00">
        <w:t>million was expended through the bilateral program</w:t>
      </w:r>
      <w:r w:rsidR="001F744D">
        <w:t>;</w:t>
      </w:r>
      <w:r w:rsidRPr="00F50D00">
        <w:t xml:space="preserve"> $</w:t>
      </w:r>
      <w:r w:rsidR="00852F22" w:rsidRPr="00F50D00">
        <w:t>5</w:t>
      </w:r>
      <w:r w:rsidR="0023096B">
        <w:t>3.9</w:t>
      </w:r>
      <w:r w:rsidRPr="00F50D00">
        <w:t xml:space="preserve"> million through RAMSI; $</w:t>
      </w:r>
      <w:r w:rsidR="009C6D1D">
        <w:t>1</w:t>
      </w:r>
      <w:r w:rsidR="000D0DEC">
        <w:t>6.6</w:t>
      </w:r>
      <w:r w:rsidR="009C6D1D" w:rsidRPr="00393A81">
        <w:t xml:space="preserve"> </w:t>
      </w:r>
      <w:r w:rsidRPr="00393A81">
        <w:t>mill</w:t>
      </w:r>
      <w:r w:rsidR="000D0DEC">
        <w:t>ion through regional programs; $7.7</w:t>
      </w:r>
      <w:r w:rsidR="009C6D1D" w:rsidRPr="00393A81">
        <w:t xml:space="preserve"> </w:t>
      </w:r>
      <w:r w:rsidRPr="00393A81">
        <w:t>million through global programs</w:t>
      </w:r>
      <w:r w:rsidR="001F744D">
        <w:t>;</w:t>
      </w:r>
      <w:r w:rsidRPr="00393A81">
        <w:t xml:space="preserve"> and </w:t>
      </w:r>
      <w:r w:rsidRPr="00934206">
        <w:t>$</w:t>
      </w:r>
      <w:r w:rsidR="000D0DEC">
        <w:t>0.9</w:t>
      </w:r>
      <w:r>
        <w:t xml:space="preserve"> million</w:t>
      </w:r>
      <w:r w:rsidRPr="00393A81">
        <w:t xml:space="preserve"> throug</w:t>
      </w:r>
      <w:r w:rsidR="005F1651">
        <w:t>h other government departments.</w:t>
      </w:r>
    </w:p>
    <w:p w14:paraId="4A7BF53F" w14:textId="77777777" w:rsidR="00AE18A4" w:rsidRDefault="00AE18A4" w:rsidP="00934206"/>
    <w:p w14:paraId="107C5206" w14:textId="3C3C090D"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B34E04">
        <w:rPr>
          <w:b/>
          <w:noProof/>
          <w:sz w:val="24"/>
        </w:rPr>
        <w:t>1</w:t>
      </w:r>
      <w:r w:rsidRPr="008C2F58">
        <w:rPr>
          <w:b/>
          <w:sz w:val="24"/>
        </w:rPr>
        <w:fldChar w:fldCharType="end"/>
      </w:r>
      <w:r w:rsidRPr="008C2F58">
        <w:rPr>
          <w:b/>
          <w:sz w:val="24"/>
        </w:rPr>
        <w:t xml:space="preserve"> Total ODA Expenditure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937"/>
        <w:gridCol w:w="1363"/>
      </w:tblGrid>
      <w:tr w:rsidR="00101819" w:rsidRPr="003B0793" w14:paraId="094CA28C" w14:textId="77777777" w:rsidTr="0026365F">
        <w:tc>
          <w:tcPr>
            <w:tcW w:w="7525" w:type="dxa"/>
          </w:tcPr>
          <w:p w14:paraId="0C636562" w14:textId="77777777" w:rsidR="00101819" w:rsidRPr="00AE18A4" w:rsidRDefault="00101819" w:rsidP="00AE18A4">
            <w:pPr>
              <w:spacing w:beforeLines="40" w:before="96" w:afterLines="40" w:after="96" w:line="200" w:lineRule="atLeast"/>
              <w:rPr>
                <w:rFonts w:eastAsia="Times New Roman"/>
                <w:b/>
                <w:iCs/>
                <w:color w:val="auto"/>
                <w:sz w:val="17"/>
                <w:szCs w:val="17"/>
              </w:rPr>
            </w:pPr>
            <w:r w:rsidRPr="00AE18A4">
              <w:rPr>
                <w:rFonts w:eastAsia="Times New Roman"/>
                <w:b/>
                <w:iCs/>
                <w:color w:val="auto"/>
                <w:sz w:val="17"/>
                <w:szCs w:val="17"/>
              </w:rPr>
              <w:t>Objective</w:t>
            </w:r>
          </w:p>
        </w:tc>
        <w:tc>
          <w:tcPr>
            <w:tcW w:w="944" w:type="dxa"/>
          </w:tcPr>
          <w:p w14:paraId="5C3512BA" w14:textId="77777777" w:rsidR="00101819" w:rsidRPr="00AE18A4" w:rsidRDefault="00101819" w:rsidP="00AE18A4">
            <w:pPr>
              <w:spacing w:beforeLines="40" w:before="96" w:afterLines="40" w:after="96" w:line="200" w:lineRule="atLeast"/>
              <w:jc w:val="right"/>
              <w:rPr>
                <w:rFonts w:eastAsia="Times New Roman"/>
                <w:b/>
                <w:iCs/>
                <w:color w:val="auto"/>
                <w:sz w:val="17"/>
                <w:szCs w:val="17"/>
              </w:rPr>
            </w:pPr>
            <w:r w:rsidRPr="00AE18A4">
              <w:rPr>
                <w:rFonts w:eastAsia="Times New Roman"/>
                <w:b/>
                <w:iCs/>
                <w:color w:val="auto"/>
                <w:sz w:val="17"/>
                <w:szCs w:val="17"/>
              </w:rPr>
              <w:t>A$ million</w:t>
            </w:r>
          </w:p>
        </w:tc>
        <w:tc>
          <w:tcPr>
            <w:tcW w:w="1385" w:type="dxa"/>
          </w:tcPr>
          <w:p w14:paraId="7B1C5743" w14:textId="77777777" w:rsidR="00101819" w:rsidRPr="00AE18A4" w:rsidRDefault="00101819" w:rsidP="00AE18A4">
            <w:pPr>
              <w:spacing w:beforeLines="40" w:before="96" w:afterLines="40" w:after="96" w:line="200" w:lineRule="atLeast"/>
              <w:jc w:val="right"/>
              <w:rPr>
                <w:rFonts w:eastAsia="Times New Roman"/>
                <w:b/>
                <w:iCs/>
                <w:color w:val="auto"/>
                <w:sz w:val="17"/>
                <w:szCs w:val="17"/>
              </w:rPr>
            </w:pPr>
            <w:r w:rsidRPr="00AE18A4">
              <w:rPr>
                <w:rFonts w:eastAsia="Times New Roman"/>
                <w:b/>
                <w:iCs/>
                <w:color w:val="auto"/>
                <w:sz w:val="17"/>
                <w:szCs w:val="17"/>
              </w:rPr>
              <w:t>% of total ODA</w:t>
            </w:r>
          </w:p>
        </w:tc>
      </w:tr>
      <w:tr w:rsidR="00101819" w:rsidRPr="003B0793" w14:paraId="078D0BA0" w14:textId="77777777" w:rsidTr="0026365F">
        <w:trPr>
          <w:trHeight w:val="450"/>
        </w:trPr>
        <w:tc>
          <w:tcPr>
            <w:tcW w:w="7525" w:type="dxa"/>
          </w:tcPr>
          <w:p w14:paraId="5C049C6A" w14:textId="77777777" w:rsidR="00101819" w:rsidRPr="00AE18A4" w:rsidRDefault="005F1651" w:rsidP="00AE18A4">
            <w:pPr>
              <w:spacing w:beforeLines="40" w:before="96" w:afterLines="40" w:after="96" w:line="200" w:lineRule="atLeast"/>
              <w:rPr>
                <w:rFonts w:eastAsia="Times New Roman"/>
                <w:b/>
                <w:iCs/>
                <w:color w:val="auto"/>
                <w:sz w:val="17"/>
                <w:szCs w:val="17"/>
              </w:rPr>
            </w:pPr>
            <w:r w:rsidRPr="00AE18A4">
              <w:rPr>
                <w:rFonts w:eastAsia="Times New Roman"/>
                <w:b/>
                <w:iCs/>
                <w:color w:val="auto"/>
                <w:sz w:val="17"/>
                <w:szCs w:val="17"/>
              </w:rPr>
              <w:t>Bilateral</w:t>
            </w:r>
          </w:p>
        </w:tc>
        <w:tc>
          <w:tcPr>
            <w:tcW w:w="944" w:type="dxa"/>
          </w:tcPr>
          <w:p w14:paraId="37F17A41" w14:textId="77777777" w:rsidR="00101819" w:rsidRPr="00AE18A4" w:rsidRDefault="00101819" w:rsidP="00AE18A4">
            <w:pPr>
              <w:spacing w:beforeLines="40" w:before="96" w:afterLines="40" w:after="96" w:line="200" w:lineRule="atLeast"/>
              <w:jc w:val="right"/>
              <w:rPr>
                <w:rFonts w:eastAsia="Times New Roman"/>
                <w:b/>
                <w:iCs/>
                <w:color w:val="auto"/>
                <w:sz w:val="17"/>
                <w:szCs w:val="17"/>
              </w:rPr>
            </w:pPr>
          </w:p>
        </w:tc>
        <w:tc>
          <w:tcPr>
            <w:tcW w:w="1385" w:type="dxa"/>
          </w:tcPr>
          <w:p w14:paraId="45EBF118" w14:textId="77777777" w:rsidR="00101819" w:rsidRPr="00AE18A4" w:rsidRDefault="00101819" w:rsidP="00AE18A4">
            <w:pPr>
              <w:spacing w:beforeLines="40" w:before="96" w:afterLines="40" w:after="96" w:line="200" w:lineRule="atLeast"/>
              <w:jc w:val="right"/>
              <w:rPr>
                <w:rFonts w:eastAsia="Times New Roman"/>
                <w:b/>
                <w:iCs/>
                <w:color w:val="auto"/>
                <w:sz w:val="17"/>
                <w:szCs w:val="17"/>
              </w:rPr>
            </w:pPr>
          </w:p>
        </w:tc>
      </w:tr>
      <w:tr w:rsidR="00101819" w:rsidRPr="003B0793" w14:paraId="51CAEDDA" w14:textId="77777777" w:rsidTr="0026365F">
        <w:tc>
          <w:tcPr>
            <w:tcW w:w="7525" w:type="dxa"/>
          </w:tcPr>
          <w:p w14:paraId="4903ADCD" w14:textId="77777777" w:rsidR="00101819" w:rsidRPr="00AE18A4" w:rsidRDefault="00101819" w:rsidP="00AE18A4">
            <w:pPr>
              <w:spacing w:beforeLines="40" w:before="96" w:afterLines="40" w:after="96" w:line="200" w:lineRule="atLeast"/>
              <w:rPr>
                <w:rFonts w:eastAsia="Times New Roman"/>
                <w:iCs/>
                <w:color w:val="auto"/>
                <w:sz w:val="17"/>
                <w:szCs w:val="17"/>
              </w:rPr>
            </w:pPr>
            <w:r w:rsidRPr="00AE18A4">
              <w:rPr>
                <w:rFonts w:eastAsia="Times New Roman"/>
                <w:iCs/>
                <w:color w:val="auto"/>
                <w:sz w:val="17"/>
                <w:szCs w:val="17"/>
              </w:rPr>
              <w:t>Supporting stability</w:t>
            </w:r>
          </w:p>
        </w:tc>
        <w:tc>
          <w:tcPr>
            <w:tcW w:w="944" w:type="dxa"/>
          </w:tcPr>
          <w:p w14:paraId="2D2F5F8D"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w:t>
            </w:r>
            <w:r w:rsidR="00477BA4" w:rsidRPr="00AE18A4">
              <w:rPr>
                <w:rFonts w:eastAsia="Times New Roman"/>
                <w:iCs/>
                <w:color w:val="auto"/>
                <w:sz w:val="17"/>
                <w:szCs w:val="17"/>
              </w:rPr>
              <w:t>25.2</w:t>
            </w:r>
          </w:p>
        </w:tc>
        <w:tc>
          <w:tcPr>
            <w:tcW w:w="1385" w:type="dxa"/>
          </w:tcPr>
          <w:p w14:paraId="0D71620B" w14:textId="77777777" w:rsidR="00101819" w:rsidRPr="00AE18A4" w:rsidRDefault="00477BA4"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14.8</w:t>
            </w:r>
            <w:r w:rsidR="00101819" w:rsidRPr="00AE18A4">
              <w:rPr>
                <w:rFonts w:eastAsia="Times New Roman"/>
                <w:iCs/>
                <w:color w:val="auto"/>
                <w:sz w:val="17"/>
                <w:szCs w:val="17"/>
              </w:rPr>
              <w:t>%</w:t>
            </w:r>
          </w:p>
        </w:tc>
      </w:tr>
      <w:tr w:rsidR="00101819" w:rsidRPr="003B0793" w14:paraId="21816A8D" w14:textId="77777777" w:rsidTr="0026365F">
        <w:tc>
          <w:tcPr>
            <w:tcW w:w="7525" w:type="dxa"/>
          </w:tcPr>
          <w:p w14:paraId="7113A453" w14:textId="77777777" w:rsidR="00101819" w:rsidRPr="00AE18A4" w:rsidRDefault="00101819" w:rsidP="00AE18A4">
            <w:pPr>
              <w:spacing w:beforeLines="40" w:before="96" w:afterLines="40" w:after="96" w:line="200" w:lineRule="atLeast"/>
              <w:rPr>
                <w:rFonts w:eastAsia="Times New Roman"/>
                <w:iCs/>
                <w:color w:val="auto"/>
                <w:sz w:val="17"/>
                <w:szCs w:val="17"/>
              </w:rPr>
            </w:pPr>
            <w:r w:rsidRPr="00AE18A4">
              <w:rPr>
                <w:rFonts w:eastAsia="Times New Roman"/>
                <w:iCs/>
                <w:color w:val="auto"/>
                <w:sz w:val="17"/>
                <w:szCs w:val="17"/>
              </w:rPr>
              <w:t>Enabling economic growth</w:t>
            </w:r>
          </w:p>
        </w:tc>
        <w:tc>
          <w:tcPr>
            <w:tcW w:w="944" w:type="dxa"/>
          </w:tcPr>
          <w:p w14:paraId="19940615"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$27</w:t>
            </w:r>
            <w:r w:rsidR="00547517" w:rsidRPr="00AE18A4">
              <w:rPr>
                <w:rFonts w:eastAsia="Times New Roman"/>
                <w:iCs/>
                <w:color w:val="auto"/>
                <w:sz w:val="17"/>
                <w:szCs w:val="17"/>
              </w:rPr>
              <w:t>.</w:t>
            </w:r>
            <w:r w:rsidR="002A44CF" w:rsidRPr="00AE18A4">
              <w:rPr>
                <w:rFonts w:eastAsia="Times New Roman"/>
                <w:iCs/>
                <w:color w:val="auto"/>
                <w:sz w:val="17"/>
                <w:szCs w:val="17"/>
              </w:rPr>
              <w:t>9</w:t>
            </w:r>
          </w:p>
        </w:tc>
        <w:tc>
          <w:tcPr>
            <w:tcW w:w="1385" w:type="dxa"/>
          </w:tcPr>
          <w:p w14:paraId="5EBA05E7"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1</w:t>
            </w:r>
            <w:r w:rsidR="00547517" w:rsidRPr="00AE18A4">
              <w:rPr>
                <w:rFonts w:eastAsia="Times New Roman"/>
                <w:iCs/>
                <w:color w:val="auto"/>
                <w:sz w:val="17"/>
                <w:szCs w:val="17"/>
              </w:rPr>
              <w:t>6</w:t>
            </w:r>
            <w:r w:rsidR="00477BA4" w:rsidRPr="00AE18A4">
              <w:rPr>
                <w:rFonts w:eastAsia="Times New Roman"/>
                <w:iCs/>
                <w:color w:val="auto"/>
                <w:sz w:val="17"/>
                <w:szCs w:val="17"/>
              </w:rPr>
              <w:t>.4</w:t>
            </w:r>
            <w:r w:rsidRPr="00AE18A4">
              <w:rPr>
                <w:rFonts w:eastAsia="Times New Roman"/>
                <w:iCs/>
                <w:color w:val="auto"/>
                <w:sz w:val="17"/>
                <w:szCs w:val="17"/>
              </w:rPr>
              <w:t>%</w:t>
            </w:r>
          </w:p>
        </w:tc>
      </w:tr>
      <w:tr w:rsidR="00101819" w:rsidRPr="003B0793" w14:paraId="55C22E92" w14:textId="77777777" w:rsidTr="0026365F">
        <w:tc>
          <w:tcPr>
            <w:tcW w:w="7525" w:type="dxa"/>
          </w:tcPr>
          <w:p w14:paraId="7CE171D2" w14:textId="77777777" w:rsidR="00101819" w:rsidRPr="00AE18A4" w:rsidRDefault="00101819" w:rsidP="00AE18A4">
            <w:pPr>
              <w:spacing w:beforeLines="40" w:before="96" w:afterLines="40" w:after="96" w:line="200" w:lineRule="atLeast"/>
              <w:rPr>
                <w:rFonts w:eastAsia="Times New Roman"/>
                <w:iCs/>
                <w:color w:val="auto"/>
                <w:sz w:val="17"/>
                <w:szCs w:val="17"/>
              </w:rPr>
            </w:pPr>
            <w:r w:rsidRPr="00AE18A4">
              <w:rPr>
                <w:rFonts w:eastAsia="Times New Roman"/>
                <w:iCs/>
                <w:color w:val="auto"/>
                <w:sz w:val="17"/>
                <w:szCs w:val="17"/>
              </w:rPr>
              <w:t>Enhancing human development</w:t>
            </w:r>
          </w:p>
        </w:tc>
        <w:tc>
          <w:tcPr>
            <w:tcW w:w="944" w:type="dxa"/>
          </w:tcPr>
          <w:p w14:paraId="6FD873E1"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$3</w:t>
            </w:r>
            <w:r w:rsidR="002A44CF" w:rsidRPr="00AE18A4">
              <w:rPr>
                <w:rFonts w:eastAsia="Times New Roman"/>
                <w:iCs/>
                <w:color w:val="auto"/>
                <w:sz w:val="17"/>
                <w:szCs w:val="17"/>
              </w:rPr>
              <w:t>8</w:t>
            </w:r>
            <w:r w:rsidR="0023096B" w:rsidRPr="00AE18A4">
              <w:rPr>
                <w:rFonts w:eastAsia="Times New Roman"/>
                <w:iCs/>
                <w:color w:val="auto"/>
                <w:sz w:val="17"/>
                <w:szCs w:val="17"/>
              </w:rPr>
              <w:t>.0</w:t>
            </w:r>
          </w:p>
        </w:tc>
        <w:tc>
          <w:tcPr>
            <w:tcW w:w="1385" w:type="dxa"/>
          </w:tcPr>
          <w:p w14:paraId="5DE282D6"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2</w:t>
            </w:r>
            <w:r w:rsidR="002A44CF" w:rsidRPr="00AE18A4">
              <w:rPr>
                <w:rFonts w:eastAsia="Times New Roman"/>
                <w:iCs/>
                <w:color w:val="auto"/>
                <w:sz w:val="17"/>
                <w:szCs w:val="17"/>
              </w:rPr>
              <w:t>2</w:t>
            </w:r>
            <w:r w:rsidR="00477BA4" w:rsidRPr="00AE18A4">
              <w:rPr>
                <w:rFonts w:eastAsia="Times New Roman"/>
                <w:iCs/>
                <w:color w:val="auto"/>
                <w:sz w:val="17"/>
                <w:szCs w:val="17"/>
              </w:rPr>
              <w:t>.3</w:t>
            </w:r>
            <w:r w:rsidRPr="00AE18A4">
              <w:rPr>
                <w:rFonts w:eastAsia="Times New Roman"/>
                <w:iCs/>
                <w:color w:val="auto"/>
                <w:sz w:val="17"/>
                <w:szCs w:val="17"/>
              </w:rPr>
              <w:t>%</w:t>
            </w:r>
          </w:p>
        </w:tc>
      </w:tr>
      <w:tr w:rsidR="00101819" w:rsidRPr="003B0793" w14:paraId="5178E49F" w14:textId="77777777" w:rsidTr="0026365F">
        <w:tc>
          <w:tcPr>
            <w:tcW w:w="7525" w:type="dxa"/>
            <w:shd w:val="clear" w:color="auto" w:fill="D9D9D9" w:themeFill="background1" w:themeFillShade="D9"/>
          </w:tcPr>
          <w:p w14:paraId="15818749" w14:textId="77777777" w:rsidR="00101819" w:rsidRPr="00AE18A4" w:rsidRDefault="00101819" w:rsidP="00AE18A4">
            <w:pPr>
              <w:spacing w:beforeLines="40" w:before="96" w:afterLines="40" w:after="96" w:line="200" w:lineRule="atLeast"/>
              <w:rPr>
                <w:rFonts w:eastAsia="Times New Roman"/>
                <w:b/>
                <w:iCs/>
                <w:color w:val="auto"/>
                <w:sz w:val="17"/>
                <w:szCs w:val="17"/>
              </w:rPr>
            </w:pPr>
            <w:r w:rsidRPr="00AE18A4">
              <w:rPr>
                <w:rFonts w:eastAsia="Times New Roman"/>
                <w:b/>
                <w:iCs/>
                <w:color w:val="auto"/>
                <w:sz w:val="17"/>
                <w:szCs w:val="17"/>
              </w:rPr>
              <w:t>Sub-Total Bilateral</w:t>
            </w:r>
          </w:p>
        </w:tc>
        <w:tc>
          <w:tcPr>
            <w:tcW w:w="944" w:type="dxa"/>
            <w:shd w:val="clear" w:color="auto" w:fill="D9D9D9" w:themeFill="background1" w:themeFillShade="D9"/>
          </w:tcPr>
          <w:p w14:paraId="252FB2BE" w14:textId="77777777" w:rsidR="00101819" w:rsidRPr="00AE18A4" w:rsidRDefault="00477BA4"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$91.1</w:t>
            </w:r>
          </w:p>
        </w:tc>
        <w:tc>
          <w:tcPr>
            <w:tcW w:w="1385" w:type="dxa"/>
            <w:shd w:val="clear" w:color="auto" w:fill="D9D9D9" w:themeFill="background1" w:themeFillShade="D9"/>
          </w:tcPr>
          <w:p w14:paraId="31E8F7D8" w14:textId="77777777" w:rsidR="00101819" w:rsidRPr="00AE18A4" w:rsidRDefault="00477BA4"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53%</w:t>
            </w:r>
          </w:p>
        </w:tc>
      </w:tr>
      <w:tr w:rsidR="00101819" w:rsidRPr="003B0793" w14:paraId="3432D6DF" w14:textId="77777777" w:rsidTr="0026365F">
        <w:tc>
          <w:tcPr>
            <w:tcW w:w="7525" w:type="dxa"/>
          </w:tcPr>
          <w:p w14:paraId="25E788B9" w14:textId="77777777" w:rsidR="00101819" w:rsidRPr="00AE18A4" w:rsidRDefault="00101819" w:rsidP="00AE18A4">
            <w:pPr>
              <w:spacing w:beforeLines="40" w:before="96" w:afterLines="40" w:after="96" w:line="200" w:lineRule="atLeast"/>
              <w:rPr>
                <w:rFonts w:eastAsia="Times New Roman"/>
                <w:iCs/>
                <w:color w:val="auto"/>
                <w:sz w:val="17"/>
                <w:szCs w:val="17"/>
              </w:rPr>
            </w:pPr>
            <w:r w:rsidRPr="00AE18A4">
              <w:rPr>
                <w:rFonts w:eastAsia="Times New Roman"/>
                <w:iCs/>
                <w:color w:val="auto"/>
                <w:sz w:val="17"/>
                <w:szCs w:val="17"/>
              </w:rPr>
              <w:t>Regional and Global</w:t>
            </w:r>
          </w:p>
        </w:tc>
        <w:tc>
          <w:tcPr>
            <w:tcW w:w="944" w:type="dxa"/>
          </w:tcPr>
          <w:p w14:paraId="3E74D655"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$24.</w:t>
            </w:r>
            <w:r w:rsidR="000D0DEC" w:rsidRPr="00AE18A4">
              <w:rPr>
                <w:rFonts w:eastAsia="Times New Roman"/>
                <w:iCs/>
                <w:color w:val="auto"/>
                <w:sz w:val="17"/>
                <w:szCs w:val="17"/>
              </w:rPr>
              <w:t>3</w:t>
            </w:r>
          </w:p>
        </w:tc>
        <w:tc>
          <w:tcPr>
            <w:tcW w:w="1385" w:type="dxa"/>
          </w:tcPr>
          <w:p w14:paraId="234F4C67"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1</w:t>
            </w:r>
            <w:r w:rsidR="00A23783" w:rsidRPr="00AE18A4">
              <w:rPr>
                <w:rFonts w:eastAsia="Times New Roman"/>
                <w:iCs/>
                <w:color w:val="auto"/>
                <w:sz w:val="17"/>
                <w:szCs w:val="17"/>
              </w:rPr>
              <w:t>4</w:t>
            </w:r>
            <w:r w:rsidR="00477BA4" w:rsidRPr="00AE18A4">
              <w:rPr>
                <w:rFonts w:eastAsia="Times New Roman"/>
                <w:iCs/>
                <w:color w:val="auto"/>
                <w:sz w:val="17"/>
                <w:szCs w:val="17"/>
              </w:rPr>
              <w:t>.2</w:t>
            </w:r>
            <w:r w:rsidRPr="00AE18A4">
              <w:rPr>
                <w:rFonts w:eastAsia="Times New Roman"/>
                <w:iCs/>
                <w:color w:val="auto"/>
                <w:sz w:val="17"/>
                <w:szCs w:val="17"/>
              </w:rPr>
              <w:t>%</w:t>
            </w:r>
          </w:p>
        </w:tc>
      </w:tr>
      <w:tr w:rsidR="00101819" w:rsidRPr="003B0793" w14:paraId="38BD80BC" w14:textId="77777777" w:rsidTr="0026365F">
        <w:tc>
          <w:tcPr>
            <w:tcW w:w="7525" w:type="dxa"/>
          </w:tcPr>
          <w:p w14:paraId="1D69FF7B" w14:textId="77777777" w:rsidR="00101819" w:rsidRPr="00AE18A4" w:rsidRDefault="00101819" w:rsidP="00AE18A4">
            <w:pPr>
              <w:spacing w:beforeLines="40" w:before="96" w:afterLines="40" w:after="96" w:line="200" w:lineRule="atLeast"/>
              <w:rPr>
                <w:rFonts w:eastAsia="Times New Roman"/>
                <w:iCs/>
                <w:color w:val="auto"/>
                <w:sz w:val="17"/>
                <w:szCs w:val="17"/>
              </w:rPr>
            </w:pPr>
            <w:r w:rsidRPr="00AE18A4">
              <w:rPr>
                <w:rFonts w:eastAsia="Times New Roman"/>
                <w:iCs/>
                <w:color w:val="auto"/>
                <w:sz w:val="17"/>
                <w:szCs w:val="17"/>
              </w:rPr>
              <w:t>Other Government Departments</w:t>
            </w:r>
            <w:r w:rsidR="00477BA4" w:rsidRPr="00AE18A4">
              <w:rPr>
                <w:rFonts w:eastAsia="Times New Roman"/>
                <w:iCs/>
                <w:color w:val="auto"/>
                <w:sz w:val="17"/>
                <w:szCs w:val="17"/>
              </w:rPr>
              <w:t xml:space="preserve"> (include</w:t>
            </w:r>
            <w:r w:rsidR="001B1C9B" w:rsidRPr="00AE18A4">
              <w:rPr>
                <w:rFonts w:eastAsia="Times New Roman"/>
                <w:iCs/>
                <w:color w:val="auto"/>
                <w:sz w:val="17"/>
                <w:szCs w:val="17"/>
              </w:rPr>
              <w:t>s</w:t>
            </w:r>
            <w:r w:rsidR="00477BA4" w:rsidRPr="00AE18A4">
              <w:rPr>
                <w:rFonts w:eastAsia="Times New Roman"/>
                <w:iCs/>
                <w:color w:val="auto"/>
                <w:sz w:val="17"/>
                <w:szCs w:val="17"/>
              </w:rPr>
              <w:t xml:space="preserve"> $53.9</w:t>
            </w:r>
            <w:r w:rsidR="001B1C9B" w:rsidRPr="00AE18A4">
              <w:rPr>
                <w:rFonts w:eastAsia="Times New Roman"/>
                <w:iCs/>
                <w:color w:val="auto"/>
                <w:sz w:val="17"/>
                <w:szCs w:val="17"/>
              </w:rPr>
              <w:t>m</w:t>
            </w:r>
            <w:r w:rsidR="00477BA4" w:rsidRPr="00AE18A4">
              <w:rPr>
                <w:rFonts w:eastAsia="Times New Roman"/>
                <w:iCs/>
                <w:color w:val="auto"/>
                <w:sz w:val="17"/>
                <w:szCs w:val="17"/>
              </w:rPr>
              <w:t xml:space="preserve"> RAMSI policing)</w:t>
            </w:r>
          </w:p>
        </w:tc>
        <w:tc>
          <w:tcPr>
            <w:tcW w:w="944" w:type="dxa"/>
          </w:tcPr>
          <w:p w14:paraId="067ADCB1" w14:textId="77777777" w:rsidR="00101819" w:rsidRPr="00AE18A4" w:rsidRDefault="00101819"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w:t>
            </w:r>
            <w:r w:rsidR="00477BA4" w:rsidRPr="00AE18A4">
              <w:rPr>
                <w:rFonts w:eastAsia="Times New Roman"/>
                <w:iCs/>
                <w:color w:val="auto"/>
                <w:sz w:val="17"/>
                <w:szCs w:val="17"/>
              </w:rPr>
              <w:t>54.8</w:t>
            </w:r>
          </w:p>
        </w:tc>
        <w:tc>
          <w:tcPr>
            <w:tcW w:w="1385" w:type="dxa"/>
          </w:tcPr>
          <w:p w14:paraId="32711EF6" w14:textId="77777777" w:rsidR="00101819" w:rsidRPr="00AE18A4" w:rsidRDefault="00477BA4"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32.2</w:t>
            </w:r>
            <w:r w:rsidR="00101819" w:rsidRPr="00AE18A4">
              <w:rPr>
                <w:rFonts w:eastAsia="Times New Roman"/>
                <w:iCs/>
                <w:color w:val="auto"/>
                <w:sz w:val="17"/>
                <w:szCs w:val="17"/>
              </w:rPr>
              <w:t>%</w:t>
            </w:r>
          </w:p>
        </w:tc>
      </w:tr>
      <w:tr w:rsidR="004A2314" w:rsidRPr="003B0793" w14:paraId="1FC249C1" w14:textId="77777777" w:rsidTr="0026365F">
        <w:tc>
          <w:tcPr>
            <w:tcW w:w="7525" w:type="dxa"/>
            <w:shd w:val="clear" w:color="auto" w:fill="D9D9D9" w:themeFill="background1" w:themeFillShade="D9"/>
          </w:tcPr>
          <w:p w14:paraId="59007D12" w14:textId="77777777" w:rsidR="004A2314" w:rsidRPr="00AE18A4" w:rsidRDefault="004A2314" w:rsidP="00AE18A4">
            <w:pPr>
              <w:spacing w:beforeLines="40" w:before="96" w:afterLines="40" w:after="96" w:line="200" w:lineRule="atLeast"/>
              <w:rPr>
                <w:rFonts w:eastAsia="Times New Roman"/>
                <w:b/>
                <w:iCs/>
                <w:color w:val="auto"/>
                <w:sz w:val="17"/>
                <w:szCs w:val="17"/>
              </w:rPr>
            </w:pPr>
            <w:r w:rsidRPr="00AE18A4">
              <w:rPr>
                <w:rFonts w:eastAsia="Times New Roman"/>
                <w:b/>
                <w:iCs/>
                <w:color w:val="auto"/>
                <w:sz w:val="17"/>
                <w:szCs w:val="17"/>
              </w:rPr>
              <w:t>Total ODA Expenditure</w:t>
            </w:r>
          </w:p>
        </w:tc>
        <w:tc>
          <w:tcPr>
            <w:tcW w:w="944" w:type="dxa"/>
            <w:shd w:val="clear" w:color="auto" w:fill="D9D9D9" w:themeFill="background1" w:themeFillShade="D9"/>
          </w:tcPr>
          <w:p w14:paraId="02CAEE0A" w14:textId="77777777" w:rsidR="004A2314" w:rsidRPr="00AE18A4" w:rsidRDefault="004A2314"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$170.2</w:t>
            </w:r>
          </w:p>
        </w:tc>
        <w:tc>
          <w:tcPr>
            <w:tcW w:w="1385" w:type="dxa"/>
            <w:shd w:val="clear" w:color="auto" w:fill="D9D9D9" w:themeFill="background1" w:themeFillShade="D9"/>
          </w:tcPr>
          <w:p w14:paraId="3E1AA896" w14:textId="77777777" w:rsidR="004A2314" w:rsidRPr="00AE18A4" w:rsidRDefault="004A2314" w:rsidP="00AE18A4">
            <w:pPr>
              <w:spacing w:beforeLines="40" w:before="96" w:afterLines="40" w:after="96" w:line="200" w:lineRule="atLeast"/>
              <w:jc w:val="right"/>
              <w:rPr>
                <w:rFonts w:eastAsia="Times New Roman"/>
                <w:iCs/>
                <w:color w:val="auto"/>
                <w:sz w:val="17"/>
                <w:szCs w:val="17"/>
              </w:rPr>
            </w:pPr>
            <w:r w:rsidRPr="00AE18A4">
              <w:rPr>
                <w:rFonts w:eastAsia="Times New Roman"/>
                <w:iCs/>
                <w:color w:val="auto"/>
                <w:sz w:val="17"/>
                <w:szCs w:val="17"/>
              </w:rPr>
              <w:t>100%</w:t>
            </w:r>
          </w:p>
        </w:tc>
      </w:tr>
    </w:tbl>
    <w:p w14:paraId="7B9431A0" w14:textId="77777777" w:rsidR="004E3731" w:rsidRDefault="00E57D2F"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noProof/>
        </w:rPr>
        <w:drawing>
          <wp:anchor distT="0" distB="0" distL="114300" distR="114300" simplePos="0" relativeHeight="251689984" behindDoc="0" locked="0" layoutInCell="1" allowOverlap="1" wp14:anchorId="6670356F" wp14:editId="1C8BFECA">
            <wp:simplePos x="0" y="0"/>
            <wp:positionH relativeFrom="column">
              <wp:posOffset>424815</wp:posOffset>
            </wp:positionH>
            <wp:positionV relativeFrom="paragraph">
              <wp:posOffset>280035</wp:posOffset>
            </wp:positionV>
            <wp:extent cx="5248275" cy="3275330"/>
            <wp:effectExtent l="0" t="0" r="9525" b="127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F40B005" w14:textId="77777777" w:rsidR="004E3731" w:rsidRDefault="004E373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6FADBB68" w14:textId="77777777"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Progress towards Objectives</w:t>
      </w:r>
    </w:p>
    <w:p w14:paraId="76FB6DE7" w14:textId="55E75DF5"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B34E04">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32" w:type="pct"/>
        <w:tblLook w:val="0000" w:firstRow="0" w:lastRow="0" w:firstColumn="0" w:lastColumn="0" w:noHBand="0" w:noVBand="0"/>
      </w:tblPr>
      <w:tblGrid>
        <w:gridCol w:w="6777"/>
        <w:gridCol w:w="1455"/>
        <w:gridCol w:w="1275"/>
      </w:tblGrid>
      <w:tr w:rsidR="0033678E" w:rsidRPr="003B0793" w14:paraId="2BBCE0E0" w14:textId="77777777" w:rsidTr="00415A28">
        <w:trPr>
          <w:cnfStyle w:val="000000010000" w:firstRow="0" w:lastRow="0" w:firstColumn="0" w:lastColumn="0" w:oddVBand="0" w:evenVBand="0" w:oddHBand="0" w:evenHBand="1" w:firstRowFirstColumn="0" w:firstRowLastColumn="0" w:lastRowFirstColumn="0" w:lastRowLastColumn="0"/>
          <w:trHeight w:val="462"/>
        </w:trPr>
        <w:tc>
          <w:tcPr>
            <w:tcW w:w="7003" w:type="dxa"/>
          </w:tcPr>
          <w:p w14:paraId="26B43121" w14:textId="77777777" w:rsidR="0033678E" w:rsidRPr="00AE18A4" w:rsidRDefault="0033678E" w:rsidP="00D15A00">
            <w:pPr>
              <w:keepLines/>
              <w:spacing w:before="80" w:after="80" w:line="200" w:lineRule="atLeast"/>
              <w:rPr>
                <w:rFonts w:ascii="Helvetica" w:eastAsia="Times New Roman" w:hAnsi="Helvetica"/>
                <w:b/>
                <w:iCs/>
                <w:szCs w:val="17"/>
              </w:rPr>
            </w:pPr>
            <w:r w:rsidRPr="00AE18A4">
              <w:rPr>
                <w:rFonts w:ascii="Helvetica" w:eastAsia="Times New Roman" w:hAnsi="Helvetica"/>
                <w:b/>
                <w:iCs/>
                <w:noProof/>
                <w:szCs w:val="17"/>
                <w:lang w:val="en-AU"/>
              </w:rPr>
              <w:drawing>
                <wp:anchor distT="0" distB="0" distL="114300" distR="114300" simplePos="0" relativeHeight="251688960" behindDoc="0" locked="0" layoutInCell="1" allowOverlap="1" wp14:anchorId="28122769" wp14:editId="5B7EB332">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8A4">
              <w:rPr>
                <w:rFonts w:ascii="Helvetica" w:eastAsia="Times New Roman" w:hAnsi="Helvetica"/>
                <w:b/>
                <w:iCs/>
                <w:szCs w:val="17"/>
              </w:rPr>
              <w:t>Objective</w:t>
            </w:r>
          </w:p>
        </w:tc>
        <w:tc>
          <w:tcPr>
            <w:tcW w:w="1427" w:type="dxa"/>
          </w:tcPr>
          <w:p w14:paraId="69CD7C5A" w14:textId="77777777" w:rsidR="0033678E" w:rsidRPr="00AE18A4" w:rsidRDefault="0033678E" w:rsidP="003B0793">
            <w:pPr>
              <w:keepLines/>
              <w:spacing w:before="80" w:after="80" w:line="200" w:lineRule="atLeast"/>
              <w:jc w:val="center"/>
              <w:rPr>
                <w:rFonts w:ascii="Helvetica" w:eastAsia="Times New Roman" w:hAnsi="Helvetica"/>
                <w:b/>
                <w:iCs/>
                <w:szCs w:val="17"/>
              </w:rPr>
            </w:pPr>
            <w:r w:rsidRPr="00AE18A4">
              <w:rPr>
                <w:rFonts w:ascii="Helvetica" w:eastAsia="Times New Roman" w:hAnsi="Helvetica"/>
                <w:b/>
                <w:iCs/>
                <w:szCs w:val="17"/>
              </w:rPr>
              <w:t>Previous Rating*</w:t>
            </w:r>
          </w:p>
        </w:tc>
        <w:tc>
          <w:tcPr>
            <w:tcW w:w="1233" w:type="dxa"/>
          </w:tcPr>
          <w:p w14:paraId="0B287FD6" w14:textId="77777777" w:rsidR="0033678E" w:rsidRPr="00AE18A4" w:rsidRDefault="0033678E" w:rsidP="003B0793">
            <w:pPr>
              <w:keepLines/>
              <w:spacing w:before="80" w:after="80" w:line="200" w:lineRule="atLeast"/>
              <w:jc w:val="center"/>
              <w:rPr>
                <w:rFonts w:ascii="Helvetica" w:eastAsia="Times New Roman" w:hAnsi="Helvetica"/>
                <w:b/>
                <w:iCs/>
                <w:szCs w:val="17"/>
              </w:rPr>
            </w:pPr>
            <w:r w:rsidRPr="00AE18A4">
              <w:rPr>
                <w:rFonts w:ascii="Helvetica" w:eastAsia="Times New Roman" w:hAnsi="Helvetica"/>
                <w:b/>
                <w:iCs/>
                <w:szCs w:val="17"/>
              </w:rPr>
              <w:t>Current Rating</w:t>
            </w:r>
          </w:p>
        </w:tc>
      </w:tr>
      <w:tr w:rsidR="0033678E" w:rsidRPr="003B0793" w14:paraId="3069FA42" w14:textId="77777777" w:rsidTr="0033678E">
        <w:trPr>
          <w:cnfStyle w:val="000000010000" w:firstRow="0" w:lastRow="0" w:firstColumn="0" w:lastColumn="0" w:oddVBand="0" w:evenVBand="0" w:oddHBand="0" w:evenHBand="1" w:firstRowFirstColumn="0" w:firstRowLastColumn="0" w:lastRowFirstColumn="0" w:lastRowLastColumn="0"/>
        </w:trPr>
        <w:tc>
          <w:tcPr>
            <w:tcW w:w="7003" w:type="dxa"/>
          </w:tcPr>
          <w:p w14:paraId="080BCAB1" w14:textId="77777777" w:rsidR="0033678E" w:rsidRPr="00AE18A4" w:rsidRDefault="00070D0C" w:rsidP="00AE18A4">
            <w:pPr>
              <w:spacing w:beforeLines="40" w:before="96" w:afterLines="40" w:after="96" w:line="200" w:lineRule="atLeast"/>
              <w:rPr>
                <w:rFonts w:asciiTheme="minorHAnsi" w:eastAsia="Times New Roman" w:hAnsiTheme="minorHAnsi"/>
                <w:iCs/>
                <w:color w:val="auto"/>
                <w:szCs w:val="17"/>
                <w:lang w:eastAsia="en-US"/>
              </w:rPr>
            </w:pPr>
            <w:r w:rsidRPr="00AE18A4">
              <w:rPr>
                <w:rFonts w:asciiTheme="minorHAnsi" w:eastAsia="Times New Roman" w:hAnsiTheme="minorHAnsi"/>
                <w:b/>
                <w:iCs/>
                <w:color w:val="auto"/>
                <w:szCs w:val="17"/>
                <w:lang w:eastAsia="en-US"/>
              </w:rPr>
              <w:t xml:space="preserve">1. </w:t>
            </w:r>
            <w:r w:rsidR="0033678E" w:rsidRPr="00AE18A4">
              <w:rPr>
                <w:rFonts w:asciiTheme="minorHAnsi" w:eastAsia="Times New Roman" w:hAnsiTheme="minorHAnsi"/>
                <w:b/>
                <w:iCs/>
                <w:color w:val="auto"/>
                <w:szCs w:val="17"/>
                <w:lang w:eastAsia="en-US"/>
              </w:rPr>
              <w:t xml:space="preserve">Supporting stability </w:t>
            </w:r>
            <w:r w:rsidR="00BE4C22" w:rsidRPr="00AE18A4">
              <w:rPr>
                <w:rFonts w:asciiTheme="minorHAnsi" w:eastAsia="Times New Roman" w:hAnsiTheme="minorHAnsi"/>
                <w:b/>
                <w:iCs/>
                <w:color w:val="auto"/>
                <w:szCs w:val="17"/>
                <w:lang w:eastAsia="en-US"/>
              </w:rPr>
              <w:t>–</w:t>
            </w:r>
            <w:r w:rsidR="0033678E" w:rsidRPr="00AE18A4">
              <w:rPr>
                <w:rFonts w:asciiTheme="minorHAnsi" w:eastAsia="Times New Roman" w:hAnsiTheme="minorHAnsi"/>
                <w:iCs/>
                <w:color w:val="auto"/>
                <w:szCs w:val="17"/>
                <w:lang w:eastAsia="en-US"/>
              </w:rPr>
              <w:t xml:space="preserve"> </w:t>
            </w:r>
            <w:r w:rsidR="00CC4579" w:rsidRPr="00AE18A4">
              <w:rPr>
                <w:rFonts w:asciiTheme="minorHAnsi" w:eastAsia="Times New Roman" w:hAnsiTheme="minorHAnsi"/>
                <w:iCs/>
                <w:color w:val="auto"/>
                <w:szCs w:val="17"/>
                <w:lang w:eastAsia="en-US"/>
              </w:rPr>
              <w:t>Solomon</w:t>
            </w:r>
            <w:r w:rsidR="00BE4C22" w:rsidRPr="00AE18A4">
              <w:rPr>
                <w:rFonts w:asciiTheme="minorHAnsi" w:eastAsia="Times New Roman" w:hAnsiTheme="minorHAnsi"/>
                <w:iCs/>
                <w:color w:val="auto"/>
                <w:szCs w:val="17"/>
                <w:lang w:eastAsia="en-US"/>
              </w:rPr>
              <w:t xml:space="preserve"> </w:t>
            </w:r>
            <w:r w:rsidR="00CC4579" w:rsidRPr="00AE18A4">
              <w:rPr>
                <w:rFonts w:asciiTheme="minorHAnsi" w:eastAsia="Times New Roman" w:hAnsiTheme="minorHAnsi"/>
                <w:iCs/>
                <w:color w:val="auto"/>
                <w:szCs w:val="17"/>
                <w:lang w:eastAsia="en-US"/>
              </w:rPr>
              <w:t>Islanders increasingly benefit from a functioning, economically stable state and a secure environment</w:t>
            </w:r>
            <w:r w:rsidR="00AE18A4">
              <w:rPr>
                <w:rFonts w:asciiTheme="minorHAnsi" w:eastAsia="Times New Roman" w:hAnsiTheme="minorHAnsi"/>
                <w:iCs/>
                <w:color w:val="auto"/>
                <w:szCs w:val="17"/>
                <w:lang w:eastAsia="en-US"/>
              </w:rPr>
              <w:t>.</w:t>
            </w:r>
          </w:p>
        </w:tc>
        <w:tc>
          <w:tcPr>
            <w:tcW w:w="1427" w:type="dxa"/>
            <w:shd w:val="clear" w:color="auto" w:fill="auto"/>
            <w:noWrap/>
          </w:tcPr>
          <w:p w14:paraId="476BAF8F" w14:textId="77777777" w:rsidR="0033678E" w:rsidRPr="00AE18A4" w:rsidRDefault="00AE18A4" w:rsidP="00AE18A4">
            <w:pPr>
              <w:spacing w:beforeLines="40" w:before="96" w:afterLines="40" w:after="96" w:line="200" w:lineRule="atLeast"/>
              <w:jc w:val="center"/>
              <w:rPr>
                <w:rFonts w:asciiTheme="minorHAnsi" w:eastAsia="Times New Roman" w:hAnsiTheme="minorHAnsi"/>
                <w:iCs/>
                <w:color w:val="auto"/>
                <w:szCs w:val="17"/>
                <w:lang w:eastAsia="en-US"/>
              </w:rPr>
            </w:pPr>
            <w:r w:rsidRPr="00AE18A4">
              <w:rPr>
                <w:rFonts w:asciiTheme="minorHAnsi" w:eastAsia="Times New Roman" w:hAnsiTheme="minorHAnsi"/>
                <w:iCs/>
                <w:color w:val="auto"/>
                <w:szCs w:val="17"/>
                <w:lang w:eastAsia="en-US"/>
              </w:rPr>
              <w:t>N/A</w:t>
            </w:r>
          </w:p>
        </w:tc>
        <w:tc>
          <w:tcPr>
            <w:tcW w:w="1233" w:type="dxa"/>
            <w:shd w:val="clear" w:color="auto" w:fill="72AF2F"/>
            <w:noWrap/>
          </w:tcPr>
          <w:p w14:paraId="093AD0D4" w14:textId="77777777" w:rsidR="0033678E" w:rsidRPr="003B0793" w:rsidRDefault="0033678E"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r w:rsidR="0033678E" w:rsidRPr="003B0793" w14:paraId="03B2F755" w14:textId="77777777" w:rsidTr="0033678E">
        <w:trPr>
          <w:cnfStyle w:val="000000010000" w:firstRow="0" w:lastRow="0" w:firstColumn="0" w:lastColumn="0" w:oddVBand="0" w:evenVBand="0" w:oddHBand="0" w:evenHBand="1" w:firstRowFirstColumn="0" w:firstRowLastColumn="0" w:lastRowFirstColumn="0" w:lastRowLastColumn="0"/>
        </w:trPr>
        <w:tc>
          <w:tcPr>
            <w:tcW w:w="7003" w:type="dxa"/>
          </w:tcPr>
          <w:p w14:paraId="6CB27404" w14:textId="77777777" w:rsidR="0033678E" w:rsidRPr="00AE18A4" w:rsidRDefault="00070D0C" w:rsidP="00AE18A4">
            <w:pPr>
              <w:spacing w:beforeLines="40" w:before="96" w:afterLines="40" w:after="96" w:line="200" w:lineRule="atLeast"/>
              <w:rPr>
                <w:rFonts w:asciiTheme="minorHAnsi" w:eastAsia="Times New Roman" w:hAnsiTheme="minorHAnsi"/>
                <w:iCs/>
                <w:color w:val="auto"/>
                <w:szCs w:val="17"/>
                <w:lang w:eastAsia="en-US"/>
              </w:rPr>
            </w:pPr>
            <w:r w:rsidRPr="00AE18A4">
              <w:rPr>
                <w:rFonts w:asciiTheme="minorHAnsi" w:eastAsia="Times New Roman" w:hAnsiTheme="minorHAnsi"/>
                <w:b/>
                <w:iCs/>
                <w:color w:val="auto"/>
                <w:szCs w:val="17"/>
                <w:lang w:eastAsia="en-US"/>
              </w:rPr>
              <w:t xml:space="preserve">2A. </w:t>
            </w:r>
            <w:r w:rsidR="0033678E" w:rsidRPr="00AE18A4">
              <w:rPr>
                <w:rFonts w:asciiTheme="minorHAnsi" w:eastAsia="Times New Roman" w:hAnsiTheme="minorHAnsi"/>
                <w:b/>
                <w:iCs/>
                <w:color w:val="auto"/>
                <w:szCs w:val="17"/>
                <w:lang w:eastAsia="en-US"/>
              </w:rPr>
              <w:t xml:space="preserve">Enabling economic growth </w:t>
            </w:r>
            <w:r w:rsidR="00BE4C22" w:rsidRPr="00AE18A4">
              <w:rPr>
                <w:rFonts w:asciiTheme="minorHAnsi" w:eastAsia="Times New Roman" w:hAnsiTheme="minorHAnsi"/>
                <w:b/>
                <w:iCs/>
                <w:color w:val="auto"/>
                <w:szCs w:val="17"/>
                <w:lang w:eastAsia="en-US"/>
              </w:rPr>
              <w:t>–</w:t>
            </w:r>
            <w:r w:rsidR="0033678E" w:rsidRPr="00AE18A4">
              <w:rPr>
                <w:rFonts w:asciiTheme="minorHAnsi" w:eastAsia="Times New Roman" w:hAnsiTheme="minorHAnsi"/>
                <w:iCs/>
                <w:color w:val="auto"/>
                <w:szCs w:val="17"/>
                <w:lang w:eastAsia="en-US"/>
              </w:rPr>
              <w:t xml:space="preserve"> Solomon</w:t>
            </w:r>
            <w:r w:rsidR="00BE4C22" w:rsidRPr="00AE18A4">
              <w:rPr>
                <w:rFonts w:asciiTheme="minorHAnsi" w:eastAsia="Times New Roman" w:hAnsiTheme="minorHAnsi"/>
                <w:iCs/>
                <w:color w:val="auto"/>
                <w:szCs w:val="17"/>
                <w:lang w:eastAsia="en-US"/>
              </w:rPr>
              <w:t xml:space="preserve"> </w:t>
            </w:r>
            <w:r w:rsidR="0033678E" w:rsidRPr="00AE18A4">
              <w:rPr>
                <w:rFonts w:asciiTheme="minorHAnsi" w:eastAsia="Times New Roman" w:hAnsiTheme="minorHAnsi"/>
                <w:iCs/>
                <w:color w:val="auto"/>
                <w:szCs w:val="17"/>
                <w:lang w:eastAsia="en-US"/>
              </w:rPr>
              <w:t>Islands'</w:t>
            </w:r>
            <w:r w:rsidR="00BA3AB6" w:rsidRPr="00AE18A4">
              <w:rPr>
                <w:rFonts w:asciiTheme="minorHAnsi" w:eastAsia="Times New Roman" w:hAnsiTheme="minorHAnsi"/>
                <w:iCs/>
                <w:color w:val="auto"/>
                <w:szCs w:val="17"/>
                <w:lang w:eastAsia="en-US"/>
              </w:rPr>
              <w:t xml:space="preserve"> enabling environment is more attractive to business</w:t>
            </w:r>
            <w:r w:rsidR="00AE18A4">
              <w:rPr>
                <w:rFonts w:asciiTheme="minorHAnsi" w:eastAsia="Times New Roman" w:hAnsiTheme="minorHAnsi"/>
                <w:iCs/>
                <w:color w:val="auto"/>
                <w:szCs w:val="17"/>
                <w:lang w:eastAsia="en-US"/>
              </w:rPr>
              <w:t>.</w:t>
            </w:r>
          </w:p>
        </w:tc>
        <w:tc>
          <w:tcPr>
            <w:tcW w:w="1427" w:type="dxa"/>
            <w:shd w:val="clear" w:color="auto" w:fill="auto"/>
            <w:noWrap/>
          </w:tcPr>
          <w:p w14:paraId="1519A695" w14:textId="77777777" w:rsidR="0033678E" w:rsidRPr="00AE18A4" w:rsidRDefault="00AE18A4" w:rsidP="00AE18A4">
            <w:pPr>
              <w:spacing w:beforeLines="40" w:before="96" w:afterLines="40" w:after="96" w:line="200" w:lineRule="atLeast"/>
              <w:jc w:val="center"/>
              <w:rPr>
                <w:rFonts w:asciiTheme="minorHAnsi" w:eastAsia="Times New Roman" w:hAnsiTheme="minorHAnsi"/>
                <w:iCs/>
                <w:color w:val="auto"/>
                <w:szCs w:val="17"/>
                <w:lang w:eastAsia="en-US"/>
              </w:rPr>
            </w:pPr>
            <w:r w:rsidRPr="00AE18A4">
              <w:rPr>
                <w:rFonts w:asciiTheme="minorHAnsi" w:eastAsia="Times New Roman" w:hAnsiTheme="minorHAnsi"/>
                <w:iCs/>
                <w:color w:val="auto"/>
                <w:szCs w:val="17"/>
                <w:lang w:eastAsia="en-US"/>
              </w:rPr>
              <w:t>N/A</w:t>
            </w:r>
          </w:p>
        </w:tc>
        <w:tc>
          <w:tcPr>
            <w:tcW w:w="1233" w:type="dxa"/>
            <w:shd w:val="clear" w:color="auto" w:fill="72AF2F"/>
            <w:noWrap/>
          </w:tcPr>
          <w:p w14:paraId="14184F9D" w14:textId="77777777" w:rsidR="0033678E" w:rsidRPr="003B0793" w:rsidRDefault="0033678E"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Green</w:t>
            </w:r>
          </w:p>
        </w:tc>
      </w:tr>
      <w:tr w:rsidR="0033678E" w:rsidRPr="003B0793" w14:paraId="412620FC" w14:textId="77777777" w:rsidTr="00070D0C">
        <w:trPr>
          <w:cnfStyle w:val="000000010000" w:firstRow="0" w:lastRow="0" w:firstColumn="0" w:lastColumn="0" w:oddVBand="0" w:evenVBand="0" w:oddHBand="0" w:evenHBand="1" w:firstRowFirstColumn="0" w:firstRowLastColumn="0" w:lastRowFirstColumn="0" w:lastRowLastColumn="0"/>
        </w:trPr>
        <w:tc>
          <w:tcPr>
            <w:tcW w:w="7003" w:type="dxa"/>
          </w:tcPr>
          <w:p w14:paraId="03C71B53" w14:textId="77777777" w:rsidR="0033678E" w:rsidRPr="00AE18A4" w:rsidRDefault="00070D0C" w:rsidP="00AE18A4">
            <w:pPr>
              <w:spacing w:beforeLines="40" w:before="96" w:afterLines="40" w:after="96" w:line="200" w:lineRule="atLeast"/>
              <w:rPr>
                <w:rFonts w:asciiTheme="minorHAnsi" w:eastAsia="Times New Roman" w:hAnsiTheme="minorHAnsi"/>
                <w:iCs/>
                <w:color w:val="auto"/>
                <w:szCs w:val="17"/>
                <w:lang w:eastAsia="en-US"/>
              </w:rPr>
            </w:pPr>
            <w:r w:rsidRPr="00AE18A4">
              <w:rPr>
                <w:rFonts w:asciiTheme="minorHAnsi" w:eastAsia="Times New Roman" w:hAnsiTheme="minorHAnsi"/>
                <w:b/>
                <w:iCs/>
                <w:color w:val="auto"/>
                <w:szCs w:val="17"/>
                <w:lang w:eastAsia="en-US"/>
              </w:rPr>
              <w:t xml:space="preserve">2B. </w:t>
            </w:r>
            <w:r w:rsidR="0033678E" w:rsidRPr="00AE18A4">
              <w:rPr>
                <w:rFonts w:asciiTheme="minorHAnsi" w:eastAsia="Times New Roman" w:hAnsiTheme="minorHAnsi"/>
                <w:b/>
                <w:iCs/>
                <w:color w:val="auto"/>
                <w:szCs w:val="17"/>
                <w:lang w:eastAsia="en-US"/>
              </w:rPr>
              <w:t xml:space="preserve">Enabling economic growth </w:t>
            </w:r>
            <w:r w:rsidR="00BE4C22" w:rsidRPr="00AE18A4">
              <w:rPr>
                <w:rFonts w:asciiTheme="minorHAnsi" w:eastAsia="Times New Roman" w:hAnsiTheme="minorHAnsi"/>
                <w:b/>
                <w:iCs/>
                <w:color w:val="auto"/>
                <w:szCs w:val="17"/>
                <w:lang w:eastAsia="en-US"/>
              </w:rPr>
              <w:t>–</w:t>
            </w:r>
            <w:r w:rsidR="0033678E" w:rsidRPr="00AE18A4">
              <w:rPr>
                <w:rFonts w:asciiTheme="minorHAnsi" w:eastAsia="Times New Roman" w:hAnsiTheme="minorHAnsi"/>
                <w:iCs/>
                <w:color w:val="auto"/>
                <w:szCs w:val="17"/>
                <w:lang w:eastAsia="en-US"/>
              </w:rPr>
              <w:t xml:space="preserve"> More</w:t>
            </w:r>
            <w:r w:rsidR="00BE4C22" w:rsidRPr="00AE18A4">
              <w:rPr>
                <w:rFonts w:asciiTheme="minorHAnsi" w:eastAsia="Times New Roman" w:hAnsiTheme="minorHAnsi"/>
                <w:iCs/>
                <w:color w:val="auto"/>
                <w:szCs w:val="17"/>
                <w:lang w:eastAsia="en-US"/>
              </w:rPr>
              <w:t xml:space="preserve"> </w:t>
            </w:r>
            <w:r w:rsidR="0033678E" w:rsidRPr="00AE18A4">
              <w:rPr>
                <w:rFonts w:asciiTheme="minorHAnsi" w:eastAsia="Times New Roman" w:hAnsiTheme="minorHAnsi"/>
                <w:iCs/>
                <w:color w:val="auto"/>
                <w:szCs w:val="17"/>
                <w:lang w:eastAsia="en-US"/>
              </w:rPr>
              <w:t xml:space="preserve">men and women </w:t>
            </w:r>
            <w:r w:rsidR="00BA3AB6" w:rsidRPr="00AE18A4">
              <w:rPr>
                <w:rFonts w:asciiTheme="minorHAnsi" w:eastAsia="Times New Roman" w:hAnsiTheme="minorHAnsi"/>
                <w:iCs/>
                <w:color w:val="auto"/>
                <w:szCs w:val="17"/>
                <w:lang w:eastAsia="en-US"/>
              </w:rPr>
              <w:t>can</w:t>
            </w:r>
            <w:r w:rsidR="0033678E" w:rsidRPr="00AE18A4">
              <w:rPr>
                <w:rFonts w:asciiTheme="minorHAnsi" w:eastAsia="Times New Roman" w:hAnsiTheme="minorHAnsi"/>
                <w:iCs/>
                <w:color w:val="auto"/>
                <w:szCs w:val="17"/>
                <w:lang w:eastAsia="en-US"/>
              </w:rPr>
              <w:t xml:space="preserve"> earn a cash income</w:t>
            </w:r>
            <w:r w:rsidR="00AE18A4">
              <w:rPr>
                <w:rFonts w:asciiTheme="minorHAnsi" w:eastAsia="Times New Roman" w:hAnsiTheme="minorHAnsi"/>
                <w:iCs/>
                <w:color w:val="auto"/>
                <w:szCs w:val="17"/>
                <w:lang w:eastAsia="en-US"/>
              </w:rPr>
              <w:t>.</w:t>
            </w:r>
          </w:p>
        </w:tc>
        <w:tc>
          <w:tcPr>
            <w:tcW w:w="1427" w:type="dxa"/>
            <w:shd w:val="clear" w:color="auto" w:fill="auto"/>
            <w:noWrap/>
          </w:tcPr>
          <w:p w14:paraId="086FEF69" w14:textId="77777777" w:rsidR="0033678E" w:rsidRPr="00AE18A4" w:rsidRDefault="00AE18A4" w:rsidP="00AE18A4">
            <w:pPr>
              <w:spacing w:beforeLines="40" w:before="96" w:afterLines="40" w:after="96" w:line="200" w:lineRule="atLeast"/>
              <w:jc w:val="center"/>
              <w:rPr>
                <w:rFonts w:asciiTheme="minorHAnsi" w:eastAsia="Times New Roman" w:hAnsiTheme="minorHAnsi"/>
                <w:iCs/>
                <w:color w:val="auto"/>
                <w:szCs w:val="17"/>
                <w:lang w:eastAsia="en-US"/>
              </w:rPr>
            </w:pPr>
            <w:r w:rsidRPr="00AE18A4">
              <w:rPr>
                <w:rFonts w:asciiTheme="minorHAnsi" w:eastAsia="Times New Roman" w:hAnsiTheme="minorHAnsi"/>
                <w:iCs/>
                <w:color w:val="auto"/>
                <w:szCs w:val="17"/>
                <w:lang w:eastAsia="en-US"/>
              </w:rPr>
              <w:t>N/A</w:t>
            </w:r>
          </w:p>
        </w:tc>
        <w:tc>
          <w:tcPr>
            <w:tcW w:w="1233" w:type="dxa"/>
            <w:shd w:val="clear" w:color="auto" w:fill="FFC000"/>
            <w:noWrap/>
          </w:tcPr>
          <w:p w14:paraId="494041B9" w14:textId="77777777" w:rsidR="0033678E" w:rsidRPr="003B0793" w:rsidRDefault="00070D0C"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Amber</w:t>
            </w:r>
          </w:p>
        </w:tc>
      </w:tr>
      <w:tr w:rsidR="0033678E" w:rsidRPr="003B0793" w14:paraId="210D4354" w14:textId="77777777" w:rsidTr="0033678E">
        <w:trPr>
          <w:cnfStyle w:val="000000010000" w:firstRow="0" w:lastRow="0" w:firstColumn="0" w:lastColumn="0" w:oddVBand="0" w:evenVBand="0" w:oddHBand="0" w:evenHBand="1" w:firstRowFirstColumn="0" w:firstRowLastColumn="0" w:lastRowFirstColumn="0" w:lastRowLastColumn="0"/>
        </w:trPr>
        <w:tc>
          <w:tcPr>
            <w:tcW w:w="7003" w:type="dxa"/>
          </w:tcPr>
          <w:p w14:paraId="6ECC4806" w14:textId="77777777" w:rsidR="0033678E" w:rsidRPr="00AE18A4" w:rsidRDefault="00070D0C" w:rsidP="00AE18A4">
            <w:pPr>
              <w:spacing w:beforeLines="40" w:before="96" w:afterLines="40" w:after="96" w:line="200" w:lineRule="atLeast"/>
              <w:rPr>
                <w:rFonts w:asciiTheme="minorHAnsi" w:eastAsia="Times New Roman" w:hAnsiTheme="minorHAnsi"/>
                <w:iCs/>
                <w:color w:val="auto"/>
                <w:szCs w:val="17"/>
                <w:lang w:eastAsia="en-US"/>
              </w:rPr>
            </w:pPr>
            <w:r w:rsidRPr="00AE18A4">
              <w:rPr>
                <w:rFonts w:asciiTheme="minorHAnsi" w:eastAsia="Times New Roman" w:hAnsiTheme="minorHAnsi"/>
                <w:b/>
                <w:iCs/>
                <w:color w:val="auto"/>
                <w:szCs w:val="17"/>
                <w:lang w:eastAsia="en-US"/>
              </w:rPr>
              <w:t xml:space="preserve">3. </w:t>
            </w:r>
            <w:r w:rsidR="0033678E" w:rsidRPr="00AE18A4">
              <w:rPr>
                <w:rFonts w:asciiTheme="minorHAnsi" w:eastAsia="Times New Roman" w:hAnsiTheme="minorHAnsi"/>
                <w:b/>
                <w:iCs/>
                <w:color w:val="auto"/>
                <w:szCs w:val="17"/>
                <w:lang w:eastAsia="en-US"/>
              </w:rPr>
              <w:t xml:space="preserve">Enhancing human development </w:t>
            </w:r>
            <w:r w:rsidR="00BE4C22" w:rsidRPr="00AE18A4">
              <w:rPr>
                <w:rFonts w:asciiTheme="minorHAnsi" w:eastAsia="Times New Roman" w:hAnsiTheme="minorHAnsi"/>
                <w:b/>
                <w:iCs/>
                <w:color w:val="auto"/>
                <w:szCs w:val="17"/>
                <w:lang w:eastAsia="en-US"/>
              </w:rPr>
              <w:t>–</w:t>
            </w:r>
            <w:r w:rsidR="0033678E" w:rsidRPr="00AE18A4">
              <w:rPr>
                <w:rFonts w:asciiTheme="minorHAnsi" w:eastAsia="Times New Roman" w:hAnsiTheme="minorHAnsi"/>
                <w:iCs/>
                <w:color w:val="auto"/>
                <w:szCs w:val="17"/>
                <w:lang w:eastAsia="en-US"/>
              </w:rPr>
              <w:t xml:space="preserve"> </w:t>
            </w:r>
            <w:r w:rsidR="00BA3AB6" w:rsidRPr="00AE18A4">
              <w:rPr>
                <w:rFonts w:asciiTheme="minorHAnsi" w:eastAsia="Times New Roman" w:hAnsiTheme="minorHAnsi"/>
                <w:iCs/>
                <w:color w:val="auto"/>
                <w:szCs w:val="17"/>
                <w:lang w:eastAsia="en-US"/>
              </w:rPr>
              <w:t>Solomon</w:t>
            </w:r>
            <w:r w:rsidR="00BE4C22" w:rsidRPr="00AE18A4">
              <w:rPr>
                <w:rFonts w:asciiTheme="minorHAnsi" w:eastAsia="Times New Roman" w:hAnsiTheme="minorHAnsi"/>
                <w:iCs/>
                <w:color w:val="auto"/>
                <w:szCs w:val="17"/>
                <w:lang w:eastAsia="en-US"/>
              </w:rPr>
              <w:t xml:space="preserve"> </w:t>
            </w:r>
            <w:r w:rsidR="00BA3AB6" w:rsidRPr="00AE18A4">
              <w:rPr>
                <w:rFonts w:asciiTheme="minorHAnsi" w:eastAsia="Times New Roman" w:hAnsiTheme="minorHAnsi"/>
                <w:iCs/>
                <w:color w:val="auto"/>
                <w:szCs w:val="17"/>
                <w:lang w:eastAsia="en-US"/>
              </w:rPr>
              <w:t>Islanders have increasing access to quality health and education services</w:t>
            </w:r>
            <w:r w:rsidR="00AE18A4">
              <w:rPr>
                <w:rFonts w:asciiTheme="minorHAnsi" w:eastAsia="Times New Roman" w:hAnsiTheme="minorHAnsi"/>
                <w:iCs/>
                <w:color w:val="auto"/>
                <w:szCs w:val="17"/>
                <w:lang w:eastAsia="en-US"/>
              </w:rPr>
              <w:t>.</w:t>
            </w:r>
          </w:p>
        </w:tc>
        <w:tc>
          <w:tcPr>
            <w:tcW w:w="1427" w:type="dxa"/>
            <w:shd w:val="clear" w:color="auto" w:fill="auto"/>
            <w:noWrap/>
          </w:tcPr>
          <w:p w14:paraId="2DF3FE46" w14:textId="77777777" w:rsidR="0033678E" w:rsidRPr="00AE18A4" w:rsidRDefault="00AE18A4" w:rsidP="00AE18A4">
            <w:pPr>
              <w:spacing w:beforeLines="40" w:before="96" w:afterLines="40" w:after="96" w:line="200" w:lineRule="atLeast"/>
              <w:jc w:val="center"/>
              <w:rPr>
                <w:rFonts w:asciiTheme="minorHAnsi" w:eastAsia="Times New Roman" w:hAnsiTheme="minorHAnsi"/>
                <w:iCs/>
                <w:color w:val="auto"/>
                <w:szCs w:val="17"/>
                <w:lang w:eastAsia="en-US"/>
              </w:rPr>
            </w:pPr>
            <w:r w:rsidRPr="00AE18A4">
              <w:rPr>
                <w:rFonts w:asciiTheme="minorHAnsi" w:eastAsia="Times New Roman" w:hAnsiTheme="minorHAnsi"/>
                <w:iCs/>
                <w:color w:val="auto"/>
                <w:szCs w:val="17"/>
                <w:lang w:eastAsia="en-US"/>
              </w:rPr>
              <w:t>N/A</w:t>
            </w:r>
          </w:p>
        </w:tc>
        <w:tc>
          <w:tcPr>
            <w:tcW w:w="1233" w:type="dxa"/>
            <w:shd w:val="clear" w:color="auto" w:fill="72AF2F"/>
            <w:noWrap/>
          </w:tcPr>
          <w:p w14:paraId="046E9315" w14:textId="77777777" w:rsidR="0033678E" w:rsidRPr="005F1651" w:rsidRDefault="0033678E"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5F1651">
              <w:rPr>
                <w:rFonts w:asciiTheme="minorHAnsi" w:eastAsia="Times New Roman" w:hAnsiTheme="minorHAnsi"/>
                <w:iCs/>
                <w:color w:val="FFFFFF" w:themeColor="background1"/>
                <w:szCs w:val="17"/>
                <w:lang w:eastAsia="en-US"/>
              </w:rPr>
              <w:t>Green</w:t>
            </w:r>
          </w:p>
        </w:tc>
      </w:tr>
    </w:tbl>
    <w:p w14:paraId="14DCB7EC" w14:textId="77777777" w:rsidR="002A51CA" w:rsidRPr="003B0793" w:rsidRDefault="002A51CA" w:rsidP="002A51CA">
      <w:pPr>
        <w:spacing w:before="20" w:after="20" w:line="180" w:lineRule="atLeast"/>
        <w:jc w:val="both"/>
        <w:rPr>
          <w:rFonts w:eastAsia="Times New Roman"/>
          <w:b/>
          <w:sz w:val="16"/>
          <w:szCs w:val="14"/>
        </w:rPr>
      </w:pPr>
      <w:r w:rsidRPr="003B0793">
        <w:rPr>
          <w:rFonts w:eastAsia="Times New Roman"/>
          <w:b/>
          <w:sz w:val="16"/>
          <w:szCs w:val="14"/>
        </w:rPr>
        <w:t xml:space="preserve">Note: </w:t>
      </w:r>
    </w:p>
    <w:p w14:paraId="72889A5E" w14:textId="77777777"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14:paraId="7D970CD8" w14:textId="77777777"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14:paraId="26D4AEAF" w14:textId="77777777" w:rsidR="002A51CA" w:rsidRDefault="002A51CA" w:rsidP="002A51CA">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14:paraId="483E3EEC" w14:textId="77777777" w:rsidR="007D2627" w:rsidRDefault="007D2627" w:rsidP="002A51CA">
      <w:pPr>
        <w:spacing w:before="20" w:after="20" w:line="180" w:lineRule="atLeast"/>
        <w:jc w:val="both"/>
        <w:rPr>
          <w:rFonts w:eastAsia="Times New Roman"/>
          <w:b/>
          <w:sz w:val="16"/>
          <w:szCs w:val="14"/>
        </w:rPr>
      </w:pPr>
    </w:p>
    <w:p w14:paraId="1700CB4A" w14:textId="77777777" w:rsidR="007D2627" w:rsidRPr="0033678E" w:rsidRDefault="007D2627" w:rsidP="002A51CA">
      <w:pPr>
        <w:spacing w:before="20" w:after="20" w:line="180" w:lineRule="atLeast"/>
        <w:jc w:val="both"/>
        <w:rPr>
          <w:rFonts w:eastAsia="Times New Roman"/>
          <w:sz w:val="16"/>
          <w:szCs w:val="14"/>
        </w:rPr>
      </w:pPr>
      <w:r w:rsidRPr="0033678E">
        <w:rPr>
          <w:rFonts w:eastAsia="Times New Roman"/>
          <w:sz w:val="16"/>
          <w:szCs w:val="14"/>
        </w:rPr>
        <w:t>*Note: this is the first year of these objectives under the Aid Investment Plan. The 2014-15 APPR reported on Partnership for Development outcomes.</w:t>
      </w:r>
    </w:p>
    <w:p w14:paraId="14838A69" w14:textId="77777777" w:rsidR="005955F6"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7D6B66">
        <w:rPr>
          <w:rFonts w:asciiTheme="majorHAnsi" w:eastAsiaTheme="majorEastAsia" w:hAnsiTheme="majorHAnsi" w:cstheme="majorBidi"/>
          <w:caps/>
          <w:color w:val="495965" w:themeColor="text2"/>
          <w:sz w:val="38"/>
          <w:szCs w:val="26"/>
          <w:lang w:val="en-GB" w:eastAsia="en-US"/>
        </w:rPr>
        <w:t xml:space="preserve">Objective 1 </w:t>
      </w:r>
      <w:r w:rsidR="009E4948">
        <w:rPr>
          <w:rFonts w:asciiTheme="majorHAnsi" w:eastAsiaTheme="majorEastAsia" w:hAnsiTheme="majorHAnsi" w:cstheme="majorBidi"/>
          <w:caps/>
          <w:color w:val="495965" w:themeColor="text2"/>
          <w:sz w:val="38"/>
          <w:szCs w:val="26"/>
          <w:lang w:val="en-GB" w:eastAsia="en-US"/>
        </w:rPr>
        <w:t xml:space="preserve">– </w:t>
      </w:r>
      <w:r w:rsidR="005955F6" w:rsidRPr="007D6B66">
        <w:rPr>
          <w:rFonts w:asciiTheme="majorHAnsi" w:eastAsiaTheme="majorEastAsia" w:hAnsiTheme="majorHAnsi" w:cstheme="majorBidi"/>
          <w:caps/>
          <w:color w:val="495965" w:themeColor="text2"/>
          <w:sz w:val="38"/>
          <w:szCs w:val="26"/>
          <w:lang w:val="en-GB" w:eastAsia="en-US"/>
        </w:rPr>
        <w:t>Supporting</w:t>
      </w:r>
      <w:r w:rsidR="009E4948">
        <w:rPr>
          <w:rFonts w:asciiTheme="majorHAnsi" w:eastAsiaTheme="majorEastAsia" w:hAnsiTheme="majorHAnsi" w:cstheme="majorBidi"/>
          <w:caps/>
          <w:color w:val="495965" w:themeColor="text2"/>
          <w:sz w:val="38"/>
          <w:szCs w:val="26"/>
          <w:lang w:val="en-GB" w:eastAsia="en-US"/>
        </w:rPr>
        <w:t xml:space="preserve"> </w:t>
      </w:r>
      <w:r w:rsidR="005955F6" w:rsidRPr="007D6B66">
        <w:rPr>
          <w:rFonts w:asciiTheme="majorHAnsi" w:eastAsiaTheme="majorEastAsia" w:hAnsiTheme="majorHAnsi" w:cstheme="majorBidi"/>
          <w:caps/>
          <w:color w:val="495965" w:themeColor="text2"/>
          <w:sz w:val="38"/>
          <w:szCs w:val="26"/>
          <w:lang w:val="en-GB" w:eastAsia="en-US"/>
        </w:rPr>
        <w:t>stability</w:t>
      </w:r>
    </w:p>
    <w:p w14:paraId="15619E49" w14:textId="77777777" w:rsidR="00C337CC" w:rsidRDefault="00193BFD" w:rsidP="00D15A87">
      <w:r>
        <w:rPr>
          <w:rFonts w:eastAsia="Times New Roman"/>
          <w:iCs/>
        </w:rPr>
        <w:t>Progress against this objective is rated green</w:t>
      </w:r>
      <w:r w:rsidR="0076019A">
        <w:rPr>
          <w:rFonts w:eastAsia="Times New Roman"/>
          <w:iCs/>
        </w:rPr>
        <w:t>, as</w:t>
      </w:r>
      <w:r>
        <w:rPr>
          <w:rFonts w:eastAsia="Times New Roman"/>
          <w:iCs/>
        </w:rPr>
        <w:t xml:space="preserve"> </w:t>
      </w:r>
      <w:r w:rsidR="00D15A87" w:rsidRPr="009F24ED">
        <w:rPr>
          <w:rFonts w:eastAsia="Times New Roman"/>
          <w:iCs/>
        </w:rPr>
        <w:t>Solomon Islands remains economically stable and free from large-scale conflict</w:t>
      </w:r>
      <w:r w:rsidR="00D15A87">
        <w:rPr>
          <w:rFonts w:eastAsia="Times New Roman"/>
          <w:iCs/>
        </w:rPr>
        <w:t xml:space="preserve">, and in </w:t>
      </w:r>
      <w:r>
        <w:rPr>
          <w:rFonts w:eastAsia="Times New Roman"/>
          <w:iCs/>
        </w:rPr>
        <w:t xml:space="preserve">2015-16 </w:t>
      </w:r>
      <w:r w:rsidR="00D15A87" w:rsidRPr="009F24ED">
        <w:rPr>
          <w:rFonts w:eastAsia="Times New Roman"/>
          <w:iCs/>
        </w:rPr>
        <w:t xml:space="preserve">made further progress </w:t>
      </w:r>
      <w:r w:rsidR="00D15A87">
        <w:rPr>
          <w:rFonts w:eastAsia="Times New Roman"/>
          <w:iCs/>
        </w:rPr>
        <w:t xml:space="preserve">in its capacity to undertake </w:t>
      </w:r>
      <w:r w:rsidR="00D15A87" w:rsidRPr="009F24ED">
        <w:rPr>
          <w:rFonts w:eastAsia="Times New Roman"/>
          <w:iCs/>
        </w:rPr>
        <w:t>c</w:t>
      </w:r>
      <w:r>
        <w:rPr>
          <w:rFonts w:eastAsia="Times New Roman"/>
          <w:iCs/>
        </w:rPr>
        <w:t>ore</w:t>
      </w:r>
      <w:r w:rsidR="00D15A87" w:rsidRPr="009F24ED">
        <w:rPr>
          <w:rFonts w:eastAsia="Times New Roman"/>
          <w:iCs/>
        </w:rPr>
        <w:t xml:space="preserve"> state functions.</w:t>
      </w:r>
      <w:r>
        <w:rPr>
          <w:rFonts w:eastAsia="Times New Roman"/>
          <w:iCs/>
        </w:rPr>
        <w:t xml:space="preserve"> </w:t>
      </w:r>
      <w:r w:rsidR="004B7150">
        <w:rPr>
          <w:rFonts w:eastAsia="Times New Roman"/>
          <w:iCs/>
        </w:rPr>
        <w:t>Notably, this was achieved in the context of reductions in the numbers of long-term technical advisory position</w:t>
      </w:r>
      <w:r w:rsidR="00687D4A">
        <w:rPr>
          <w:rFonts w:eastAsia="Times New Roman"/>
          <w:iCs/>
        </w:rPr>
        <w:t>s</w:t>
      </w:r>
      <w:r w:rsidR="004B7150">
        <w:rPr>
          <w:rFonts w:eastAsia="Times New Roman"/>
          <w:iCs/>
        </w:rPr>
        <w:t xml:space="preserve">. </w:t>
      </w:r>
      <w:r w:rsidR="00D15A87">
        <w:rPr>
          <w:rFonts w:eastAsia="Times New Roman"/>
          <w:iCs/>
        </w:rPr>
        <w:t>Australia</w:t>
      </w:r>
      <w:r w:rsidR="00687D4A">
        <w:rPr>
          <w:rFonts w:eastAsia="Times New Roman"/>
          <w:iCs/>
        </w:rPr>
        <w:t xml:space="preserve">’s </w:t>
      </w:r>
      <w:r w:rsidR="00D15A87" w:rsidRPr="009F24ED">
        <w:rPr>
          <w:rFonts w:eastAsia="Times New Roman"/>
          <w:iCs/>
        </w:rPr>
        <w:t>support</w:t>
      </w:r>
      <w:r w:rsidR="00687D4A">
        <w:rPr>
          <w:rFonts w:eastAsia="Times New Roman"/>
          <w:iCs/>
        </w:rPr>
        <w:t xml:space="preserve"> to this objective included </w:t>
      </w:r>
      <w:r w:rsidR="00D15A87" w:rsidRPr="009F24ED">
        <w:t>the Economic and Public Sector Governance Program (SIGOV), Solomon Islands Justice Program (SIJP), Solomon Islands Democratic Governance program</w:t>
      </w:r>
      <w:r w:rsidR="00D15A87">
        <w:t>,</w:t>
      </w:r>
      <w:r w:rsidR="00D15A87" w:rsidRPr="009F24ED">
        <w:t xml:space="preserve"> </w:t>
      </w:r>
      <w:r w:rsidR="00D15A87" w:rsidRPr="00E96A35">
        <w:t xml:space="preserve">our disaster </w:t>
      </w:r>
      <w:r w:rsidR="00E96A35" w:rsidRPr="00E96A35">
        <w:t xml:space="preserve">risk </w:t>
      </w:r>
      <w:r w:rsidR="00D15A87" w:rsidRPr="00E96A35">
        <w:t>response</w:t>
      </w:r>
      <w:r w:rsidR="00D15A87">
        <w:t xml:space="preserve"> efforts </w:t>
      </w:r>
      <w:r w:rsidR="00D15A87" w:rsidRPr="009F24ED">
        <w:t>and Australia’s contribution to RAMSI.</w:t>
      </w:r>
    </w:p>
    <w:p w14:paraId="5D021C93" w14:textId="77777777" w:rsidR="00380C21" w:rsidRDefault="00380C21" w:rsidP="00380C21">
      <w:r>
        <w:t xml:space="preserve">Australia continued to support implementation of the drawdown of </w:t>
      </w:r>
      <w:r w:rsidRPr="00983CF0">
        <w:rPr>
          <w:b/>
        </w:rPr>
        <w:t>RAMSI</w:t>
      </w:r>
      <w:r>
        <w:t xml:space="preserve"> throughout 2015-16. RAMSI will conclude on 30 June 2017, when a new bilateral policing capacity development program will commence in conjunction with new governance and law and justice programs. RAMSI’s conclusion is recognition of the RSIPF’s capability to independently provide law, order and security for Solomon Islands, making it time to ‘normalise’ assistance to the policing sector.</w:t>
      </w:r>
    </w:p>
    <w:p w14:paraId="350F2D3D" w14:textId="77777777" w:rsidR="00380C21" w:rsidRDefault="00380C21" w:rsidP="00380C21">
      <w:pPr>
        <w:rPr>
          <w:rFonts w:cs="Calibri"/>
        </w:rPr>
      </w:pPr>
      <w:r>
        <w:rPr>
          <w:rFonts w:cs="Calibri"/>
        </w:rPr>
        <w:t>In 2016, the Solomon Islands Government significantly increased the funding for the RSIPF in the national budget and has signalled further increases in 2017. This budget increase was informed by a report into the cost of policing services in Solomon Islands commissioned by RAMSI. In line with RSIPF priorities, RAMSI supported the development of a Crime Prevention Strategy and a RSIPF Capability Plan in 2015-16. These strategic reports, alongside the budget increase, will ensure that policing services are sustainable and suitable to the Solomon Islands context following the conclusion of RAMSI. The crucial RSIPF limited rearmament project will also be implemented and monitored ahead of RAMSI’s conclusion. Whilst improvements have been made in 2015-16, some policing capabilities, including the RSIPF’s corporate support functions, continue to be areas of weakness, hampering the effective</w:t>
      </w:r>
      <w:r w:rsidR="005F1651">
        <w:rPr>
          <w:rFonts w:cs="Calibri"/>
        </w:rPr>
        <w:t xml:space="preserve"> delivery of policing services.</w:t>
      </w:r>
    </w:p>
    <w:p w14:paraId="22473DFA" w14:textId="77777777" w:rsidR="00D15A87" w:rsidRDefault="00193BFD" w:rsidP="00D15A87">
      <w:pPr>
        <w:tabs>
          <w:tab w:val="left" w:pos="0"/>
        </w:tabs>
      </w:pPr>
      <w:r>
        <w:t xml:space="preserve">Solomon Islands made some important </w:t>
      </w:r>
      <w:r w:rsidR="006742FF" w:rsidRPr="00F62A05">
        <w:rPr>
          <w:b/>
        </w:rPr>
        <w:t>macroeconomic stability</w:t>
      </w:r>
      <w:r w:rsidR="006742FF">
        <w:t xml:space="preserve"> </w:t>
      </w:r>
      <w:r>
        <w:t>gains in 2015-16</w:t>
      </w:r>
      <w:r w:rsidR="00284A18">
        <w:t>,</w:t>
      </w:r>
      <w:r>
        <w:t xml:space="preserve"> </w:t>
      </w:r>
      <w:r w:rsidR="00D15A87">
        <w:t xml:space="preserve">including obtaining </w:t>
      </w:r>
      <w:r w:rsidR="006742FF">
        <w:t>its</w:t>
      </w:r>
      <w:r w:rsidR="00D15A87">
        <w:t xml:space="preserve"> </w:t>
      </w:r>
      <w:r w:rsidR="006742FF">
        <w:t xml:space="preserve">first </w:t>
      </w:r>
      <w:r w:rsidR="00D15A87">
        <w:t xml:space="preserve">sovereign credit rating and repaying all of its long-term domestic debts. Australia contributed to </w:t>
      </w:r>
      <w:r w:rsidR="005A7A08">
        <w:t xml:space="preserve">completing revenue estimates for 2016, and </w:t>
      </w:r>
      <w:r w:rsidR="00D15A87">
        <w:t>strengthening Solomon Islands Government’s auditing and fraud control systems</w:t>
      </w:r>
      <w:r w:rsidR="00284A18">
        <w:t>. S</w:t>
      </w:r>
      <w:r w:rsidR="00D15A87" w:rsidRPr="00D80BD3">
        <w:t xml:space="preserve">ix audits of Solomon Islands </w:t>
      </w:r>
      <w:r w:rsidR="00D15A87">
        <w:t>G</w:t>
      </w:r>
      <w:r w:rsidR="00D15A87" w:rsidRPr="00D80BD3">
        <w:t xml:space="preserve">overnment </w:t>
      </w:r>
      <w:r w:rsidR="00BD58D1">
        <w:t>ministries</w:t>
      </w:r>
      <w:r w:rsidR="00D15A87" w:rsidRPr="00D80BD3">
        <w:t xml:space="preserve"> undertaken by </w:t>
      </w:r>
      <w:r w:rsidR="00D15A87">
        <w:t xml:space="preserve">the </w:t>
      </w:r>
      <w:r w:rsidR="00284A18">
        <w:t>Ministry of Finance and Treasury’s (</w:t>
      </w:r>
      <w:proofErr w:type="spellStart"/>
      <w:r w:rsidR="00284A18">
        <w:t>MoFT</w:t>
      </w:r>
      <w:proofErr w:type="spellEnd"/>
      <w:r w:rsidR="00284A18">
        <w:t xml:space="preserve">) </w:t>
      </w:r>
      <w:r w:rsidR="00D15A87">
        <w:t xml:space="preserve">Internal Audit Unit </w:t>
      </w:r>
      <w:r w:rsidR="00D15A87" w:rsidRPr="00D80BD3">
        <w:t>identif</w:t>
      </w:r>
      <w:r w:rsidR="00284A18">
        <w:t>ied</w:t>
      </w:r>
      <w:r w:rsidR="00D15A87" w:rsidRPr="00D80BD3">
        <w:t xml:space="preserve"> potential savings of SB</w:t>
      </w:r>
      <w:r w:rsidR="00BD58D1">
        <w:t>D</w:t>
      </w:r>
      <w:r w:rsidR="00D15A87" w:rsidRPr="00D80BD3">
        <w:t>32 million</w:t>
      </w:r>
      <w:r w:rsidR="00D15A87">
        <w:t xml:space="preserve"> in 2015</w:t>
      </w:r>
      <w:r w:rsidR="00D15A87" w:rsidRPr="00F430C6">
        <w:t>.</w:t>
      </w:r>
    </w:p>
    <w:p w14:paraId="7C2A78AC" w14:textId="77777777" w:rsidR="00B34E04" w:rsidRDefault="00B34E04" w:rsidP="00D15A87">
      <w:pPr>
        <w:tabs>
          <w:tab w:val="left" w:pos="0"/>
        </w:tabs>
      </w:pPr>
    </w:p>
    <w:p w14:paraId="222157DE" w14:textId="66559463" w:rsidR="001749DE" w:rsidRDefault="00C337CC" w:rsidP="00D15A87">
      <w:pPr>
        <w:tabs>
          <w:tab w:val="left" w:pos="0"/>
        </w:tabs>
      </w:pPr>
      <w:r>
        <w:t>SIGOV supports</w:t>
      </w:r>
      <w:r w:rsidR="00D15A87">
        <w:t xml:space="preserve"> </w:t>
      </w:r>
      <w:r w:rsidR="00BD58D1">
        <w:t>the Solomon Islands G</w:t>
      </w:r>
      <w:r w:rsidR="00193BFD">
        <w:t xml:space="preserve">overnment to </w:t>
      </w:r>
      <w:r>
        <w:t xml:space="preserve">more </w:t>
      </w:r>
      <w:r w:rsidR="00D15A87" w:rsidRPr="0076019A">
        <w:rPr>
          <w:b/>
        </w:rPr>
        <w:t>effectively plan and spend its own funds</w:t>
      </w:r>
      <w:r>
        <w:t xml:space="preserve">, and </w:t>
      </w:r>
      <w:r w:rsidR="00D15A87">
        <w:t>plays an important role in enabling Australia’s other sector programs to u</w:t>
      </w:r>
      <w:r w:rsidR="006742FF">
        <w:t>se</w:t>
      </w:r>
      <w:r w:rsidR="00D15A87">
        <w:t xml:space="preserve"> Solomon Islands </w:t>
      </w:r>
      <w:r w:rsidR="00BD58D1">
        <w:t>G</w:t>
      </w:r>
      <w:r w:rsidR="00D15A87">
        <w:t xml:space="preserve">overnment </w:t>
      </w:r>
      <w:r w:rsidR="00D15A87">
        <w:lastRenderedPageBreak/>
        <w:t>systems</w:t>
      </w:r>
      <w:r>
        <w:t xml:space="preserve">, leading to </w:t>
      </w:r>
      <w:r w:rsidRPr="0076019A">
        <w:t>better service delivery</w:t>
      </w:r>
      <w:r w:rsidR="00D15A87">
        <w:t>. A revised Assessment of National Systems was undertaken in 2015-16, to inform Australia o</w:t>
      </w:r>
      <w:r w:rsidR="00BD58D1">
        <w:t>n</w:t>
      </w:r>
      <w:r w:rsidR="00D15A87">
        <w:t xml:space="preserve"> the risks </w:t>
      </w:r>
      <w:r w:rsidR="000A2A43">
        <w:t>and mitigation measures for</w:t>
      </w:r>
      <w:r w:rsidR="00D15A87">
        <w:t xml:space="preserve"> us</w:t>
      </w:r>
      <w:r w:rsidR="007840A2">
        <w:t>e</w:t>
      </w:r>
      <w:r w:rsidR="00D15A87">
        <w:t xml:space="preserve"> of S</w:t>
      </w:r>
      <w:r w:rsidR="00193BFD">
        <w:t xml:space="preserve">olomon Islands </w:t>
      </w:r>
      <w:r w:rsidR="007840A2">
        <w:t xml:space="preserve">Government </w:t>
      </w:r>
      <w:r w:rsidR="00193BFD">
        <w:t xml:space="preserve">systems. </w:t>
      </w:r>
      <w:r w:rsidR="005A7A08">
        <w:t xml:space="preserve">The report recommended </w:t>
      </w:r>
      <w:r w:rsidR="005A7A08">
        <w:rPr>
          <w:lang w:val="en-AU"/>
        </w:rPr>
        <w:t xml:space="preserve">DFAT continue to use partner government systems, on the basis that </w:t>
      </w:r>
      <w:r w:rsidR="006742FF" w:rsidRPr="00A9235C">
        <w:rPr>
          <w:lang w:val="en-AU"/>
        </w:rPr>
        <w:t xml:space="preserve">use of </w:t>
      </w:r>
      <w:r w:rsidR="006742FF">
        <w:rPr>
          <w:lang w:val="en-AU"/>
        </w:rPr>
        <w:t>partner government systems has</w:t>
      </w:r>
      <w:r w:rsidR="006742FF" w:rsidRPr="00A9235C">
        <w:rPr>
          <w:lang w:val="en-AU"/>
        </w:rPr>
        <w:t xml:space="preserve"> demonstrated development outcomes</w:t>
      </w:r>
      <w:r w:rsidR="006742FF">
        <w:rPr>
          <w:lang w:val="en-AU"/>
        </w:rPr>
        <w:t xml:space="preserve">; and </w:t>
      </w:r>
      <w:r w:rsidR="005A7A08">
        <w:rPr>
          <w:lang w:val="en-AU"/>
        </w:rPr>
        <w:t>f</w:t>
      </w:r>
      <w:r w:rsidR="005A7A08" w:rsidRPr="00A9235C">
        <w:rPr>
          <w:lang w:val="en-AU"/>
        </w:rPr>
        <w:t xml:space="preserve">iduciary risks are manageable </w:t>
      </w:r>
      <w:r w:rsidR="005A7A08">
        <w:rPr>
          <w:lang w:val="en-AU"/>
        </w:rPr>
        <w:t>with controls</w:t>
      </w:r>
      <w:r w:rsidR="005A7A08" w:rsidRPr="00A9235C">
        <w:rPr>
          <w:lang w:val="en-AU"/>
        </w:rPr>
        <w:t xml:space="preserve">. </w:t>
      </w:r>
      <w:r w:rsidR="001749DE" w:rsidRPr="00537875">
        <w:t xml:space="preserve">Levels of </w:t>
      </w:r>
      <w:r w:rsidR="001749DE" w:rsidRPr="00B43D04">
        <w:rPr>
          <w:b/>
        </w:rPr>
        <w:t xml:space="preserve">transparency and accountability </w:t>
      </w:r>
      <w:r w:rsidR="00594119" w:rsidRPr="00B43D04">
        <w:rPr>
          <w:b/>
        </w:rPr>
        <w:t xml:space="preserve">in the Budget process </w:t>
      </w:r>
      <w:r w:rsidR="001749DE" w:rsidRPr="00B43D04">
        <w:rPr>
          <w:b/>
        </w:rPr>
        <w:t>were maintained</w:t>
      </w:r>
      <w:r w:rsidR="00594119" w:rsidRPr="00537875">
        <w:t>,</w:t>
      </w:r>
      <w:r w:rsidR="001749DE" w:rsidRPr="00537875">
        <w:t xml:space="preserve"> with the 2015 Budget outcome statement </w:t>
      </w:r>
      <w:r w:rsidR="005A7A08" w:rsidRPr="00537875">
        <w:t xml:space="preserve">completed </w:t>
      </w:r>
      <w:r w:rsidR="001749DE" w:rsidRPr="00537875">
        <w:t xml:space="preserve">and reports of the Public Accounts Committee </w:t>
      </w:r>
      <w:r w:rsidR="00594119" w:rsidRPr="00537875">
        <w:t xml:space="preserve">inquiry into the Budget </w:t>
      </w:r>
      <w:r w:rsidR="005A7A08" w:rsidRPr="00537875">
        <w:t>publicly available</w:t>
      </w:r>
      <w:r w:rsidR="00594119" w:rsidRPr="00537875">
        <w:t>.</w:t>
      </w:r>
    </w:p>
    <w:p w14:paraId="7434B464" w14:textId="77777777" w:rsidR="00D15A87" w:rsidRPr="00F430C6" w:rsidRDefault="00090E4F" w:rsidP="00D15A87">
      <w:pPr>
        <w:tabs>
          <w:tab w:val="left" w:pos="0"/>
        </w:tabs>
      </w:pPr>
      <w:r>
        <w:t>T</w:t>
      </w:r>
      <w:r w:rsidR="00D15A87">
        <w:t>he</w:t>
      </w:r>
      <w:r w:rsidR="00D15A87" w:rsidRPr="00F430C6">
        <w:t xml:space="preserve"> new </w:t>
      </w:r>
      <w:proofErr w:type="spellStart"/>
      <w:r w:rsidR="00D15A87" w:rsidRPr="007840A2">
        <w:rPr>
          <w:b/>
        </w:rPr>
        <w:t>MoFT</w:t>
      </w:r>
      <w:proofErr w:type="spellEnd"/>
      <w:r w:rsidR="00D15A87" w:rsidRPr="007840A2">
        <w:rPr>
          <w:b/>
        </w:rPr>
        <w:t xml:space="preserve"> building</w:t>
      </w:r>
      <w:r w:rsidR="00D15A87" w:rsidRPr="00F430C6">
        <w:t xml:space="preserve">, co-funded by Australia, </w:t>
      </w:r>
      <w:r>
        <w:t>was completed in 2015-16</w:t>
      </w:r>
      <w:r w:rsidR="004B7150">
        <w:t>. Ministry employees have reported</w:t>
      </w:r>
      <w:r>
        <w:t xml:space="preserve"> </w:t>
      </w:r>
      <w:r w:rsidR="00D15A87" w:rsidRPr="00F430C6">
        <w:t xml:space="preserve">improvements to </w:t>
      </w:r>
      <w:r w:rsidR="00D15A87">
        <w:t xml:space="preserve">Ministry </w:t>
      </w:r>
      <w:r w:rsidR="00D15A87" w:rsidRPr="00F430C6">
        <w:t>productivity</w:t>
      </w:r>
      <w:r w:rsidR="001F744D">
        <w:t>,</w:t>
      </w:r>
      <w:r w:rsidR="00D15A87">
        <w:t xml:space="preserve"> transparency</w:t>
      </w:r>
      <w:r w:rsidR="001F744D">
        <w:t xml:space="preserve">, safety and access </w:t>
      </w:r>
      <w:r w:rsidR="00677B67">
        <w:t>for</w:t>
      </w:r>
      <w:r w:rsidR="001F744D">
        <w:t xml:space="preserve"> people with disability</w:t>
      </w:r>
      <w:r w:rsidR="00D15A87" w:rsidRPr="00F430C6">
        <w:t>.</w:t>
      </w:r>
      <w:r w:rsidR="00D15A87">
        <w:t xml:space="preserve"> Australia continued to support </w:t>
      </w:r>
      <w:r w:rsidR="001F744D">
        <w:t xml:space="preserve">the </w:t>
      </w:r>
      <w:r w:rsidR="00D15A87">
        <w:t xml:space="preserve">Solomon Islands Government to roll out </w:t>
      </w:r>
      <w:r w:rsidR="0076019A" w:rsidRPr="007743B9">
        <w:rPr>
          <w:b/>
        </w:rPr>
        <w:t>information technology systems</w:t>
      </w:r>
      <w:r w:rsidR="0076019A">
        <w:t xml:space="preserve"> that will strengthen financial and human resource management. </w:t>
      </w:r>
      <w:r w:rsidR="00D15A87">
        <w:t xml:space="preserve">A recent public sector satisfaction survey found that </w:t>
      </w:r>
      <w:r w:rsidR="00D15A87" w:rsidRPr="001B7800">
        <w:t>51</w:t>
      </w:r>
      <w:r w:rsidR="00BD58D1">
        <w:t xml:space="preserve"> per cent</w:t>
      </w:r>
      <w:r w:rsidR="00D15A87" w:rsidRPr="001B7800">
        <w:t xml:space="preserve"> of residents and 44</w:t>
      </w:r>
      <w:r w:rsidR="00BD58D1">
        <w:t xml:space="preserve"> per cent</w:t>
      </w:r>
      <w:r w:rsidR="00D15A87" w:rsidRPr="001B7800">
        <w:t xml:space="preserve"> </w:t>
      </w:r>
      <w:r w:rsidR="00D15A87">
        <w:t xml:space="preserve">of </w:t>
      </w:r>
      <w:r w:rsidR="00D15A87" w:rsidRPr="001B7800">
        <w:t xml:space="preserve">businesses indicated there was an improvement in the use of IT systems to improve processes </w:t>
      </w:r>
      <w:r w:rsidR="00D15A87">
        <w:t>over the last 18 months</w:t>
      </w:r>
      <w:r w:rsidR="00D15A87" w:rsidRPr="001B7800">
        <w:t>.</w:t>
      </w:r>
      <w:r w:rsidR="00D15A87">
        <w:rPr>
          <w:rStyle w:val="FootnoteReference"/>
        </w:rPr>
        <w:footnoteReference w:id="9"/>
      </w:r>
    </w:p>
    <w:p w14:paraId="24F94AE1" w14:textId="77777777" w:rsidR="004B7150" w:rsidRDefault="007840A2" w:rsidP="00D15A87">
      <w:pPr>
        <w:rPr>
          <w:rFonts w:cstheme="minorHAnsi"/>
        </w:rPr>
      </w:pPr>
      <w:r>
        <w:rPr>
          <w:rFonts w:cstheme="minorHAnsi"/>
        </w:rPr>
        <w:t>S</w:t>
      </w:r>
      <w:r w:rsidR="004B7150" w:rsidRPr="004B7150">
        <w:rPr>
          <w:rFonts w:cstheme="minorHAnsi"/>
        </w:rPr>
        <w:t>upport under S</w:t>
      </w:r>
      <w:r w:rsidR="0000004D">
        <w:rPr>
          <w:rFonts w:cstheme="minorHAnsi"/>
        </w:rPr>
        <w:t xml:space="preserve">IGOV </w:t>
      </w:r>
      <w:r w:rsidR="004B7150" w:rsidRPr="004B7150">
        <w:rPr>
          <w:rFonts w:cstheme="minorHAnsi"/>
        </w:rPr>
        <w:t xml:space="preserve">continues to pursue </w:t>
      </w:r>
      <w:r w:rsidR="004B7150" w:rsidRPr="007840A2">
        <w:rPr>
          <w:rFonts w:cstheme="minorHAnsi"/>
          <w:b/>
        </w:rPr>
        <w:t>gender equality</w:t>
      </w:r>
      <w:r w:rsidR="004B7150" w:rsidRPr="004B7150">
        <w:rPr>
          <w:rFonts w:cstheme="minorHAnsi"/>
        </w:rPr>
        <w:t xml:space="preserve"> within the Solomon Islands Public Service – gender indicators remain a key feature in the performance agreements of Permanent Secretaries</w:t>
      </w:r>
      <w:r w:rsidR="00FC1862">
        <w:rPr>
          <w:rFonts w:cstheme="minorHAnsi"/>
        </w:rPr>
        <w:t xml:space="preserve">; gender-disaggregated data by employment level is now being collected </w:t>
      </w:r>
      <w:r w:rsidR="004B7150" w:rsidRPr="004B7150">
        <w:rPr>
          <w:rFonts w:cstheme="minorHAnsi"/>
        </w:rPr>
        <w:t>and a gender focal point network operate</w:t>
      </w:r>
      <w:r>
        <w:rPr>
          <w:rFonts w:cstheme="minorHAnsi"/>
        </w:rPr>
        <w:t>s across the Ministries</w:t>
      </w:r>
      <w:r w:rsidR="004B7150" w:rsidRPr="004B7150">
        <w:rPr>
          <w:rFonts w:cstheme="minorHAnsi"/>
        </w:rPr>
        <w:t>.</w:t>
      </w:r>
      <w:r w:rsidR="0000004D">
        <w:rPr>
          <w:rFonts w:cstheme="minorHAnsi"/>
        </w:rPr>
        <w:t xml:space="preserve"> Further work is required to convert opportunistic approaches to become systematic.</w:t>
      </w:r>
    </w:p>
    <w:p w14:paraId="0ABA589B" w14:textId="77777777" w:rsidR="00D15A87" w:rsidRPr="00101819" w:rsidRDefault="00D15A87" w:rsidP="00D15A87">
      <w:r>
        <w:t>The</w:t>
      </w:r>
      <w:r w:rsidRPr="00101819">
        <w:t xml:space="preserve"> </w:t>
      </w:r>
      <w:r w:rsidRPr="00C61457">
        <w:rPr>
          <w:b/>
        </w:rPr>
        <w:t xml:space="preserve">justice </w:t>
      </w:r>
      <w:r>
        <w:t xml:space="preserve">sector </w:t>
      </w:r>
      <w:r w:rsidRPr="00101819">
        <w:t xml:space="preserve">continued on </w:t>
      </w:r>
      <w:r>
        <w:t>a</w:t>
      </w:r>
      <w:r w:rsidRPr="00101819">
        <w:t xml:space="preserve"> positive trajectory of maintaining service</w:t>
      </w:r>
      <w:r>
        <w:t xml:space="preserve"> delivery with less reliance on external technical assistance. D</w:t>
      </w:r>
      <w:r w:rsidRPr="00101819">
        <w:t xml:space="preserve">espite a reduction </w:t>
      </w:r>
      <w:r>
        <w:t>in</w:t>
      </w:r>
      <w:r w:rsidRPr="00101819">
        <w:t xml:space="preserve"> Australian</w:t>
      </w:r>
      <w:r>
        <w:t>-</w:t>
      </w:r>
      <w:r w:rsidRPr="00101819">
        <w:t>funded adviser</w:t>
      </w:r>
      <w:r w:rsidR="0076019A">
        <w:t>s</w:t>
      </w:r>
      <w:r>
        <w:t xml:space="preserve"> </w:t>
      </w:r>
      <w:r w:rsidR="0076019A">
        <w:t>(</w:t>
      </w:r>
      <w:r>
        <w:t>from 20 in July 2015 to 15</w:t>
      </w:r>
      <w:r w:rsidRPr="00101819">
        <w:t xml:space="preserve"> </w:t>
      </w:r>
      <w:r>
        <w:t>by</w:t>
      </w:r>
      <w:r w:rsidRPr="00101819">
        <w:t xml:space="preserve"> June 2016</w:t>
      </w:r>
      <w:r w:rsidR="0076019A">
        <w:t>)</w:t>
      </w:r>
      <w:r>
        <w:t xml:space="preserve">, </w:t>
      </w:r>
      <w:r w:rsidRPr="00101819">
        <w:t>73</w:t>
      </w:r>
      <w:r w:rsidR="00BD58D1">
        <w:t xml:space="preserve"> per cent</w:t>
      </w:r>
      <w:r w:rsidRPr="00101819">
        <w:t xml:space="preserve"> of public </w:t>
      </w:r>
      <w:r>
        <w:t>stakeholders surveyed in late 2015 perceived</w:t>
      </w:r>
      <w:r w:rsidRPr="00101819">
        <w:t xml:space="preserve"> justice sector agencies </w:t>
      </w:r>
      <w:r>
        <w:t xml:space="preserve">to have </w:t>
      </w:r>
      <w:r w:rsidRPr="00101819">
        <w:t xml:space="preserve">improved service delivery </w:t>
      </w:r>
      <w:r>
        <w:t>since July 2014</w:t>
      </w:r>
      <w:r>
        <w:rPr>
          <w:rStyle w:val="FootnoteReference"/>
        </w:rPr>
        <w:footnoteReference w:id="10"/>
      </w:r>
      <w:r w:rsidRPr="00101819">
        <w:t xml:space="preserve">– the highest across any sector. </w:t>
      </w:r>
      <w:r w:rsidR="007840A2">
        <w:t>R</w:t>
      </w:r>
      <w:r>
        <w:t xml:space="preserve">ollout of the </w:t>
      </w:r>
      <w:r w:rsidRPr="00101819">
        <w:t xml:space="preserve">Justice Information Management System </w:t>
      </w:r>
      <w:r w:rsidR="0000004D">
        <w:t>continued</w:t>
      </w:r>
      <w:r>
        <w:t xml:space="preserve">, </w:t>
      </w:r>
      <w:r w:rsidR="007840A2">
        <w:t>showing</w:t>
      </w:r>
      <w:r w:rsidRPr="00101819">
        <w:t xml:space="preserve"> considerable potential to improve access to data, streamline workflow, </w:t>
      </w:r>
      <w:r>
        <w:t xml:space="preserve">and </w:t>
      </w:r>
      <w:r w:rsidRPr="00101819">
        <w:t>increase coordination</w:t>
      </w:r>
      <w:r>
        <w:t>.</w:t>
      </w:r>
      <w:r w:rsidDel="00846CEC">
        <w:t xml:space="preserve"> </w:t>
      </w:r>
      <w:r w:rsidRPr="00101819">
        <w:t xml:space="preserve">Critical capacity gaps remain, and Australia continues to fund a number of key in-line roles. </w:t>
      </w:r>
      <w:r>
        <w:t>W</w:t>
      </w:r>
      <w:r w:rsidRPr="00101819">
        <w:t xml:space="preserve">hile services </w:t>
      </w:r>
      <w:r>
        <w:t xml:space="preserve">across justice agencies </w:t>
      </w:r>
      <w:r w:rsidRPr="00101819">
        <w:t>were general</w:t>
      </w:r>
      <w:r w:rsidR="00BD58D1">
        <w:t>ly</w:t>
      </w:r>
      <w:r w:rsidRPr="00101819">
        <w:t xml:space="preserve"> maintained, and in </w:t>
      </w:r>
      <w:r w:rsidR="00F970E0">
        <w:t>some</w:t>
      </w:r>
      <w:r w:rsidRPr="00101819">
        <w:t xml:space="preserve"> instances improved, case disposals in the Magistrates Court were </w:t>
      </w:r>
      <w:r>
        <w:t xml:space="preserve">slightly </w:t>
      </w:r>
      <w:r w:rsidRPr="00101819">
        <w:t>lower than in 2014-15</w:t>
      </w:r>
      <w:r>
        <w:t>. More importantly, the case disposal rate lags</w:t>
      </w:r>
      <w:r w:rsidRPr="00101819">
        <w:t xml:space="preserve"> behind the number of cases filed – leading to </w:t>
      </w:r>
      <w:r w:rsidR="005F1651">
        <w:t>an increasing backlog of cases.</w:t>
      </w:r>
    </w:p>
    <w:p w14:paraId="29E5F4FF" w14:textId="77777777" w:rsidR="00D15A87" w:rsidRPr="00101819" w:rsidRDefault="00D15A87" w:rsidP="00D15A87">
      <w:r w:rsidRPr="00101819">
        <w:t xml:space="preserve">The </w:t>
      </w:r>
      <w:r w:rsidRPr="007743B9">
        <w:rPr>
          <w:b/>
          <w:i/>
        </w:rPr>
        <w:t xml:space="preserve">Family Protection Act </w:t>
      </w:r>
      <w:r w:rsidR="00BD58D1" w:rsidRPr="007743B9">
        <w:rPr>
          <w:b/>
          <w:i/>
        </w:rPr>
        <w:t>2014</w:t>
      </w:r>
      <w:r w:rsidR="00BD58D1">
        <w:t xml:space="preserve"> </w:t>
      </w:r>
      <w:r>
        <w:t>came into effect</w:t>
      </w:r>
      <w:r w:rsidRPr="00101819">
        <w:t xml:space="preserve"> in April 2016, </w:t>
      </w:r>
      <w:r w:rsidR="00794B7D" w:rsidRPr="007565AD">
        <w:rPr>
          <w:rFonts w:cstheme="minorHAnsi"/>
        </w:rPr>
        <w:t>explicitly criminalis</w:t>
      </w:r>
      <w:r w:rsidR="00794B7D">
        <w:rPr>
          <w:rFonts w:cstheme="minorHAnsi"/>
        </w:rPr>
        <w:t>ing</w:t>
      </w:r>
      <w:r w:rsidR="00794B7D" w:rsidRPr="007565AD">
        <w:rPr>
          <w:rFonts w:cstheme="minorHAnsi"/>
        </w:rPr>
        <w:t xml:space="preserve"> domestic violence in Solomon Islands for the first time.</w:t>
      </w:r>
      <w:r w:rsidRPr="00101819">
        <w:t xml:space="preserve"> </w:t>
      </w:r>
      <w:r>
        <w:t>I</w:t>
      </w:r>
      <w:r w:rsidRPr="00101819">
        <w:t>n 2015-16</w:t>
      </w:r>
      <w:r w:rsidR="00090E4F">
        <w:t>,</w:t>
      </w:r>
      <w:r w:rsidRPr="00101819">
        <w:t xml:space="preserve"> SIJP advisers train</w:t>
      </w:r>
      <w:r w:rsidR="00F970E0">
        <w:t>ed</w:t>
      </w:r>
      <w:r w:rsidRPr="00101819">
        <w:t xml:space="preserve"> local court justices and</w:t>
      </w:r>
      <w:r w:rsidR="00F970E0">
        <w:t xml:space="preserve"> provided </w:t>
      </w:r>
      <w:r w:rsidRPr="00101819">
        <w:t>information sessions for magistrates</w:t>
      </w:r>
      <w:r>
        <w:t xml:space="preserve"> on the Act</w:t>
      </w:r>
      <w:r w:rsidR="00F970E0">
        <w:t xml:space="preserve">. </w:t>
      </w:r>
      <w:r>
        <w:t>Australia worked across its gender</w:t>
      </w:r>
      <w:r w:rsidR="00677B67">
        <w:t xml:space="preserve"> equality</w:t>
      </w:r>
      <w:r>
        <w:t xml:space="preserve">, justice and health programs to help </w:t>
      </w:r>
      <w:r w:rsidR="00BD58D1">
        <w:t>Solomon Islands Government</w:t>
      </w:r>
      <w:r>
        <w:t xml:space="preserve"> </w:t>
      </w:r>
      <w:r w:rsidR="0000004D">
        <w:t xml:space="preserve">progress </w:t>
      </w:r>
      <w:r>
        <w:t xml:space="preserve">implementation </w:t>
      </w:r>
      <w:r w:rsidR="0000004D">
        <w:t>of the Act</w:t>
      </w:r>
      <w:r>
        <w:t xml:space="preserve">. </w:t>
      </w:r>
      <w:r w:rsidR="001749DE">
        <w:t xml:space="preserve">Given the </w:t>
      </w:r>
      <w:r w:rsidR="00130261">
        <w:t>short</w:t>
      </w:r>
      <w:r w:rsidR="001749DE">
        <w:t xml:space="preserve"> time since the Act was gazetted it is too soon to report on number of charges laid under this new legislation.</w:t>
      </w:r>
    </w:p>
    <w:p w14:paraId="75F4A76F" w14:textId="77777777" w:rsidR="00D15A87" w:rsidRDefault="00D15A87" w:rsidP="00D15A87">
      <w:pPr>
        <w:rPr>
          <w:rFonts w:cstheme="minorHAnsi"/>
        </w:rPr>
      </w:pPr>
      <w:r>
        <w:rPr>
          <w:rFonts w:cstheme="minorHAnsi"/>
        </w:rPr>
        <w:t xml:space="preserve">Support </w:t>
      </w:r>
      <w:r w:rsidRPr="00153DC6">
        <w:rPr>
          <w:rFonts w:cstheme="minorHAnsi"/>
        </w:rPr>
        <w:t xml:space="preserve">for </w:t>
      </w:r>
      <w:r w:rsidRPr="008E7951">
        <w:rPr>
          <w:rFonts w:cstheme="minorHAnsi"/>
          <w:b/>
        </w:rPr>
        <w:t>free and fair elections</w:t>
      </w:r>
      <w:r w:rsidRPr="00153DC6">
        <w:rPr>
          <w:rFonts w:cstheme="minorHAnsi"/>
        </w:rPr>
        <w:t xml:space="preserve"> remains a key pillar of Australia’s </w:t>
      </w:r>
      <w:r>
        <w:rPr>
          <w:rFonts w:cstheme="minorHAnsi"/>
        </w:rPr>
        <w:t>assistance for stability in Solomon Islands</w:t>
      </w:r>
      <w:r w:rsidRPr="00153DC6">
        <w:rPr>
          <w:rFonts w:cstheme="minorHAnsi"/>
        </w:rPr>
        <w:t>. Australia</w:t>
      </w:r>
      <w:r>
        <w:rPr>
          <w:rFonts w:cstheme="minorHAnsi"/>
        </w:rPr>
        <w:t>’s</w:t>
      </w:r>
      <w:r w:rsidRPr="00153DC6">
        <w:rPr>
          <w:rFonts w:cstheme="minorHAnsi"/>
        </w:rPr>
        <w:t xml:space="preserve"> </w:t>
      </w:r>
      <w:r w:rsidR="00F970E0">
        <w:rPr>
          <w:rFonts w:cstheme="minorHAnsi"/>
        </w:rPr>
        <w:t>assistance</w:t>
      </w:r>
      <w:r w:rsidRPr="00153DC6">
        <w:rPr>
          <w:rFonts w:cstheme="minorHAnsi"/>
        </w:rPr>
        <w:t xml:space="preserve"> to the Solomon Islands Electoral Commission continued in 2015-16</w:t>
      </w:r>
      <w:r>
        <w:rPr>
          <w:rFonts w:cstheme="minorHAnsi"/>
        </w:rPr>
        <w:t>,</w:t>
      </w:r>
      <w:r w:rsidRPr="00153DC6">
        <w:rPr>
          <w:rFonts w:cstheme="minorHAnsi"/>
        </w:rPr>
        <w:t xml:space="preserve"> in partnership with UNDP and the E</w:t>
      </w:r>
      <w:r>
        <w:rPr>
          <w:rFonts w:cstheme="minorHAnsi"/>
        </w:rPr>
        <w:t xml:space="preserve">uropean </w:t>
      </w:r>
      <w:r w:rsidRPr="00153DC6">
        <w:rPr>
          <w:rFonts w:cstheme="minorHAnsi"/>
        </w:rPr>
        <w:t>U</w:t>
      </w:r>
      <w:r>
        <w:rPr>
          <w:rFonts w:cstheme="minorHAnsi"/>
        </w:rPr>
        <w:t>nion</w:t>
      </w:r>
      <w:r w:rsidRPr="00153DC6">
        <w:rPr>
          <w:rFonts w:cstheme="minorHAnsi"/>
        </w:rPr>
        <w:t xml:space="preserve">. </w:t>
      </w:r>
      <w:r w:rsidR="008562E5">
        <w:rPr>
          <w:rFonts w:cstheme="minorHAnsi"/>
        </w:rPr>
        <w:t>Australia supported</w:t>
      </w:r>
      <w:r w:rsidRPr="00153DC6">
        <w:rPr>
          <w:rFonts w:cstheme="minorHAnsi"/>
        </w:rPr>
        <w:t xml:space="preserve"> the Commission’s substantial reform agenda</w:t>
      </w:r>
      <w:r>
        <w:rPr>
          <w:rFonts w:cstheme="minorHAnsi"/>
        </w:rPr>
        <w:t>,</w:t>
      </w:r>
      <w:r w:rsidRPr="00153DC6">
        <w:rPr>
          <w:rFonts w:cstheme="minorHAnsi"/>
        </w:rPr>
        <w:t xml:space="preserve"> with good progress being made including </w:t>
      </w:r>
      <w:r w:rsidR="00F13459" w:rsidRPr="00153DC6">
        <w:rPr>
          <w:rFonts w:cstheme="minorHAnsi"/>
        </w:rPr>
        <w:t>parliament</w:t>
      </w:r>
      <w:r w:rsidR="00F13459">
        <w:rPr>
          <w:rFonts w:cstheme="minorHAnsi"/>
        </w:rPr>
        <w:t xml:space="preserve">ary </w:t>
      </w:r>
      <w:r w:rsidRPr="00153DC6">
        <w:rPr>
          <w:rFonts w:cstheme="minorHAnsi"/>
        </w:rPr>
        <w:t>consideration of a white paper on alternate electoral systems and preparatory analysis for the development of new electoral legislation.</w:t>
      </w:r>
    </w:p>
    <w:p w14:paraId="45C8547F" w14:textId="77777777" w:rsidR="00D15A87" w:rsidRPr="00153DC6" w:rsidRDefault="00D15A87" w:rsidP="00D15A87">
      <w:pPr>
        <w:rPr>
          <w:rFonts w:cstheme="minorHAnsi"/>
        </w:rPr>
      </w:pPr>
      <w:r>
        <w:rPr>
          <w:rFonts w:cs="Calibri"/>
        </w:rPr>
        <w:t xml:space="preserve">On </w:t>
      </w:r>
      <w:r w:rsidRPr="00084C2F">
        <w:rPr>
          <w:rFonts w:cs="Calibri"/>
          <w:b/>
        </w:rPr>
        <w:t xml:space="preserve">disaster </w:t>
      </w:r>
      <w:r w:rsidR="00E96A35">
        <w:rPr>
          <w:rFonts w:cs="Calibri"/>
          <w:b/>
        </w:rPr>
        <w:t xml:space="preserve">risk </w:t>
      </w:r>
      <w:r w:rsidRPr="00084C2F">
        <w:rPr>
          <w:rFonts w:cs="Calibri"/>
          <w:b/>
        </w:rPr>
        <w:t>response</w:t>
      </w:r>
      <w:r>
        <w:rPr>
          <w:rFonts w:cs="Calibri"/>
        </w:rPr>
        <w:t xml:space="preserve">, Australia played an active role helping </w:t>
      </w:r>
      <w:r w:rsidR="00E96A35">
        <w:t>Solomon Islands Government</w:t>
      </w:r>
      <w:r>
        <w:rPr>
          <w:rFonts w:cs="Calibri"/>
        </w:rPr>
        <w:t xml:space="preserve"> to consider how best </w:t>
      </w:r>
      <w:r w:rsidR="00983CF0">
        <w:rPr>
          <w:rFonts w:cs="Calibri"/>
        </w:rPr>
        <w:t xml:space="preserve">to </w:t>
      </w:r>
      <w:r>
        <w:rPr>
          <w:rFonts w:cs="Calibri"/>
        </w:rPr>
        <w:t xml:space="preserve">respond to disasters. In 2015-16, Australia started programs working to strengthen the National Disaster Management Office and </w:t>
      </w:r>
      <w:r w:rsidR="00D74D42">
        <w:rPr>
          <w:rFonts w:cs="Calibri"/>
        </w:rPr>
        <w:t xml:space="preserve">enable Solomon Islands Government to </w:t>
      </w:r>
      <w:r>
        <w:rPr>
          <w:rFonts w:cs="Calibri"/>
        </w:rPr>
        <w:t>mitigate existing hazards</w:t>
      </w:r>
      <w:r w:rsidR="00D74D42" w:rsidRPr="00D74D42">
        <w:rPr>
          <w:rFonts w:cs="Calibri"/>
        </w:rPr>
        <w:t xml:space="preserve"> </w:t>
      </w:r>
      <w:r w:rsidR="00D74D42">
        <w:rPr>
          <w:rFonts w:cs="Calibri"/>
        </w:rPr>
        <w:t>better</w:t>
      </w:r>
      <w:r w:rsidR="005F1651">
        <w:rPr>
          <w:rFonts w:cs="Calibri"/>
        </w:rPr>
        <w:t>.</w:t>
      </w:r>
    </w:p>
    <w:p w14:paraId="35BC81FE" w14:textId="77777777" w:rsidR="00B34E04" w:rsidRDefault="00B34E04"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39E23314" w14:textId="77777777" w:rsidR="00B34E04" w:rsidRDefault="00B34E04" w:rsidP="00B34E04">
      <w:pPr>
        <w:pStyle w:val="ListBullet"/>
        <w:tabs>
          <w:tab w:val="clear" w:pos="284"/>
        </w:tabs>
        <w:spacing w:before="120"/>
        <w:rPr>
          <w:rFonts w:asciiTheme="majorHAnsi" w:eastAsiaTheme="majorEastAsia" w:hAnsiTheme="majorHAnsi" w:cstheme="majorBidi"/>
          <w:caps/>
          <w:color w:val="495965" w:themeColor="text2"/>
          <w:sz w:val="38"/>
          <w:szCs w:val="26"/>
          <w:lang w:val="en-GB" w:eastAsia="en-US"/>
        </w:rPr>
      </w:pPr>
    </w:p>
    <w:p w14:paraId="315E59B0" w14:textId="3E540F78" w:rsidR="005955F6" w:rsidRDefault="005955F6" w:rsidP="00B34E04">
      <w:pPr>
        <w:pStyle w:val="ListBullet"/>
        <w:tabs>
          <w:tab w:val="clear" w:pos="284"/>
        </w:tabs>
        <w:spacing w:before="12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2</w:t>
      </w:r>
      <w:r w:rsidR="009D6836">
        <w:rPr>
          <w:rFonts w:asciiTheme="majorHAnsi" w:eastAsiaTheme="majorEastAsia" w:hAnsiTheme="majorHAnsi" w:cstheme="majorBidi"/>
          <w:caps/>
          <w:color w:val="495965" w:themeColor="text2"/>
          <w:sz w:val="38"/>
          <w:szCs w:val="26"/>
          <w:lang w:val="en-GB" w:eastAsia="en-US"/>
        </w:rPr>
        <w:t>a</w:t>
      </w:r>
      <w:r w:rsidR="00465172">
        <w:rPr>
          <w:rFonts w:asciiTheme="majorHAnsi" w:eastAsiaTheme="majorEastAsia" w:hAnsiTheme="majorHAnsi" w:cstheme="majorBidi"/>
          <w:caps/>
          <w:color w:val="495965" w:themeColor="text2"/>
          <w:sz w:val="38"/>
          <w:szCs w:val="26"/>
          <w:lang w:val="en-GB" w:eastAsia="en-US"/>
        </w:rPr>
        <w:t xml:space="preserve"> </w:t>
      </w:r>
      <w:r w:rsidR="005F1651">
        <w:rPr>
          <w:rFonts w:asciiTheme="majorHAnsi" w:eastAsiaTheme="majorEastAsia" w:hAnsiTheme="majorHAnsi" w:cstheme="majorBidi"/>
          <w:caps/>
          <w:color w:val="495965" w:themeColor="text2"/>
          <w:sz w:val="38"/>
          <w:szCs w:val="26"/>
          <w:lang w:val="en-GB" w:eastAsia="en-US"/>
        </w:rPr>
        <w:t>–</w:t>
      </w:r>
      <w:r w:rsidR="00465172">
        <w:rPr>
          <w:rFonts w:asciiTheme="majorHAnsi" w:eastAsiaTheme="majorEastAsia" w:hAnsiTheme="majorHAnsi" w:cstheme="majorBidi"/>
          <w:caps/>
          <w:color w:val="495965" w:themeColor="text2"/>
          <w:sz w:val="38"/>
          <w:szCs w:val="26"/>
          <w:lang w:val="en-GB" w:eastAsia="en-US"/>
        </w:rPr>
        <w:t xml:space="preserve"> a</w:t>
      </w:r>
      <w:r w:rsidR="005F1651">
        <w:rPr>
          <w:rFonts w:asciiTheme="majorHAnsi" w:eastAsiaTheme="majorEastAsia" w:hAnsiTheme="majorHAnsi" w:cstheme="majorBidi"/>
          <w:caps/>
          <w:color w:val="495965" w:themeColor="text2"/>
          <w:sz w:val="38"/>
          <w:szCs w:val="26"/>
          <w:lang w:val="en-GB" w:eastAsia="en-US"/>
        </w:rPr>
        <w:t xml:space="preserve"> </w:t>
      </w:r>
      <w:r w:rsidR="00465172">
        <w:rPr>
          <w:rFonts w:asciiTheme="majorHAnsi" w:eastAsiaTheme="majorEastAsia" w:hAnsiTheme="majorHAnsi" w:cstheme="majorBidi"/>
          <w:caps/>
          <w:color w:val="495965" w:themeColor="text2"/>
          <w:sz w:val="38"/>
          <w:szCs w:val="26"/>
          <w:lang w:val="en-GB" w:eastAsia="en-US"/>
        </w:rPr>
        <w:t>more attractive environment for business</w:t>
      </w:r>
    </w:p>
    <w:p w14:paraId="173B7296" w14:textId="77777777" w:rsidR="00B34E04" w:rsidRDefault="006A3649" w:rsidP="00431760">
      <w:pPr>
        <w:rPr>
          <w:rFonts w:cs="Calibri"/>
        </w:rPr>
      </w:pPr>
      <w:r w:rsidRPr="00A32FAC">
        <w:rPr>
          <w:rFonts w:cs="Calibri"/>
        </w:rPr>
        <w:t xml:space="preserve">In 2015-16, </w:t>
      </w:r>
      <w:r w:rsidR="00F156AE" w:rsidRPr="00A32FAC">
        <w:rPr>
          <w:rFonts w:cs="Calibri"/>
        </w:rPr>
        <w:t>Australia</w:t>
      </w:r>
      <w:r w:rsidR="0035690E">
        <w:rPr>
          <w:rFonts w:cs="Calibri"/>
        </w:rPr>
        <w:t>’s</w:t>
      </w:r>
      <w:r w:rsidR="00F156AE" w:rsidRPr="00A32FAC">
        <w:rPr>
          <w:rFonts w:cs="Calibri"/>
        </w:rPr>
        <w:t xml:space="preserve"> progress</w:t>
      </w:r>
      <w:r w:rsidR="004069C6" w:rsidRPr="00A32FAC">
        <w:rPr>
          <w:rFonts w:cs="Calibri"/>
        </w:rPr>
        <w:t xml:space="preserve"> towards a greater</w:t>
      </w:r>
      <w:r w:rsidR="00D45309" w:rsidRPr="00A32FAC">
        <w:rPr>
          <w:rFonts w:cs="Calibri"/>
        </w:rPr>
        <w:t xml:space="preserve"> focus on investments that directly facilitate economic </w:t>
      </w:r>
    </w:p>
    <w:p w14:paraId="0BA38EB5" w14:textId="04644F1B" w:rsidR="00431760" w:rsidRPr="00A32FAC" w:rsidRDefault="00D45309" w:rsidP="00431760">
      <w:pPr>
        <w:rPr>
          <w:rFonts w:cs="Calibri"/>
        </w:rPr>
      </w:pPr>
      <w:r w:rsidRPr="00A32FAC">
        <w:rPr>
          <w:rFonts w:cs="Calibri"/>
        </w:rPr>
        <w:t>growth and enable wealth creation</w:t>
      </w:r>
      <w:r w:rsidR="006656FC">
        <w:rPr>
          <w:rFonts w:cs="Calibri"/>
        </w:rPr>
        <w:t xml:space="preserve"> is </w:t>
      </w:r>
      <w:r w:rsidR="00F156AE">
        <w:rPr>
          <w:rFonts w:cs="Calibri"/>
        </w:rPr>
        <w:t xml:space="preserve">on track, and </w:t>
      </w:r>
      <w:r w:rsidR="006656FC">
        <w:rPr>
          <w:rFonts w:cs="Calibri"/>
        </w:rPr>
        <w:t>rated green.</w:t>
      </w:r>
      <w:r w:rsidRPr="00A32FAC">
        <w:rPr>
          <w:rFonts w:cs="Calibri"/>
        </w:rPr>
        <w:t xml:space="preserve"> </w:t>
      </w:r>
      <w:r w:rsidR="00A32FAC">
        <w:rPr>
          <w:rFonts w:cs="Calibri"/>
        </w:rPr>
        <w:t>The operating environment for Australian support for economic growth in Solomon Islands was challenging in 2015-16</w:t>
      </w:r>
      <w:r w:rsidR="008D0EFA">
        <w:rPr>
          <w:rFonts w:cs="Calibri"/>
        </w:rPr>
        <w:t xml:space="preserve"> – there was </w:t>
      </w:r>
      <w:r w:rsidR="00A32FAC">
        <w:rPr>
          <w:rFonts w:cs="Calibri"/>
        </w:rPr>
        <w:t xml:space="preserve">increasingly rapid expenditure of cash reserves on </w:t>
      </w:r>
      <w:r w:rsidR="008D0EFA">
        <w:rPr>
          <w:rFonts w:cs="Calibri"/>
        </w:rPr>
        <w:t>consumption rather than productive investments</w:t>
      </w:r>
      <w:r w:rsidR="00A32FAC">
        <w:rPr>
          <w:rFonts w:cs="Calibri"/>
        </w:rPr>
        <w:t xml:space="preserve">; and </w:t>
      </w:r>
      <w:r w:rsidR="008D0EFA">
        <w:rPr>
          <w:rFonts w:cs="Calibri"/>
        </w:rPr>
        <w:t xml:space="preserve">progress stalled in </w:t>
      </w:r>
      <w:r w:rsidR="008D0EFA">
        <w:rPr>
          <w:rFonts w:cs="Calibri"/>
        </w:rPr>
        <w:lastRenderedPageBreak/>
        <w:t xml:space="preserve">the Core Economic Working Group, </w:t>
      </w:r>
      <w:r w:rsidR="00A32FAC">
        <w:rPr>
          <w:rFonts w:cs="Calibri"/>
        </w:rPr>
        <w:t xml:space="preserve">the key vehicle for Government and donor partner policy dialogue on economic reform. Despite these challenges, </w:t>
      </w:r>
      <w:r w:rsidR="00431760" w:rsidRPr="00A32FAC">
        <w:rPr>
          <w:rFonts w:cs="Calibri"/>
        </w:rPr>
        <w:t>Australian in</w:t>
      </w:r>
      <w:r w:rsidR="008D0EFA">
        <w:rPr>
          <w:rFonts w:cs="Calibri"/>
        </w:rPr>
        <w:t xml:space="preserve">vestments </w:t>
      </w:r>
      <w:r w:rsidR="000441D9" w:rsidRPr="00A32FAC">
        <w:rPr>
          <w:rFonts w:cs="Calibri"/>
        </w:rPr>
        <w:t>support</w:t>
      </w:r>
      <w:r w:rsidR="008D0EFA">
        <w:rPr>
          <w:rFonts w:cs="Calibri"/>
        </w:rPr>
        <w:t>ing</w:t>
      </w:r>
      <w:r w:rsidR="00431760" w:rsidRPr="00A32FAC">
        <w:rPr>
          <w:rFonts w:cs="Calibri"/>
        </w:rPr>
        <w:t xml:space="preserve"> skills</w:t>
      </w:r>
      <w:r w:rsidR="000441D9" w:rsidRPr="00A32FAC">
        <w:rPr>
          <w:rFonts w:cs="Calibri"/>
        </w:rPr>
        <w:t xml:space="preserve"> development</w:t>
      </w:r>
      <w:r w:rsidR="00431760" w:rsidRPr="00A32FAC">
        <w:rPr>
          <w:rFonts w:cs="Calibri"/>
        </w:rPr>
        <w:t>, growth</w:t>
      </w:r>
      <w:r w:rsidR="00FD7251">
        <w:rPr>
          <w:rFonts w:cs="Calibri"/>
        </w:rPr>
        <w:t> </w:t>
      </w:r>
      <w:r w:rsidR="00431760" w:rsidRPr="00A32FAC">
        <w:rPr>
          <w:rFonts w:cs="Calibri"/>
        </w:rPr>
        <w:t xml:space="preserve">related infrastructure and </w:t>
      </w:r>
      <w:r w:rsidR="007743B9">
        <w:rPr>
          <w:rFonts w:cs="Calibri"/>
        </w:rPr>
        <w:t>utilities</w:t>
      </w:r>
      <w:r w:rsidR="00431760" w:rsidRPr="00A32FAC">
        <w:rPr>
          <w:rFonts w:cs="Calibri"/>
        </w:rPr>
        <w:t xml:space="preserve"> remain</w:t>
      </w:r>
      <w:r w:rsidR="008D0EFA">
        <w:rPr>
          <w:rFonts w:cs="Calibri"/>
        </w:rPr>
        <w:t>ed</w:t>
      </w:r>
      <w:r w:rsidR="00431760" w:rsidRPr="00A32FAC">
        <w:rPr>
          <w:rFonts w:cs="Calibri"/>
        </w:rPr>
        <w:t xml:space="preserve"> sound. Australia has successfully supported the country’s capacity to plan, build and</w:t>
      </w:r>
      <w:r w:rsidR="000656ED" w:rsidRPr="00A32FAC">
        <w:rPr>
          <w:rFonts w:cs="Calibri"/>
        </w:rPr>
        <w:t xml:space="preserve"> </w:t>
      </w:r>
      <w:r w:rsidR="00431760" w:rsidRPr="00A32FAC">
        <w:rPr>
          <w:rFonts w:cs="Calibri"/>
        </w:rPr>
        <w:t>maintain infrastructure</w:t>
      </w:r>
      <w:r w:rsidR="008D0EFA">
        <w:rPr>
          <w:rFonts w:cs="Calibri"/>
        </w:rPr>
        <w:t>; and t</w:t>
      </w:r>
      <w:r w:rsidR="00431760" w:rsidRPr="00A32FAC">
        <w:rPr>
          <w:rFonts w:cs="Calibri"/>
        </w:rPr>
        <w:t>he environment for private sector dialogue with the Government has</w:t>
      </w:r>
      <w:r w:rsidR="000656ED" w:rsidRPr="00A32FAC">
        <w:rPr>
          <w:rFonts w:cs="Calibri"/>
        </w:rPr>
        <w:t xml:space="preserve"> </w:t>
      </w:r>
      <w:r w:rsidR="00431760" w:rsidRPr="00A32FAC">
        <w:rPr>
          <w:rFonts w:cs="Calibri"/>
        </w:rPr>
        <w:t>improved.</w:t>
      </w:r>
    </w:p>
    <w:p w14:paraId="1CA65A19" w14:textId="77777777" w:rsidR="00380C21" w:rsidRPr="00DD04C3" w:rsidRDefault="00380C21" w:rsidP="00380C21">
      <w:pPr>
        <w:rPr>
          <w:rFonts w:eastAsia="Times New Roman"/>
          <w:iCs/>
        </w:rPr>
      </w:pPr>
      <w:r w:rsidRPr="00DD04C3">
        <w:rPr>
          <w:rFonts w:eastAsia="Times New Roman"/>
          <w:iCs/>
        </w:rPr>
        <w:t xml:space="preserve">In a challenging, complex context, </w:t>
      </w:r>
      <w:r w:rsidRPr="003268B2">
        <w:rPr>
          <w:rFonts w:eastAsia="Times New Roman"/>
          <w:iCs/>
        </w:rPr>
        <w:t xml:space="preserve">Australia made strong progress in assisting </w:t>
      </w:r>
      <w:r>
        <w:rPr>
          <w:rFonts w:eastAsia="Times New Roman"/>
          <w:iCs/>
        </w:rPr>
        <w:t xml:space="preserve">the </w:t>
      </w:r>
      <w:r w:rsidRPr="003268B2">
        <w:rPr>
          <w:rFonts w:eastAsia="Times New Roman"/>
          <w:iCs/>
        </w:rPr>
        <w:t xml:space="preserve">Solomon Islands Government to </w:t>
      </w:r>
      <w:r w:rsidRPr="00284A18">
        <w:rPr>
          <w:rFonts w:eastAsia="Times New Roman"/>
          <w:b/>
          <w:iCs/>
        </w:rPr>
        <w:t xml:space="preserve">plan, </w:t>
      </w:r>
      <w:r>
        <w:rPr>
          <w:rFonts w:eastAsia="Times New Roman"/>
          <w:b/>
          <w:iCs/>
        </w:rPr>
        <w:t>develop</w:t>
      </w:r>
      <w:r w:rsidRPr="00284A18">
        <w:rPr>
          <w:rFonts w:eastAsia="Times New Roman"/>
          <w:b/>
          <w:iCs/>
        </w:rPr>
        <w:t xml:space="preserve"> and maintain infrastructure</w:t>
      </w:r>
      <w:r>
        <w:rPr>
          <w:rFonts w:eastAsia="Times New Roman"/>
          <w:b/>
          <w:iCs/>
        </w:rPr>
        <w:t xml:space="preserve">. </w:t>
      </w:r>
      <w:r w:rsidRPr="0035690E">
        <w:rPr>
          <w:rFonts w:eastAsia="Times New Roman"/>
          <w:iCs/>
        </w:rPr>
        <w:t xml:space="preserve">Through </w:t>
      </w:r>
      <w:r>
        <w:rPr>
          <w:rFonts w:eastAsia="Times New Roman"/>
          <w:iCs/>
        </w:rPr>
        <w:t xml:space="preserve">Australian </w:t>
      </w:r>
      <w:r w:rsidRPr="0035690E">
        <w:rPr>
          <w:rFonts w:eastAsia="Times New Roman"/>
          <w:iCs/>
        </w:rPr>
        <w:t>contributions to Solomon Islands Government’s National Transport Fund and associated technical assistance,</w:t>
      </w:r>
      <w:r>
        <w:rPr>
          <w:rFonts w:eastAsia="Times New Roman"/>
          <w:b/>
          <w:iCs/>
        </w:rPr>
        <w:t xml:space="preserve"> </w:t>
      </w:r>
      <w:r w:rsidRPr="007743B9">
        <w:rPr>
          <w:rFonts w:eastAsia="Times New Roman"/>
          <w:iCs/>
        </w:rPr>
        <w:t>Solomon Islands Government ha</w:t>
      </w:r>
      <w:r>
        <w:rPr>
          <w:rFonts w:eastAsia="Times New Roman"/>
          <w:iCs/>
        </w:rPr>
        <w:t>d</w:t>
      </w:r>
      <w:r w:rsidRPr="007743B9">
        <w:rPr>
          <w:rFonts w:eastAsia="Times New Roman"/>
          <w:iCs/>
        </w:rPr>
        <w:t xml:space="preserve"> </w:t>
      </w:r>
      <w:r w:rsidRPr="00DD04C3">
        <w:rPr>
          <w:rFonts w:eastAsia="Times New Roman"/>
          <w:iCs/>
        </w:rPr>
        <w:t xml:space="preserve">887 km of roads and 32 wharves under routine maintenance by June 2016 (up from 643 km and 15 wharves in the previous year). By outsourcing civil works, </w:t>
      </w:r>
      <w:r>
        <w:rPr>
          <w:rFonts w:eastAsia="Times New Roman"/>
          <w:iCs/>
        </w:rPr>
        <w:t>this</w:t>
      </w:r>
      <w:r w:rsidRPr="00DD04C3">
        <w:rPr>
          <w:rFonts w:eastAsia="Times New Roman"/>
          <w:iCs/>
        </w:rPr>
        <w:t xml:space="preserve"> transport program also created new opportunities for the local private sector and employment for men and women. For example, in 2015, roadworks generated 11,923 person months of employment, of which 60 per cent was taken up by women</w:t>
      </w:r>
      <w:r w:rsidR="005F1651">
        <w:rPr>
          <w:rFonts w:eastAsia="Times New Roman"/>
          <w:iCs/>
        </w:rPr>
        <w:t xml:space="preserve"> (up from 52 per cent in 2014).</w:t>
      </w:r>
    </w:p>
    <w:p w14:paraId="34DB283B" w14:textId="77777777" w:rsidR="00380C21" w:rsidRPr="00DD04C3" w:rsidRDefault="00380C21" w:rsidP="00380C21">
      <w:pPr>
        <w:rPr>
          <w:rFonts w:eastAsia="Times New Roman"/>
          <w:iCs/>
        </w:rPr>
      </w:pPr>
      <w:r w:rsidRPr="00DD04C3">
        <w:rPr>
          <w:rFonts w:eastAsia="Times New Roman"/>
          <w:iCs/>
        </w:rPr>
        <w:t xml:space="preserve">In 2015-16, Australia worked closely with </w:t>
      </w:r>
      <w:r>
        <w:rPr>
          <w:rFonts w:eastAsia="Times New Roman"/>
          <w:iCs/>
        </w:rPr>
        <w:t xml:space="preserve">the </w:t>
      </w:r>
      <w:r w:rsidRPr="00DD04C3">
        <w:rPr>
          <w:rFonts w:eastAsia="Times New Roman"/>
          <w:iCs/>
        </w:rPr>
        <w:t xml:space="preserve">Solomon Islands Government and the Asian Development Bank to agree upon the design of a new $42 million phase of Australian support to the transport sector through a joint partnership. </w:t>
      </w:r>
      <w:r>
        <w:rPr>
          <w:rFonts w:eastAsia="Times New Roman"/>
          <w:iCs/>
        </w:rPr>
        <w:t>T</w:t>
      </w:r>
      <w:r w:rsidRPr="00DD04C3">
        <w:rPr>
          <w:rFonts w:eastAsia="Times New Roman"/>
          <w:iCs/>
        </w:rPr>
        <w:t>his approach ensures the ongoing operation of the National Transport Fund as an effective, efficient and accountable mechanism for delivering large, multi-year investments in maintaining and improving transport infrastructure.</w:t>
      </w:r>
    </w:p>
    <w:p w14:paraId="56A32D48" w14:textId="77777777" w:rsidR="00284A18" w:rsidRPr="00D67CB4" w:rsidRDefault="00284A18" w:rsidP="00284A18">
      <w:pPr>
        <w:rPr>
          <w:rFonts w:cstheme="minorHAnsi"/>
        </w:rPr>
      </w:pPr>
      <w:r>
        <w:rPr>
          <w:rFonts w:cstheme="minorHAnsi"/>
        </w:rPr>
        <w:t xml:space="preserve">In 2015-16, </w:t>
      </w:r>
      <w:r w:rsidRPr="00D67CB4">
        <w:rPr>
          <w:rFonts w:cstheme="minorHAnsi"/>
        </w:rPr>
        <w:t xml:space="preserve">Australia’s total </w:t>
      </w:r>
      <w:r w:rsidRPr="00064762">
        <w:rPr>
          <w:rFonts w:cstheme="minorHAnsi"/>
          <w:b/>
        </w:rPr>
        <w:t>aid for trade</w:t>
      </w:r>
      <w:r w:rsidRPr="00D67CB4">
        <w:rPr>
          <w:rFonts w:cstheme="minorHAnsi"/>
        </w:rPr>
        <w:t xml:space="preserve"> scaled up significantly</w:t>
      </w:r>
      <w:r>
        <w:rPr>
          <w:rFonts w:cstheme="minorHAnsi"/>
        </w:rPr>
        <w:t>,</w:t>
      </w:r>
      <w:r w:rsidRPr="00D67CB4">
        <w:rPr>
          <w:rFonts w:cstheme="minorHAnsi"/>
        </w:rPr>
        <w:t xml:space="preserve"> reaching 19 per cent of our total bilateral investments (up from 12 per cent in 2014-15</w:t>
      </w:r>
      <w:r>
        <w:rPr>
          <w:rFonts w:cstheme="minorHAnsi"/>
        </w:rPr>
        <w:t>)</w:t>
      </w:r>
      <w:r w:rsidRPr="00D67CB4">
        <w:rPr>
          <w:rFonts w:cstheme="minorHAnsi"/>
        </w:rPr>
        <w:t xml:space="preserve">. </w:t>
      </w:r>
      <w:r>
        <w:rPr>
          <w:rFonts w:cstheme="minorHAnsi"/>
        </w:rPr>
        <w:t xml:space="preserve">This was realised through </w:t>
      </w:r>
      <w:r w:rsidR="007743B9">
        <w:rPr>
          <w:rFonts w:cstheme="minorHAnsi"/>
        </w:rPr>
        <w:t xml:space="preserve">increased </w:t>
      </w:r>
      <w:r>
        <w:rPr>
          <w:rFonts w:cstheme="minorHAnsi"/>
        </w:rPr>
        <w:t>support for</w:t>
      </w:r>
      <w:r w:rsidRPr="00D67CB4">
        <w:rPr>
          <w:rFonts w:cstheme="minorHAnsi"/>
        </w:rPr>
        <w:t xml:space="preserve"> improvements to infrastructure, extension of value chains</w:t>
      </w:r>
      <w:r>
        <w:rPr>
          <w:rFonts w:cstheme="minorHAnsi"/>
        </w:rPr>
        <w:t xml:space="preserve"> and</w:t>
      </w:r>
      <w:r w:rsidRPr="00D67CB4">
        <w:rPr>
          <w:rFonts w:cstheme="minorHAnsi"/>
        </w:rPr>
        <w:t xml:space="preserve"> rural business development</w:t>
      </w:r>
      <w:r>
        <w:rPr>
          <w:rFonts w:cstheme="minorHAnsi"/>
        </w:rPr>
        <w:t>. Greater trade facilitation took place through</w:t>
      </w:r>
      <w:r w:rsidRPr="00D67CB4">
        <w:rPr>
          <w:rFonts w:cstheme="minorHAnsi"/>
        </w:rPr>
        <w:t xml:space="preserve"> support for customs, quarantine, biosecurity, agricultural market access and economic governance. Australia’s support to Solomon Islands Customs, through technical assistance and the introduction of a new customs automation system, helped facilitate over </w:t>
      </w:r>
      <w:r>
        <w:rPr>
          <w:rFonts w:cstheme="minorHAnsi"/>
        </w:rPr>
        <w:t>AUD</w:t>
      </w:r>
      <w:r w:rsidRPr="00D67CB4">
        <w:rPr>
          <w:rFonts w:cstheme="minorHAnsi"/>
        </w:rPr>
        <w:t>$44</w:t>
      </w:r>
      <w:r>
        <w:rPr>
          <w:rFonts w:cstheme="minorHAnsi"/>
        </w:rPr>
        <w:t xml:space="preserve"> </w:t>
      </w:r>
      <w:r w:rsidRPr="00D67CB4">
        <w:rPr>
          <w:rFonts w:cstheme="minorHAnsi"/>
        </w:rPr>
        <w:t xml:space="preserve">million in exports and </w:t>
      </w:r>
      <w:r w:rsidR="00FE6314">
        <w:t xml:space="preserve">led to efficiencies in clearance processes for goods. </w:t>
      </w:r>
      <w:r w:rsidRPr="00D67CB4">
        <w:rPr>
          <w:rFonts w:cstheme="minorHAnsi"/>
        </w:rPr>
        <w:t>Australia also used advocacy and policy dialogue to increase Solomon Islands’ participation in international trade through agreements such as PACER Plus and the WTO Agreement on Trade Facilitation.</w:t>
      </w:r>
    </w:p>
    <w:p w14:paraId="4D0D18CB" w14:textId="77777777" w:rsidR="006D0F38" w:rsidRDefault="004069C6" w:rsidP="004069C6">
      <w:pPr>
        <w:rPr>
          <w:rFonts w:cstheme="minorHAnsi"/>
        </w:rPr>
      </w:pPr>
      <w:r w:rsidRPr="00D67CB4">
        <w:rPr>
          <w:rFonts w:cstheme="minorHAnsi"/>
        </w:rPr>
        <w:t xml:space="preserve">In 2015-16, Australia continued to </w:t>
      </w:r>
      <w:r w:rsidR="000441D9">
        <w:rPr>
          <w:rFonts w:cstheme="minorHAnsi"/>
        </w:rPr>
        <w:t>assist</w:t>
      </w:r>
      <w:r w:rsidRPr="00D67CB4">
        <w:rPr>
          <w:rFonts w:cstheme="minorHAnsi"/>
        </w:rPr>
        <w:t xml:space="preserve"> and advocate for Solomon Islands to </w:t>
      </w:r>
      <w:r w:rsidRPr="00F42009">
        <w:rPr>
          <w:rFonts w:cstheme="minorHAnsi"/>
        </w:rPr>
        <w:t>strengthen its</w:t>
      </w:r>
      <w:r w:rsidRPr="006722E1">
        <w:rPr>
          <w:rFonts w:cstheme="minorHAnsi"/>
          <w:b/>
        </w:rPr>
        <w:t xml:space="preserve"> macroeconomic environment</w:t>
      </w:r>
      <w:r w:rsidRPr="00D67CB4">
        <w:rPr>
          <w:rFonts w:cstheme="minorHAnsi"/>
        </w:rPr>
        <w:t xml:space="preserve">, including by </w:t>
      </w:r>
      <w:r>
        <w:rPr>
          <w:rFonts w:cstheme="minorHAnsi"/>
        </w:rPr>
        <w:t xml:space="preserve">supporting constructive engagement with </w:t>
      </w:r>
      <w:r w:rsidRPr="00D67CB4">
        <w:rPr>
          <w:rFonts w:cstheme="minorHAnsi"/>
        </w:rPr>
        <w:t xml:space="preserve">the International Monetary Fund, developing </w:t>
      </w:r>
      <w:r>
        <w:rPr>
          <w:rFonts w:cstheme="minorHAnsi"/>
        </w:rPr>
        <w:t xml:space="preserve">a </w:t>
      </w:r>
      <w:r w:rsidRPr="00D67CB4">
        <w:rPr>
          <w:rFonts w:cstheme="minorHAnsi"/>
        </w:rPr>
        <w:t>credible economic forecasting capacity</w:t>
      </w:r>
      <w:r w:rsidR="00F22F5E">
        <w:rPr>
          <w:rFonts w:cstheme="minorHAnsi"/>
        </w:rPr>
        <w:t xml:space="preserve">, support for the adoption of a minerals </w:t>
      </w:r>
      <w:r w:rsidR="00F22F5E" w:rsidRPr="00D67CB4">
        <w:rPr>
          <w:rFonts w:cstheme="minorHAnsi"/>
        </w:rPr>
        <w:t xml:space="preserve">tax </w:t>
      </w:r>
      <w:r w:rsidRPr="00D67CB4">
        <w:rPr>
          <w:rFonts w:cstheme="minorHAnsi"/>
        </w:rPr>
        <w:t>and embedding state-owne</w:t>
      </w:r>
      <w:r>
        <w:rPr>
          <w:rFonts w:cstheme="minorHAnsi"/>
        </w:rPr>
        <w:t>d</w:t>
      </w:r>
      <w:r w:rsidRPr="00D67CB4">
        <w:rPr>
          <w:rFonts w:cstheme="minorHAnsi"/>
        </w:rPr>
        <w:t xml:space="preserve"> enterprise reforms. </w:t>
      </w:r>
      <w:r w:rsidR="006D0F38">
        <w:rPr>
          <w:rFonts w:cstheme="minorHAnsi"/>
        </w:rPr>
        <w:t>J</w:t>
      </w:r>
      <w:r w:rsidR="006D0F38" w:rsidRPr="00D67CB4">
        <w:rPr>
          <w:rFonts w:cstheme="minorHAnsi"/>
        </w:rPr>
        <w:t>une 2016</w:t>
      </w:r>
      <w:r w:rsidR="006D0F38">
        <w:rPr>
          <w:rFonts w:cstheme="minorHAnsi"/>
        </w:rPr>
        <w:t xml:space="preserve"> saw the departure of the remaining Australian Treasury and </w:t>
      </w:r>
      <w:r w:rsidR="00450223">
        <w:rPr>
          <w:rFonts w:cstheme="minorHAnsi"/>
        </w:rPr>
        <w:t xml:space="preserve">Department of </w:t>
      </w:r>
      <w:r w:rsidR="006D0F38">
        <w:rPr>
          <w:rFonts w:cstheme="minorHAnsi"/>
        </w:rPr>
        <w:t>Finance officials from their deployments in Solomon Islands’ Ministry of Finance and Treasury</w:t>
      </w:r>
      <w:r w:rsidR="00130261">
        <w:rPr>
          <w:rFonts w:cstheme="minorHAnsi"/>
        </w:rPr>
        <w:t xml:space="preserve">, </w:t>
      </w:r>
      <w:r w:rsidR="00130261">
        <w:rPr>
          <w:rFonts w:cs="Calibri"/>
        </w:rPr>
        <w:t>with one Australian Government official from the Australian Office of Financial Management remaining</w:t>
      </w:r>
      <w:r w:rsidR="006D0F38">
        <w:rPr>
          <w:rFonts w:cstheme="minorHAnsi"/>
        </w:rPr>
        <w:t xml:space="preserve">. </w:t>
      </w:r>
      <w:r w:rsidR="00130261">
        <w:rPr>
          <w:rFonts w:cstheme="minorHAnsi"/>
        </w:rPr>
        <w:t>Following this departure,</w:t>
      </w:r>
      <w:r w:rsidR="00070361">
        <w:rPr>
          <w:rFonts w:cstheme="minorHAnsi"/>
        </w:rPr>
        <w:t xml:space="preserve"> </w:t>
      </w:r>
      <w:r w:rsidR="006D0F38">
        <w:rPr>
          <w:rFonts w:cstheme="minorHAnsi"/>
        </w:rPr>
        <w:t xml:space="preserve">Australia </w:t>
      </w:r>
      <w:r w:rsidR="006D0F38" w:rsidRPr="00D67CB4">
        <w:rPr>
          <w:rFonts w:cstheme="minorHAnsi"/>
        </w:rPr>
        <w:t xml:space="preserve">agreed to transition </w:t>
      </w:r>
      <w:r w:rsidR="006D0F38">
        <w:rPr>
          <w:rFonts w:cstheme="minorHAnsi"/>
        </w:rPr>
        <w:t>to</w:t>
      </w:r>
      <w:r w:rsidR="006D0F38" w:rsidRPr="00D67CB4">
        <w:rPr>
          <w:rFonts w:cstheme="minorHAnsi"/>
        </w:rPr>
        <w:t xml:space="preserve"> a new </w:t>
      </w:r>
      <w:r w:rsidR="00F22F5E">
        <w:rPr>
          <w:rFonts w:cstheme="minorHAnsi"/>
        </w:rPr>
        <w:t>phase of funding</w:t>
      </w:r>
      <w:r w:rsidR="006D0F38">
        <w:rPr>
          <w:rFonts w:cstheme="minorHAnsi"/>
        </w:rPr>
        <w:t xml:space="preserve"> to provide ongoing </w:t>
      </w:r>
      <w:r w:rsidR="00130261">
        <w:rPr>
          <w:rFonts w:cstheme="minorHAnsi"/>
        </w:rPr>
        <w:t>advisory support</w:t>
      </w:r>
      <w:r w:rsidR="00070361">
        <w:rPr>
          <w:rFonts w:cstheme="minorHAnsi"/>
        </w:rPr>
        <w:t xml:space="preserve"> </w:t>
      </w:r>
      <w:r w:rsidR="00130261">
        <w:rPr>
          <w:rFonts w:cstheme="minorHAnsi"/>
        </w:rPr>
        <w:t>on</w:t>
      </w:r>
      <w:r w:rsidR="00070361">
        <w:rPr>
          <w:rFonts w:cstheme="minorHAnsi"/>
        </w:rPr>
        <w:t xml:space="preserve"> economic policy</w:t>
      </w:r>
      <w:r w:rsidR="00070361" w:rsidRPr="00070361">
        <w:rPr>
          <w:rFonts w:cstheme="minorHAnsi"/>
        </w:rPr>
        <w:t xml:space="preserve"> </w:t>
      </w:r>
      <w:r w:rsidR="00070361">
        <w:rPr>
          <w:rFonts w:cstheme="minorHAnsi"/>
        </w:rPr>
        <w:t>to the S</w:t>
      </w:r>
      <w:r w:rsidR="00070361" w:rsidRPr="00D67CB4">
        <w:rPr>
          <w:rFonts w:cstheme="minorHAnsi"/>
        </w:rPr>
        <w:t>olomon Islands Government</w:t>
      </w:r>
      <w:r w:rsidR="006D0F38">
        <w:rPr>
          <w:rFonts w:cstheme="minorHAnsi"/>
        </w:rPr>
        <w:t>.</w:t>
      </w:r>
    </w:p>
    <w:p w14:paraId="0A7D0455" w14:textId="77777777" w:rsidR="00450223" w:rsidRDefault="00AF0EB9" w:rsidP="00450223">
      <w:pPr>
        <w:rPr>
          <w:rFonts w:cstheme="minorHAnsi"/>
        </w:rPr>
      </w:pPr>
      <w:r>
        <w:rPr>
          <w:rFonts w:cstheme="minorHAnsi"/>
        </w:rPr>
        <w:t xml:space="preserve">In 2015-16, </w:t>
      </w:r>
      <w:r w:rsidRPr="00DC5EE6">
        <w:rPr>
          <w:rFonts w:cstheme="minorHAnsi"/>
        </w:rPr>
        <w:t xml:space="preserve">Australia </w:t>
      </w:r>
      <w:r w:rsidR="00E832FA">
        <w:rPr>
          <w:rFonts w:cstheme="minorHAnsi"/>
        </w:rPr>
        <w:t>launch</w:t>
      </w:r>
      <w:r w:rsidR="005F41DD">
        <w:rPr>
          <w:rFonts w:cstheme="minorHAnsi"/>
        </w:rPr>
        <w:t>ed</w:t>
      </w:r>
      <w:r w:rsidR="00E832FA">
        <w:rPr>
          <w:rFonts w:cstheme="minorHAnsi"/>
        </w:rPr>
        <w:t xml:space="preserve"> the </w:t>
      </w:r>
      <w:r w:rsidRPr="00DC5EE6">
        <w:rPr>
          <w:rFonts w:cstheme="minorHAnsi"/>
        </w:rPr>
        <w:t xml:space="preserve">new $16 million </w:t>
      </w:r>
      <w:r w:rsidRPr="003268B2">
        <w:rPr>
          <w:rFonts w:cstheme="minorHAnsi"/>
          <w:b/>
        </w:rPr>
        <w:t>Skills for Economic Growth Program</w:t>
      </w:r>
      <w:r w:rsidRPr="00DC5EE6">
        <w:rPr>
          <w:rFonts w:cstheme="minorHAnsi"/>
        </w:rPr>
        <w:t xml:space="preserve">. </w:t>
      </w:r>
      <w:r w:rsidR="00F22F5E">
        <w:rPr>
          <w:rFonts w:cstheme="minorHAnsi"/>
        </w:rPr>
        <w:t>T</w:t>
      </w:r>
      <w:r w:rsidR="00F42D02" w:rsidRPr="003268B2">
        <w:rPr>
          <w:rFonts w:cstheme="minorHAnsi"/>
        </w:rPr>
        <w:t>h</w:t>
      </w:r>
      <w:r w:rsidR="00803743">
        <w:rPr>
          <w:rFonts w:cstheme="minorHAnsi"/>
        </w:rPr>
        <w:t>e</w:t>
      </w:r>
      <w:r w:rsidR="00F42D02" w:rsidRPr="003268B2">
        <w:rPr>
          <w:rFonts w:cstheme="minorHAnsi"/>
        </w:rPr>
        <w:t xml:space="preserve"> program aims </w:t>
      </w:r>
      <w:r w:rsidR="00F42D02">
        <w:rPr>
          <w:rFonts w:cstheme="minorHAnsi"/>
        </w:rPr>
        <w:t xml:space="preserve">to </w:t>
      </w:r>
      <w:r w:rsidR="00284A18">
        <w:rPr>
          <w:rFonts w:cstheme="minorHAnsi"/>
        </w:rPr>
        <w:t xml:space="preserve">support businesses through </w:t>
      </w:r>
      <w:r w:rsidR="00F42D02" w:rsidRPr="00DC5EE6">
        <w:rPr>
          <w:rFonts w:cstheme="minorHAnsi"/>
        </w:rPr>
        <w:t>grow</w:t>
      </w:r>
      <w:r w:rsidR="00284A18">
        <w:rPr>
          <w:rFonts w:cstheme="minorHAnsi"/>
        </w:rPr>
        <w:t>ing</w:t>
      </w:r>
      <w:r w:rsidR="00F42D02" w:rsidRPr="00DC5EE6">
        <w:rPr>
          <w:rFonts w:cstheme="minorHAnsi"/>
        </w:rPr>
        <w:t xml:space="preserve"> </w:t>
      </w:r>
      <w:r w:rsidR="00F42D02">
        <w:rPr>
          <w:rFonts w:cstheme="minorHAnsi"/>
        </w:rPr>
        <w:t xml:space="preserve">Solomon Islands’ </w:t>
      </w:r>
      <w:r w:rsidR="00F42D02" w:rsidRPr="00DC5EE6">
        <w:rPr>
          <w:rFonts w:cstheme="minorHAnsi"/>
        </w:rPr>
        <w:t>national workforce and enhanc</w:t>
      </w:r>
      <w:r w:rsidR="00F22F5E">
        <w:rPr>
          <w:rFonts w:cstheme="minorHAnsi"/>
        </w:rPr>
        <w:t>ing</w:t>
      </w:r>
      <w:r w:rsidR="00F42D02" w:rsidRPr="00DC5EE6">
        <w:rPr>
          <w:rFonts w:cstheme="minorHAnsi"/>
        </w:rPr>
        <w:t xml:space="preserve"> labour productivity in areas of high labour market demand, including for women and girl</w:t>
      </w:r>
      <w:r w:rsidR="00E40630">
        <w:rPr>
          <w:rFonts w:cstheme="minorHAnsi"/>
        </w:rPr>
        <w:t>s</w:t>
      </w:r>
      <w:r w:rsidR="00F42D02">
        <w:rPr>
          <w:rFonts w:cstheme="minorHAnsi"/>
        </w:rPr>
        <w:t xml:space="preserve">. </w:t>
      </w:r>
      <w:r w:rsidR="007743B9">
        <w:rPr>
          <w:rFonts w:cstheme="minorHAnsi"/>
        </w:rPr>
        <w:t>W</w:t>
      </w:r>
      <w:r w:rsidR="006B40BD">
        <w:rPr>
          <w:rFonts w:cstheme="minorHAnsi"/>
        </w:rPr>
        <w:t xml:space="preserve">ork </w:t>
      </w:r>
      <w:r w:rsidR="00E40630">
        <w:rPr>
          <w:rFonts w:cstheme="minorHAnsi"/>
        </w:rPr>
        <w:t>began</w:t>
      </w:r>
      <w:r w:rsidR="00F42D02">
        <w:rPr>
          <w:rFonts w:cstheme="minorHAnsi"/>
        </w:rPr>
        <w:t xml:space="preserve"> </w:t>
      </w:r>
      <w:r w:rsidR="006B40BD">
        <w:rPr>
          <w:rFonts w:cstheme="minorHAnsi"/>
        </w:rPr>
        <w:t>to strengthen</w:t>
      </w:r>
      <w:r w:rsidR="00F42D02">
        <w:rPr>
          <w:rFonts w:cstheme="minorHAnsi"/>
        </w:rPr>
        <w:t xml:space="preserve"> </w:t>
      </w:r>
      <w:r w:rsidR="00E832FA">
        <w:rPr>
          <w:rFonts w:cstheme="minorHAnsi"/>
        </w:rPr>
        <w:t xml:space="preserve">Solomon Islands’ </w:t>
      </w:r>
      <w:r w:rsidRPr="00DC5EE6">
        <w:rPr>
          <w:rFonts w:cstheme="minorHAnsi"/>
        </w:rPr>
        <w:t>national skills training and tertiary education system</w:t>
      </w:r>
      <w:r w:rsidR="00450223">
        <w:rPr>
          <w:rFonts w:cstheme="minorHAnsi"/>
        </w:rPr>
        <w:t xml:space="preserve">. </w:t>
      </w:r>
      <w:r w:rsidR="00450223" w:rsidRPr="00450223">
        <w:rPr>
          <w:rFonts w:cstheme="minorHAnsi"/>
        </w:rPr>
        <w:t xml:space="preserve">Innovative training delivery partnerships were established with Solomon Islands’ largest private employers and training providers. </w:t>
      </w:r>
      <w:r w:rsidR="0095588C">
        <w:rPr>
          <w:rFonts w:cstheme="minorHAnsi"/>
        </w:rPr>
        <w:t xml:space="preserve">The program supported a </w:t>
      </w:r>
      <w:r w:rsidR="0095588C" w:rsidRPr="00DC5EE6">
        <w:rPr>
          <w:rFonts w:cstheme="minorHAnsi"/>
        </w:rPr>
        <w:t xml:space="preserve">Labour Market Demand Survey. </w:t>
      </w:r>
      <w:r w:rsidR="00450223" w:rsidRPr="00450223">
        <w:rPr>
          <w:rFonts w:cstheme="minorHAnsi"/>
        </w:rPr>
        <w:t>In 2015-16, Australia supported training for more tha</w:t>
      </w:r>
      <w:r w:rsidR="00450223">
        <w:rPr>
          <w:rFonts w:cstheme="minorHAnsi"/>
        </w:rPr>
        <w:t>n</w:t>
      </w:r>
      <w:r w:rsidR="00450223" w:rsidRPr="00DC5EE6">
        <w:rPr>
          <w:rFonts w:cstheme="minorHAnsi"/>
        </w:rPr>
        <w:t xml:space="preserve"> 7</w:t>
      </w:r>
      <w:r w:rsidR="00450223">
        <w:rPr>
          <w:rFonts w:cstheme="minorHAnsi"/>
        </w:rPr>
        <w:t>00</w:t>
      </w:r>
      <w:r w:rsidR="00450223" w:rsidRPr="00DC5EE6">
        <w:rPr>
          <w:rFonts w:cstheme="minorHAnsi"/>
        </w:rPr>
        <w:t xml:space="preserve"> Solomon Islands women </w:t>
      </w:r>
      <w:r w:rsidR="00450223">
        <w:rPr>
          <w:rFonts w:cstheme="minorHAnsi"/>
        </w:rPr>
        <w:t>to build</w:t>
      </w:r>
      <w:r w:rsidR="00450223" w:rsidRPr="00DC5EE6">
        <w:rPr>
          <w:rFonts w:cstheme="minorHAnsi"/>
        </w:rPr>
        <w:t xml:space="preserve"> their business and income-generating skills through the Australia</w:t>
      </w:r>
      <w:r w:rsidR="007743B9">
        <w:rPr>
          <w:rFonts w:cstheme="minorHAnsi"/>
        </w:rPr>
        <w:noBreakHyphen/>
      </w:r>
      <w:r w:rsidR="00450223" w:rsidRPr="00DC5EE6">
        <w:rPr>
          <w:rFonts w:cstheme="minorHAnsi"/>
        </w:rPr>
        <w:t xml:space="preserve">Pacific Technical College, </w:t>
      </w:r>
      <w:proofErr w:type="spellStart"/>
      <w:r w:rsidR="00450223" w:rsidRPr="00DC5EE6">
        <w:rPr>
          <w:rFonts w:cstheme="minorHAnsi"/>
        </w:rPr>
        <w:t>Youth@Work</w:t>
      </w:r>
      <w:proofErr w:type="spellEnd"/>
      <w:r w:rsidR="00450223" w:rsidRPr="00DC5EE6">
        <w:rPr>
          <w:rFonts w:cstheme="minorHAnsi"/>
        </w:rPr>
        <w:t xml:space="preserve"> Program and the Solomon Islands Women in Business Association’s </w:t>
      </w:r>
      <w:r w:rsidR="00450223">
        <w:rPr>
          <w:rFonts w:cstheme="minorHAnsi"/>
        </w:rPr>
        <w:t xml:space="preserve">(SIWIBA) </w:t>
      </w:r>
      <w:r w:rsidR="00450223" w:rsidRPr="00DC5EE6">
        <w:rPr>
          <w:rFonts w:cstheme="minorHAnsi"/>
        </w:rPr>
        <w:t xml:space="preserve">Business Development Centre. Australia </w:t>
      </w:r>
      <w:r w:rsidR="00450223">
        <w:rPr>
          <w:rFonts w:cstheme="minorHAnsi"/>
        </w:rPr>
        <w:t xml:space="preserve">also </w:t>
      </w:r>
      <w:r w:rsidR="00450223" w:rsidRPr="00DC5EE6">
        <w:rPr>
          <w:rFonts w:cstheme="minorHAnsi"/>
        </w:rPr>
        <w:t xml:space="preserve">supported </w:t>
      </w:r>
      <w:proofErr w:type="spellStart"/>
      <w:r w:rsidR="00450223" w:rsidRPr="00DC5EE6">
        <w:rPr>
          <w:rFonts w:cstheme="minorHAnsi"/>
        </w:rPr>
        <w:t>Youth@Work</w:t>
      </w:r>
      <w:proofErr w:type="spellEnd"/>
      <w:r w:rsidR="00450223" w:rsidRPr="00DC5EE6">
        <w:rPr>
          <w:rFonts w:cstheme="minorHAnsi"/>
        </w:rPr>
        <w:t xml:space="preserve"> Plus </w:t>
      </w:r>
      <w:r w:rsidR="00450223">
        <w:rPr>
          <w:rFonts w:cstheme="minorHAnsi"/>
        </w:rPr>
        <w:t xml:space="preserve">to </w:t>
      </w:r>
      <w:r w:rsidR="00450223" w:rsidRPr="00DC5EE6">
        <w:rPr>
          <w:rFonts w:cstheme="minorHAnsi"/>
        </w:rPr>
        <w:t>improve the employability and income generation skills</w:t>
      </w:r>
      <w:r w:rsidR="00450223">
        <w:rPr>
          <w:rFonts w:cstheme="minorHAnsi"/>
        </w:rPr>
        <w:t xml:space="preserve"> of </w:t>
      </w:r>
      <w:r w:rsidR="00450223" w:rsidRPr="00DC5EE6">
        <w:rPr>
          <w:rFonts w:cstheme="minorHAnsi"/>
        </w:rPr>
        <w:t xml:space="preserve">17 young unemployed </w:t>
      </w:r>
      <w:r w:rsidR="00450223">
        <w:rPr>
          <w:rFonts w:cstheme="minorHAnsi"/>
        </w:rPr>
        <w:t>people with disability</w:t>
      </w:r>
      <w:r w:rsidR="00450223" w:rsidRPr="00DC5EE6">
        <w:rPr>
          <w:rFonts w:cstheme="minorHAnsi"/>
        </w:rPr>
        <w:t>.</w:t>
      </w:r>
    </w:p>
    <w:p w14:paraId="534A3443" w14:textId="77777777" w:rsidR="00522521" w:rsidRDefault="00CE3C22" w:rsidP="00CE3C22">
      <w:pPr>
        <w:rPr>
          <w:rFonts w:eastAsia="Times New Roman"/>
          <w:iCs/>
        </w:rPr>
      </w:pPr>
      <w:r w:rsidRPr="00DD04C3">
        <w:rPr>
          <w:rFonts w:eastAsia="Times New Roman"/>
          <w:iCs/>
        </w:rPr>
        <w:t>Australia</w:t>
      </w:r>
      <w:r w:rsidR="00F156AE">
        <w:rPr>
          <w:rFonts w:eastAsia="Times New Roman"/>
          <w:iCs/>
        </w:rPr>
        <w:t>n aid helped improve</w:t>
      </w:r>
      <w:r w:rsidRPr="003268B2">
        <w:rPr>
          <w:rFonts w:eastAsia="Times New Roman"/>
          <w:iCs/>
        </w:rPr>
        <w:t xml:space="preserve"> the cost and reliability of </w:t>
      </w:r>
      <w:r w:rsidRPr="0063018B">
        <w:rPr>
          <w:rFonts w:eastAsia="Times New Roman"/>
          <w:b/>
          <w:iCs/>
        </w:rPr>
        <w:t>utilities</w:t>
      </w:r>
      <w:r w:rsidRPr="00DD04C3">
        <w:rPr>
          <w:rFonts w:eastAsia="Times New Roman"/>
          <w:iCs/>
        </w:rPr>
        <w:t xml:space="preserve"> in Solomon Islands</w:t>
      </w:r>
      <w:r w:rsidR="00F156AE">
        <w:rPr>
          <w:rFonts w:eastAsia="Times New Roman"/>
          <w:iCs/>
        </w:rPr>
        <w:t>.</w:t>
      </w:r>
      <w:r w:rsidRPr="00DD04C3">
        <w:rPr>
          <w:rFonts w:eastAsia="Times New Roman"/>
          <w:iCs/>
        </w:rPr>
        <w:t xml:space="preserve"> </w:t>
      </w:r>
      <w:r w:rsidR="00DA0F9C" w:rsidRPr="00DD04C3">
        <w:rPr>
          <w:rFonts w:eastAsia="Times New Roman"/>
          <w:iCs/>
        </w:rPr>
        <w:t xml:space="preserve">Australia’s </w:t>
      </w:r>
      <w:r w:rsidR="00DA0F9C">
        <w:rPr>
          <w:rFonts w:eastAsia="Times New Roman"/>
          <w:iCs/>
        </w:rPr>
        <w:t>support to</w:t>
      </w:r>
      <w:r w:rsidR="00DA0F9C" w:rsidRPr="00DD04C3">
        <w:rPr>
          <w:rFonts w:eastAsia="Times New Roman"/>
          <w:iCs/>
        </w:rPr>
        <w:t xml:space="preserve"> </w:t>
      </w:r>
      <w:r w:rsidR="00DA0F9C" w:rsidRPr="007840A2">
        <w:rPr>
          <w:rFonts w:eastAsia="Times New Roman"/>
          <w:b/>
          <w:iCs/>
        </w:rPr>
        <w:t xml:space="preserve">Solomon Water </w:t>
      </w:r>
      <w:r w:rsidR="00DA0F9C" w:rsidRPr="00DD04C3">
        <w:rPr>
          <w:rFonts w:eastAsia="Times New Roman"/>
          <w:iCs/>
        </w:rPr>
        <w:t>saw average daily water supply</w:t>
      </w:r>
      <w:r w:rsidR="00DA0F9C">
        <w:rPr>
          <w:rFonts w:eastAsia="Times New Roman"/>
          <w:iCs/>
        </w:rPr>
        <w:t xml:space="preserve"> in Honiara reach </w:t>
      </w:r>
      <w:r w:rsidR="00DA0F9C" w:rsidRPr="00DD04C3">
        <w:rPr>
          <w:rFonts w:eastAsia="Times New Roman"/>
          <w:iCs/>
        </w:rPr>
        <w:t xml:space="preserve">22 hours (up from 20 in 2014 and only 8 in 2011). Compliance with WHO water quality standards increased to 96 per cent (from 94 per cent in 2014 and </w:t>
      </w:r>
      <w:r w:rsidR="00A5053D">
        <w:rPr>
          <w:rFonts w:eastAsia="Times New Roman"/>
          <w:iCs/>
        </w:rPr>
        <w:t>below</w:t>
      </w:r>
      <w:r w:rsidR="00DA0F9C" w:rsidRPr="00DD04C3">
        <w:rPr>
          <w:rFonts w:eastAsia="Times New Roman"/>
          <w:iCs/>
        </w:rPr>
        <w:t xml:space="preserve"> 50 per cent in 2011).</w:t>
      </w:r>
    </w:p>
    <w:p w14:paraId="791BE986" w14:textId="60C3D72A" w:rsidR="00CE3C22" w:rsidRPr="00DD04C3" w:rsidRDefault="00F156AE" w:rsidP="00CE3C22">
      <w:pPr>
        <w:rPr>
          <w:rFonts w:eastAsia="Times New Roman"/>
          <w:iCs/>
        </w:rPr>
      </w:pPr>
      <w:r>
        <w:rPr>
          <w:rFonts w:eastAsia="Times New Roman"/>
          <w:iCs/>
        </w:rPr>
        <w:t xml:space="preserve">Australian efforts to catalyse large new investment </w:t>
      </w:r>
      <w:r w:rsidR="00A5053D">
        <w:rPr>
          <w:rFonts w:eastAsia="Times New Roman"/>
          <w:iCs/>
        </w:rPr>
        <w:t>in Solomon Islands made</w:t>
      </w:r>
      <w:r>
        <w:rPr>
          <w:rFonts w:eastAsia="Times New Roman"/>
          <w:iCs/>
        </w:rPr>
        <w:t xml:space="preserve"> progress, as t</w:t>
      </w:r>
      <w:r w:rsidR="00CE3C22" w:rsidRPr="00DD04C3">
        <w:rPr>
          <w:rFonts w:eastAsia="Times New Roman"/>
          <w:iCs/>
        </w:rPr>
        <w:t xml:space="preserve">he Solomon Islands Government, with extended </w:t>
      </w:r>
      <w:r w:rsidR="00F65970" w:rsidRPr="00DD04C3">
        <w:rPr>
          <w:rFonts w:eastAsia="Times New Roman"/>
          <w:iCs/>
        </w:rPr>
        <w:t xml:space="preserve">Australian-funded </w:t>
      </w:r>
      <w:r w:rsidR="00CE3C22" w:rsidRPr="00DD04C3">
        <w:rPr>
          <w:rFonts w:eastAsia="Times New Roman"/>
          <w:iCs/>
        </w:rPr>
        <w:t xml:space="preserve">technical assistance, signed </w:t>
      </w:r>
      <w:r w:rsidR="00CE3C22" w:rsidRPr="00DD04C3">
        <w:rPr>
          <w:rFonts w:eastAsia="Times New Roman"/>
          <w:iCs/>
        </w:rPr>
        <w:lastRenderedPageBreak/>
        <w:t xml:space="preserve">an exclusive development agreement with a private developer for the </w:t>
      </w:r>
      <w:r w:rsidR="00CE3C22" w:rsidRPr="007840A2">
        <w:rPr>
          <w:rFonts w:eastAsia="Times New Roman"/>
          <w:b/>
          <w:iCs/>
        </w:rPr>
        <w:t>Tina River Hydropower Development Project</w:t>
      </w:r>
      <w:r w:rsidR="00F65970" w:rsidRPr="00DD04C3">
        <w:rPr>
          <w:rFonts w:eastAsia="Times New Roman"/>
          <w:iCs/>
        </w:rPr>
        <w:t xml:space="preserve">. </w:t>
      </w:r>
      <w:r w:rsidR="00F65970" w:rsidRPr="003268B2">
        <w:rPr>
          <w:rFonts w:eastAsia="Times New Roman"/>
          <w:iCs/>
        </w:rPr>
        <w:t>This project</w:t>
      </w:r>
      <w:r w:rsidR="00CE3C22" w:rsidRPr="00DD04C3">
        <w:rPr>
          <w:rFonts w:eastAsia="Times New Roman"/>
          <w:iCs/>
        </w:rPr>
        <w:t xml:space="preserve"> has the potential to significantly improve the reliability and affordability of electricity for Honiara and reduce Solomon Islands’ dependence on diesel-based energy production.</w:t>
      </w:r>
    </w:p>
    <w:p w14:paraId="3EDA9FCF" w14:textId="77777777" w:rsidR="00016ED9" w:rsidRDefault="00F65970" w:rsidP="00FF03E4">
      <w:pPr>
        <w:rPr>
          <w:rFonts w:cstheme="minorHAnsi"/>
        </w:rPr>
      </w:pPr>
      <w:r>
        <w:rPr>
          <w:rFonts w:eastAsia="Times New Roman"/>
          <w:iCs/>
        </w:rPr>
        <w:t xml:space="preserve">Completion of design for the </w:t>
      </w:r>
      <w:r w:rsidRPr="001A6E1E">
        <w:rPr>
          <w:rFonts w:eastAsia="Times New Roman"/>
          <w:b/>
          <w:iCs/>
        </w:rPr>
        <w:t>Solomon Islands Growth Program</w:t>
      </w:r>
      <w:r>
        <w:rPr>
          <w:rFonts w:eastAsia="Times New Roman"/>
          <w:iCs/>
        </w:rPr>
        <w:t xml:space="preserve"> was </w:t>
      </w:r>
      <w:r w:rsidR="00F22F5E">
        <w:rPr>
          <w:rFonts w:eastAsia="Times New Roman"/>
          <w:iCs/>
        </w:rPr>
        <w:t xml:space="preserve">modestly </w:t>
      </w:r>
      <w:r>
        <w:rPr>
          <w:rFonts w:eastAsia="Times New Roman"/>
          <w:iCs/>
        </w:rPr>
        <w:t>delayed in 2015-</w:t>
      </w:r>
      <w:r w:rsidR="00F22F5E">
        <w:rPr>
          <w:rFonts w:eastAsia="Times New Roman"/>
          <w:iCs/>
        </w:rPr>
        <w:t>16</w:t>
      </w:r>
      <w:r w:rsidR="00A5053D">
        <w:rPr>
          <w:rFonts w:eastAsia="Times New Roman"/>
          <w:iCs/>
        </w:rPr>
        <w:t>, but is well progressed</w:t>
      </w:r>
      <w:r>
        <w:rPr>
          <w:rFonts w:eastAsia="Times New Roman"/>
          <w:iCs/>
        </w:rPr>
        <w:t xml:space="preserve">. Complementing </w:t>
      </w:r>
      <w:r w:rsidR="00016ED9">
        <w:rPr>
          <w:rFonts w:eastAsia="Times New Roman"/>
          <w:iCs/>
        </w:rPr>
        <w:t>Australia’s</w:t>
      </w:r>
      <w:r>
        <w:rPr>
          <w:rFonts w:eastAsia="Times New Roman"/>
          <w:iCs/>
        </w:rPr>
        <w:t xml:space="preserve"> existing portfolio of programs to support economic growth, </w:t>
      </w:r>
      <w:r w:rsidR="00A5053D">
        <w:rPr>
          <w:rFonts w:eastAsia="Times New Roman"/>
          <w:iCs/>
        </w:rPr>
        <w:t xml:space="preserve">this assistance </w:t>
      </w:r>
      <w:r w:rsidR="00C979C4">
        <w:rPr>
          <w:rFonts w:eastAsia="Times New Roman"/>
          <w:iCs/>
        </w:rPr>
        <w:t>is expected to provide</w:t>
      </w:r>
      <w:r w:rsidR="00BC2F03">
        <w:rPr>
          <w:rFonts w:eastAsia="Times New Roman"/>
          <w:iCs/>
        </w:rPr>
        <w:t>:</w:t>
      </w:r>
      <w:r w:rsidR="0097799A">
        <w:rPr>
          <w:rFonts w:eastAsia="Times New Roman"/>
          <w:iCs/>
        </w:rPr>
        <w:t xml:space="preserve"> add</w:t>
      </w:r>
      <w:r w:rsidR="0097799A" w:rsidRPr="00005D16">
        <w:t xml:space="preserve">itional </w:t>
      </w:r>
      <w:r w:rsidR="00BC2F03">
        <w:t>funding</w:t>
      </w:r>
      <w:r w:rsidR="0097799A" w:rsidRPr="00005D16">
        <w:t xml:space="preserve"> for projects that address constraints to business development or catalyse other investments</w:t>
      </w:r>
      <w:r w:rsidR="0097799A">
        <w:t>; support for economic reform</w:t>
      </w:r>
      <w:r w:rsidR="00BC2F03">
        <w:t>;</w:t>
      </w:r>
      <w:r w:rsidR="0097799A">
        <w:t xml:space="preserve"> and </w:t>
      </w:r>
      <w:r w:rsidR="00BC2F03">
        <w:t>assistance</w:t>
      </w:r>
      <w:r w:rsidR="0097799A">
        <w:t xml:space="preserve"> in </w:t>
      </w:r>
      <w:r w:rsidR="0097799A" w:rsidRPr="00005D16">
        <w:t>selected markets</w:t>
      </w:r>
      <w:r w:rsidR="0097799A">
        <w:t xml:space="preserve"> (initially cocoa, coconut and tourism)</w:t>
      </w:r>
      <w:r w:rsidR="0097799A" w:rsidRPr="00005D16">
        <w:t xml:space="preserve"> </w:t>
      </w:r>
      <w:r w:rsidR="00BC2F03">
        <w:t>for</w:t>
      </w:r>
      <w:r w:rsidR="0097799A" w:rsidRPr="00005D16">
        <w:t xml:space="preserve"> market development and women’s participation in the economy.</w:t>
      </w:r>
    </w:p>
    <w:p w14:paraId="643191DA" w14:textId="77777777" w:rsidR="00FF03E4" w:rsidRDefault="00FF03E4" w:rsidP="00FF03E4">
      <w:pPr>
        <w:rPr>
          <w:rFonts w:cstheme="minorHAnsi"/>
        </w:rPr>
      </w:pPr>
      <w:r w:rsidRPr="00D67CB4">
        <w:rPr>
          <w:rFonts w:cstheme="minorHAnsi"/>
        </w:rPr>
        <w:t xml:space="preserve">Australia </w:t>
      </w:r>
      <w:r>
        <w:rPr>
          <w:rFonts w:cstheme="minorHAnsi"/>
        </w:rPr>
        <w:t xml:space="preserve">boosted support for </w:t>
      </w:r>
      <w:r w:rsidRPr="003268B2">
        <w:rPr>
          <w:rFonts w:cstheme="minorHAnsi"/>
          <w:b/>
        </w:rPr>
        <w:t>private sector development</w:t>
      </w:r>
      <w:r>
        <w:rPr>
          <w:rFonts w:cstheme="minorHAnsi"/>
        </w:rPr>
        <w:t xml:space="preserve"> i</w:t>
      </w:r>
      <w:r w:rsidRPr="00D67CB4">
        <w:rPr>
          <w:rFonts w:cstheme="minorHAnsi"/>
        </w:rPr>
        <w:t>n 2015-16</w:t>
      </w:r>
      <w:r w:rsidR="00016ED9">
        <w:rPr>
          <w:rFonts w:cstheme="minorHAnsi"/>
        </w:rPr>
        <w:t>, investing in targeted policy dialogue and strengthening</w:t>
      </w:r>
      <w:r>
        <w:rPr>
          <w:rFonts w:cstheme="minorHAnsi"/>
        </w:rPr>
        <w:t xml:space="preserve"> support to </w:t>
      </w:r>
      <w:r w:rsidR="00B136AA">
        <w:rPr>
          <w:rFonts w:cstheme="minorHAnsi"/>
        </w:rPr>
        <w:t xml:space="preserve">local organisations to </w:t>
      </w:r>
      <w:r w:rsidRPr="00D67CB4">
        <w:rPr>
          <w:rFonts w:cstheme="minorHAnsi"/>
        </w:rPr>
        <w:t xml:space="preserve">build </w:t>
      </w:r>
      <w:r>
        <w:rPr>
          <w:rFonts w:cstheme="minorHAnsi"/>
        </w:rPr>
        <w:t xml:space="preserve">local </w:t>
      </w:r>
      <w:r w:rsidRPr="00D67CB4">
        <w:rPr>
          <w:rFonts w:cstheme="minorHAnsi"/>
        </w:rPr>
        <w:t>leadership and advocacy capacity</w:t>
      </w:r>
      <w:r>
        <w:rPr>
          <w:rFonts w:cstheme="minorHAnsi"/>
        </w:rPr>
        <w:t xml:space="preserve">. </w:t>
      </w:r>
      <w:r w:rsidR="00A5053D">
        <w:rPr>
          <w:rFonts w:cstheme="minorHAnsi"/>
        </w:rPr>
        <w:t>For example, c</w:t>
      </w:r>
      <w:r>
        <w:rPr>
          <w:rFonts w:cstheme="minorHAnsi"/>
        </w:rPr>
        <w:t xml:space="preserve">ontinued assistance was provided to </w:t>
      </w:r>
      <w:r w:rsidR="00487156">
        <w:rPr>
          <w:rFonts w:cstheme="minorHAnsi"/>
        </w:rPr>
        <w:t>SIWIBA</w:t>
      </w:r>
      <w:r>
        <w:rPr>
          <w:rFonts w:cstheme="minorHAnsi"/>
        </w:rPr>
        <w:t>; and funding to underpin key business</w:t>
      </w:r>
      <w:r w:rsidR="00016ED9">
        <w:rPr>
          <w:rFonts w:cstheme="minorHAnsi"/>
        </w:rPr>
        <w:t>-</w:t>
      </w:r>
      <w:r>
        <w:rPr>
          <w:rFonts w:cstheme="minorHAnsi"/>
        </w:rPr>
        <w:t>to</w:t>
      </w:r>
      <w:r w:rsidR="00016ED9">
        <w:rPr>
          <w:rFonts w:cstheme="minorHAnsi"/>
        </w:rPr>
        <w:t>-</w:t>
      </w:r>
      <w:r>
        <w:rPr>
          <w:rFonts w:cstheme="minorHAnsi"/>
        </w:rPr>
        <w:t xml:space="preserve">government liaison was provided to </w:t>
      </w:r>
      <w:r w:rsidRPr="00D67CB4">
        <w:rPr>
          <w:rFonts w:cstheme="minorHAnsi"/>
        </w:rPr>
        <w:t>the Solomon Islands Chamber of Commerce and Industry (SICCI)</w:t>
      </w:r>
      <w:r>
        <w:rPr>
          <w:rFonts w:cstheme="minorHAnsi"/>
        </w:rPr>
        <w:t>. This assistance was complemented by a</w:t>
      </w:r>
      <w:r w:rsidRPr="00D67CB4">
        <w:rPr>
          <w:rFonts w:cstheme="minorHAnsi"/>
        </w:rPr>
        <w:t xml:space="preserve"> visit to Honiara by the Australian Indigenous Chamber of Commerce Chair Warren </w:t>
      </w:r>
      <w:proofErr w:type="spellStart"/>
      <w:r w:rsidRPr="00D67CB4">
        <w:rPr>
          <w:rFonts w:cstheme="minorHAnsi"/>
        </w:rPr>
        <w:t>Mundine</w:t>
      </w:r>
      <w:proofErr w:type="spellEnd"/>
      <w:r w:rsidRPr="00D67CB4">
        <w:rPr>
          <w:rFonts w:cstheme="minorHAnsi"/>
        </w:rPr>
        <w:t xml:space="preserve"> in November 2015</w:t>
      </w:r>
      <w:r>
        <w:rPr>
          <w:rFonts w:cstheme="minorHAnsi"/>
        </w:rPr>
        <w:t xml:space="preserve"> to establish a new avenue of ne</w:t>
      </w:r>
      <w:r w:rsidR="005F1651">
        <w:rPr>
          <w:rFonts w:cstheme="minorHAnsi"/>
        </w:rPr>
        <w:t>tworking and support for SICCI.</w:t>
      </w:r>
    </w:p>
    <w:p w14:paraId="5CB5473D" w14:textId="77777777" w:rsidR="00FF7C98" w:rsidRDefault="00FF7C98" w:rsidP="00FF7C98">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 xml:space="preserve">Objective 2b </w:t>
      </w:r>
      <w:r w:rsidR="005F1651">
        <w:rPr>
          <w:rFonts w:asciiTheme="majorHAnsi" w:eastAsiaTheme="majorEastAsia" w:hAnsiTheme="majorHAnsi" w:cstheme="majorBidi"/>
          <w:caps/>
          <w:color w:val="495965" w:themeColor="text2"/>
          <w:sz w:val="38"/>
          <w:szCs w:val="26"/>
          <w:lang w:val="en-GB" w:eastAsia="en-US"/>
        </w:rPr>
        <w:t>–</w:t>
      </w:r>
      <w:r>
        <w:rPr>
          <w:rFonts w:asciiTheme="majorHAnsi" w:eastAsiaTheme="majorEastAsia" w:hAnsiTheme="majorHAnsi" w:cstheme="majorBidi"/>
          <w:caps/>
          <w:color w:val="495965" w:themeColor="text2"/>
          <w:sz w:val="38"/>
          <w:szCs w:val="26"/>
          <w:lang w:val="en-GB" w:eastAsia="en-US"/>
        </w:rPr>
        <w:t xml:space="preserve"> </w:t>
      </w:r>
      <w:r w:rsidRPr="003268B2">
        <w:rPr>
          <w:rFonts w:asciiTheme="majorHAnsi" w:eastAsiaTheme="majorEastAsia" w:hAnsiTheme="majorHAnsi" w:cstheme="majorBidi"/>
          <w:caps/>
          <w:color w:val="495965" w:themeColor="text2"/>
          <w:sz w:val="38"/>
          <w:szCs w:val="26"/>
          <w:lang w:val="en-GB" w:eastAsia="en-US"/>
        </w:rPr>
        <w:t>More</w:t>
      </w:r>
      <w:r w:rsidR="005F1651">
        <w:rPr>
          <w:rFonts w:asciiTheme="majorHAnsi" w:eastAsiaTheme="majorEastAsia" w:hAnsiTheme="majorHAnsi" w:cstheme="majorBidi"/>
          <w:caps/>
          <w:color w:val="495965" w:themeColor="text2"/>
          <w:sz w:val="38"/>
          <w:szCs w:val="26"/>
          <w:lang w:val="en-GB" w:eastAsia="en-US"/>
        </w:rPr>
        <w:t xml:space="preserve"> </w:t>
      </w:r>
      <w:r w:rsidRPr="003268B2">
        <w:rPr>
          <w:rFonts w:asciiTheme="majorHAnsi" w:eastAsiaTheme="majorEastAsia" w:hAnsiTheme="majorHAnsi" w:cstheme="majorBidi"/>
          <w:caps/>
          <w:color w:val="495965" w:themeColor="text2"/>
          <w:sz w:val="38"/>
          <w:szCs w:val="26"/>
          <w:lang w:val="en-GB" w:eastAsia="en-US"/>
        </w:rPr>
        <w:t xml:space="preserve">men and women </w:t>
      </w:r>
      <w:r w:rsidR="00EC631A">
        <w:rPr>
          <w:rFonts w:asciiTheme="majorHAnsi" w:eastAsiaTheme="majorEastAsia" w:hAnsiTheme="majorHAnsi" w:cstheme="majorBidi"/>
          <w:caps/>
          <w:color w:val="495965" w:themeColor="text2"/>
          <w:sz w:val="38"/>
          <w:szCs w:val="26"/>
          <w:lang w:val="en-GB" w:eastAsia="en-US"/>
        </w:rPr>
        <w:t>can</w:t>
      </w:r>
      <w:r w:rsidRPr="003268B2">
        <w:rPr>
          <w:rFonts w:asciiTheme="majorHAnsi" w:eastAsiaTheme="majorEastAsia" w:hAnsiTheme="majorHAnsi" w:cstheme="majorBidi"/>
          <w:caps/>
          <w:color w:val="495965" w:themeColor="text2"/>
          <w:sz w:val="38"/>
          <w:szCs w:val="26"/>
          <w:lang w:val="en-GB" w:eastAsia="en-US"/>
        </w:rPr>
        <w:t xml:space="preserve"> earn a cash income</w:t>
      </w:r>
    </w:p>
    <w:p w14:paraId="317AD058" w14:textId="77777777" w:rsidR="00DF442A" w:rsidRDefault="00431760" w:rsidP="00431760">
      <w:pPr>
        <w:rPr>
          <w:rFonts w:cstheme="minorHAnsi"/>
        </w:rPr>
      </w:pPr>
      <w:r w:rsidRPr="003268B2">
        <w:rPr>
          <w:rFonts w:cstheme="minorHAnsi"/>
        </w:rPr>
        <w:t xml:space="preserve">The </w:t>
      </w:r>
      <w:r w:rsidR="008E7684">
        <w:rPr>
          <w:rFonts w:cstheme="minorHAnsi"/>
        </w:rPr>
        <w:t>amber</w:t>
      </w:r>
      <w:r w:rsidR="00216770">
        <w:rPr>
          <w:rFonts w:cstheme="minorHAnsi"/>
        </w:rPr>
        <w:t xml:space="preserve"> </w:t>
      </w:r>
      <w:r w:rsidRPr="003268B2">
        <w:rPr>
          <w:rFonts w:cstheme="minorHAnsi"/>
        </w:rPr>
        <w:t xml:space="preserve">rating </w:t>
      </w:r>
      <w:r w:rsidR="00C06869">
        <w:rPr>
          <w:rFonts w:cstheme="minorHAnsi"/>
        </w:rPr>
        <w:t xml:space="preserve">for performance against this objective </w:t>
      </w:r>
      <w:r w:rsidRPr="003268B2">
        <w:rPr>
          <w:rFonts w:cstheme="minorHAnsi"/>
        </w:rPr>
        <w:t>reflects an assessment that</w:t>
      </w:r>
      <w:r w:rsidR="00DF442A">
        <w:rPr>
          <w:rFonts w:cstheme="minorHAnsi"/>
        </w:rPr>
        <w:t xml:space="preserve"> </w:t>
      </w:r>
      <w:r w:rsidRPr="003268B2">
        <w:rPr>
          <w:rFonts w:cstheme="minorHAnsi"/>
        </w:rPr>
        <w:t xml:space="preserve">further </w:t>
      </w:r>
      <w:r w:rsidR="00DF442A" w:rsidRPr="003268B2">
        <w:rPr>
          <w:rFonts w:cstheme="minorHAnsi"/>
        </w:rPr>
        <w:t>Australian</w:t>
      </w:r>
      <w:r w:rsidR="00DF442A">
        <w:rPr>
          <w:rFonts w:cstheme="minorHAnsi"/>
        </w:rPr>
        <w:t xml:space="preserve"> </w:t>
      </w:r>
      <w:r w:rsidRPr="003268B2">
        <w:rPr>
          <w:rFonts w:cstheme="minorHAnsi"/>
        </w:rPr>
        <w:t xml:space="preserve">investment in market </w:t>
      </w:r>
      <w:r w:rsidR="00DF442A" w:rsidRPr="003268B2">
        <w:rPr>
          <w:rFonts w:cstheme="minorHAnsi"/>
        </w:rPr>
        <w:t>development</w:t>
      </w:r>
      <w:r w:rsidR="00DF442A">
        <w:rPr>
          <w:rFonts w:cstheme="minorHAnsi"/>
        </w:rPr>
        <w:t xml:space="preserve"> </w:t>
      </w:r>
      <w:r w:rsidR="00C06869">
        <w:rPr>
          <w:rFonts w:cstheme="minorHAnsi"/>
        </w:rPr>
        <w:t xml:space="preserve">is required to </w:t>
      </w:r>
      <w:r w:rsidRPr="003268B2">
        <w:rPr>
          <w:rFonts w:cstheme="minorHAnsi"/>
        </w:rPr>
        <w:t>expand entrepreneurship</w:t>
      </w:r>
      <w:r w:rsidR="00DF442A">
        <w:rPr>
          <w:rFonts w:cstheme="minorHAnsi"/>
        </w:rPr>
        <w:t xml:space="preserve"> </w:t>
      </w:r>
      <w:r w:rsidR="0050372C" w:rsidRPr="00F97381">
        <w:rPr>
          <w:rFonts w:cstheme="minorHAnsi"/>
        </w:rPr>
        <w:t>and</w:t>
      </w:r>
      <w:r w:rsidR="00DF442A">
        <w:rPr>
          <w:rFonts w:cstheme="minorHAnsi"/>
        </w:rPr>
        <w:t xml:space="preserve"> e</w:t>
      </w:r>
      <w:r w:rsidRPr="003268B2">
        <w:rPr>
          <w:rFonts w:cstheme="minorHAnsi"/>
        </w:rPr>
        <w:t>mployment</w:t>
      </w:r>
      <w:r w:rsidR="00DF442A" w:rsidRPr="003268B2">
        <w:rPr>
          <w:rFonts w:cstheme="minorHAnsi"/>
        </w:rPr>
        <w:t>.</w:t>
      </w:r>
      <w:r w:rsidR="00DF442A">
        <w:rPr>
          <w:rFonts w:cstheme="minorHAnsi"/>
        </w:rPr>
        <w:t xml:space="preserve"> </w:t>
      </w:r>
      <w:r w:rsidRPr="003268B2">
        <w:rPr>
          <w:rFonts w:cstheme="minorHAnsi"/>
        </w:rPr>
        <w:t xml:space="preserve">Existing programs providing income earning skills and financial literacy have </w:t>
      </w:r>
      <w:r w:rsidR="00990FF4">
        <w:rPr>
          <w:rFonts w:cstheme="minorHAnsi"/>
        </w:rPr>
        <w:t>demonstrated sound performance</w:t>
      </w:r>
      <w:r w:rsidRPr="003268B2">
        <w:rPr>
          <w:rFonts w:cstheme="minorHAnsi"/>
        </w:rPr>
        <w:t xml:space="preserve">. External market access for Solomon Islands products </w:t>
      </w:r>
      <w:r w:rsidR="008E7684">
        <w:rPr>
          <w:rFonts w:cstheme="minorHAnsi"/>
        </w:rPr>
        <w:t xml:space="preserve">in international markets </w:t>
      </w:r>
      <w:r w:rsidRPr="003268B2">
        <w:rPr>
          <w:rFonts w:cstheme="minorHAnsi"/>
        </w:rPr>
        <w:t xml:space="preserve">has been promoted and </w:t>
      </w:r>
      <w:r w:rsidR="008E7684">
        <w:rPr>
          <w:rFonts w:cstheme="minorHAnsi"/>
        </w:rPr>
        <w:t>maintained</w:t>
      </w:r>
      <w:r w:rsidRPr="003268B2">
        <w:rPr>
          <w:rFonts w:cstheme="minorHAnsi"/>
        </w:rPr>
        <w:t>.</w:t>
      </w:r>
    </w:p>
    <w:p w14:paraId="4F9789FF" w14:textId="77777777" w:rsidR="00990FF4" w:rsidRDefault="00CB70DA" w:rsidP="00DF442A">
      <w:pPr>
        <w:rPr>
          <w:rFonts w:cstheme="minorHAnsi"/>
        </w:rPr>
      </w:pPr>
      <w:r>
        <w:rPr>
          <w:rFonts w:cstheme="minorHAnsi"/>
        </w:rPr>
        <w:t xml:space="preserve">Through the World Bank’s </w:t>
      </w:r>
      <w:r w:rsidRPr="00ED739A">
        <w:rPr>
          <w:rFonts w:cstheme="minorHAnsi"/>
        </w:rPr>
        <w:t>R</w:t>
      </w:r>
      <w:r w:rsidR="002D750D" w:rsidRPr="00ED739A">
        <w:rPr>
          <w:rFonts w:cstheme="minorHAnsi"/>
        </w:rPr>
        <w:t>ural Development Program (RDP)</w:t>
      </w:r>
      <w:r w:rsidRPr="00ED739A">
        <w:rPr>
          <w:rFonts w:cstheme="minorHAnsi"/>
        </w:rPr>
        <w:t>,</w:t>
      </w:r>
      <w:r>
        <w:rPr>
          <w:rFonts w:cstheme="minorHAnsi"/>
        </w:rPr>
        <w:t xml:space="preserve"> Australia provided assistance to </w:t>
      </w:r>
      <w:r w:rsidR="0050372C" w:rsidRPr="00ED739A">
        <w:rPr>
          <w:rFonts w:cstheme="minorHAnsi"/>
          <w:b/>
        </w:rPr>
        <w:t>increase agricultural productivity and employment</w:t>
      </w:r>
      <w:r w:rsidR="0050372C">
        <w:rPr>
          <w:rFonts w:cstheme="minorHAnsi"/>
        </w:rPr>
        <w:t xml:space="preserve"> </w:t>
      </w:r>
      <w:r>
        <w:rPr>
          <w:rFonts w:cstheme="minorHAnsi"/>
        </w:rPr>
        <w:t xml:space="preserve">in Solomon Islands. Progress was slower than anticipated, </w:t>
      </w:r>
      <w:r w:rsidR="00C06869">
        <w:rPr>
          <w:rFonts w:cstheme="minorHAnsi"/>
        </w:rPr>
        <w:t xml:space="preserve">but </w:t>
      </w:r>
      <w:r>
        <w:rPr>
          <w:rFonts w:cstheme="minorHAnsi"/>
        </w:rPr>
        <w:t>s</w:t>
      </w:r>
      <w:r w:rsidR="00990FF4">
        <w:rPr>
          <w:rFonts w:cstheme="minorHAnsi"/>
        </w:rPr>
        <w:t xml:space="preserve">coping </w:t>
      </w:r>
      <w:r w:rsidR="00990FF4" w:rsidRPr="00CB61C4">
        <w:rPr>
          <w:rFonts w:cstheme="minorHAnsi"/>
        </w:rPr>
        <w:t>(</w:t>
      </w:r>
      <w:r w:rsidR="000532E0">
        <w:rPr>
          <w:rFonts w:cstheme="minorHAnsi"/>
        </w:rPr>
        <w:t xml:space="preserve">with consultations </w:t>
      </w:r>
      <w:r w:rsidR="00990FF4" w:rsidRPr="00CB61C4">
        <w:rPr>
          <w:rFonts w:cstheme="minorHAnsi"/>
        </w:rPr>
        <w:t>including almost 50 per cent women)</w:t>
      </w:r>
      <w:r w:rsidR="00990FF4">
        <w:rPr>
          <w:rFonts w:cstheme="minorHAnsi"/>
        </w:rPr>
        <w:t xml:space="preserve"> </w:t>
      </w:r>
      <w:r>
        <w:rPr>
          <w:rFonts w:cstheme="minorHAnsi"/>
        </w:rPr>
        <w:t>helped</w:t>
      </w:r>
      <w:r w:rsidR="0050372C" w:rsidRPr="00CB61C4">
        <w:rPr>
          <w:rFonts w:cstheme="minorHAnsi"/>
        </w:rPr>
        <w:t xml:space="preserve"> prioritise community infrastructure projects in each ward</w:t>
      </w:r>
      <w:r w:rsidR="00C06869">
        <w:rPr>
          <w:rFonts w:cstheme="minorHAnsi"/>
        </w:rPr>
        <w:t>. T</w:t>
      </w:r>
      <w:r>
        <w:rPr>
          <w:rFonts w:cstheme="minorHAnsi"/>
        </w:rPr>
        <w:t xml:space="preserve">he first of </w:t>
      </w:r>
      <w:r w:rsidR="0050372C" w:rsidRPr="00CB61C4">
        <w:rPr>
          <w:rFonts w:cstheme="minorHAnsi"/>
        </w:rPr>
        <w:t xml:space="preserve">18 new agricultural public-private partnerships (PPPs) to optimise growth and trade opportunities </w:t>
      </w:r>
      <w:r>
        <w:rPr>
          <w:rFonts w:cstheme="minorHAnsi"/>
        </w:rPr>
        <w:t>was</w:t>
      </w:r>
      <w:r w:rsidR="0050372C" w:rsidRPr="00CB61C4">
        <w:rPr>
          <w:rFonts w:cstheme="minorHAnsi"/>
        </w:rPr>
        <w:t xml:space="preserve"> signed in June 2016. </w:t>
      </w:r>
      <w:r w:rsidR="00C06869">
        <w:rPr>
          <w:rFonts w:cstheme="minorHAnsi"/>
        </w:rPr>
        <w:t>W</w:t>
      </w:r>
      <w:r w:rsidR="0033254E">
        <w:rPr>
          <w:rFonts w:cstheme="minorHAnsi"/>
        </w:rPr>
        <w:t xml:space="preserve">ork began on a gender action plan to address </w:t>
      </w:r>
      <w:r w:rsidR="00990FF4">
        <w:rPr>
          <w:rFonts w:cstheme="minorHAnsi"/>
        </w:rPr>
        <w:t>Australia</w:t>
      </w:r>
      <w:r w:rsidR="0033254E">
        <w:rPr>
          <w:rFonts w:cstheme="minorHAnsi"/>
        </w:rPr>
        <w:t>’s</w:t>
      </w:r>
      <w:r w:rsidR="00990FF4">
        <w:rPr>
          <w:rFonts w:cstheme="minorHAnsi"/>
        </w:rPr>
        <w:t xml:space="preserve"> concern</w:t>
      </w:r>
      <w:r>
        <w:rPr>
          <w:rFonts w:cstheme="minorHAnsi"/>
        </w:rPr>
        <w:t>s</w:t>
      </w:r>
      <w:r w:rsidR="00990FF4">
        <w:rPr>
          <w:rFonts w:cstheme="minorHAnsi"/>
        </w:rPr>
        <w:t xml:space="preserve"> that </w:t>
      </w:r>
      <w:r w:rsidR="0050372C" w:rsidRPr="00CB61C4">
        <w:rPr>
          <w:rFonts w:cstheme="minorHAnsi"/>
        </w:rPr>
        <w:t xml:space="preserve">gender equality issues were not </w:t>
      </w:r>
      <w:r w:rsidR="00990FF4">
        <w:rPr>
          <w:rFonts w:cstheme="minorHAnsi"/>
        </w:rPr>
        <w:t>s</w:t>
      </w:r>
      <w:r w:rsidR="0033254E">
        <w:rPr>
          <w:rFonts w:cstheme="minorHAnsi"/>
        </w:rPr>
        <w:t>ystematically addressed</w:t>
      </w:r>
      <w:r w:rsidR="00990FF4">
        <w:rPr>
          <w:rFonts w:cstheme="minorHAnsi"/>
        </w:rPr>
        <w:t xml:space="preserve"> in the program.</w:t>
      </w:r>
    </w:p>
    <w:p w14:paraId="0395E72A" w14:textId="77777777" w:rsidR="00ED739A" w:rsidRPr="00D67CB4" w:rsidRDefault="00ED739A" w:rsidP="00ED739A">
      <w:pPr>
        <w:rPr>
          <w:rFonts w:cstheme="minorHAnsi"/>
        </w:rPr>
      </w:pPr>
      <w:r>
        <w:rPr>
          <w:rFonts w:cstheme="minorHAnsi"/>
        </w:rPr>
        <w:t xml:space="preserve">To further support employment opportunities in rural areas, </w:t>
      </w:r>
      <w:r w:rsidRPr="00D67CB4">
        <w:rPr>
          <w:rFonts w:cstheme="minorHAnsi"/>
        </w:rPr>
        <w:t xml:space="preserve">Australia </w:t>
      </w:r>
      <w:r>
        <w:rPr>
          <w:rFonts w:cstheme="minorHAnsi"/>
        </w:rPr>
        <w:t xml:space="preserve">continued to </w:t>
      </w:r>
      <w:r w:rsidRPr="00D67CB4">
        <w:rPr>
          <w:rFonts w:cstheme="minorHAnsi"/>
        </w:rPr>
        <w:t xml:space="preserve">support </w:t>
      </w:r>
      <w:r w:rsidRPr="003268B2">
        <w:rPr>
          <w:rFonts w:cstheme="minorHAnsi"/>
          <w:b/>
        </w:rPr>
        <w:t>maintenance and expansion of market access</w:t>
      </w:r>
      <w:r w:rsidRPr="00D67CB4">
        <w:rPr>
          <w:rFonts w:cstheme="minorHAnsi"/>
        </w:rPr>
        <w:t xml:space="preserve"> for Solomon Islands</w:t>
      </w:r>
      <w:r>
        <w:rPr>
          <w:rFonts w:cstheme="minorHAnsi"/>
        </w:rPr>
        <w:t>’</w:t>
      </w:r>
      <w:r w:rsidRPr="00D67CB4">
        <w:rPr>
          <w:rFonts w:cstheme="minorHAnsi"/>
        </w:rPr>
        <w:t xml:space="preserve"> </w:t>
      </w:r>
      <w:r w:rsidRPr="00A5053D">
        <w:rPr>
          <w:rFonts w:cstheme="minorHAnsi"/>
        </w:rPr>
        <w:t>agriculture s</w:t>
      </w:r>
      <w:r w:rsidRPr="00D67CB4">
        <w:rPr>
          <w:rFonts w:cstheme="minorHAnsi"/>
        </w:rPr>
        <w:t xml:space="preserve">ector, including through the Pacific Horticultural and Agricultural Market Access Program. </w:t>
      </w:r>
      <w:r w:rsidR="00C06869">
        <w:rPr>
          <w:rFonts w:cstheme="minorHAnsi"/>
        </w:rPr>
        <w:t>Australian assistance helped secure c</w:t>
      </w:r>
      <w:r>
        <w:rPr>
          <w:rFonts w:cstheme="minorHAnsi"/>
        </w:rPr>
        <w:t xml:space="preserve">ontinued </w:t>
      </w:r>
      <w:r w:rsidRPr="00D67CB4">
        <w:rPr>
          <w:rFonts w:cstheme="minorHAnsi"/>
        </w:rPr>
        <w:t>market access to the European Union for tuna from Solomon Islands, a</w:t>
      </w:r>
      <w:r>
        <w:rPr>
          <w:rFonts w:cstheme="minorHAnsi"/>
        </w:rPr>
        <w:t xml:space="preserve">nd a better shared understanding was developed of </w:t>
      </w:r>
      <w:r w:rsidRPr="00D67CB4">
        <w:rPr>
          <w:rFonts w:cstheme="minorHAnsi"/>
        </w:rPr>
        <w:t>opportunities for greater ge</w:t>
      </w:r>
      <w:r w:rsidR="005F1651">
        <w:rPr>
          <w:rFonts w:cstheme="minorHAnsi"/>
        </w:rPr>
        <w:t>nder equality in value chains.</w:t>
      </w:r>
    </w:p>
    <w:p w14:paraId="28D1DC79" w14:textId="77777777" w:rsidR="00DF442A" w:rsidRPr="00D67CB4" w:rsidRDefault="00DF442A" w:rsidP="00DF442A">
      <w:pPr>
        <w:rPr>
          <w:rFonts w:cstheme="minorHAnsi"/>
        </w:rPr>
      </w:pPr>
      <w:r>
        <w:rPr>
          <w:rFonts w:cstheme="minorHAnsi"/>
        </w:rPr>
        <w:t xml:space="preserve">Recognising its </w:t>
      </w:r>
      <w:r w:rsidRPr="00D67CB4">
        <w:rPr>
          <w:rFonts w:cstheme="minorHAnsi"/>
        </w:rPr>
        <w:t xml:space="preserve">potential for inclusive growth, Australia also increased engagement in the </w:t>
      </w:r>
      <w:r w:rsidRPr="00431760">
        <w:rPr>
          <w:rFonts w:cstheme="minorHAnsi"/>
          <w:b/>
        </w:rPr>
        <w:t>tourism</w:t>
      </w:r>
      <w:r w:rsidRPr="00D67CB4">
        <w:rPr>
          <w:rFonts w:cstheme="minorHAnsi"/>
        </w:rPr>
        <w:t xml:space="preserve"> sector. </w:t>
      </w:r>
      <w:r w:rsidR="0028505D">
        <w:rPr>
          <w:rFonts w:cstheme="minorHAnsi"/>
        </w:rPr>
        <w:t>A</w:t>
      </w:r>
      <w:r w:rsidR="000532E0">
        <w:rPr>
          <w:rFonts w:cstheme="minorHAnsi"/>
        </w:rPr>
        <w:t xml:space="preserve">ustralia assisted development of an evidence base (through for example, an </w:t>
      </w:r>
      <w:r w:rsidR="00774B22">
        <w:rPr>
          <w:rFonts w:cstheme="minorHAnsi"/>
        </w:rPr>
        <w:t>International Finance Corporation study</w:t>
      </w:r>
      <w:r w:rsidR="000532E0">
        <w:rPr>
          <w:rFonts w:cstheme="minorHAnsi"/>
        </w:rPr>
        <w:t>)</w:t>
      </w:r>
      <w:r w:rsidR="00774B22">
        <w:rPr>
          <w:rFonts w:cstheme="minorHAnsi"/>
        </w:rPr>
        <w:t xml:space="preserve">; and </w:t>
      </w:r>
      <w:r>
        <w:rPr>
          <w:rFonts w:cstheme="minorHAnsi"/>
        </w:rPr>
        <w:t>invest</w:t>
      </w:r>
      <w:r w:rsidR="000532E0">
        <w:rPr>
          <w:rFonts w:cstheme="minorHAnsi"/>
        </w:rPr>
        <w:t>ed</w:t>
      </w:r>
      <w:r>
        <w:rPr>
          <w:rFonts w:cstheme="minorHAnsi"/>
        </w:rPr>
        <w:t xml:space="preserve"> in policy dialogue between Solomon Islands Government and the private sector</w:t>
      </w:r>
      <w:r w:rsidR="0028505D">
        <w:rPr>
          <w:rFonts w:cstheme="minorHAnsi"/>
        </w:rPr>
        <w:t xml:space="preserve"> to demonstrate the economic benefits of cruise tourism</w:t>
      </w:r>
      <w:r w:rsidR="000532E0">
        <w:rPr>
          <w:rFonts w:cstheme="minorHAnsi"/>
        </w:rPr>
        <w:t>. This approach</w:t>
      </w:r>
      <w:r>
        <w:rPr>
          <w:rFonts w:cstheme="minorHAnsi"/>
        </w:rPr>
        <w:t xml:space="preserve"> support</w:t>
      </w:r>
      <w:r w:rsidR="000532E0">
        <w:rPr>
          <w:rFonts w:cstheme="minorHAnsi"/>
        </w:rPr>
        <w:t>ed</w:t>
      </w:r>
      <w:r>
        <w:rPr>
          <w:rFonts w:cstheme="minorHAnsi"/>
        </w:rPr>
        <w:t xml:space="preserve"> Carnival Australia’s expansion of cruise ship operations into </w:t>
      </w:r>
      <w:r w:rsidRPr="00D67CB4">
        <w:rPr>
          <w:rFonts w:cstheme="minorHAnsi"/>
        </w:rPr>
        <w:t>Solomon Islands</w:t>
      </w:r>
      <w:r>
        <w:rPr>
          <w:rFonts w:cstheme="minorHAnsi"/>
        </w:rPr>
        <w:t xml:space="preserve"> </w:t>
      </w:r>
      <w:r w:rsidR="0068359D">
        <w:rPr>
          <w:rFonts w:cstheme="minorHAnsi"/>
        </w:rPr>
        <w:t>(from one visit in 2014-15 to five in 2015-16)</w:t>
      </w:r>
      <w:r w:rsidRPr="00D67CB4">
        <w:rPr>
          <w:rFonts w:cstheme="minorHAnsi"/>
        </w:rPr>
        <w:t>.</w:t>
      </w:r>
    </w:p>
    <w:p w14:paraId="1603D9DD" w14:textId="77777777" w:rsidR="00DF442A" w:rsidRPr="00F97381" w:rsidRDefault="00DF442A" w:rsidP="00085157">
      <w:pPr>
        <w:rPr>
          <w:rFonts w:cstheme="minorHAnsi"/>
        </w:rPr>
      </w:pPr>
      <w:r w:rsidRPr="003268B2">
        <w:rPr>
          <w:rFonts w:cstheme="minorHAnsi"/>
        </w:rPr>
        <w:t xml:space="preserve">2015-16 saw an increase in the number of Solomon Islanders participating in Australia’s </w:t>
      </w:r>
      <w:r w:rsidRPr="003268B2">
        <w:rPr>
          <w:rFonts w:cstheme="minorHAnsi"/>
          <w:b/>
        </w:rPr>
        <w:t>Seasonal Worker Program</w:t>
      </w:r>
      <w:r w:rsidRPr="003268B2">
        <w:rPr>
          <w:rFonts w:cstheme="minorHAnsi"/>
        </w:rPr>
        <w:t xml:space="preserve"> (61 in 2015-16, up from 21 the previous year). However systemic challenges </w:t>
      </w:r>
      <w:r w:rsidR="0068359D">
        <w:rPr>
          <w:rFonts w:cstheme="minorHAnsi"/>
        </w:rPr>
        <w:t>remain to Solomon Islands’ increased participation</w:t>
      </w:r>
      <w:r w:rsidRPr="003268B2">
        <w:rPr>
          <w:rFonts w:cstheme="minorHAnsi"/>
        </w:rPr>
        <w:t>. In 2015-16, Australia provided support for pre-departure briefing for workers travelling to Australia and developed a clear approach with Solomon Islands Government for building stronger worker recruitment, selection and preparation processes.</w:t>
      </w:r>
    </w:p>
    <w:p w14:paraId="41AB6920" w14:textId="77777777" w:rsidR="00522521" w:rsidRDefault="00085157" w:rsidP="00393392">
      <w:pPr>
        <w:rPr>
          <w:rFonts w:cstheme="minorHAnsi"/>
        </w:rPr>
      </w:pPr>
      <w:r w:rsidRPr="00D67CB4">
        <w:rPr>
          <w:rFonts w:cstheme="minorHAnsi"/>
        </w:rPr>
        <w:t>Australia encourage</w:t>
      </w:r>
      <w:r w:rsidR="00D97AD3">
        <w:rPr>
          <w:rFonts w:cstheme="minorHAnsi"/>
        </w:rPr>
        <w:t xml:space="preserve">d </w:t>
      </w:r>
      <w:r w:rsidRPr="00D67CB4">
        <w:rPr>
          <w:rFonts w:cstheme="minorHAnsi"/>
        </w:rPr>
        <w:t xml:space="preserve">businesses </w:t>
      </w:r>
      <w:r w:rsidR="00D97AD3">
        <w:rPr>
          <w:rFonts w:cstheme="minorHAnsi"/>
        </w:rPr>
        <w:t xml:space="preserve">in Solomon Islands </w:t>
      </w:r>
      <w:r w:rsidRPr="00D67CB4">
        <w:rPr>
          <w:rFonts w:cstheme="minorHAnsi"/>
        </w:rPr>
        <w:t xml:space="preserve">to take a more proactive approach to </w:t>
      </w:r>
      <w:r w:rsidRPr="00070263">
        <w:rPr>
          <w:rFonts w:cstheme="minorHAnsi"/>
          <w:b/>
        </w:rPr>
        <w:t>women’s economic empowerment</w:t>
      </w:r>
      <w:r w:rsidRPr="00D67CB4">
        <w:rPr>
          <w:rFonts w:cstheme="minorHAnsi"/>
        </w:rPr>
        <w:t xml:space="preserve">. </w:t>
      </w:r>
      <w:r w:rsidR="00C06869">
        <w:rPr>
          <w:rFonts w:cstheme="minorHAnsi"/>
        </w:rPr>
        <w:t>Most notably</w:t>
      </w:r>
      <w:r w:rsidRPr="00D67CB4">
        <w:rPr>
          <w:rFonts w:cstheme="minorHAnsi"/>
        </w:rPr>
        <w:t xml:space="preserve">, Australia </w:t>
      </w:r>
      <w:r w:rsidR="0039020E">
        <w:rPr>
          <w:rFonts w:cstheme="minorHAnsi"/>
        </w:rPr>
        <w:t>finalised the design of</w:t>
      </w:r>
      <w:r w:rsidR="0039020E" w:rsidRPr="00D67CB4">
        <w:rPr>
          <w:rFonts w:cstheme="minorHAnsi"/>
        </w:rPr>
        <w:t xml:space="preserve"> </w:t>
      </w:r>
      <w:r w:rsidRPr="00D67CB4">
        <w:rPr>
          <w:rFonts w:cstheme="minorHAnsi"/>
        </w:rPr>
        <w:t xml:space="preserve">a new four-year, $2.3 million program with the International Finance Corporation (IFC) to work directly with major private employers, commencing with </w:t>
      </w:r>
      <w:proofErr w:type="spellStart"/>
      <w:r w:rsidRPr="00D67CB4">
        <w:rPr>
          <w:rFonts w:cstheme="minorHAnsi"/>
        </w:rPr>
        <w:t>SolTuna</w:t>
      </w:r>
      <w:proofErr w:type="spellEnd"/>
      <w:r w:rsidRPr="00D67CB4">
        <w:rPr>
          <w:rFonts w:cstheme="minorHAnsi"/>
        </w:rPr>
        <w:t xml:space="preserve">, to address the barriers to women’s participation in the workplace. </w:t>
      </w:r>
    </w:p>
    <w:p w14:paraId="4F123862" w14:textId="77777777" w:rsidR="005955F6" w:rsidRDefault="005955F6"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 xml:space="preserve">Objective 3 </w:t>
      </w:r>
      <w:r w:rsidR="009E4948">
        <w:rPr>
          <w:rFonts w:asciiTheme="majorHAnsi" w:eastAsiaTheme="majorEastAsia" w:hAnsiTheme="majorHAnsi" w:cstheme="majorBidi"/>
          <w:caps/>
          <w:color w:val="495965" w:themeColor="text2"/>
          <w:sz w:val="38"/>
          <w:szCs w:val="26"/>
          <w:lang w:val="en-GB" w:eastAsia="en-US"/>
        </w:rPr>
        <w:t xml:space="preserve">– </w:t>
      </w:r>
      <w:r>
        <w:rPr>
          <w:rFonts w:asciiTheme="majorHAnsi" w:eastAsiaTheme="majorEastAsia" w:hAnsiTheme="majorHAnsi" w:cstheme="majorBidi"/>
          <w:caps/>
          <w:color w:val="495965" w:themeColor="text2"/>
          <w:sz w:val="38"/>
          <w:szCs w:val="26"/>
          <w:lang w:val="en-GB" w:eastAsia="en-US"/>
        </w:rPr>
        <w:t>enhanc</w:t>
      </w:r>
      <w:r w:rsidR="00C32257">
        <w:rPr>
          <w:rFonts w:asciiTheme="majorHAnsi" w:eastAsiaTheme="majorEastAsia" w:hAnsiTheme="majorHAnsi" w:cstheme="majorBidi"/>
          <w:caps/>
          <w:color w:val="495965" w:themeColor="text2"/>
          <w:sz w:val="38"/>
          <w:szCs w:val="26"/>
          <w:lang w:val="en-GB" w:eastAsia="en-US"/>
        </w:rPr>
        <w:t>i</w:t>
      </w:r>
      <w:r w:rsidR="005F1651">
        <w:rPr>
          <w:rFonts w:asciiTheme="majorHAnsi" w:eastAsiaTheme="majorEastAsia" w:hAnsiTheme="majorHAnsi" w:cstheme="majorBidi"/>
          <w:caps/>
          <w:color w:val="495965" w:themeColor="text2"/>
          <w:sz w:val="38"/>
          <w:szCs w:val="26"/>
          <w:lang w:val="en-GB" w:eastAsia="en-US"/>
        </w:rPr>
        <w:t>ng</w:t>
      </w:r>
      <w:r w:rsidR="009E4948">
        <w:rPr>
          <w:rFonts w:asciiTheme="majorHAnsi" w:eastAsiaTheme="majorEastAsia" w:hAnsiTheme="majorHAnsi" w:cstheme="majorBidi"/>
          <w:caps/>
          <w:color w:val="495965" w:themeColor="text2"/>
          <w:sz w:val="38"/>
          <w:szCs w:val="26"/>
          <w:lang w:val="en-GB" w:eastAsia="en-US"/>
        </w:rPr>
        <w:t xml:space="preserve"> </w:t>
      </w:r>
      <w:r w:rsidR="005F1651">
        <w:rPr>
          <w:rFonts w:asciiTheme="majorHAnsi" w:eastAsiaTheme="majorEastAsia" w:hAnsiTheme="majorHAnsi" w:cstheme="majorBidi"/>
          <w:caps/>
          <w:color w:val="495965" w:themeColor="text2"/>
          <w:sz w:val="38"/>
          <w:szCs w:val="26"/>
          <w:lang w:val="en-GB" w:eastAsia="en-US"/>
        </w:rPr>
        <w:t>human development</w:t>
      </w:r>
    </w:p>
    <w:p w14:paraId="0909DCE0" w14:textId="77777777" w:rsidR="007744F0" w:rsidRPr="00143E7A" w:rsidRDefault="00C06869" w:rsidP="007744F0">
      <w:pPr>
        <w:rPr>
          <w:rFonts w:cstheme="minorHAnsi"/>
        </w:rPr>
      </w:pPr>
      <w:r w:rsidRPr="00143E7A">
        <w:rPr>
          <w:rFonts w:cstheme="minorHAnsi"/>
        </w:rPr>
        <w:t xml:space="preserve">Progress against this objective is rated </w:t>
      </w:r>
      <w:r>
        <w:rPr>
          <w:rFonts w:cstheme="minorHAnsi"/>
        </w:rPr>
        <w:t>g</w:t>
      </w:r>
      <w:r w:rsidRPr="00143E7A">
        <w:rPr>
          <w:rFonts w:cstheme="minorHAnsi"/>
        </w:rPr>
        <w:t>reen for 2015-16.</w:t>
      </w:r>
      <w:r>
        <w:rPr>
          <w:rFonts w:cstheme="minorHAnsi"/>
        </w:rPr>
        <w:t xml:space="preserve"> </w:t>
      </w:r>
      <w:r w:rsidR="00143E7A" w:rsidRPr="00143E7A">
        <w:rPr>
          <w:rFonts w:cstheme="minorHAnsi"/>
        </w:rPr>
        <w:t xml:space="preserve">Australia’s investments in human development in Solomon Islands aim to ensure more men, women, girls and boys </w:t>
      </w:r>
      <w:r w:rsidR="00EC631A">
        <w:rPr>
          <w:rFonts w:cstheme="minorHAnsi"/>
        </w:rPr>
        <w:t>increase their access to</w:t>
      </w:r>
      <w:r w:rsidR="00143E7A" w:rsidRPr="00143E7A">
        <w:rPr>
          <w:rFonts w:cstheme="minorHAnsi"/>
        </w:rPr>
        <w:t xml:space="preserve"> quality health and education services. </w:t>
      </w:r>
      <w:r w:rsidR="003C1123">
        <w:rPr>
          <w:rFonts w:cstheme="minorHAnsi"/>
        </w:rPr>
        <w:t xml:space="preserve">Australia’s use of direct budget support </w:t>
      </w:r>
      <w:r w:rsidR="00FA1EB7">
        <w:rPr>
          <w:rFonts w:cstheme="minorHAnsi"/>
        </w:rPr>
        <w:t xml:space="preserve">in health and education </w:t>
      </w:r>
      <w:r w:rsidR="003C1123">
        <w:rPr>
          <w:rFonts w:cstheme="minorHAnsi"/>
        </w:rPr>
        <w:t xml:space="preserve">through partner systems, </w:t>
      </w:r>
      <w:r w:rsidR="003C1123" w:rsidRPr="007F7F8A">
        <w:rPr>
          <w:rFonts w:cstheme="minorHAnsi"/>
        </w:rPr>
        <w:t>performance linked aid</w:t>
      </w:r>
      <w:r w:rsidR="003C1123">
        <w:rPr>
          <w:rFonts w:cstheme="minorHAnsi"/>
        </w:rPr>
        <w:t>,</w:t>
      </w:r>
      <w:r w:rsidR="003C1123" w:rsidRPr="007F7F8A">
        <w:rPr>
          <w:rFonts w:cstheme="minorHAnsi"/>
        </w:rPr>
        <w:t xml:space="preserve"> </w:t>
      </w:r>
      <w:r w:rsidR="003C1123">
        <w:rPr>
          <w:rFonts w:cstheme="minorHAnsi"/>
        </w:rPr>
        <w:t xml:space="preserve">technical assistance and policy dialogue is supporting the Solomon Islands Government to strengthen its service delivery systems </w:t>
      </w:r>
      <w:r w:rsidR="00FA1EB7">
        <w:rPr>
          <w:rFonts w:cstheme="minorHAnsi"/>
        </w:rPr>
        <w:t>sustainably</w:t>
      </w:r>
      <w:r w:rsidR="003C1123">
        <w:rPr>
          <w:rFonts w:cstheme="minorHAnsi"/>
        </w:rPr>
        <w:t>. 2015-16 saw</w:t>
      </w:r>
      <w:r w:rsidR="007744F0" w:rsidRPr="00143E7A">
        <w:rPr>
          <w:rFonts w:cstheme="minorHAnsi"/>
        </w:rPr>
        <w:t xml:space="preserve"> strong performance in education on literacy and numeracy, teacher training and infrastructure development, and in health, where the number</w:t>
      </w:r>
      <w:r w:rsidR="007744F0">
        <w:rPr>
          <w:rFonts w:cstheme="minorHAnsi"/>
        </w:rPr>
        <w:t xml:space="preserve"> of</w:t>
      </w:r>
      <w:r w:rsidR="007744F0" w:rsidRPr="00143E7A">
        <w:rPr>
          <w:rFonts w:cstheme="minorHAnsi"/>
        </w:rPr>
        <w:t xml:space="preserve"> deaths of infants and children under five years decreased, the availability of essential medicine at the rural health clinic level improved, and the incidence rate of </w:t>
      </w:r>
      <w:r w:rsidR="003C1123">
        <w:rPr>
          <w:rFonts w:cstheme="minorHAnsi"/>
        </w:rPr>
        <w:t>m</w:t>
      </w:r>
      <w:r w:rsidR="005F1651">
        <w:rPr>
          <w:rFonts w:cstheme="minorHAnsi"/>
        </w:rPr>
        <w:t>alaria decreased.</w:t>
      </w:r>
    </w:p>
    <w:p w14:paraId="5A6B259C" w14:textId="77777777" w:rsidR="00DC5EE6" w:rsidRPr="00DC5EE6" w:rsidRDefault="00DC5EE6" w:rsidP="00DC5EE6">
      <w:pPr>
        <w:rPr>
          <w:rFonts w:cstheme="minorHAnsi"/>
        </w:rPr>
      </w:pPr>
      <w:r w:rsidRPr="00DC5EE6">
        <w:rPr>
          <w:rFonts w:cstheme="minorHAnsi"/>
        </w:rPr>
        <w:t xml:space="preserve">Australian assistance for </w:t>
      </w:r>
      <w:r w:rsidRPr="00726369">
        <w:rPr>
          <w:rFonts w:cstheme="minorHAnsi"/>
          <w:b/>
        </w:rPr>
        <w:t>education</w:t>
      </w:r>
      <w:r w:rsidRPr="00DC5EE6">
        <w:rPr>
          <w:rFonts w:cstheme="minorHAnsi"/>
        </w:rPr>
        <w:t xml:space="preserve"> in Solomon Islands targeted basic education, skills for economic growth and tertiary scholarships. Given the high cost of delivering services to remote and geographically dispersed communities, improving education services remains a challenge for government, donors, provincial and church education authorities and school communities. There is evidence of gradual improvement, but</w:t>
      </w:r>
      <w:r w:rsidR="005F1651">
        <w:rPr>
          <w:rFonts w:cstheme="minorHAnsi"/>
        </w:rPr>
        <w:t xml:space="preserve"> the system remains vulnerable.</w:t>
      </w:r>
    </w:p>
    <w:p w14:paraId="5B8EC044" w14:textId="77777777" w:rsidR="00DC5EE6" w:rsidRPr="00DC5EE6" w:rsidRDefault="00DC5EE6" w:rsidP="00DC5EE6">
      <w:pPr>
        <w:rPr>
          <w:rFonts w:cstheme="minorHAnsi"/>
        </w:rPr>
      </w:pPr>
      <w:r w:rsidRPr="00DC5EE6">
        <w:rPr>
          <w:rFonts w:cstheme="minorHAnsi"/>
        </w:rPr>
        <w:t>Australia’s funding for basic education in Solomon Islands aims to ensure more children complete basic education and achieve improved literacy and numeracy. Australia works in partnership with the Solomon Islands and New Zealand Governments, providing budget support to the government towards the goals of Solomon Islands’ National Education Action Plan.</w:t>
      </w:r>
      <w:r w:rsidR="003C1123">
        <w:rPr>
          <w:rFonts w:cstheme="minorHAnsi"/>
        </w:rPr>
        <w:t xml:space="preserve"> </w:t>
      </w:r>
      <w:r w:rsidRPr="00DC5EE6">
        <w:rPr>
          <w:rFonts w:cstheme="minorHAnsi"/>
        </w:rPr>
        <w:t>In 2015</w:t>
      </w:r>
      <w:r w:rsidR="00A302C3">
        <w:rPr>
          <w:rFonts w:cstheme="minorHAnsi"/>
        </w:rPr>
        <w:t>-</w:t>
      </w:r>
      <w:r w:rsidRPr="00DC5EE6">
        <w:rPr>
          <w:rFonts w:cstheme="minorHAnsi"/>
        </w:rPr>
        <w:t xml:space="preserve">16, </w:t>
      </w:r>
      <w:r w:rsidRPr="00A5053D">
        <w:rPr>
          <w:rFonts w:cstheme="minorHAnsi"/>
          <w:b/>
        </w:rPr>
        <w:t>the program used incentives and mutually agreed performance benchmarks to drive performance</w:t>
      </w:r>
      <w:r w:rsidRPr="00DC5EE6">
        <w:rPr>
          <w:rFonts w:cstheme="minorHAnsi"/>
        </w:rPr>
        <w:t>, particularly in the areas of access</w:t>
      </w:r>
      <w:r w:rsidR="003C1123">
        <w:rPr>
          <w:rFonts w:cstheme="minorHAnsi"/>
        </w:rPr>
        <w:t>,</w:t>
      </w:r>
      <w:r w:rsidRPr="00DC5EE6">
        <w:rPr>
          <w:rFonts w:cstheme="minorHAnsi"/>
        </w:rPr>
        <w:t xml:space="preserve"> quality and management</w:t>
      </w:r>
      <w:r w:rsidR="00A262EE">
        <w:rPr>
          <w:rFonts w:cstheme="minorHAnsi"/>
        </w:rPr>
        <w:t xml:space="preserve">. </w:t>
      </w:r>
      <w:r w:rsidRPr="00DC5EE6">
        <w:rPr>
          <w:rFonts w:cstheme="minorHAnsi"/>
        </w:rPr>
        <w:t xml:space="preserve">Australia’s policy advocacy remained focused on improving quality of expenditure by the Solomon Islands Government to achieve mutually agreed program goals in areas of student literacy and numeracy, teacher training, school-leadership development, school grants management and </w:t>
      </w:r>
      <w:r w:rsidR="00A302C3">
        <w:rPr>
          <w:rFonts w:cstheme="minorHAnsi"/>
        </w:rPr>
        <w:t xml:space="preserve">management systems for </w:t>
      </w:r>
      <w:r w:rsidRPr="00DC5EE6">
        <w:rPr>
          <w:rFonts w:cstheme="minorHAnsi"/>
        </w:rPr>
        <w:t>Solomon Islands Government’s tertiary scholarship</w:t>
      </w:r>
      <w:r w:rsidR="00A302C3">
        <w:rPr>
          <w:rFonts w:cstheme="minorHAnsi"/>
        </w:rPr>
        <w:t>s</w:t>
      </w:r>
      <w:r w:rsidR="005F1651">
        <w:rPr>
          <w:rFonts w:cstheme="minorHAnsi"/>
        </w:rPr>
        <w:t>.</w:t>
      </w:r>
    </w:p>
    <w:p w14:paraId="0E72CE71" w14:textId="77777777" w:rsidR="00DC5EE6" w:rsidRPr="00DC5EE6" w:rsidRDefault="00DC5EE6" w:rsidP="00DC5EE6">
      <w:pPr>
        <w:rPr>
          <w:rFonts w:cstheme="minorHAnsi"/>
        </w:rPr>
      </w:pPr>
      <w:r w:rsidRPr="00DC5EE6">
        <w:rPr>
          <w:rFonts w:cstheme="minorHAnsi"/>
        </w:rPr>
        <w:t xml:space="preserve">Improved </w:t>
      </w:r>
      <w:r w:rsidRPr="007744F0">
        <w:rPr>
          <w:rFonts w:cstheme="minorHAnsi"/>
          <w:b/>
        </w:rPr>
        <w:t>public procurement and distribution</w:t>
      </w:r>
      <w:r w:rsidRPr="00DC5EE6">
        <w:rPr>
          <w:rFonts w:cstheme="minorHAnsi"/>
        </w:rPr>
        <w:t xml:space="preserve"> systems have led to increased access to education. 225 classrooms have been built or upgraded in 130 schools, and 106,000 new textbooks are available across the country. These infrastructure enhancements are leading to </w:t>
      </w:r>
      <w:r w:rsidRPr="0017419F">
        <w:rPr>
          <w:rFonts w:cstheme="minorHAnsi"/>
          <w:b/>
        </w:rPr>
        <w:t>increased equity for girls</w:t>
      </w:r>
      <w:r w:rsidRPr="00DC5EE6">
        <w:rPr>
          <w:rFonts w:cstheme="minorHAnsi"/>
        </w:rPr>
        <w:t>, as places continue to expand in higher grades</w:t>
      </w:r>
      <w:r w:rsidR="00A262EE">
        <w:rPr>
          <w:rFonts w:cstheme="minorHAnsi"/>
        </w:rPr>
        <w:t xml:space="preserve">. </w:t>
      </w:r>
      <w:r w:rsidRPr="00DC5EE6">
        <w:rPr>
          <w:rFonts w:cstheme="minorHAnsi"/>
        </w:rPr>
        <w:t>In 2015</w:t>
      </w:r>
      <w:r w:rsidR="0017419F">
        <w:rPr>
          <w:rFonts w:cstheme="minorHAnsi"/>
        </w:rPr>
        <w:t>,</w:t>
      </w:r>
      <w:r w:rsidRPr="00DC5EE6">
        <w:rPr>
          <w:rFonts w:cstheme="minorHAnsi"/>
        </w:rPr>
        <w:t xml:space="preserve"> </w:t>
      </w:r>
      <w:r w:rsidR="00000FF5">
        <w:rPr>
          <w:rFonts w:cstheme="minorHAnsi"/>
        </w:rPr>
        <w:t>more girls than ever before (</w:t>
      </w:r>
      <w:r w:rsidRPr="00DC5EE6">
        <w:rPr>
          <w:rFonts w:cstheme="minorHAnsi"/>
        </w:rPr>
        <w:t>5,500</w:t>
      </w:r>
      <w:r w:rsidR="00000FF5">
        <w:rPr>
          <w:rFonts w:cstheme="minorHAnsi"/>
        </w:rPr>
        <w:t>)</w:t>
      </w:r>
      <w:r w:rsidRPr="00DC5EE6">
        <w:rPr>
          <w:rFonts w:cstheme="minorHAnsi"/>
        </w:rPr>
        <w:t xml:space="preserve"> started Junior Secondary </w:t>
      </w:r>
      <w:r w:rsidR="00A302C3">
        <w:rPr>
          <w:rFonts w:cstheme="minorHAnsi"/>
        </w:rPr>
        <w:t>S</w:t>
      </w:r>
      <w:r w:rsidR="00000FF5">
        <w:rPr>
          <w:rFonts w:cstheme="minorHAnsi"/>
        </w:rPr>
        <w:t>chool</w:t>
      </w:r>
      <w:r w:rsidRPr="00DC5EE6">
        <w:rPr>
          <w:rFonts w:cstheme="minorHAnsi"/>
        </w:rPr>
        <w:t xml:space="preserve"> </w:t>
      </w:r>
      <w:r w:rsidR="00000FF5">
        <w:rPr>
          <w:rFonts w:cstheme="minorHAnsi"/>
        </w:rPr>
        <w:t>(</w:t>
      </w:r>
      <w:r w:rsidRPr="00DC5EE6">
        <w:rPr>
          <w:rFonts w:cstheme="minorHAnsi"/>
        </w:rPr>
        <w:t>Form 1 (Year 7)</w:t>
      </w:r>
      <w:r w:rsidR="00000FF5">
        <w:rPr>
          <w:rFonts w:cstheme="minorHAnsi"/>
        </w:rPr>
        <w:t>)</w:t>
      </w:r>
      <w:r w:rsidRPr="00DC5EE6">
        <w:rPr>
          <w:rFonts w:cstheme="minorHAnsi"/>
        </w:rPr>
        <w:t xml:space="preserve">. This is the beginning of a new period in Solomon Islands when access to Junior High School is not limited by </w:t>
      </w:r>
      <w:r w:rsidR="005F1651">
        <w:rPr>
          <w:rFonts w:cstheme="minorHAnsi"/>
        </w:rPr>
        <w:t>the number of available places.</w:t>
      </w:r>
    </w:p>
    <w:p w14:paraId="65668171" w14:textId="77777777" w:rsidR="00DC5EE6" w:rsidRPr="00DC5EE6" w:rsidRDefault="00DC5EE6" w:rsidP="00DC5EE6">
      <w:pPr>
        <w:rPr>
          <w:rFonts w:cstheme="minorHAnsi"/>
        </w:rPr>
      </w:pPr>
      <w:r w:rsidRPr="00DC5EE6">
        <w:rPr>
          <w:rFonts w:cstheme="minorHAnsi"/>
        </w:rPr>
        <w:t xml:space="preserve">Eighty per cent of </w:t>
      </w:r>
      <w:r w:rsidRPr="007744F0">
        <w:rPr>
          <w:rFonts w:cstheme="minorHAnsi"/>
          <w:b/>
        </w:rPr>
        <w:t>teachers are now trained</w:t>
      </w:r>
      <w:r w:rsidRPr="00DC5EE6">
        <w:rPr>
          <w:rFonts w:cstheme="minorHAnsi"/>
        </w:rPr>
        <w:t xml:space="preserve">, increasing from 50 per cent since Australia </w:t>
      </w:r>
      <w:r w:rsidR="008E7684">
        <w:rPr>
          <w:rFonts w:cstheme="minorHAnsi"/>
        </w:rPr>
        <w:t xml:space="preserve">began </w:t>
      </w:r>
      <w:r w:rsidRPr="00DC5EE6">
        <w:rPr>
          <w:rFonts w:cstheme="minorHAnsi"/>
        </w:rPr>
        <w:t>invest</w:t>
      </w:r>
      <w:r w:rsidR="008E7684">
        <w:rPr>
          <w:rFonts w:cstheme="minorHAnsi"/>
        </w:rPr>
        <w:t>ment</w:t>
      </w:r>
      <w:r w:rsidRPr="00DC5EE6">
        <w:rPr>
          <w:rFonts w:cstheme="minorHAnsi"/>
        </w:rPr>
        <w:t xml:space="preserve"> in the sector in 2012, and exceeding the joint target of 70</w:t>
      </w:r>
      <w:r w:rsidR="00A302C3">
        <w:rPr>
          <w:rFonts w:cstheme="minorHAnsi"/>
        </w:rPr>
        <w:t xml:space="preserve"> per cent</w:t>
      </w:r>
      <w:r w:rsidRPr="00DC5EE6">
        <w:rPr>
          <w:rFonts w:cstheme="minorHAnsi"/>
        </w:rPr>
        <w:t xml:space="preserve"> for 2015-16. In 2015, Solomon Islands doubled its school grants, with Solomon Islands Government, New Zealand and Australian funding for school grants helping 155,000 primary school stud</w:t>
      </w:r>
      <w:r w:rsidR="005F1651">
        <w:rPr>
          <w:rFonts w:cstheme="minorHAnsi"/>
        </w:rPr>
        <w:t>ents access fee-free education.</w:t>
      </w:r>
    </w:p>
    <w:p w14:paraId="2880B554" w14:textId="77777777" w:rsidR="00DC5EE6" w:rsidRDefault="00DC5EE6" w:rsidP="00DC5EE6">
      <w:pPr>
        <w:rPr>
          <w:rFonts w:cstheme="minorHAnsi"/>
        </w:rPr>
      </w:pPr>
      <w:r w:rsidRPr="007744F0">
        <w:rPr>
          <w:rFonts w:cstheme="minorHAnsi"/>
          <w:b/>
        </w:rPr>
        <w:t>Learning outcomes are improving</w:t>
      </w:r>
      <w:r w:rsidRPr="00DC5EE6">
        <w:rPr>
          <w:rFonts w:cstheme="minorHAnsi"/>
        </w:rPr>
        <w:t>. Results from the 2015 Solomon Islands Standardised Tests of Achievement (SISTA) showed that 75.6</w:t>
      </w:r>
      <w:r w:rsidR="00A302C3">
        <w:rPr>
          <w:rFonts w:cstheme="minorHAnsi"/>
        </w:rPr>
        <w:t xml:space="preserve"> per cent</w:t>
      </w:r>
      <w:r w:rsidRPr="00DC5EE6">
        <w:rPr>
          <w:rFonts w:cstheme="minorHAnsi"/>
        </w:rPr>
        <w:t xml:space="preserve"> of Year 4 students were performing at expected literacy levels and 76.3</w:t>
      </w:r>
      <w:r w:rsidR="00A302C3">
        <w:rPr>
          <w:rFonts w:cstheme="minorHAnsi"/>
        </w:rPr>
        <w:t xml:space="preserve"> per cent</w:t>
      </w:r>
      <w:r w:rsidRPr="00DC5EE6">
        <w:rPr>
          <w:rFonts w:cstheme="minorHAnsi"/>
        </w:rPr>
        <w:t xml:space="preserve"> at expected numeracy levels. While this exceeded the performance benchmark of 66.4</w:t>
      </w:r>
      <w:r w:rsidR="00A302C3">
        <w:rPr>
          <w:rFonts w:cstheme="minorHAnsi"/>
        </w:rPr>
        <w:t xml:space="preserve"> per cent</w:t>
      </w:r>
      <w:r w:rsidRPr="00DC5EE6">
        <w:rPr>
          <w:rFonts w:cstheme="minorHAnsi"/>
        </w:rPr>
        <w:t>, only 40</w:t>
      </w:r>
      <w:r w:rsidR="00A302C3">
        <w:rPr>
          <w:rFonts w:cstheme="minorHAnsi"/>
        </w:rPr>
        <w:t xml:space="preserve"> per cent</w:t>
      </w:r>
      <w:r w:rsidRPr="00DC5EE6">
        <w:rPr>
          <w:rFonts w:cstheme="minorHAnsi"/>
        </w:rPr>
        <w:t xml:space="preserve"> of Education Authorities are undertaking planned literacy activities (an agreed performance benchmark) across their schools</w:t>
      </w:r>
      <w:r w:rsidR="007744F0">
        <w:rPr>
          <w:rFonts w:cstheme="minorHAnsi"/>
        </w:rPr>
        <w:t>. This</w:t>
      </w:r>
      <w:r w:rsidRPr="00DC5EE6">
        <w:rPr>
          <w:rFonts w:cstheme="minorHAnsi"/>
        </w:rPr>
        <w:t xml:space="preserve"> may constrain future improvements to classroo</w:t>
      </w:r>
      <w:r w:rsidR="005F1651">
        <w:rPr>
          <w:rFonts w:cstheme="minorHAnsi"/>
        </w:rPr>
        <w:t>m instruction if not addressed.</w:t>
      </w:r>
    </w:p>
    <w:p w14:paraId="6CB912DB" w14:textId="77777777" w:rsidR="00D95F41" w:rsidRDefault="00D87D26" w:rsidP="00D95F41">
      <w:pPr>
        <w:rPr>
          <w:rFonts w:cstheme="minorHAnsi"/>
        </w:rPr>
      </w:pPr>
      <w:r>
        <w:rPr>
          <w:rFonts w:cstheme="minorHAnsi"/>
        </w:rPr>
        <w:t>R</w:t>
      </w:r>
      <w:r w:rsidR="00D95F41">
        <w:rPr>
          <w:rFonts w:cstheme="minorHAnsi"/>
        </w:rPr>
        <w:t>ecognising that</w:t>
      </w:r>
      <w:r w:rsidR="00D95F41" w:rsidRPr="00DC5EE6">
        <w:rPr>
          <w:rFonts w:cstheme="minorHAnsi"/>
        </w:rPr>
        <w:t xml:space="preserve"> high costs and poor performance of S</w:t>
      </w:r>
      <w:r w:rsidR="00D95F41">
        <w:rPr>
          <w:rFonts w:cstheme="minorHAnsi"/>
        </w:rPr>
        <w:t>olomon Islands Government’s</w:t>
      </w:r>
      <w:r w:rsidR="00D95F41" w:rsidRPr="00DC5EE6">
        <w:rPr>
          <w:rFonts w:cstheme="minorHAnsi"/>
        </w:rPr>
        <w:t xml:space="preserve"> tertiary scholarships program continue to pose a risk to funding for basic education</w:t>
      </w:r>
      <w:r w:rsidR="00D95F41">
        <w:rPr>
          <w:rFonts w:cstheme="minorHAnsi"/>
        </w:rPr>
        <w:t xml:space="preserve">, we assisted the </w:t>
      </w:r>
      <w:r w:rsidR="00D95F41" w:rsidRPr="00DC5EE6">
        <w:rPr>
          <w:rFonts w:cstheme="minorHAnsi"/>
        </w:rPr>
        <w:t xml:space="preserve">Ministry of Education and Human Resource Development </w:t>
      </w:r>
      <w:r w:rsidR="00D95F41">
        <w:rPr>
          <w:rFonts w:cstheme="minorHAnsi"/>
        </w:rPr>
        <w:t xml:space="preserve">to </w:t>
      </w:r>
      <w:r w:rsidR="00D95F41" w:rsidRPr="00DC5EE6">
        <w:rPr>
          <w:rFonts w:cstheme="minorHAnsi"/>
        </w:rPr>
        <w:t xml:space="preserve">develop its Scholarship Information Management System and its Tertiary Scholarships Policy and Procedures. We </w:t>
      </w:r>
      <w:r w:rsidR="00D95F41">
        <w:rPr>
          <w:rFonts w:cstheme="minorHAnsi"/>
        </w:rPr>
        <w:t xml:space="preserve">bolstered advocacy </w:t>
      </w:r>
      <w:r w:rsidR="00D95F41" w:rsidRPr="00DC5EE6">
        <w:rPr>
          <w:rFonts w:cstheme="minorHAnsi"/>
        </w:rPr>
        <w:t>for greater alignment of scholarship spending with labour</w:t>
      </w:r>
      <w:r>
        <w:rPr>
          <w:rFonts w:cstheme="minorHAnsi"/>
        </w:rPr>
        <w:t xml:space="preserve"> </w:t>
      </w:r>
      <w:r w:rsidR="00D95F41" w:rsidRPr="00DC5EE6">
        <w:rPr>
          <w:rFonts w:cstheme="minorHAnsi"/>
        </w:rPr>
        <w:t>market demand</w:t>
      </w:r>
      <w:r w:rsidR="00D95F41" w:rsidRPr="00201173">
        <w:rPr>
          <w:rFonts w:cstheme="minorHAnsi"/>
        </w:rPr>
        <w:t xml:space="preserve"> </w:t>
      </w:r>
      <w:r w:rsidR="00D95F41">
        <w:rPr>
          <w:rFonts w:cstheme="minorHAnsi"/>
        </w:rPr>
        <w:t xml:space="preserve">through </w:t>
      </w:r>
      <w:r w:rsidR="00D95F41" w:rsidRPr="00DC5EE6">
        <w:rPr>
          <w:rFonts w:cstheme="minorHAnsi"/>
        </w:rPr>
        <w:t>support</w:t>
      </w:r>
      <w:r w:rsidR="00D95F41">
        <w:rPr>
          <w:rFonts w:cstheme="minorHAnsi"/>
        </w:rPr>
        <w:t xml:space="preserve"> for a </w:t>
      </w:r>
      <w:r w:rsidR="005F1651">
        <w:rPr>
          <w:rFonts w:cstheme="minorHAnsi"/>
        </w:rPr>
        <w:t>Labour Market Demand Survey.</w:t>
      </w:r>
    </w:p>
    <w:p w14:paraId="1315565E" w14:textId="77777777" w:rsidR="00D95F41" w:rsidRDefault="00D95F41" w:rsidP="00D67CB4">
      <w:pPr>
        <w:rPr>
          <w:rFonts w:cstheme="minorHAnsi"/>
        </w:rPr>
      </w:pPr>
      <w:r>
        <w:rPr>
          <w:rFonts w:cstheme="minorHAnsi"/>
        </w:rPr>
        <w:t xml:space="preserve">Separately, </w:t>
      </w:r>
      <w:r w:rsidR="00DC5EE6" w:rsidRPr="00DC5EE6">
        <w:rPr>
          <w:rFonts w:cstheme="minorHAnsi"/>
        </w:rPr>
        <w:t xml:space="preserve">Australia provided </w:t>
      </w:r>
      <w:r w:rsidR="00201173">
        <w:rPr>
          <w:rFonts w:cstheme="minorHAnsi"/>
        </w:rPr>
        <w:t>30</w:t>
      </w:r>
      <w:r w:rsidR="00DC5EE6" w:rsidRPr="00DC5EE6">
        <w:rPr>
          <w:rFonts w:cstheme="minorHAnsi"/>
        </w:rPr>
        <w:t xml:space="preserve"> long-term </w:t>
      </w:r>
      <w:r w:rsidRPr="00D95F41">
        <w:rPr>
          <w:rFonts w:cstheme="minorHAnsi"/>
          <w:b/>
        </w:rPr>
        <w:t>Australia Awards</w:t>
      </w:r>
      <w:r w:rsidRPr="003C0FBA">
        <w:rPr>
          <w:rFonts w:cstheme="minorHAnsi"/>
        </w:rPr>
        <w:t xml:space="preserve"> </w:t>
      </w:r>
      <w:r w:rsidR="003C0FBA" w:rsidRPr="003C0FBA">
        <w:rPr>
          <w:rFonts w:cstheme="minorHAnsi"/>
        </w:rPr>
        <w:t>tertiary s</w:t>
      </w:r>
      <w:r w:rsidR="00DC5EE6" w:rsidRPr="003C0FBA">
        <w:rPr>
          <w:rFonts w:cstheme="minorHAnsi"/>
        </w:rPr>
        <w:t xml:space="preserve">cholarships to </w:t>
      </w:r>
      <w:r w:rsidR="00DC5EE6" w:rsidRPr="00DC5EE6">
        <w:rPr>
          <w:rFonts w:cstheme="minorHAnsi"/>
        </w:rPr>
        <w:t>Solomon Islanders in 2015, half being awarded to women despite fewer women applying than men. Seven women commenced study in traditionally male dominated fields</w:t>
      </w:r>
      <w:r w:rsidR="00A302C3">
        <w:rPr>
          <w:rFonts w:cstheme="minorHAnsi"/>
        </w:rPr>
        <w:t xml:space="preserve"> </w:t>
      </w:r>
      <w:r w:rsidR="0017419F">
        <w:rPr>
          <w:rFonts w:cstheme="minorHAnsi"/>
        </w:rPr>
        <w:t>of l</w:t>
      </w:r>
      <w:r w:rsidR="0017419F" w:rsidRPr="00DC5EE6">
        <w:rPr>
          <w:rFonts w:cstheme="minorHAnsi"/>
        </w:rPr>
        <w:t>aw, information technology and business systems</w:t>
      </w:r>
      <w:r w:rsidR="005F1651">
        <w:rPr>
          <w:rFonts w:cstheme="minorHAnsi"/>
        </w:rPr>
        <w:t>.</w:t>
      </w:r>
    </w:p>
    <w:p w14:paraId="580AA7B9" w14:textId="77777777" w:rsidR="00850453" w:rsidRDefault="00B60588" w:rsidP="00D67CB4">
      <w:pPr>
        <w:rPr>
          <w:rFonts w:cstheme="minorHAnsi"/>
        </w:rPr>
      </w:pPr>
      <w:r w:rsidRPr="00D67CB4">
        <w:rPr>
          <w:rFonts w:cstheme="minorHAnsi"/>
        </w:rPr>
        <w:t xml:space="preserve">Australia remains the largest donor in the Solomon Islands’ </w:t>
      </w:r>
      <w:r w:rsidRPr="00AA5232">
        <w:rPr>
          <w:rFonts w:cstheme="minorHAnsi"/>
          <w:b/>
        </w:rPr>
        <w:t>health</w:t>
      </w:r>
      <w:r w:rsidRPr="00D67CB4">
        <w:rPr>
          <w:rFonts w:cstheme="minorHAnsi"/>
        </w:rPr>
        <w:t xml:space="preserve"> sector</w:t>
      </w:r>
      <w:r w:rsidR="00AA5232">
        <w:rPr>
          <w:rFonts w:cstheme="minorHAnsi"/>
        </w:rPr>
        <w:t xml:space="preserve">. In 2015-16, Australia </w:t>
      </w:r>
      <w:r w:rsidR="00850453">
        <w:rPr>
          <w:rFonts w:cstheme="minorHAnsi"/>
        </w:rPr>
        <w:t>provided assistance for health systems strengthening; as well as direct support for specific health interventions.</w:t>
      </w:r>
    </w:p>
    <w:p w14:paraId="2BD139B4" w14:textId="77777777" w:rsidR="00BA3A43" w:rsidRDefault="00143E7A" w:rsidP="00FA4D8E">
      <w:pPr>
        <w:rPr>
          <w:rFonts w:cstheme="minorHAnsi"/>
        </w:rPr>
      </w:pPr>
      <w:r>
        <w:rPr>
          <w:rFonts w:cstheme="minorHAnsi"/>
        </w:rPr>
        <w:t>Australia</w:t>
      </w:r>
      <w:r w:rsidR="00FA4D8E">
        <w:rPr>
          <w:rFonts w:cstheme="minorHAnsi"/>
        </w:rPr>
        <w:t xml:space="preserve"> focused a significant part of its effor</w:t>
      </w:r>
      <w:r w:rsidR="000319C0">
        <w:rPr>
          <w:rFonts w:cstheme="minorHAnsi"/>
        </w:rPr>
        <w:t xml:space="preserve">ts towards </w:t>
      </w:r>
      <w:r w:rsidR="000319C0" w:rsidRPr="0098148F">
        <w:rPr>
          <w:rFonts w:cstheme="minorHAnsi"/>
          <w:b/>
        </w:rPr>
        <w:t>strengthening health</w:t>
      </w:r>
      <w:r w:rsidR="00FA4D8E" w:rsidRPr="0098148F">
        <w:rPr>
          <w:rFonts w:cstheme="minorHAnsi"/>
          <w:b/>
        </w:rPr>
        <w:t xml:space="preserve"> systems</w:t>
      </w:r>
      <w:r w:rsidR="00FA4D8E">
        <w:rPr>
          <w:rFonts w:cstheme="minorHAnsi"/>
        </w:rPr>
        <w:t xml:space="preserve"> </w:t>
      </w:r>
      <w:r w:rsidR="00FA4D8E" w:rsidRPr="008E21D8">
        <w:rPr>
          <w:rFonts w:cstheme="minorHAnsi"/>
        </w:rPr>
        <w:t>through policy dialogue, technical assistance and performance linked aid</w:t>
      </w:r>
      <w:r w:rsidR="00FA4D8E" w:rsidRPr="00FA1EB7">
        <w:rPr>
          <w:rFonts w:cstheme="minorHAnsi"/>
        </w:rPr>
        <w:t xml:space="preserve">. </w:t>
      </w:r>
      <w:r w:rsidR="00FA4D8E" w:rsidRPr="00187C67">
        <w:rPr>
          <w:rFonts w:cstheme="minorHAnsi"/>
        </w:rPr>
        <w:t>This work</w:t>
      </w:r>
      <w:r w:rsidR="00FA4D8E">
        <w:rPr>
          <w:rFonts w:cstheme="minorHAnsi"/>
          <w:i/>
        </w:rPr>
        <w:t xml:space="preserve"> </w:t>
      </w:r>
      <w:r w:rsidR="00FA4D8E">
        <w:rPr>
          <w:rFonts w:cstheme="minorHAnsi"/>
        </w:rPr>
        <w:t xml:space="preserve">resulted in improvements in financial management and annual operational planning, particularly at a provincial level. Improvements in the District Health Information </w:t>
      </w:r>
      <w:r w:rsidR="00A302C3">
        <w:rPr>
          <w:rFonts w:cstheme="minorHAnsi"/>
        </w:rPr>
        <w:t>S</w:t>
      </w:r>
      <w:r w:rsidR="00FA4D8E">
        <w:rPr>
          <w:rFonts w:cstheme="minorHAnsi"/>
        </w:rPr>
        <w:t>ystem included integration of data on malaria, R</w:t>
      </w:r>
      <w:r w:rsidR="0098148F">
        <w:rPr>
          <w:rFonts w:cstheme="minorHAnsi"/>
        </w:rPr>
        <w:t xml:space="preserve">ural </w:t>
      </w:r>
      <w:r w:rsidR="00FA4D8E">
        <w:rPr>
          <w:rFonts w:cstheme="minorHAnsi"/>
        </w:rPr>
        <w:t>W</w:t>
      </w:r>
      <w:r w:rsidR="0098148F">
        <w:rPr>
          <w:rFonts w:cstheme="minorHAnsi"/>
        </w:rPr>
        <w:t>ater, Sanitation and Hygiene</w:t>
      </w:r>
      <w:r w:rsidR="00FA4D8E">
        <w:rPr>
          <w:rFonts w:cstheme="minorHAnsi"/>
        </w:rPr>
        <w:t xml:space="preserve"> </w:t>
      </w:r>
      <w:r w:rsidR="005652D6">
        <w:rPr>
          <w:rFonts w:cstheme="minorHAnsi"/>
        </w:rPr>
        <w:t xml:space="preserve">(RWASH) </w:t>
      </w:r>
      <w:r w:rsidR="00FA4D8E">
        <w:rPr>
          <w:rFonts w:cstheme="minorHAnsi"/>
        </w:rPr>
        <w:t>and the status of health facilities to improve planning</w:t>
      </w:r>
      <w:r w:rsidR="0098148F">
        <w:rPr>
          <w:rFonts w:cstheme="minorHAnsi"/>
        </w:rPr>
        <w:t xml:space="preserve">, </w:t>
      </w:r>
      <w:r w:rsidR="00FA4D8E">
        <w:rPr>
          <w:rFonts w:cstheme="minorHAnsi"/>
        </w:rPr>
        <w:t>monitoring and evaluation. Decentralisation of malaria progra</w:t>
      </w:r>
      <w:r w:rsidR="000319C0">
        <w:rPr>
          <w:rFonts w:cstheme="minorHAnsi"/>
        </w:rPr>
        <w:t xml:space="preserve">m operations to the provinces </w:t>
      </w:r>
      <w:r w:rsidR="00FA4D8E">
        <w:rPr>
          <w:rFonts w:cstheme="minorHAnsi"/>
        </w:rPr>
        <w:t>contribut</w:t>
      </w:r>
      <w:r w:rsidR="0098148F">
        <w:rPr>
          <w:rFonts w:cstheme="minorHAnsi"/>
        </w:rPr>
        <w:t>ed</w:t>
      </w:r>
      <w:r w:rsidR="005F1651">
        <w:rPr>
          <w:rFonts w:cstheme="minorHAnsi"/>
        </w:rPr>
        <w:t xml:space="preserve"> to efficiency gains.</w:t>
      </w:r>
    </w:p>
    <w:p w14:paraId="149F6B89" w14:textId="77777777" w:rsidR="00FA4D8E" w:rsidRDefault="0000354B" w:rsidP="00FA4D8E">
      <w:pPr>
        <w:rPr>
          <w:rFonts w:cstheme="minorHAnsi"/>
        </w:rPr>
      </w:pPr>
      <w:r>
        <w:rPr>
          <w:rFonts w:cstheme="minorHAnsi"/>
        </w:rPr>
        <w:t xml:space="preserve">Progress was slower than expected in the areas of human </w:t>
      </w:r>
      <w:r w:rsidR="00FA4D8E">
        <w:rPr>
          <w:rFonts w:cstheme="minorHAnsi"/>
        </w:rPr>
        <w:t>res</w:t>
      </w:r>
      <w:r>
        <w:rPr>
          <w:rFonts w:cstheme="minorHAnsi"/>
        </w:rPr>
        <w:t>ource management and procurement</w:t>
      </w:r>
      <w:r w:rsidR="00A262EE">
        <w:rPr>
          <w:rFonts w:cstheme="minorHAnsi"/>
        </w:rPr>
        <w:t xml:space="preserve">. </w:t>
      </w:r>
      <w:r w:rsidR="00331D19">
        <w:rPr>
          <w:rFonts w:cstheme="minorHAnsi"/>
        </w:rPr>
        <w:t xml:space="preserve">This will be a major focus of the next </w:t>
      </w:r>
      <w:r w:rsidR="00C90A57">
        <w:rPr>
          <w:rFonts w:cstheme="minorHAnsi"/>
        </w:rPr>
        <w:t xml:space="preserve">four-year </w:t>
      </w:r>
      <w:r w:rsidR="00331D19">
        <w:rPr>
          <w:rFonts w:cstheme="minorHAnsi"/>
        </w:rPr>
        <w:t xml:space="preserve">phase of the </w:t>
      </w:r>
      <w:r w:rsidR="00331D19" w:rsidRPr="00FA1EB7">
        <w:rPr>
          <w:rFonts w:cstheme="minorHAnsi"/>
        </w:rPr>
        <w:t>Health Sector Support Program (HSSP3)</w:t>
      </w:r>
      <w:r w:rsidR="00C90A57">
        <w:rPr>
          <w:rFonts w:cstheme="minorHAnsi"/>
        </w:rPr>
        <w:t>. Design for this work was completed in 2015-16</w:t>
      </w:r>
      <w:r w:rsidR="00A5053D">
        <w:rPr>
          <w:rFonts w:cstheme="minorHAnsi"/>
        </w:rPr>
        <w:t>, supporting</w:t>
      </w:r>
      <w:r w:rsidR="00BA3A43" w:rsidRPr="00D67CB4">
        <w:rPr>
          <w:rFonts w:cstheme="minorHAnsi"/>
        </w:rPr>
        <w:t xml:space="preserve"> the M</w:t>
      </w:r>
      <w:r w:rsidR="00BA3A43">
        <w:rPr>
          <w:rFonts w:cstheme="minorHAnsi"/>
        </w:rPr>
        <w:t>HMS</w:t>
      </w:r>
      <w:r w:rsidR="00BA3A43" w:rsidRPr="00D67CB4">
        <w:rPr>
          <w:rFonts w:cstheme="minorHAnsi"/>
        </w:rPr>
        <w:t xml:space="preserve"> implement its new National Health Strategic Plan (2016 – 2020)</w:t>
      </w:r>
      <w:r w:rsidR="00A5053D">
        <w:rPr>
          <w:rFonts w:cstheme="minorHAnsi"/>
        </w:rPr>
        <w:t xml:space="preserve"> and</w:t>
      </w:r>
      <w:r w:rsidR="00C90A57">
        <w:rPr>
          <w:rFonts w:cstheme="minorHAnsi"/>
        </w:rPr>
        <w:t xml:space="preserve"> prioritising</w:t>
      </w:r>
      <w:r w:rsidR="00C90A57" w:rsidRPr="00D67CB4">
        <w:rPr>
          <w:rFonts w:cstheme="minorHAnsi"/>
        </w:rPr>
        <w:t xml:space="preserve"> primary and preventive health care, with a stronger emphasis on lagging conditions</w:t>
      </w:r>
      <w:r w:rsidR="00393392">
        <w:rPr>
          <w:rFonts w:cstheme="minorHAnsi"/>
        </w:rPr>
        <w:t xml:space="preserve">, </w:t>
      </w:r>
      <w:r w:rsidR="00C90A57" w:rsidRPr="00D67CB4">
        <w:rPr>
          <w:rFonts w:cstheme="minorHAnsi"/>
        </w:rPr>
        <w:t>emerging non-communicable diseases, and</w:t>
      </w:r>
      <w:r w:rsidR="00BA3A43">
        <w:rPr>
          <w:rFonts w:cstheme="minorHAnsi"/>
        </w:rPr>
        <w:t xml:space="preserve"> an</w:t>
      </w:r>
      <w:r w:rsidR="00C90A57" w:rsidRPr="00D67CB4">
        <w:rPr>
          <w:rFonts w:cstheme="minorHAnsi"/>
        </w:rPr>
        <w:t xml:space="preserve"> increase</w:t>
      </w:r>
      <w:r w:rsidR="00BA3A43">
        <w:rPr>
          <w:rFonts w:cstheme="minorHAnsi"/>
        </w:rPr>
        <w:t>d</w:t>
      </w:r>
      <w:r w:rsidR="00C90A57" w:rsidRPr="00D67CB4">
        <w:rPr>
          <w:rFonts w:cstheme="minorHAnsi"/>
        </w:rPr>
        <w:t xml:space="preserve"> focus on health system strengthening</w:t>
      </w:r>
      <w:r w:rsidR="005F1651">
        <w:rPr>
          <w:rFonts w:cstheme="minorHAnsi"/>
        </w:rPr>
        <w:t>.</w:t>
      </w:r>
    </w:p>
    <w:p w14:paraId="42ED22A3" w14:textId="77777777" w:rsidR="00B60588" w:rsidRPr="00D67CB4" w:rsidRDefault="0000354B" w:rsidP="00D67CB4">
      <w:pPr>
        <w:rPr>
          <w:rFonts w:cstheme="minorHAnsi"/>
        </w:rPr>
      </w:pPr>
      <w:r w:rsidRPr="00D67CB4">
        <w:rPr>
          <w:rFonts w:cstheme="minorHAnsi"/>
        </w:rPr>
        <w:t xml:space="preserve">Australia’s investments are </w:t>
      </w:r>
      <w:r w:rsidRPr="0000354B">
        <w:rPr>
          <w:rFonts w:cstheme="minorHAnsi"/>
          <w:b/>
        </w:rPr>
        <w:t>supporting interventions in health care</w:t>
      </w:r>
      <w:r w:rsidRPr="00D67CB4">
        <w:rPr>
          <w:rFonts w:cstheme="minorHAnsi"/>
        </w:rPr>
        <w:t xml:space="preserve">, </w:t>
      </w:r>
      <w:r w:rsidR="00063B2A">
        <w:rPr>
          <w:rFonts w:cstheme="minorHAnsi"/>
        </w:rPr>
        <w:t>including</w:t>
      </w:r>
      <w:r w:rsidRPr="00D67CB4">
        <w:rPr>
          <w:rFonts w:cstheme="minorHAnsi"/>
        </w:rPr>
        <w:t xml:space="preserve"> immunisations, family planning, rural water and sanitation, safe baby deliveries and malaria and tuberculosis prevention.</w:t>
      </w:r>
      <w:r>
        <w:rPr>
          <w:rFonts w:cstheme="minorHAnsi"/>
        </w:rPr>
        <w:t xml:space="preserve"> </w:t>
      </w:r>
      <w:r w:rsidR="00B60588" w:rsidRPr="00D67CB4">
        <w:rPr>
          <w:rFonts w:cstheme="minorHAnsi"/>
        </w:rPr>
        <w:t xml:space="preserve">In 2015-16, many </w:t>
      </w:r>
      <w:r w:rsidR="00B60588" w:rsidRPr="00151BC8">
        <w:rPr>
          <w:rFonts w:cstheme="minorHAnsi"/>
        </w:rPr>
        <w:t>national health indicators showed steady improvement or remained stable. There was a decrease in the</w:t>
      </w:r>
      <w:r w:rsidR="00B60588" w:rsidRPr="00D67CB4">
        <w:rPr>
          <w:rFonts w:cstheme="minorHAnsi"/>
        </w:rPr>
        <w:t xml:space="preserve"> number deaths of infants and children under five years compared to 2014 despite a rotavirus outbreak in December 2015. The availability of essential medicine at the rural health clinic level continued to improve to 7</w:t>
      </w:r>
      <w:r w:rsidR="00B820F8">
        <w:rPr>
          <w:rFonts w:cstheme="minorHAnsi"/>
        </w:rPr>
        <w:t>4</w:t>
      </w:r>
      <w:r w:rsidR="00B60588" w:rsidRPr="00D67CB4">
        <w:rPr>
          <w:rFonts w:cstheme="minorHAnsi"/>
        </w:rPr>
        <w:t xml:space="preserve"> per cent from </w:t>
      </w:r>
      <w:r w:rsidR="002F4B23">
        <w:rPr>
          <w:rFonts w:cstheme="minorHAnsi"/>
        </w:rPr>
        <w:t>73</w:t>
      </w:r>
      <w:r w:rsidR="00B60588" w:rsidRPr="00D67CB4">
        <w:rPr>
          <w:rFonts w:cstheme="minorHAnsi"/>
        </w:rPr>
        <w:t xml:space="preserve"> per cent in 201</w:t>
      </w:r>
      <w:r w:rsidR="002F4B23">
        <w:rPr>
          <w:rFonts w:cstheme="minorHAnsi"/>
        </w:rPr>
        <w:t>4</w:t>
      </w:r>
      <w:r w:rsidR="00BA3A43">
        <w:rPr>
          <w:rFonts w:cstheme="minorHAnsi"/>
        </w:rPr>
        <w:t xml:space="preserve">, exceeding </w:t>
      </w:r>
      <w:r w:rsidR="006D1CAA">
        <w:rPr>
          <w:rFonts w:cstheme="minorHAnsi"/>
        </w:rPr>
        <w:t>the performance benchmark of 64 per cent.</w:t>
      </w:r>
      <w:r w:rsidR="00B60588" w:rsidRPr="00D67CB4">
        <w:rPr>
          <w:rFonts w:cstheme="minorHAnsi"/>
        </w:rPr>
        <w:t xml:space="preserve"> Reduction in malaria was on track with the incidence rate at 40 cases per 1000 people</w:t>
      </w:r>
      <w:r w:rsidR="00A262EE">
        <w:rPr>
          <w:rFonts w:cstheme="minorHAnsi"/>
        </w:rPr>
        <w:t xml:space="preserve">. </w:t>
      </w:r>
      <w:r w:rsidR="00487C2A">
        <w:rPr>
          <w:rFonts w:cstheme="minorHAnsi"/>
        </w:rPr>
        <w:t xml:space="preserve">This was up </w:t>
      </w:r>
      <w:r w:rsidR="00487C2A" w:rsidRPr="00151BC8">
        <w:rPr>
          <w:rFonts w:cstheme="minorHAnsi"/>
        </w:rPr>
        <w:t>from 30</w:t>
      </w:r>
      <w:r w:rsidR="002F4B23" w:rsidRPr="00151BC8">
        <w:rPr>
          <w:rFonts w:cstheme="minorHAnsi"/>
        </w:rPr>
        <w:t xml:space="preserve"> cases per 1,000 in</w:t>
      </w:r>
      <w:r w:rsidR="002F4B23">
        <w:rPr>
          <w:rFonts w:cstheme="minorHAnsi"/>
        </w:rPr>
        <w:t xml:space="preserve"> 2014</w:t>
      </w:r>
      <w:r w:rsidR="00487C2A">
        <w:rPr>
          <w:rFonts w:cstheme="minorHAnsi"/>
        </w:rPr>
        <w:t>, however is still on a downward trend in the medium term</w:t>
      </w:r>
      <w:r w:rsidR="00FA4D8E" w:rsidRPr="00D67CB4">
        <w:rPr>
          <w:rFonts w:cstheme="minorHAnsi"/>
        </w:rPr>
        <w:t xml:space="preserve">. </w:t>
      </w:r>
      <w:r w:rsidR="00FA4D8E">
        <w:rPr>
          <w:rFonts w:cstheme="minorHAnsi"/>
        </w:rPr>
        <w:t>A distribution of 430,000 bed</w:t>
      </w:r>
      <w:r w:rsidR="000319C0">
        <w:rPr>
          <w:rFonts w:cstheme="minorHAnsi"/>
        </w:rPr>
        <w:t xml:space="preserve"> nets in May 2016 is expected to</w:t>
      </w:r>
      <w:r w:rsidR="00FA4D8E">
        <w:rPr>
          <w:rFonts w:cstheme="minorHAnsi"/>
        </w:rPr>
        <w:t xml:space="preserve"> bring down the malaria incidence even further. </w:t>
      </w:r>
      <w:r w:rsidR="00B60588" w:rsidRPr="00D67CB4">
        <w:rPr>
          <w:rFonts w:cstheme="minorHAnsi"/>
        </w:rPr>
        <w:t xml:space="preserve">Skilled birth attendant rates remained stable at 89 per cent. The number of maternal deaths increased slightly compared to 2014 </w:t>
      </w:r>
      <w:r w:rsidR="005A5650">
        <w:rPr>
          <w:rFonts w:cstheme="minorHAnsi"/>
        </w:rPr>
        <w:t>(</w:t>
      </w:r>
      <w:r w:rsidR="00BA3A43">
        <w:rPr>
          <w:rFonts w:cstheme="minorHAnsi"/>
        </w:rPr>
        <w:t>with</w:t>
      </w:r>
      <w:r w:rsidR="005A5650">
        <w:rPr>
          <w:rFonts w:cstheme="minorHAnsi"/>
        </w:rPr>
        <w:t xml:space="preserve"> 24 recorded maternal deaths in 2015 compared to 17 deaths in 2014)</w:t>
      </w:r>
      <w:r w:rsidR="00BA3A43">
        <w:rPr>
          <w:rFonts w:cstheme="minorHAnsi"/>
        </w:rPr>
        <w:t xml:space="preserve"> </w:t>
      </w:r>
      <w:r w:rsidR="00B60588" w:rsidRPr="00D67CB4">
        <w:rPr>
          <w:rFonts w:cstheme="minorHAnsi"/>
        </w:rPr>
        <w:t xml:space="preserve">but this is </w:t>
      </w:r>
      <w:r w:rsidR="000F77A4">
        <w:rPr>
          <w:rFonts w:cstheme="minorHAnsi"/>
        </w:rPr>
        <w:t>likely</w:t>
      </w:r>
      <w:r w:rsidR="00B60588" w:rsidRPr="00D67CB4">
        <w:rPr>
          <w:rFonts w:cstheme="minorHAnsi"/>
        </w:rPr>
        <w:t xml:space="preserve"> due </w:t>
      </w:r>
      <w:r w:rsidR="000F77A4">
        <w:rPr>
          <w:rFonts w:cstheme="minorHAnsi"/>
        </w:rPr>
        <w:t xml:space="preserve">to </w:t>
      </w:r>
      <w:r w:rsidR="00B60588" w:rsidRPr="00D67CB4">
        <w:rPr>
          <w:rFonts w:cstheme="minorHAnsi"/>
        </w:rPr>
        <w:t>improved reporting of deaths from the National Referral Hospital which handles the majority of high risk births.</w:t>
      </w:r>
    </w:p>
    <w:p w14:paraId="1E56A614" w14:textId="77777777" w:rsidR="002F4B23" w:rsidRDefault="00B60588" w:rsidP="009D6CA2">
      <w:pPr>
        <w:spacing w:after="120" w:line="280" w:lineRule="exact"/>
        <w:rPr>
          <w:rFonts w:cstheme="minorHAnsi"/>
        </w:rPr>
      </w:pPr>
      <w:r w:rsidRPr="00CA2381">
        <w:rPr>
          <w:rFonts w:cstheme="minorHAnsi"/>
          <w:b/>
        </w:rPr>
        <w:t>Contraceptive consultations</w:t>
      </w:r>
      <w:r w:rsidRPr="00D67CB4">
        <w:rPr>
          <w:rFonts w:cstheme="minorHAnsi"/>
        </w:rPr>
        <w:t xml:space="preserve"> improved by nine per cent nationally compared to the previous year</w:t>
      </w:r>
      <w:r w:rsidR="00CA2381">
        <w:rPr>
          <w:rFonts w:cstheme="minorHAnsi"/>
        </w:rPr>
        <w:t xml:space="preserve">, significant in a context of low contraception prevalence (at </w:t>
      </w:r>
      <w:r w:rsidRPr="00D67CB4">
        <w:rPr>
          <w:rFonts w:cstheme="minorHAnsi"/>
        </w:rPr>
        <w:t>27 per cent</w:t>
      </w:r>
      <w:r w:rsidR="00CA2381">
        <w:rPr>
          <w:rFonts w:cstheme="minorHAnsi"/>
        </w:rPr>
        <w:t xml:space="preserve">) and a high population growth rate (around 2.5 per cent). </w:t>
      </w:r>
      <w:r w:rsidRPr="00D67CB4">
        <w:rPr>
          <w:rFonts w:cstheme="minorHAnsi"/>
        </w:rPr>
        <w:t xml:space="preserve">Australia supported an expansion of the </w:t>
      </w:r>
      <w:proofErr w:type="spellStart"/>
      <w:r w:rsidRPr="00D67CB4">
        <w:rPr>
          <w:rFonts w:cstheme="minorHAnsi"/>
        </w:rPr>
        <w:t>Jadelle</w:t>
      </w:r>
      <w:proofErr w:type="spellEnd"/>
      <w:r w:rsidRPr="00D67CB4">
        <w:rPr>
          <w:rFonts w:cstheme="minorHAnsi"/>
        </w:rPr>
        <w:t xml:space="preserve"> Implant Contraceptive Pilot</w:t>
      </w:r>
      <w:r w:rsidR="000C14EE">
        <w:rPr>
          <w:rFonts w:cstheme="minorHAnsi"/>
        </w:rPr>
        <w:t>;</w:t>
      </w:r>
      <w:r w:rsidR="00CA2381">
        <w:rPr>
          <w:rFonts w:cstheme="minorHAnsi"/>
        </w:rPr>
        <w:t xml:space="preserve"> as well as </w:t>
      </w:r>
      <w:r w:rsidR="00FA4D8E" w:rsidRPr="00BC143C">
        <w:rPr>
          <w:rFonts w:cstheme="minorHAnsi"/>
        </w:rPr>
        <w:t>continuation of the first phase of the Human Papillomavirus Vaccine rollout, vaccinat</w:t>
      </w:r>
      <w:r w:rsidR="00CA2381">
        <w:rPr>
          <w:rFonts w:cstheme="minorHAnsi"/>
        </w:rPr>
        <w:t>ing</w:t>
      </w:r>
      <w:r w:rsidR="00FA4D8E" w:rsidRPr="00BC143C">
        <w:rPr>
          <w:rFonts w:cstheme="minorHAnsi"/>
        </w:rPr>
        <w:t xml:space="preserve"> a further 812 girls </w:t>
      </w:r>
      <w:r w:rsidR="00CA2381">
        <w:rPr>
          <w:rFonts w:cstheme="minorHAnsi"/>
        </w:rPr>
        <w:t>in Honiara</w:t>
      </w:r>
      <w:r w:rsidR="00FA4D8E" w:rsidRPr="00BC143C">
        <w:rPr>
          <w:rFonts w:cstheme="minorHAnsi"/>
        </w:rPr>
        <w:t xml:space="preserve">. </w:t>
      </w:r>
      <w:r w:rsidR="000C14EE">
        <w:rPr>
          <w:rFonts w:cstheme="minorHAnsi"/>
        </w:rPr>
        <w:t>For the first time, i</w:t>
      </w:r>
      <w:r w:rsidR="00122FAD">
        <w:rPr>
          <w:rFonts w:cstheme="minorHAnsi"/>
        </w:rPr>
        <w:t xml:space="preserve">mproved health sector responsiveness to </w:t>
      </w:r>
      <w:r w:rsidR="00122FAD" w:rsidRPr="000C14EE">
        <w:rPr>
          <w:rFonts w:cstheme="minorHAnsi"/>
          <w:b/>
        </w:rPr>
        <w:t>gender based violence</w:t>
      </w:r>
      <w:r w:rsidR="00122FAD">
        <w:rPr>
          <w:rFonts w:cstheme="minorHAnsi"/>
        </w:rPr>
        <w:t xml:space="preserve"> was identi</w:t>
      </w:r>
      <w:r w:rsidR="009D6CA2">
        <w:rPr>
          <w:rFonts w:cstheme="minorHAnsi"/>
        </w:rPr>
        <w:t>fied</w:t>
      </w:r>
      <w:r w:rsidR="00122FAD">
        <w:rPr>
          <w:rFonts w:cstheme="minorHAnsi"/>
        </w:rPr>
        <w:t xml:space="preserve"> as a key result area in Solomon Islands Government’s </w:t>
      </w:r>
      <w:r w:rsidR="002F4B23" w:rsidRPr="00D67CB4">
        <w:rPr>
          <w:rFonts w:cstheme="minorHAnsi"/>
        </w:rPr>
        <w:t>new Nationa</w:t>
      </w:r>
      <w:r w:rsidR="005F1651">
        <w:rPr>
          <w:rFonts w:cstheme="minorHAnsi"/>
        </w:rPr>
        <w:t>l Health Strategic Plan (2016-</w:t>
      </w:r>
      <w:r w:rsidR="002F4B23" w:rsidRPr="00D67CB4">
        <w:rPr>
          <w:rFonts w:cstheme="minorHAnsi"/>
        </w:rPr>
        <w:t>2020</w:t>
      </w:r>
      <w:r w:rsidR="00393392">
        <w:rPr>
          <w:rFonts w:cstheme="minorHAnsi"/>
        </w:rPr>
        <w:t>)</w:t>
      </w:r>
      <w:r w:rsidR="005F1651">
        <w:rPr>
          <w:rFonts w:cstheme="minorHAnsi"/>
        </w:rPr>
        <w:t>.</w:t>
      </w:r>
    </w:p>
    <w:p w14:paraId="7D2DFF17" w14:textId="77777777" w:rsidR="004B3AD1" w:rsidRPr="00EE62FB" w:rsidRDefault="005652D6" w:rsidP="009D6CA2">
      <w:pPr>
        <w:spacing w:after="120" w:line="280" w:lineRule="exact"/>
        <w:rPr>
          <w:rFonts w:cstheme="minorHAnsi"/>
        </w:rPr>
      </w:pPr>
      <w:r w:rsidRPr="005652D6">
        <w:rPr>
          <w:rFonts w:cstheme="minorHAnsi"/>
          <w:b/>
        </w:rPr>
        <w:t>D</w:t>
      </w:r>
      <w:r w:rsidR="004B3AD1" w:rsidRPr="005652D6">
        <w:rPr>
          <w:rFonts w:cstheme="minorHAnsi"/>
          <w:b/>
        </w:rPr>
        <w:t>isability-inclusive design</w:t>
      </w:r>
      <w:r w:rsidR="004B3AD1" w:rsidRPr="00D67CB4">
        <w:rPr>
          <w:rFonts w:cstheme="minorHAnsi"/>
        </w:rPr>
        <w:t xml:space="preserve"> </w:t>
      </w:r>
      <w:r w:rsidR="00167455">
        <w:rPr>
          <w:rFonts w:cstheme="minorHAnsi"/>
        </w:rPr>
        <w:t xml:space="preserve">principles </w:t>
      </w:r>
      <w:r>
        <w:rPr>
          <w:rFonts w:cstheme="minorHAnsi"/>
        </w:rPr>
        <w:t xml:space="preserve">were incorporated into the Ministry of Health and Medical Services’ (MHMS) </w:t>
      </w:r>
      <w:r w:rsidR="004B3AD1" w:rsidRPr="00D67CB4">
        <w:rPr>
          <w:rFonts w:cstheme="minorHAnsi"/>
        </w:rPr>
        <w:t>Rural Water and Sanitation Guidelines and in</w:t>
      </w:r>
      <w:r w:rsidR="004B3AD1">
        <w:rPr>
          <w:rFonts w:cstheme="minorHAnsi"/>
        </w:rPr>
        <w:t xml:space="preserve">to </w:t>
      </w:r>
      <w:r w:rsidR="00167455">
        <w:rPr>
          <w:rFonts w:cstheme="minorHAnsi"/>
        </w:rPr>
        <w:t xml:space="preserve">the </w:t>
      </w:r>
      <w:r w:rsidR="004B3AD1">
        <w:rPr>
          <w:rFonts w:cstheme="minorHAnsi"/>
        </w:rPr>
        <w:t xml:space="preserve">designs for </w:t>
      </w:r>
      <w:r w:rsidR="00167455">
        <w:rPr>
          <w:rFonts w:cstheme="minorHAnsi"/>
        </w:rPr>
        <w:t xml:space="preserve">new </w:t>
      </w:r>
      <w:r w:rsidR="004B3AD1" w:rsidRPr="00D67CB4">
        <w:rPr>
          <w:rFonts w:cstheme="minorHAnsi"/>
        </w:rPr>
        <w:t>health clinic</w:t>
      </w:r>
      <w:r w:rsidR="00167455">
        <w:rPr>
          <w:rFonts w:cstheme="minorHAnsi"/>
        </w:rPr>
        <w:t>s</w:t>
      </w:r>
      <w:r w:rsidR="004B3AD1" w:rsidRPr="00D67CB4">
        <w:rPr>
          <w:rFonts w:cstheme="minorHAnsi"/>
        </w:rPr>
        <w:t xml:space="preserve"> and hospital</w:t>
      </w:r>
      <w:r w:rsidR="004B3AD1">
        <w:rPr>
          <w:rFonts w:cstheme="minorHAnsi"/>
        </w:rPr>
        <w:t>s.</w:t>
      </w:r>
      <w:r w:rsidR="004B3AD1" w:rsidRPr="00D67CB4">
        <w:rPr>
          <w:rFonts w:cstheme="minorHAnsi"/>
        </w:rPr>
        <w:t xml:space="preserve"> </w:t>
      </w:r>
      <w:r w:rsidR="00122FAD">
        <w:rPr>
          <w:rFonts w:cstheme="minorHAnsi"/>
        </w:rPr>
        <w:t xml:space="preserve">Australia also </w:t>
      </w:r>
      <w:r w:rsidR="006401EB">
        <w:rPr>
          <w:rFonts w:cstheme="minorHAnsi"/>
        </w:rPr>
        <w:t>provided</w:t>
      </w:r>
      <w:r w:rsidR="00122FAD">
        <w:rPr>
          <w:rFonts w:cstheme="minorHAnsi"/>
        </w:rPr>
        <w:t xml:space="preserve"> funding under our direct budget support to the Community Based Rehabilitation Division of MHMS to improve services for people living with disability</w:t>
      </w:r>
      <w:r>
        <w:rPr>
          <w:rFonts w:cstheme="minorHAnsi"/>
        </w:rPr>
        <w:t>.</w:t>
      </w:r>
    </w:p>
    <w:p w14:paraId="68A00D8A" w14:textId="77777777" w:rsidR="00B60588" w:rsidRPr="00D67CB4" w:rsidRDefault="00B60588" w:rsidP="009D6CA2">
      <w:pPr>
        <w:spacing w:after="120" w:line="280" w:lineRule="exact"/>
        <w:rPr>
          <w:rFonts w:cstheme="minorHAnsi"/>
        </w:rPr>
      </w:pPr>
      <w:r w:rsidRPr="00D67CB4">
        <w:rPr>
          <w:rFonts w:cstheme="minorHAnsi"/>
        </w:rPr>
        <w:t>Australia</w:t>
      </w:r>
      <w:r w:rsidR="005652D6">
        <w:rPr>
          <w:rFonts w:cstheme="minorHAnsi"/>
        </w:rPr>
        <w:t xml:space="preserve"> s</w:t>
      </w:r>
      <w:r w:rsidRPr="00D67CB4">
        <w:rPr>
          <w:rFonts w:cstheme="minorHAnsi"/>
        </w:rPr>
        <w:t>upport</w:t>
      </w:r>
      <w:r w:rsidR="005652D6">
        <w:rPr>
          <w:rFonts w:cstheme="minorHAnsi"/>
        </w:rPr>
        <w:t>ed</w:t>
      </w:r>
      <w:r w:rsidRPr="00D67CB4">
        <w:rPr>
          <w:rFonts w:cstheme="minorHAnsi"/>
        </w:rPr>
        <w:t xml:space="preserve"> </w:t>
      </w:r>
      <w:r w:rsidR="00FA4D8E">
        <w:rPr>
          <w:rFonts w:cstheme="minorHAnsi"/>
        </w:rPr>
        <w:t xml:space="preserve">a new approach </w:t>
      </w:r>
      <w:r w:rsidR="005652D6" w:rsidRPr="00D67CB4">
        <w:rPr>
          <w:rFonts w:cstheme="minorHAnsi"/>
        </w:rPr>
        <w:t xml:space="preserve">to </w:t>
      </w:r>
      <w:r w:rsidR="005652D6" w:rsidRPr="001B5373">
        <w:rPr>
          <w:rFonts w:cstheme="minorHAnsi"/>
          <w:b/>
        </w:rPr>
        <w:t>RWASH</w:t>
      </w:r>
      <w:r w:rsidR="005652D6" w:rsidRPr="00D67CB4">
        <w:rPr>
          <w:rFonts w:cstheme="minorHAnsi"/>
        </w:rPr>
        <w:t xml:space="preserve"> in Solomon Islands </w:t>
      </w:r>
      <w:r w:rsidR="005F1651">
        <w:rPr>
          <w:rFonts w:cstheme="minorHAnsi"/>
        </w:rPr>
        <w:t>–</w:t>
      </w:r>
      <w:r w:rsidRPr="00D67CB4">
        <w:rPr>
          <w:rFonts w:cstheme="minorHAnsi"/>
        </w:rPr>
        <w:t xml:space="preserve"> Community</w:t>
      </w:r>
      <w:r w:rsidR="005F1651">
        <w:rPr>
          <w:rFonts w:cstheme="minorHAnsi"/>
        </w:rPr>
        <w:t xml:space="preserve"> </w:t>
      </w:r>
      <w:r w:rsidRPr="00D67CB4">
        <w:rPr>
          <w:rFonts w:cstheme="minorHAnsi"/>
        </w:rPr>
        <w:t xml:space="preserve">Led </w:t>
      </w:r>
      <w:r w:rsidR="00393392" w:rsidRPr="00D67CB4">
        <w:rPr>
          <w:rFonts w:cstheme="minorHAnsi"/>
        </w:rPr>
        <w:t xml:space="preserve">Total </w:t>
      </w:r>
      <w:r w:rsidRPr="00D67CB4">
        <w:rPr>
          <w:rFonts w:cstheme="minorHAnsi"/>
        </w:rPr>
        <w:t>Sanitation (CLTS)</w:t>
      </w:r>
      <w:r w:rsidR="00FA4D8E">
        <w:rPr>
          <w:rFonts w:cstheme="minorHAnsi"/>
        </w:rPr>
        <w:t xml:space="preserve"> - </w:t>
      </w:r>
      <w:r w:rsidRPr="00D67CB4">
        <w:rPr>
          <w:rFonts w:cstheme="minorHAnsi"/>
        </w:rPr>
        <w:t xml:space="preserve">a non-subsidised, demand-driven approach to community sanitation and hygiene projects. </w:t>
      </w:r>
      <w:r w:rsidR="008D1339">
        <w:rPr>
          <w:rFonts w:cstheme="minorHAnsi"/>
        </w:rPr>
        <w:t>T</w:t>
      </w:r>
      <w:r w:rsidR="00063B2A">
        <w:rPr>
          <w:rFonts w:cstheme="minorHAnsi"/>
        </w:rPr>
        <w:t xml:space="preserve">his </w:t>
      </w:r>
      <w:r w:rsidRPr="00D67CB4">
        <w:rPr>
          <w:rFonts w:cstheme="minorHAnsi"/>
        </w:rPr>
        <w:t>result</w:t>
      </w:r>
      <w:r w:rsidR="00063B2A">
        <w:rPr>
          <w:rFonts w:cstheme="minorHAnsi"/>
        </w:rPr>
        <w:t>ed</w:t>
      </w:r>
      <w:r w:rsidRPr="00D67CB4">
        <w:rPr>
          <w:rFonts w:cstheme="minorHAnsi"/>
        </w:rPr>
        <w:t xml:space="preserve"> in </w:t>
      </w:r>
      <w:r w:rsidR="00801AED" w:rsidRPr="00D67CB4">
        <w:rPr>
          <w:rFonts w:cstheme="minorHAnsi"/>
        </w:rPr>
        <w:t>220</w:t>
      </w:r>
      <w:r w:rsidRPr="00D67CB4">
        <w:rPr>
          <w:rFonts w:cstheme="minorHAnsi"/>
        </w:rPr>
        <w:t xml:space="preserve"> additional households using an improved toilet and </w:t>
      </w:r>
      <w:r w:rsidR="00801AED" w:rsidRPr="00D67CB4">
        <w:rPr>
          <w:rFonts w:cstheme="minorHAnsi"/>
        </w:rPr>
        <w:t>168</w:t>
      </w:r>
      <w:r w:rsidRPr="00D67CB4">
        <w:rPr>
          <w:rFonts w:cstheme="minorHAnsi"/>
        </w:rPr>
        <w:t xml:space="preserve"> additional households having a place to wash hands with soap and water. </w:t>
      </w:r>
      <w:r w:rsidR="00FA4D8E">
        <w:rPr>
          <w:rFonts w:cstheme="minorHAnsi"/>
        </w:rPr>
        <w:t xml:space="preserve">Planning in the RWASH sector is being improved with the assistance of </w:t>
      </w:r>
      <w:r w:rsidR="008B003F">
        <w:rPr>
          <w:rFonts w:cstheme="minorHAnsi"/>
        </w:rPr>
        <w:t>a</w:t>
      </w:r>
      <w:r w:rsidR="00FA4D8E">
        <w:rPr>
          <w:rFonts w:cstheme="minorHAnsi"/>
        </w:rPr>
        <w:t xml:space="preserve"> national </w:t>
      </w:r>
      <w:r w:rsidRPr="00D67CB4">
        <w:rPr>
          <w:rFonts w:cstheme="minorHAnsi"/>
        </w:rPr>
        <w:t>baseline survey.</w:t>
      </w:r>
    </w:p>
    <w:p w14:paraId="5F344E75" w14:textId="35CE60DB" w:rsidR="00B60588" w:rsidRDefault="005652D6" w:rsidP="00D67CB4">
      <w:pPr>
        <w:rPr>
          <w:rFonts w:cstheme="minorHAnsi"/>
        </w:rPr>
      </w:pPr>
      <w:r>
        <w:rPr>
          <w:rFonts w:cstheme="minorHAnsi"/>
        </w:rPr>
        <w:t>T</w:t>
      </w:r>
      <w:r w:rsidR="00B60588" w:rsidRPr="00D67CB4">
        <w:rPr>
          <w:rFonts w:cstheme="minorHAnsi"/>
        </w:rPr>
        <w:t xml:space="preserve">o tackle </w:t>
      </w:r>
      <w:r w:rsidR="00B60588" w:rsidRPr="005652D6">
        <w:rPr>
          <w:rFonts w:cstheme="minorHAnsi"/>
          <w:b/>
        </w:rPr>
        <w:t>malnutrition and anaemia</w:t>
      </w:r>
      <w:r w:rsidR="00B60588" w:rsidRPr="00D67CB4">
        <w:rPr>
          <w:rFonts w:cstheme="minorHAnsi"/>
        </w:rPr>
        <w:t xml:space="preserve"> in women and children</w:t>
      </w:r>
      <w:r>
        <w:rPr>
          <w:rFonts w:cstheme="minorHAnsi"/>
        </w:rPr>
        <w:t xml:space="preserve">, Australia </w:t>
      </w:r>
      <w:r w:rsidR="000F77A4">
        <w:rPr>
          <w:rFonts w:cstheme="minorHAnsi"/>
        </w:rPr>
        <w:t>helped broker</w:t>
      </w:r>
      <w:r>
        <w:rPr>
          <w:rFonts w:cstheme="minorHAnsi"/>
        </w:rPr>
        <w:t xml:space="preserve"> a</w:t>
      </w:r>
      <w:r w:rsidR="00B60588" w:rsidRPr="00D67CB4">
        <w:rPr>
          <w:rFonts w:cstheme="minorHAnsi"/>
        </w:rPr>
        <w:t xml:space="preserve"> public-private partnership with Solomon Islands Government, industry, donor partners and technical experts </w:t>
      </w:r>
      <w:r>
        <w:rPr>
          <w:rFonts w:cstheme="minorHAnsi"/>
        </w:rPr>
        <w:t>to begin</w:t>
      </w:r>
      <w:r w:rsidR="00B60588" w:rsidRPr="00D67CB4">
        <w:rPr>
          <w:rFonts w:cstheme="minorHAnsi"/>
        </w:rPr>
        <w:t xml:space="preserve"> fortification of wheat flour with six essential vitamins and minerals in July 2015. </w:t>
      </w:r>
      <w:r w:rsidR="00BA3A43">
        <w:rPr>
          <w:rFonts w:cstheme="minorHAnsi"/>
        </w:rPr>
        <w:t xml:space="preserve">With a </w:t>
      </w:r>
      <w:r w:rsidR="00BA3A43" w:rsidRPr="007076A8">
        <w:rPr>
          <w:rFonts w:cstheme="minorHAnsi"/>
        </w:rPr>
        <w:t>95% share in the Solomon Islands market</w:t>
      </w:r>
      <w:r w:rsidR="00BA3A43">
        <w:rPr>
          <w:rFonts w:cstheme="minorHAnsi"/>
        </w:rPr>
        <w:t xml:space="preserve">, </w:t>
      </w:r>
      <w:proofErr w:type="spellStart"/>
      <w:r w:rsidR="00BA3A43">
        <w:rPr>
          <w:rFonts w:cstheme="minorHAnsi"/>
        </w:rPr>
        <w:t>D</w:t>
      </w:r>
      <w:r w:rsidR="007076A8" w:rsidRPr="007076A8">
        <w:rPr>
          <w:rFonts w:cstheme="minorHAnsi"/>
        </w:rPr>
        <w:t>elite</w:t>
      </w:r>
      <w:proofErr w:type="spellEnd"/>
      <w:r w:rsidR="007076A8" w:rsidRPr="007076A8">
        <w:rPr>
          <w:rFonts w:cstheme="minorHAnsi"/>
        </w:rPr>
        <w:t xml:space="preserve"> Flour Mill has been selling its fortified wheat flour in-country </w:t>
      </w:r>
      <w:r w:rsidR="007076A8">
        <w:rPr>
          <w:rFonts w:cstheme="minorHAnsi"/>
        </w:rPr>
        <w:t>since July.</w:t>
      </w:r>
    </w:p>
    <w:p w14:paraId="74B2CAD9" w14:textId="39865628" w:rsidR="00A40423" w:rsidRPr="002A51CA" w:rsidRDefault="00A40423" w:rsidP="00B34E04">
      <w:pPr>
        <w:suppressAutoHyphens w:val="0"/>
        <w:spacing w:before="240" w:after="120" w:line="240" w:lineRule="auto"/>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Gender equality</w:t>
      </w:r>
    </w:p>
    <w:p w14:paraId="0A1CD9B3" w14:textId="77777777" w:rsidR="00B51AF2" w:rsidRDefault="00B51AF2" w:rsidP="007565AD">
      <w:pPr>
        <w:rPr>
          <w:rFonts w:cstheme="minorHAnsi"/>
        </w:rPr>
      </w:pPr>
      <w:r w:rsidRPr="007565AD">
        <w:rPr>
          <w:rFonts w:cstheme="minorHAnsi"/>
        </w:rPr>
        <w:t>Progressing gender equality in Solomon Islands is a long-term goal, and substantive change</w:t>
      </w:r>
      <w:r w:rsidR="001F51EC">
        <w:rPr>
          <w:rFonts w:cstheme="minorHAnsi"/>
        </w:rPr>
        <w:t xml:space="preserve"> will be generational. However,</w:t>
      </w:r>
      <w:r>
        <w:rPr>
          <w:rFonts w:cstheme="minorHAnsi"/>
        </w:rPr>
        <w:t xml:space="preserve"> </w:t>
      </w:r>
      <w:r w:rsidR="0095630A">
        <w:rPr>
          <w:rFonts w:cstheme="minorHAnsi"/>
        </w:rPr>
        <w:t xml:space="preserve">there is </w:t>
      </w:r>
      <w:r w:rsidRPr="007565AD">
        <w:rPr>
          <w:rFonts w:cstheme="minorHAnsi"/>
        </w:rPr>
        <w:t>evidence of progress in 2015</w:t>
      </w:r>
      <w:r>
        <w:rPr>
          <w:rFonts w:cstheme="minorHAnsi"/>
        </w:rPr>
        <w:noBreakHyphen/>
      </w:r>
      <w:r w:rsidRPr="007565AD">
        <w:rPr>
          <w:rFonts w:cstheme="minorHAnsi"/>
        </w:rPr>
        <w:t>16.</w:t>
      </w:r>
      <w:r>
        <w:rPr>
          <w:rFonts w:cstheme="minorHAnsi"/>
        </w:rPr>
        <w:t xml:space="preserve"> </w:t>
      </w:r>
      <w:r w:rsidR="00891E58">
        <w:rPr>
          <w:rFonts w:cstheme="minorHAnsi"/>
        </w:rPr>
        <w:t>D</w:t>
      </w:r>
      <w:r>
        <w:rPr>
          <w:rFonts w:cstheme="minorHAnsi"/>
        </w:rPr>
        <w:t xml:space="preserve">edicated investments </w:t>
      </w:r>
      <w:r w:rsidR="00891E58">
        <w:rPr>
          <w:rFonts w:cstheme="minorHAnsi"/>
        </w:rPr>
        <w:t xml:space="preserve">were </w:t>
      </w:r>
      <w:r>
        <w:rPr>
          <w:rFonts w:cstheme="minorHAnsi"/>
        </w:rPr>
        <w:t xml:space="preserve">funded through the Gender Equality Program; </w:t>
      </w:r>
      <w:r w:rsidR="00891E58">
        <w:rPr>
          <w:rFonts w:cstheme="minorHAnsi"/>
        </w:rPr>
        <w:t xml:space="preserve">and the program demonstrated a </w:t>
      </w:r>
      <w:r>
        <w:rPr>
          <w:rFonts w:cstheme="minorHAnsi"/>
        </w:rPr>
        <w:t>deeper commitment to achieving gender equality through existing sectoral programs.</w:t>
      </w:r>
      <w:r w:rsidR="00A40423" w:rsidRPr="007565AD">
        <w:rPr>
          <w:rFonts w:cstheme="minorHAnsi"/>
        </w:rPr>
        <w:t xml:space="preserve"> Additional funds for gender equality outcomes were provided through regional mechanisms.</w:t>
      </w:r>
    </w:p>
    <w:p w14:paraId="0FD86D0A" w14:textId="77777777" w:rsidR="00A40423" w:rsidRPr="007565AD" w:rsidRDefault="007F7892" w:rsidP="007565AD">
      <w:pPr>
        <w:rPr>
          <w:rFonts w:cstheme="minorHAnsi"/>
        </w:rPr>
      </w:pPr>
      <w:r>
        <w:rPr>
          <w:rFonts w:cstheme="minorHAnsi"/>
        </w:rPr>
        <w:t>The s</w:t>
      </w:r>
      <w:r w:rsidR="00720250" w:rsidRPr="007565AD">
        <w:rPr>
          <w:rFonts w:cstheme="minorHAnsi"/>
        </w:rPr>
        <w:t>trategic focus remained firmly on ending violence against women</w:t>
      </w:r>
      <w:r w:rsidR="00720250">
        <w:rPr>
          <w:rFonts w:cstheme="minorHAnsi"/>
        </w:rPr>
        <w:t xml:space="preserve">, </w:t>
      </w:r>
      <w:r w:rsidR="00720250" w:rsidRPr="007565AD">
        <w:rPr>
          <w:rFonts w:cstheme="minorHAnsi"/>
        </w:rPr>
        <w:t>and women’s economic empowerment</w:t>
      </w:r>
      <w:r w:rsidR="00A40423" w:rsidRPr="007565AD">
        <w:rPr>
          <w:rFonts w:cstheme="minorHAnsi"/>
        </w:rPr>
        <w:t>. Foundational work was also undertaken to promote women’s leadership and decision-making. Interventions were prioritised to focus on those that are most effective and appropriate for the Solomon Islands context, whilst working closely with Solomon Islands Government and development partners.</w:t>
      </w:r>
    </w:p>
    <w:p w14:paraId="7CDBD745" w14:textId="77777777" w:rsidR="00A40423" w:rsidRPr="007565AD" w:rsidRDefault="00A40423" w:rsidP="007565AD">
      <w:pPr>
        <w:rPr>
          <w:rFonts w:cstheme="minorHAnsi"/>
        </w:rPr>
      </w:pPr>
      <w:r w:rsidRPr="007565AD">
        <w:rPr>
          <w:rFonts w:cstheme="minorHAnsi"/>
        </w:rPr>
        <w:t xml:space="preserve">Honiara Post </w:t>
      </w:r>
      <w:r w:rsidR="00A85B47">
        <w:rPr>
          <w:rFonts w:cstheme="minorHAnsi"/>
        </w:rPr>
        <w:t xml:space="preserve">formed a </w:t>
      </w:r>
      <w:r w:rsidRPr="00AF32C4">
        <w:rPr>
          <w:rFonts w:cstheme="minorHAnsi"/>
          <w:b/>
        </w:rPr>
        <w:t xml:space="preserve">Gender </w:t>
      </w:r>
      <w:r w:rsidR="00526A3B" w:rsidRPr="00AF32C4">
        <w:rPr>
          <w:rFonts w:cstheme="minorHAnsi"/>
          <w:b/>
        </w:rPr>
        <w:t xml:space="preserve">Equality </w:t>
      </w:r>
      <w:r w:rsidRPr="00AF32C4">
        <w:rPr>
          <w:rFonts w:cstheme="minorHAnsi"/>
          <w:b/>
        </w:rPr>
        <w:t xml:space="preserve">Working Group </w:t>
      </w:r>
      <w:r w:rsidR="00B51AF2" w:rsidRPr="00B93556">
        <w:rPr>
          <w:rFonts w:cstheme="minorHAnsi"/>
        </w:rPr>
        <w:t>in</w:t>
      </w:r>
      <w:r w:rsidRPr="00B93556">
        <w:rPr>
          <w:rFonts w:cstheme="minorHAnsi"/>
        </w:rPr>
        <w:t xml:space="preserve"> late 2015</w:t>
      </w:r>
      <w:r w:rsidRPr="007565AD">
        <w:rPr>
          <w:rFonts w:cstheme="minorHAnsi"/>
        </w:rPr>
        <w:t xml:space="preserve"> </w:t>
      </w:r>
      <w:r w:rsidR="00B51AF2">
        <w:rPr>
          <w:rFonts w:cstheme="minorHAnsi"/>
        </w:rPr>
        <w:t>to</w:t>
      </w:r>
      <w:r w:rsidRPr="007565AD">
        <w:rPr>
          <w:rFonts w:cstheme="minorHAnsi"/>
        </w:rPr>
        <w:t xml:space="preserve"> strengthen oversight of </w:t>
      </w:r>
      <w:r w:rsidR="00B51AF2">
        <w:rPr>
          <w:rFonts w:cstheme="minorHAnsi"/>
        </w:rPr>
        <w:t xml:space="preserve">Australian </w:t>
      </w:r>
      <w:r w:rsidRPr="007565AD">
        <w:rPr>
          <w:rFonts w:cstheme="minorHAnsi"/>
        </w:rPr>
        <w:t>aid investments in gender equality. Importantly, the Group also align</w:t>
      </w:r>
      <w:r w:rsidR="00B51AF2">
        <w:rPr>
          <w:rFonts w:cstheme="minorHAnsi"/>
        </w:rPr>
        <w:t>s</w:t>
      </w:r>
      <w:r w:rsidRPr="007565AD">
        <w:rPr>
          <w:rFonts w:cstheme="minorHAnsi"/>
        </w:rPr>
        <w:t xml:space="preserve"> our aid investments</w:t>
      </w:r>
      <w:r w:rsidR="001F51EC">
        <w:rPr>
          <w:rFonts w:cstheme="minorHAnsi"/>
        </w:rPr>
        <w:t xml:space="preserve"> in gender equality</w:t>
      </w:r>
      <w:r w:rsidRPr="007565AD">
        <w:rPr>
          <w:rFonts w:cstheme="minorHAnsi"/>
        </w:rPr>
        <w:t xml:space="preserve"> and other work in foreign policy and strategy, trade, defence cooperation and corporate management.</w:t>
      </w:r>
    </w:p>
    <w:p w14:paraId="18DE6C94" w14:textId="77777777" w:rsidR="001F51EC" w:rsidRPr="007565AD" w:rsidRDefault="00A40423" w:rsidP="007565AD">
      <w:pPr>
        <w:rPr>
          <w:rFonts w:cstheme="minorHAnsi"/>
        </w:rPr>
      </w:pPr>
      <w:r w:rsidRPr="007565AD">
        <w:rPr>
          <w:rFonts w:cstheme="minorHAnsi"/>
        </w:rPr>
        <w:t>With Australian assistance, the protective environment for survivors of</w:t>
      </w:r>
      <w:r w:rsidR="001F51EC">
        <w:rPr>
          <w:rFonts w:cstheme="minorHAnsi"/>
        </w:rPr>
        <w:t xml:space="preserve"> </w:t>
      </w:r>
      <w:r w:rsidR="001F51EC" w:rsidRPr="001F51EC">
        <w:rPr>
          <w:rFonts w:cstheme="minorHAnsi"/>
          <w:b/>
        </w:rPr>
        <w:t>gender-based</w:t>
      </w:r>
      <w:r w:rsidRPr="001F51EC">
        <w:rPr>
          <w:rFonts w:cstheme="minorHAnsi"/>
          <w:b/>
        </w:rPr>
        <w:t xml:space="preserve"> violence</w:t>
      </w:r>
      <w:r w:rsidRPr="007565AD">
        <w:rPr>
          <w:rFonts w:cstheme="minorHAnsi"/>
        </w:rPr>
        <w:t xml:space="preserve"> improved. </w:t>
      </w:r>
      <w:r w:rsidR="00794B7D">
        <w:rPr>
          <w:rFonts w:cstheme="minorHAnsi"/>
        </w:rPr>
        <w:t>Beyond e</w:t>
      </w:r>
      <w:r w:rsidRPr="007565AD">
        <w:rPr>
          <w:rFonts w:cstheme="minorHAnsi"/>
        </w:rPr>
        <w:t xml:space="preserve">nactment of the </w:t>
      </w:r>
      <w:r w:rsidRPr="00A85B47">
        <w:rPr>
          <w:rFonts w:cstheme="minorHAnsi"/>
          <w:i/>
        </w:rPr>
        <w:t>Family Protection Act</w:t>
      </w:r>
      <w:r w:rsidR="00520AAB">
        <w:rPr>
          <w:rFonts w:cstheme="minorHAnsi"/>
          <w:i/>
        </w:rPr>
        <w:t>,</w:t>
      </w:r>
      <w:r w:rsidRPr="007565AD">
        <w:rPr>
          <w:rFonts w:cstheme="minorHAnsi"/>
        </w:rPr>
        <w:t xml:space="preserve"> Australia </w:t>
      </w:r>
      <w:r w:rsidR="00A85B47">
        <w:rPr>
          <w:rFonts w:cstheme="minorHAnsi"/>
        </w:rPr>
        <w:t xml:space="preserve">also </w:t>
      </w:r>
      <w:r w:rsidRPr="007565AD">
        <w:rPr>
          <w:rFonts w:cstheme="minorHAnsi"/>
        </w:rPr>
        <w:t xml:space="preserve">helped provide lifesaving support for 491 survivors of violence under the </w:t>
      </w:r>
      <w:r w:rsidR="00526A3B" w:rsidRPr="007565AD">
        <w:rPr>
          <w:rFonts w:cstheme="minorHAnsi"/>
        </w:rPr>
        <w:t xml:space="preserve">Solomon Islands Government’s </w:t>
      </w:r>
      <w:r w:rsidRPr="007565AD">
        <w:rPr>
          <w:rFonts w:cstheme="minorHAnsi"/>
        </w:rPr>
        <w:t>‘</w:t>
      </w:r>
      <w:proofErr w:type="spellStart"/>
      <w:r w:rsidRPr="007565AD">
        <w:rPr>
          <w:rFonts w:cstheme="minorHAnsi"/>
        </w:rPr>
        <w:t>SafeNet</w:t>
      </w:r>
      <w:proofErr w:type="spellEnd"/>
      <w:r w:rsidRPr="007565AD">
        <w:rPr>
          <w:rFonts w:cstheme="minorHAnsi"/>
        </w:rPr>
        <w:t>’</w:t>
      </w:r>
      <w:r w:rsidR="00137F75">
        <w:rPr>
          <w:rFonts w:cstheme="minorHAnsi"/>
        </w:rPr>
        <w:t xml:space="preserve">. </w:t>
      </w:r>
      <w:r w:rsidR="001F51EC">
        <w:rPr>
          <w:rFonts w:cstheme="minorHAnsi"/>
        </w:rPr>
        <w:t xml:space="preserve">Australian assistance also worked to change attitudes to gender-based violence through the existing Channels of Hope program and the launch of two new programs – Red </w:t>
      </w:r>
      <w:proofErr w:type="spellStart"/>
      <w:r w:rsidR="001F51EC">
        <w:rPr>
          <w:rFonts w:cstheme="minorHAnsi"/>
        </w:rPr>
        <w:t>Cardim</w:t>
      </w:r>
      <w:proofErr w:type="spellEnd"/>
      <w:r w:rsidR="001F51EC">
        <w:rPr>
          <w:rFonts w:cstheme="minorHAnsi"/>
        </w:rPr>
        <w:t xml:space="preserve"> </w:t>
      </w:r>
      <w:proofErr w:type="spellStart"/>
      <w:r w:rsidR="001F51EC">
        <w:rPr>
          <w:rFonts w:cstheme="minorHAnsi"/>
        </w:rPr>
        <w:t>Vaelens</w:t>
      </w:r>
      <w:proofErr w:type="spellEnd"/>
      <w:r w:rsidR="001F51EC">
        <w:rPr>
          <w:rFonts w:cstheme="minorHAnsi"/>
        </w:rPr>
        <w:t xml:space="preserve"> and Youth, Alcohol and Violence Reduction – that mobilise men and youth respectively</w:t>
      </w:r>
      <w:r w:rsidR="001F51EC" w:rsidRPr="007565AD">
        <w:rPr>
          <w:rFonts w:cstheme="minorHAnsi"/>
        </w:rPr>
        <w:t>.</w:t>
      </w:r>
    </w:p>
    <w:p w14:paraId="27F81CA5" w14:textId="77777777" w:rsidR="00A40423" w:rsidRPr="007565AD" w:rsidRDefault="00794B7D" w:rsidP="007565AD">
      <w:pPr>
        <w:rPr>
          <w:rFonts w:cstheme="minorHAnsi"/>
        </w:rPr>
      </w:pPr>
      <w:r w:rsidRPr="00794B7D">
        <w:rPr>
          <w:rFonts w:cstheme="minorHAnsi"/>
        </w:rPr>
        <w:t>Advances continue in</w:t>
      </w:r>
      <w:r>
        <w:rPr>
          <w:rFonts w:cstheme="minorHAnsi"/>
          <w:b/>
        </w:rPr>
        <w:t xml:space="preserve"> w</w:t>
      </w:r>
      <w:r w:rsidR="00A40423" w:rsidRPr="00794B7D">
        <w:rPr>
          <w:rFonts w:cstheme="minorHAnsi"/>
          <w:b/>
        </w:rPr>
        <w:t>omen’s economic empowerment</w:t>
      </w:r>
      <w:r w:rsidR="001F51EC">
        <w:rPr>
          <w:rFonts w:cstheme="minorHAnsi"/>
        </w:rPr>
        <w:t>. Australia</w:t>
      </w:r>
      <w:r w:rsidR="00A40423" w:rsidRPr="007565AD">
        <w:rPr>
          <w:rFonts w:cstheme="minorHAnsi"/>
        </w:rPr>
        <w:t xml:space="preserve"> supported the development of the M</w:t>
      </w:r>
      <w:r w:rsidR="00AF32C4">
        <w:rPr>
          <w:rFonts w:cstheme="minorHAnsi"/>
        </w:rPr>
        <w:t>inistry of Women, Youth, Children and Family Affairs’</w:t>
      </w:r>
      <w:r w:rsidR="00A40423" w:rsidRPr="007565AD">
        <w:rPr>
          <w:rFonts w:cstheme="minorHAnsi"/>
        </w:rPr>
        <w:t xml:space="preserve"> </w:t>
      </w:r>
      <w:r w:rsidR="00AF32C4">
        <w:rPr>
          <w:rFonts w:cstheme="minorHAnsi"/>
        </w:rPr>
        <w:t xml:space="preserve">(MWYCFA) </w:t>
      </w:r>
      <w:r w:rsidR="00A40423" w:rsidRPr="007565AD">
        <w:rPr>
          <w:rFonts w:cstheme="minorHAnsi"/>
        </w:rPr>
        <w:t xml:space="preserve">National Strategy on the Economic Status of Women and Girls through the provision of technical assistance. </w:t>
      </w:r>
      <w:r w:rsidR="00372C9F" w:rsidRPr="007565AD">
        <w:rPr>
          <w:rFonts w:cstheme="minorHAnsi"/>
        </w:rPr>
        <w:t>R</w:t>
      </w:r>
      <w:r w:rsidR="00A40423" w:rsidRPr="007565AD">
        <w:rPr>
          <w:rFonts w:cstheme="minorHAnsi"/>
        </w:rPr>
        <w:t xml:space="preserve">egional programs with a large Solomon Islands </w:t>
      </w:r>
      <w:r w:rsidR="007F7892">
        <w:rPr>
          <w:rFonts w:cstheme="minorHAnsi"/>
        </w:rPr>
        <w:t>focus</w:t>
      </w:r>
      <w:r w:rsidR="00A40423" w:rsidRPr="007565AD">
        <w:rPr>
          <w:rFonts w:cstheme="minorHAnsi"/>
        </w:rPr>
        <w:t xml:space="preserve"> </w:t>
      </w:r>
      <w:r w:rsidR="001F51EC">
        <w:rPr>
          <w:rFonts w:cstheme="minorHAnsi"/>
        </w:rPr>
        <w:t xml:space="preserve">also </w:t>
      </w:r>
      <w:r w:rsidR="00A40423" w:rsidRPr="007565AD">
        <w:rPr>
          <w:rFonts w:cstheme="minorHAnsi"/>
        </w:rPr>
        <w:t>continue to advance women’s economic empowerment, such as UN Women’s Markets for Change Program, the Pacific Financial Inclusion Program and the ADB’s Business Investment Facility.</w:t>
      </w:r>
    </w:p>
    <w:p w14:paraId="746FA63A" w14:textId="77777777" w:rsidR="00A40423" w:rsidRPr="007565AD" w:rsidRDefault="00720250" w:rsidP="007565AD">
      <w:pPr>
        <w:rPr>
          <w:rFonts w:cstheme="minorHAnsi"/>
        </w:rPr>
      </w:pPr>
      <w:r>
        <w:rPr>
          <w:rFonts w:cstheme="minorHAnsi"/>
        </w:rPr>
        <w:t>M</w:t>
      </w:r>
      <w:r w:rsidR="00A40423" w:rsidRPr="007565AD">
        <w:rPr>
          <w:rFonts w:cstheme="minorHAnsi"/>
        </w:rPr>
        <w:t xml:space="preserve">odest progress was made </w:t>
      </w:r>
      <w:r>
        <w:rPr>
          <w:rFonts w:cstheme="minorHAnsi"/>
        </w:rPr>
        <w:t xml:space="preserve">in 2015-16 </w:t>
      </w:r>
      <w:r w:rsidR="00A40423" w:rsidRPr="007565AD">
        <w:rPr>
          <w:rFonts w:cstheme="minorHAnsi"/>
        </w:rPr>
        <w:t xml:space="preserve">on </w:t>
      </w:r>
      <w:r w:rsidR="00A40423" w:rsidRPr="00720250">
        <w:rPr>
          <w:rFonts w:cstheme="minorHAnsi"/>
          <w:b/>
        </w:rPr>
        <w:t>women’s leadership and decision-making</w:t>
      </w:r>
      <w:r w:rsidR="00A40423" w:rsidRPr="007565AD">
        <w:rPr>
          <w:rFonts w:cstheme="minorHAnsi"/>
        </w:rPr>
        <w:t>. Australia supported development of an affirmative action strategy by the M</w:t>
      </w:r>
      <w:r w:rsidR="00AF32C4">
        <w:rPr>
          <w:rFonts w:cstheme="minorHAnsi"/>
        </w:rPr>
        <w:t>WYCFA</w:t>
      </w:r>
      <w:r w:rsidR="00A40423" w:rsidRPr="007565AD">
        <w:rPr>
          <w:rFonts w:cstheme="minorHAnsi"/>
        </w:rPr>
        <w:t xml:space="preserve"> to foster improved representation by women in leadership positions. Initial planning for a Scoping Study on Women’s Leadership and Decision-making </w:t>
      </w:r>
      <w:r w:rsidR="00AF32C4">
        <w:rPr>
          <w:rFonts w:cstheme="minorHAnsi"/>
        </w:rPr>
        <w:t>will inform</w:t>
      </w:r>
      <w:r>
        <w:rPr>
          <w:rFonts w:cstheme="minorHAnsi"/>
        </w:rPr>
        <w:t xml:space="preserve"> a strategic approach to future investments in this area.</w:t>
      </w:r>
    </w:p>
    <w:p w14:paraId="7A48F96D" w14:textId="77777777" w:rsidR="002A51CA" w:rsidRPr="002A51CA" w:rsidRDefault="005F1651"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Performance Benchmarks</w:t>
      </w:r>
    </w:p>
    <w:p w14:paraId="5C95BC43" w14:textId="77777777" w:rsidR="006F743F" w:rsidRPr="007565AD" w:rsidRDefault="005C1C83" w:rsidP="002A51CA">
      <w:pPr>
        <w:spacing w:after="120" w:line="280" w:lineRule="exact"/>
        <w:rPr>
          <w:rFonts w:eastAsia="Times New Roman"/>
        </w:rPr>
      </w:pPr>
      <w:r w:rsidRPr="007565AD">
        <w:rPr>
          <w:rFonts w:eastAsia="Times New Roman"/>
        </w:rPr>
        <w:t xml:space="preserve">Following Ministerial approval for the </w:t>
      </w:r>
      <w:r w:rsidR="00487156">
        <w:rPr>
          <w:rFonts w:eastAsia="Times New Roman"/>
        </w:rPr>
        <w:t>AIP</w:t>
      </w:r>
      <w:r w:rsidRPr="007565AD">
        <w:rPr>
          <w:rFonts w:eastAsia="Times New Roman"/>
        </w:rPr>
        <w:t xml:space="preserve"> for Solomon Islands in </w:t>
      </w:r>
      <w:r w:rsidR="007F7892">
        <w:rPr>
          <w:rFonts w:eastAsia="Times New Roman"/>
        </w:rPr>
        <w:t>September</w:t>
      </w:r>
      <w:r w:rsidRPr="007565AD">
        <w:rPr>
          <w:rFonts w:eastAsia="Times New Roman"/>
        </w:rPr>
        <w:t xml:space="preserve"> 2015, eight performance benchmarks were adopted to measure Australia’s aid program for Solomon Islands. These benchmarks cover</w:t>
      </w:r>
      <w:r w:rsidR="006F743F" w:rsidRPr="007565AD">
        <w:rPr>
          <w:rFonts w:eastAsia="Times New Roman"/>
        </w:rPr>
        <w:t xml:space="preserve"> our work in health, education, law and justice and policing as well as women’s economic empowerment</w:t>
      </w:r>
      <w:r w:rsidRPr="007565AD">
        <w:rPr>
          <w:rFonts w:eastAsia="Times New Roman"/>
        </w:rPr>
        <w:t xml:space="preserve">, </w:t>
      </w:r>
      <w:r w:rsidR="006F743F" w:rsidRPr="007565AD">
        <w:rPr>
          <w:rFonts w:eastAsia="Times New Roman"/>
        </w:rPr>
        <w:t>transport infrastructure and private sector investment.</w:t>
      </w:r>
    </w:p>
    <w:p w14:paraId="7764454E" w14:textId="77777777" w:rsidR="00E90EDD" w:rsidRDefault="00824F04" w:rsidP="00B93556">
      <w:pPr>
        <w:spacing w:after="120" w:line="280" w:lineRule="exact"/>
        <w:rPr>
          <w:b/>
          <w:iCs/>
          <w:color w:val="000000" w:themeColor="text1"/>
          <w:sz w:val="24"/>
          <w:szCs w:val="18"/>
        </w:rPr>
      </w:pPr>
      <w:r w:rsidRPr="007565AD">
        <w:rPr>
          <w:rFonts w:eastAsia="Times New Roman"/>
        </w:rPr>
        <w:t xml:space="preserve">In 2015-16, Australia fully achieved </w:t>
      </w:r>
      <w:r w:rsidR="00B136AA">
        <w:rPr>
          <w:rFonts w:eastAsia="Times New Roman"/>
        </w:rPr>
        <w:t xml:space="preserve">performance benchmarks in the health, education and transport sectors; and </w:t>
      </w:r>
      <w:r w:rsidR="00037E2C" w:rsidRPr="007565AD">
        <w:rPr>
          <w:rFonts w:eastAsia="Times New Roman"/>
        </w:rPr>
        <w:t xml:space="preserve">partly </w:t>
      </w:r>
      <w:r w:rsidR="00B136AA">
        <w:rPr>
          <w:rFonts w:eastAsia="Times New Roman"/>
        </w:rPr>
        <w:t xml:space="preserve">benchmarks in law and justice (due to lower levels of training in line with RAMSI drawdown) and women’s economic empowerment (as the skills program commenced halfway through the reporting period). Stalling of the Core Economic Working Group meant that this benchmark was not achieved. Going forward, some adjustments to performance benchmarks have been made to reflect </w:t>
      </w:r>
      <w:r w:rsidR="00A02ABA">
        <w:rPr>
          <w:rFonts w:eastAsia="Times New Roman"/>
        </w:rPr>
        <w:t>program performance and changes in context</w:t>
      </w:r>
      <w:r w:rsidR="00C90A57">
        <w:rPr>
          <w:rFonts w:eastAsia="Times New Roman"/>
        </w:rPr>
        <w:t xml:space="preserve"> </w:t>
      </w:r>
      <w:r w:rsidR="00C90A57" w:rsidRPr="00C90A57">
        <w:rPr>
          <w:rFonts w:eastAsia="Times New Roman"/>
          <w:i/>
        </w:rPr>
        <w:t>(see Annex A for progress on performance benchmarks in 2015-16)</w:t>
      </w:r>
      <w:r w:rsidR="005F1651">
        <w:rPr>
          <w:rFonts w:eastAsia="Times New Roman"/>
        </w:rPr>
        <w:t>.</w:t>
      </w:r>
    </w:p>
    <w:p w14:paraId="5CC3C1E9" w14:textId="77777777" w:rsidR="002A51CA" w:rsidRPr="009E4948" w:rsidRDefault="00AF1450" w:rsidP="009E4948">
      <w:pPr>
        <w:suppressAutoHyphens w:val="0"/>
        <w:spacing w:before="0" w:after="120" w:line="440" w:lineRule="atLeast"/>
        <w:rPr>
          <w:b/>
          <w:sz w:val="24"/>
        </w:rPr>
      </w:pPr>
      <w:r>
        <w:rPr>
          <w:sz w:val="24"/>
        </w:rPr>
        <w:br w:type="page"/>
      </w:r>
      <w:r w:rsidR="002A51CA" w:rsidRPr="009E4948">
        <w:rPr>
          <w:b/>
          <w:sz w:val="24"/>
        </w:rPr>
        <w:lastRenderedPageBreak/>
        <w:t>Performance Benchmarks 201</w:t>
      </w:r>
      <w:r w:rsidR="00784A3E" w:rsidRPr="009E4948">
        <w:rPr>
          <w:b/>
          <w:sz w:val="24"/>
        </w:rPr>
        <w:t>5</w:t>
      </w:r>
      <w:r w:rsidR="002A51CA" w:rsidRPr="009E4948">
        <w:rPr>
          <w:b/>
          <w:sz w:val="24"/>
        </w:rPr>
        <w:t>-1</w:t>
      </w:r>
      <w:r w:rsidR="00784A3E" w:rsidRPr="009E4948">
        <w:rPr>
          <w:b/>
          <w:sz w:val="24"/>
        </w:rPr>
        <w:t>6</w:t>
      </w:r>
      <w:r w:rsidR="005F1651" w:rsidRPr="009E4948">
        <w:rPr>
          <w:b/>
          <w:sz w:val="24"/>
        </w:rPr>
        <w:t xml:space="preserve"> to 2018-19</w:t>
      </w:r>
    </w:p>
    <w:tbl>
      <w:tblPr>
        <w:tblStyle w:val="DFATTable"/>
        <w:tblW w:w="10173" w:type="dxa"/>
        <w:tblLayout w:type="fixed"/>
        <w:tblLook w:val="04A0" w:firstRow="1" w:lastRow="0" w:firstColumn="1" w:lastColumn="0" w:noHBand="0" w:noVBand="1"/>
      </w:tblPr>
      <w:tblGrid>
        <w:gridCol w:w="2034"/>
        <w:gridCol w:w="2035"/>
        <w:gridCol w:w="2034"/>
        <w:gridCol w:w="2035"/>
        <w:gridCol w:w="2035"/>
      </w:tblGrid>
      <w:tr w:rsidR="00E90EDD" w14:paraId="22913963" w14:textId="77777777" w:rsidTr="006C2E33">
        <w:trPr>
          <w:trHeight w:val="227"/>
        </w:trPr>
        <w:tc>
          <w:tcPr>
            <w:tcW w:w="2034" w:type="dxa"/>
            <w:tcBorders>
              <w:top w:val="single" w:sz="12" w:space="0" w:color="auto"/>
              <w:left w:val="nil"/>
              <w:bottom w:val="nil"/>
              <w:right w:val="nil"/>
            </w:tcBorders>
          </w:tcPr>
          <w:p w14:paraId="5CF2FC28" w14:textId="77777777" w:rsidR="00E90EDD" w:rsidRPr="006C2E33" w:rsidRDefault="00E90EDD" w:rsidP="006C2E33">
            <w:pPr>
              <w:keepLines/>
              <w:spacing w:before="80" w:after="80" w:line="200" w:lineRule="atLeast"/>
              <w:rPr>
                <w:rFonts w:eastAsia="Times New Roman"/>
                <w:b/>
                <w:iCs/>
                <w:szCs w:val="17"/>
              </w:rPr>
            </w:pPr>
            <w:r w:rsidRPr="006C2E33">
              <w:rPr>
                <w:rFonts w:eastAsia="Times New Roman"/>
                <w:b/>
                <w:iCs/>
                <w:szCs w:val="17"/>
              </w:rPr>
              <w:t>Aid objective</w:t>
            </w:r>
          </w:p>
        </w:tc>
        <w:tc>
          <w:tcPr>
            <w:tcW w:w="2035" w:type="dxa"/>
            <w:tcBorders>
              <w:top w:val="single" w:sz="12" w:space="0" w:color="auto"/>
              <w:left w:val="nil"/>
              <w:bottom w:val="nil"/>
              <w:right w:val="nil"/>
            </w:tcBorders>
          </w:tcPr>
          <w:p w14:paraId="70C075AD" w14:textId="77777777" w:rsidR="00E90EDD" w:rsidRPr="006C2E33" w:rsidRDefault="00E90EDD" w:rsidP="006C2E33">
            <w:pPr>
              <w:keepLines/>
              <w:spacing w:before="80" w:after="80" w:line="200" w:lineRule="atLeast"/>
              <w:rPr>
                <w:rFonts w:eastAsia="Times New Roman"/>
                <w:b/>
                <w:iCs/>
                <w:szCs w:val="17"/>
              </w:rPr>
            </w:pPr>
            <w:r w:rsidRPr="006C2E33">
              <w:rPr>
                <w:rFonts w:eastAsia="Times New Roman"/>
                <w:b/>
                <w:iCs/>
                <w:szCs w:val="17"/>
              </w:rPr>
              <w:t>2015-16</w:t>
            </w:r>
          </w:p>
        </w:tc>
        <w:tc>
          <w:tcPr>
            <w:tcW w:w="2034" w:type="dxa"/>
            <w:tcBorders>
              <w:top w:val="single" w:sz="12" w:space="0" w:color="auto"/>
              <w:left w:val="nil"/>
              <w:bottom w:val="nil"/>
              <w:right w:val="nil"/>
            </w:tcBorders>
          </w:tcPr>
          <w:p w14:paraId="226F6450" w14:textId="77777777" w:rsidR="00E90EDD" w:rsidRPr="006C2E33" w:rsidRDefault="00E90EDD" w:rsidP="006C2E33">
            <w:pPr>
              <w:keepLines/>
              <w:spacing w:before="80" w:after="80" w:line="200" w:lineRule="atLeast"/>
              <w:rPr>
                <w:rFonts w:eastAsia="Times New Roman"/>
                <w:b/>
                <w:iCs/>
                <w:szCs w:val="17"/>
              </w:rPr>
            </w:pPr>
            <w:r w:rsidRPr="006C2E33">
              <w:rPr>
                <w:rFonts w:eastAsia="Times New Roman"/>
                <w:b/>
                <w:iCs/>
                <w:szCs w:val="17"/>
              </w:rPr>
              <w:t>2016-17</w:t>
            </w:r>
          </w:p>
        </w:tc>
        <w:tc>
          <w:tcPr>
            <w:tcW w:w="2035" w:type="dxa"/>
            <w:tcBorders>
              <w:top w:val="single" w:sz="12" w:space="0" w:color="auto"/>
              <w:left w:val="nil"/>
              <w:bottom w:val="nil"/>
              <w:right w:val="nil"/>
            </w:tcBorders>
          </w:tcPr>
          <w:p w14:paraId="26680B49" w14:textId="77777777" w:rsidR="00E90EDD" w:rsidRPr="006C2E33" w:rsidRDefault="00E90EDD" w:rsidP="006C2E33">
            <w:pPr>
              <w:keepLines/>
              <w:spacing w:before="80" w:after="80" w:line="200" w:lineRule="atLeast"/>
              <w:rPr>
                <w:rFonts w:eastAsia="Times New Roman"/>
                <w:b/>
                <w:iCs/>
                <w:szCs w:val="17"/>
              </w:rPr>
            </w:pPr>
            <w:r w:rsidRPr="006C2E33">
              <w:rPr>
                <w:rFonts w:eastAsia="Times New Roman"/>
                <w:b/>
                <w:iCs/>
                <w:szCs w:val="17"/>
              </w:rPr>
              <w:t>2017-18</w:t>
            </w:r>
          </w:p>
        </w:tc>
        <w:tc>
          <w:tcPr>
            <w:tcW w:w="2035" w:type="dxa"/>
            <w:tcBorders>
              <w:top w:val="single" w:sz="12" w:space="0" w:color="auto"/>
              <w:left w:val="nil"/>
              <w:bottom w:val="nil"/>
              <w:right w:val="nil"/>
            </w:tcBorders>
          </w:tcPr>
          <w:p w14:paraId="0085A82B" w14:textId="77777777" w:rsidR="00E90EDD" w:rsidRPr="006C2E33" w:rsidRDefault="00E90EDD" w:rsidP="006C2E33">
            <w:pPr>
              <w:keepLines/>
              <w:spacing w:before="80" w:after="80" w:line="200" w:lineRule="atLeast"/>
              <w:rPr>
                <w:rFonts w:eastAsia="Times New Roman"/>
                <w:b/>
                <w:iCs/>
                <w:szCs w:val="17"/>
              </w:rPr>
            </w:pPr>
            <w:r w:rsidRPr="006C2E33">
              <w:rPr>
                <w:rFonts w:eastAsia="Times New Roman"/>
                <w:b/>
                <w:iCs/>
                <w:szCs w:val="17"/>
              </w:rPr>
              <w:t>2018-19</w:t>
            </w:r>
          </w:p>
        </w:tc>
      </w:tr>
      <w:tr w:rsidR="00E90EDD" w14:paraId="6F042442" w14:textId="77777777" w:rsidTr="006C2E33">
        <w:trPr>
          <w:trHeight w:val="227"/>
        </w:trPr>
        <w:tc>
          <w:tcPr>
            <w:tcW w:w="2034" w:type="dxa"/>
            <w:tcBorders>
              <w:top w:val="nil"/>
              <w:left w:val="nil"/>
              <w:bottom w:val="nil"/>
              <w:right w:val="nil"/>
            </w:tcBorders>
            <w:hideMark/>
          </w:tcPr>
          <w:p w14:paraId="3853548C" w14:textId="77777777" w:rsidR="00E90EDD" w:rsidRPr="006C2E33" w:rsidRDefault="00E90EDD" w:rsidP="006C2E33">
            <w:pPr>
              <w:keepLines/>
              <w:spacing w:before="80" w:after="80" w:line="200" w:lineRule="atLeast"/>
              <w:rPr>
                <w:rFonts w:asciiTheme="minorHAnsi" w:eastAsia="Times New Roman" w:hAnsiTheme="minorHAnsi"/>
                <w:iCs/>
                <w:color w:val="auto"/>
                <w:szCs w:val="17"/>
                <w:lang w:eastAsia="en-US"/>
              </w:rPr>
            </w:pPr>
            <w:r w:rsidRPr="006C2E33">
              <w:rPr>
                <w:rFonts w:eastAsia="Times New Roman"/>
                <w:b/>
                <w:iCs/>
                <w:szCs w:val="17"/>
              </w:rPr>
              <w:t>Stability</w:t>
            </w:r>
          </w:p>
        </w:tc>
        <w:tc>
          <w:tcPr>
            <w:tcW w:w="2035" w:type="dxa"/>
            <w:tcBorders>
              <w:top w:val="nil"/>
              <w:left w:val="nil"/>
              <w:bottom w:val="nil"/>
              <w:right w:val="nil"/>
            </w:tcBorders>
          </w:tcPr>
          <w:p w14:paraId="6FDF4C12"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4" w:type="dxa"/>
            <w:tcBorders>
              <w:top w:val="nil"/>
              <w:left w:val="nil"/>
              <w:bottom w:val="nil"/>
              <w:right w:val="nil"/>
            </w:tcBorders>
          </w:tcPr>
          <w:p w14:paraId="64764287"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5" w:type="dxa"/>
            <w:tcBorders>
              <w:top w:val="nil"/>
              <w:left w:val="nil"/>
              <w:bottom w:val="nil"/>
              <w:right w:val="nil"/>
            </w:tcBorders>
          </w:tcPr>
          <w:p w14:paraId="27E315C7"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5" w:type="dxa"/>
            <w:tcBorders>
              <w:top w:val="nil"/>
              <w:left w:val="nil"/>
              <w:bottom w:val="nil"/>
              <w:right w:val="nil"/>
            </w:tcBorders>
          </w:tcPr>
          <w:p w14:paraId="4DC739E0" w14:textId="77777777" w:rsidR="00E90EDD" w:rsidRPr="006C2E33" w:rsidRDefault="00E90EDD" w:rsidP="006C2E33">
            <w:pPr>
              <w:spacing w:beforeLines="40" w:before="96" w:afterLines="40" w:after="96"/>
              <w:ind w:firstLine="32"/>
              <w:jc w:val="center"/>
              <w:rPr>
                <w:rFonts w:asciiTheme="minorHAnsi" w:eastAsia="Times New Roman" w:hAnsiTheme="minorHAnsi"/>
                <w:iCs/>
                <w:color w:val="auto"/>
                <w:szCs w:val="17"/>
                <w:lang w:eastAsia="en-US"/>
              </w:rPr>
            </w:pPr>
          </w:p>
        </w:tc>
      </w:tr>
      <w:tr w:rsidR="00E90EDD" w14:paraId="645A65F5" w14:textId="77777777" w:rsidTr="006C2E33">
        <w:trPr>
          <w:trHeight w:val="227"/>
        </w:trPr>
        <w:tc>
          <w:tcPr>
            <w:tcW w:w="2034" w:type="dxa"/>
            <w:tcBorders>
              <w:top w:val="nil"/>
              <w:left w:val="nil"/>
              <w:bottom w:val="nil"/>
              <w:right w:val="nil"/>
            </w:tcBorders>
          </w:tcPr>
          <w:p w14:paraId="0CEFE8AC"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Number of police and other law and justice officials trained</w:t>
            </w:r>
          </w:p>
        </w:tc>
        <w:tc>
          <w:tcPr>
            <w:tcW w:w="2035" w:type="dxa"/>
            <w:tcBorders>
              <w:top w:val="nil"/>
              <w:left w:val="nil"/>
              <w:bottom w:val="nil"/>
              <w:right w:val="nil"/>
            </w:tcBorders>
          </w:tcPr>
          <w:p w14:paraId="6ABDC927"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1700</w:t>
            </w:r>
          </w:p>
        </w:tc>
        <w:tc>
          <w:tcPr>
            <w:tcW w:w="2034" w:type="dxa"/>
            <w:tcBorders>
              <w:top w:val="nil"/>
              <w:left w:val="nil"/>
              <w:bottom w:val="nil"/>
              <w:right w:val="nil"/>
            </w:tcBorders>
          </w:tcPr>
          <w:p w14:paraId="0DDABFA1"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1600</w:t>
            </w:r>
          </w:p>
        </w:tc>
        <w:tc>
          <w:tcPr>
            <w:tcW w:w="2035" w:type="dxa"/>
            <w:tcBorders>
              <w:top w:val="nil"/>
              <w:left w:val="nil"/>
              <w:bottom w:val="nil"/>
              <w:right w:val="nil"/>
            </w:tcBorders>
          </w:tcPr>
          <w:p w14:paraId="1BF62A87"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800</w:t>
            </w:r>
            <w:r w:rsidR="005F1651" w:rsidRPr="006C2E33">
              <w:rPr>
                <w:rFonts w:asciiTheme="minorHAnsi" w:eastAsia="Times New Roman" w:hAnsiTheme="minorHAnsi"/>
                <w:iCs/>
                <w:color w:val="auto"/>
                <w:szCs w:val="17"/>
                <w:lang w:eastAsia="en-US"/>
              </w:rPr>
              <w:t>#</w:t>
            </w:r>
          </w:p>
        </w:tc>
        <w:tc>
          <w:tcPr>
            <w:tcW w:w="2035" w:type="dxa"/>
            <w:tcBorders>
              <w:top w:val="nil"/>
              <w:left w:val="nil"/>
              <w:bottom w:val="nil"/>
              <w:right w:val="nil"/>
            </w:tcBorders>
          </w:tcPr>
          <w:p w14:paraId="4DCA48DF"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800#</w:t>
            </w:r>
          </w:p>
        </w:tc>
      </w:tr>
      <w:tr w:rsidR="00E90EDD" w14:paraId="7E320B86" w14:textId="77777777" w:rsidTr="006C2E33">
        <w:trPr>
          <w:trHeight w:val="227"/>
        </w:trPr>
        <w:tc>
          <w:tcPr>
            <w:tcW w:w="2034" w:type="dxa"/>
            <w:tcBorders>
              <w:top w:val="nil"/>
              <w:left w:val="nil"/>
              <w:bottom w:val="nil"/>
              <w:right w:val="nil"/>
            </w:tcBorders>
          </w:tcPr>
          <w:p w14:paraId="7B0644C3"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Courts and justice agencies are better able to deliver their core functions</w:t>
            </w:r>
          </w:p>
        </w:tc>
        <w:tc>
          <w:tcPr>
            <w:tcW w:w="2035" w:type="dxa"/>
            <w:tcBorders>
              <w:top w:val="nil"/>
              <w:left w:val="nil"/>
              <w:bottom w:val="nil"/>
              <w:right w:val="nil"/>
            </w:tcBorders>
          </w:tcPr>
          <w:p w14:paraId="3A88E819"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550 cases heard and disposed of in the Magistrates Court</w:t>
            </w:r>
          </w:p>
        </w:tc>
        <w:tc>
          <w:tcPr>
            <w:tcW w:w="2034" w:type="dxa"/>
            <w:tcBorders>
              <w:top w:val="nil"/>
              <w:left w:val="nil"/>
              <w:bottom w:val="nil"/>
              <w:right w:val="nil"/>
            </w:tcBorders>
          </w:tcPr>
          <w:p w14:paraId="313CD948"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600 cases heard and disposed of in the Magistrates Court</w:t>
            </w:r>
          </w:p>
        </w:tc>
        <w:tc>
          <w:tcPr>
            <w:tcW w:w="2035" w:type="dxa"/>
            <w:tcBorders>
              <w:top w:val="nil"/>
              <w:left w:val="nil"/>
              <w:bottom w:val="nil"/>
              <w:right w:val="nil"/>
            </w:tcBorders>
          </w:tcPr>
          <w:p w14:paraId="06685C9A"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650 cases heard and disposed of in the Magistrates Court</w:t>
            </w:r>
          </w:p>
        </w:tc>
        <w:tc>
          <w:tcPr>
            <w:tcW w:w="2035" w:type="dxa"/>
            <w:tcBorders>
              <w:top w:val="nil"/>
              <w:left w:val="nil"/>
              <w:bottom w:val="nil"/>
              <w:right w:val="nil"/>
            </w:tcBorders>
          </w:tcPr>
          <w:p w14:paraId="6CB53152"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650 cases heard and disposed of in the Magistrates Court</w:t>
            </w:r>
          </w:p>
        </w:tc>
      </w:tr>
      <w:tr w:rsidR="00E90EDD" w14:paraId="13622C9A" w14:textId="77777777" w:rsidTr="006C2E33">
        <w:trPr>
          <w:trHeight w:val="227"/>
        </w:trPr>
        <w:tc>
          <w:tcPr>
            <w:tcW w:w="2034" w:type="dxa"/>
            <w:tcBorders>
              <w:top w:val="nil"/>
              <w:left w:val="nil"/>
              <w:bottom w:val="nil"/>
              <w:right w:val="nil"/>
            </w:tcBorders>
          </w:tcPr>
          <w:p w14:paraId="60F113E1" w14:textId="77777777" w:rsidR="00E90EDD" w:rsidRPr="006C2E33" w:rsidRDefault="00E90EDD" w:rsidP="006C2E33">
            <w:pPr>
              <w:keepLines/>
              <w:spacing w:before="80" w:after="80" w:line="200" w:lineRule="atLeast"/>
              <w:rPr>
                <w:rFonts w:asciiTheme="minorHAnsi" w:eastAsia="Times New Roman" w:hAnsiTheme="minorHAnsi"/>
                <w:iCs/>
                <w:color w:val="auto"/>
                <w:szCs w:val="17"/>
                <w:lang w:eastAsia="en-US"/>
              </w:rPr>
            </w:pPr>
            <w:r w:rsidRPr="006C2E33">
              <w:rPr>
                <w:rFonts w:eastAsia="Times New Roman"/>
                <w:b/>
                <w:iCs/>
                <w:szCs w:val="17"/>
              </w:rPr>
              <w:t>Economic Growth</w:t>
            </w:r>
          </w:p>
        </w:tc>
        <w:tc>
          <w:tcPr>
            <w:tcW w:w="2035" w:type="dxa"/>
            <w:tcBorders>
              <w:top w:val="nil"/>
              <w:left w:val="nil"/>
              <w:bottom w:val="nil"/>
              <w:right w:val="nil"/>
            </w:tcBorders>
          </w:tcPr>
          <w:p w14:paraId="1B9496DA"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4" w:type="dxa"/>
            <w:tcBorders>
              <w:top w:val="nil"/>
              <w:left w:val="nil"/>
              <w:bottom w:val="nil"/>
              <w:right w:val="nil"/>
            </w:tcBorders>
          </w:tcPr>
          <w:p w14:paraId="2E6BE331"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5" w:type="dxa"/>
            <w:tcBorders>
              <w:top w:val="nil"/>
              <w:left w:val="nil"/>
              <w:bottom w:val="nil"/>
              <w:right w:val="nil"/>
            </w:tcBorders>
          </w:tcPr>
          <w:p w14:paraId="7BF798E7"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5" w:type="dxa"/>
            <w:tcBorders>
              <w:top w:val="nil"/>
              <w:left w:val="nil"/>
              <w:bottom w:val="nil"/>
              <w:right w:val="nil"/>
            </w:tcBorders>
          </w:tcPr>
          <w:p w14:paraId="64B1C868" w14:textId="77777777" w:rsidR="00E90EDD" w:rsidRPr="006C2E33" w:rsidRDefault="00E90EDD" w:rsidP="006C2E33">
            <w:pPr>
              <w:spacing w:beforeLines="40" w:before="96" w:afterLines="40" w:after="96"/>
              <w:ind w:firstLine="32"/>
              <w:jc w:val="center"/>
              <w:rPr>
                <w:rFonts w:asciiTheme="minorHAnsi" w:eastAsia="Times New Roman" w:hAnsiTheme="minorHAnsi"/>
                <w:iCs/>
                <w:color w:val="auto"/>
                <w:szCs w:val="17"/>
                <w:lang w:eastAsia="en-US"/>
              </w:rPr>
            </w:pPr>
          </w:p>
        </w:tc>
      </w:tr>
      <w:tr w:rsidR="00E90EDD" w14:paraId="5BE5B205" w14:textId="77777777" w:rsidTr="006C2E33">
        <w:trPr>
          <w:trHeight w:val="227"/>
        </w:trPr>
        <w:tc>
          <w:tcPr>
            <w:tcW w:w="2034" w:type="dxa"/>
            <w:tcBorders>
              <w:top w:val="nil"/>
              <w:left w:val="nil"/>
              <w:bottom w:val="nil"/>
              <w:right w:val="nil"/>
            </w:tcBorders>
          </w:tcPr>
          <w:p w14:paraId="3855DC39"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Women able to gain business or income-generating skills</w:t>
            </w:r>
            <w:r w:rsidR="006C2E33">
              <w:rPr>
                <w:rFonts w:asciiTheme="minorHAnsi" w:eastAsia="Times New Roman" w:hAnsiTheme="minorHAnsi"/>
                <w:i/>
                <w:iCs/>
                <w:color w:val="auto"/>
                <w:szCs w:val="17"/>
                <w:lang w:eastAsia="en-US"/>
              </w:rPr>
              <w:t xml:space="preserve"> </w:t>
            </w:r>
            <w:r w:rsidR="005F1651" w:rsidRPr="006C2E33">
              <w:rPr>
                <w:rFonts w:asciiTheme="minorHAnsi" w:eastAsia="Times New Roman" w:hAnsiTheme="minorHAnsi"/>
                <w:i/>
                <w:iCs/>
                <w:color w:val="auto"/>
                <w:szCs w:val="17"/>
                <w:lang w:eastAsia="en-US"/>
              </w:rPr>
              <w:t>~</w:t>
            </w:r>
          </w:p>
        </w:tc>
        <w:tc>
          <w:tcPr>
            <w:tcW w:w="2035" w:type="dxa"/>
            <w:tcBorders>
              <w:top w:val="nil"/>
              <w:left w:val="nil"/>
              <w:bottom w:val="nil"/>
              <w:right w:val="nil"/>
            </w:tcBorders>
          </w:tcPr>
          <w:p w14:paraId="50EE4D19"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2,200 women are trained in business or income-generating skills</w:t>
            </w:r>
          </w:p>
        </w:tc>
        <w:tc>
          <w:tcPr>
            <w:tcW w:w="2034" w:type="dxa"/>
            <w:tcBorders>
              <w:top w:val="nil"/>
              <w:left w:val="nil"/>
              <w:bottom w:val="nil"/>
              <w:right w:val="nil"/>
            </w:tcBorders>
          </w:tcPr>
          <w:p w14:paraId="6110A27A" w14:textId="77777777" w:rsidR="00E90EDD" w:rsidRPr="006C2E33" w:rsidRDefault="0048348F"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1,000</w:t>
            </w:r>
            <w:r w:rsidR="00E90EDD" w:rsidRPr="006C2E33">
              <w:rPr>
                <w:rFonts w:asciiTheme="minorHAnsi" w:eastAsia="Times New Roman" w:hAnsiTheme="minorHAnsi"/>
                <w:iCs/>
                <w:color w:val="auto"/>
                <w:szCs w:val="17"/>
                <w:lang w:eastAsia="en-US"/>
              </w:rPr>
              <w:t xml:space="preserve"> women are trained in business or income-generating skills</w:t>
            </w:r>
          </w:p>
        </w:tc>
        <w:tc>
          <w:tcPr>
            <w:tcW w:w="2035" w:type="dxa"/>
            <w:tcBorders>
              <w:top w:val="nil"/>
              <w:left w:val="nil"/>
              <w:bottom w:val="nil"/>
              <w:right w:val="nil"/>
            </w:tcBorders>
          </w:tcPr>
          <w:p w14:paraId="56361FD3" w14:textId="77777777" w:rsidR="00E90EDD" w:rsidRPr="006C2E33" w:rsidRDefault="0048348F"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1,000 </w:t>
            </w:r>
            <w:r w:rsidR="00E90EDD" w:rsidRPr="006C2E33">
              <w:rPr>
                <w:rFonts w:asciiTheme="minorHAnsi" w:eastAsia="Times New Roman" w:hAnsiTheme="minorHAnsi"/>
                <w:iCs/>
                <w:color w:val="auto"/>
                <w:szCs w:val="17"/>
                <w:lang w:eastAsia="en-US"/>
              </w:rPr>
              <w:t>women are trained in business or income-generating skills</w:t>
            </w:r>
          </w:p>
        </w:tc>
        <w:tc>
          <w:tcPr>
            <w:tcW w:w="2035" w:type="dxa"/>
            <w:tcBorders>
              <w:top w:val="nil"/>
              <w:left w:val="nil"/>
              <w:bottom w:val="nil"/>
              <w:right w:val="nil"/>
            </w:tcBorders>
          </w:tcPr>
          <w:p w14:paraId="756FC501" w14:textId="77777777" w:rsidR="00E90EDD" w:rsidRPr="006C2E33" w:rsidRDefault="0048348F"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1,000 </w:t>
            </w:r>
            <w:r w:rsidR="00E90EDD" w:rsidRPr="006C2E33">
              <w:rPr>
                <w:rFonts w:asciiTheme="minorHAnsi" w:eastAsia="Times New Roman" w:hAnsiTheme="minorHAnsi"/>
                <w:iCs/>
                <w:color w:val="auto"/>
                <w:szCs w:val="17"/>
                <w:lang w:eastAsia="en-US"/>
              </w:rPr>
              <w:t>women are trained in busin</w:t>
            </w:r>
            <w:r w:rsidR="005F1651" w:rsidRPr="006C2E33">
              <w:rPr>
                <w:rFonts w:asciiTheme="minorHAnsi" w:eastAsia="Times New Roman" w:hAnsiTheme="minorHAnsi"/>
                <w:iCs/>
                <w:color w:val="auto"/>
                <w:szCs w:val="17"/>
                <w:lang w:eastAsia="en-US"/>
              </w:rPr>
              <w:t>ess or income-generating skills</w:t>
            </w:r>
          </w:p>
        </w:tc>
      </w:tr>
      <w:tr w:rsidR="00E90EDD" w14:paraId="5769E6EC" w14:textId="77777777" w:rsidTr="006C2E33">
        <w:trPr>
          <w:trHeight w:val="227"/>
        </w:trPr>
        <w:tc>
          <w:tcPr>
            <w:tcW w:w="2034" w:type="dxa"/>
            <w:tcBorders>
              <w:top w:val="nil"/>
              <w:left w:val="nil"/>
              <w:bottom w:val="nil"/>
              <w:right w:val="nil"/>
            </w:tcBorders>
          </w:tcPr>
          <w:p w14:paraId="15EB50FF"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Improved transport infrastructure to support increased economic activity</w:t>
            </w:r>
          </w:p>
        </w:tc>
        <w:tc>
          <w:tcPr>
            <w:tcW w:w="2035" w:type="dxa"/>
            <w:tcBorders>
              <w:top w:val="nil"/>
              <w:left w:val="nil"/>
              <w:bottom w:val="nil"/>
              <w:right w:val="nil"/>
            </w:tcBorders>
          </w:tcPr>
          <w:p w14:paraId="7F8EFEAE"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600km of roads rehabilitated or maintained</w:t>
            </w:r>
          </w:p>
        </w:tc>
        <w:tc>
          <w:tcPr>
            <w:tcW w:w="2034" w:type="dxa"/>
            <w:tcBorders>
              <w:top w:val="nil"/>
              <w:left w:val="nil"/>
              <w:bottom w:val="nil"/>
              <w:right w:val="nil"/>
            </w:tcBorders>
          </w:tcPr>
          <w:p w14:paraId="2BCD5452"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700km of roads rehabilitated or maintained</w:t>
            </w:r>
          </w:p>
        </w:tc>
        <w:tc>
          <w:tcPr>
            <w:tcW w:w="2035" w:type="dxa"/>
            <w:tcBorders>
              <w:top w:val="nil"/>
              <w:left w:val="nil"/>
              <w:bottom w:val="nil"/>
              <w:right w:val="nil"/>
            </w:tcBorders>
          </w:tcPr>
          <w:p w14:paraId="7F28920C"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750km of roads rehabilitated or maintained</w:t>
            </w:r>
          </w:p>
        </w:tc>
        <w:tc>
          <w:tcPr>
            <w:tcW w:w="2035" w:type="dxa"/>
            <w:tcBorders>
              <w:top w:val="nil"/>
              <w:left w:val="nil"/>
              <w:bottom w:val="nil"/>
              <w:right w:val="nil"/>
            </w:tcBorders>
          </w:tcPr>
          <w:p w14:paraId="5277C268"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800km of roads rehabilitated or maintained</w:t>
            </w:r>
          </w:p>
        </w:tc>
      </w:tr>
      <w:tr w:rsidR="00E90EDD" w14:paraId="07AC0337" w14:textId="77777777" w:rsidTr="006C2E33">
        <w:trPr>
          <w:trHeight w:val="227"/>
        </w:trPr>
        <w:tc>
          <w:tcPr>
            <w:tcW w:w="2034" w:type="dxa"/>
            <w:tcBorders>
              <w:top w:val="nil"/>
              <w:left w:val="nil"/>
              <w:bottom w:val="nil"/>
              <w:right w:val="nil"/>
            </w:tcBorders>
          </w:tcPr>
          <w:p w14:paraId="14CCCF18"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Improved environment for private sector investment, economic growth and trade</w:t>
            </w:r>
          </w:p>
        </w:tc>
        <w:tc>
          <w:tcPr>
            <w:tcW w:w="2035" w:type="dxa"/>
            <w:tcBorders>
              <w:top w:val="nil"/>
              <w:left w:val="nil"/>
              <w:bottom w:val="nil"/>
              <w:right w:val="nil"/>
            </w:tcBorders>
          </w:tcPr>
          <w:p w14:paraId="103179A7"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50% of Core Economic Working Group Economic and Financial Reform Program actions achieved for 2015-16 </w:t>
            </w:r>
          </w:p>
        </w:tc>
        <w:tc>
          <w:tcPr>
            <w:tcW w:w="2034" w:type="dxa"/>
            <w:tcBorders>
              <w:top w:val="nil"/>
              <w:left w:val="nil"/>
              <w:bottom w:val="nil"/>
              <w:right w:val="nil"/>
            </w:tcBorders>
          </w:tcPr>
          <w:p w14:paraId="5514BC68"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50% of Core Economic Working Group Economic and Financial Reform Program actions achieved for 2016-17 </w:t>
            </w:r>
          </w:p>
        </w:tc>
        <w:tc>
          <w:tcPr>
            <w:tcW w:w="2035" w:type="dxa"/>
            <w:tcBorders>
              <w:top w:val="nil"/>
              <w:left w:val="nil"/>
              <w:bottom w:val="nil"/>
              <w:right w:val="nil"/>
            </w:tcBorders>
          </w:tcPr>
          <w:p w14:paraId="178CB93A"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50% of Core Economic Working Group Economic and Financial Reform Program actions achieved for 2017-18 </w:t>
            </w:r>
          </w:p>
        </w:tc>
        <w:tc>
          <w:tcPr>
            <w:tcW w:w="2035" w:type="dxa"/>
            <w:tcBorders>
              <w:top w:val="nil"/>
              <w:left w:val="nil"/>
              <w:bottom w:val="nil"/>
              <w:right w:val="nil"/>
            </w:tcBorders>
          </w:tcPr>
          <w:p w14:paraId="0CAA9893"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50% of Core Economic Working Group Economic and Financial Reform Program actions achieved for 2018-19 </w:t>
            </w:r>
          </w:p>
        </w:tc>
      </w:tr>
      <w:tr w:rsidR="00E90EDD" w14:paraId="6ED18217" w14:textId="77777777" w:rsidTr="006C2E33">
        <w:trPr>
          <w:trHeight w:val="227"/>
        </w:trPr>
        <w:tc>
          <w:tcPr>
            <w:tcW w:w="2034" w:type="dxa"/>
            <w:tcBorders>
              <w:top w:val="nil"/>
              <w:left w:val="nil"/>
              <w:bottom w:val="nil"/>
              <w:right w:val="nil"/>
            </w:tcBorders>
          </w:tcPr>
          <w:p w14:paraId="6D041737" w14:textId="77777777" w:rsidR="00E90EDD" w:rsidRPr="006C2E33" w:rsidRDefault="00E90EDD" w:rsidP="006C2E33">
            <w:pPr>
              <w:keepLines/>
              <w:spacing w:before="80" w:after="80" w:line="200" w:lineRule="atLeast"/>
              <w:rPr>
                <w:rFonts w:asciiTheme="minorHAnsi" w:eastAsia="Times New Roman" w:hAnsiTheme="minorHAnsi"/>
                <w:iCs/>
                <w:color w:val="auto"/>
                <w:szCs w:val="17"/>
                <w:lang w:eastAsia="en-US"/>
              </w:rPr>
            </w:pPr>
            <w:r w:rsidRPr="006C2E33">
              <w:rPr>
                <w:rFonts w:eastAsia="Times New Roman"/>
                <w:b/>
                <w:iCs/>
                <w:szCs w:val="17"/>
              </w:rPr>
              <w:t>Human Development</w:t>
            </w:r>
          </w:p>
        </w:tc>
        <w:tc>
          <w:tcPr>
            <w:tcW w:w="2035" w:type="dxa"/>
            <w:tcBorders>
              <w:top w:val="nil"/>
              <w:left w:val="nil"/>
              <w:bottom w:val="nil"/>
              <w:right w:val="nil"/>
            </w:tcBorders>
          </w:tcPr>
          <w:p w14:paraId="50FB88B3"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4" w:type="dxa"/>
            <w:tcBorders>
              <w:top w:val="nil"/>
              <w:left w:val="nil"/>
              <w:bottom w:val="nil"/>
              <w:right w:val="nil"/>
            </w:tcBorders>
          </w:tcPr>
          <w:p w14:paraId="5CB80E45"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5" w:type="dxa"/>
            <w:tcBorders>
              <w:top w:val="nil"/>
              <w:left w:val="nil"/>
              <w:bottom w:val="nil"/>
              <w:right w:val="nil"/>
            </w:tcBorders>
          </w:tcPr>
          <w:p w14:paraId="1C0865B4" w14:textId="77777777" w:rsidR="00E90EDD" w:rsidRPr="006C2E33" w:rsidRDefault="00E90EDD" w:rsidP="006C2E33">
            <w:pPr>
              <w:spacing w:beforeLines="40" w:before="96" w:afterLines="40" w:after="96"/>
              <w:jc w:val="center"/>
              <w:rPr>
                <w:rFonts w:asciiTheme="minorHAnsi" w:eastAsia="Times New Roman" w:hAnsiTheme="minorHAnsi"/>
                <w:iCs/>
                <w:color w:val="auto"/>
                <w:szCs w:val="17"/>
                <w:lang w:eastAsia="en-US"/>
              </w:rPr>
            </w:pPr>
          </w:p>
        </w:tc>
        <w:tc>
          <w:tcPr>
            <w:tcW w:w="2035" w:type="dxa"/>
            <w:tcBorders>
              <w:top w:val="nil"/>
              <w:left w:val="nil"/>
              <w:bottom w:val="nil"/>
              <w:right w:val="nil"/>
            </w:tcBorders>
          </w:tcPr>
          <w:p w14:paraId="09326ECE" w14:textId="77777777" w:rsidR="00E90EDD" w:rsidRPr="006C2E33" w:rsidRDefault="00E90EDD" w:rsidP="006C2E33">
            <w:pPr>
              <w:spacing w:beforeLines="40" w:before="96" w:afterLines="40" w:after="96"/>
              <w:ind w:firstLine="32"/>
              <w:jc w:val="center"/>
              <w:rPr>
                <w:rFonts w:asciiTheme="minorHAnsi" w:eastAsia="Times New Roman" w:hAnsiTheme="minorHAnsi"/>
                <w:iCs/>
                <w:color w:val="auto"/>
                <w:szCs w:val="17"/>
                <w:lang w:eastAsia="en-US"/>
              </w:rPr>
            </w:pPr>
          </w:p>
        </w:tc>
      </w:tr>
      <w:tr w:rsidR="00E90EDD" w14:paraId="70CD32CF" w14:textId="77777777" w:rsidTr="006C2E33">
        <w:trPr>
          <w:trHeight w:val="227"/>
        </w:trPr>
        <w:tc>
          <w:tcPr>
            <w:tcW w:w="2034" w:type="dxa"/>
            <w:tcBorders>
              <w:top w:val="nil"/>
              <w:left w:val="nil"/>
              <w:bottom w:val="nil"/>
              <w:right w:val="nil"/>
            </w:tcBorders>
          </w:tcPr>
          <w:p w14:paraId="7678A177"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 xml:space="preserve">Improved functioning of health system </w:t>
            </w:r>
            <w:r w:rsidR="001D39A3" w:rsidRPr="006C2E33">
              <w:rPr>
                <w:rFonts w:asciiTheme="minorHAnsi" w:eastAsia="Times New Roman" w:hAnsiTheme="minorHAnsi"/>
                <w:i/>
                <w:iCs/>
                <w:color w:val="auto"/>
                <w:szCs w:val="17"/>
                <w:lang w:eastAsia="en-US"/>
              </w:rPr>
              <w:t>^</w:t>
            </w:r>
          </w:p>
        </w:tc>
        <w:tc>
          <w:tcPr>
            <w:tcW w:w="2035" w:type="dxa"/>
            <w:tcBorders>
              <w:top w:val="nil"/>
              <w:left w:val="nil"/>
              <w:bottom w:val="nil"/>
              <w:right w:val="nil"/>
            </w:tcBorders>
          </w:tcPr>
          <w:p w14:paraId="0CD74ED7"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Availability of critical and essential medicines (includes contraceptives) at the rural clinic level to 61 per cent</w:t>
            </w:r>
          </w:p>
        </w:tc>
        <w:tc>
          <w:tcPr>
            <w:tcW w:w="2034" w:type="dxa"/>
            <w:tcBorders>
              <w:top w:val="nil"/>
              <w:left w:val="nil"/>
              <w:bottom w:val="nil"/>
              <w:right w:val="nil"/>
            </w:tcBorders>
          </w:tcPr>
          <w:p w14:paraId="3AF84447"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Availability of critical and essential medicines (includes contraceptives) at </w:t>
            </w:r>
            <w:r w:rsidR="001C6C22" w:rsidRPr="006C2E33">
              <w:rPr>
                <w:rFonts w:asciiTheme="minorHAnsi" w:eastAsia="Times New Roman" w:hAnsiTheme="minorHAnsi"/>
                <w:iCs/>
                <w:color w:val="auto"/>
                <w:szCs w:val="17"/>
                <w:lang w:eastAsia="en-US"/>
              </w:rPr>
              <w:t>Second Level Medical Stores (provincial level)  is 90%</w:t>
            </w:r>
          </w:p>
        </w:tc>
        <w:tc>
          <w:tcPr>
            <w:tcW w:w="2035" w:type="dxa"/>
            <w:tcBorders>
              <w:top w:val="nil"/>
              <w:left w:val="nil"/>
              <w:bottom w:val="nil"/>
              <w:right w:val="nil"/>
            </w:tcBorders>
          </w:tcPr>
          <w:p w14:paraId="61603E25" w14:textId="77777777" w:rsidR="00962FD3"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Availability of critical and essential medicines (includes contraceptives) </w:t>
            </w:r>
            <w:r w:rsidR="001C6C22" w:rsidRPr="006C2E33">
              <w:rPr>
                <w:rFonts w:asciiTheme="minorHAnsi" w:eastAsia="Times New Roman" w:hAnsiTheme="minorHAnsi"/>
                <w:iCs/>
                <w:color w:val="auto"/>
                <w:szCs w:val="17"/>
                <w:lang w:eastAsia="en-US"/>
              </w:rPr>
              <w:t>at Second Level Medical Stores (provincial level) is 92%</w:t>
            </w:r>
          </w:p>
        </w:tc>
        <w:tc>
          <w:tcPr>
            <w:tcW w:w="2035" w:type="dxa"/>
            <w:tcBorders>
              <w:top w:val="nil"/>
              <w:left w:val="nil"/>
              <w:bottom w:val="nil"/>
              <w:right w:val="nil"/>
            </w:tcBorders>
          </w:tcPr>
          <w:p w14:paraId="443CEFED"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Availability of critical and essential medicines (includes contraceptives) </w:t>
            </w:r>
            <w:r w:rsidR="001C6C22" w:rsidRPr="006C2E33">
              <w:rPr>
                <w:rFonts w:asciiTheme="minorHAnsi" w:eastAsia="Times New Roman" w:hAnsiTheme="minorHAnsi"/>
                <w:iCs/>
                <w:color w:val="auto"/>
                <w:szCs w:val="17"/>
                <w:lang w:eastAsia="en-US"/>
              </w:rPr>
              <w:t>at Second Level Medical Stores (provincial level)  is 94%</w:t>
            </w:r>
          </w:p>
        </w:tc>
      </w:tr>
      <w:tr w:rsidR="00E90EDD" w14:paraId="1FF76AEA" w14:textId="77777777" w:rsidTr="006C2E33">
        <w:trPr>
          <w:trHeight w:val="227"/>
        </w:trPr>
        <w:tc>
          <w:tcPr>
            <w:tcW w:w="2034" w:type="dxa"/>
            <w:tcBorders>
              <w:top w:val="nil"/>
              <w:left w:val="nil"/>
              <w:bottom w:val="nil"/>
              <w:right w:val="nil"/>
            </w:tcBorders>
          </w:tcPr>
          <w:p w14:paraId="0B2315A1"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Year 4 lite</w:t>
            </w:r>
            <w:r w:rsidR="005F1651" w:rsidRPr="006C2E33">
              <w:rPr>
                <w:rFonts w:asciiTheme="minorHAnsi" w:eastAsia="Times New Roman" w:hAnsiTheme="minorHAnsi"/>
                <w:i/>
                <w:iCs/>
                <w:color w:val="auto"/>
                <w:szCs w:val="17"/>
                <w:lang w:eastAsia="en-US"/>
              </w:rPr>
              <w:t xml:space="preserve">racy and numeracy rates </w:t>
            </w:r>
            <w:r w:rsidR="006C2E33">
              <w:rPr>
                <w:rFonts w:asciiTheme="minorHAnsi" w:eastAsia="Times New Roman" w:hAnsiTheme="minorHAnsi"/>
                <w:i/>
                <w:iCs/>
                <w:color w:val="auto"/>
                <w:szCs w:val="17"/>
                <w:lang w:eastAsia="en-US"/>
              </w:rPr>
              <w:t>–</w:t>
            </w:r>
            <w:r w:rsidR="005F1651" w:rsidRPr="006C2E33">
              <w:rPr>
                <w:rFonts w:asciiTheme="minorHAnsi" w:eastAsia="Times New Roman" w:hAnsiTheme="minorHAnsi"/>
                <w:i/>
                <w:iCs/>
                <w:color w:val="auto"/>
                <w:szCs w:val="17"/>
                <w:lang w:eastAsia="en-US"/>
              </w:rPr>
              <w:t xml:space="preserve"> SISTA</w:t>
            </w:r>
          </w:p>
        </w:tc>
        <w:tc>
          <w:tcPr>
            <w:tcW w:w="2035" w:type="dxa"/>
            <w:tcBorders>
              <w:top w:val="nil"/>
              <w:left w:val="nil"/>
              <w:bottom w:val="nil"/>
              <w:right w:val="nil"/>
            </w:tcBorders>
          </w:tcPr>
          <w:p w14:paraId="5C0180A7" w14:textId="77777777" w:rsidR="00E90EDD" w:rsidRPr="006C2E33" w:rsidRDefault="0082315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66.4%</w:t>
            </w:r>
            <w:r w:rsidR="00E90EDD" w:rsidRPr="006C2E33">
              <w:rPr>
                <w:rFonts w:asciiTheme="minorHAnsi" w:eastAsia="Times New Roman" w:hAnsiTheme="minorHAnsi"/>
                <w:iCs/>
                <w:color w:val="auto"/>
                <w:szCs w:val="17"/>
                <w:lang w:eastAsia="en-US"/>
              </w:rPr>
              <w:t xml:space="preserve"> </w:t>
            </w:r>
          </w:p>
        </w:tc>
        <w:tc>
          <w:tcPr>
            <w:tcW w:w="2034" w:type="dxa"/>
            <w:tcBorders>
              <w:top w:val="nil"/>
              <w:left w:val="nil"/>
              <w:bottom w:val="nil"/>
              <w:right w:val="nil"/>
            </w:tcBorders>
          </w:tcPr>
          <w:p w14:paraId="40B1653A" w14:textId="77777777" w:rsidR="00E90EDD" w:rsidRPr="006C2E33" w:rsidRDefault="00962FD3"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Progress toward SIG’s 2020 target of</w:t>
            </w:r>
            <w:r w:rsidR="005F1651" w:rsidRPr="006C2E33">
              <w:rPr>
                <w:rFonts w:asciiTheme="minorHAnsi" w:eastAsia="Times New Roman" w:hAnsiTheme="minorHAnsi"/>
                <w:iCs/>
                <w:color w:val="auto"/>
                <w:szCs w:val="17"/>
                <w:lang w:eastAsia="en-US"/>
              </w:rPr>
              <w:t xml:space="preserve"> 85%, from 75.6%**</w:t>
            </w:r>
          </w:p>
        </w:tc>
        <w:tc>
          <w:tcPr>
            <w:tcW w:w="2035" w:type="dxa"/>
            <w:tcBorders>
              <w:top w:val="nil"/>
              <w:left w:val="nil"/>
              <w:bottom w:val="nil"/>
              <w:right w:val="nil"/>
            </w:tcBorders>
          </w:tcPr>
          <w:p w14:paraId="708544C0" w14:textId="77777777" w:rsidR="00962FD3" w:rsidRPr="006C2E33" w:rsidRDefault="00962FD3"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Progress toward SIG’s 2020 target of 85%, from 75.6% **</w:t>
            </w:r>
          </w:p>
        </w:tc>
        <w:tc>
          <w:tcPr>
            <w:tcW w:w="2035" w:type="dxa"/>
            <w:tcBorders>
              <w:top w:val="nil"/>
              <w:left w:val="nil"/>
              <w:bottom w:val="nil"/>
              <w:right w:val="nil"/>
            </w:tcBorders>
          </w:tcPr>
          <w:p w14:paraId="43AB5C0E" w14:textId="77777777" w:rsidR="00E90EDD" w:rsidRPr="006C2E33" w:rsidRDefault="00962FD3"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Progress toward SIG’s 2020 target of 85%, from 75.6%**</w:t>
            </w:r>
          </w:p>
        </w:tc>
      </w:tr>
      <w:tr w:rsidR="00E90EDD" w14:paraId="53C7B032" w14:textId="77777777" w:rsidTr="006C2E33">
        <w:trPr>
          <w:trHeight w:val="227"/>
        </w:trPr>
        <w:tc>
          <w:tcPr>
            <w:tcW w:w="2034" w:type="dxa"/>
            <w:tcBorders>
              <w:top w:val="nil"/>
              <w:left w:val="nil"/>
              <w:bottom w:val="single" w:sz="12" w:space="0" w:color="auto"/>
              <w:right w:val="nil"/>
            </w:tcBorders>
            <w:hideMark/>
          </w:tcPr>
          <w:p w14:paraId="71CD6713" w14:textId="77777777" w:rsidR="00E90EDD" w:rsidRPr="006C2E33" w:rsidRDefault="00E90EDD"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Increase in</w:t>
            </w:r>
            <w:r w:rsidR="005F1651" w:rsidRPr="006C2E33">
              <w:rPr>
                <w:rFonts w:asciiTheme="minorHAnsi" w:eastAsia="Times New Roman" w:hAnsiTheme="minorHAnsi"/>
                <w:i/>
                <w:iCs/>
                <w:color w:val="auto"/>
                <w:szCs w:val="17"/>
                <w:lang w:eastAsia="en-US"/>
              </w:rPr>
              <w:t xml:space="preserve"> percentage of teachers trained</w:t>
            </w:r>
          </w:p>
        </w:tc>
        <w:tc>
          <w:tcPr>
            <w:tcW w:w="2035" w:type="dxa"/>
            <w:tcBorders>
              <w:top w:val="nil"/>
              <w:left w:val="nil"/>
              <w:bottom w:val="single" w:sz="12" w:space="0" w:color="auto"/>
              <w:right w:val="nil"/>
            </w:tcBorders>
          </w:tcPr>
          <w:p w14:paraId="6FF83C76" w14:textId="77777777" w:rsidR="00E90EDD" w:rsidRPr="006C2E33" w:rsidRDefault="00E90EDD"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70% of teachers trained </w:t>
            </w:r>
          </w:p>
        </w:tc>
        <w:tc>
          <w:tcPr>
            <w:tcW w:w="2034" w:type="dxa"/>
            <w:tcBorders>
              <w:top w:val="nil"/>
              <w:left w:val="nil"/>
              <w:bottom w:val="single" w:sz="12" w:space="0" w:color="auto"/>
              <w:right w:val="nil"/>
            </w:tcBorders>
          </w:tcPr>
          <w:p w14:paraId="21345EC0" w14:textId="77777777" w:rsidR="00E90EDD" w:rsidRPr="006C2E33" w:rsidRDefault="00962FD3"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85</w:t>
            </w:r>
            <w:r w:rsidR="005F1651" w:rsidRPr="006C2E33">
              <w:rPr>
                <w:rFonts w:asciiTheme="minorHAnsi" w:eastAsia="Times New Roman" w:hAnsiTheme="minorHAnsi"/>
                <w:iCs/>
                <w:color w:val="auto"/>
                <w:szCs w:val="17"/>
                <w:lang w:eastAsia="en-US"/>
              </w:rPr>
              <w:t>% of teachers trained</w:t>
            </w:r>
          </w:p>
        </w:tc>
        <w:tc>
          <w:tcPr>
            <w:tcW w:w="2035" w:type="dxa"/>
            <w:tcBorders>
              <w:top w:val="nil"/>
              <w:left w:val="nil"/>
              <w:bottom w:val="single" w:sz="12" w:space="0" w:color="auto"/>
              <w:right w:val="nil"/>
            </w:tcBorders>
          </w:tcPr>
          <w:p w14:paraId="7123A42B" w14:textId="77777777" w:rsidR="00E90EDD" w:rsidRPr="006C2E33" w:rsidRDefault="00962FD3"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90</w:t>
            </w:r>
            <w:r w:rsidR="005F1651" w:rsidRPr="006C2E33">
              <w:rPr>
                <w:rFonts w:asciiTheme="minorHAnsi" w:eastAsia="Times New Roman" w:hAnsiTheme="minorHAnsi"/>
                <w:iCs/>
                <w:color w:val="auto"/>
                <w:szCs w:val="17"/>
                <w:lang w:eastAsia="en-US"/>
              </w:rPr>
              <w:t>% of teachers trained</w:t>
            </w:r>
          </w:p>
        </w:tc>
        <w:tc>
          <w:tcPr>
            <w:tcW w:w="2035" w:type="dxa"/>
            <w:tcBorders>
              <w:top w:val="nil"/>
              <w:left w:val="nil"/>
              <w:bottom w:val="single" w:sz="12" w:space="0" w:color="auto"/>
              <w:right w:val="nil"/>
            </w:tcBorders>
          </w:tcPr>
          <w:p w14:paraId="7F5DFD34" w14:textId="77777777" w:rsidR="00E90EDD" w:rsidRPr="006C2E33" w:rsidRDefault="00962FD3"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95</w:t>
            </w:r>
            <w:r w:rsidR="00E90EDD" w:rsidRPr="006C2E33">
              <w:rPr>
                <w:rFonts w:asciiTheme="minorHAnsi" w:eastAsia="Times New Roman" w:hAnsiTheme="minorHAnsi"/>
                <w:iCs/>
                <w:color w:val="auto"/>
                <w:szCs w:val="17"/>
                <w:lang w:eastAsia="en-US"/>
              </w:rPr>
              <w:t>%</w:t>
            </w:r>
            <w:r w:rsidR="00A02ABA" w:rsidRPr="006C2E33">
              <w:rPr>
                <w:rFonts w:asciiTheme="minorHAnsi" w:eastAsia="Times New Roman" w:hAnsiTheme="minorHAnsi"/>
                <w:iCs/>
                <w:color w:val="auto"/>
                <w:szCs w:val="17"/>
                <w:lang w:eastAsia="en-US"/>
              </w:rPr>
              <w:t xml:space="preserve"> </w:t>
            </w:r>
            <w:r w:rsidR="005F1651" w:rsidRPr="006C2E33">
              <w:rPr>
                <w:rFonts w:asciiTheme="minorHAnsi" w:eastAsia="Times New Roman" w:hAnsiTheme="minorHAnsi"/>
                <w:iCs/>
                <w:color w:val="auto"/>
                <w:szCs w:val="17"/>
                <w:lang w:eastAsia="en-US"/>
              </w:rPr>
              <w:t>of teachers trained</w:t>
            </w:r>
          </w:p>
        </w:tc>
      </w:tr>
    </w:tbl>
    <w:p w14:paraId="2EBF5531" w14:textId="77777777" w:rsidR="00776E22" w:rsidRDefault="00776E22" w:rsidP="002C5FB1">
      <w:pPr>
        <w:pStyle w:val="Heading2"/>
        <w:spacing w:before="120" w:line="20" w:lineRule="atLeast"/>
        <w:rPr>
          <w:rFonts w:asciiTheme="minorHAnsi" w:hAnsiTheme="minorHAnsi"/>
          <w:iCs/>
          <w:caps w:val="0"/>
          <w:sz w:val="18"/>
          <w:szCs w:val="18"/>
        </w:rPr>
      </w:pPr>
      <w:r w:rsidRPr="00252A24">
        <w:rPr>
          <w:rFonts w:asciiTheme="minorHAnsi" w:hAnsiTheme="minorHAnsi"/>
          <w:i/>
          <w:iCs/>
          <w:sz w:val="18"/>
          <w:szCs w:val="18"/>
        </w:rPr>
        <w:t xml:space="preserve"># </w:t>
      </w:r>
      <w:r w:rsidRPr="00252A24">
        <w:rPr>
          <w:rFonts w:asciiTheme="minorHAnsi" w:hAnsiTheme="minorHAnsi"/>
          <w:iCs/>
          <w:caps w:val="0"/>
          <w:sz w:val="18"/>
          <w:szCs w:val="18"/>
        </w:rPr>
        <w:t>numbers of other law and justice officials only.</w:t>
      </w:r>
    </w:p>
    <w:p w14:paraId="7D340945" w14:textId="77777777" w:rsidR="001D39A3" w:rsidRDefault="00747D51" w:rsidP="002C5FB1">
      <w:pPr>
        <w:pStyle w:val="Heading2"/>
        <w:spacing w:before="120" w:line="20" w:lineRule="atLeast"/>
        <w:rPr>
          <w:rFonts w:asciiTheme="minorHAnsi" w:eastAsiaTheme="minorHAnsi" w:hAnsiTheme="minorHAnsi" w:cstheme="minorBidi"/>
          <w:caps w:val="0"/>
          <w:sz w:val="18"/>
          <w:szCs w:val="18"/>
        </w:rPr>
      </w:pPr>
      <w:r w:rsidRPr="00252A24">
        <w:rPr>
          <w:rFonts w:asciiTheme="minorHAnsi" w:eastAsiaTheme="minorHAnsi" w:hAnsiTheme="minorHAnsi" w:cstheme="minorBidi"/>
          <w:caps w:val="0"/>
          <w:sz w:val="18"/>
          <w:szCs w:val="18"/>
        </w:rPr>
        <w:t>*</w:t>
      </w:r>
      <w:r w:rsidR="00962FD3">
        <w:rPr>
          <w:rFonts w:asciiTheme="minorHAnsi" w:eastAsiaTheme="minorHAnsi" w:hAnsiTheme="minorHAnsi" w:cstheme="minorBidi"/>
          <w:caps w:val="0"/>
          <w:sz w:val="18"/>
          <w:szCs w:val="18"/>
        </w:rPr>
        <w:t>*</w:t>
      </w:r>
      <w:r w:rsidRPr="00252A24">
        <w:rPr>
          <w:rFonts w:asciiTheme="minorHAnsi" w:eastAsiaTheme="minorHAnsi" w:hAnsiTheme="minorHAnsi" w:cstheme="minorBidi"/>
          <w:caps w:val="0"/>
          <w:sz w:val="18"/>
          <w:szCs w:val="18"/>
        </w:rPr>
        <w:t>Solomon Islands Standardised Test of Achievement (SISTA) survey takes place every three years</w:t>
      </w:r>
      <w:r w:rsidR="00A262EE">
        <w:rPr>
          <w:rFonts w:asciiTheme="minorHAnsi" w:eastAsiaTheme="minorHAnsi" w:hAnsiTheme="minorHAnsi" w:cstheme="minorBidi"/>
          <w:caps w:val="0"/>
          <w:sz w:val="18"/>
          <w:szCs w:val="18"/>
        </w:rPr>
        <w:t xml:space="preserve">. </w:t>
      </w:r>
      <w:r w:rsidR="00FA0D13">
        <w:rPr>
          <w:rFonts w:asciiTheme="minorHAnsi" w:eastAsiaTheme="minorHAnsi" w:hAnsiTheme="minorHAnsi" w:cstheme="minorBidi"/>
          <w:caps w:val="0"/>
          <w:sz w:val="18"/>
          <w:szCs w:val="18"/>
        </w:rPr>
        <w:t>The Solo</w:t>
      </w:r>
      <w:r w:rsidR="00C01248">
        <w:rPr>
          <w:rFonts w:asciiTheme="minorHAnsi" w:eastAsiaTheme="minorHAnsi" w:hAnsiTheme="minorHAnsi" w:cstheme="minorBidi"/>
          <w:caps w:val="0"/>
          <w:sz w:val="18"/>
          <w:szCs w:val="18"/>
        </w:rPr>
        <w:t>mon Islands Government has set</w:t>
      </w:r>
      <w:r w:rsidR="00FA0D13">
        <w:rPr>
          <w:rFonts w:asciiTheme="minorHAnsi" w:eastAsiaTheme="minorHAnsi" w:hAnsiTheme="minorHAnsi" w:cstheme="minorBidi"/>
          <w:caps w:val="0"/>
          <w:sz w:val="18"/>
          <w:szCs w:val="18"/>
        </w:rPr>
        <w:t xml:space="preserve"> </w:t>
      </w:r>
      <w:r w:rsidR="00705401">
        <w:rPr>
          <w:rFonts w:asciiTheme="minorHAnsi" w:eastAsiaTheme="minorHAnsi" w:hAnsiTheme="minorHAnsi" w:cstheme="minorBidi"/>
          <w:caps w:val="0"/>
          <w:sz w:val="18"/>
          <w:szCs w:val="18"/>
        </w:rPr>
        <w:t>target</w:t>
      </w:r>
      <w:r w:rsidR="00C01248">
        <w:rPr>
          <w:rFonts w:asciiTheme="minorHAnsi" w:eastAsiaTheme="minorHAnsi" w:hAnsiTheme="minorHAnsi" w:cstheme="minorBidi"/>
          <w:caps w:val="0"/>
          <w:sz w:val="18"/>
          <w:szCs w:val="18"/>
        </w:rPr>
        <w:t>s</w:t>
      </w:r>
      <w:r w:rsidR="00705401">
        <w:rPr>
          <w:rFonts w:asciiTheme="minorHAnsi" w:eastAsiaTheme="minorHAnsi" w:hAnsiTheme="minorHAnsi" w:cstheme="minorBidi"/>
          <w:caps w:val="0"/>
          <w:sz w:val="18"/>
          <w:szCs w:val="18"/>
        </w:rPr>
        <w:t xml:space="preserve"> for 2020</w:t>
      </w:r>
      <w:r w:rsidR="00C01248">
        <w:rPr>
          <w:rFonts w:asciiTheme="minorHAnsi" w:eastAsiaTheme="minorHAnsi" w:hAnsiTheme="minorHAnsi" w:cstheme="minorBidi"/>
          <w:caps w:val="0"/>
          <w:sz w:val="18"/>
          <w:szCs w:val="18"/>
        </w:rPr>
        <w:t xml:space="preserve"> that 100% of teachers will be trained and</w:t>
      </w:r>
      <w:r w:rsidR="00705401">
        <w:rPr>
          <w:rFonts w:asciiTheme="minorHAnsi" w:eastAsiaTheme="minorHAnsi" w:hAnsiTheme="minorHAnsi" w:cstheme="minorBidi"/>
          <w:caps w:val="0"/>
          <w:sz w:val="18"/>
          <w:szCs w:val="18"/>
        </w:rPr>
        <w:t xml:space="preserve"> </w:t>
      </w:r>
      <w:r w:rsidR="00FA0D13">
        <w:rPr>
          <w:rFonts w:asciiTheme="minorHAnsi" w:eastAsiaTheme="minorHAnsi" w:hAnsiTheme="minorHAnsi" w:cstheme="minorBidi"/>
          <w:caps w:val="0"/>
          <w:sz w:val="18"/>
          <w:szCs w:val="18"/>
        </w:rPr>
        <w:t xml:space="preserve">that </w:t>
      </w:r>
      <w:r w:rsidR="00705401">
        <w:rPr>
          <w:rFonts w:asciiTheme="minorHAnsi" w:eastAsiaTheme="minorHAnsi" w:hAnsiTheme="minorHAnsi" w:cstheme="minorBidi"/>
          <w:caps w:val="0"/>
          <w:sz w:val="18"/>
          <w:szCs w:val="18"/>
        </w:rPr>
        <w:t xml:space="preserve">85% </w:t>
      </w:r>
      <w:r w:rsidR="00FA0D13">
        <w:rPr>
          <w:rFonts w:asciiTheme="minorHAnsi" w:eastAsiaTheme="minorHAnsi" w:hAnsiTheme="minorHAnsi" w:cstheme="minorBidi"/>
          <w:caps w:val="0"/>
          <w:sz w:val="18"/>
          <w:szCs w:val="18"/>
        </w:rPr>
        <w:t xml:space="preserve">of year 4 and year 6 students </w:t>
      </w:r>
      <w:r w:rsidR="00705401">
        <w:rPr>
          <w:rFonts w:asciiTheme="minorHAnsi" w:eastAsiaTheme="minorHAnsi" w:hAnsiTheme="minorHAnsi" w:cstheme="minorBidi"/>
          <w:caps w:val="0"/>
          <w:sz w:val="18"/>
          <w:szCs w:val="18"/>
        </w:rPr>
        <w:t>achieve minimum proficiency for literacy and numeracy</w:t>
      </w:r>
      <w:r w:rsidR="00FA0D13">
        <w:rPr>
          <w:rFonts w:asciiTheme="minorHAnsi" w:eastAsiaTheme="minorHAnsi" w:hAnsiTheme="minorHAnsi" w:cstheme="minorBidi"/>
          <w:caps w:val="0"/>
          <w:sz w:val="18"/>
          <w:szCs w:val="18"/>
        </w:rPr>
        <w:t>.</w:t>
      </w:r>
    </w:p>
    <w:p w14:paraId="50549F6A" w14:textId="77777777" w:rsidR="001D39A3" w:rsidRDefault="005F1651" w:rsidP="002C5FB1">
      <w:pPr>
        <w:pStyle w:val="Heading2"/>
        <w:spacing w:before="120" w:line="20" w:lineRule="atLeast"/>
        <w:rPr>
          <w:rFonts w:asciiTheme="minorHAnsi" w:eastAsiaTheme="minorHAnsi" w:hAnsiTheme="minorHAnsi" w:cstheme="minorBidi"/>
          <w:caps w:val="0"/>
          <w:sz w:val="18"/>
          <w:szCs w:val="18"/>
        </w:rPr>
      </w:pPr>
      <w:r>
        <w:rPr>
          <w:rFonts w:asciiTheme="minorHAnsi" w:eastAsiaTheme="minorHAnsi" w:hAnsiTheme="minorHAnsi" w:cstheme="minorBidi"/>
          <w:caps w:val="0"/>
          <w:sz w:val="18"/>
          <w:szCs w:val="18"/>
        </w:rPr>
        <w:t>~</w:t>
      </w:r>
      <w:r w:rsidR="001D39A3">
        <w:rPr>
          <w:rFonts w:asciiTheme="minorHAnsi" w:eastAsiaTheme="minorHAnsi" w:hAnsiTheme="minorHAnsi" w:cstheme="minorBidi"/>
          <w:caps w:val="0"/>
          <w:sz w:val="18"/>
          <w:szCs w:val="18"/>
        </w:rPr>
        <w:t xml:space="preserve"> note this target has been </w:t>
      </w:r>
      <w:r w:rsidR="001D39A3" w:rsidRPr="0052380A">
        <w:rPr>
          <w:rFonts w:asciiTheme="minorHAnsi" w:eastAsiaTheme="minorHAnsi" w:hAnsiTheme="minorHAnsi" w:cstheme="minorBidi"/>
          <w:i/>
          <w:caps w:val="0"/>
          <w:sz w:val="18"/>
          <w:szCs w:val="18"/>
        </w:rPr>
        <w:t>reduced</w:t>
      </w:r>
      <w:r w:rsidR="001D39A3">
        <w:rPr>
          <w:rFonts w:asciiTheme="minorHAnsi" w:eastAsiaTheme="minorHAnsi" w:hAnsiTheme="minorHAnsi" w:cstheme="minorBidi"/>
          <w:caps w:val="0"/>
          <w:sz w:val="18"/>
          <w:szCs w:val="18"/>
        </w:rPr>
        <w:t xml:space="preserve"> in forward years to align more closely with anticipated </w:t>
      </w:r>
      <w:r w:rsidR="00867434">
        <w:rPr>
          <w:rFonts w:asciiTheme="minorHAnsi" w:eastAsiaTheme="minorHAnsi" w:hAnsiTheme="minorHAnsi" w:cstheme="minorBidi"/>
          <w:caps w:val="0"/>
          <w:sz w:val="18"/>
          <w:szCs w:val="18"/>
        </w:rPr>
        <w:t xml:space="preserve">lower </w:t>
      </w:r>
      <w:r w:rsidR="001D39A3">
        <w:rPr>
          <w:rFonts w:asciiTheme="minorHAnsi" w:eastAsiaTheme="minorHAnsi" w:hAnsiTheme="minorHAnsi" w:cstheme="minorBidi"/>
          <w:caps w:val="0"/>
          <w:sz w:val="18"/>
          <w:szCs w:val="18"/>
        </w:rPr>
        <w:t>program outcomes</w:t>
      </w:r>
      <w:r w:rsidR="00962FD3">
        <w:rPr>
          <w:rFonts w:asciiTheme="minorHAnsi" w:eastAsiaTheme="minorHAnsi" w:hAnsiTheme="minorHAnsi" w:cstheme="minorBidi"/>
          <w:caps w:val="0"/>
          <w:sz w:val="18"/>
          <w:szCs w:val="18"/>
        </w:rPr>
        <w:t xml:space="preserve"> </w:t>
      </w:r>
      <w:r w:rsidR="001D39A3">
        <w:rPr>
          <w:rFonts w:asciiTheme="minorHAnsi" w:eastAsiaTheme="minorHAnsi" w:hAnsiTheme="minorHAnsi" w:cstheme="minorBidi"/>
          <w:caps w:val="0"/>
          <w:sz w:val="18"/>
          <w:szCs w:val="18"/>
        </w:rPr>
        <w:t xml:space="preserve">following </w:t>
      </w:r>
      <w:r w:rsidR="00891719">
        <w:rPr>
          <w:rFonts w:asciiTheme="minorHAnsi" w:eastAsiaTheme="minorHAnsi" w:hAnsiTheme="minorHAnsi" w:cstheme="minorBidi"/>
          <w:caps w:val="0"/>
          <w:sz w:val="18"/>
          <w:szCs w:val="18"/>
        </w:rPr>
        <w:t xml:space="preserve">commencement of </w:t>
      </w:r>
      <w:r w:rsidR="001D39A3">
        <w:rPr>
          <w:rFonts w:asciiTheme="minorHAnsi" w:eastAsiaTheme="minorHAnsi" w:hAnsiTheme="minorHAnsi" w:cstheme="minorBidi"/>
          <w:caps w:val="0"/>
          <w:sz w:val="18"/>
          <w:szCs w:val="18"/>
        </w:rPr>
        <w:t>program implementation.</w:t>
      </w:r>
    </w:p>
    <w:p w14:paraId="59748F61" w14:textId="77777777" w:rsidR="00747D51" w:rsidRPr="00252A24" w:rsidRDefault="001D39A3" w:rsidP="002C5FB1">
      <w:pPr>
        <w:pStyle w:val="Heading2"/>
        <w:spacing w:before="120" w:line="20" w:lineRule="atLeast"/>
        <w:rPr>
          <w:rFonts w:asciiTheme="minorHAnsi" w:eastAsiaTheme="minorHAnsi" w:hAnsiTheme="minorHAnsi" w:cstheme="minorBidi"/>
          <w:caps w:val="0"/>
          <w:sz w:val="18"/>
          <w:szCs w:val="18"/>
        </w:rPr>
      </w:pPr>
      <w:r>
        <w:rPr>
          <w:rFonts w:asciiTheme="minorHAnsi" w:eastAsiaTheme="minorHAnsi" w:hAnsiTheme="minorHAnsi" w:cstheme="minorBidi"/>
          <w:caps w:val="0"/>
          <w:sz w:val="18"/>
          <w:szCs w:val="18"/>
        </w:rPr>
        <w:t xml:space="preserve">^ note these targets have been </w:t>
      </w:r>
      <w:r w:rsidRPr="0052380A">
        <w:rPr>
          <w:rFonts w:asciiTheme="minorHAnsi" w:eastAsiaTheme="minorHAnsi" w:hAnsiTheme="minorHAnsi" w:cstheme="minorBidi"/>
          <w:i/>
          <w:caps w:val="0"/>
          <w:sz w:val="18"/>
          <w:szCs w:val="18"/>
        </w:rPr>
        <w:t>increased</w:t>
      </w:r>
      <w:r>
        <w:rPr>
          <w:rFonts w:asciiTheme="minorHAnsi" w:eastAsiaTheme="minorHAnsi" w:hAnsiTheme="minorHAnsi" w:cstheme="minorBidi"/>
          <w:caps w:val="0"/>
          <w:sz w:val="18"/>
          <w:szCs w:val="18"/>
        </w:rPr>
        <w:t xml:space="preserve"> </w:t>
      </w:r>
      <w:r w:rsidR="0052380A" w:rsidRPr="0052380A">
        <w:rPr>
          <w:rFonts w:asciiTheme="minorHAnsi" w:eastAsiaTheme="minorHAnsi" w:hAnsiTheme="minorHAnsi" w:cstheme="minorBidi"/>
          <w:i/>
          <w:caps w:val="0"/>
          <w:sz w:val="18"/>
          <w:szCs w:val="18"/>
        </w:rPr>
        <w:t>and varied</w:t>
      </w:r>
      <w:r w:rsidR="0052380A">
        <w:rPr>
          <w:rFonts w:asciiTheme="minorHAnsi" w:eastAsiaTheme="minorHAnsi" w:hAnsiTheme="minorHAnsi" w:cstheme="minorBidi"/>
          <w:caps w:val="0"/>
          <w:sz w:val="18"/>
          <w:szCs w:val="18"/>
        </w:rPr>
        <w:t xml:space="preserve"> i</w:t>
      </w:r>
      <w:r>
        <w:rPr>
          <w:rFonts w:asciiTheme="minorHAnsi" w:eastAsiaTheme="minorHAnsi" w:hAnsiTheme="minorHAnsi" w:cstheme="minorBidi"/>
          <w:caps w:val="0"/>
          <w:sz w:val="18"/>
          <w:szCs w:val="18"/>
        </w:rPr>
        <w:t>n forward years to align more closely wi</w:t>
      </w:r>
      <w:r w:rsidR="00874F0D">
        <w:rPr>
          <w:rFonts w:asciiTheme="minorHAnsi" w:eastAsiaTheme="minorHAnsi" w:hAnsiTheme="minorHAnsi" w:cstheme="minorBidi"/>
          <w:caps w:val="0"/>
          <w:sz w:val="18"/>
          <w:szCs w:val="18"/>
        </w:rPr>
        <w:t>th anticipated program outcomes.</w:t>
      </w:r>
    </w:p>
    <w:p w14:paraId="6756FE73" w14:textId="77777777" w:rsidR="00B34E04" w:rsidRDefault="00B34E04" w:rsidP="002A51CA">
      <w:pPr>
        <w:pStyle w:val="Heading2"/>
      </w:pPr>
    </w:p>
    <w:p w14:paraId="0394C35C" w14:textId="630C3B97" w:rsidR="002A51CA" w:rsidRDefault="002A51CA" w:rsidP="002A51CA">
      <w:pPr>
        <w:pStyle w:val="Heading2"/>
      </w:pPr>
      <w:r>
        <w:t>Mutual obligations</w:t>
      </w:r>
    </w:p>
    <w:p w14:paraId="7D174BBA" w14:textId="77777777" w:rsidR="00B60588" w:rsidRPr="002B2BE0" w:rsidRDefault="00B60588" w:rsidP="002B2BE0">
      <w:pPr>
        <w:spacing w:after="120" w:line="280" w:lineRule="exact"/>
        <w:rPr>
          <w:rFonts w:eastAsia="Times New Roman"/>
        </w:rPr>
      </w:pPr>
      <w:r w:rsidRPr="002B2BE0">
        <w:rPr>
          <w:rFonts w:eastAsia="Times New Roman"/>
        </w:rPr>
        <w:t>Australia and Solomon Islands have formally agree</w:t>
      </w:r>
      <w:r w:rsidR="007F7892">
        <w:rPr>
          <w:rFonts w:eastAsia="Times New Roman"/>
        </w:rPr>
        <w:t>d</w:t>
      </w:r>
      <w:r w:rsidRPr="002B2BE0">
        <w:rPr>
          <w:rFonts w:eastAsia="Times New Roman"/>
        </w:rPr>
        <w:t xml:space="preserve"> mutual obligations in the areas of health, education, transport infrastructure and governance. In targeting priority issues such as quality of expenditure, Government ownership and evidence-based decision-making, these arrangements have been a valuable foundation for policy dialogue and addressing impediments to improving performance. </w:t>
      </w:r>
      <w:r w:rsidR="00037E2C" w:rsidRPr="002B2BE0">
        <w:rPr>
          <w:rFonts w:eastAsia="Times New Roman"/>
        </w:rPr>
        <w:t>Performance against these obligations was varied in 2015-16.</w:t>
      </w:r>
    </w:p>
    <w:p w14:paraId="01C11E54" w14:textId="77777777" w:rsidR="00B60588" w:rsidRPr="002B2BE0" w:rsidRDefault="00B60588" w:rsidP="002B2BE0">
      <w:pPr>
        <w:spacing w:after="120" w:line="280" w:lineRule="exact"/>
        <w:rPr>
          <w:rFonts w:eastAsia="Times New Roman"/>
        </w:rPr>
      </w:pPr>
      <w:r w:rsidRPr="002B2BE0">
        <w:rPr>
          <w:rFonts w:eastAsia="Times New Roman"/>
        </w:rPr>
        <w:t xml:space="preserve">In </w:t>
      </w:r>
      <w:r w:rsidRPr="002B2BE0">
        <w:rPr>
          <w:rFonts w:eastAsia="Times New Roman"/>
          <w:b/>
        </w:rPr>
        <w:t>education</w:t>
      </w:r>
      <w:r w:rsidRPr="002B2BE0">
        <w:rPr>
          <w:rFonts w:eastAsia="Times New Roman"/>
        </w:rPr>
        <w:t xml:space="preserve">, </w:t>
      </w:r>
      <w:r w:rsidR="00037E2C" w:rsidRPr="002B2BE0">
        <w:rPr>
          <w:rFonts w:eastAsia="Times New Roman"/>
        </w:rPr>
        <w:t>the Ministry of Education and Human Resource Development</w:t>
      </w:r>
      <w:r w:rsidR="0044241C" w:rsidRPr="002B2BE0">
        <w:rPr>
          <w:rFonts w:eastAsia="Times New Roman"/>
        </w:rPr>
        <w:t xml:space="preserve"> </w:t>
      </w:r>
      <w:r w:rsidR="005E036E">
        <w:rPr>
          <w:rFonts w:eastAsia="Times New Roman"/>
        </w:rPr>
        <w:t xml:space="preserve">(MEHRD) </w:t>
      </w:r>
      <w:r w:rsidR="0044241C" w:rsidRPr="002B2BE0">
        <w:rPr>
          <w:rFonts w:eastAsia="Times New Roman"/>
        </w:rPr>
        <w:t xml:space="preserve">achieved </w:t>
      </w:r>
      <w:r w:rsidR="00487C2A" w:rsidRPr="002B2BE0">
        <w:rPr>
          <w:rFonts w:eastAsia="Times New Roman"/>
        </w:rPr>
        <w:t>55 per cent of the jointly agreed</w:t>
      </w:r>
      <w:r w:rsidR="0044241C" w:rsidRPr="002B2BE0">
        <w:rPr>
          <w:rFonts w:eastAsia="Times New Roman"/>
        </w:rPr>
        <w:t xml:space="preserve"> tar</w:t>
      </w:r>
      <w:r w:rsidR="00A5166F" w:rsidRPr="002B2BE0">
        <w:rPr>
          <w:rFonts w:eastAsia="Times New Roman"/>
        </w:rPr>
        <w:t>gets</w:t>
      </w:r>
      <w:r w:rsidR="002848CA">
        <w:rPr>
          <w:rFonts w:eastAsia="Times New Roman"/>
        </w:rPr>
        <w:t>, making progress in all areas.</w:t>
      </w:r>
      <w:r w:rsidRPr="002B2BE0">
        <w:rPr>
          <w:rFonts w:eastAsia="Times New Roman"/>
        </w:rPr>
        <w:t xml:space="preserve"> </w:t>
      </w:r>
      <w:r w:rsidR="005E036E">
        <w:rPr>
          <w:rFonts w:eastAsia="Times New Roman"/>
        </w:rPr>
        <w:t xml:space="preserve">The Solomon Islands Government allocated 23 per cent of </w:t>
      </w:r>
      <w:r w:rsidR="00ED2759">
        <w:rPr>
          <w:rFonts w:eastAsia="Times New Roman"/>
        </w:rPr>
        <w:t>its</w:t>
      </w:r>
      <w:r w:rsidR="005E036E">
        <w:rPr>
          <w:rFonts w:eastAsia="Times New Roman"/>
        </w:rPr>
        <w:t xml:space="preserve"> 2015 </w:t>
      </w:r>
      <w:r w:rsidR="00ED2759">
        <w:rPr>
          <w:rFonts w:eastAsia="Times New Roman"/>
        </w:rPr>
        <w:t>recurrent</w:t>
      </w:r>
      <w:r w:rsidR="005E036E">
        <w:rPr>
          <w:rFonts w:eastAsia="Times New Roman"/>
        </w:rPr>
        <w:t xml:space="preserve"> budget to education, exceeding the target of 22 per cent</w:t>
      </w:r>
      <w:r w:rsidR="00234AE7">
        <w:rPr>
          <w:rFonts w:eastAsia="Times New Roman"/>
        </w:rPr>
        <w:t>.</w:t>
      </w:r>
      <w:r w:rsidR="005E036E">
        <w:rPr>
          <w:rFonts w:eastAsia="Times New Roman"/>
        </w:rPr>
        <w:t xml:space="preserve"> </w:t>
      </w:r>
      <w:r w:rsidRPr="002B2BE0">
        <w:rPr>
          <w:rFonts w:eastAsia="Times New Roman"/>
        </w:rPr>
        <w:t xml:space="preserve">While improvements in expenditure quality, teacher training and student learning outcomes were realised, substantial overspends </w:t>
      </w:r>
      <w:r w:rsidR="007F7892">
        <w:rPr>
          <w:rFonts w:eastAsia="Times New Roman"/>
        </w:rPr>
        <w:t>on</w:t>
      </w:r>
      <w:r w:rsidRPr="002B2BE0">
        <w:rPr>
          <w:rFonts w:eastAsia="Times New Roman"/>
        </w:rPr>
        <w:t xml:space="preserve"> tertiary scholarship</w:t>
      </w:r>
      <w:r w:rsidR="007F7892">
        <w:rPr>
          <w:rFonts w:eastAsia="Times New Roman"/>
        </w:rPr>
        <w:t>s</w:t>
      </w:r>
      <w:r w:rsidRPr="002B2BE0">
        <w:rPr>
          <w:rFonts w:eastAsia="Times New Roman"/>
        </w:rPr>
        <w:t xml:space="preserve"> and low retirement rates of school grants meant some </w:t>
      </w:r>
      <w:r w:rsidR="005E036E">
        <w:rPr>
          <w:rFonts w:eastAsia="Times New Roman"/>
        </w:rPr>
        <w:t>targets</w:t>
      </w:r>
      <w:r w:rsidR="005E036E" w:rsidRPr="002B2BE0">
        <w:rPr>
          <w:rFonts w:eastAsia="Times New Roman"/>
        </w:rPr>
        <w:t xml:space="preserve"> </w:t>
      </w:r>
      <w:r w:rsidR="00874F0D">
        <w:rPr>
          <w:rFonts w:eastAsia="Times New Roman"/>
        </w:rPr>
        <w:t>were only partially attained.</w:t>
      </w:r>
    </w:p>
    <w:p w14:paraId="68B52473" w14:textId="77777777" w:rsidR="00B60588" w:rsidRPr="002B2BE0" w:rsidRDefault="00B60588" w:rsidP="002B2BE0">
      <w:pPr>
        <w:spacing w:after="120" w:line="280" w:lineRule="exact"/>
        <w:rPr>
          <w:rFonts w:eastAsia="Times New Roman"/>
        </w:rPr>
      </w:pPr>
      <w:r w:rsidRPr="002B2BE0">
        <w:rPr>
          <w:rFonts w:eastAsia="Times New Roman"/>
        </w:rPr>
        <w:t>Australia tie</w:t>
      </w:r>
      <w:r w:rsidR="00037E2C" w:rsidRPr="002B2BE0">
        <w:rPr>
          <w:rFonts w:eastAsia="Times New Roman"/>
        </w:rPr>
        <w:t>s</w:t>
      </w:r>
      <w:r w:rsidRPr="002B2BE0">
        <w:rPr>
          <w:rFonts w:eastAsia="Times New Roman"/>
        </w:rPr>
        <w:t xml:space="preserve"> 20 per cent of direct funding to the </w:t>
      </w:r>
      <w:r w:rsidRPr="002B2BE0">
        <w:rPr>
          <w:rFonts w:eastAsia="Times New Roman"/>
          <w:b/>
        </w:rPr>
        <w:t>health</w:t>
      </w:r>
      <w:r w:rsidRPr="002B2BE0">
        <w:rPr>
          <w:rFonts w:eastAsia="Times New Roman"/>
        </w:rPr>
        <w:t xml:space="preserve"> sector to the achievement of jointly agreed milestones in health service delivery and implementation of health system reforms. In 2015-16, the Ministry of Health and Medical Services achieved </w:t>
      </w:r>
      <w:r w:rsidR="00372C9F" w:rsidRPr="002B2BE0">
        <w:rPr>
          <w:rFonts w:eastAsia="Times New Roman"/>
        </w:rPr>
        <w:t>63</w:t>
      </w:r>
      <w:r w:rsidR="007B48FF" w:rsidRPr="002B2BE0">
        <w:rPr>
          <w:rFonts w:eastAsia="Times New Roman"/>
        </w:rPr>
        <w:t xml:space="preserve"> p</w:t>
      </w:r>
      <w:r w:rsidRPr="002B2BE0">
        <w:rPr>
          <w:rFonts w:eastAsia="Times New Roman"/>
        </w:rPr>
        <w:t xml:space="preserve">er cent of the jointly agreed performance milestones. Performance-linked aid motivated the Solomon Islands Government to </w:t>
      </w:r>
      <w:r w:rsidR="00037E2C" w:rsidRPr="002B2BE0">
        <w:rPr>
          <w:rFonts w:eastAsia="Times New Roman"/>
        </w:rPr>
        <w:t xml:space="preserve">allocate </w:t>
      </w:r>
      <w:r w:rsidRPr="002B2BE0">
        <w:rPr>
          <w:rFonts w:eastAsia="Times New Roman"/>
        </w:rPr>
        <w:t>1</w:t>
      </w:r>
      <w:r w:rsidR="00B05C32">
        <w:rPr>
          <w:rFonts w:eastAsia="Times New Roman"/>
        </w:rPr>
        <w:t>2</w:t>
      </w:r>
      <w:r w:rsidRPr="002B2BE0">
        <w:rPr>
          <w:rFonts w:eastAsia="Times New Roman"/>
        </w:rPr>
        <w:t xml:space="preserve"> per cent of </w:t>
      </w:r>
      <w:r w:rsidR="00B05C32">
        <w:rPr>
          <w:rFonts w:eastAsia="Times New Roman"/>
        </w:rPr>
        <w:t xml:space="preserve">its 2015 recurrent budget </w:t>
      </w:r>
      <w:r w:rsidRPr="002B2BE0">
        <w:rPr>
          <w:rFonts w:eastAsia="Times New Roman"/>
        </w:rPr>
        <w:t>to the health sector</w:t>
      </w:r>
      <w:r w:rsidR="00234AE7">
        <w:rPr>
          <w:rFonts w:eastAsia="Times New Roman"/>
        </w:rPr>
        <w:t xml:space="preserve"> (exceeding the target of 10%)</w:t>
      </w:r>
      <w:r w:rsidR="00037E2C" w:rsidRPr="002B2BE0">
        <w:rPr>
          <w:rFonts w:eastAsia="Times New Roman"/>
        </w:rPr>
        <w:t>;</w:t>
      </w:r>
      <w:r w:rsidRPr="002B2BE0">
        <w:rPr>
          <w:rFonts w:eastAsia="Times New Roman"/>
        </w:rPr>
        <w:t xml:space="preserve"> and </w:t>
      </w:r>
      <w:r w:rsidR="00037E2C" w:rsidRPr="002B2BE0">
        <w:rPr>
          <w:rFonts w:eastAsia="Times New Roman"/>
        </w:rPr>
        <w:t xml:space="preserve">provide </w:t>
      </w:r>
      <w:r w:rsidRPr="002B2BE0">
        <w:rPr>
          <w:rFonts w:eastAsia="Times New Roman"/>
        </w:rPr>
        <w:t xml:space="preserve">37 per cent of the recurrent health budget to the provinces. Improvements were seen in financial reporting and annual operational planning at the provincial level and in the delivery of outreach health services. Progress was slower in implementing national </w:t>
      </w:r>
      <w:r w:rsidR="00496EE9" w:rsidRPr="002B2BE0">
        <w:rPr>
          <w:rFonts w:eastAsia="Times New Roman"/>
        </w:rPr>
        <w:t>p</w:t>
      </w:r>
      <w:r w:rsidRPr="002B2BE0">
        <w:rPr>
          <w:rFonts w:eastAsia="Times New Roman"/>
        </w:rPr>
        <w:t>ublic financial and human resource management</w:t>
      </w:r>
      <w:r w:rsidR="00496EE9" w:rsidRPr="002B2BE0">
        <w:rPr>
          <w:rFonts w:eastAsia="Times New Roman"/>
        </w:rPr>
        <w:t xml:space="preserve"> reforms and</w:t>
      </w:r>
      <w:r w:rsidRPr="002B2BE0">
        <w:rPr>
          <w:rFonts w:eastAsia="Times New Roman"/>
        </w:rPr>
        <w:t xml:space="preserve"> resolving procurement bottlenecks.</w:t>
      </w:r>
    </w:p>
    <w:p w14:paraId="084448DE" w14:textId="77777777" w:rsidR="00286302" w:rsidRPr="002B2BE0" w:rsidRDefault="00366428" w:rsidP="002B2BE0">
      <w:pPr>
        <w:spacing w:after="120" w:line="280" w:lineRule="exact"/>
        <w:rPr>
          <w:rFonts w:eastAsia="Times New Roman"/>
        </w:rPr>
      </w:pPr>
      <w:r w:rsidRPr="002B2BE0">
        <w:rPr>
          <w:rFonts w:eastAsia="Times New Roman"/>
        </w:rPr>
        <w:t xml:space="preserve">In </w:t>
      </w:r>
      <w:r w:rsidRPr="002B2BE0">
        <w:rPr>
          <w:rFonts w:eastAsia="Times New Roman"/>
          <w:b/>
        </w:rPr>
        <w:t>transport</w:t>
      </w:r>
      <w:r w:rsidRPr="002B2BE0">
        <w:rPr>
          <w:rFonts w:eastAsia="Times New Roman"/>
        </w:rPr>
        <w:t>, the Solomon Islands Government exceeded its performance target and contributed SBD58.5 million to the National Transport Fund in 2015</w:t>
      </w:r>
      <w:r w:rsidR="002F4D18" w:rsidRPr="002B2BE0">
        <w:rPr>
          <w:rFonts w:eastAsia="Times New Roman"/>
        </w:rPr>
        <w:t xml:space="preserve"> (exceeding the </w:t>
      </w:r>
      <w:r w:rsidR="00286302" w:rsidRPr="002B2BE0">
        <w:rPr>
          <w:rFonts w:eastAsia="Times New Roman"/>
        </w:rPr>
        <w:t xml:space="preserve">target of </w:t>
      </w:r>
      <w:r w:rsidR="002F4D18" w:rsidRPr="002B2BE0">
        <w:rPr>
          <w:rFonts w:eastAsia="Times New Roman"/>
        </w:rPr>
        <w:t>SBD40 million)</w:t>
      </w:r>
      <w:r w:rsidRPr="002B2BE0">
        <w:rPr>
          <w:rFonts w:eastAsia="Times New Roman"/>
        </w:rPr>
        <w:t>.</w:t>
      </w:r>
    </w:p>
    <w:p w14:paraId="3EAC2525" w14:textId="77777777" w:rsidR="00085157" w:rsidRPr="002B2BE0" w:rsidRDefault="00256E08" w:rsidP="002B2BE0">
      <w:pPr>
        <w:spacing w:after="120" w:line="280" w:lineRule="exact"/>
        <w:rPr>
          <w:rFonts w:eastAsia="Times New Roman"/>
        </w:rPr>
      </w:pPr>
      <w:r w:rsidRPr="002B2BE0">
        <w:rPr>
          <w:rFonts w:eastAsia="Times New Roman"/>
        </w:rPr>
        <w:t xml:space="preserve">The </w:t>
      </w:r>
      <w:r w:rsidR="000E5078" w:rsidRPr="002B2BE0">
        <w:rPr>
          <w:rFonts w:eastAsia="Times New Roman"/>
          <w:b/>
        </w:rPr>
        <w:t xml:space="preserve">Core Economic </w:t>
      </w:r>
      <w:r w:rsidR="00096D60" w:rsidRPr="002B2BE0">
        <w:rPr>
          <w:rFonts w:eastAsia="Times New Roman"/>
          <w:b/>
        </w:rPr>
        <w:t>W</w:t>
      </w:r>
      <w:r w:rsidR="000E5078" w:rsidRPr="002B2BE0">
        <w:rPr>
          <w:rFonts w:eastAsia="Times New Roman"/>
          <w:b/>
        </w:rPr>
        <w:t>orking Group (CEWG)</w:t>
      </w:r>
      <w:r w:rsidR="000E5078" w:rsidRPr="002B2BE0">
        <w:rPr>
          <w:rFonts w:eastAsia="Times New Roman"/>
        </w:rPr>
        <w:t xml:space="preserve"> was established in </w:t>
      </w:r>
      <w:r w:rsidR="00085157" w:rsidRPr="002B2BE0">
        <w:rPr>
          <w:rFonts w:eastAsia="Times New Roman"/>
        </w:rPr>
        <w:t>2009</w:t>
      </w:r>
      <w:r w:rsidR="000E5078" w:rsidRPr="002B2BE0">
        <w:rPr>
          <w:rFonts w:eastAsia="Times New Roman"/>
        </w:rPr>
        <w:t xml:space="preserve"> as a forum between </w:t>
      </w:r>
      <w:r w:rsidR="00085157" w:rsidRPr="002B2BE0">
        <w:rPr>
          <w:rFonts w:eastAsia="Times New Roman"/>
        </w:rPr>
        <w:t xml:space="preserve">the </w:t>
      </w:r>
      <w:r w:rsidR="000E5078" w:rsidRPr="002B2BE0">
        <w:rPr>
          <w:rFonts w:eastAsia="Times New Roman"/>
        </w:rPr>
        <w:t>Solomon Islands Government and its donor partners to discuss and promote reforms around public financial management and economic growth.</w:t>
      </w:r>
      <w:r w:rsidR="003F5FE2" w:rsidRPr="002B2BE0">
        <w:rPr>
          <w:rFonts w:eastAsia="Times New Roman"/>
        </w:rPr>
        <w:t xml:space="preserve"> Momentum under the CEWG stalled in 2015-16 and a performance matrix was not agreed</w:t>
      </w:r>
      <w:r w:rsidR="00252A24" w:rsidRPr="002B2BE0">
        <w:rPr>
          <w:rFonts w:eastAsia="Times New Roman"/>
        </w:rPr>
        <w:t xml:space="preserve">, preventing </w:t>
      </w:r>
      <w:r w:rsidR="003F5FE2" w:rsidRPr="002B2BE0">
        <w:rPr>
          <w:rFonts w:eastAsia="Times New Roman"/>
        </w:rPr>
        <w:t xml:space="preserve">Australia </w:t>
      </w:r>
      <w:r w:rsidR="00252A24" w:rsidRPr="002B2BE0">
        <w:rPr>
          <w:rFonts w:eastAsia="Times New Roman"/>
        </w:rPr>
        <w:t xml:space="preserve">from paying a </w:t>
      </w:r>
      <w:r w:rsidR="003F5FE2" w:rsidRPr="002B2BE0">
        <w:rPr>
          <w:rFonts w:eastAsia="Times New Roman"/>
        </w:rPr>
        <w:t xml:space="preserve">performance bonus to </w:t>
      </w:r>
      <w:r w:rsidR="00085157" w:rsidRPr="002B2BE0">
        <w:rPr>
          <w:rFonts w:eastAsia="Times New Roman"/>
        </w:rPr>
        <w:t xml:space="preserve">the </w:t>
      </w:r>
      <w:r w:rsidR="003F5FE2" w:rsidRPr="002B2BE0">
        <w:rPr>
          <w:rFonts w:eastAsia="Times New Roman"/>
        </w:rPr>
        <w:t xml:space="preserve">Solomon Islands Government. </w:t>
      </w:r>
      <w:r w:rsidR="00252A24" w:rsidRPr="002B2BE0">
        <w:rPr>
          <w:rFonts w:eastAsia="Times New Roman"/>
        </w:rPr>
        <w:t>Australia remains committed to the CEWG as the primary vehicle for policy dialogue on economic policy reform between Solomon Islan</w:t>
      </w:r>
      <w:r w:rsidR="00874F0D">
        <w:rPr>
          <w:rFonts w:eastAsia="Times New Roman"/>
        </w:rPr>
        <w:t>ds Government and its partners.</w:t>
      </w:r>
    </w:p>
    <w:p w14:paraId="6D19D4A1" w14:textId="77777777" w:rsidR="002A51CA" w:rsidRPr="002A51CA" w:rsidRDefault="002A51CA" w:rsidP="002A51CA">
      <w:pPr>
        <w:pStyle w:val="Heading2"/>
      </w:pPr>
      <w:r w:rsidRPr="002A51CA">
        <w:t xml:space="preserve">Program </w:t>
      </w:r>
      <w:r w:rsidR="00874F0D">
        <w:t>Quality and Partner Performance</w:t>
      </w:r>
    </w:p>
    <w:p w14:paraId="12FF1CAD" w14:textId="77777777" w:rsidR="002A51CA" w:rsidRPr="002A51CA" w:rsidRDefault="002A51CA" w:rsidP="002A51CA">
      <w:pPr>
        <w:rPr>
          <w:b/>
          <w:lang w:eastAsia="zh-CN"/>
        </w:rPr>
      </w:pPr>
      <w:r w:rsidRPr="002A51CA">
        <w:rPr>
          <w:b/>
          <w:lang w:eastAsia="zh-CN"/>
        </w:rPr>
        <w:t>Overview</w:t>
      </w:r>
    </w:p>
    <w:p w14:paraId="5FFBD9CF" w14:textId="77777777" w:rsidR="002224FF" w:rsidRPr="00870626" w:rsidRDefault="00870626" w:rsidP="00870626">
      <w:pPr>
        <w:spacing w:after="120" w:line="280" w:lineRule="exact"/>
        <w:rPr>
          <w:rFonts w:eastAsia="Times New Roman"/>
        </w:rPr>
      </w:pPr>
      <w:r w:rsidRPr="00870626">
        <w:rPr>
          <w:rFonts w:eastAsia="Times New Roman"/>
        </w:rPr>
        <w:t>S</w:t>
      </w:r>
      <w:r w:rsidR="00FD1BDF">
        <w:rPr>
          <w:rFonts w:eastAsia="Times New Roman"/>
        </w:rPr>
        <w:t>trong</w:t>
      </w:r>
      <w:r w:rsidRPr="00870626">
        <w:rPr>
          <w:rFonts w:eastAsia="Times New Roman"/>
        </w:rPr>
        <w:t xml:space="preserve"> progress was made in 2015-16 towards a</w:t>
      </w:r>
      <w:r w:rsidR="00792124" w:rsidRPr="00870626">
        <w:rPr>
          <w:rFonts w:eastAsia="Times New Roman"/>
        </w:rPr>
        <w:t xml:space="preserve"> systemic approach to monitoring and evaluati</w:t>
      </w:r>
      <w:r w:rsidRPr="00870626">
        <w:rPr>
          <w:rFonts w:eastAsia="Times New Roman"/>
        </w:rPr>
        <w:t>ng</w:t>
      </w:r>
      <w:r w:rsidR="00792124" w:rsidRPr="00870626">
        <w:rPr>
          <w:rFonts w:eastAsia="Times New Roman"/>
        </w:rPr>
        <w:t xml:space="preserve"> Australian aid in Solomon Islands. A whole of program Performance Assessment Framework was </w:t>
      </w:r>
      <w:r w:rsidR="00FD1BDF">
        <w:rPr>
          <w:rFonts w:eastAsia="Times New Roman"/>
        </w:rPr>
        <w:t>finalised</w:t>
      </w:r>
      <w:r w:rsidR="00792124" w:rsidRPr="00870626">
        <w:rPr>
          <w:rFonts w:eastAsia="Times New Roman"/>
        </w:rPr>
        <w:t xml:space="preserve"> and a first </w:t>
      </w:r>
      <w:r w:rsidR="00FD1BDF">
        <w:rPr>
          <w:rFonts w:eastAsia="Times New Roman"/>
        </w:rPr>
        <w:t>assessment of performance against the framework under</w:t>
      </w:r>
      <w:r w:rsidR="00792124" w:rsidRPr="00870626">
        <w:rPr>
          <w:rFonts w:eastAsia="Times New Roman"/>
        </w:rPr>
        <w:t xml:space="preserve">taken. </w:t>
      </w:r>
      <w:r w:rsidR="002224FF" w:rsidRPr="00870626">
        <w:rPr>
          <w:rFonts w:eastAsia="Times New Roman"/>
        </w:rPr>
        <w:t xml:space="preserve">However </w:t>
      </w:r>
      <w:r w:rsidR="00ED2759">
        <w:rPr>
          <w:rFonts w:eastAsia="Times New Roman"/>
        </w:rPr>
        <w:t xml:space="preserve">variations between programs </w:t>
      </w:r>
      <w:r w:rsidR="00A8659C">
        <w:rPr>
          <w:rFonts w:eastAsia="Times New Roman"/>
        </w:rPr>
        <w:t xml:space="preserve">exist </w:t>
      </w:r>
      <w:r w:rsidR="00ED2759">
        <w:rPr>
          <w:rFonts w:eastAsia="Times New Roman"/>
        </w:rPr>
        <w:t xml:space="preserve">in the quality of reporting on </w:t>
      </w:r>
      <w:r w:rsidR="002224FF" w:rsidRPr="00870626">
        <w:rPr>
          <w:rFonts w:eastAsia="Times New Roman"/>
        </w:rPr>
        <w:t>progress against outcomes and demonstrate</w:t>
      </w:r>
      <w:r w:rsidR="00ED2759">
        <w:rPr>
          <w:rFonts w:eastAsia="Times New Roman"/>
        </w:rPr>
        <w:t>d</w:t>
      </w:r>
      <w:r w:rsidR="002224FF" w:rsidRPr="00870626">
        <w:rPr>
          <w:rFonts w:eastAsia="Times New Roman"/>
        </w:rPr>
        <w:t xml:space="preserve"> results.</w:t>
      </w:r>
    </w:p>
    <w:p w14:paraId="5BDFC68B" w14:textId="77777777" w:rsidR="00D83936" w:rsidRDefault="004E1632" w:rsidP="00F44FCD">
      <w:pPr>
        <w:spacing w:after="120"/>
        <w:rPr>
          <w:rFonts w:eastAsia="Times New Roman"/>
        </w:rPr>
      </w:pPr>
      <w:r w:rsidRPr="004E1632">
        <w:rPr>
          <w:rFonts w:eastAsia="Times New Roman"/>
        </w:rPr>
        <w:t>The</w:t>
      </w:r>
      <w:r w:rsidR="00D83936" w:rsidRPr="004E1632">
        <w:rPr>
          <w:rFonts w:eastAsia="Times New Roman"/>
        </w:rPr>
        <w:t xml:space="preserve"> </w:t>
      </w:r>
      <w:r w:rsidR="00FD1BDF">
        <w:rPr>
          <w:rFonts w:eastAsia="Times New Roman"/>
        </w:rPr>
        <w:t xml:space="preserve">number of aid program investments reduced from </w:t>
      </w:r>
      <w:r w:rsidR="00C63C94" w:rsidRPr="004E1632">
        <w:rPr>
          <w:rFonts w:eastAsia="Times New Roman"/>
        </w:rPr>
        <w:t>29</w:t>
      </w:r>
      <w:r w:rsidR="00D83936" w:rsidRPr="004E1632">
        <w:rPr>
          <w:rFonts w:eastAsia="Times New Roman"/>
        </w:rPr>
        <w:t xml:space="preserve"> to </w:t>
      </w:r>
      <w:r w:rsidRPr="004E1632">
        <w:rPr>
          <w:rFonts w:eastAsia="Times New Roman"/>
        </w:rPr>
        <w:t>27</w:t>
      </w:r>
      <w:r w:rsidR="00D83936" w:rsidRPr="004E1632">
        <w:rPr>
          <w:rFonts w:eastAsia="Times New Roman"/>
        </w:rPr>
        <w:t xml:space="preserve"> in 2015-16</w:t>
      </w:r>
      <w:r w:rsidR="00870626">
        <w:rPr>
          <w:rFonts w:eastAsia="Times New Roman"/>
        </w:rPr>
        <w:t xml:space="preserve">. </w:t>
      </w:r>
      <w:r w:rsidR="00A5053D">
        <w:rPr>
          <w:rFonts w:eastAsia="Times New Roman"/>
        </w:rPr>
        <w:t>R</w:t>
      </w:r>
      <w:r w:rsidR="00FD1BDF">
        <w:rPr>
          <w:rFonts w:eastAsia="Times New Roman"/>
        </w:rPr>
        <w:t>esisting</w:t>
      </w:r>
      <w:r w:rsidR="00D83936">
        <w:rPr>
          <w:rFonts w:eastAsia="Times New Roman"/>
        </w:rPr>
        <w:t xml:space="preserve"> program proliferation </w:t>
      </w:r>
      <w:r w:rsidR="00A5053D">
        <w:rPr>
          <w:rFonts w:eastAsia="Times New Roman"/>
        </w:rPr>
        <w:t xml:space="preserve">will be </w:t>
      </w:r>
      <w:r w:rsidR="00D83936">
        <w:rPr>
          <w:rFonts w:eastAsia="Times New Roman"/>
        </w:rPr>
        <w:t xml:space="preserve">a challenge in a context where Australia is the largest donor. </w:t>
      </w:r>
      <w:r w:rsidR="00FD1BDF">
        <w:rPr>
          <w:rFonts w:eastAsia="Times New Roman"/>
        </w:rPr>
        <w:t xml:space="preserve">The bilateral </w:t>
      </w:r>
      <w:r w:rsidR="0009633B">
        <w:rPr>
          <w:rFonts w:eastAsia="Times New Roman"/>
        </w:rPr>
        <w:t xml:space="preserve">ODA </w:t>
      </w:r>
      <w:r w:rsidR="00FD1BDF">
        <w:rPr>
          <w:rFonts w:eastAsia="Times New Roman"/>
        </w:rPr>
        <w:t xml:space="preserve">allocation in </w:t>
      </w:r>
      <w:r w:rsidR="002B2BE0">
        <w:rPr>
          <w:rFonts w:eastAsia="Times New Roman"/>
        </w:rPr>
        <w:t xml:space="preserve">2015-16 </w:t>
      </w:r>
      <w:r w:rsidR="0009633B">
        <w:rPr>
          <w:rFonts w:eastAsia="Times New Roman"/>
        </w:rPr>
        <w:t>was consistent</w:t>
      </w:r>
      <w:r w:rsidR="002B2BE0">
        <w:rPr>
          <w:rFonts w:eastAsia="Times New Roman"/>
        </w:rPr>
        <w:t xml:space="preserve"> </w:t>
      </w:r>
      <w:r w:rsidR="0009633B">
        <w:rPr>
          <w:rFonts w:eastAsia="Times New Roman"/>
        </w:rPr>
        <w:t>with</w:t>
      </w:r>
      <w:r w:rsidR="002B2BE0">
        <w:rPr>
          <w:rFonts w:eastAsia="Times New Roman"/>
        </w:rPr>
        <w:t xml:space="preserve"> previous years, but </w:t>
      </w:r>
      <w:r w:rsidR="0009633B">
        <w:rPr>
          <w:rFonts w:eastAsia="Times New Roman"/>
        </w:rPr>
        <w:t>DFAT’s human resourcing envelope to manage the ODA allocation was reduced.</w:t>
      </w:r>
      <w:r w:rsidR="002B2BE0">
        <w:rPr>
          <w:rFonts w:eastAsia="Times New Roman"/>
        </w:rPr>
        <w:t xml:space="preserve"> Whilst is it too early to assess the impact of this rebalance on effectiveness and efficiency, n</w:t>
      </w:r>
      <w:r w:rsidR="00D83936">
        <w:rPr>
          <w:rFonts w:eastAsia="Times New Roman"/>
        </w:rPr>
        <w:t xml:space="preserve">ew program designs in </w:t>
      </w:r>
      <w:r w:rsidR="00A85B47">
        <w:rPr>
          <w:rFonts w:eastAsia="Times New Roman"/>
        </w:rPr>
        <w:t xml:space="preserve">economic growth, </w:t>
      </w:r>
      <w:r w:rsidR="00D83936">
        <w:rPr>
          <w:rFonts w:eastAsia="Times New Roman"/>
        </w:rPr>
        <w:t xml:space="preserve">health, justice, governance and policing have been briefed to </w:t>
      </w:r>
      <w:r w:rsidR="00F44FCD">
        <w:rPr>
          <w:rFonts w:eastAsia="Times New Roman"/>
        </w:rPr>
        <w:t>develop</w:t>
      </w:r>
      <w:r w:rsidR="00D83936">
        <w:rPr>
          <w:rFonts w:eastAsia="Times New Roman"/>
        </w:rPr>
        <w:t xml:space="preserve"> more efficient and less resource-intensive approaches to aid delivery.</w:t>
      </w:r>
    </w:p>
    <w:p w14:paraId="32D0B55D" w14:textId="77777777" w:rsidR="00063B30" w:rsidRDefault="00627161" w:rsidP="002A51CA">
      <w:pPr>
        <w:spacing w:after="120" w:line="280" w:lineRule="exact"/>
        <w:rPr>
          <w:rFonts w:eastAsia="Times New Roman"/>
        </w:rPr>
      </w:pPr>
      <w:r>
        <w:rPr>
          <w:rFonts w:eastAsia="Times New Roman"/>
        </w:rPr>
        <w:t xml:space="preserve">Major evaluations </w:t>
      </w:r>
      <w:r w:rsidRPr="00627161">
        <w:rPr>
          <w:rFonts w:eastAsia="Times New Roman"/>
        </w:rPr>
        <w:t xml:space="preserve">were completed </w:t>
      </w:r>
      <w:r>
        <w:rPr>
          <w:rFonts w:eastAsia="Times New Roman"/>
        </w:rPr>
        <w:t xml:space="preserve">on Australian programs of support in </w:t>
      </w:r>
      <w:r w:rsidR="000B7C62">
        <w:rPr>
          <w:rFonts w:eastAsia="Times New Roman"/>
        </w:rPr>
        <w:t>t</w:t>
      </w:r>
      <w:r w:rsidRPr="00627161">
        <w:rPr>
          <w:rFonts w:eastAsia="Times New Roman"/>
        </w:rPr>
        <w:t xml:space="preserve">elecommunications, </w:t>
      </w:r>
      <w:r w:rsidR="000B7C62">
        <w:rPr>
          <w:rFonts w:eastAsia="Times New Roman"/>
        </w:rPr>
        <w:t>u</w:t>
      </w:r>
      <w:r w:rsidRPr="00627161">
        <w:rPr>
          <w:rFonts w:eastAsia="Times New Roman"/>
        </w:rPr>
        <w:t xml:space="preserve">rbanisation, </w:t>
      </w:r>
      <w:r w:rsidR="000B7C62">
        <w:rPr>
          <w:rFonts w:eastAsia="Times New Roman"/>
        </w:rPr>
        <w:t>h</w:t>
      </w:r>
      <w:r w:rsidRPr="00627161">
        <w:rPr>
          <w:rFonts w:eastAsia="Times New Roman"/>
        </w:rPr>
        <w:t xml:space="preserve">ealth, </w:t>
      </w:r>
      <w:r w:rsidR="000B7C62">
        <w:rPr>
          <w:rFonts w:eastAsia="Times New Roman"/>
        </w:rPr>
        <w:t>s</w:t>
      </w:r>
      <w:r w:rsidRPr="00627161">
        <w:rPr>
          <w:rFonts w:eastAsia="Times New Roman"/>
        </w:rPr>
        <w:t xml:space="preserve">kills, NGOs, </w:t>
      </w:r>
      <w:r w:rsidR="000B7C62">
        <w:rPr>
          <w:rFonts w:eastAsia="Times New Roman"/>
        </w:rPr>
        <w:t>e</w:t>
      </w:r>
      <w:r w:rsidRPr="00627161">
        <w:rPr>
          <w:rFonts w:eastAsia="Times New Roman"/>
        </w:rPr>
        <w:t xml:space="preserve">ducation and </w:t>
      </w:r>
      <w:r w:rsidR="000B7C62">
        <w:rPr>
          <w:rFonts w:eastAsia="Times New Roman"/>
        </w:rPr>
        <w:t>u</w:t>
      </w:r>
      <w:r w:rsidRPr="00627161">
        <w:rPr>
          <w:rFonts w:eastAsia="Times New Roman"/>
        </w:rPr>
        <w:t xml:space="preserve">rban water. This body of work provided a valuable evidence </w:t>
      </w:r>
      <w:proofErr w:type="spellStart"/>
      <w:r w:rsidRPr="00627161">
        <w:rPr>
          <w:rFonts w:eastAsia="Times New Roman"/>
        </w:rPr>
        <w:t>base</w:t>
      </w:r>
      <w:proofErr w:type="spellEnd"/>
      <w:r w:rsidRPr="00627161">
        <w:rPr>
          <w:rFonts w:eastAsia="Times New Roman"/>
        </w:rPr>
        <w:t xml:space="preserve"> on performance and lessons le</w:t>
      </w:r>
      <w:r>
        <w:rPr>
          <w:rFonts w:eastAsia="Times New Roman"/>
        </w:rPr>
        <w:t xml:space="preserve">arned on which to finalise programs (NGO support) or design subsequent phases </w:t>
      </w:r>
    </w:p>
    <w:p w14:paraId="0BCA75B9" w14:textId="77777777" w:rsidR="00627161" w:rsidRDefault="00627161" w:rsidP="002A51CA">
      <w:pPr>
        <w:spacing w:after="120" w:line="280" w:lineRule="exact"/>
        <w:rPr>
          <w:rFonts w:eastAsia="Times New Roman"/>
        </w:rPr>
      </w:pPr>
      <w:r>
        <w:rPr>
          <w:rFonts w:eastAsia="Times New Roman"/>
        </w:rPr>
        <w:lastRenderedPageBreak/>
        <w:t>of assistance (</w:t>
      </w:r>
      <w:r w:rsidR="000B7C62">
        <w:rPr>
          <w:rFonts w:eastAsia="Times New Roman"/>
        </w:rPr>
        <w:t>h</w:t>
      </w:r>
      <w:r>
        <w:rPr>
          <w:rFonts w:eastAsia="Times New Roman"/>
        </w:rPr>
        <w:t>ealth</w:t>
      </w:r>
      <w:r w:rsidR="00F44FCD">
        <w:rPr>
          <w:rFonts w:eastAsia="Times New Roman"/>
        </w:rPr>
        <w:t>, justice</w:t>
      </w:r>
      <w:r w:rsidR="000B7C62">
        <w:rPr>
          <w:rFonts w:eastAsia="Times New Roman"/>
        </w:rPr>
        <w:t xml:space="preserve"> and t</w:t>
      </w:r>
      <w:r>
        <w:rPr>
          <w:rFonts w:eastAsia="Times New Roman"/>
        </w:rPr>
        <w:t>ransport).</w:t>
      </w:r>
      <w:r w:rsidR="00870626">
        <w:rPr>
          <w:rFonts w:eastAsia="Times New Roman"/>
        </w:rPr>
        <w:t xml:space="preserve"> </w:t>
      </w:r>
      <w:r w:rsidR="000B7C62">
        <w:rPr>
          <w:rFonts w:eastAsia="Times New Roman"/>
        </w:rPr>
        <w:t>Ev</w:t>
      </w:r>
      <w:r>
        <w:rPr>
          <w:rFonts w:eastAsia="Times New Roman"/>
        </w:rPr>
        <w:t>aluations are planned for transport and maritime support for 2016-17</w:t>
      </w:r>
      <w:r w:rsidR="00372C9F">
        <w:rPr>
          <w:rFonts w:eastAsia="Times New Roman"/>
        </w:rPr>
        <w:t>, as well as joint annual performance assessments with the Solomon Islands Government for health and education</w:t>
      </w:r>
      <w:r>
        <w:rPr>
          <w:rFonts w:eastAsia="Times New Roman"/>
        </w:rPr>
        <w:t>.</w:t>
      </w:r>
    </w:p>
    <w:p w14:paraId="6198C03A" w14:textId="77777777" w:rsidR="00B34E04" w:rsidRDefault="00B34E04" w:rsidP="002A51CA">
      <w:pPr>
        <w:pStyle w:val="Heading2"/>
      </w:pPr>
    </w:p>
    <w:p w14:paraId="7112F1E0" w14:textId="48BBA43E" w:rsidR="002A51CA" w:rsidRPr="002A51CA" w:rsidRDefault="002A51CA" w:rsidP="002A51CA">
      <w:pPr>
        <w:pStyle w:val="Heading2"/>
      </w:pPr>
      <w:bookmarkStart w:id="0" w:name="_GoBack"/>
      <w:bookmarkEnd w:id="0"/>
      <w:r w:rsidRPr="002A51CA">
        <w:t>Analysis of Aid Quality Checks (AQCs)</w:t>
      </w:r>
    </w:p>
    <w:p w14:paraId="7723884D" w14:textId="506E9D62" w:rsidR="00B33BF5" w:rsidRPr="009D6CA2" w:rsidRDefault="00764249" w:rsidP="00746CEB">
      <w:pPr>
        <w:spacing w:after="120" w:line="280" w:lineRule="exact"/>
        <w:rPr>
          <w:rFonts w:eastAsia="Times New Roman"/>
        </w:rPr>
      </w:pPr>
      <w:r w:rsidRPr="009D6CA2">
        <w:rPr>
          <w:rFonts w:eastAsia="Times New Roman"/>
        </w:rPr>
        <w:t xml:space="preserve">Aid Quality Check ratings for the Solomon Islands program </w:t>
      </w:r>
      <w:r w:rsidR="001C35C1">
        <w:rPr>
          <w:rFonts w:eastAsia="Times New Roman"/>
        </w:rPr>
        <w:t xml:space="preserve">in 2015-16 </w:t>
      </w:r>
      <w:r w:rsidRPr="009D6CA2">
        <w:rPr>
          <w:rFonts w:eastAsia="Times New Roman"/>
        </w:rPr>
        <w:t xml:space="preserve">were </w:t>
      </w:r>
      <w:r w:rsidR="00563B30" w:rsidRPr="009D6CA2">
        <w:rPr>
          <w:rFonts w:eastAsia="Times New Roman"/>
        </w:rPr>
        <w:t xml:space="preserve">generally consistent with the </w:t>
      </w:r>
      <w:r w:rsidRPr="009D6CA2">
        <w:rPr>
          <w:rFonts w:eastAsia="Times New Roman"/>
        </w:rPr>
        <w:t>previous year</w:t>
      </w:r>
      <w:r w:rsidR="002224FF" w:rsidRPr="009D6CA2">
        <w:rPr>
          <w:rFonts w:eastAsia="Times New Roman"/>
        </w:rPr>
        <w:t>.</w:t>
      </w:r>
      <w:r w:rsidRPr="009D6CA2">
        <w:rPr>
          <w:rFonts w:eastAsia="Times New Roman"/>
        </w:rPr>
        <w:t xml:space="preserve"> </w:t>
      </w:r>
      <w:r w:rsidR="002224FF" w:rsidRPr="009D6CA2">
        <w:rPr>
          <w:rFonts w:eastAsia="Times New Roman"/>
        </w:rPr>
        <w:t xml:space="preserve">High relevance ratings demonstrated the program has </w:t>
      </w:r>
      <w:r w:rsidR="00E718D7" w:rsidRPr="009D6CA2">
        <w:rPr>
          <w:rFonts w:eastAsia="Times New Roman"/>
        </w:rPr>
        <w:t>strong</w:t>
      </w:r>
      <w:r w:rsidR="002224FF" w:rsidRPr="009D6CA2">
        <w:rPr>
          <w:rFonts w:eastAsia="Times New Roman"/>
        </w:rPr>
        <w:t xml:space="preserve"> alignment with the Australian Government’s policy priorities as set out in the A</w:t>
      </w:r>
      <w:r w:rsidR="001C35C1">
        <w:rPr>
          <w:rFonts w:eastAsia="Times New Roman"/>
        </w:rPr>
        <w:t>IP and</w:t>
      </w:r>
      <w:r w:rsidR="002224FF" w:rsidRPr="009D6CA2">
        <w:rPr>
          <w:rFonts w:eastAsia="Times New Roman"/>
        </w:rPr>
        <w:t xml:space="preserve"> Solomon Islands</w:t>
      </w:r>
      <w:r w:rsidR="00A5053D">
        <w:rPr>
          <w:rFonts w:eastAsia="Times New Roman"/>
        </w:rPr>
        <w:t>’</w:t>
      </w:r>
      <w:r w:rsidR="006E7DCD">
        <w:rPr>
          <w:rFonts w:eastAsia="Times New Roman"/>
        </w:rPr>
        <w:t xml:space="preserve"> National Development Strategy</w:t>
      </w:r>
      <w:r w:rsidR="002224FF" w:rsidRPr="009D6CA2">
        <w:rPr>
          <w:rFonts w:eastAsia="Times New Roman"/>
        </w:rPr>
        <w:t xml:space="preserve">; and the correct choice of modalities </w:t>
      </w:r>
      <w:r w:rsidR="00A5053D">
        <w:rPr>
          <w:rFonts w:eastAsia="Times New Roman"/>
        </w:rPr>
        <w:t>for implementation</w:t>
      </w:r>
      <w:r w:rsidR="002224FF" w:rsidRPr="009D6CA2">
        <w:rPr>
          <w:rFonts w:eastAsia="Times New Roman"/>
        </w:rPr>
        <w:t xml:space="preserve">. In 2015-16, the Solomon Islands program </w:t>
      </w:r>
      <w:r w:rsidR="00746CEB">
        <w:rPr>
          <w:rFonts w:eastAsia="Times New Roman"/>
        </w:rPr>
        <w:t xml:space="preserve">did not </w:t>
      </w:r>
      <w:r w:rsidR="002224FF" w:rsidRPr="009D6CA2">
        <w:rPr>
          <w:rFonts w:eastAsia="Times New Roman"/>
        </w:rPr>
        <w:t>me</w:t>
      </w:r>
      <w:r w:rsidR="00746CEB">
        <w:rPr>
          <w:rFonts w:eastAsia="Times New Roman"/>
        </w:rPr>
        <w:t>e</w:t>
      </w:r>
      <w:r w:rsidR="002224FF" w:rsidRPr="009D6CA2">
        <w:rPr>
          <w:rFonts w:eastAsia="Times New Roman"/>
        </w:rPr>
        <w:t>t the high level aid targets of 85</w:t>
      </w:r>
      <w:r w:rsidR="001B1C9B">
        <w:rPr>
          <w:rFonts w:eastAsia="Times New Roman"/>
        </w:rPr>
        <w:t xml:space="preserve"> per cent</w:t>
      </w:r>
      <w:r w:rsidR="002224FF" w:rsidRPr="009D6CA2">
        <w:rPr>
          <w:rFonts w:eastAsia="Times New Roman"/>
        </w:rPr>
        <w:t xml:space="preserve"> of programs being rated 4 or above for ef</w:t>
      </w:r>
      <w:r w:rsidR="00874F0D">
        <w:rPr>
          <w:rFonts w:eastAsia="Times New Roman"/>
        </w:rPr>
        <w:t>fectiveness and efficiency.</w:t>
      </w:r>
      <w:r w:rsidR="009B0C9E">
        <w:rPr>
          <w:rFonts w:eastAsia="Times New Roman"/>
        </w:rPr>
        <w:t xml:space="preserve"> </w:t>
      </w:r>
      <w:r w:rsidR="00791E1B">
        <w:t xml:space="preserve">This was in part due to higher than anticipated levels of </w:t>
      </w:r>
      <w:r w:rsidR="00791E1B">
        <w:rPr>
          <w:color w:val="1F497D"/>
        </w:rPr>
        <w:t xml:space="preserve">DFAT </w:t>
      </w:r>
      <w:r w:rsidR="00791E1B">
        <w:t xml:space="preserve">human resource investment </w:t>
      </w:r>
      <w:r w:rsidR="00791E1B">
        <w:rPr>
          <w:color w:val="1F497D"/>
        </w:rPr>
        <w:t>required for</w:t>
      </w:r>
      <w:r w:rsidR="00791E1B">
        <w:t xml:space="preserve"> </w:t>
      </w:r>
      <w:r w:rsidR="00791E1B">
        <w:rPr>
          <w:color w:val="1F497D"/>
        </w:rPr>
        <w:t xml:space="preserve">the management of </w:t>
      </w:r>
      <w:r w:rsidR="00791E1B">
        <w:t>major programs, which we are working with partners to address.</w:t>
      </w:r>
      <w:r w:rsidR="00C15D42">
        <w:rPr>
          <w:rFonts w:eastAsia="Times New Roman"/>
        </w:rPr>
        <w:t xml:space="preserve"> The Solomon Islands program also did not meet the global program target of 80 per cent of programs achieving gender equality ratings of 4 or above. </w:t>
      </w:r>
      <w:r w:rsidR="00B33BF5" w:rsidRPr="009D6CA2">
        <w:rPr>
          <w:rFonts w:eastAsia="Times New Roman"/>
        </w:rPr>
        <w:t>However, a</w:t>
      </w:r>
      <w:r w:rsidR="0009633B">
        <w:rPr>
          <w:rFonts w:eastAsia="Times New Roman"/>
        </w:rPr>
        <w:t>nalysis</w:t>
      </w:r>
      <w:r w:rsidR="00B33BF5" w:rsidRPr="009D6CA2">
        <w:rPr>
          <w:rFonts w:eastAsia="Times New Roman"/>
        </w:rPr>
        <w:t xml:space="preserve"> of this result indicates that only one </w:t>
      </w:r>
      <w:r w:rsidR="00C15D42">
        <w:rPr>
          <w:rFonts w:eastAsia="Times New Roman"/>
        </w:rPr>
        <w:t>ongoing</w:t>
      </w:r>
      <w:r w:rsidR="00B33BF5" w:rsidRPr="009D6CA2">
        <w:rPr>
          <w:rFonts w:eastAsia="Times New Roman"/>
        </w:rPr>
        <w:t xml:space="preserve"> program (Rural Development Program) was assessed as unsatisfactory</w:t>
      </w:r>
      <w:r w:rsidR="00C15D42">
        <w:rPr>
          <w:rFonts w:eastAsia="Times New Roman"/>
        </w:rPr>
        <w:t>; and several other ongoing programs</w:t>
      </w:r>
      <w:r w:rsidR="00B33BF5" w:rsidRPr="009D6CA2">
        <w:rPr>
          <w:rFonts w:eastAsia="Times New Roman"/>
        </w:rPr>
        <w:t xml:space="preserve"> demonstrated a notable improvement in commitment to promoting gender equality in 2015</w:t>
      </w:r>
      <w:r w:rsidR="006E7DCD">
        <w:rPr>
          <w:rFonts w:eastAsia="Times New Roman"/>
        </w:rPr>
        <w:t>-16</w:t>
      </w:r>
      <w:r w:rsidR="00791E1B">
        <w:rPr>
          <w:rFonts w:eastAsia="Times New Roman"/>
        </w:rPr>
        <w:t>,</w:t>
      </w:r>
      <w:r w:rsidR="00B33BF5" w:rsidRPr="009D6CA2">
        <w:rPr>
          <w:rFonts w:eastAsia="Times New Roman"/>
        </w:rPr>
        <w:t xml:space="preserve"> </w:t>
      </w:r>
      <w:r w:rsidR="006E7DCD">
        <w:rPr>
          <w:rFonts w:eastAsia="Times New Roman"/>
        </w:rPr>
        <w:t>proportionately</w:t>
      </w:r>
      <w:r w:rsidR="00B33BF5" w:rsidRPr="009D6CA2">
        <w:rPr>
          <w:rFonts w:eastAsia="Times New Roman"/>
        </w:rPr>
        <w:t xml:space="preserve"> and systematically working to promoting gender equality. </w:t>
      </w:r>
      <w:r w:rsidR="006E7DCD">
        <w:rPr>
          <w:rFonts w:eastAsia="Times New Roman"/>
        </w:rPr>
        <w:t xml:space="preserve">An </w:t>
      </w:r>
      <w:r w:rsidR="00B33BF5" w:rsidRPr="009D6CA2">
        <w:rPr>
          <w:rFonts w:eastAsia="Times New Roman"/>
        </w:rPr>
        <w:t xml:space="preserve">increased commitment to gender </w:t>
      </w:r>
      <w:r w:rsidR="00C15D42">
        <w:rPr>
          <w:rFonts w:eastAsia="Times New Roman"/>
        </w:rPr>
        <w:t xml:space="preserve">equality </w:t>
      </w:r>
      <w:r w:rsidR="00B33BF5" w:rsidRPr="009D6CA2">
        <w:rPr>
          <w:rFonts w:eastAsia="Times New Roman"/>
        </w:rPr>
        <w:t xml:space="preserve">by partners was </w:t>
      </w:r>
      <w:r w:rsidR="006E7DCD">
        <w:rPr>
          <w:rFonts w:eastAsia="Times New Roman"/>
        </w:rPr>
        <w:t xml:space="preserve">also </w:t>
      </w:r>
      <w:r w:rsidR="00B33BF5" w:rsidRPr="009D6CA2">
        <w:rPr>
          <w:rFonts w:eastAsia="Times New Roman"/>
        </w:rPr>
        <w:t>notice</w:t>
      </w:r>
      <w:r w:rsidR="006E7DCD">
        <w:rPr>
          <w:rFonts w:eastAsia="Times New Roman"/>
        </w:rPr>
        <w:t>d</w:t>
      </w:r>
      <w:r w:rsidR="00B33BF5" w:rsidRPr="009D6CA2">
        <w:rPr>
          <w:rFonts w:eastAsia="Times New Roman"/>
        </w:rPr>
        <w:t xml:space="preserve">, reflecting DFAT’s increased policy dialogue with partners </w:t>
      </w:r>
      <w:r w:rsidR="00C15D42">
        <w:rPr>
          <w:rFonts w:eastAsia="Times New Roman"/>
        </w:rPr>
        <w:t>in this area</w:t>
      </w:r>
      <w:r w:rsidR="006E7DCD">
        <w:rPr>
          <w:rFonts w:eastAsia="Times New Roman"/>
        </w:rPr>
        <w:t>.</w:t>
      </w:r>
    </w:p>
    <w:p w14:paraId="2930E331" w14:textId="77777777" w:rsidR="002A51CA" w:rsidRPr="002A51CA" w:rsidRDefault="002A51CA" w:rsidP="002A51CA">
      <w:pPr>
        <w:pStyle w:val="Heading2"/>
      </w:pPr>
      <w:r w:rsidRPr="002A51CA">
        <w:t>Performance of key delivery partners</w:t>
      </w:r>
    </w:p>
    <w:p w14:paraId="538893F5" w14:textId="77777777" w:rsidR="000D53DB" w:rsidRPr="009D6CA2" w:rsidRDefault="00355BF1" w:rsidP="009D6CA2">
      <w:pPr>
        <w:spacing w:after="120" w:line="280" w:lineRule="exact"/>
        <w:rPr>
          <w:rFonts w:eastAsia="Times New Roman"/>
        </w:rPr>
      </w:pPr>
      <w:r w:rsidRPr="009D6CA2">
        <w:rPr>
          <w:rFonts w:eastAsia="Times New Roman"/>
        </w:rPr>
        <w:t>During the reporting period DFAT’s experience working with its implementing partners in Solomon Islands</w:t>
      </w:r>
      <w:r w:rsidR="00563B30" w:rsidRPr="009D6CA2">
        <w:rPr>
          <w:rFonts w:eastAsia="Times New Roman"/>
        </w:rPr>
        <w:t xml:space="preserve"> was </w:t>
      </w:r>
      <w:r w:rsidR="002B2BE0">
        <w:rPr>
          <w:rFonts w:eastAsia="Times New Roman"/>
        </w:rPr>
        <w:t xml:space="preserve">generally </w:t>
      </w:r>
      <w:r w:rsidR="00563B30" w:rsidRPr="009D6CA2">
        <w:rPr>
          <w:rFonts w:eastAsia="Times New Roman"/>
        </w:rPr>
        <w:t xml:space="preserve">positive. </w:t>
      </w:r>
      <w:r w:rsidR="000E5412" w:rsidRPr="009D6CA2">
        <w:rPr>
          <w:rFonts w:eastAsia="Times New Roman"/>
        </w:rPr>
        <w:t>Solomon Islands Government remains a</w:t>
      </w:r>
      <w:r w:rsidR="00563B30" w:rsidRPr="009D6CA2">
        <w:rPr>
          <w:rFonts w:eastAsia="Times New Roman"/>
        </w:rPr>
        <w:t xml:space="preserve"> major partner for aid delivery in Solomon Islands.</w:t>
      </w:r>
      <w:r w:rsidR="000D53DB" w:rsidRPr="009D6CA2">
        <w:rPr>
          <w:rFonts w:eastAsia="Times New Roman"/>
        </w:rPr>
        <w:t xml:space="preserve"> In the health, education and transport sectors, Australia continued to work through Solomon Islands Government systems in order to strengthen their service delivery, accountability and ownership. Targeted technical assistance managed public financial management risks to Australian funds.</w:t>
      </w:r>
    </w:p>
    <w:p w14:paraId="39A110F2" w14:textId="77777777" w:rsidR="00053B19" w:rsidRPr="009D6CA2" w:rsidRDefault="00053B19" w:rsidP="00053B19">
      <w:pPr>
        <w:spacing w:after="120" w:line="280" w:lineRule="exact"/>
        <w:rPr>
          <w:rFonts w:eastAsia="Times New Roman"/>
        </w:rPr>
      </w:pPr>
      <w:r w:rsidRPr="009D6CA2">
        <w:rPr>
          <w:rFonts w:eastAsia="Times New Roman"/>
        </w:rPr>
        <w:t>Australia continued to invest in sector wide approaches in the health and education sectors to mitigate the donor coordination and alignment overheads associated with working with several donors in those sectors.</w:t>
      </w:r>
    </w:p>
    <w:p w14:paraId="7313DFD0" w14:textId="77777777" w:rsidR="000D53DB" w:rsidRPr="009D6CA2" w:rsidRDefault="000D53DB" w:rsidP="009D6CA2">
      <w:pPr>
        <w:spacing w:after="120" w:line="280" w:lineRule="exact"/>
        <w:rPr>
          <w:rFonts w:eastAsia="Times New Roman"/>
        </w:rPr>
      </w:pPr>
      <w:r w:rsidRPr="009D6CA2">
        <w:rPr>
          <w:rFonts w:eastAsia="Times New Roman"/>
        </w:rPr>
        <w:t xml:space="preserve">In </w:t>
      </w:r>
      <w:r w:rsidR="0009633B">
        <w:rPr>
          <w:rFonts w:eastAsia="Times New Roman"/>
        </w:rPr>
        <w:t>December 2016</w:t>
      </w:r>
      <w:r w:rsidRPr="009D6CA2">
        <w:rPr>
          <w:rFonts w:eastAsia="Times New Roman"/>
        </w:rPr>
        <w:t>, Australia engaged a new managing contractor</w:t>
      </w:r>
      <w:r w:rsidR="00563B30" w:rsidRPr="009D6CA2">
        <w:rPr>
          <w:rFonts w:eastAsia="Times New Roman"/>
        </w:rPr>
        <w:t xml:space="preserve"> </w:t>
      </w:r>
      <w:r w:rsidRPr="009D6CA2">
        <w:rPr>
          <w:rFonts w:eastAsia="Times New Roman"/>
        </w:rPr>
        <w:t xml:space="preserve">to support staff deployment </w:t>
      </w:r>
      <w:r w:rsidR="00CB5D3F">
        <w:rPr>
          <w:rFonts w:eastAsia="Times New Roman"/>
        </w:rPr>
        <w:t>and</w:t>
      </w:r>
      <w:r w:rsidRPr="009D6CA2">
        <w:rPr>
          <w:rFonts w:eastAsia="Times New Roman"/>
        </w:rPr>
        <w:t xml:space="preserve"> manage </w:t>
      </w:r>
      <w:r w:rsidR="00CB5D3F">
        <w:rPr>
          <w:rFonts w:eastAsia="Times New Roman"/>
        </w:rPr>
        <w:t>its</w:t>
      </w:r>
      <w:r w:rsidRPr="009D6CA2">
        <w:rPr>
          <w:rFonts w:eastAsia="Times New Roman"/>
        </w:rPr>
        <w:t xml:space="preserve"> technical advisors supporting implementation of the aid program. Whilst implementation is still early, this new relationship has already realised efficiency and policy coherence gains.</w:t>
      </w:r>
    </w:p>
    <w:p w14:paraId="5C7E2ED7" w14:textId="77777777" w:rsidR="000D53DB" w:rsidRPr="009D6CA2" w:rsidRDefault="000D53DB" w:rsidP="009D6CA2">
      <w:pPr>
        <w:spacing w:after="120" w:line="280" w:lineRule="exact"/>
        <w:rPr>
          <w:rFonts w:eastAsia="Times New Roman"/>
        </w:rPr>
      </w:pPr>
      <w:r w:rsidRPr="009D6CA2">
        <w:rPr>
          <w:rFonts w:eastAsia="Times New Roman"/>
        </w:rPr>
        <w:t xml:space="preserve">Australia continued to work closely with multilateral partners in to diversify risk, support broader inputs to policy dialogue, bring deeper technical expertise and leverage additional grant and concessional loan funding to Solomon Islands Government. Australia </w:t>
      </w:r>
      <w:r w:rsidR="00C22760" w:rsidRPr="009D6CA2">
        <w:rPr>
          <w:rFonts w:eastAsia="Times New Roman"/>
        </w:rPr>
        <w:t>worked</w:t>
      </w:r>
      <w:r w:rsidRPr="009D6CA2">
        <w:rPr>
          <w:rFonts w:eastAsia="Times New Roman"/>
        </w:rPr>
        <w:t xml:space="preserve"> in partnership with multilateral donors in the </w:t>
      </w:r>
      <w:r w:rsidR="00D40151" w:rsidRPr="009D6CA2">
        <w:rPr>
          <w:rFonts w:eastAsia="Times New Roman"/>
        </w:rPr>
        <w:t xml:space="preserve">elections (UNDP), </w:t>
      </w:r>
      <w:r w:rsidRPr="009D6CA2">
        <w:rPr>
          <w:rFonts w:eastAsia="Times New Roman"/>
        </w:rPr>
        <w:t>health (World Bank (WB)</w:t>
      </w:r>
      <w:r w:rsidR="002F4B23" w:rsidRPr="009D6CA2">
        <w:rPr>
          <w:rFonts w:eastAsia="Times New Roman"/>
        </w:rPr>
        <w:t>, WHO, UNFPA and UNICEF</w:t>
      </w:r>
      <w:r w:rsidRPr="009D6CA2">
        <w:rPr>
          <w:rFonts w:eastAsia="Times New Roman"/>
        </w:rPr>
        <w:t xml:space="preserve">), </w:t>
      </w:r>
      <w:r w:rsidR="00DF09A3" w:rsidRPr="009D6CA2">
        <w:rPr>
          <w:rFonts w:eastAsia="Times New Roman"/>
        </w:rPr>
        <w:t xml:space="preserve">rural development </w:t>
      </w:r>
      <w:r w:rsidR="00C22760" w:rsidRPr="009D6CA2">
        <w:rPr>
          <w:rFonts w:eastAsia="Times New Roman"/>
        </w:rPr>
        <w:t>(WB), infrastructure (Asian Development Bank (ADB) and WB)</w:t>
      </w:r>
      <w:r w:rsidRPr="009D6CA2">
        <w:rPr>
          <w:rFonts w:eastAsia="Times New Roman"/>
        </w:rPr>
        <w:t>,</w:t>
      </w:r>
      <w:r w:rsidR="00C22760" w:rsidRPr="009D6CA2">
        <w:rPr>
          <w:rFonts w:eastAsia="Times New Roman"/>
        </w:rPr>
        <w:t xml:space="preserve"> </w:t>
      </w:r>
      <w:r w:rsidR="002F4B23" w:rsidRPr="009D6CA2">
        <w:rPr>
          <w:rFonts w:eastAsia="Times New Roman"/>
        </w:rPr>
        <w:t xml:space="preserve">gender equality (UN Women) </w:t>
      </w:r>
      <w:r w:rsidR="00C22760" w:rsidRPr="009D6CA2">
        <w:rPr>
          <w:rFonts w:eastAsia="Times New Roman"/>
        </w:rPr>
        <w:t>and economic and public financial management (ADB).</w:t>
      </w:r>
    </w:p>
    <w:p w14:paraId="6FD7C6BE" w14:textId="77777777" w:rsidR="00C22760" w:rsidRPr="009D6CA2" w:rsidRDefault="00C22760" w:rsidP="009D6CA2">
      <w:pPr>
        <w:spacing w:after="120" w:line="280" w:lineRule="exact"/>
        <w:rPr>
          <w:rFonts w:eastAsia="Times New Roman"/>
        </w:rPr>
      </w:pPr>
      <w:r w:rsidRPr="009D6CA2">
        <w:rPr>
          <w:rFonts w:eastAsia="Times New Roman"/>
        </w:rPr>
        <w:t xml:space="preserve">Australia strengthened its focus on gaining greater strategic management and </w:t>
      </w:r>
      <w:r w:rsidR="000E7AA7" w:rsidRPr="009D6CA2">
        <w:rPr>
          <w:rFonts w:eastAsia="Times New Roman"/>
        </w:rPr>
        <w:t xml:space="preserve">in-country </w:t>
      </w:r>
      <w:r w:rsidRPr="009D6CA2">
        <w:rPr>
          <w:rFonts w:eastAsia="Times New Roman"/>
        </w:rPr>
        <w:t xml:space="preserve">oversight from multilateral partners. </w:t>
      </w:r>
      <w:r w:rsidR="000E7AA7" w:rsidRPr="009D6CA2">
        <w:rPr>
          <w:rFonts w:eastAsia="Times New Roman"/>
        </w:rPr>
        <w:t xml:space="preserve">Australia and the ADB agreed that Australia would fund the expansion of the ADB’s office in Honiara for three years. </w:t>
      </w:r>
      <w:r w:rsidR="00CB5D3F">
        <w:rPr>
          <w:rFonts w:eastAsia="Times New Roman"/>
        </w:rPr>
        <w:t xml:space="preserve">Further policy engagement with the World Bank to strengthen its strategic engagement on key issues such as </w:t>
      </w:r>
      <w:r w:rsidR="00CE20E3">
        <w:rPr>
          <w:rFonts w:eastAsia="Times New Roman"/>
        </w:rPr>
        <w:t xml:space="preserve">infrastructure, </w:t>
      </w:r>
      <w:r w:rsidR="00CB5D3F">
        <w:rPr>
          <w:rFonts w:eastAsia="Times New Roman"/>
        </w:rPr>
        <w:t>justice</w:t>
      </w:r>
      <w:r w:rsidR="00BB0B68">
        <w:rPr>
          <w:rFonts w:eastAsia="Times New Roman"/>
        </w:rPr>
        <w:t xml:space="preserve"> </w:t>
      </w:r>
      <w:r w:rsidR="00CB5D3F">
        <w:rPr>
          <w:rFonts w:eastAsia="Times New Roman"/>
        </w:rPr>
        <w:t xml:space="preserve">and economic reform will be critical. </w:t>
      </w:r>
      <w:r w:rsidRPr="009D6CA2">
        <w:rPr>
          <w:rFonts w:eastAsia="Times New Roman"/>
        </w:rPr>
        <w:t>We will continue to ensure that gender equality remains a priority for engagem</w:t>
      </w:r>
      <w:r w:rsidR="00874F0D">
        <w:rPr>
          <w:rFonts w:eastAsia="Times New Roman"/>
        </w:rPr>
        <w:t>ent with multilateral partners.</w:t>
      </w:r>
    </w:p>
    <w:p w14:paraId="43F062A8" w14:textId="77777777" w:rsidR="00D40151" w:rsidRPr="009D6CA2" w:rsidRDefault="00D40151" w:rsidP="009D6CA2">
      <w:pPr>
        <w:spacing w:after="120" w:line="280" w:lineRule="exact"/>
        <w:rPr>
          <w:rFonts w:eastAsia="Times New Roman"/>
        </w:rPr>
      </w:pPr>
      <w:r w:rsidRPr="009D6CA2">
        <w:rPr>
          <w:rFonts w:eastAsia="Times New Roman"/>
        </w:rPr>
        <w:t xml:space="preserve">2015-16 saw the completion of the </w:t>
      </w:r>
      <w:proofErr w:type="spellStart"/>
      <w:r w:rsidRPr="009D6CA2">
        <w:rPr>
          <w:rFonts w:eastAsia="Times New Roman"/>
        </w:rPr>
        <w:t>Strongim</w:t>
      </w:r>
      <w:proofErr w:type="spellEnd"/>
      <w:r w:rsidRPr="009D6CA2">
        <w:rPr>
          <w:rFonts w:eastAsia="Times New Roman"/>
        </w:rPr>
        <w:t xml:space="preserve"> </w:t>
      </w:r>
      <w:proofErr w:type="spellStart"/>
      <w:r w:rsidRPr="009D6CA2">
        <w:rPr>
          <w:rFonts w:eastAsia="Times New Roman"/>
        </w:rPr>
        <w:t>Yumi</w:t>
      </w:r>
      <w:proofErr w:type="spellEnd"/>
      <w:r w:rsidRPr="009D6CA2">
        <w:rPr>
          <w:rFonts w:eastAsia="Times New Roman"/>
        </w:rPr>
        <w:t xml:space="preserve"> </w:t>
      </w:r>
      <w:proofErr w:type="spellStart"/>
      <w:r w:rsidRPr="009D6CA2">
        <w:rPr>
          <w:rFonts w:eastAsia="Times New Roman"/>
        </w:rPr>
        <w:t>Togeta</w:t>
      </w:r>
      <w:proofErr w:type="spellEnd"/>
      <w:r w:rsidRPr="009D6CA2">
        <w:rPr>
          <w:rFonts w:eastAsia="Times New Roman"/>
        </w:rPr>
        <w:t xml:space="preserve"> NGO cooperation program in Solomon Islands. A program completion review found that while coordination and cooperation between NGOs improved during this program, it </w:t>
      </w:r>
      <w:r w:rsidR="00BB0B68">
        <w:rPr>
          <w:rFonts w:eastAsia="Times New Roman"/>
        </w:rPr>
        <w:t xml:space="preserve">did not demonstrate </w:t>
      </w:r>
      <w:r w:rsidR="00045544">
        <w:rPr>
          <w:rFonts w:eastAsia="Times New Roman"/>
        </w:rPr>
        <w:t xml:space="preserve">effectiveness, </w:t>
      </w:r>
      <w:r w:rsidR="00BB0B68">
        <w:rPr>
          <w:rFonts w:eastAsia="Times New Roman"/>
        </w:rPr>
        <w:t xml:space="preserve">sustainability or </w:t>
      </w:r>
      <w:r w:rsidRPr="009D6CA2">
        <w:rPr>
          <w:rFonts w:eastAsia="Times New Roman"/>
        </w:rPr>
        <w:t>value for money</w:t>
      </w:r>
      <w:r w:rsidR="00874F0D">
        <w:rPr>
          <w:rFonts w:eastAsia="Times New Roman"/>
        </w:rPr>
        <w:t>.</w:t>
      </w:r>
    </w:p>
    <w:p w14:paraId="780595C7" w14:textId="22C64184" w:rsidR="00F44FCD" w:rsidRDefault="00D40151" w:rsidP="00B92744">
      <w:pPr>
        <w:spacing w:after="120" w:line="280" w:lineRule="exact"/>
        <w:rPr>
          <w:rFonts w:asciiTheme="majorHAnsi" w:eastAsiaTheme="majorEastAsia" w:hAnsiTheme="majorHAnsi" w:cstheme="majorBidi"/>
          <w:sz w:val="38"/>
          <w:szCs w:val="26"/>
        </w:rPr>
      </w:pPr>
      <w:r w:rsidRPr="009D6CA2">
        <w:rPr>
          <w:rFonts w:eastAsia="Times New Roman"/>
        </w:rPr>
        <w:lastRenderedPageBreak/>
        <w:t xml:space="preserve">Nine Partner Performance Assessments were completed in 2015-16, </w:t>
      </w:r>
      <w:r w:rsidR="00FF3F30" w:rsidRPr="009D6CA2">
        <w:rPr>
          <w:rFonts w:eastAsia="Times New Roman"/>
        </w:rPr>
        <w:t xml:space="preserve">with all </w:t>
      </w:r>
      <w:r w:rsidRPr="009D6CA2">
        <w:rPr>
          <w:rFonts w:eastAsia="Times New Roman"/>
        </w:rPr>
        <w:t xml:space="preserve">ratings </w:t>
      </w:r>
      <w:r w:rsidR="00FF3F30" w:rsidRPr="009D6CA2">
        <w:rPr>
          <w:rFonts w:eastAsia="Times New Roman"/>
        </w:rPr>
        <w:t>at ‘</w:t>
      </w:r>
      <w:r w:rsidRPr="009D6CA2">
        <w:rPr>
          <w:rFonts w:eastAsia="Times New Roman"/>
        </w:rPr>
        <w:t>good</w:t>
      </w:r>
      <w:r w:rsidR="00FF3F30" w:rsidRPr="009D6CA2">
        <w:rPr>
          <w:rFonts w:eastAsia="Times New Roman"/>
        </w:rPr>
        <w:t>’</w:t>
      </w:r>
      <w:r w:rsidRPr="009D6CA2">
        <w:rPr>
          <w:rFonts w:eastAsia="Times New Roman"/>
        </w:rPr>
        <w:t xml:space="preserve"> or higher.</w:t>
      </w:r>
      <w:r w:rsidR="00FF3F30" w:rsidRPr="009D6CA2">
        <w:rPr>
          <w:rFonts w:eastAsia="Times New Roman"/>
        </w:rPr>
        <w:t xml:space="preserve"> Opportunities for improvement included a need for greater innovation and st</w:t>
      </w:r>
      <w:r w:rsidR="00874F0D">
        <w:rPr>
          <w:rFonts w:eastAsia="Times New Roman"/>
        </w:rPr>
        <w:t>rategic focus amongst partners</w:t>
      </w:r>
    </w:p>
    <w:p w14:paraId="094FEFD4" w14:textId="77777777" w:rsidR="002A51CA" w:rsidRPr="002A51CA" w:rsidRDefault="002A51CA" w:rsidP="002A51CA">
      <w:pPr>
        <w:pStyle w:val="Heading2"/>
      </w:pPr>
      <w:r w:rsidRPr="002A51CA">
        <w:t>Risks</w:t>
      </w:r>
    </w:p>
    <w:p w14:paraId="5AB0474B" w14:textId="77777777" w:rsidR="00F65487" w:rsidRPr="00655957" w:rsidRDefault="00F65487" w:rsidP="00F65487">
      <w:pPr>
        <w:rPr>
          <w:highlight w:val="yellow"/>
        </w:rPr>
      </w:pPr>
      <w:r w:rsidRPr="00655957">
        <w:t>Key risks over the period of 2015-2016 and proposed mitigation strategies are outlined below.</w:t>
      </w:r>
    </w:p>
    <w:p w14:paraId="37ABF9B0" w14:textId="5A4E9ED4" w:rsidR="002A51CA" w:rsidRDefault="002A51CA" w:rsidP="002A51CA">
      <w:pPr>
        <w:rPr>
          <w:b/>
          <w:sz w:val="24"/>
        </w:rPr>
      </w:pPr>
      <w:r w:rsidRPr="000E5412">
        <w:rPr>
          <w:b/>
          <w:sz w:val="24"/>
        </w:rPr>
        <w:t>Table 3 Management of Key Risks to Achieving Objectives</w:t>
      </w:r>
    </w:p>
    <w:p w14:paraId="153000A9" w14:textId="77777777" w:rsidR="005646A9" w:rsidRDefault="005646A9" w:rsidP="002A51CA">
      <w:pPr>
        <w:rPr>
          <w:b/>
          <w:sz w:val="24"/>
        </w:rPr>
      </w:pPr>
    </w:p>
    <w:tbl>
      <w:tblPr>
        <w:tblStyle w:val="APPR2"/>
        <w:tblW w:w="5000" w:type="pct"/>
        <w:tblLook w:val="0600" w:firstRow="0" w:lastRow="0" w:firstColumn="0" w:lastColumn="0" w:noHBand="1" w:noVBand="1"/>
      </w:tblPr>
      <w:tblGrid>
        <w:gridCol w:w="1909"/>
        <w:gridCol w:w="2926"/>
        <w:gridCol w:w="2937"/>
        <w:gridCol w:w="1866"/>
      </w:tblGrid>
      <w:tr w:rsidR="00F65487" w:rsidRPr="00C61187" w14:paraId="784CBEE6" w14:textId="77777777" w:rsidTr="005646A9">
        <w:tc>
          <w:tcPr>
            <w:tcW w:w="1867" w:type="dxa"/>
            <w:tcBorders>
              <w:top w:val="nil"/>
              <w:bottom w:val="nil"/>
            </w:tcBorders>
          </w:tcPr>
          <w:p w14:paraId="5B96AEED" w14:textId="77777777" w:rsidR="00F65487" w:rsidRPr="006C2E33" w:rsidRDefault="00F65487" w:rsidP="006C2E33">
            <w:pPr>
              <w:keepLines/>
              <w:spacing w:before="80" w:after="80" w:line="200" w:lineRule="atLeast"/>
              <w:rPr>
                <w:rFonts w:ascii="Helvetica" w:eastAsia="Times New Roman" w:hAnsi="Helvetica"/>
                <w:b/>
                <w:iCs/>
                <w:szCs w:val="17"/>
              </w:rPr>
            </w:pPr>
            <w:r w:rsidRPr="006C2E33">
              <w:rPr>
                <w:rFonts w:ascii="Helvetica" w:eastAsia="Times New Roman" w:hAnsi="Helvetica"/>
                <w:b/>
                <w:iCs/>
                <w:szCs w:val="17"/>
              </w:rPr>
              <w:t>Key risks</w:t>
            </w:r>
          </w:p>
        </w:tc>
        <w:tc>
          <w:tcPr>
            <w:tcW w:w="2898" w:type="dxa"/>
            <w:tcBorders>
              <w:top w:val="nil"/>
              <w:bottom w:val="nil"/>
            </w:tcBorders>
          </w:tcPr>
          <w:p w14:paraId="3EC199B5" w14:textId="77777777" w:rsidR="00F65487" w:rsidRPr="006C2E33" w:rsidRDefault="00F65487" w:rsidP="006C2E33">
            <w:pPr>
              <w:keepLines/>
              <w:spacing w:before="80" w:after="80" w:line="200" w:lineRule="atLeast"/>
              <w:rPr>
                <w:rFonts w:ascii="Helvetica" w:eastAsia="Times New Roman" w:hAnsi="Helvetica"/>
                <w:b/>
                <w:iCs/>
                <w:szCs w:val="17"/>
              </w:rPr>
            </w:pPr>
            <w:r w:rsidRPr="006C2E33">
              <w:rPr>
                <w:rFonts w:ascii="Helvetica" w:eastAsia="Times New Roman" w:hAnsi="Helvetica"/>
                <w:b/>
                <w:iCs/>
                <w:szCs w:val="17"/>
              </w:rPr>
              <w:t>What actions were taken to manage the risks over the past year?</w:t>
            </w:r>
          </w:p>
        </w:tc>
        <w:tc>
          <w:tcPr>
            <w:tcW w:w="2909" w:type="dxa"/>
            <w:tcBorders>
              <w:top w:val="nil"/>
              <w:bottom w:val="nil"/>
            </w:tcBorders>
          </w:tcPr>
          <w:p w14:paraId="243285E7" w14:textId="77777777" w:rsidR="00F65487" w:rsidRPr="006C2E33" w:rsidRDefault="00F65487" w:rsidP="006C2E33">
            <w:pPr>
              <w:keepLines/>
              <w:spacing w:before="80" w:after="80" w:line="200" w:lineRule="atLeast"/>
              <w:rPr>
                <w:rFonts w:ascii="Helvetica" w:eastAsia="Times New Roman" w:hAnsi="Helvetica"/>
                <w:b/>
                <w:iCs/>
                <w:szCs w:val="17"/>
              </w:rPr>
            </w:pPr>
            <w:r w:rsidRPr="006C2E33">
              <w:rPr>
                <w:rFonts w:ascii="Helvetica" w:eastAsia="Times New Roman" w:hAnsi="Helvetica"/>
                <w:b/>
                <w:iCs/>
                <w:szCs w:val="17"/>
              </w:rPr>
              <w:t>What further actions will be taken to manage the risks in the coming year?</w:t>
            </w:r>
          </w:p>
        </w:tc>
        <w:tc>
          <w:tcPr>
            <w:tcW w:w="1824" w:type="dxa"/>
            <w:tcBorders>
              <w:top w:val="nil"/>
              <w:bottom w:val="nil"/>
            </w:tcBorders>
          </w:tcPr>
          <w:p w14:paraId="4147BDE5" w14:textId="77777777" w:rsidR="00F65487" w:rsidRPr="006C2E33" w:rsidRDefault="00F65487" w:rsidP="006C2E33">
            <w:pPr>
              <w:keepLines/>
              <w:spacing w:before="80" w:after="80" w:line="200" w:lineRule="atLeast"/>
              <w:rPr>
                <w:rFonts w:ascii="Helvetica" w:eastAsia="Times New Roman" w:hAnsi="Helvetica"/>
                <w:b/>
                <w:iCs/>
                <w:szCs w:val="17"/>
              </w:rPr>
            </w:pPr>
            <w:r w:rsidRPr="006C2E33">
              <w:rPr>
                <w:rFonts w:ascii="Helvetica" w:eastAsia="Times New Roman" w:hAnsi="Helvetica"/>
                <w:b/>
                <w:iCs/>
                <w:szCs w:val="17"/>
              </w:rPr>
              <w:t>For emerging</w:t>
            </w:r>
            <w:r w:rsidR="00BE0AE5">
              <w:rPr>
                <w:rFonts w:ascii="Helvetica" w:eastAsia="Times New Roman" w:hAnsi="Helvetica"/>
                <w:b/>
                <w:iCs/>
                <w:szCs w:val="17"/>
              </w:rPr>
              <w:t xml:space="preserve"> </w:t>
            </w:r>
            <w:r w:rsidRPr="006C2E33">
              <w:rPr>
                <w:rFonts w:ascii="Helvetica" w:eastAsia="Times New Roman" w:hAnsi="Helvetica"/>
                <w:b/>
                <w:iCs/>
                <w:szCs w:val="17"/>
              </w:rPr>
              <w:t>/ongoing risks provide a Risk Rating (low, medium, high, very high)</w:t>
            </w:r>
          </w:p>
        </w:tc>
      </w:tr>
      <w:tr w:rsidR="00AA2E09" w:rsidRPr="00C61187" w14:paraId="0CFC6CCC" w14:textId="77777777" w:rsidTr="005646A9">
        <w:tc>
          <w:tcPr>
            <w:tcW w:w="1867" w:type="dxa"/>
            <w:tcBorders>
              <w:top w:val="nil"/>
              <w:bottom w:val="nil"/>
            </w:tcBorders>
          </w:tcPr>
          <w:p w14:paraId="33446D0D" w14:textId="77777777" w:rsidR="00AA2E09" w:rsidRPr="006C2E33" w:rsidRDefault="00AA2E09"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Solomon Islands experiences a return to conflict</w:t>
            </w:r>
          </w:p>
        </w:tc>
        <w:tc>
          <w:tcPr>
            <w:tcW w:w="2898" w:type="dxa"/>
            <w:tcBorders>
              <w:top w:val="nil"/>
              <w:bottom w:val="nil"/>
            </w:tcBorders>
          </w:tcPr>
          <w:p w14:paraId="631849FC" w14:textId="77777777" w:rsidR="00AA2E09" w:rsidRPr="006C2E33" w:rsidRDefault="00AA2E0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Aid investments continued to support Solomon Islands Government efforts to maintain law and order, such as through the Solomon Islands Justice Program. Designs for the next phases of the </w:t>
            </w:r>
            <w:r w:rsidR="0030308F" w:rsidRPr="006C2E33">
              <w:rPr>
                <w:rFonts w:asciiTheme="minorHAnsi" w:eastAsia="Times New Roman" w:hAnsiTheme="minorHAnsi"/>
                <w:iCs/>
                <w:color w:val="auto"/>
                <w:szCs w:val="17"/>
                <w:lang w:eastAsia="en-US"/>
              </w:rPr>
              <w:t>g</w:t>
            </w:r>
            <w:r w:rsidRPr="006C2E33">
              <w:rPr>
                <w:rFonts w:asciiTheme="minorHAnsi" w:eastAsia="Times New Roman" w:hAnsiTheme="minorHAnsi"/>
                <w:iCs/>
                <w:color w:val="auto"/>
                <w:szCs w:val="17"/>
                <w:lang w:eastAsia="en-US"/>
              </w:rPr>
              <w:t xml:space="preserve">overnance, </w:t>
            </w:r>
            <w:r w:rsidR="0030308F" w:rsidRPr="006C2E33">
              <w:rPr>
                <w:rFonts w:asciiTheme="minorHAnsi" w:eastAsia="Times New Roman" w:hAnsiTheme="minorHAnsi"/>
                <w:iCs/>
                <w:color w:val="auto"/>
                <w:szCs w:val="17"/>
                <w:lang w:eastAsia="en-US"/>
              </w:rPr>
              <w:t>l</w:t>
            </w:r>
            <w:r w:rsidRPr="006C2E33">
              <w:rPr>
                <w:rFonts w:asciiTheme="minorHAnsi" w:eastAsia="Times New Roman" w:hAnsiTheme="minorHAnsi"/>
                <w:iCs/>
                <w:color w:val="auto"/>
                <w:szCs w:val="17"/>
                <w:lang w:eastAsia="en-US"/>
              </w:rPr>
              <w:t xml:space="preserve">aw and </w:t>
            </w:r>
            <w:r w:rsidR="0030308F" w:rsidRPr="006C2E33">
              <w:rPr>
                <w:rFonts w:asciiTheme="minorHAnsi" w:eastAsia="Times New Roman" w:hAnsiTheme="minorHAnsi"/>
                <w:iCs/>
                <w:color w:val="auto"/>
                <w:szCs w:val="17"/>
                <w:lang w:eastAsia="en-US"/>
              </w:rPr>
              <w:t>j</w:t>
            </w:r>
            <w:r w:rsidRPr="006C2E33">
              <w:rPr>
                <w:rFonts w:asciiTheme="minorHAnsi" w:eastAsia="Times New Roman" w:hAnsiTheme="minorHAnsi"/>
                <w:iCs/>
                <w:color w:val="auto"/>
                <w:szCs w:val="17"/>
                <w:lang w:eastAsia="en-US"/>
              </w:rPr>
              <w:t xml:space="preserve">ustice and </w:t>
            </w:r>
            <w:r w:rsidR="0030308F" w:rsidRPr="006C2E33">
              <w:rPr>
                <w:rFonts w:asciiTheme="minorHAnsi" w:eastAsia="Times New Roman" w:hAnsiTheme="minorHAnsi"/>
                <w:iCs/>
                <w:color w:val="auto"/>
                <w:szCs w:val="17"/>
                <w:lang w:eastAsia="en-US"/>
              </w:rPr>
              <w:t>p</w:t>
            </w:r>
            <w:r w:rsidRPr="006C2E33">
              <w:rPr>
                <w:rFonts w:asciiTheme="minorHAnsi" w:eastAsia="Times New Roman" w:hAnsiTheme="minorHAnsi"/>
                <w:iCs/>
                <w:color w:val="auto"/>
                <w:szCs w:val="17"/>
                <w:lang w:eastAsia="en-US"/>
              </w:rPr>
              <w:t xml:space="preserve">olicing programs commenced. </w:t>
            </w:r>
            <w:r w:rsidR="00C62968" w:rsidRPr="006C2E33">
              <w:rPr>
                <w:rFonts w:asciiTheme="minorHAnsi" w:eastAsia="Times New Roman" w:hAnsiTheme="minorHAnsi"/>
                <w:iCs/>
                <w:color w:val="auto"/>
                <w:szCs w:val="17"/>
                <w:lang w:eastAsia="en-US"/>
              </w:rPr>
              <w:t>Programming shifts were gradual.</w:t>
            </w:r>
          </w:p>
        </w:tc>
        <w:tc>
          <w:tcPr>
            <w:tcW w:w="2909" w:type="dxa"/>
            <w:tcBorders>
              <w:top w:val="nil"/>
              <w:bottom w:val="nil"/>
            </w:tcBorders>
          </w:tcPr>
          <w:p w14:paraId="35DB4694" w14:textId="77777777" w:rsidR="00AA2E09" w:rsidRPr="006C2E33" w:rsidRDefault="00C62968"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Programming adjustments towards growth will continue to be gradual, with programming f</w:t>
            </w:r>
            <w:r w:rsidR="00AA2E09" w:rsidRPr="006C2E33">
              <w:rPr>
                <w:rFonts w:asciiTheme="minorHAnsi" w:eastAsia="Times New Roman" w:hAnsiTheme="minorHAnsi"/>
                <w:iCs/>
                <w:color w:val="auto"/>
                <w:szCs w:val="17"/>
                <w:lang w:eastAsia="en-US"/>
              </w:rPr>
              <w:t xml:space="preserve">lexibility retained to slow this transition </w:t>
            </w:r>
            <w:r w:rsidRPr="006C2E33">
              <w:rPr>
                <w:rFonts w:asciiTheme="minorHAnsi" w:eastAsia="Times New Roman" w:hAnsiTheme="minorHAnsi"/>
                <w:iCs/>
                <w:color w:val="auto"/>
                <w:szCs w:val="17"/>
                <w:lang w:eastAsia="en-US"/>
              </w:rPr>
              <w:t>if required</w:t>
            </w:r>
            <w:r w:rsidR="00AA2E09" w:rsidRPr="006C2E33">
              <w:rPr>
                <w:rFonts w:asciiTheme="minorHAnsi" w:eastAsia="Times New Roman" w:hAnsiTheme="minorHAnsi"/>
                <w:iCs/>
                <w:color w:val="auto"/>
                <w:szCs w:val="17"/>
                <w:lang w:eastAsia="en-US"/>
              </w:rPr>
              <w:t xml:space="preserve">. Governance, </w:t>
            </w:r>
            <w:r w:rsidR="0030308F" w:rsidRPr="006C2E33">
              <w:rPr>
                <w:rFonts w:asciiTheme="minorHAnsi" w:eastAsia="Times New Roman" w:hAnsiTheme="minorHAnsi"/>
                <w:iCs/>
                <w:color w:val="auto"/>
                <w:szCs w:val="17"/>
                <w:lang w:eastAsia="en-US"/>
              </w:rPr>
              <w:t>l</w:t>
            </w:r>
            <w:r w:rsidR="00AA2E09" w:rsidRPr="006C2E33">
              <w:rPr>
                <w:rFonts w:asciiTheme="minorHAnsi" w:eastAsia="Times New Roman" w:hAnsiTheme="minorHAnsi"/>
                <w:iCs/>
                <w:color w:val="auto"/>
                <w:szCs w:val="17"/>
                <w:lang w:eastAsia="en-US"/>
              </w:rPr>
              <w:t xml:space="preserve">aw and </w:t>
            </w:r>
            <w:r w:rsidR="0030308F" w:rsidRPr="006C2E33">
              <w:rPr>
                <w:rFonts w:asciiTheme="minorHAnsi" w:eastAsia="Times New Roman" w:hAnsiTheme="minorHAnsi"/>
                <w:iCs/>
                <w:color w:val="auto"/>
                <w:szCs w:val="17"/>
                <w:lang w:eastAsia="en-US"/>
              </w:rPr>
              <w:t>j</w:t>
            </w:r>
            <w:r w:rsidR="00AA2E09" w:rsidRPr="006C2E33">
              <w:rPr>
                <w:rFonts w:asciiTheme="minorHAnsi" w:eastAsia="Times New Roman" w:hAnsiTheme="minorHAnsi"/>
                <w:iCs/>
                <w:color w:val="auto"/>
                <w:szCs w:val="17"/>
                <w:lang w:eastAsia="en-US"/>
              </w:rPr>
              <w:t xml:space="preserve">ustice and </w:t>
            </w:r>
            <w:r w:rsidR="0030308F" w:rsidRPr="006C2E33">
              <w:rPr>
                <w:rFonts w:asciiTheme="minorHAnsi" w:eastAsia="Times New Roman" w:hAnsiTheme="minorHAnsi"/>
                <w:iCs/>
                <w:color w:val="auto"/>
                <w:szCs w:val="17"/>
                <w:lang w:eastAsia="en-US"/>
              </w:rPr>
              <w:t>p</w:t>
            </w:r>
            <w:r w:rsidR="00AA2E09" w:rsidRPr="006C2E33">
              <w:rPr>
                <w:rFonts w:asciiTheme="minorHAnsi" w:eastAsia="Times New Roman" w:hAnsiTheme="minorHAnsi"/>
                <w:iCs/>
                <w:color w:val="auto"/>
                <w:szCs w:val="17"/>
                <w:lang w:eastAsia="en-US"/>
              </w:rPr>
              <w:t>olicing program designs will be completed in a coordinated manner to ensure cohe</w:t>
            </w:r>
            <w:r w:rsidRPr="006C2E33">
              <w:rPr>
                <w:rFonts w:asciiTheme="minorHAnsi" w:eastAsia="Times New Roman" w:hAnsiTheme="minorHAnsi"/>
                <w:iCs/>
                <w:color w:val="auto"/>
                <w:szCs w:val="17"/>
                <w:lang w:eastAsia="en-US"/>
              </w:rPr>
              <w:t>rence</w:t>
            </w:r>
            <w:r w:rsidR="00AA2E09" w:rsidRPr="006C2E33">
              <w:rPr>
                <w:rFonts w:asciiTheme="minorHAnsi" w:eastAsia="Times New Roman" w:hAnsiTheme="minorHAnsi"/>
                <w:iCs/>
                <w:color w:val="auto"/>
                <w:szCs w:val="17"/>
                <w:lang w:eastAsia="en-US"/>
              </w:rPr>
              <w:t xml:space="preserve"> across the programs</w:t>
            </w:r>
            <w:r w:rsidR="00A262EE" w:rsidRPr="006C2E33">
              <w:rPr>
                <w:rFonts w:asciiTheme="minorHAnsi" w:eastAsia="Times New Roman" w:hAnsiTheme="minorHAnsi"/>
                <w:iCs/>
                <w:color w:val="auto"/>
                <w:szCs w:val="17"/>
                <w:lang w:eastAsia="en-US"/>
              </w:rPr>
              <w:t xml:space="preserve">. </w:t>
            </w:r>
            <w:r w:rsidR="00941EE0" w:rsidRPr="006C2E33">
              <w:rPr>
                <w:rFonts w:asciiTheme="minorHAnsi" w:eastAsia="Times New Roman" w:hAnsiTheme="minorHAnsi"/>
                <w:iCs/>
                <w:color w:val="auto"/>
                <w:szCs w:val="17"/>
                <w:lang w:eastAsia="en-US"/>
              </w:rPr>
              <w:t>Continue to monitor security situation through discussions with Solomon Islands Government and other partners, including AFP and RAMSI.</w:t>
            </w:r>
          </w:p>
        </w:tc>
        <w:tc>
          <w:tcPr>
            <w:tcW w:w="1824" w:type="dxa"/>
            <w:tcBorders>
              <w:top w:val="nil"/>
              <w:bottom w:val="nil"/>
            </w:tcBorders>
          </w:tcPr>
          <w:p w14:paraId="382F632C" w14:textId="77777777" w:rsidR="00AA2E09" w:rsidRPr="006C2E33" w:rsidRDefault="00031536"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High</w:t>
            </w:r>
          </w:p>
        </w:tc>
      </w:tr>
      <w:tr w:rsidR="00F65487" w:rsidRPr="00C61187" w14:paraId="0F99CE64" w14:textId="77777777" w:rsidTr="005646A9">
        <w:tc>
          <w:tcPr>
            <w:tcW w:w="1867" w:type="dxa"/>
            <w:tcBorders>
              <w:top w:val="nil"/>
              <w:bottom w:val="nil"/>
            </w:tcBorders>
            <w:hideMark/>
          </w:tcPr>
          <w:p w14:paraId="4AE69178" w14:textId="77777777" w:rsidR="00F65487" w:rsidRPr="006C2E33" w:rsidRDefault="00F65487"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Dynamic political context leads to changes in development priorities and loss of program momentum</w:t>
            </w:r>
          </w:p>
        </w:tc>
        <w:tc>
          <w:tcPr>
            <w:tcW w:w="2898" w:type="dxa"/>
            <w:tcBorders>
              <w:top w:val="nil"/>
              <w:bottom w:val="nil"/>
            </w:tcBorders>
          </w:tcPr>
          <w:p w14:paraId="0A678DC0" w14:textId="77777777" w:rsidR="00F65487" w:rsidRPr="006C2E33" w:rsidRDefault="00AA2E0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Policy dialogue </w:t>
            </w:r>
            <w:r w:rsidR="006429CA" w:rsidRPr="006C2E33">
              <w:rPr>
                <w:rFonts w:asciiTheme="minorHAnsi" w:eastAsia="Times New Roman" w:hAnsiTheme="minorHAnsi"/>
                <w:iCs/>
                <w:color w:val="auto"/>
                <w:szCs w:val="17"/>
                <w:lang w:eastAsia="en-US"/>
              </w:rPr>
              <w:t xml:space="preserve">in key sectors </w:t>
            </w:r>
            <w:r w:rsidRPr="006C2E33">
              <w:rPr>
                <w:rFonts w:asciiTheme="minorHAnsi" w:eastAsia="Times New Roman" w:hAnsiTheme="minorHAnsi"/>
                <w:iCs/>
                <w:color w:val="auto"/>
                <w:szCs w:val="17"/>
                <w:lang w:eastAsia="en-US"/>
              </w:rPr>
              <w:t xml:space="preserve">with Solomon Islands Government </w:t>
            </w:r>
            <w:r w:rsidR="006429CA" w:rsidRPr="006C2E33">
              <w:rPr>
                <w:rFonts w:asciiTheme="minorHAnsi" w:eastAsia="Times New Roman" w:hAnsiTheme="minorHAnsi"/>
                <w:iCs/>
                <w:color w:val="auto"/>
                <w:szCs w:val="17"/>
                <w:lang w:eastAsia="en-US"/>
              </w:rPr>
              <w:t xml:space="preserve">on </w:t>
            </w:r>
            <w:r w:rsidRPr="006C2E33">
              <w:rPr>
                <w:rFonts w:asciiTheme="minorHAnsi" w:eastAsia="Times New Roman" w:hAnsiTheme="minorHAnsi"/>
                <w:iCs/>
                <w:color w:val="auto"/>
                <w:szCs w:val="17"/>
                <w:lang w:eastAsia="en-US"/>
              </w:rPr>
              <w:t xml:space="preserve">priority setting and the budget process. Annual High Level Consultations were held in August 2015, </w:t>
            </w:r>
            <w:r w:rsidR="006429CA" w:rsidRPr="006C2E33">
              <w:rPr>
                <w:rFonts w:asciiTheme="minorHAnsi" w:eastAsia="Times New Roman" w:hAnsiTheme="minorHAnsi"/>
                <w:iCs/>
                <w:color w:val="auto"/>
                <w:szCs w:val="17"/>
                <w:lang w:eastAsia="en-US"/>
              </w:rPr>
              <w:t xml:space="preserve">testing </w:t>
            </w:r>
            <w:r w:rsidRPr="006C2E33">
              <w:rPr>
                <w:rFonts w:asciiTheme="minorHAnsi" w:eastAsia="Times New Roman" w:hAnsiTheme="minorHAnsi"/>
                <w:iCs/>
                <w:color w:val="auto"/>
                <w:szCs w:val="17"/>
                <w:lang w:eastAsia="en-US"/>
              </w:rPr>
              <w:t>alignment of Australian investments to ensure the bilateral program remains targeted and complementary to Solomon Islands Government priorities and investments.</w:t>
            </w:r>
          </w:p>
        </w:tc>
        <w:tc>
          <w:tcPr>
            <w:tcW w:w="2909" w:type="dxa"/>
            <w:tcBorders>
              <w:top w:val="nil"/>
              <w:bottom w:val="nil"/>
            </w:tcBorders>
          </w:tcPr>
          <w:p w14:paraId="41B5BA78" w14:textId="77777777" w:rsidR="00F65487" w:rsidRPr="006C2E33" w:rsidRDefault="006429CA"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C</w:t>
            </w:r>
            <w:r w:rsidR="00AA2E09" w:rsidRPr="006C2E33">
              <w:rPr>
                <w:rFonts w:asciiTheme="minorHAnsi" w:eastAsia="Times New Roman" w:hAnsiTheme="minorHAnsi"/>
                <w:iCs/>
                <w:color w:val="auto"/>
                <w:szCs w:val="17"/>
                <w:lang w:eastAsia="en-US"/>
              </w:rPr>
              <w:t xml:space="preserve">ontinue to monitor the political context closely and maintain strong communication with key Solomon Islands Government decision-makers. Formal policy dialogue through </w:t>
            </w:r>
            <w:r w:rsidR="00320F65" w:rsidRPr="006C2E33">
              <w:rPr>
                <w:rFonts w:asciiTheme="minorHAnsi" w:eastAsia="Times New Roman" w:hAnsiTheme="minorHAnsi"/>
                <w:iCs/>
                <w:color w:val="auto"/>
                <w:szCs w:val="17"/>
                <w:lang w:eastAsia="en-US"/>
              </w:rPr>
              <w:t>High Level Consultations</w:t>
            </w:r>
            <w:r w:rsidR="00AA2E09" w:rsidRPr="006C2E33">
              <w:rPr>
                <w:rFonts w:asciiTheme="minorHAnsi" w:eastAsia="Times New Roman" w:hAnsiTheme="minorHAnsi"/>
                <w:iCs/>
                <w:color w:val="auto"/>
                <w:szCs w:val="17"/>
                <w:lang w:eastAsia="en-US"/>
              </w:rPr>
              <w:t xml:space="preserve">, the Core Economic Working Group (where possible), and regular working-level sectoral contact will </w:t>
            </w:r>
            <w:r w:rsidR="00F333D2" w:rsidRPr="006C2E33">
              <w:rPr>
                <w:rFonts w:asciiTheme="minorHAnsi" w:eastAsia="Times New Roman" w:hAnsiTheme="minorHAnsi"/>
                <w:iCs/>
                <w:color w:val="auto"/>
                <w:szCs w:val="17"/>
                <w:lang w:eastAsia="en-US"/>
              </w:rPr>
              <w:t xml:space="preserve">continue to </w:t>
            </w:r>
            <w:r w:rsidR="00AA2E09" w:rsidRPr="006C2E33">
              <w:rPr>
                <w:rFonts w:asciiTheme="minorHAnsi" w:eastAsia="Times New Roman" w:hAnsiTheme="minorHAnsi"/>
                <w:iCs/>
                <w:color w:val="auto"/>
                <w:szCs w:val="17"/>
                <w:lang w:eastAsia="en-US"/>
              </w:rPr>
              <w:t xml:space="preserve">take place. A new Aid Partnership Arrangement will be </w:t>
            </w:r>
            <w:r w:rsidR="00320F65" w:rsidRPr="006C2E33">
              <w:rPr>
                <w:rFonts w:asciiTheme="minorHAnsi" w:eastAsia="Times New Roman" w:hAnsiTheme="minorHAnsi"/>
                <w:iCs/>
                <w:color w:val="auto"/>
                <w:szCs w:val="17"/>
                <w:lang w:eastAsia="en-US"/>
              </w:rPr>
              <w:t>agreed</w:t>
            </w:r>
            <w:r w:rsidR="00AA2E09" w:rsidRPr="006C2E33">
              <w:rPr>
                <w:rFonts w:asciiTheme="minorHAnsi" w:eastAsia="Times New Roman" w:hAnsiTheme="minorHAnsi"/>
                <w:iCs/>
                <w:color w:val="auto"/>
                <w:szCs w:val="17"/>
                <w:lang w:eastAsia="en-US"/>
              </w:rPr>
              <w:t xml:space="preserve"> with Solomon Islands Government.</w:t>
            </w:r>
          </w:p>
        </w:tc>
        <w:tc>
          <w:tcPr>
            <w:tcW w:w="1824" w:type="dxa"/>
            <w:tcBorders>
              <w:top w:val="nil"/>
              <w:bottom w:val="nil"/>
            </w:tcBorders>
          </w:tcPr>
          <w:p w14:paraId="73BF5E83" w14:textId="77777777" w:rsidR="00F65487" w:rsidRPr="006C2E33" w:rsidRDefault="00411DC1"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High</w:t>
            </w:r>
          </w:p>
        </w:tc>
      </w:tr>
      <w:tr w:rsidR="00F65487" w:rsidRPr="00C61187" w14:paraId="7E34D712" w14:textId="77777777" w:rsidTr="005646A9">
        <w:trPr>
          <w:trHeight w:val="2495"/>
        </w:trPr>
        <w:tc>
          <w:tcPr>
            <w:tcW w:w="1867" w:type="dxa"/>
          </w:tcPr>
          <w:p w14:paraId="1A8F7D1D" w14:textId="77777777" w:rsidR="00F65487" w:rsidRPr="006C2E33" w:rsidRDefault="00F65487"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Australia’s aid program fails to achieve its stated objectives</w:t>
            </w:r>
          </w:p>
        </w:tc>
        <w:tc>
          <w:tcPr>
            <w:tcW w:w="2898" w:type="dxa"/>
          </w:tcPr>
          <w:p w14:paraId="0DBF9083" w14:textId="77777777" w:rsidR="00F65487" w:rsidRPr="006C2E33" w:rsidRDefault="00AA2E0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An Aid Investment Plan for the period 2015-16 to 2018</w:t>
            </w:r>
            <w:r w:rsidR="00D21001" w:rsidRPr="006C2E33">
              <w:rPr>
                <w:rFonts w:asciiTheme="minorHAnsi" w:eastAsia="Times New Roman" w:hAnsiTheme="minorHAnsi"/>
                <w:iCs/>
                <w:color w:val="auto"/>
                <w:szCs w:val="17"/>
                <w:lang w:eastAsia="en-US"/>
              </w:rPr>
              <w:noBreakHyphen/>
            </w:r>
            <w:r w:rsidRPr="006C2E33">
              <w:rPr>
                <w:rFonts w:asciiTheme="minorHAnsi" w:eastAsia="Times New Roman" w:hAnsiTheme="minorHAnsi"/>
                <w:iCs/>
                <w:color w:val="auto"/>
                <w:szCs w:val="17"/>
                <w:lang w:eastAsia="en-US"/>
              </w:rPr>
              <w:t xml:space="preserve">19 was </w:t>
            </w:r>
            <w:r w:rsidR="00FB385D" w:rsidRPr="006C2E33">
              <w:rPr>
                <w:rFonts w:asciiTheme="minorHAnsi" w:eastAsia="Times New Roman" w:hAnsiTheme="minorHAnsi"/>
                <w:iCs/>
                <w:color w:val="auto"/>
                <w:szCs w:val="17"/>
                <w:lang w:eastAsia="en-US"/>
              </w:rPr>
              <w:t>finalised</w:t>
            </w:r>
            <w:r w:rsidRPr="006C2E33">
              <w:rPr>
                <w:rFonts w:asciiTheme="minorHAnsi" w:eastAsia="Times New Roman" w:hAnsiTheme="minorHAnsi"/>
                <w:iCs/>
                <w:color w:val="auto"/>
                <w:szCs w:val="17"/>
                <w:lang w:eastAsia="en-US"/>
              </w:rPr>
              <w:t xml:space="preserve">, </w:t>
            </w:r>
            <w:r w:rsidR="006429CA" w:rsidRPr="006C2E33">
              <w:rPr>
                <w:rFonts w:asciiTheme="minorHAnsi" w:eastAsia="Times New Roman" w:hAnsiTheme="minorHAnsi"/>
                <w:iCs/>
                <w:color w:val="auto"/>
                <w:szCs w:val="17"/>
                <w:lang w:eastAsia="en-US"/>
              </w:rPr>
              <w:t>o</w:t>
            </w:r>
            <w:r w:rsidRPr="006C2E33">
              <w:rPr>
                <w:rFonts w:asciiTheme="minorHAnsi" w:eastAsia="Times New Roman" w:hAnsiTheme="minorHAnsi"/>
                <w:iCs/>
                <w:color w:val="auto"/>
                <w:szCs w:val="17"/>
                <w:lang w:eastAsia="en-US"/>
              </w:rPr>
              <w:t>utlin</w:t>
            </w:r>
            <w:r w:rsidR="006429CA" w:rsidRPr="006C2E33">
              <w:rPr>
                <w:rFonts w:asciiTheme="minorHAnsi" w:eastAsia="Times New Roman" w:hAnsiTheme="minorHAnsi"/>
                <w:iCs/>
                <w:color w:val="auto"/>
                <w:szCs w:val="17"/>
                <w:lang w:eastAsia="en-US"/>
              </w:rPr>
              <w:t>ing</w:t>
            </w:r>
            <w:r w:rsidRPr="006C2E33">
              <w:rPr>
                <w:rFonts w:asciiTheme="minorHAnsi" w:eastAsia="Times New Roman" w:hAnsiTheme="minorHAnsi"/>
                <w:iCs/>
                <w:color w:val="auto"/>
                <w:szCs w:val="17"/>
                <w:lang w:eastAsia="en-US"/>
              </w:rPr>
              <w:t xml:space="preserve"> a clear strategic direction for the aid program. Performance incentive mechanisms </w:t>
            </w:r>
            <w:r w:rsidR="00615A5B" w:rsidRPr="006C2E33">
              <w:rPr>
                <w:rFonts w:asciiTheme="minorHAnsi" w:eastAsia="Times New Roman" w:hAnsiTheme="minorHAnsi"/>
                <w:iCs/>
                <w:color w:val="auto"/>
                <w:szCs w:val="17"/>
                <w:lang w:eastAsia="en-US"/>
              </w:rPr>
              <w:t xml:space="preserve">are </w:t>
            </w:r>
            <w:r w:rsidRPr="006C2E33">
              <w:rPr>
                <w:rFonts w:asciiTheme="minorHAnsi" w:eastAsia="Times New Roman" w:hAnsiTheme="minorHAnsi"/>
                <w:iCs/>
                <w:color w:val="auto"/>
                <w:szCs w:val="17"/>
                <w:lang w:eastAsia="en-US"/>
              </w:rPr>
              <w:t>in place across the aid program in Solomon Islands, including independent performance assessments and performance linked aid.</w:t>
            </w:r>
            <w:r w:rsidR="00D21001" w:rsidRPr="006C2E33">
              <w:rPr>
                <w:rFonts w:asciiTheme="minorHAnsi" w:eastAsia="Times New Roman" w:hAnsiTheme="minorHAnsi"/>
                <w:iCs/>
                <w:color w:val="auto"/>
                <w:szCs w:val="17"/>
                <w:lang w:eastAsia="en-US"/>
              </w:rPr>
              <w:t xml:space="preserve"> A whole of program Performance Assessment Framework has been developed to track performance of the aid program against objectives</w:t>
            </w:r>
            <w:r w:rsidR="00A262EE" w:rsidRPr="006C2E33">
              <w:rPr>
                <w:rFonts w:asciiTheme="minorHAnsi" w:eastAsia="Times New Roman" w:hAnsiTheme="minorHAnsi"/>
                <w:iCs/>
                <w:color w:val="auto"/>
                <w:szCs w:val="17"/>
                <w:lang w:eastAsia="en-US"/>
              </w:rPr>
              <w:t xml:space="preserve">. </w:t>
            </w:r>
            <w:r w:rsidR="00D21001" w:rsidRPr="006C2E33">
              <w:rPr>
                <w:rFonts w:asciiTheme="minorHAnsi" w:eastAsia="Times New Roman" w:hAnsiTheme="minorHAnsi"/>
                <w:iCs/>
                <w:color w:val="auto"/>
                <w:szCs w:val="17"/>
                <w:lang w:eastAsia="en-US"/>
              </w:rPr>
              <w:t xml:space="preserve">A program reflection workshop was held to assess progress against the </w:t>
            </w:r>
            <w:r w:rsidR="002F55A2" w:rsidRPr="006C2E33">
              <w:rPr>
                <w:rFonts w:asciiTheme="minorHAnsi" w:eastAsia="Times New Roman" w:hAnsiTheme="minorHAnsi"/>
                <w:iCs/>
                <w:color w:val="auto"/>
                <w:szCs w:val="17"/>
                <w:lang w:eastAsia="en-US"/>
              </w:rPr>
              <w:t>AIP</w:t>
            </w:r>
            <w:r w:rsidR="00D21001" w:rsidRPr="006C2E33">
              <w:rPr>
                <w:rFonts w:asciiTheme="minorHAnsi" w:eastAsia="Times New Roman" w:hAnsiTheme="minorHAnsi"/>
                <w:iCs/>
                <w:color w:val="auto"/>
                <w:szCs w:val="17"/>
                <w:lang w:eastAsia="en-US"/>
              </w:rPr>
              <w:t>.</w:t>
            </w:r>
          </w:p>
        </w:tc>
        <w:tc>
          <w:tcPr>
            <w:tcW w:w="2909" w:type="dxa"/>
          </w:tcPr>
          <w:p w14:paraId="0917B64E" w14:textId="77777777" w:rsidR="00F65487" w:rsidRPr="006C2E33" w:rsidRDefault="00D21001"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An Aid Partnership Arrangement will be developed with the Solomon Islands Government that sets out agreed priorities for the Australian aid program, mutual accountabilities for each governmen</w:t>
            </w:r>
            <w:r w:rsidR="00874F0D" w:rsidRPr="006C2E33">
              <w:rPr>
                <w:rFonts w:asciiTheme="minorHAnsi" w:eastAsia="Times New Roman" w:hAnsiTheme="minorHAnsi"/>
                <w:iCs/>
                <w:color w:val="auto"/>
                <w:szCs w:val="17"/>
                <w:lang w:eastAsia="en-US"/>
              </w:rPr>
              <w:t xml:space="preserve">t, and performance indicators. </w:t>
            </w:r>
            <w:r w:rsidR="00AA2E09" w:rsidRPr="006C2E33">
              <w:rPr>
                <w:rFonts w:asciiTheme="minorHAnsi" w:eastAsia="Times New Roman" w:hAnsiTheme="minorHAnsi"/>
                <w:iCs/>
                <w:color w:val="auto"/>
                <w:szCs w:val="17"/>
                <w:lang w:eastAsia="en-US"/>
              </w:rPr>
              <w:t>Recommendations from the Assessment of National Systems will be implemented</w:t>
            </w:r>
            <w:r w:rsidR="00A262EE" w:rsidRPr="006C2E33">
              <w:rPr>
                <w:rFonts w:asciiTheme="minorHAnsi" w:eastAsia="Times New Roman" w:hAnsiTheme="minorHAnsi"/>
                <w:iCs/>
                <w:color w:val="auto"/>
                <w:szCs w:val="17"/>
                <w:lang w:eastAsia="en-US"/>
              </w:rPr>
              <w:t xml:space="preserve">. </w:t>
            </w:r>
            <w:r w:rsidR="00AA2E09" w:rsidRPr="006C2E33">
              <w:rPr>
                <w:rFonts w:asciiTheme="minorHAnsi" w:eastAsia="Times New Roman" w:hAnsiTheme="minorHAnsi"/>
                <w:iCs/>
                <w:color w:val="auto"/>
                <w:szCs w:val="17"/>
                <w:lang w:eastAsia="en-US"/>
              </w:rPr>
              <w:t xml:space="preserve">The Economic </w:t>
            </w:r>
            <w:r w:rsidR="00FB385D" w:rsidRPr="006C2E33">
              <w:rPr>
                <w:rFonts w:asciiTheme="minorHAnsi" w:eastAsia="Times New Roman" w:hAnsiTheme="minorHAnsi"/>
                <w:iCs/>
                <w:color w:val="auto"/>
                <w:szCs w:val="17"/>
                <w:lang w:eastAsia="en-US"/>
              </w:rPr>
              <w:t>g</w:t>
            </w:r>
            <w:r w:rsidR="00AA2E09" w:rsidRPr="006C2E33">
              <w:rPr>
                <w:rFonts w:asciiTheme="minorHAnsi" w:eastAsia="Times New Roman" w:hAnsiTheme="minorHAnsi"/>
                <w:iCs/>
                <w:color w:val="auto"/>
                <w:szCs w:val="17"/>
                <w:lang w:eastAsia="en-US"/>
              </w:rPr>
              <w:t xml:space="preserve">rowth, </w:t>
            </w:r>
            <w:r w:rsidR="00FB385D" w:rsidRPr="006C2E33">
              <w:rPr>
                <w:rFonts w:asciiTheme="minorHAnsi" w:eastAsia="Times New Roman" w:hAnsiTheme="minorHAnsi"/>
                <w:iCs/>
                <w:color w:val="auto"/>
                <w:szCs w:val="17"/>
                <w:lang w:eastAsia="en-US"/>
              </w:rPr>
              <w:t>g</w:t>
            </w:r>
            <w:r w:rsidR="00AA2E09" w:rsidRPr="006C2E33">
              <w:rPr>
                <w:rFonts w:asciiTheme="minorHAnsi" w:eastAsia="Times New Roman" w:hAnsiTheme="minorHAnsi"/>
                <w:iCs/>
                <w:color w:val="auto"/>
                <w:szCs w:val="17"/>
                <w:lang w:eastAsia="en-US"/>
              </w:rPr>
              <w:t xml:space="preserve">overnance, </w:t>
            </w:r>
            <w:r w:rsidR="00FB385D" w:rsidRPr="006C2E33">
              <w:rPr>
                <w:rFonts w:asciiTheme="minorHAnsi" w:eastAsia="Times New Roman" w:hAnsiTheme="minorHAnsi"/>
                <w:iCs/>
                <w:color w:val="auto"/>
                <w:szCs w:val="17"/>
                <w:lang w:eastAsia="en-US"/>
              </w:rPr>
              <w:t>l</w:t>
            </w:r>
            <w:r w:rsidR="00AA2E09" w:rsidRPr="006C2E33">
              <w:rPr>
                <w:rFonts w:asciiTheme="minorHAnsi" w:eastAsia="Times New Roman" w:hAnsiTheme="minorHAnsi"/>
                <w:iCs/>
                <w:color w:val="auto"/>
                <w:szCs w:val="17"/>
                <w:lang w:eastAsia="en-US"/>
              </w:rPr>
              <w:t xml:space="preserve">aw and </w:t>
            </w:r>
            <w:r w:rsidR="00FB385D" w:rsidRPr="006C2E33">
              <w:rPr>
                <w:rFonts w:asciiTheme="minorHAnsi" w:eastAsia="Times New Roman" w:hAnsiTheme="minorHAnsi"/>
                <w:iCs/>
                <w:color w:val="auto"/>
                <w:szCs w:val="17"/>
                <w:lang w:eastAsia="en-US"/>
              </w:rPr>
              <w:t>j</w:t>
            </w:r>
            <w:r w:rsidR="00AA2E09" w:rsidRPr="006C2E33">
              <w:rPr>
                <w:rFonts w:asciiTheme="minorHAnsi" w:eastAsia="Times New Roman" w:hAnsiTheme="minorHAnsi"/>
                <w:iCs/>
                <w:color w:val="auto"/>
                <w:szCs w:val="17"/>
                <w:lang w:eastAsia="en-US"/>
              </w:rPr>
              <w:t xml:space="preserve">ustice and </w:t>
            </w:r>
            <w:r w:rsidR="00FB385D" w:rsidRPr="006C2E33">
              <w:rPr>
                <w:rFonts w:asciiTheme="minorHAnsi" w:eastAsia="Times New Roman" w:hAnsiTheme="minorHAnsi"/>
                <w:iCs/>
                <w:color w:val="auto"/>
                <w:szCs w:val="17"/>
                <w:lang w:eastAsia="en-US"/>
              </w:rPr>
              <w:t>p</w:t>
            </w:r>
            <w:r w:rsidR="00AA2E09" w:rsidRPr="006C2E33">
              <w:rPr>
                <w:rFonts w:asciiTheme="minorHAnsi" w:eastAsia="Times New Roman" w:hAnsiTheme="minorHAnsi"/>
                <w:iCs/>
                <w:color w:val="auto"/>
                <w:szCs w:val="17"/>
                <w:lang w:eastAsia="en-US"/>
              </w:rPr>
              <w:t>olicing program designs will be finalised and implemented</w:t>
            </w:r>
            <w:r w:rsidR="00BB6332" w:rsidRPr="006C2E33">
              <w:rPr>
                <w:rFonts w:asciiTheme="minorHAnsi" w:eastAsia="Times New Roman" w:hAnsiTheme="minorHAnsi"/>
                <w:iCs/>
                <w:color w:val="auto"/>
                <w:szCs w:val="17"/>
                <w:lang w:eastAsia="en-US"/>
              </w:rPr>
              <w:t xml:space="preserve"> to support the stability and economic growth objectives of the Aid Investment Plan</w:t>
            </w:r>
            <w:r w:rsidR="00874F0D" w:rsidRPr="006C2E33">
              <w:rPr>
                <w:rFonts w:asciiTheme="minorHAnsi" w:eastAsia="Times New Roman" w:hAnsiTheme="minorHAnsi"/>
                <w:iCs/>
                <w:color w:val="auto"/>
                <w:szCs w:val="17"/>
                <w:lang w:eastAsia="en-US"/>
              </w:rPr>
              <w:t>.</w:t>
            </w:r>
          </w:p>
        </w:tc>
        <w:tc>
          <w:tcPr>
            <w:tcW w:w="1824" w:type="dxa"/>
          </w:tcPr>
          <w:p w14:paraId="6DB9711A" w14:textId="77777777" w:rsidR="00F65487" w:rsidRPr="006C2E33" w:rsidRDefault="00F65487"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Medium</w:t>
            </w:r>
          </w:p>
        </w:tc>
      </w:tr>
    </w:tbl>
    <w:p w14:paraId="61FEB92F" w14:textId="77777777" w:rsidR="005646A9" w:rsidRDefault="005646A9">
      <w:r>
        <w:lastRenderedPageBreak/>
        <w:br w:type="page"/>
      </w:r>
    </w:p>
    <w:tbl>
      <w:tblPr>
        <w:tblStyle w:val="APPR2"/>
        <w:tblW w:w="5000" w:type="pct"/>
        <w:tblLook w:val="0600" w:firstRow="0" w:lastRow="0" w:firstColumn="0" w:lastColumn="0" w:noHBand="1" w:noVBand="1"/>
      </w:tblPr>
      <w:tblGrid>
        <w:gridCol w:w="1909"/>
        <w:gridCol w:w="2926"/>
        <w:gridCol w:w="2937"/>
        <w:gridCol w:w="1866"/>
      </w:tblGrid>
      <w:tr w:rsidR="00F65487" w:rsidRPr="00C61187" w14:paraId="20537AB0" w14:textId="77777777" w:rsidTr="005646A9">
        <w:tc>
          <w:tcPr>
            <w:tcW w:w="1867" w:type="dxa"/>
          </w:tcPr>
          <w:p w14:paraId="4C2BCBA5" w14:textId="3E230EE2" w:rsidR="00F65487" w:rsidRPr="006C2E33" w:rsidRDefault="00F65487"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A major fraud against the Australian aid program occurs</w:t>
            </w:r>
          </w:p>
        </w:tc>
        <w:tc>
          <w:tcPr>
            <w:tcW w:w="2898" w:type="dxa"/>
          </w:tcPr>
          <w:p w14:paraId="47304764" w14:textId="77777777" w:rsidR="00F65487" w:rsidRPr="006C2E33" w:rsidRDefault="00AA2E0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Australia continued its efforts to mitigate fiscal risk, consistent with DFAT’s Fraud Control and Anti-corruption Plan and Honiara Post’s Fraud Contr</w:t>
            </w:r>
            <w:r w:rsidR="001F51EC" w:rsidRPr="006C2E33">
              <w:rPr>
                <w:rFonts w:asciiTheme="minorHAnsi" w:eastAsia="Times New Roman" w:hAnsiTheme="minorHAnsi"/>
                <w:iCs/>
                <w:color w:val="auto"/>
                <w:szCs w:val="17"/>
                <w:lang w:eastAsia="en-US"/>
              </w:rPr>
              <w:t>ol and Anti-corruption</w:t>
            </w:r>
            <w:r w:rsidRPr="006C2E33">
              <w:rPr>
                <w:rFonts w:asciiTheme="minorHAnsi" w:eastAsia="Times New Roman" w:hAnsiTheme="minorHAnsi"/>
                <w:iCs/>
                <w:color w:val="auto"/>
                <w:szCs w:val="17"/>
                <w:lang w:eastAsia="en-US"/>
              </w:rPr>
              <w:t xml:space="preserve"> Strategy</w:t>
            </w:r>
            <w:r w:rsidR="00A262EE" w:rsidRPr="006C2E33">
              <w:rPr>
                <w:rFonts w:asciiTheme="minorHAnsi" w:eastAsia="Times New Roman" w:hAnsiTheme="minorHAnsi"/>
                <w:iCs/>
                <w:color w:val="auto"/>
                <w:szCs w:val="17"/>
                <w:lang w:eastAsia="en-US"/>
              </w:rPr>
              <w:t xml:space="preserve">. </w:t>
            </w:r>
            <w:r w:rsidRPr="006C2E33">
              <w:rPr>
                <w:rFonts w:asciiTheme="minorHAnsi" w:eastAsia="Times New Roman" w:hAnsiTheme="minorHAnsi"/>
                <w:iCs/>
                <w:color w:val="auto"/>
                <w:szCs w:val="17"/>
                <w:lang w:eastAsia="en-US"/>
              </w:rPr>
              <w:t xml:space="preserve">Dedicated human resources </w:t>
            </w:r>
            <w:r w:rsidR="00D048AB" w:rsidRPr="006C2E33">
              <w:rPr>
                <w:rFonts w:asciiTheme="minorHAnsi" w:eastAsia="Times New Roman" w:hAnsiTheme="minorHAnsi"/>
                <w:iCs/>
                <w:color w:val="auto"/>
                <w:szCs w:val="17"/>
                <w:lang w:eastAsia="en-US"/>
              </w:rPr>
              <w:t xml:space="preserve">(including Fraud Control Officer and Procurement Adviser) </w:t>
            </w:r>
            <w:r w:rsidRPr="006C2E33">
              <w:rPr>
                <w:rFonts w:asciiTheme="minorHAnsi" w:eastAsia="Times New Roman" w:hAnsiTheme="minorHAnsi"/>
                <w:iCs/>
                <w:color w:val="auto"/>
                <w:szCs w:val="17"/>
                <w:lang w:eastAsia="en-US"/>
              </w:rPr>
              <w:t>ensured strong oversight of fraud control and anti-corruption measures. Fraud Control and Anti-corruption awareness training for staff and partners was delivered in June 2016</w:t>
            </w:r>
            <w:r w:rsidR="00A262EE" w:rsidRPr="006C2E33">
              <w:rPr>
                <w:rFonts w:asciiTheme="minorHAnsi" w:eastAsia="Times New Roman" w:hAnsiTheme="minorHAnsi"/>
                <w:iCs/>
                <w:color w:val="auto"/>
                <w:szCs w:val="17"/>
                <w:lang w:eastAsia="en-US"/>
              </w:rPr>
              <w:t xml:space="preserve">. </w:t>
            </w:r>
            <w:r w:rsidRPr="006C2E33">
              <w:rPr>
                <w:rFonts w:asciiTheme="minorHAnsi" w:eastAsia="Times New Roman" w:hAnsiTheme="minorHAnsi"/>
                <w:iCs/>
                <w:color w:val="auto"/>
                <w:szCs w:val="17"/>
                <w:lang w:eastAsia="en-US"/>
              </w:rPr>
              <w:t xml:space="preserve">An </w:t>
            </w:r>
            <w:r w:rsidR="00D048AB" w:rsidRPr="006C2E33">
              <w:rPr>
                <w:rFonts w:asciiTheme="minorHAnsi" w:eastAsia="Times New Roman" w:hAnsiTheme="minorHAnsi"/>
                <w:iCs/>
                <w:color w:val="auto"/>
                <w:szCs w:val="17"/>
                <w:lang w:eastAsia="en-US"/>
              </w:rPr>
              <w:t xml:space="preserve">updated </w:t>
            </w:r>
            <w:r w:rsidRPr="006C2E33">
              <w:rPr>
                <w:rFonts w:asciiTheme="minorHAnsi" w:eastAsia="Times New Roman" w:hAnsiTheme="minorHAnsi"/>
                <w:iCs/>
                <w:color w:val="auto"/>
                <w:szCs w:val="17"/>
                <w:lang w:eastAsia="en-US"/>
              </w:rPr>
              <w:t>Assessment of National Systems examined the adequacy of existing risk mitigation measures.</w:t>
            </w:r>
            <w:r w:rsidR="00404544" w:rsidRPr="006C2E33">
              <w:rPr>
                <w:rFonts w:asciiTheme="minorHAnsi" w:eastAsia="Times New Roman" w:hAnsiTheme="minorHAnsi"/>
                <w:iCs/>
                <w:color w:val="auto"/>
                <w:szCs w:val="17"/>
                <w:lang w:eastAsia="en-US"/>
              </w:rPr>
              <w:t xml:space="preserve"> I</w:t>
            </w:r>
            <w:r w:rsidRPr="006C2E33">
              <w:rPr>
                <w:rFonts w:asciiTheme="minorHAnsi" w:eastAsia="Times New Roman" w:hAnsiTheme="minorHAnsi"/>
                <w:iCs/>
                <w:color w:val="auto"/>
                <w:szCs w:val="17"/>
                <w:lang w:eastAsia="en-US"/>
              </w:rPr>
              <w:t xml:space="preserve">mproved financial controls and compliance measures for Australian funds going through partner government systems </w:t>
            </w:r>
            <w:r w:rsidR="002A5F09" w:rsidRPr="006C2E33">
              <w:rPr>
                <w:rFonts w:asciiTheme="minorHAnsi" w:eastAsia="Times New Roman" w:hAnsiTheme="minorHAnsi"/>
                <w:iCs/>
                <w:color w:val="auto"/>
                <w:szCs w:val="17"/>
                <w:lang w:eastAsia="en-US"/>
              </w:rPr>
              <w:t>are</w:t>
            </w:r>
            <w:r w:rsidR="00874F0D" w:rsidRPr="006C2E33">
              <w:rPr>
                <w:rFonts w:asciiTheme="minorHAnsi" w:eastAsia="Times New Roman" w:hAnsiTheme="minorHAnsi"/>
                <w:iCs/>
                <w:color w:val="auto"/>
                <w:szCs w:val="17"/>
                <w:lang w:eastAsia="en-US"/>
              </w:rPr>
              <w:t xml:space="preserve"> in place.</w:t>
            </w:r>
          </w:p>
        </w:tc>
        <w:tc>
          <w:tcPr>
            <w:tcW w:w="2909" w:type="dxa"/>
          </w:tcPr>
          <w:p w14:paraId="222FA7FD" w14:textId="77777777" w:rsidR="00F65487" w:rsidRPr="006C2E33" w:rsidRDefault="00AA2E09" w:rsidP="006C2E33">
            <w:pPr>
              <w:pStyle w:val="TableTextEntries"/>
              <w:spacing w:beforeLines="40" w:before="96" w:afterLines="40" w:after="96"/>
              <w:rPr>
                <w:rFonts w:asciiTheme="minorHAnsi" w:hAnsiTheme="minorHAnsi" w:cstheme="minorBidi"/>
                <w:lang w:val="en-GB" w:eastAsia="en-US"/>
              </w:rPr>
            </w:pPr>
            <w:r w:rsidRPr="006C2E33">
              <w:rPr>
                <w:rFonts w:asciiTheme="minorHAnsi" w:hAnsiTheme="minorHAnsi" w:cstheme="minorBidi"/>
                <w:lang w:val="en-GB" w:eastAsia="en-US"/>
              </w:rPr>
              <w:t xml:space="preserve">Dedicated human resources and existing financial controls and compliance measures will remain in place. All new programs will include strong financial controls and compliance measures that draw </w:t>
            </w:r>
            <w:r w:rsidR="00320F65" w:rsidRPr="006C2E33">
              <w:rPr>
                <w:rFonts w:asciiTheme="minorHAnsi" w:hAnsiTheme="minorHAnsi" w:cstheme="minorBidi"/>
                <w:lang w:val="en-GB" w:eastAsia="en-US"/>
              </w:rPr>
              <w:t>from</w:t>
            </w:r>
            <w:r w:rsidRPr="006C2E33">
              <w:rPr>
                <w:rFonts w:asciiTheme="minorHAnsi" w:hAnsiTheme="minorHAnsi" w:cstheme="minorBidi"/>
                <w:lang w:val="en-GB" w:eastAsia="en-US"/>
              </w:rPr>
              <w:t xml:space="preserve"> and build upon past experience. </w:t>
            </w:r>
            <w:r w:rsidR="00364401" w:rsidRPr="006C2E33">
              <w:rPr>
                <w:rFonts w:asciiTheme="minorHAnsi" w:hAnsiTheme="minorHAnsi" w:cstheme="minorBidi"/>
                <w:lang w:val="en-GB" w:eastAsia="en-US"/>
              </w:rPr>
              <w:t>The design of the new governance program will include measures to enable continued use of partner systems, to protect Australian funds</w:t>
            </w:r>
            <w:r w:rsidR="00A262EE" w:rsidRPr="006C2E33">
              <w:rPr>
                <w:rFonts w:asciiTheme="minorHAnsi" w:hAnsiTheme="minorHAnsi" w:cstheme="minorBidi"/>
                <w:lang w:val="en-GB" w:eastAsia="en-US"/>
              </w:rPr>
              <w:t xml:space="preserve">. </w:t>
            </w:r>
            <w:r w:rsidR="00320F65" w:rsidRPr="006C2E33">
              <w:rPr>
                <w:rFonts w:asciiTheme="minorHAnsi" w:hAnsiTheme="minorHAnsi" w:cstheme="minorBidi"/>
                <w:lang w:val="en-GB" w:eastAsia="en-US"/>
              </w:rPr>
              <w:t>Agreed r</w:t>
            </w:r>
            <w:r w:rsidRPr="006C2E33">
              <w:rPr>
                <w:rFonts w:asciiTheme="minorHAnsi" w:hAnsiTheme="minorHAnsi" w:cstheme="minorBidi"/>
                <w:lang w:val="en-GB" w:eastAsia="en-US"/>
              </w:rPr>
              <w:t>ecommendations from the Assessment of National Systems will be implemented. Fraud control and anti-corruption awareness training will be delivered again in 2016-17 for staff and partners.</w:t>
            </w:r>
          </w:p>
        </w:tc>
        <w:tc>
          <w:tcPr>
            <w:tcW w:w="1824" w:type="dxa"/>
          </w:tcPr>
          <w:p w14:paraId="194C5487" w14:textId="77777777" w:rsidR="00F65487" w:rsidRPr="006C2E33" w:rsidRDefault="001F51EC" w:rsidP="006C2E33">
            <w:pPr>
              <w:pStyle w:val="TableTextEntries"/>
              <w:spacing w:beforeLines="40" w:before="96" w:afterLines="40" w:after="96"/>
              <w:rPr>
                <w:rFonts w:asciiTheme="minorHAnsi" w:hAnsiTheme="minorHAnsi" w:cstheme="minorBidi"/>
                <w:lang w:val="en-GB" w:eastAsia="en-US"/>
              </w:rPr>
            </w:pPr>
            <w:r w:rsidRPr="006C2E33">
              <w:rPr>
                <w:rFonts w:asciiTheme="minorHAnsi" w:hAnsiTheme="minorHAnsi" w:cstheme="minorBidi"/>
                <w:lang w:val="en-GB" w:eastAsia="en-US"/>
              </w:rPr>
              <w:t>High</w:t>
            </w:r>
          </w:p>
        </w:tc>
      </w:tr>
      <w:tr w:rsidR="00F65487" w:rsidRPr="00C61187" w14:paraId="03F41826" w14:textId="77777777" w:rsidTr="005646A9">
        <w:tc>
          <w:tcPr>
            <w:tcW w:w="1867" w:type="dxa"/>
          </w:tcPr>
          <w:p w14:paraId="3D967BE4" w14:textId="77777777" w:rsidR="00F65487" w:rsidRPr="006C2E33" w:rsidRDefault="00F65487" w:rsidP="006C2E33">
            <w:pPr>
              <w:spacing w:beforeLines="40" w:before="96" w:afterLines="40" w:after="96" w:line="200" w:lineRule="atLeast"/>
              <w:rPr>
                <w:rFonts w:asciiTheme="minorHAnsi" w:eastAsia="Times New Roman" w:hAnsiTheme="minorHAnsi"/>
                <w:i/>
                <w:iCs/>
                <w:color w:val="auto"/>
                <w:szCs w:val="17"/>
                <w:lang w:eastAsia="en-US"/>
              </w:rPr>
            </w:pPr>
            <w:r w:rsidRPr="006C2E33">
              <w:rPr>
                <w:rFonts w:asciiTheme="minorHAnsi" w:eastAsia="Times New Roman" w:hAnsiTheme="minorHAnsi"/>
                <w:i/>
                <w:iCs/>
                <w:color w:val="auto"/>
                <w:szCs w:val="17"/>
                <w:lang w:eastAsia="en-US"/>
              </w:rPr>
              <w:t>Humanitarian crisis or natural disaster affecting human and financial resources available to the program</w:t>
            </w:r>
          </w:p>
        </w:tc>
        <w:tc>
          <w:tcPr>
            <w:tcW w:w="2898" w:type="dxa"/>
          </w:tcPr>
          <w:p w14:paraId="511BBE62" w14:textId="77777777" w:rsidR="00F65487" w:rsidRPr="006C2E33" w:rsidRDefault="00AA2E0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Crisis Action Plan </w:t>
            </w:r>
            <w:r w:rsidR="00CC2534" w:rsidRPr="006C2E33">
              <w:rPr>
                <w:rFonts w:asciiTheme="minorHAnsi" w:eastAsia="Times New Roman" w:hAnsiTheme="minorHAnsi"/>
                <w:iCs/>
                <w:color w:val="auto"/>
                <w:szCs w:val="17"/>
                <w:lang w:eastAsia="en-US"/>
              </w:rPr>
              <w:t xml:space="preserve">has been </w:t>
            </w:r>
            <w:r w:rsidR="00320F65" w:rsidRPr="006C2E33">
              <w:rPr>
                <w:rFonts w:asciiTheme="minorHAnsi" w:eastAsia="Times New Roman" w:hAnsiTheme="minorHAnsi"/>
                <w:iCs/>
                <w:color w:val="auto"/>
                <w:szCs w:val="17"/>
                <w:lang w:eastAsia="en-US"/>
              </w:rPr>
              <w:t>updated</w:t>
            </w:r>
            <w:r w:rsidRPr="006C2E33">
              <w:rPr>
                <w:rFonts w:asciiTheme="minorHAnsi" w:eastAsia="Times New Roman" w:hAnsiTheme="minorHAnsi"/>
                <w:iCs/>
                <w:color w:val="auto"/>
                <w:szCs w:val="17"/>
                <w:lang w:eastAsia="en-US"/>
              </w:rPr>
              <w:t>, outlin</w:t>
            </w:r>
            <w:r w:rsidR="007316C6" w:rsidRPr="006C2E33">
              <w:rPr>
                <w:rFonts w:asciiTheme="minorHAnsi" w:eastAsia="Times New Roman" w:hAnsiTheme="minorHAnsi"/>
                <w:iCs/>
                <w:color w:val="auto"/>
                <w:szCs w:val="17"/>
                <w:lang w:eastAsia="en-US"/>
              </w:rPr>
              <w:t>ing</w:t>
            </w:r>
            <w:r w:rsidRPr="006C2E33">
              <w:rPr>
                <w:rFonts w:asciiTheme="minorHAnsi" w:eastAsia="Times New Roman" w:hAnsiTheme="minorHAnsi"/>
                <w:iCs/>
                <w:color w:val="auto"/>
                <w:szCs w:val="17"/>
                <w:lang w:eastAsia="en-US"/>
              </w:rPr>
              <w:t xml:space="preserve"> proposed responses to any potential disaster and includ</w:t>
            </w:r>
            <w:r w:rsidR="007316C6" w:rsidRPr="006C2E33">
              <w:rPr>
                <w:rFonts w:asciiTheme="minorHAnsi" w:eastAsia="Times New Roman" w:hAnsiTheme="minorHAnsi"/>
                <w:iCs/>
                <w:color w:val="auto"/>
                <w:szCs w:val="17"/>
                <w:lang w:eastAsia="en-US"/>
              </w:rPr>
              <w:t>ing</w:t>
            </w:r>
            <w:r w:rsidRPr="006C2E33">
              <w:rPr>
                <w:rFonts w:asciiTheme="minorHAnsi" w:eastAsia="Times New Roman" w:hAnsiTheme="minorHAnsi"/>
                <w:iCs/>
                <w:color w:val="auto"/>
                <w:szCs w:val="17"/>
                <w:lang w:eastAsia="en-US"/>
              </w:rPr>
              <w:t xml:space="preserve"> business continuity planning. Post </w:t>
            </w:r>
            <w:r w:rsidR="00790AA9" w:rsidRPr="006C2E33">
              <w:rPr>
                <w:rFonts w:asciiTheme="minorHAnsi" w:eastAsia="Times New Roman" w:hAnsiTheme="minorHAnsi"/>
                <w:iCs/>
                <w:color w:val="auto"/>
                <w:szCs w:val="17"/>
                <w:lang w:eastAsia="en-US"/>
              </w:rPr>
              <w:t>has</w:t>
            </w:r>
            <w:r w:rsidRPr="006C2E33">
              <w:rPr>
                <w:rFonts w:asciiTheme="minorHAnsi" w:eastAsia="Times New Roman" w:hAnsiTheme="minorHAnsi"/>
                <w:iCs/>
                <w:color w:val="auto"/>
                <w:szCs w:val="17"/>
                <w:lang w:eastAsia="en-US"/>
              </w:rPr>
              <w:t xml:space="preserve"> u</w:t>
            </w:r>
            <w:r w:rsidR="00790AA9" w:rsidRPr="006C2E33">
              <w:rPr>
                <w:rFonts w:asciiTheme="minorHAnsi" w:eastAsia="Times New Roman" w:hAnsiTheme="minorHAnsi"/>
                <w:iCs/>
                <w:color w:val="auto"/>
                <w:szCs w:val="17"/>
                <w:lang w:eastAsia="en-US"/>
              </w:rPr>
              <w:t>sed</w:t>
            </w:r>
            <w:r w:rsidRPr="006C2E33">
              <w:rPr>
                <w:rFonts w:asciiTheme="minorHAnsi" w:eastAsia="Times New Roman" w:hAnsiTheme="minorHAnsi"/>
                <w:iCs/>
                <w:color w:val="auto"/>
                <w:szCs w:val="17"/>
                <w:lang w:eastAsia="en-US"/>
              </w:rPr>
              <w:t xml:space="preserve"> expertise in Canberra including desk, HRB and the Australian Civilian </w:t>
            </w:r>
            <w:r w:rsidR="001F51EC" w:rsidRPr="006C2E33">
              <w:rPr>
                <w:rFonts w:asciiTheme="minorHAnsi" w:eastAsia="Times New Roman" w:hAnsiTheme="minorHAnsi"/>
                <w:iCs/>
                <w:color w:val="auto"/>
                <w:szCs w:val="17"/>
                <w:lang w:eastAsia="en-US"/>
              </w:rPr>
              <w:t>Corps (ACC). Post is working with the NDMO to build their ability to manage disaster responses.</w:t>
            </w:r>
          </w:p>
        </w:tc>
        <w:tc>
          <w:tcPr>
            <w:tcW w:w="2909" w:type="dxa"/>
          </w:tcPr>
          <w:p w14:paraId="3063864D" w14:textId="77777777" w:rsidR="00AA2E09" w:rsidRPr="006C2E33" w:rsidRDefault="00AA2E0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 xml:space="preserve">Post preparedness is routinely stepped up each cyclone season. Australian-based support and expertise from the ACC </w:t>
            </w:r>
            <w:r w:rsidR="007316C6" w:rsidRPr="006C2E33">
              <w:rPr>
                <w:rFonts w:asciiTheme="minorHAnsi" w:eastAsia="Times New Roman" w:hAnsiTheme="minorHAnsi"/>
                <w:iCs/>
                <w:color w:val="auto"/>
                <w:szCs w:val="17"/>
                <w:lang w:eastAsia="en-US"/>
              </w:rPr>
              <w:t>available</w:t>
            </w:r>
            <w:r w:rsidRPr="006C2E33">
              <w:rPr>
                <w:rFonts w:asciiTheme="minorHAnsi" w:eastAsia="Times New Roman" w:hAnsiTheme="minorHAnsi"/>
                <w:iCs/>
                <w:color w:val="auto"/>
                <w:szCs w:val="17"/>
                <w:lang w:eastAsia="en-US"/>
              </w:rPr>
              <w:t>. Responses are agreed on a case by case basis.</w:t>
            </w:r>
          </w:p>
          <w:p w14:paraId="7524037F" w14:textId="77777777" w:rsidR="00F65487" w:rsidRPr="006C2E33" w:rsidRDefault="00AA2E09" w:rsidP="006C2E33">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Post will continue to maintain budget flexibility and an ability to reprioritise when necessary.</w:t>
            </w:r>
            <w:r w:rsidR="001F51EC" w:rsidRPr="006C2E33">
              <w:rPr>
                <w:rFonts w:asciiTheme="minorHAnsi" w:eastAsia="Times New Roman" w:hAnsiTheme="minorHAnsi"/>
                <w:iCs/>
                <w:color w:val="auto"/>
                <w:szCs w:val="17"/>
                <w:lang w:eastAsia="en-US"/>
              </w:rPr>
              <w:t xml:space="preserve"> Post will also provide niche support to the NDMO when it is appropriate to do so.</w:t>
            </w:r>
          </w:p>
        </w:tc>
        <w:tc>
          <w:tcPr>
            <w:tcW w:w="1824" w:type="dxa"/>
          </w:tcPr>
          <w:p w14:paraId="01A722F1" w14:textId="77777777" w:rsidR="00F65487" w:rsidRPr="006C2E33" w:rsidRDefault="001F51EC" w:rsidP="006C2E33">
            <w:pPr>
              <w:pStyle w:val="TableTextEntries"/>
              <w:spacing w:beforeLines="40" w:before="96" w:afterLines="40" w:after="96"/>
              <w:rPr>
                <w:rFonts w:asciiTheme="minorHAnsi" w:hAnsiTheme="minorHAnsi" w:cstheme="minorBidi"/>
                <w:lang w:val="en-GB" w:eastAsia="en-US"/>
              </w:rPr>
            </w:pPr>
            <w:r w:rsidRPr="006C2E33">
              <w:rPr>
                <w:rFonts w:asciiTheme="minorHAnsi" w:hAnsiTheme="minorHAnsi" w:cstheme="minorBidi"/>
                <w:lang w:val="en-GB" w:eastAsia="en-US"/>
              </w:rPr>
              <w:t>High</w:t>
            </w:r>
          </w:p>
        </w:tc>
      </w:tr>
    </w:tbl>
    <w:p w14:paraId="491BC124" w14:textId="77777777" w:rsidR="005646A9" w:rsidRDefault="005646A9" w:rsidP="009E4948">
      <w:pPr>
        <w:pStyle w:val="Heading2"/>
      </w:pPr>
    </w:p>
    <w:p w14:paraId="464F1DCE" w14:textId="6E8D9861" w:rsidR="002A51CA" w:rsidRPr="002A51CA" w:rsidRDefault="002A51CA" w:rsidP="009E4948">
      <w:pPr>
        <w:pStyle w:val="Heading2"/>
      </w:pPr>
      <w:r w:rsidRPr="002A51CA">
        <w:t>Management Respons</w:t>
      </w:r>
      <w:r w:rsidR="00874F0D">
        <w:t>es</w:t>
      </w:r>
    </w:p>
    <w:p w14:paraId="64374F6B" w14:textId="77777777" w:rsidR="00673BD5" w:rsidRDefault="00673BD5" w:rsidP="002A51CA">
      <w:r>
        <w:t>Performance was mixed in achieving management r</w:t>
      </w:r>
      <w:r w:rsidR="00975062">
        <w:t>esponses from the 2014-15 APPR.</w:t>
      </w:r>
    </w:p>
    <w:p w14:paraId="38EEA5D2" w14:textId="77777777" w:rsidR="00E8584D" w:rsidRDefault="00673BD5" w:rsidP="002A51CA">
      <w:r>
        <w:t xml:space="preserve">With completion of the Performance Assessment Framework, a robust system is now in place to measure progress </w:t>
      </w:r>
      <w:r w:rsidR="004571B5">
        <w:t>against</w:t>
      </w:r>
      <w:r>
        <w:t xml:space="preserve"> </w:t>
      </w:r>
      <w:r w:rsidR="002F55A2">
        <w:t>AIP</w:t>
      </w:r>
      <w:r>
        <w:t xml:space="preserve"> objectives and outcomes. This will support a more focussed and coherent Australian aid program in Solomon Islands. </w:t>
      </w:r>
      <w:r w:rsidR="00070263">
        <w:t xml:space="preserve">Gains have been made in driving gender equality as a priority across the aid program, and the performance management system can now gather evidence to demonstrate this. However this has not been realised to the same extent for disability inclusion. </w:t>
      </w:r>
      <w:r>
        <w:t xml:space="preserve">Delays were experienced in finalising the Solomon Islands-Australia Aid Partnership Arrangement and the design of the Solomon Islands Growth Program, </w:t>
      </w:r>
      <w:r w:rsidR="00772E60">
        <w:t>but</w:t>
      </w:r>
      <w:r>
        <w:t xml:space="preserve"> these are both well advanced and are on track to be completed in 2016</w:t>
      </w:r>
      <w:r w:rsidR="00DF4902">
        <w:noBreakHyphen/>
      </w:r>
      <w:r>
        <w:t xml:space="preserve">17. </w:t>
      </w:r>
      <w:r w:rsidR="00070263">
        <w:t xml:space="preserve">Whilst there </w:t>
      </w:r>
      <w:r w:rsidR="00772E60">
        <w:t>were</w:t>
      </w:r>
      <w:r w:rsidR="00070263">
        <w:t xml:space="preserve"> delays in finalising agreements for new support in the infrastructure sector, </w:t>
      </w:r>
      <w:r w:rsidR="00DF4902">
        <w:t>the program has adjusted effectively</w:t>
      </w:r>
      <w:r w:rsidR="00772E60">
        <w:t xml:space="preserve"> and outcomes are not </w:t>
      </w:r>
      <w:r w:rsidR="00BE7134">
        <w:t xml:space="preserve">adversely </w:t>
      </w:r>
      <w:r w:rsidR="00772E60">
        <w:t>affected</w:t>
      </w:r>
      <w:r w:rsidR="00DF4902">
        <w:t>.</w:t>
      </w:r>
    </w:p>
    <w:p w14:paraId="365C3CFC" w14:textId="77777777" w:rsidR="00DF4902" w:rsidRDefault="00DF4902" w:rsidP="002A51CA">
      <w:r>
        <w:t>Proposed management responses for 2016-17 include:</w:t>
      </w:r>
    </w:p>
    <w:p w14:paraId="0B9C6545" w14:textId="77777777" w:rsidR="00B92744" w:rsidRPr="009E4948" w:rsidRDefault="00B92744"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 xml:space="preserve">Finalise the design of the new </w:t>
      </w:r>
      <w:r w:rsidRPr="009E4948">
        <w:rPr>
          <w:rFonts w:asciiTheme="minorHAnsi" w:eastAsiaTheme="minorHAnsi" w:hAnsiTheme="minorHAnsi" w:cstheme="minorBidi"/>
          <w:b/>
          <w:color w:val="495965" w:themeColor="text2"/>
          <w:sz w:val="22"/>
          <w:szCs w:val="22"/>
          <w:lang w:val="en-GB"/>
        </w:rPr>
        <w:t>governance, justice and policing</w:t>
      </w:r>
      <w:r w:rsidRPr="009E4948">
        <w:rPr>
          <w:rFonts w:asciiTheme="minorHAnsi" w:eastAsiaTheme="minorHAnsi" w:hAnsiTheme="minorHAnsi" w:cstheme="minorBidi"/>
          <w:color w:val="495965" w:themeColor="text2"/>
          <w:sz w:val="22"/>
          <w:szCs w:val="22"/>
          <w:lang w:val="en-GB"/>
        </w:rPr>
        <w:t xml:space="preserve"> programs to prepare for RAMSI transition in July 2017</w:t>
      </w:r>
      <w:r w:rsidR="00874F0D" w:rsidRPr="009E4948">
        <w:rPr>
          <w:rFonts w:asciiTheme="minorHAnsi" w:eastAsiaTheme="minorHAnsi" w:hAnsiTheme="minorHAnsi" w:cstheme="minorBidi"/>
          <w:color w:val="495965" w:themeColor="text2"/>
          <w:sz w:val="22"/>
          <w:szCs w:val="22"/>
          <w:lang w:val="en-GB"/>
        </w:rPr>
        <w:t>.</w:t>
      </w:r>
    </w:p>
    <w:p w14:paraId="09E5B3C1" w14:textId="77777777" w:rsidR="0004547C" w:rsidRPr="009E4948" w:rsidRDefault="00540281"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Finalise design and c</w:t>
      </w:r>
      <w:r w:rsidR="0004547C" w:rsidRPr="009E4948">
        <w:rPr>
          <w:rFonts w:asciiTheme="minorHAnsi" w:eastAsiaTheme="minorHAnsi" w:hAnsiTheme="minorHAnsi" w:cstheme="minorBidi"/>
          <w:color w:val="495965" w:themeColor="text2"/>
          <w:sz w:val="22"/>
          <w:szCs w:val="22"/>
          <w:lang w:val="en-GB"/>
        </w:rPr>
        <w:t xml:space="preserve">ommence implementation of </w:t>
      </w:r>
      <w:r w:rsidR="00BC2F03" w:rsidRPr="009E4948">
        <w:rPr>
          <w:rFonts w:asciiTheme="minorHAnsi" w:eastAsiaTheme="minorHAnsi" w:hAnsiTheme="minorHAnsi" w:cstheme="minorBidi"/>
          <w:color w:val="495965" w:themeColor="text2"/>
          <w:sz w:val="22"/>
          <w:szCs w:val="22"/>
          <w:lang w:val="en-GB"/>
        </w:rPr>
        <w:t>the</w:t>
      </w:r>
      <w:r w:rsidR="0004547C" w:rsidRPr="009E4948">
        <w:rPr>
          <w:rFonts w:asciiTheme="minorHAnsi" w:eastAsiaTheme="minorHAnsi" w:hAnsiTheme="minorHAnsi" w:cstheme="minorBidi"/>
          <w:color w:val="495965" w:themeColor="text2"/>
          <w:sz w:val="22"/>
          <w:szCs w:val="22"/>
          <w:lang w:val="en-GB"/>
        </w:rPr>
        <w:t xml:space="preserve"> new </w:t>
      </w:r>
      <w:r w:rsidRPr="009E4948">
        <w:rPr>
          <w:rFonts w:asciiTheme="minorHAnsi" w:eastAsiaTheme="minorHAnsi" w:hAnsiTheme="minorHAnsi" w:cstheme="minorBidi"/>
          <w:b/>
          <w:color w:val="495965" w:themeColor="text2"/>
          <w:sz w:val="22"/>
          <w:szCs w:val="22"/>
          <w:lang w:val="en-GB"/>
        </w:rPr>
        <w:t xml:space="preserve">Solomon Islands </w:t>
      </w:r>
      <w:r w:rsidR="0004547C" w:rsidRPr="009E4948">
        <w:rPr>
          <w:rFonts w:asciiTheme="minorHAnsi" w:eastAsiaTheme="minorHAnsi" w:hAnsiTheme="minorHAnsi" w:cstheme="minorBidi"/>
          <w:b/>
          <w:color w:val="495965" w:themeColor="text2"/>
          <w:sz w:val="22"/>
          <w:szCs w:val="22"/>
          <w:lang w:val="en-GB"/>
        </w:rPr>
        <w:t>Growth Program</w:t>
      </w:r>
      <w:r w:rsidR="0004547C" w:rsidRPr="009E4948">
        <w:rPr>
          <w:rFonts w:asciiTheme="minorHAnsi" w:eastAsiaTheme="minorHAnsi" w:hAnsiTheme="minorHAnsi" w:cstheme="minorBidi"/>
          <w:color w:val="495965" w:themeColor="text2"/>
          <w:sz w:val="22"/>
          <w:szCs w:val="22"/>
          <w:lang w:val="en-GB"/>
        </w:rPr>
        <w:t>.</w:t>
      </w:r>
    </w:p>
    <w:p w14:paraId="4C2DA29E" w14:textId="77777777" w:rsidR="00320F65" w:rsidRPr="009E4948" w:rsidRDefault="00320F65"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 xml:space="preserve">Promote stronger engagement of government and industry in skills training through the implementation of the new </w:t>
      </w:r>
      <w:r w:rsidRPr="009E4948">
        <w:rPr>
          <w:rFonts w:asciiTheme="minorHAnsi" w:eastAsiaTheme="minorHAnsi" w:hAnsiTheme="minorHAnsi" w:cstheme="minorBidi"/>
          <w:b/>
          <w:color w:val="495965" w:themeColor="text2"/>
          <w:sz w:val="22"/>
          <w:szCs w:val="22"/>
          <w:lang w:val="en-GB"/>
        </w:rPr>
        <w:t>Skills for Economic Growth</w:t>
      </w:r>
      <w:r w:rsidRPr="009E4948">
        <w:rPr>
          <w:rFonts w:asciiTheme="minorHAnsi" w:eastAsiaTheme="minorHAnsi" w:hAnsiTheme="minorHAnsi" w:cstheme="minorBidi"/>
          <w:color w:val="495965" w:themeColor="text2"/>
          <w:sz w:val="22"/>
          <w:szCs w:val="22"/>
          <w:lang w:val="en-GB"/>
        </w:rPr>
        <w:t xml:space="preserve"> program in order to work towards creating an industry led, demand driven training system in the Solomon Islands.</w:t>
      </w:r>
    </w:p>
    <w:p w14:paraId="0DC46763" w14:textId="77777777" w:rsidR="00320F65" w:rsidRPr="009E4948" w:rsidRDefault="00320F65"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 xml:space="preserve">Enter a new four year funding agreement for the </w:t>
      </w:r>
      <w:r w:rsidRPr="009E4948">
        <w:rPr>
          <w:rFonts w:asciiTheme="minorHAnsi" w:eastAsiaTheme="minorHAnsi" w:hAnsiTheme="minorHAnsi" w:cstheme="minorBidi"/>
          <w:b/>
          <w:color w:val="495965" w:themeColor="text2"/>
          <w:sz w:val="22"/>
          <w:szCs w:val="22"/>
          <w:lang w:val="en-GB"/>
        </w:rPr>
        <w:t>health sector</w:t>
      </w:r>
      <w:r w:rsidRPr="009E4948">
        <w:rPr>
          <w:rFonts w:asciiTheme="minorHAnsi" w:eastAsiaTheme="minorHAnsi" w:hAnsiTheme="minorHAnsi" w:cstheme="minorBidi"/>
          <w:color w:val="495965" w:themeColor="text2"/>
          <w:sz w:val="22"/>
          <w:szCs w:val="22"/>
          <w:lang w:val="en-GB"/>
        </w:rPr>
        <w:t xml:space="preserve"> that provides budget support and performance linked aid to improve the priority areas of primary health care, reform and innovation, and health systems strengthening.</w:t>
      </w:r>
    </w:p>
    <w:p w14:paraId="42BEE83A" w14:textId="77777777" w:rsidR="00D80F10" w:rsidRPr="009E4948" w:rsidRDefault="00D80F10" w:rsidP="00D80F10">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 xml:space="preserve">Continue to advocate with the Solomon Islands Government for the reinvigoration of the </w:t>
      </w:r>
      <w:r w:rsidRPr="009E4948">
        <w:rPr>
          <w:rFonts w:asciiTheme="minorHAnsi" w:eastAsiaTheme="minorHAnsi" w:hAnsiTheme="minorHAnsi" w:cstheme="minorBidi"/>
          <w:b/>
          <w:color w:val="495965" w:themeColor="text2"/>
          <w:sz w:val="22"/>
          <w:szCs w:val="22"/>
          <w:lang w:val="en-GB"/>
        </w:rPr>
        <w:t>Core Economic Working Group</w:t>
      </w:r>
      <w:r w:rsidRPr="009E4948">
        <w:rPr>
          <w:rFonts w:asciiTheme="minorHAnsi" w:eastAsiaTheme="minorHAnsi" w:hAnsiTheme="minorHAnsi" w:cstheme="minorBidi"/>
          <w:color w:val="495965" w:themeColor="text2"/>
          <w:sz w:val="22"/>
          <w:szCs w:val="22"/>
          <w:lang w:val="en-GB"/>
        </w:rPr>
        <w:t>.</w:t>
      </w:r>
    </w:p>
    <w:p w14:paraId="30DFD9CE" w14:textId="77777777" w:rsidR="0087531C" w:rsidRPr="009E4948" w:rsidRDefault="0087531C"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 xml:space="preserve">Develop and implement a coordinated approach to help increase Solomon Islands’ participation in the </w:t>
      </w:r>
      <w:r w:rsidRPr="009E4948">
        <w:rPr>
          <w:rFonts w:asciiTheme="minorHAnsi" w:eastAsiaTheme="minorHAnsi" w:hAnsiTheme="minorHAnsi" w:cstheme="minorBidi"/>
          <w:b/>
          <w:color w:val="495965" w:themeColor="text2"/>
          <w:sz w:val="22"/>
          <w:szCs w:val="22"/>
          <w:lang w:val="en-GB"/>
        </w:rPr>
        <w:t>Seasonal Worker Program</w:t>
      </w:r>
      <w:r w:rsidRPr="009E4948">
        <w:rPr>
          <w:rFonts w:asciiTheme="minorHAnsi" w:eastAsiaTheme="minorHAnsi" w:hAnsiTheme="minorHAnsi" w:cstheme="minorBidi"/>
          <w:color w:val="495965" w:themeColor="text2"/>
          <w:sz w:val="22"/>
          <w:szCs w:val="22"/>
          <w:lang w:val="en-GB"/>
        </w:rPr>
        <w:t>.</w:t>
      </w:r>
    </w:p>
    <w:p w14:paraId="16B37A6C" w14:textId="77777777" w:rsidR="00027A30" w:rsidRPr="009E4948" w:rsidRDefault="00027A30"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 xml:space="preserve">Integrate </w:t>
      </w:r>
      <w:r w:rsidRPr="009E4948">
        <w:rPr>
          <w:rFonts w:asciiTheme="minorHAnsi" w:eastAsiaTheme="minorHAnsi" w:hAnsiTheme="minorHAnsi" w:cstheme="minorBidi"/>
          <w:b/>
          <w:color w:val="495965" w:themeColor="text2"/>
          <w:sz w:val="22"/>
          <w:szCs w:val="22"/>
          <w:lang w:val="en-GB"/>
        </w:rPr>
        <w:t>climate change and resilience</w:t>
      </w:r>
      <w:r w:rsidRPr="009E4948">
        <w:rPr>
          <w:rFonts w:asciiTheme="minorHAnsi" w:eastAsiaTheme="minorHAnsi" w:hAnsiTheme="minorHAnsi" w:cstheme="minorBidi"/>
          <w:color w:val="495965" w:themeColor="text2"/>
          <w:sz w:val="22"/>
          <w:szCs w:val="22"/>
          <w:lang w:val="en-GB"/>
        </w:rPr>
        <w:t xml:space="preserve"> considerations into program management</w:t>
      </w:r>
      <w:r w:rsidR="002F55A2" w:rsidRPr="009E4948">
        <w:rPr>
          <w:rFonts w:asciiTheme="minorHAnsi" w:eastAsiaTheme="minorHAnsi" w:hAnsiTheme="minorHAnsi" w:cstheme="minorBidi"/>
          <w:color w:val="495965" w:themeColor="text2"/>
          <w:sz w:val="22"/>
          <w:szCs w:val="22"/>
          <w:lang w:val="en-GB"/>
        </w:rPr>
        <w:t>.</w:t>
      </w:r>
    </w:p>
    <w:p w14:paraId="7E6C38C1" w14:textId="77777777" w:rsidR="004571B5" w:rsidRPr="009E4948" w:rsidRDefault="004571B5" w:rsidP="004571B5">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 xml:space="preserve">Continue focus on </w:t>
      </w:r>
      <w:r w:rsidRPr="009E4948">
        <w:rPr>
          <w:rFonts w:asciiTheme="minorHAnsi" w:eastAsiaTheme="minorHAnsi" w:hAnsiTheme="minorHAnsi" w:cstheme="minorBidi"/>
          <w:b/>
          <w:color w:val="495965" w:themeColor="text2"/>
          <w:sz w:val="22"/>
          <w:szCs w:val="22"/>
          <w:lang w:val="en-GB"/>
        </w:rPr>
        <w:t>promoting gender equality</w:t>
      </w:r>
      <w:r w:rsidRPr="009E4948">
        <w:rPr>
          <w:rFonts w:asciiTheme="minorHAnsi" w:eastAsiaTheme="minorHAnsi" w:hAnsiTheme="minorHAnsi" w:cstheme="minorBidi"/>
          <w:color w:val="495965" w:themeColor="text2"/>
          <w:sz w:val="22"/>
          <w:szCs w:val="22"/>
          <w:lang w:val="en-GB"/>
        </w:rPr>
        <w:t>, including through training for staff, in order to achieve the target that 80 per cent of programs achieving gender equality ratings of 4 or above in the next round of Aid Quality Checks.</w:t>
      </w:r>
    </w:p>
    <w:p w14:paraId="18CA34CF" w14:textId="77777777" w:rsidR="00027A30" w:rsidRPr="009E4948" w:rsidRDefault="00027A30"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Ensure aid program modalities are aligned with DFAT’s human resourcing envelope</w:t>
      </w:r>
      <w:r w:rsidR="002F55A2" w:rsidRPr="009E4948">
        <w:rPr>
          <w:rFonts w:asciiTheme="minorHAnsi" w:eastAsiaTheme="minorHAnsi" w:hAnsiTheme="minorHAnsi" w:cstheme="minorBidi"/>
          <w:color w:val="495965" w:themeColor="text2"/>
          <w:sz w:val="22"/>
          <w:szCs w:val="22"/>
          <w:lang w:val="en-GB"/>
        </w:rPr>
        <w:t>.</w:t>
      </w:r>
    </w:p>
    <w:p w14:paraId="2058A3DF" w14:textId="77777777" w:rsidR="00411DC1" w:rsidRPr="009E4948" w:rsidRDefault="00411DC1" w:rsidP="00BE7134">
      <w:pPr>
        <w:pStyle w:val="ListParagraph"/>
        <w:numPr>
          <w:ilvl w:val="0"/>
          <w:numId w:val="42"/>
        </w:numPr>
        <w:spacing w:before="120" w:after="120"/>
        <w:ind w:left="714" w:hanging="357"/>
        <w:contextualSpacing w:val="0"/>
        <w:rPr>
          <w:rFonts w:asciiTheme="minorHAnsi" w:eastAsiaTheme="minorHAnsi" w:hAnsiTheme="minorHAnsi" w:cstheme="minorBidi"/>
          <w:color w:val="495965" w:themeColor="text2"/>
          <w:sz w:val="22"/>
          <w:szCs w:val="22"/>
          <w:lang w:val="en-GB"/>
        </w:rPr>
      </w:pPr>
      <w:r w:rsidRPr="009E4948">
        <w:rPr>
          <w:rFonts w:asciiTheme="minorHAnsi" w:eastAsiaTheme="minorHAnsi" w:hAnsiTheme="minorHAnsi" w:cstheme="minorBidi"/>
          <w:color w:val="495965" w:themeColor="text2"/>
          <w:sz w:val="22"/>
          <w:szCs w:val="22"/>
          <w:lang w:val="en-GB"/>
        </w:rPr>
        <w:t>Develop and finalise the Solomon Islands</w:t>
      </w:r>
      <w:r w:rsidR="009E4948">
        <w:rPr>
          <w:rFonts w:asciiTheme="minorHAnsi" w:eastAsiaTheme="minorHAnsi" w:hAnsiTheme="minorHAnsi" w:cstheme="minorBidi"/>
          <w:color w:val="495965" w:themeColor="text2"/>
          <w:sz w:val="22"/>
          <w:szCs w:val="22"/>
          <w:lang w:val="en-GB"/>
        </w:rPr>
        <w:t xml:space="preserve"> – </w:t>
      </w:r>
      <w:r w:rsidRPr="009E4948">
        <w:rPr>
          <w:rFonts w:asciiTheme="minorHAnsi" w:eastAsiaTheme="minorHAnsi" w:hAnsiTheme="minorHAnsi" w:cstheme="minorBidi"/>
          <w:color w:val="495965" w:themeColor="text2"/>
          <w:sz w:val="22"/>
          <w:szCs w:val="22"/>
          <w:lang w:val="en-GB"/>
        </w:rPr>
        <w:t>Australia</w:t>
      </w:r>
      <w:r w:rsidR="009E4948">
        <w:rPr>
          <w:rFonts w:asciiTheme="minorHAnsi" w:eastAsiaTheme="minorHAnsi" w:hAnsiTheme="minorHAnsi" w:cstheme="minorBidi"/>
          <w:color w:val="495965" w:themeColor="text2"/>
          <w:sz w:val="22"/>
          <w:szCs w:val="22"/>
          <w:lang w:val="en-GB"/>
        </w:rPr>
        <w:t xml:space="preserve"> </w:t>
      </w:r>
      <w:r w:rsidRPr="009E4948">
        <w:rPr>
          <w:rFonts w:asciiTheme="minorHAnsi" w:eastAsiaTheme="minorHAnsi" w:hAnsiTheme="minorHAnsi" w:cstheme="minorBidi"/>
          <w:color w:val="495965" w:themeColor="text2"/>
          <w:sz w:val="22"/>
          <w:szCs w:val="22"/>
          <w:lang w:val="en-GB"/>
        </w:rPr>
        <w:t>Aid Partnership Agreement, to reflect shared policy priorities and agreed</w:t>
      </w:r>
      <w:r w:rsidR="00874F0D" w:rsidRPr="009E4948">
        <w:rPr>
          <w:rFonts w:asciiTheme="minorHAnsi" w:eastAsiaTheme="minorHAnsi" w:hAnsiTheme="minorHAnsi" w:cstheme="minorBidi"/>
          <w:color w:val="495965" w:themeColor="text2"/>
          <w:sz w:val="22"/>
          <w:szCs w:val="22"/>
          <w:lang w:val="en-GB"/>
        </w:rPr>
        <w:t xml:space="preserve"> areas of mutual accountability.</w:t>
      </w:r>
    </w:p>
    <w:p w14:paraId="03935E1C" w14:textId="77777777" w:rsidR="00D15A00" w:rsidRDefault="00D15A00" w:rsidP="002A51CA"/>
    <w:p w14:paraId="478DFF36" w14:textId="77777777" w:rsidR="00D15A00" w:rsidRDefault="00D15A00" w:rsidP="002A51CA">
      <w:pPr>
        <w:sectPr w:rsidR="00D15A00" w:rsidSect="00C6626C">
          <w:pgSz w:w="11906" w:h="16838" w:code="9"/>
          <w:pgMar w:top="1527" w:right="1134" w:bottom="851" w:left="1134" w:header="1418" w:footer="567" w:gutter="0"/>
          <w:cols w:space="397"/>
          <w:docGrid w:linePitch="360"/>
        </w:sectPr>
      </w:pPr>
    </w:p>
    <w:p w14:paraId="2D848672" w14:textId="77777777" w:rsidR="006F674E" w:rsidRPr="00E41505" w:rsidRDefault="00400B0F" w:rsidP="007F73A7">
      <w:pPr>
        <w:pStyle w:val="Subtitle"/>
        <w:numPr>
          <w:ilvl w:val="0"/>
          <w:numId w:val="0"/>
        </w:numPr>
        <w:rPr>
          <w:rFonts w:asciiTheme="majorHAnsi" w:hAnsiTheme="majorHAnsi"/>
          <w:bCs w:val="0"/>
          <w:iCs w:val="0"/>
          <w:spacing w:val="0"/>
          <w:kern w:val="0"/>
          <w:szCs w:val="26"/>
        </w:rPr>
      </w:pPr>
      <w:r w:rsidRPr="00E41505">
        <w:rPr>
          <w:rFonts w:asciiTheme="majorHAnsi" w:hAnsiTheme="majorHAnsi"/>
          <w:bCs w:val="0"/>
          <w:iCs w:val="0"/>
          <w:spacing w:val="0"/>
          <w:kern w:val="0"/>
          <w:szCs w:val="26"/>
        </w:rPr>
        <w:lastRenderedPageBreak/>
        <w:t xml:space="preserve">Annex A </w:t>
      </w:r>
      <w:r w:rsidR="00E41505">
        <w:rPr>
          <w:rFonts w:asciiTheme="majorHAnsi" w:hAnsiTheme="majorHAnsi"/>
          <w:bCs w:val="0"/>
          <w:iCs w:val="0"/>
          <w:spacing w:val="0"/>
          <w:kern w:val="0"/>
          <w:szCs w:val="26"/>
        </w:rPr>
        <w:t>–</w:t>
      </w:r>
      <w:r w:rsidRPr="00E41505">
        <w:rPr>
          <w:rFonts w:asciiTheme="majorHAnsi" w:hAnsiTheme="majorHAnsi"/>
          <w:bCs w:val="0"/>
          <w:iCs w:val="0"/>
          <w:spacing w:val="0"/>
          <w:kern w:val="0"/>
          <w:szCs w:val="26"/>
        </w:rPr>
        <w:t xml:space="preserve"> Progress</w:t>
      </w:r>
      <w:r w:rsidR="00E41505">
        <w:rPr>
          <w:rFonts w:asciiTheme="majorHAnsi" w:hAnsiTheme="majorHAnsi"/>
          <w:bCs w:val="0"/>
          <w:iCs w:val="0"/>
          <w:spacing w:val="0"/>
          <w:kern w:val="0"/>
          <w:szCs w:val="26"/>
        </w:rPr>
        <w:t xml:space="preserve"> </w:t>
      </w:r>
      <w:r w:rsidRPr="00E41505">
        <w:rPr>
          <w:rFonts w:asciiTheme="majorHAnsi" w:hAnsiTheme="majorHAnsi"/>
          <w:bCs w:val="0"/>
          <w:iCs w:val="0"/>
          <w:spacing w:val="0"/>
          <w:kern w:val="0"/>
          <w:szCs w:val="26"/>
        </w:rPr>
        <w:t>in Addressing Management Responses</w:t>
      </w:r>
    </w:p>
    <w:tbl>
      <w:tblPr>
        <w:tblStyle w:val="APPR1"/>
        <w:tblpPr w:leftFromText="180" w:rightFromText="180" w:vertAnchor="text" w:tblpY="1"/>
        <w:tblW w:w="5000" w:type="pct"/>
        <w:tblLayout w:type="fixed"/>
        <w:tblLook w:val="0000" w:firstRow="0" w:lastRow="0" w:firstColumn="0" w:lastColumn="0" w:noHBand="0" w:noVBand="0"/>
      </w:tblPr>
      <w:tblGrid>
        <w:gridCol w:w="6391"/>
        <w:gridCol w:w="977"/>
        <w:gridCol w:w="6805"/>
      </w:tblGrid>
      <w:tr w:rsidR="00F65487" w:rsidRPr="00F65487" w14:paraId="0AEF434B" w14:textId="77777777" w:rsidTr="00CF593F">
        <w:trPr>
          <w:cnfStyle w:val="000000010000" w:firstRow="0" w:lastRow="0" w:firstColumn="0" w:lastColumn="0" w:oddVBand="0" w:evenVBand="0" w:oddHBand="0" w:evenHBand="1" w:firstRowFirstColumn="0" w:firstRowLastColumn="0" w:lastRowFirstColumn="0" w:lastRowLastColumn="0"/>
        </w:trPr>
        <w:tc>
          <w:tcPr>
            <w:tcW w:w="6473" w:type="dxa"/>
          </w:tcPr>
          <w:p w14:paraId="5026965C" w14:textId="77777777" w:rsidR="00F65487" w:rsidRPr="00874F0D" w:rsidRDefault="00F65487" w:rsidP="00F65487">
            <w:pPr>
              <w:keepLines/>
              <w:spacing w:before="80" w:after="80" w:line="200" w:lineRule="atLeast"/>
              <w:rPr>
                <w:rFonts w:ascii="Helvetica" w:eastAsia="Times New Roman" w:hAnsi="Helvetica"/>
                <w:b/>
                <w:iCs/>
                <w:szCs w:val="17"/>
              </w:rPr>
            </w:pPr>
            <w:r w:rsidRPr="00874F0D">
              <w:rPr>
                <w:rFonts w:ascii="Helvetica" w:eastAsia="Times New Roman" w:hAnsi="Helvetica"/>
                <w:b/>
                <w:iCs/>
                <w:szCs w:val="17"/>
              </w:rPr>
              <w:t>Management respo</w:t>
            </w:r>
            <w:r w:rsidR="00874F0D" w:rsidRPr="00874F0D">
              <w:rPr>
                <w:rFonts w:ascii="Helvetica" w:eastAsia="Times New Roman" w:hAnsi="Helvetica"/>
                <w:b/>
                <w:iCs/>
                <w:szCs w:val="17"/>
              </w:rPr>
              <w:t>nses identified in 2014-15 APPR</w:t>
            </w:r>
          </w:p>
        </w:tc>
        <w:tc>
          <w:tcPr>
            <w:tcW w:w="964" w:type="dxa"/>
          </w:tcPr>
          <w:p w14:paraId="7363242E" w14:textId="77777777" w:rsidR="00F65487" w:rsidRPr="00874F0D" w:rsidRDefault="00F65487" w:rsidP="00F65487">
            <w:pPr>
              <w:keepLines/>
              <w:spacing w:before="80" w:after="80" w:line="200" w:lineRule="atLeast"/>
              <w:rPr>
                <w:rFonts w:ascii="Helvetica" w:eastAsia="Times New Roman" w:hAnsi="Helvetica"/>
                <w:b/>
                <w:iCs/>
                <w:szCs w:val="17"/>
              </w:rPr>
            </w:pPr>
            <w:r w:rsidRPr="00874F0D">
              <w:rPr>
                <w:rFonts w:ascii="Helvetica" w:eastAsia="Times New Roman" w:hAnsi="Helvetica"/>
                <w:b/>
                <w:iCs/>
                <w:szCs w:val="17"/>
              </w:rPr>
              <w:t>Rating</w:t>
            </w:r>
          </w:p>
        </w:tc>
        <w:tc>
          <w:tcPr>
            <w:tcW w:w="6896" w:type="dxa"/>
          </w:tcPr>
          <w:p w14:paraId="3D6FF3F8" w14:textId="77777777" w:rsidR="00F65487" w:rsidRPr="00874F0D" w:rsidRDefault="00874F0D" w:rsidP="00F65487">
            <w:pPr>
              <w:keepLines/>
              <w:spacing w:before="80" w:after="80" w:line="200" w:lineRule="atLeast"/>
              <w:jc w:val="center"/>
              <w:rPr>
                <w:rFonts w:ascii="Helvetica" w:eastAsia="Times New Roman" w:hAnsi="Helvetica"/>
                <w:b/>
                <w:iCs/>
                <w:szCs w:val="17"/>
              </w:rPr>
            </w:pPr>
            <w:r w:rsidRPr="00874F0D">
              <w:rPr>
                <w:rFonts w:ascii="Helvetica" w:eastAsia="Times New Roman" w:hAnsi="Helvetica"/>
                <w:b/>
                <w:iCs/>
                <w:szCs w:val="17"/>
              </w:rPr>
              <w:t xml:space="preserve">Progress made </w:t>
            </w:r>
            <w:r w:rsidR="00F65487" w:rsidRPr="00874F0D">
              <w:rPr>
                <w:rFonts w:ascii="Helvetica" w:eastAsia="Times New Roman" w:hAnsi="Helvetica"/>
                <w:b/>
                <w:iCs/>
                <w:szCs w:val="17"/>
              </w:rPr>
              <w:t>in 2015-16</w:t>
            </w:r>
          </w:p>
        </w:tc>
      </w:tr>
      <w:tr w:rsidR="009C0BC0" w:rsidRPr="00F65487" w14:paraId="6E20D52E" w14:textId="77777777" w:rsidTr="00B1078C">
        <w:trPr>
          <w:cnfStyle w:val="000000010000" w:firstRow="0" w:lastRow="0" w:firstColumn="0" w:lastColumn="0" w:oddVBand="0" w:evenVBand="0" w:oddHBand="0" w:evenHBand="1" w:firstRowFirstColumn="0" w:firstRowLastColumn="0" w:lastRowFirstColumn="0" w:lastRowLastColumn="0"/>
        </w:trPr>
        <w:tc>
          <w:tcPr>
            <w:tcW w:w="6473" w:type="dxa"/>
          </w:tcPr>
          <w:p w14:paraId="17F551B1" w14:textId="77777777" w:rsidR="009C0BC0" w:rsidRPr="00AE6BB9" w:rsidRDefault="009C0BC0"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Finalise the Performance Assessment Framework of the Solomon Islands </w:t>
            </w:r>
            <w:r w:rsidR="002F55A2" w:rsidRPr="00AE6BB9">
              <w:rPr>
                <w:rFonts w:asciiTheme="minorHAnsi" w:eastAsia="Times New Roman" w:hAnsiTheme="minorHAnsi"/>
                <w:iCs/>
                <w:color w:val="auto"/>
                <w:szCs w:val="17"/>
                <w:lang w:eastAsia="en-US"/>
              </w:rPr>
              <w:t xml:space="preserve">AIP </w:t>
            </w:r>
            <w:r w:rsidRPr="00AE6BB9">
              <w:rPr>
                <w:rFonts w:asciiTheme="minorHAnsi" w:eastAsia="Times New Roman" w:hAnsiTheme="minorHAnsi"/>
                <w:iCs/>
                <w:color w:val="auto"/>
                <w:szCs w:val="17"/>
                <w:lang w:eastAsia="en-US"/>
              </w:rPr>
              <w:t>to consolidate the str</w:t>
            </w:r>
            <w:r w:rsidR="00744A6A" w:rsidRPr="00AE6BB9">
              <w:rPr>
                <w:rFonts w:asciiTheme="minorHAnsi" w:eastAsia="Times New Roman" w:hAnsiTheme="minorHAnsi"/>
                <w:iCs/>
                <w:color w:val="auto"/>
                <w:szCs w:val="17"/>
                <w:lang w:eastAsia="en-US"/>
              </w:rPr>
              <w:t>ategic direction of the program.</w:t>
            </w:r>
          </w:p>
        </w:tc>
        <w:tc>
          <w:tcPr>
            <w:tcW w:w="964" w:type="dxa"/>
            <w:shd w:val="clear" w:color="auto" w:fill="92D050"/>
          </w:tcPr>
          <w:p w14:paraId="394BA4AE" w14:textId="77777777" w:rsidR="009C0BC0" w:rsidRPr="00AE6BB9" w:rsidRDefault="00B1078C"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Achieved</w:t>
            </w:r>
          </w:p>
        </w:tc>
        <w:tc>
          <w:tcPr>
            <w:tcW w:w="6896" w:type="dxa"/>
          </w:tcPr>
          <w:p w14:paraId="25F97596" w14:textId="77777777" w:rsidR="009C0BC0" w:rsidRPr="00AE6BB9" w:rsidRDefault="00B90B41"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This APPR has used the baseline report of the Performance Assessment Framework to inform its assessment on progress against outcomes in 2015</w:t>
            </w:r>
            <w:r w:rsidR="002F55A2" w:rsidRPr="00AE6BB9">
              <w:rPr>
                <w:rFonts w:asciiTheme="minorHAnsi" w:eastAsia="Times New Roman" w:hAnsiTheme="minorHAnsi"/>
                <w:iCs/>
                <w:color w:val="auto"/>
                <w:szCs w:val="17"/>
                <w:lang w:eastAsia="en-US"/>
              </w:rPr>
              <w:t>-</w:t>
            </w:r>
            <w:r w:rsidRPr="00AE6BB9">
              <w:rPr>
                <w:rFonts w:asciiTheme="minorHAnsi" w:eastAsia="Times New Roman" w:hAnsiTheme="minorHAnsi"/>
                <w:iCs/>
                <w:color w:val="auto"/>
                <w:szCs w:val="17"/>
                <w:lang w:eastAsia="en-US"/>
              </w:rPr>
              <w:t>16. Findings in this report will inform future program strategic and expenditure decisions.</w:t>
            </w:r>
          </w:p>
        </w:tc>
      </w:tr>
      <w:tr w:rsidR="009C0BC0" w:rsidRPr="00F65487" w14:paraId="7ED8DD39" w14:textId="77777777" w:rsidTr="00B1078C">
        <w:trPr>
          <w:cnfStyle w:val="000000010000" w:firstRow="0" w:lastRow="0" w:firstColumn="0" w:lastColumn="0" w:oddVBand="0" w:evenVBand="0" w:oddHBand="0" w:evenHBand="1" w:firstRowFirstColumn="0" w:firstRowLastColumn="0" w:lastRowFirstColumn="0" w:lastRowLastColumn="0"/>
        </w:trPr>
        <w:tc>
          <w:tcPr>
            <w:tcW w:w="6473" w:type="dxa"/>
          </w:tcPr>
          <w:p w14:paraId="7C9F2FCE" w14:textId="77777777" w:rsidR="009C0BC0" w:rsidRPr="00AE6BB9" w:rsidRDefault="009C0BC0"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Develop and finalise the Solomon Islands-Australia Aid Partnership A</w:t>
            </w:r>
            <w:r w:rsidR="005A2DD0" w:rsidRPr="00AE6BB9">
              <w:rPr>
                <w:rFonts w:asciiTheme="minorHAnsi" w:eastAsia="Times New Roman" w:hAnsiTheme="minorHAnsi"/>
                <w:iCs/>
                <w:color w:val="auto"/>
                <w:szCs w:val="17"/>
                <w:lang w:eastAsia="en-US"/>
              </w:rPr>
              <w:t>rrangement</w:t>
            </w:r>
            <w:r w:rsidRPr="00AE6BB9">
              <w:rPr>
                <w:rFonts w:asciiTheme="minorHAnsi" w:eastAsia="Times New Roman" w:hAnsiTheme="minorHAnsi"/>
                <w:iCs/>
                <w:color w:val="auto"/>
                <w:szCs w:val="17"/>
                <w:lang w:eastAsia="en-US"/>
              </w:rPr>
              <w:t xml:space="preserve"> to reflect shared policy priorities and agreed</w:t>
            </w:r>
            <w:r w:rsidR="00744A6A" w:rsidRPr="00AE6BB9">
              <w:rPr>
                <w:rFonts w:asciiTheme="minorHAnsi" w:eastAsia="Times New Roman" w:hAnsiTheme="minorHAnsi"/>
                <w:iCs/>
                <w:color w:val="auto"/>
                <w:szCs w:val="17"/>
                <w:lang w:eastAsia="en-US"/>
              </w:rPr>
              <w:t xml:space="preserve"> areas of mutual accountability.</w:t>
            </w:r>
          </w:p>
        </w:tc>
        <w:tc>
          <w:tcPr>
            <w:tcW w:w="964" w:type="dxa"/>
            <w:shd w:val="clear" w:color="auto" w:fill="FFC000"/>
          </w:tcPr>
          <w:p w14:paraId="01F9F9D6" w14:textId="77777777" w:rsidR="009C0BC0" w:rsidRPr="00AE6BB9" w:rsidRDefault="00B1078C"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Partly achieved</w:t>
            </w:r>
          </w:p>
        </w:tc>
        <w:tc>
          <w:tcPr>
            <w:tcW w:w="6896" w:type="dxa"/>
          </w:tcPr>
          <w:p w14:paraId="6DF22DED" w14:textId="77777777" w:rsidR="009C0BC0" w:rsidRPr="00AE6BB9" w:rsidRDefault="00DF4902"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Whilst not finalised, </w:t>
            </w:r>
            <w:r w:rsidR="00591069" w:rsidRPr="00AE6BB9">
              <w:rPr>
                <w:rFonts w:asciiTheme="minorHAnsi" w:eastAsia="Times New Roman" w:hAnsiTheme="minorHAnsi"/>
                <w:iCs/>
                <w:color w:val="auto"/>
                <w:szCs w:val="17"/>
                <w:lang w:eastAsia="en-US"/>
              </w:rPr>
              <w:t xml:space="preserve">drafts have been shared and </w:t>
            </w:r>
            <w:r w:rsidRPr="00AE6BB9">
              <w:rPr>
                <w:rFonts w:asciiTheme="minorHAnsi" w:eastAsia="Times New Roman" w:hAnsiTheme="minorHAnsi"/>
                <w:iCs/>
                <w:color w:val="auto"/>
                <w:szCs w:val="17"/>
                <w:lang w:eastAsia="en-US"/>
              </w:rPr>
              <w:t xml:space="preserve">it is anticipated the </w:t>
            </w:r>
            <w:r w:rsidR="005A2DD0" w:rsidRPr="00AE6BB9">
              <w:rPr>
                <w:rFonts w:asciiTheme="minorHAnsi" w:eastAsia="Times New Roman" w:hAnsiTheme="minorHAnsi"/>
                <w:iCs/>
                <w:color w:val="auto"/>
                <w:szCs w:val="17"/>
                <w:lang w:eastAsia="en-US"/>
              </w:rPr>
              <w:t xml:space="preserve">Arrangement </w:t>
            </w:r>
            <w:r w:rsidRPr="00AE6BB9">
              <w:rPr>
                <w:rFonts w:asciiTheme="minorHAnsi" w:eastAsia="Times New Roman" w:hAnsiTheme="minorHAnsi"/>
                <w:iCs/>
                <w:color w:val="auto"/>
                <w:szCs w:val="17"/>
                <w:lang w:eastAsia="en-US"/>
              </w:rPr>
              <w:t xml:space="preserve">will be </w:t>
            </w:r>
            <w:r w:rsidR="005A2DD0" w:rsidRPr="00AE6BB9">
              <w:rPr>
                <w:rFonts w:asciiTheme="minorHAnsi" w:eastAsia="Times New Roman" w:hAnsiTheme="minorHAnsi"/>
                <w:iCs/>
                <w:color w:val="auto"/>
                <w:szCs w:val="17"/>
                <w:lang w:eastAsia="en-US"/>
              </w:rPr>
              <w:t>agreed between Australia and Solomon Islands</w:t>
            </w:r>
            <w:r w:rsidRPr="00AE6BB9">
              <w:rPr>
                <w:rFonts w:asciiTheme="minorHAnsi" w:eastAsia="Times New Roman" w:hAnsiTheme="minorHAnsi"/>
                <w:iCs/>
                <w:color w:val="auto"/>
                <w:szCs w:val="17"/>
                <w:lang w:eastAsia="en-US"/>
              </w:rPr>
              <w:t xml:space="preserve"> in the first half of 2</w:t>
            </w:r>
            <w:r w:rsidR="005A2DD0" w:rsidRPr="00AE6BB9">
              <w:rPr>
                <w:rFonts w:asciiTheme="minorHAnsi" w:eastAsia="Times New Roman" w:hAnsiTheme="minorHAnsi"/>
                <w:iCs/>
                <w:color w:val="auto"/>
                <w:szCs w:val="17"/>
                <w:lang w:eastAsia="en-US"/>
              </w:rPr>
              <w:t>016</w:t>
            </w:r>
            <w:r w:rsidRPr="00AE6BB9">
              <w:rPr>
                <w:rFonts w:asciiTheme="minorHAnsi" w:eastAsia="Times New Roman" w:hAnsiTheme="minorHAnsi"/>
                <w:iCs/>
                <w:color w:val="auto"/>
                <w:szCs w:val="17"/>
                <w:lang w:eastAsia="en-US"/>
              </w:rPr>
              <w:t>-17.</w:t>
            </w:r>
          </w:p>
        </w:tc>
      </w:tr>
      <w:tr w:rsidR="00B60588" w:rsidRPr="00F65487" w14:paraId="58010689" w14:textId="77777777" w:rsidTr="00673BD5">
        <w:trPr>
          <w:cnfStyle w:val="000000010000" w:firstRow="0" w:lastRow="0" w:firstColumn="0" w:lastColumn="0" w:oddVBand="0" w:evenVBand="0" w:oddHBand="0" w:evenHBand="1" w:firstRowFirstColumn="0" w:firstRowLastColumn="0" w:lastRowFirstColumn="0" w:lastRowLastColumn="0"/>
        </w:trPr>
        <w:tc>
          <w:tcPr>
            <w:tcW w:w="6473" w:type="dxa"/>
          </w:tcPr>
          <w:p w14:paraId="60ABDBDA" w14:textId="77777777" w:rsidR="00B60588" w:rsidRPr="00AE6BB9" w:rsidRDefault="00B60588"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Embed a systematic approach to design, implementation and monitoring of gender and disability mainstreaming in sector programs, including through program quality systems, a gender action plan for governance a</w:t>
            </w:r>
            <w:r w:rsidR="00744A6A" w:rsidRPr="00AE6BB9">
              <w:rPr>
                <w:rFonts w:asciiTheme="minorHAnsi" w:eastAsia="Times New Roman" w:hAnsiTheme="minorHAnsi"/>
                <w:iCs/>
                <w:color w:val="auto"/>
                <w:szCs w:val="17"/>
                <w:lang w:eastAsia="en-US"/>
              </w:rPr>
              <w:t>nd a gender analysis for growth.</w:t>
            </w:r>
          </w:p>
        </w:tc>
        <w:tc>
          <w:tcPr>
            <w:tcW w:w="964" w:type="dxa"/>
            <w:shd w:val="clear" w:color="auto" w:fill="92D050"/>
          </w:tcPr>
          <w:p w14:paraId="3C1E15AF" w14:textId="77777777" w:rsidR="00B60588" w:rsidRPr="00AE6BB9" w:rsidRDefault="00673BD5"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Achieved</w:t>
            </w:r>
          </w:p>
        </w:tc>
        <w:tc>
          <w:tcPr>
            <w:tcW w:w="6896" w:type="dxa"/>
          </w:tcPr>
          <w:p w14:paraId="6932AC18" w14:textId="77777777" w:rsidR="00B60588" w:rsidRPr="00AE6BB9" w:rsidRDefault="003B4171"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Australia took a more systematic approach to mainstreaming gender </w:t>
            </w:r>
            <w:r w:rsidR="00615A5B" w:rsidRPr="00AE6BB9">
              <w:rPr>
                <w:rFonts w:asciiTheme="minorHAnsi" w:eastAsia="Times New Roman" w:hAnsiTheme="minorHAnsi"/>
                <w:iCs/>
                <w:color w:val="auto"/>
                <w:szCs w:val="17"/>
                <w:lang w:eastAsia="en-US"/>
              </w:rPr>
              <w:t xml:space="preserve">equality </w:t>
            </w:r>
            <w:r w:rsidRPr="00AE6BB9">
              <w:rPr>
                <w:rFonts w:asciiTheme="minorHAnsi" w:eastAsia="Times New Roman" w:hAnsiTheme="minorHAnsi"/>
                <w:iCs/>
                <w:color w:val="auto"/>
                <w:szCs w:val="17"/>
                <w:lang w:eastAsia="en-US"/>
              </w:rPr>
              <w:t xml:space="preserve">within sectoral programs in 2015-16. </w:t>
            </w:r>
            <w:r w:rsidR="00311CD9" w:rsidRPr="00AE6BB9">
              <w:rPr>
                <w:rFonts w:asciiTheme="minorHAnsi" w:eastAsia="Times New Roman" w:hAnsiTheme="minorHAnsi"/>
                <w:iCs/>
                <w:color w:val="auto"/>
                <w:szCs w:val="17"/>
                <w:lang w:eastAsia="en-US"/>
              </w:rPr>
              <w:t>Post e</w:t>
            </w:r>
            <w:r w:rsidRPr="00AE6BB9">
              <w:rPr>
                <w:rFonts w:asciiTheme="minorHAnsi" w:eastAsia="Times New Roman" w:hAnsiTheme="minorHAnsi"/>
                <w:iCs/>
                <w:color w:val="auto"/>
                <w:szCs w:val="17"/>
                <w:lang w:eastAsia="en-US"/>
              </w:rPr>
              <w:t>stablish</w:t>
            </w:r>
            <w:r w:rsidR="00311CD9" w:rsidRPr="00AE6BB9">
              <w:rPr>
                <w:rFonts w:asciiTheme="minorHAnsi" w:eastAsia="Times New Roman" w:hAnsiTheme="minorHAnsi"/>
                <w:iCs/>
                <w:color w:val="auto"/>
                <w:szCs w:val="17"/>
                <w:lang w:eastAsia="en-US"/>
              </w:rPr>
              <w:t>ed</w:t>
            </w:r>
            <w:r w:rsidRPr="00AE6BB9">
              <w:rPr>
                <w:rFonts w:asciiTheme="minorHAnsi" w:eastAsia="Times New Roman" w:hAnsiTheme="minorHAnsi"/>
                <w:iCs/>
                <w:color w:val="auto"/>
                <w:szCs w:val="17"/>
                <w:lang w:eastAsia="en-US"/>
              </w:rPr>
              <w:t xml:space="preserve"> a Gender </w:t>
            </w:r>
            <w:r w:rsidR="00615A5B" w:rsidRPr="00AE6BB9">
              <w:rPr>
                <w:rFonts w:asciiTheme="minorHAnsi" w:eastAsia="Times New Roman" w:hAnsiTheme="minorHAnsi"/>
                <w:iCs/>
                <w:color w:val="auto"/>
                <w:szCs w:val="17"/>
                <w:lang w:eastAsia="en-US"/>
              </w:rPr>
              <w:t xml:space="preserve">Equality </w:t>
            </w:r>
            <w:r w:rsidRPr="00AE6BB9">
              <w:rPr>
                <w:rFonts w:asciiTheme="minorHAnsi" w:eastAsia="Times New Roman" w:hAnsiTheme="minorHAnsi"/>
                <w:iCs/>
                <w:color w:val="auto"/>
                <w:szCs w:val="17"/>
                <w:lang w:eastAsia="en-US"/>
              </w:rPr>
              <w:t>Working Group, led by the High Commissioner</w:t>
            </w:r>
            <w:r w:rsidR="00311CD9" w:rsidRPr="00AE6BB9">
              <w:rPr>
                <w:rFonts w:asciiTheme="minorHAnsi" w:eastAsia="Times New Roman" w:hAnsiTheme="minorHAnsi"/>
                <w:iCs/>
                <w:color w:val="auto"/>
                <w:szCs w:val="17"/>
                <w:lang w:eastAsia="en-US"/>
              </w:rPr>
              <w:t xml:space="preserve">, developed a Gender Performance Assessment Framework, and completed a gender action plan for governance and a gender analysis for economic growth. </w:t>
            </w:r>
            <w:r w:rsidRPr="00AE6BB9">
              <w:rPr>
                <w:rFonts w:asciiTheme="minorHAnsi" w:eastAsia="Times New Roman" w:hAnsiTheme="minorHAnsi"/>
                <w:iCs/>
                <w:color w:val="auto"/>
                <w:szCs w:val="17"/>
                <w:lang w:eastAsia="en-US"/>
              </w:rPr>
              <w:t xml:space="preserve">Just under 80% of investments were </w:t>
            </w:r>
            <w:r w:rsidR="005A2DD0" w:rsidRPr="00AE6BB9">
              <w:rPr>
                <w:rFonts w:asciiTheme="minorHAnsi" w:eastAsia="Times New Roman" w:hAnsiTheme="minorHAnsi"/>
                <w:iCs/>
                <w:color w:val="auto"/>
                <w:szCs w:val="17"/>
                <w:lang w:eastAsia="en-US"/>
              </w:rPr>
              <w:t>rated</w:t>
            </w:r>
            <w:r w:rsidRPr="00AE6BB9">
              <w:rPr>
                <w:rFonts w:asciiTheme="minorHAnsi" w:eastAsia="Times New Roman" w:hAnsiTheme="minorHAnsi"/>
                <w:iCs/>
                <w:color w:val="auto"/>
                <w:szCs w:val="17"/>
                <w:lang w:eastAsia="en-US"/>
              </w:rPr>
              <w:t xml:space="preserve"> satisfactory or above for gender</w:t>
            </w:r>
            <w:r w:rsidR="00615A5B" w:rsidRPr="00AE6BB9">
              <w:rPr>
                <w:rFonts w:asciiTheme="minorHAnsi" w:eastAsia="Times New Roman" w:hAnsiTheme="minorHAnsi"/>
                <w:iCs/>
                <w:color w:val="auto"/>
                <w:szCs w:val="17"/>
                <w:lang w:eastAsia="en-US"/>
              </w:rPr>
              <w:t xml:space="preserve"> equality</w:t>
            </w:r>
            <w:r w:rsidRPr="00AE6BB9">
              <w:rPr>
                <w:rFonts w:asciiTheme="minorHAnsi" w:eastAsia="Times New Roman" w:hAnsiTheme="minorHAnsi"/>
                <w:iCs/>
                <w:color w:val="auto"/>
                <w:szCs w:val="17"/>
                <w:lang w:eastAsia="en-US"/>
              </w:rPr>
              <w:t xml:space="preserve"> in the 2015 Aid Quality Checks. In 2015-16, disability training was delivered to DFAT program managers and key development partners to raise awareness of DFAT’s Disability Inclusive Development Policy</w:t>
            </w:r>
            <w:r w:rsidR="00311CD9" w:rsidRPr="00AE6BB9">
              <w:rPr>
                <w:rFonts w:asciiTheme="minorHAnsi" w:eastAsia="Times New Roman" w:hAnsiTheme="minorHAnsi"/>
                <w:iCs/>
                <w:color w:val="auto"/>
                <w:szCs w:val="17"/>
                <w:lang w:eastAsia="en-US"/>
              </w:rPr>
              <w:t>. F</w:t>
            </w:r>
            <w:r w:rsidRPr="00AE6BB9">
              <w:rPr>
                <w:rFonts w:asciiTheme="minorHAnsi" w:eastAsia="Times New Roman" w:hAnsiTheme="minorHAnsi"/>
                <w:iCs/>
                <w:color w:val="auto"/>
                <w:szCs w:val="17"/>
                <w:lang w:eastAsia="en-US"/>
              </w:rPr>
              <w:t>urther work is required to embed a more systematic approach to disability mainstreaming across all programs.</w:t>
            </w:r>
          </w:p>
        </w:tc>
      </w:tr>
      <w:tr w:rsidR="009C0BC0" w:rsidRPr="00F65487" w14:paraId="237FD086" w14:textId="77777777" w:rsidTr="00B1078C">
        <w:trPr>
          <w:cnfStyle w:val="000000010000" w:firstRow="0" w:lastRow="0" w:firstColumn="0" w:lastColumn="0" w:oddVBand="0" w:evenVBand="0" w:oddHBand="0" w:evenHBand="1" w:firstRowFirstColumn="0" w:firstRowLastColumn="0" w:lastRowFirstColumn="0" w:lastRowLastColumn="0"/>
          <w:trHeight w:val="176"/>
        </w:trPr>
        <w:tc>
          <w:tcPr>
            <w:tcW w:w="6473" w:type="dxa"/>
          </w:tcPr>
          <w:p w14:paraId="3A648C3D" w14:textId="77777777" w:rsidR="009C0BC0" w:rsidRPr="00AE6BB9" w:rsidRDefault="009C0BC0"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Complete the design of the new Solomon Islands Growth Program to stimulate economic growth in Solomon Islands by catalysing private sector investment and increasing opportunities for inclusive growth.</w:t>
            </w:r>
          </w:p>
        </w:tc>
        <w:tc>
          <w:tcPr>
            <w:tcW w:w="964" w:type="dxa"/>
            <w:shd w:val="clear" w:color="auto" w:fill="FFC000"/>
          </w:tcPr>
          <w:p w14:paraId="3E64CB2A" w14:textId="77777777" w:rsidR="009C0BC0" w:rsidRPr="00AE6BB9" w:rsidRDefault="009C0BC0"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Partly achieved</w:t>
            </w:r>
          </w:p>
        </w:tc>
        <w:tc>
          <w:tcPr>
            <w:tcW w:w="6896" w:type="dxa"/>
          </w:tcPr>
          <w:p w14:paraId="3BD2DD47" w14:textId="77777777" w:rsidR="009C0BC0" w:rsidRPr="00AE6BB9" w:rsidRDefault="009C0BC0"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In 2015-16 Australia commenced the design of the new Solomon Islands Growth Program. </w:t>
            </w:r>
            <w:r w:rsidR="00DF4902" w:rsidRPr="00AE6BB9">
              <w:rPr>
                <w:rFonts w:asciiTheme="minorHAnsi" w:eastAsia="Times New Roman" w:hAnsiTheme="minorHAnsi"/>
                <w:iCs/>
                <w:color w:val="auto"/>
                <w:szCs w:val="17"/>
                <w:lang w:eastAsia="en-US"/>
              </w:rPr>
              <w:t>Whilst delayed, t</w:t>
            </w:r>
            <w:r w:rsidRPr="00AE6BB9">
              <w:rPr>
                <w:rFonts w:asciiTheme="minorHAnsi" w:eastAsia="Times New Roman" w:hAnsiTheme="minorHAnsi"/>
                <w:iCs/>
                <w:color w:val="auto"/>
                <w:szCs w:val="17"/>
                <w:lang w:eastAsia="en-US"/>
              </w:rPr>
              <w:t xml:space="preserve">he design is </w:t>
            </w:r>
            <w:r w:rsidR="00DF4902" w:rsidRPr="00AE6BB9">
              <w:rPr>
                <w:rFonts w:asciiTheme="minorHAnsi" w:eastAsia="Times New Roman" w:hAnsiTheme="minorHAnsi"/>
                <w:iCs/>
                <w:color w:val="auto"/>
                <w:szCs w:val="17"/>
                <w:lang w:eastAsia="en-US"/>
              </w:rPr>
              <w:t>on track to be completed</w:t>
            </w:r>
            <w:r w:rsidRPr="00AE6BB9">
              <w:rPr>
                <w:rFonts w:asciiTheme="minorHAnsi" w:eastAsia="Times New Roman" w:hAnsiTheme="minorHAnsi"/>
                <w:iCs/>
                <w:color w:val="auto"/>
                <w:szCs w:val="17"/>
                <w:lang w:eastAsia="en-US"/>
              </w:rPr>
              <w:t xml:space="preserve"> in September 2016.</w:t>
            </w:r>
          </w:p>
        </w:tc>
      </w:tr>
      <w:tr w:rsidR="009C0BC0" w:rsidRPr="00F65487" w14:paraId="44C29389" w14:textId="77777777" w:rsidTr="00DF4902">
        <w:trPr>
          <w:cnfStyle w:val="000000010000" w:firstRow="0" w:lastRow="0" w:firstColumn="0" w:lastColumn="0" w:oddVBand="0" w:evenVBand="0" w:oddHBand="0" w:evenHBand="1" w:firstRowFirstColumn="0" w:firstRowLastColumn="0" w:lastRowFirstColumn="0" w:lastRowLastColumn="0"/>
        </w:trPr>
        <w:tc>
          <w:tcPr>
            <w:tcW w:w="6473" w:type="dxa"/>
          </w:tcPr>
          <w:p w14:paraId="796F7573" w14:textId="77777777" w:rsidR="009C0BC0" w:rsidRPr="00AE6BB9" w:rsidRDefault="009C0BC0"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Finalise plans for the transition into a new phase of support for the infrastructure sector, working with the Solomon Islands Government, state-owned enterprises and other donors to focus on agreed priorities in transport, urban water and energy.</w:t>
            </w:r>
          </w:p>
        </w:tc>
        <w:tc>
          <w:tcPr>
            <w:tcW w:w="964" w:type="dxa"/>
            <w:shd w:val="clear" w:color="auto" w:fill="92D050"/>
          </w:tcPr>
          <w:p w14:paraId="43F9B5A3" w14:textId="77777777" w:rsidR="009C0BC0" w:rsidRPr="00AE6BB9" w:rsidRDefault="00DF4902"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Achieved</w:t>
            </w:r>
          </w:p>
        </w:tc>
        <w:tc>
          <w:tcPr>
            <w:tcW w:w="6896" w:type="dxa"/>
          </w:tcPr>
          <w:p w14:paraId="5DBA079A" w14:textId="77777777" w:rsidR="009C0BC0" w:rsidRPr="00AE6BB9" w:rsidRDefault="009C0BC0"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Australia transition</w:t>
            </w:r>
            <w:r w:rsidR="005A2DD0" w:rsidRPr="00AE6BB9">
              <w:rPr>
                <w:rFonts w:asciiTheme="minorHAnsi" w:eastAsia="Times New Roman" w:hAnsiTheme="minorHAnsi"/>
                <w:iCs/>
                <w:color w:val="auto"/>
                <w:szCs w:val="17"/>
                <w:lang w:eastAsia="en-US"/>
              </w:rPr>
              <w:t>ed</w:t>
            </w:r>
            <w:r w:rsidRPr="00AE6BB9">
              <w:rPr>
                <w:rFonts w:asciiTheme="minorHAnsi" w:eastAsia="Times New Roman" w:hAnsiTheme="minorHAnsi"/>
                <w:iCs/>
                <w:color w:val="auto"/>
                <w:szCs w:val="17"/>
                <w:lang w:eastAsia="en-US"/>
              </w:rPr>
              <w:t xml:space="preserve"> into the new phase of support for the transport sector, which commenced in May 2016 and will continue until December 2020. Australia and its partners agreed to extend the current phase of support in urban water </w:t>
            </w:r>
            <w:r w:rsidR="00DF4902" w:rsidRPr="00AE6BB9">
              <w:rPr>
                <w:rFonts w:asciiTheme="minorHAnsi" w:eastAsia="Times New Roman" w:hAnsiTheme="minorHAnsi"/>
                <w:iCs/>
                <w:color w:val="auto"/>
                <w:szCs w:val="17"/>
                <w:lang w:eastAsia="en-US"/>
              </w:rPr>
              <w:t xml:space="preserve">to June 2017 </w:t>
            </w:r>
            <w:r w:rsidRPr="00AE6BB9">
              <w:rPr>
                <w:rFonts w:asciiTheme="minorHAnsi" w:eastAsia="Times New Roman" w:hAnsiTheme="minorHAnsi"/>
                <w:iCs/>
                <w:color w:val="auto"/>
                <w:szCs w:val="17"/>
                <w:lang w:eastAsia="en-US"/>
              </w:rPr>
              <w:t xml:space="preserve">and energy </w:t>
            </w:r>
            <w:r w:rsidR="005A2DD0" w:rsidRPr="00AE6BB9">
              <w:rPr>
                <w:rFonts w:asciiTheme="minorHAnsi" w:eastAsia="Times New Roman" w:hAnsiTheme="minorHAnsi"/>
                <w:iCs/>
                <w:color w:val="auto"/>
                <w:szCs w:val="17"/>
                <w:lang w:eastAsia="en-US"/>
              </w:rPr>
              <w:t>to</w:t>
            </w:r>
            <w:r w:rsidR="00874F0D" w:rsidRPr="00AE6BB9">
              <w:rPr>
                <w:rFonts w:asciiTheme="minorHAnsi" w:eastAsia="Times New Roman" w:hAnsiTheme="minorHAnsi"/>
                <w:iCs/>
                <w:color w:val="auto"/>
                <w:szCs w:val="17"/>
                <w:lang w:eastAsia="en-US"/>
              </w:rPr>
              <w:t xml:space="preserve"> December 2016.</w:t>
            </w:r>
          </w:p>
        </w:tc>
      </w:tr>
      <w:tr w:rsidR="009C0BC0" w:rsidRPr="00F65487" w14:paraId="15A3E045" w14:textId="77777777" w:rsidTr="00673BD5">
        <w:trPr>
          <w:cnfStyle w:val="000000010000" w:firstRow="0" w:lastRow="0" w:firstColumn="0" w:lastColumn="0" w:oddVBand="0" w:evenVBand="0" w:oddHBand="0" w:evenHBand="1" w:firstRowFirstColumn="0" w:firstRowLastColumn="0" w:lastRowFirstColumn="0" w:lastRowLastColumn="0"/>
        </w:trPr>
        <w:tc>
          <w:tcPr>
            <w:tcW w:w="6473" w:type="dxa"/>
          </w:tcPr>
          <w:p w14:paraId="77A2BA85" w14:textId="77777777" w:rsidR="009C0BC0" w:rsidRPr="00AE6BB9" w:rsidRDefault="009C0BC0"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Position the bilateral aid program to respond flexibly to potential program changes arising from the p</w:t>
            </w:r>
            <w:r w:rsidR="00975062" w:rsidRPr="00AE6BB9">
              <w:rPr>
                <w:rFonts w:asciiTheme="minorHAnsi" w:eastAsia="Times New Roman" w:hAnsiTheme="minorHAnsi"/>
                <w:iCs/>
                <w:color w:val="auto"/>
                <w:szCs w:val="17"/>
                <w:lang w:eastAsia="en-US"/>
              </w:rPr>
              <w:t>roposed 2016-17 RAMSI Drawdown.</w:t>
            </w:r>
          </w:p>
        </w:tc>
        <w:tc>
          <w:tcPr>
            <w:tcW w:w="964" w:type="dxa"/>
            <w:shd w:val="clear" w:color="auto" w:fill="92D050"/>
          </w:tcPr>
          <w:p w14:paraId="38DA72A8" w14:textId="77777777" w:rsidR="009C0BC0" w:rsidRPr="00AE6BB9" w:rsidRDefault="00673BD5"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w:t>
            </w:r>
            <w:r w:rsidR="00B90B41" w:rsidRPr="00AE6BB9">
              <w:rPr>
                <w:rFonts w:asciiTheme="minorHAnsi" w:eastAsia="Times New Roman" w:hAnsiTheme="minorHAnsi"/>
                <w:iCs/>
                <w:color w:val="FFFFFF" w:themeColor="background1"/>
                <w:szCs w:val="17"/>
                <w:lang w:eastAsia="en-US"/>
              </w:rPr>
              <w:t>chieved</w:t>
            </w:r>
          </w:p>
        </w:tc>
        <w:tc>
          <w:tcPr>
            <w:tcW w:w="6896" w:type="dxa"/>
          </w:tcPr>
          <w:p w14:paraId="2F6D7811" w14:textId="77777777" w:rsidR="009C0BC0" w:rsidRPr="00AE6BB9" w:rsidRDefault="00673BD5"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Work is underway on major </w:t>
            </w:r>
            <w:r w:rsidR="00D11C12" w:rsidRPr="00AE6BB9">
              <w:rPr>
                <w:rFonts w:asciiTheme="minorHAnsi" w:eastAsia="Times New Roman" w:hAnsiTheme="minorHAnsi"/>
                <w:iCs/>
                <w:color w:val="auto"/>
                <w:szCs w:val="17"/>
                <w:lang w:eastAsia="en-US"/>
              </w:rPr>
              <w:t>designs</w:t>
            </w:r>
            <w:r w:rsidRPr="00AE6BB9">
              <w:rPr>
                <w:rFonts w:asciiTheme="minorHAnsi" w:eastAsia="Times New Roman" w:hAnsiTheme="minorHAnsi"/>
                <w:iCs/>
                <w:color w:val="auto"/>
                <w:szCs w:val="17"/>
                <w:lang w:eastAsia="en-US"/>
              </w:rPr>
              <w:t xml:space="preserve"> for the</w:t>
            </w:r>
            <w:r w:rsidR="00744A6A" w:rsidRPr="00AE6BB9">
              <w:rPr>
                <w:rFonts w:asciiTheme="minorHAnsi" w:eastAsia="Times New Roman" w:hAnsiTheme="minorHAnsi"/>
                <w:iCs/>
                <w:color w:val="auto"/>
                <w:szCs w:val="17"/>
                <w:lang w:eastAsia="en-US"/>
              </w:rPr>
              <w:t xml:space="preserve"> police, </w:t>
            </w:r>
            <w:r w:rsidR="00591069" w:rsidRPr="00AE6BB9">
              <w:rPr>
                <w:rFonts w:asciiTheme="minorHAnsi" w:eastAsia="Times New Roman" w:hAnsiTheme="minorHAnsi"/>
                <w:iCs/>
                <w:color w:val="auto"/>
                <w:szCs w:val="17"/>
                <w:lang w:eastAsia="en-US"/>
              </w:rPr>
              <w:t xml:space="preserve">law and </w:t>
            </w:r>
            <w:r w:rsidR="00744A6A" w:rsidRPr="00AE6BB9">
              <w:rPr>
                <w:rFonts w:asciiTheme="minorHAnsi" w:eastAsia="Times New Roman" w:hAnsiTheme="minorHAnsi"/>
                <w:iCs/>
                <w:color w:val="auto"/>
                <w:szCs w:val="17"/>
                <w:lang w:eastAsia="en-US"/>
              </w:rPr>
              <w:t>justice and governance.</w:t>
            </w:r>
          </w:p>
        </w:tc>
      </w:tr>
    </w:tbl>
    <w:p w14:paraId="4ADF8478"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14:paraId="7BE9BB6B"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w:t>
      </w:r>
      <w:r w:rsidR="00A262EE">
        <w:rPr>
          <w:rFonts w:eastAsia="Times New Roman"/>
          <w:b/>
          <w:sz w:val="16"/>
          <w:szCs w:val="14"/>
        </w:rPr>
        <w:t xml:space="preserve">. </w:t>
      </w:r>
      <w:r w:rsidRPr="00A427C6">
        <w:rPr>
          <w:rFonts w:eastAsia="Times New Roman"/>
          <w:b/>
          <w:sz w:val="16"/>
          <w:szCs w:val="14"/>
        </w:rPr>
        <w:t>Significant progress has be</w:t>
      </w:r>
      <w:r w:rsidR="00874F0D">
        <w:rPr>
          <w:rFonts w:eastAsia="Times New Roman"/>
          <w:b/>
          <w:sz w:val="16"/>
          <w:szCs w:val="14"/>
        </w:rPr>
        <w:t>en made in addressing the issue.</w:t>
      </w:r>
    </w:p>
    <w:p w14:paraId="50C7F12E"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w:t>
      </w:r>
      <w:r w:rsidR="00A262EE">
        <w:rPr>
          <w:rFonts w:eastAsia="Times New Roman"/>
          <w:b/>
          <w:sz w:val="16"/>
          <w:szCs w:val="14"/>
        </w:rPr>
        <w:t xml:space="preserve">. </w:t>
      </w:r>
      <w:r w:rsidRPr="00A427C6">
        <w:rPr>
          <w:rFonts w:eastAsia="Times New Roman"/>
          <w:b/>
          <w:sz w:val="16"/>
          <w:szCs w:val="14"/>
        </w:rPr>
        <w:t xml:space="preserve">Some progress has been made in addressing the issue, but </w:t>
      </w:r>
      <w:r w:rsidR="00874F0D">
        <w:rPr>
          <w:rFonts w:eastAsia="Times New Roman"/>
          <w:b/>
          <w:sz w:val="16"/>
          <w:szCs w:val="14"/>
        </w:rPr>
        <w:t>the issue has not been resolved.</w:t>
      </w:r>
    </w:p>
    <w:p w14:paraId="217C4E8D"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in addressing the issue has been significantly below expectations</w:t>
      </w:r>
      <w:r w:rsidR="00874F0D">
        <w:rPr>
          <w:rFonts w:eastAsia="Times New Roman"/>
          <w:b/>
          <w:sz w:val="16"/>
          <w:szCs w:val="14"/>
        </w:rPr>
        <w:t>.</w:t>
      </w:r>
    </w:p>
    <w:p w14:paraId="38DE2CB9" w14:textId="77777777" w:rsidR="009348C3" w:rsidRDefault="002A51CA" w:rsidP="00400B0F">
      <w:pPr>
        <w:pStyle w:val="Subtitle"/>
        <w:numPr>
          <w:ilvl w:val="0"/>
          <w:numId w:val="0"/>
        </w:numPr>
        <w:rPr>
          <w:rFonts w:ascii="Franklin Gothic Book" w:eastAsia="Times New Roman" w:hAnsi="Franklin Gothic Book"/>
          <w:sz w:val="21"/>
        </w:rPr>
        <w:sectPr w:rsidR="009348C3" w:rsidSect="008C2F58">
          <w:headerReference w:type="even" r:id="rId16"/>
          <w:headerReference w:type="default" r:id="rId17"/>
          <w:headerReference w:type="first" r:id="rId18"/>
          <w:footerReference w:type="first" r:id="rId19"/>
          <w:footnotePr>
            <w:numRestart w:val="eachPage"/>
          </w:footnotePr>
          <w:type w:val="continuous"/>
          <w:pgSz w:w="16838" w:h="11906" w:orient="landscape" w:code="9"/>
          <w:pgMar w:top="1272" w:right="1814" w:bottom="851" w:left="851" w:header="709" w:footer="230" w:gutter="0"/>
          <w:cols w:space="708"/>
          <w:titlePg/>
          <w:docGrid w:linePitch="360"/>
        </w:sectPr>
      </w:pPr>
      <w:r w:rsidRPr="00C61187">
        <w:rPr>
          <w:rFonts w:ascii="Franklin Gothic Book" w:eastAsia="Times New Roman" w:hAnsi="Franklin Gothic Book"/>
          <w:sz w:val="21"/>
        </w:rPr>
        <w:t xml:space="preserve"> </w:t>
      </w:r>
    </w:p>
    <w:p w14:paraId="3E668335" w14:textId="77777777" w:rsidR="00400B0F" w:rsidRPr="00E41505" w:rsidRDefault="00400B0F" w:rsidP="00400B0F">
      <w:pPr>
        <w:pStyle w:val="Subtitle"/>
        <w:numPr>
          <w:ilvl w:val="0"/>
          <w:numId w:val="0"/>
        </w:numPr>
        <w:rPr>
          <w:rFonts w:asciiTheme="majorHAnsi" w:hAnsiTheme="majorHAnsi"/>
          <w:bCs w:val="0"/>
          <w:iCs w:val="0"/>
          <w:spacing w:val="0"/>
          <w:kern w:val="0"/>
          <w:szCs w:val="26"/>
        </w:rPr>
      </w:pPr>
      <w:r w:rsidRPr="00E41505">
        <w:rPr>
          <w:rFonts w:asciiTheme="majorHAnsi" w:hAnsiTheme="majorHAnsi"/>
          <w:bCs w:val="0"/>
          <w:iCs w:val="0"/>
          <w:spacing w:val="0"/>
          <w:kern w:val="0"/>
          <w:szCs w:val="26"/>
        </w:rPr>
        <w:lastRenderedPageBreak/>
        <w:t xml:space="preserve">Annex B </w:t>
      </w:r>
      <w:r w:rsidR="00874F0D" w:rsidRPr="00E41505">
        <w:rPr>
          <w:rFonts w:asciiTheme="majorHAnsi" w:hAnsiTheme="majorHAnsi"/>
          <w:bCs w:val="0"/>
          <w:iCs w:val="0"/>
          <w:spacing w:val="0"/>
          <w:kern w:val="0"/>
          <w:szCs w:val="26"/>
        </w:rPr>
        <w:t>–</w:t>
      </w:r>
      <w:r w:rsidRPr="00E41505">
        <w:rPr>
          <w:rFonts w:asciiTheme="majorHAnsi" w:hAnsiTheme="majorHAnsi"/>
          <w:bCs w:val="0"/>
          <w:iCs w:val="0"/>
          <w:spacing w:val="0"/>
          <w:kern w:val="0"/>
          <w:szCs w:val="26"/>
        </w:rPr>
        <w:t xml:space="preserve"> Progress</w:t>
      </w:r>
      <w:r w:rsidR="00874F0D" w:rsidRPr="00E41505">
        <w:rPr>
          <w:rFonts w:asciiTheme="majorHAnsi" w:hAnsiTheme="majorHAnsi"/>
          <w:bCs w:val="0"/>
          <w:iCs w:val="0"/>
          <w:spacing w:val="0"/>
          <w:kern w:val="0"/>
          <w:szCs w:val="26"/>
        </w:rPr>
        <w:t xml:space="preserve"> </w:t>
      </w:r>
      <w:r w:rsidRPr="00E41505">
        <w:rPr>
          <w:rFonts w:asciiTheme="majorHAnsi" w:hAnsiTheme="majorHAnsi"/>
          <w:bCs w:val="0"/>
          <w:iCs w:val="0"/>
          <w:spacing w:val="0"/>
          <w:kern w:val="0"/>
          <w:szCs w:val="26"/>
        </w:rPr>
        <w:t>towards Performance Benchmarks in 2015-16</w:t>
      </w:r>
    </w:p>
    <w:tbl>
      <w:tblPr>
        <w:tblStyle w:val="DFATTable10"/>
        <w:tblW w:w="5000" w:type="pct"/>
        <w:tblLook w:val="04A0" w:firstRow="1" w:lastRow="0" w:firstColumn="1" w:lastColumn="0" w:noHBand="0" w:noVBand="1"/>
      </w:tblPr>
      <w:tblGrid>
        <w:gridCol w:w="2211"/>
        <w:gridCol w:w="2225"/>
        <w:gridCol w:w="1395"/>
        <w:gridCol w:w="8342"/>
      </w:tblGrid>
      <w:tr w:rsidR="00F65487" w:rsidRPr="00F65487" w14:paraId="78AF31A8" w14:textId="77777777" w:rsidTr="00D87D26">
        <w:trPr>
          <w:tblHeader/>
        </w:trPr>
        <w:tc>
          <w:tcPr>
            <w:tcW w:w="780" w:type="pct"/>
            <w:tcMar>
              <w:top w:w="57" w:type="dxa"/>
              <w:bottom w:w="57" w:type="dxa"/>
            </w:tcMar>
          </w:tcPr>
          <w:p w14:paraId="7DC46576" w14:textId="77777777" w:rsidR="00F65487" w:rsidRPr="00F65487" w:rsidRDefault="00F65487" w:rsidP="00F65487">
            <w:pPr>
              <w:keepLines/>
              <w:spacing w:before="80" w:after="80" w:line="200" w:lineRule="atLeast"/>
              <w:rPr>
                <w:rFonts w:eastAsia="Times New Roman"/>
                <w:b/>
                <w:iCs/>
                <w:szCs w:val="17"/>
              </w:rPr>
            </w:pPr>
            <w:r w:rsidRPr="00F65487">
              <w:rPr>
                <w:rFonts w:eastAsia="Times New Roman"/>
                <w:b/>
                <w:iCs/>
                <w:szCs w:val="17"/>
              </w:rPr>
              <w:t>Aid objective</w:t>
            </w:r>
          </w:p>
        </w:tc>
        <w:tc>
          <w:tcPr>
            <w:tcW w:w="785" w:type="pct"/>
          </w:tcPr>
          <w:p w14:paraId="72755E91" w14:textId="77777777" w:rsidR="00F65487" w:rsidRPr="00F65487" w:rsidRDefault="00F65487" w:rsidP="00F65487">
            <w:pPr>
              <w:keepLines/>
              <w:spacing w:before="80" w:after="80" w:line="200" w:lineRule="atLeast"/>
              <w:rPr>
                <w:rFonts w:eastAsia="Times New Roman"/>
                <w:b/>
                <w:iCs/>
                <w:szCs w:val="17"/>
              </w:rPr>
            </w:pPr>
            <w:r w:rsidRPr="00F65487">
              <w:rPr>
                <w:rFonts w:eastAsia="Times New Roman"/>
                <w:b/>
                <w:iCs/>
                <w:szCs w:val="17"/>
              </w:rPr>
              <w:t>201</w:t>
            </w:r>
            <w:r w:rsidR="00FE6824">
              <w:rPr>
                <w:rFonts w:eastAsia="Times New Roman"/>
                <w:b/>
                <w:iCs/>
                <w:szCs w:val="17"/>
              </w:rPr>
              <w:t>5</w:t>
            </w:r>
            <w:r w:rsidRPr="00F65487">
              <w:rPr>
                <w:rFonts w:eastAsia="Times New Roman"/>
                <w:b/>
                <w:iCs/>
                <w:szCs w:val="17"/>
              </w:rPr>
              <w:t>-1</w:t>
            </w:r>
            <w:r w:rsidR="00FE6824">
              <w:rPr>
                <w:rFonts w:eastAsia="Times New Roman"/>
                <w:b/>
                <w:iCs/>
                <w:szCs w:val="17"/>
              </w:rPr>
              <w:t>6</w:t>
            </w:r>
            <w:r w:rsidRPr="00F65487">
              <w:rPr>
                <w:rFonts w:eastAsia="Times New Roman"/>
                <w:b/>
                <w:iCs/>
                <w:szCs w:val="17"/>
              </w:rPr>
              <w:t xml:space="preserve"> benchmark</w:t>
            </w:r>
          </w:p>
        </w:tc>
        <w:tc>
          <w:tcPr>
            <w:tcW w:w="492" w:type="pct"/>
          </w:tcPr>
          <w:p w14:paraId="1BB9E6E0" w14:textId="77777777" w:rsidR="00F65487" w:rsidRPr="00F65487" w:rsidRDefault="00F65487" w:rsidP="00F65487">
            <w:pPr>
              <w:keepLines/>
              <w:spacing w:before="80" w:after="80" w:line="200" w:lineRule="atLeast"/>
              <w:jc w:val="center"/>
              <w:rPr>
                <w:rFonts w:eastAsia="Times New Roman"/>
                <w:b/>
                <w:iCs/>
                <w:szCs w:val="17"/>
              </w:rPr>
            </w:pPr>
            <w:r w:rsidRPr="00F65487">
              <w:rPr>
                <w:rFonts w:eastAsia="Times New Roman"/>
                <w:b/>
                <w:iCs/>
                <w:szCs w:val="17"/>
              </w:rPr>
              <w:t>Rating</w:t>
            </w:r>
          </w:p>
        </w:tc>
        <w:tc>
          <w:tcPr>
            <w:tcW w:w="2943" w:type="pct"/>
          </w:tcPr>
          <w:p w14:paraId="45DADF24" w14:textId="77777777" w:rsidR="00F65487" w:rsidRPr="00F65487" w:rsidRDefault="00F65487" w:rsidP="00F65487">
            <w:pPr>
              <w:keepLines/>
              <w:spacing w:before="80" w:after="80" w:line="200" w:lineRule="atLeast"/>
              <w:jc w:val="center"/>
              <w:rPr>
                <w:rFonts w:eastAsia="Times New Roman"/>
                <w:b/>
                <w:iCs/>
                <w:szCs w:val="17"/>
              </w:rPr>
            </w:pPr>
            <w:r w:rsidRPr="00F65487">
              <w:rPr>
                <w:rFonts w:eastAsia="Times New Roman"/>
                <w:b/>
                <w:iCs/>
                <w:szCs w:val="17"/>
              </w:rPr>
              <w:t>Progress in 2015-16</w:t>
            </w:r>
          </w:p>
        </w:tc>
      </w:tr>
      <w:tr w:rsidR="00F65487" w:rsidRPr="00F65487" w14:paraId="57A292F5" w14:textId="77777777" w:rsidTr="00D87D26">
        <w:tc>
          <w:tcPr>
            <w:tcW w:w="780" w:type="pct"/>
            <w:tcMar>
              <w:top w:w="57" w:type="dxa"/>
              <w:bottom w:w="57" w:type="dxa"/>
            </w:tcMar>
          </w:tcPr>
          <w:p w14:paraId="7410E21B" w14:textId="77777777" w:rsidR="00F65487" w:rsidRPr="00874F0D" w:rsidRDefault="00F65487" w:rsidP="00F65487">
            <w:pPr>
              <w:keepLines/>
              <w:suppressAutoHyphens w:val="0"/>
              <w:spacing w:before="40" w:after="40" w:line="200" w:lineRule="atLeast"/>
              <w:rPr>
                <w:rFonts w:eastAsia="Times New Roman"/>
                <w:b/>
                <w:iCs/>
                <w:szCs w:val="17"/>
              </w:rPr>
            </w:pPr>
            <w:r w:rsidRPr="00874F0D">
              <w:rPr>
                <w:rFonts w:eastAsia="Times New Roman"/>
                <w:b/>
                <w:iCs/>
                <w:szCs w:val="17"/>
              </w:rPr>
              <w:t>Stability</w:t>
            </w:r>
          </w:p>
        </w:tc>
        <w:tc>
          <w:tcPr>
            <w:tcW w:w="785" w:type="pct"/>
            <w:shd w:val="clear" w:color="auto" w:fill="auto"/>
          </w:tcPr>
          <w:p w14:paraId="46BF0B30" w14:textId="77777777" w:rsidR="00F65487" w:rsidRPr="00874F0D" w:rsidRDefault="00F65487" w:rsidP="00F65487">
            <w:pPr>
              <w:keepLines/>
              <w:suppressAutoHyphens w:val="0"/>
              <w:spacing w:before="40" w:after="40" w:line="200" w:lineRule="atLeast"/>
              <w:rPr>
                <w:rFonts w:eastAsia="Times New Roman"/>
                <w:iCs/>
                <w:szCs w:val="17"/>
              </w:rPr>
            </w:pPr>
          </w:p>
        </w:tc>
        <w:tc>
          <w:tcPr>
            <w:tcW w:w="492" w:type="pct"/>
            <w:shd w:val="clear" w:color="auto" w:fill="auto"/>
          </w:tcPr>
          <w:p w14:paraId="2A1D0123" w14:textId="77777777" w:rsidR="00F65487" w:rsidRPr="00874F0D" w:rsidRDefault="00F65487" w:rsidP="00F65487">
            <w:pPr>
              <w:keepLines/>
              <w:suppressAutoHyphens w:val="0"/>
              <w:spacing w:before="40" w:after="40" w:line="200" w:lineRule="atLeast"/>
              <w:jc w:val="center"/>
              <w:rPr>
                <w:rFonts w:eastAsia="Times New Roman"/>
                <w:iCs/>
                <w:szCs w:val="17"/>
              </w:rPr>
            </w:pPr>
          </w:p>
        </w:tc>
        <w:tc>
          <w:tcPr>
            <w:tcW w:w="2943" w:type="pct"/>
            <w:shd w:val="clear" w:color="auto" w:fill="auto"/>
          </w:tcPr>
          <w:p w14:paraId="35C1673E" w14:textId="77777777" w:rsidR="00F65487" w:rsidRPr="00874F0D" w:rsidRDefault="00F65487" w:rsidP="00F65487">
            <w:pPr>
              <w:keepLines/>
              <w:suppressAutoHyphens w:val="0"/>
              <w:spacing w:before="40" w:after="40" w:line="200" w:lineRule="atLeast"/>
              <w:rPr>
                <w:rFonts w:eastAsia="Times New Roman"/>
                <w:iCs/>
                <w:szCs w:val="17"/>
              </w:rPr>
            </w:pPr>
          </w:p>
        </w:tc>
      </w:tr>
      <w:tr w:rsidR="00F65487" w:rsidRPr="00AE6BB9" w14:paraId="0185859E" w14:textId="77777777" w:rsidTr="00D87D26">
        <w:tc>
          <w:tcPr>
            <w:tcW w:w="780" w:type="pct"/>
            <w:tcMar>
              <w:top w:w="57" w:type="dxa"/>
              <w:bottom w:w="57" w:type="dxa"/>
            </w:tcMar>
          </w:tcPr>
          <w:p w14:paraId="12ECAE41"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Number of police and other law and justice officials trained</w:t>
            </w:r>
          </w:p>
        </w:tc>
        <w:tc>
          <w:tcPr>
            <w:tcW w:w="785" w:type="pct"/>
          </w:tcPr>
          <w:p w14:paraId="1CE5A0A6" w14:textId="77777777" w:rsidR="00F65487" w:rsidRPr="00AE6BB9" w:rsidRDefault="00C2750F"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1</w:t>
            </w:r>
            <w:r w:rsidR="00746BB5" w:rsidRPr="00AE6BB9">
              <w:rPr>
                <w:rFonts w:asciiTheme="minorHAnsi" w:eastAsia="Times New Roman" w:hAnsiTheme="minorHAnsi"/>
                <w:iCs/>
                <w:color w:val="auto"/>
                <w:szCs w:val="17"/>
                <w:lang w:eastAsia="en-US"/>
              </w:rPr>
              <w:t>7</w:t>
            </w:r>
            <w:r w:rsidRPr="00AE6BB9">
              <w:rPr>
                <w:rFonts w:asciiTheme="minorHAnsi" w:eastAsia="Times New Roman" w:hAnsiTheme="minorHAnsi"/>
                <w:iCs/>
                <w:color w:val="auto"/>
                <w:szCs w:val="17"/>
                <w:lang w:eastAsia="en-US"/>
              </w:rPr>
              <w:t>00</w:t>
            </w:r>
            <w:r w:rsidR="00F65487" w:rsidRPr="00AE6BB9">
              <w:rPr>
                <w:rFonts w:asciiTheme="minorHAnsi" w:eastAsia="Times New Roman" w:hAnsiTheme="minorHAnsi"/>
                <w:iCs/>
                <w:color w:val="auto"/>
                <w:szCs w:val="17"/>
                <w:lang w:eastAsia="en-US"/>
              </w:rPr>
              <w:t>*</w:t>
            </w:r>
          </w:p>
        </w:tc>
        <w:tc>
          <w:tcPr>
            <w:tcW w:w="492" w:type="pct"/>
            <w:shd w:val="clear" w:color="auto" w:fill="FFC000"/>
          </w:tcPr>
          <w:p w14:paraId="3050BA27" w14:textId="77777777" w:rsidR="00F65487" w:rsidRPr="00AE6BB9" w:rsidRDefault="006C468A"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Partly achieved</w:t>
            </w:r>
          </w:p>
        </w:tc>
        <w:tc>
          <w:tcPr>
            <w:tcW w:w="2943" w:type="pct"/>
          </w:tcPr>
          <w:p w14:paraId="24022656"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1408 </w:t>
            </w:r>
            <w:r w:rsidR="001C67AF" w:rsidRPr="00AE6BB9">
              <w:rPr>
                <w:rFonts w:asciiTheme="minorHAnsi" w:eastAsia="Times New Roman" w:hAnsiTheme="minorHAnsi"/>
                <w:iCs/>
                <w:color w:val="auto"/>
                <w:szCs w:val="17"/>
                <w:lang w:eastAsia="en-US"/>
              </w:rPr>
              <w:t>p</w:t>
            </w:r>
            <w:r w:rsidRPr="00AE6BB9">
              <w:rPr>
                <w:rFonts w:asciiTheme="minorHAnsi" w:eastAsia="Times New Roman" w:hAnsiTheme="minorHAnsi"/>
                <w:iCs/>
                <w:color w:val="auto"/>
                <w:szCs w:val="17"/>
                <w:lang w:eastAsia="en-US"/>
              </w:rPr>
              <w:t>olice and law and justice officials were trained</w:t>
            </w:r>
            <w:r w:rsidR="00C050ED" w:rsidRPr="00AE6BB9">
              <w:rPr>
                <w:rFonts w:asciiTheme="minorHAnsi" w:eastAsia="Times New Roman" w:hAnsiTheme="minorHAnsi"/>
                <w:iCs/>
                <w:color w:val="auto"/>
                <w:szCs w:val="17"/>
                <w:lang w:eastAsia="en-US"/>
              </w:rPr>
              <w:t xml:space="preserve"> in 2015-16</w:t>
            </w:r>
            <w:r w:rsidRPr="00AE6BB9">
              <w:rPr>
                <w:rFonts w:asciiTheme="minorHAnsi" w:eastAsia="Times New Roman" w:hAnsiTheme="minorHAnsi"/>
                <w:iCs/>
                <w:color w:val="auto"/>
                <w:szCs w:val="17"/>
                <w:lang w:eastAsia="en-US"/>
              </w:rPr>
              <w:t xml:space="preserve">, </w:t>
            </w:r>
            <w:r w:rsidR="001C67AF" w:rsidRPr="00AE6BB9">
              <w:rPr>
                <w:rFonts w:asciiTheme="minorHAnsi" w:eastAsia="Times New Roman" w:hAnsiTheme="minorHAnsi"/>
                <w:iCs/>
                <w:color w:val="auto"/>
                <w:szCs w:val="17"/>
                <w:lang w:eastAsia="en-US"/>
              </w:rPr>
              <w:t xml:space="preserve">including </w:t>
            </w:r>
            <w:r w:rsidRPr="00AE6BB9">
              <w:rPr>
                <w:rFonts w:asciiTheme="minorHAnsi" w:eastAsia="Times New Roman" w:hAnsiTheme="minorHAnsi"/>
                <w:iCs/>
                <w:color w:val="auto"/>
                <w:szCs w:val="17"/>
                <w:lang w:eastAsia="en-US"/>
              </w:rPr>
              <w:t>836 th</w:t>
            </w:r>
            <w:r w:rsidR="00C050ED" w:rsidRPr="00AE6BB9">
              <w:rPr>
                <w:rFonts w:asciiTheme="minorHAnsi" w:eastAsia="Times New Roman" w:hAnsiTheme="minorHAnsi"/>
                <w:iCs/>
                <w:color w:val="auto"/>
                <w:szCs w:val="17"/>
                <w:lang w:eastAsia="en-US"/>
              </w:rPr>
              <w:t>r</w:t>
            </w:r>
            <w:r w:rsidRPr="00AE6BB9">
              <w:rPr>
                <w:rFonts w:asciiTheme="minorHAnsi" w:eastAsia="Times New Roman" w:hAnsiTheme="minorHAnsi"/>
                <w:iCs/>
                <w:color w:val="auto"/>
                <w:szCs w:val="17"/>
                <w:lang w:eastAsia="en-US"/>
              </w:rPr>
              <w:t>ough the bilateral law and justice program and 572 through RAMSI.</w:t>
            </w:r>
            <w:r w:rsidR="002A530B" w:rsidRPr="00AE6BB9">
              <w:rPr>
                <w:rFonts w:asciiTheme="minorHAnsi" w:eastAsia="Times New Roman" w:hAnsiTheme="minorHAnsi"/>
                <w:iCs/>
                <w:color w:val="auto"/>
                <w:szCs w:val="17"/>
                <w:lang w:eastAsia="en-US"/>
              </w:rPr>
              <w:t xml:space="preserve"> </w:t>
            </w:r>
            <w:r w:rsidR="002A78DA" w:rsidRPr="00AE6BB9">
              <w:rPr>
                <w:rFonts w:asciiTheme="minorHAnsi" w:eastAsia="Times New Roman" w:hAnsiTheme="minorHAnsi"/>
                <w:iCs/>
                <w:color w:val="auto"/>
                <w:szCs w:val="17"/>
                <w:lang w:eastAsia="en-US"/>
              </w:rPr>
              <w:t>T</w:t>
            </w:r>
            <w:r w:rsidR="00C050ED" w:rsidRPr="00AE6BB9">
              <w:rPr>
                <w:rFonts w:asciiTheme="minorHAnsi" w:eastAsia="Times New Roman" w:hAnsiTheme="minorHAnsi"/>
                <w:iCs/>
                <w:color w:val="auto"/>
                <w:szCs w:val="17"/>
                <w:lang w:eastAsia="en-US"/>
              </w:rPr>
              <w:t xml:space="preserve">he </w:t>
            </w:r>
            <w:r w:rsidR="006C468A" w:rsidRPr="00AE6BB9">
              <w:rPr>
                <w:rFonts w:asciiTheme="minorHAnsi" w:eastAsia="Times New Roman" w:hAnsiTheme="minorHAnsi"/>
                <w:iCs/>
                <w:color w:val="auto"/>
                <w:szCs w:val="17"/>
                <w:lang w:eastAsia="en-US"/>
              </w:rPr>
              <w:t>shortfall</w:t>
            </w:r>
            <w:r w:rsidR="00C050ED" w:rsidRPr="00AE6BB9">
              <w:rPr>
                <w:rFonts w:asciiTheme="minorHAnsi" w:eastAsia="Times New Roman" w:hAnsiTheme="minorHAnsi"/>
                <w:iCs/>
                <w:color w:val="auto"/>
                <w:szCs w:val="17"/>
                <w:lang w:eastAsia="en-US"/>
              </w:rPr>
              <w:t xml:space="preserve"> can be attributed to</w:t>
            </w:r>
            <w:r w:rsidR="001C67AF" w:rsidRPr="00AE6BB9">
              <w:rPr>
                <w:rFonts w:asciiTheme="minorHAnsi" w:eastAsia="Times New Roman" w:hAnsiTheme="minorHAnsi"/>
                <w:iCs/>
                <w:color w:val="auto"/>
                <w:szCs w:val="17"/>
                <w:lang w:eastAsia="en-US"/>
              </w:rPr>
              <w:t xml:space="preserve"> </w:t>
            </w:r>
            <w:r w:rsidR="00C050ED" w:rsidRPr="00AE6BB9">
              <w:rPr>
                <w:rFonts w:asciiTheme="minorHAnsi" w:eastAsia="Times New Roman" w:hAnsiTheme="minorHAnsi"/>
                <w:iCs/>
                <w:color w:val="auto"/>
                <w:szCs w:val="17"/>
                <w:lang w:eastAsia="en-US"/>
              </w:rPr>
              <w:t xml:space="preserve">the RSIPF increasing </w:t>
            </w:r>
            <w:r w:rsidR="00AC066F" w:rsidRPr="00AE6BB9">
              <w:rPr>
                <w:rFonts w:asciiTheme="minorHAnsi" w:eastAsia="Times New Roman" w:hAnsiTheme="minorHAnsi"/>
                <w:iCs/>
                <w:color w:val="auto"/>
                <w:szCs w:val="17"/>
                <w:lang w:eastAsia="en-US"/>
              </w:rPr>
              <w:t>in-house</w:t>
            </w:r>
            <w:r w:rsidR="00C050ED" w:rsidRPr="00AE6BB9">
              <w:rPr>
                <w:rFonts w:asciiTheme="minorHAnsi" w:eastAsia="Times New Roman" w:hAnsiTheme="minorHAnsi"/>
                <w:iCs/>
                <w:color w:val="auto"/>
                <w:szCs w:val="17"/>
                <w:lang w:eastAsia="en-US"/>
              </w:rPr>
              <w:t xml:space="preserve"> training to </w:t>
            </w:r>
            <w:r w:rsidR="00AC066F" w:rsidRPr="00AE6BB9">
              <w:rPr>
                <w:rFonts w:asciiTheme="minorHAnsi" w:eastAsia="Times New Roman" w:hAnsiTheme="minorHAnsi"/>
                <w:iCs/>
                <w:color w:val="auto"/>
                <w:szCs w:val="17"/>
                <w:lang w:eastAsia="en-US"/>
              </w:rPr>
              <w:t>their</w:t>
            </w:r>
            <w:r w:rsidR="00C050ED" w:rsidRPr="00AE6BB9">
              <w:rPr>
                <w:rFonts w:asciiTheme="minorHAnsi" w:eastAsia="Times New Roman" w:hAnsiTheme="minorHAnsi"/>
                <w:iCs/>
                <w:color w:val="auto"/>
                <w:szCs w:val="17"/>
                <w:lang w:eastAsia="en-US"/>
              </w:rPr>
              <w:t xml:space="preserve"> officers, and </w:t>
            </w:r>
            <w:r w:rsidR="00AC066F" w:rsidRPr="00AE6BB9">
              <w:rPr>
                <w:rFonts w:asciiTheme="minorHAnsi" w:eastAsia="Times New Roman" w:hAnsiTheme="minorHAnsi"/>
                <w:iCs/>
                <w:color w:val="auto"/>
                <w:szCs w:val="17"/>
                <w:lang w:eastAsia="en-US"/>
              </w:rPr>
              <w:t>less reliance</w:t>
            </w:r>
            <w:r w:rsidR="006C468A" w:rsidRPr="00AE6BB9">
              <w:rPr>
                <w:rFonts w:asciiTheme="minorHAnsi" w:eastAsia="Times New Roman" w:hAnsiTheme="minorHAnsi"/>
                <w:iCs/>
                <w:color w:val="auto"/>
                <w:szCs w:val="17"/>
                <w:lang w:eastAsia="en-US"/>
              </w:rPr>
              <w:t xml:space="preserve"> on RAMSI </w:t>
            </w:r>
            <w:r w:rsidR="00C050ED" w:rsidRPr="00AE6BB9">
              <w:rPr>
                <w:rFonts w:asciiTheme="minorHAnsi" w:eastAsia="Times New Roman" w:hAnsiTheme="minorHAnsi"/>
                <w:iCs/>
                <w:color w:val="auto"/>
                <w:szCs w:val="17"/>
                <w:lang w:eastAsia="en-US"/>
              </w:rPr>
              <w:t xml:space="preserve">funded and delivered training. </w:t>
            </w:r>
            <w:r w:rsidR="006C468A" w:rsidRPr="00AE6BB9">
              <w:rPr>
                <w:rFonts w:asciiTheme="minorHAnsi" w:eastAsia="Times New Roman" w:hAnsiTheme="minorHAnsi"/>
                <w:iCs/>
                <w:color w:val="auto"/>
                <w:szCs w:val="17"/>
                <w:lang w:eastAsia="en-US"/>
              </w:rPr>
              <w:t>While</w:t>
            </w:r>
            <w:r w:rsidR="00C050ED" w:rsidRPr="00AE6BB9">
              <w:rPr>
                <w:rFonts w:asciiTheme="minorHAnsi" w:eastAsia="Times New Roman" w:hAnsiTheme="minorHAnsi"/>
                <w:iCs/>
                <w:color w:val="auto"/>
                <w:szCs w:val="17"/>
                <w:lang w:eastAsia="en-US"/>
              </w:rPr>
              <w:t xml:space="preserve"> </w:t>
            </w:r>
            <w:r w:rsidR="007A421D" w:rsidRPr="00AE6BB9">
              <w:rPr>
                <w:rFonts w:asciiTheme="minorHAnsi" w:eastAsia="Times New Roman" w:hAnsiTheme="minorHAnsi"/>
                <w:iCs/>
                <w:color w:val="auto"/>
                <w:szCs w:val="17"/>
                <w:lang w:eastAsia="en-US"/>
              </w:rPr>
              <w:t xml:space="preserve">less </w:t>
            </w:r>
            <w:r w:rsidR="003026EA" w:rsidRPr="00AE6BB9">
              <w:rPr>
                <w:rFonts w:asciiTheme="minorHAnsi" w:eastAsia="Times New Roman" w:hAnsiTheme="minorHAnsi"/>
                <w:iCs/>
                <w:color w:val="auto"/>
                <w:szCs w:val="17"/>
                <w:lang w:eastAsia="en-US"/>
              </w:rPr>
              <w:t xml:space="preserve">RAMSI </w:t>
            </w:r>
            <w:r w:rsidR="001C67AF" w:rsidRPr="00AE6BB9">
              <w:rPr>
                <w:rFonts w:asciiTheme="minorHAnsi" w:eastAsia="Times New Roman" w:hAnsiTheme="minorHAnsi"/>
                <w:iCs/>
                <w:color w:val="auto"/>
                <w:szCs w:val="17"/>
                <w:lang w:eastAsia="en-US"/>
              </w:rPr>
              <w:t xml:space="preserve">police </w:t>
            </w:r>
            <w:r w:rsidR="007A421D" w:rsidRPr="00AE6BB9">
              <w:rPr>
                <w:rFonts w:asciiTheme="minorHAnsi" w:eastAsia="Times New Roman" w:hAnsiTheme="minorHAnsi"/>
                <w:iCs/>
                <w:color w:val="auto"/>
                <w:szCs w:val="17"/>
                <w:lang w:eastAsia="en-US"/>
              </w:rPr>
              <w:t xml:space="preserve">training </w:t>
            </w:r>
            <w:r w:rsidR="00AC066F" w:rsidRPr="00AE6BB9">
              <w:rPr>
                <w:rFonts w:asciiTheme="minorHAnsi" w:eastAsia="Times New Roman" w:hAnsiTheme="minorHAnsi"/>
                <w:iCs/>
                <w:color w:val="auto"/>
                <w:szCs w:val="17"/>
                <w:lang w:eastAsia="en-US"/>
              </w:rPr>
              <w:t>has been</w:t>
            </w:r>
            <w:r w:rsidR="00C050ED" w:rsidRPr="00AE6BB9">
              <w:rPr>
                <w:rFonts w:asciiTheme="minorHAnsi" w:eastAsia="Times New Roman" w:hAnsiTheme="minorHAnsi"/>
                <w:iCs/>
                <w:color w:val="auto"/>
                <w:szCs w:val="17"/>
                <w:lang w:eastAsia="en-US"/>
              </w:rPr>
              <w:t xml:space="preserve"> </w:t>
            </w:r>
            <w:r w:rsidR="007A421D" w:rsidRPr="00AE6BB9">
              <w:rPr>
                <w:rFonts w:asciiTheme="minorHAnsi" w:eastAsia="Times New Roman" w:hAnsiTheme="minorHAnsi"/>
                <w:iCs/>
                <w:color w:val="auto"/>
                <w:szCs w:val="17"/>
                <w:lang w:eastAsia="en-US"/>
              </w:rPr>
              <w:t>provided</w:t>
            </w:r>
            <w:r w:rsidR="00AC066F" w:rsidRPr="00AE6BB9">
              <w:rPr>
                <w:rFonts w:asciiTheme="minorHAnsi" w:eastAsia="Times New Roman" w:hAnsiTheme="minorHAnsi"/>
                <w:iCs/>
                <w:color w:val="auto"/>
                <w:szCs w:val="17"/>
                <w:lang w:eastAsia="en-US"/>
              </w:rPr>
              <w:t xml:space="preserve"> over the last year</w:t>
            </w:r>
            <w:r w:rsidR="007A421D" w:rsidRPr="00AE6BB9">
              <w:rPr>
                <w:rFonts w:asciiTheme="minorHAnsi" w:eastAsia="Times New Roman" w:hAnsiTheme="minorHAnsi"/>
                <w:iCs/>
                <w:color w:val="auto"/>
                <w:szCs w:val="17"/>
                <w:lang w:eastAsia="en-US"/>
              </w:rPr>
              <w:t xml:space="preserve">, </w:t>
            </w:r>
            <w:r w:rsidR="003026EA" w:rsidRPr="00AE6BB9">
              <w:rPr>
                <w:rFonts w:asciiTheme="minorHAnsi" w:eastAsia="Times New Roman" w:hAnsiTheme="minorHAnsi"/>
                <w:iCs/>
                <w:color w:val="auto"/>
                <w:szCs w:val="17"/>
                <w:lang w:eastAsia="en-US"/>
              </w:rPr>
              <w:t xml:space="preserve">it was </w:t>
            </w:r>
            <w:r w:rsidR="007A421D" w:rsidRPr="00AE6BB9">
              <w:rPr>
                <w:rFonts w:asciiTheme="minorHAnsi" w:eastAsia="Times New Roman" w:hAnsiTheme="minorHAnsi"/>
                <w:iCs/>
                <w:color w:val="auto"/>
                <w:szCs w:val="17"/>
                <w:lang w:eastAsia="en-US"/>
              </w:rPr>
              <w:t>increasingly target</w:t>
            </w:r>
            <w:r w:rsidR="003026EA" w:rsidRPr="00AE6BB9">
              <w:rPr>
                <w:rFonts w:asciiTheme="minorHAnsi" w:eastAsia="Times New Roman" w:hAnsiTheme="minorHAnsi"/>
                <w:iCs/>
                <w:color w:val="auto"/>
                <w:szCs w:val="17"/>
                <w:lang w:eastAsia="en-US"/>
              </w:rPr>
              <w:t>ed</w:t>
            </w:r>
            <w:r w:rsidR="001C67AF" w:rsidRPr="00AE6BB9">
              <w:rPr>
                <w:rFonts w:asciiTheme="minorHAnsi" w:eastAsia="Times New Roman" w:hAnsiTheme="minorHAnsi"/>
                <w:iCs/>
                <w:color w:val="auto"/>
                <w:szCs w:val="17"/>
                <w:lang w:eastAsia="en-US"/>
              </w:rPr>
              <w:t xml:space="preserve">. This </w:t>
            </w:r>
            <w:r w:rsidR="00DF4902" w:rsidRPr="00AE6BB9">
              <w:rPr>
                <w:rFonts w:asciiTheme="minorHAnsi" w:eastAsia="Times New Roman" w:hAnsiTheme="minorHAnsi"/>
                <w:iCs/>
                <w:color w:val="auto"/>
                <w:szCs w:val="17"/>
                <w:lang w:eastAsia="en-US"/>
              </w:rPr>
              <w:t>adjustment</w:t>
            </w:r>
            <w:r w:rsidR="001C67AF" w:rsidRPr="00AE6BB9">
              <w:rPr>
                <w:rFonts w:asciiTheme="minorHAnsi" w:eastAsia="Times New Roman" w:hAnsiTheme="minorHAnsi"/>
                <w:iCs/>
                <w:color w:val="auto"/>
                <w:szCs w:val="17"/>
                <w:lang w:eastAsia="en-US"/>
              </w:rPr>
              <w:t xml:space="preserve"> </w:t>
            </w:r>
            <w:r w:rsidR="007A421D" w:rsidRPr="00AE6BB9">
              <w:rPr>
                <w:rFonts w:asciiTheme="minorHAnsi" w:eastAsia="Times New Roman" w:hAnsiTheme="minorHAnsi"/>
                <w:iCs/>
                <w:color w:val="auto"/>
                <w:szCs w:val="17"/>
                <w:lang w:eastAsia="en-US"/>
              </w:rPr>
              <w:t>will have greate</w:t>
            </w:r>
            <w:r w:rsidR="001C67AF" w:rsidRPr="00AE6BB9">
              <w:rPr>
                <w:rFonts w:asciiTheme="minorHAnsi" w:eastAsia="Times New Roman" w:hAnsiTheme="minorHAnsi"/>
                <w:iCs/>
                <w:color w:val="auto"/>
                <w:szCs w:val="17"/>
                <w:lang w:eastAsia="en-US"/>
              </w:rPr>
              <w:t>r</w:t>
            </w:r>
            <w:r w:rsidR="007A421D" w:rsidRPr="00AE6BB9">
              <w:rPr>
                <w:rFonts w:asciiTheme="minorHAnsi" w:eastAsia="Times New Roman" w:hAnsiTheme="minorHAnsi"/>
                <w:iCs/>
                <w:color w:val="auto"/>
                <w:szCs w:val="17"/>
                <w:lang w:eastAsia="en-US"/>
              </w:rPr>
              <w:t xml:space="preserve"> impact and improve sustainability</w:t>
            </w:r>
            <w:r w:rsidR="00AC066F" w:rsidRPr="00AE6BB9">
              <w:rPr>
                <w:rFonts w:asciiTheme="minorHAnsi" w:eastAsia="Times New Roman" w:hAnsiTheme="minorHAnsi"/>
                <w:iCs/>
                <w:color w:val="auto"/>
                <w:szCs w:val="17"/>
                <w:lang w:eastAsia="en-US"/>
              </w:rPr>
              <w:t xml:space="preserve"> in the future, and</w:t>
            </w:r>
            <w:r w:rsidR="001C67AF" w:rsidRPr="00AE6BB9">
              <w:rPr>
                <w:rFonts w:asciiTheme="minorHAnsi" w:eastAsia="Times New Roman" w:hAnsiTheme="minorHAnsi"/>
                <w:iCs/>
                <w:color w:val="auto"/>
                <w:szCs w:val="17"/>
                <w:lang w:eastAsia="en-US"/>
              </w:rPr>
              <w:t xml:space="preserve"> complement</w:t>
            </w:r>
            <w:r w:rsidR="00AC066F" w:rsidRPr="00AE6BB9">
              <w:rPr>
                <w:rFonts w:asciiTheme="minorHAnsi" w:eastAsia="Times New Roman" w:hAnsiTheme="minorHAnsi"/>
                <w:iCs/>
                <w:color w:val="auto"/>
                <w:szCs w:val="17"/>
                <w:lang w:eastAsia="en-US"/>
              </w:rPr>
              <w:t>s</w:t>
            </w:r>
            <w:r w:rsidR="007A421D" w:rsidRPr="00AE6BB9">
              <w:rPr>
                <w:rFonts w:asciiTheme="minorHAnsi" w:eastAsia="Times New Roman" w:hAnsiTheme="minorHAnsi"/>
                <w:iCs/>
                <w:color w:val="auto"/>
                <w:szCs w:val="17"/>
                <w:lang w:eastAsia="en-US"/>
              </w:rPr>
              <w:t xml:space="preserve"> improvements in RSIPF</w:t>
            </w:r>
            <w:r w:rsidR="001C67AF" w:rsidRPr="00AE6BB9">
              <w:rPr>
                <w:rFonts w:asciiTheme="minorHAnsi" w:eastAsia="Times New Roman" w:hAnsiTheme="minorHAnsi"/>
                <w:iCs/>
                <w:color w:val="auto"/>
                <w:szCs w:val="17"/>
                <w:lang w:eastAsia="en-US"/>
              </w:rPr>
              <w:t>’s</w:t>
            </w:r>
            <w:r w:rsidR="007A421D" w:rsidRPr="00AE6BB9">
              <w:rPr>
                <w:rFonts w:asciiTheme="minorHAnsi" w:eastAsia="Times New Roman" w:hAnsiTheme="minorHAnsi"/>
                <w:iCs/>
                <w:color w:val="auto"/>
                <w:szCs w:val="17"/>
                <w:lang w:eastAsia="en-US"/>
              </w:rPr>
              <w:t xml:space="preserve"> </w:t>
            </w:r>
            <w:r w:rsidR="001C67AF" w:rsidRPr="00AE6BB9">
              <w:rPr>
                <w:rFonts w:asciiTheme="minorHAnsi" w:eastAsia="Times New Roman" w:hAnsiTheme="minorHAnsi"/>
                <w:iCs/>
                <w:color w:val="auto"/>
                <w:szCs w:val="17"/>
                <w:lang w:eastAsia="en-US"/>
              </w:rPr>
              <w:t xml:space="preserve">training </w:t>
            </w:r>
            <w:r w:rsidR="007A421D" w:rsidRPr="00AE6BB9">
              <w:rPr>
                <w:rFonts w:asciiTheme="minorHAnsi" w:eastAsia="Times New Roman" w:hAnsiTheme="minorHAnsi"/>
                <w:iCs/>
                <w:color w:val="auto"/>
                <w:szCs w:val="17"/>
                <w:lang w:eastAsia="en-US"/>
              </w:rPr>
              <w:t>capability, including the provision of RAMSI train-the-trainer programs</w:t>
            </w:r>
            <w:r w:rsidR="004044AC" w:rsidRPr="00AE6BB9">
              <w:rPr>
                <w:rFonts w:asciiTheme="minorHAnsi" w:eastAsia="Times New Roman" w:hAnsiTheme="minorHAnsi"/>
                <w:iCs/>
                <w:color w:val="auto"/>
                <w:szCs w:val="17"/>
                <w:lang w:eastAsia="en-US"/>
              </w:rPr>
              <w:t>.</w:t>
            </w:r>
          </w:p>
        </w:tc>
      </w:tr>
      <w:tr w:rsidR="00F65487" w:rsidRPr="00AE6BB9" w14:paraId="6699C270" w14:textId="77777777" w:rsidTr="00591069">
        <w:trPr>
          <w:trHeight w:val="863"/>
        </w:trPr>
        <w:tc>
          <w:tcPr>
            <w:tcW w:w="780" w:type="pct"/>
            <w:tcMar>
              <w:top w:w="57" w:type="dxa"/>
              <w:bottom w:w="57" w:type="dxa"/>
            </w:tcMar>
          </w:tcPr>
          <w:p w14:paraId="7A639FBD"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Courts and justice agencies are better able to deliver their core functions</w:t>
            </w:r>
          </w:p>
        </w:tc>
        <w:tc>
          <w:tcPr>
            <w:tcW w:w="785" w:type="pct"/>
          </w:tcPr>
          <w:p w14:paraId="5AF40F58" w14:textId="77777777" w:rsidR="00F65487" w:rsidRPr="00AE6BB9" w:rsidRDefault="00746BB5"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550 cases heard and disposed of in the Magistrates Court*</w:t>
            </w:r>
          </w:p>
        </w:tc>
        <w:tc>
          <w:tcPr>
            <w:tcW w:w="492" w:type="pct"/>
            <w:shd w:val="clear" w:color="auto" w:fill="FFC000"/>
          </w:tcPr>
          <w:p w14:paraId="5FFD87BF" w14:textId="77777777" w:rsidR="00F65487" w:rsidRPr="00AE6BB9" w:rsidRDefault="002A78DA"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Partly achieved</w:t>
            </w:r>
          </w:p>
        </w:tc>
        <w:tc>
          <w:tcPr>
            <w:tcW w:w="2943" w:type="pct"/>
          </w:tcPr>
          <w:p w14:paraId="1C4D8FFE" w14:textId="77777777" w:rsidR="00F65487" w:rsidRPr="00AE6BB9" w:rsidRDefault="006C468A"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The </w:t>
            </w:r>
            <w:r w:rsidR="002A78DA" w:rsidRPr="00AE6BB9">
              <w:rPr>
                <w:rFonts w:asciiTheme="minorHAnsi" w:eastAsia="Times New Roman" w:hAnsiTheme="minorHAnsi"/>
                <w:iCs/>
                <w:color w:val="auto"/>
                <w:szCs w:val="17"/>
                <w:lang w:eastAsia="en-US"/>
              </w:rPr>
              <w:t xml:space="preserve">Central </w:t>
            </w:r>
            <w:r w:rsidRPr="00AE6BB9">
              <w:rPr>
                <w:rFonts w:asciiTheme="minorHAnsi" w:eastAsia="Times New Roman" w:hAnsiTheme="minorHAnsi"/>
                <w:iCs/>
                <w:color w:val="auto"/>
                <w:szCs w:val="17"/>
                <w:lang w:eastAsia="en-US"/>
              </w:rPr>
              <w:t xml:space="preserve">Magistrates Court heard and disposed </w:t>
            </w:r>
            <w:r w:rsidR="00F65487" w:rsidRPr="00AE6BB9">
              <w:rPr>
                <w:rFonts w:asciiTheme="minorHAnsi" w:eastAsia="Times New Roman" w:hAnsiTheme="minorHAnsi"/>
                <w:iCs/>
                <w:color w:val="auto"/>
                <w:szCs w:val="17"/>
                <w:lang w:eastAsia="en-US"/>
              </w:rPr>
              <w:t xml:space="preserve">529 cases in 2015-16. </w:t>
            </w:r>
            <w:r w:rsidR="005B2E07" w:rsidRPr="00AE6BB9">
              <w:rPr>
                <w:rFonts w:asciiTheme="minorHAnsi" w:eastAsia="Times New Roman" w:hAnsiTheme="minorHAnsi"/>
                <w:iCs/>
                <w:color w:val="auto"/>
                <w:szCs w:val="17"/>
                <w:lang w:eastAsia="en-US"/>
              </w:rPr>
              <w:t>Figures for the provincial Magistrates C</w:t>
            </w:r>
            <w:r w:rsidR="002A78DA" w:rsidRPr="00AE6BB9">
              <w:rPr>
                <w:rFonts w:asciiTheme="minorHAnsi" w:eastAsia="Times New Roman" w:hAnsiTheme="minorHAnsi"/>
                <w:iCs/>
                <w:color w:val="auto"/>
                <w:szCs w:val="17"/>
                <w:lang w:eastAsia="en-US"/>
              </w:rPr>
              <w:t>ourts were unavailable at the time of finalisation of the APPR, and may mean this benchmark was met</w:t>
            </w:r>
            <w:r w:rsidR="00CD31ED" w:rsidRPr="00AE6BB9">
              <w:rPr>
                <w:rFonts w:asciiTheme="minorHAnsi" w:eastAsia="Times New Roman" w:hAnsiTheme="minorHAnsi"/>
                <w:iCs/>
                <w:color w:val="auto"/>
                <w:szCs w:val="17"/>
                <w:lang w:eastAsia="en-US"/>
              </w:rPr>
              <w:t xml:space="preserve"> overall</w:t>
            </w:r>
            <w:r w:rsidR="002A78DA" w:rsidRPr="00AE6BB9">
              <w:rPr>
                <w:rFonts w:asciiTheme="minorHAnsi" w:eastAsia="Times New Roman" w:hAnsiTheme="minorHAnsi"/>
                <w:iCs/>
                <w:color w:val="auto"/>
                <w:szCs w:val="17"/>
                <w:lang w:eastAsia="en-US"/>
              </w:rPr>
              <w:t>. Timely access to data is a challenge that the roll out of the Justice Information Manag</w:t>
            </w:r>
            <w:r w:rsidR="00874F0D" w:rsidRPr="00AE6BB9">
              <w:rPr>
                <w:rFonts w:asciiTheme="minorHAnsi" w:eastAsia="Times New Roman" w:hAnsiTheme="minorHAnsi"/>
                <w:iCs/>
                <w:color w:val="auto"/>
                <w:szCs w:val="17"/>
                <w:lang w:eastAsia="en-US"/>
              </w:rPr>
              <w:t>ement System will help address.</w:t>
            </w:r>
          </w:p>
        </w:tc>
      </w:tr>
      <w:tr w:rsidR="00F65487" w:rsidRPr="00AE6BB9" w14:paraId="50AFEA29" w14:textId="77777777" w:rsidTr="00D87D26">
        <w:trPr>
          <w:trHeight w:val="210"/>
        </w:trPr>
        <w:tc>
          <w:tcPr>
            <w:tcW w:w="780" w:type="pct"/>
            <w:tcMar>
              <w:top w:w="57" w:type="dxa"/>
              <w:bottom w:w="57" w:type="dxa"/>
            </w:tcMar>
          </w:tcPr>
          <w:p w14:paraId="33C52140" w14:textId="77777777" w:rsidR="00F65487" w:rsidRPr="00AE6BB9" w:rsidRDefault="00F65487" w:rsidP="00AE6BB9">
            <w:pPr>
              <w:keepLines/>
              <w:suppressAutoHyphens w:val="0"/>
              <w:spacing w:before="40" w:after="40" w:line="200" w:lineRule="atLeast"/>
              <w:rPr>
                <w:rFonts w:asciiTheme="minorHAnsi" w:eastAsia="Times New Roman" w:hAnsiTheme="minorHAnsi"/>
                <w:iCs/>
                <w:color w:val="auto"/>
                <w:szCs w:val="17"/>
                <w:lang w:eastAsia="en-US"/>
              </w:rPr>
            </w:pPr>
            <w:r w:rsidRPr="00AE6BB9">
              <w:rPr>
                <w:rFonts w:eastAsia="Times New Roman"/>
                <w:b/>
                <w:iCs/>
                <w:szCs w:val="17"/>
              </w:rPr>
              <w:t>Economic Growth</w:t>
            </w:r>
          </w:p>
        </w:tc>
        <w:tc>
          <w:tcPr>
            <w:tcW w:w="785" w:type="pct"/>
            <w:shd w:val="clear" w:color="auto" w:fill="auto"/>
          </w:tcPr>
          <w:p w14:paraId="2C995092"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p>
        </w:tc>
        <w:tc>
          <w:tcPr>
            <w:tcW w:w="492" w:type="pct"/>
            <w:shd w:val="clear" w:color="auto" w:fill="auto"/>
          </w:tcPr>
          <w:p w14:paraId="10B4ACFC" w14:textId="77777777" w:rsidR="00F65487" w:rsidRPr="00AE6BB9" w:rsidRDefault="00F65487"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p>
        </w:tc>
        <w:tc>
          <w:tcPr>
            <w:tcW w:w="2943" w:type="pct"/>
            <w:shd w:val="clear" w:color="auto" w:fill="auto"/>
          </w:tcPr>
          <w:p w14:paraId="7E5CFF02"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p>
        </w:tc>
      </w:tr>
      <w:tr w:rsidR="00F65487" w:rsidRPr="00AE6BB9" w14:paraId="0CB36B49" w14:textId="77777777" w:rsidTr="00D87D26">
        <w:tc>
          <w:tcPr>
            <w:tcW w:w="780" w:type="pct"/>
            <w:tcMar>
              <w:top w:w="57" w:type="dxa"/>
              <w:bottom w:w="57" w:type="dxa"/>
            </w:tcMar>
          </w:tcPr>
          <w:p w14:paraId="07B6F93F"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Women able to gain business or income-generating skills</w:t>
            </w:r>
          </w:p>
        </w:tc>
        <w:tc>
          <w:tcPr>
            <w:tcW w:w="785" w:type="pct"/>
          </w:tcPr>
          <w:p w14:paraId="11848AE8" w14:textId="77777777" w:rsidR="00F65487" w:rsidRPr="00AE6BB9" w:rsidRDefault="00C2750F"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2,200 women are trained in business or income-generating skills</w:t>
            </w:r>
            <w:r w:rsidR="00F65487" w:rsidRPr="00AE6BB9">
              <w:rPr>
                <w:rFonts w:asciiTheme="minorHAnsi" w:eastAsia="Times New Roman" w:hAnsiTheme="minorHAnsi"/>
                <w:iCs/>
                <w:color w:val="auto"/>
                <w:szCs w:val="17"/>
                <w:lang w:eastAsia="en-US"/>
              </w:rPr>
              <w:t>*</w:t>
            </w:r>
          </w:p>
        </w:tc>
        <w:tc>
          <w:tcPr>
            <w:tcW w:w="492" w:type="pct"/>
            <w:shd w:val="clear" w:color="auto" w:fill="FFC000"/>
          </w:tcPr>
          <w:p w14:paraId="24D18F6B" w14:textId="77777777" w:rsidR="00F65487" w:rsidRPr="00AE6BB9" w:rsidRDefault="00C2750F"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Partly a</w:t>
            </w:r>
            <w:r w:rsidR="00F65487" w:rsidRPr="00AE6BB9">
              <w:rPr>
                <w:rFonts w:asciiTheme="minorHAnsi" w:eastAsia="Times New Roman" w:hAnsiTheme="minorHAnsi"/>
                <w:iCs/>
                <w:color w:val="FFFFFF" w:themeColor="background1"/>
                <w:szCs w:val="17"/>
                <w:lang w:eastAsia="en-US"/>
              </w:rPr>
              <w:t>chieved</w:t>
            </w:r>
          </w:p>
        </w:tc>
        <w:tc>
          <w:tcPr>
            <w:tcW w:w="2943" w:type="pct"/>
          </w:tcPr>
          <w:p w14:paraId="1677CB00"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713 women trained in business or income-generating skills, including bilaterally funded business training provided through the Skills for Economic Growth Program (343)</w:t>
            </w:r>
            <w:r w:rsidR="00FF6B8B" w:rsidRPr="00AE6BB9">
              <w:rPr>
                <w:rFonts w:asciiTheme="minorHAnsi" w:eastAsia="Times New Roman" w:hAnsiTheme="minorHAnsi"/>
                <w:iCs/>
                <w:color w:val="auto"/>
                <w:szCs w:val="17"/>
                <w:lang w:eastAsia="en-US"/>
              </w:rPr>
              <w:t>,</w:t>
            </w:r>
            <w:r w:rsidRPr="00AE6BB9">
              <w:rPr>
                <w:rFonts w:asciiTheme="minorHAnsi" w:eastAsia="Times New Roman" w:hAnsiTheme="minorHAnsi"/>
                <w:iCs/>
                <w:color w:val="auto"/>
                <w:szCs w:val="17"/>
                <w:lang w:eastAsia="en-US"/>
              </w:rPr>
              <w:t xml:space="preserve"> and </w:t>
            </w:r>
            <w:r w:rsidR="00487156" w:rsidRPr="00AE6BB9">
              <w:rPr>
                <w:rFonts w:asciiTheme="minorHAnsi" w:eastAsia="Times New Roman" w:hAnsiTheme="minorHAnsi"/>
                <w:iCs/>
                <w:color w:val="auto"/>
                <w:szCs w:val="17"/>
                <w:lang w:eastAsia="en-US"/>
              </w:rPr>
              <w:t xml:space="preserve">SIWIBA </w:t>
            </w:r>
            <w:r w:rsidRPr="00AE6BB9">
              <w:rPr>
                <w:rFonts w:asciiTheme="minorHAnsi" w:eastAsia="Times New Roman" w:hAnsiTheme="minorHAnsi"/>
                <w:iCs/>
                <w:color w:val="auto"/>
                <w:szCs w:val="17"/>
                <w:lang w:eastAsia="en-US"/>
              </w:rPr>
              <w:t>(370</w:t>
            </w:r>
            <w:r w:rsidR="00874F0D" w:rsidRPr="00AE6BB9">
              <w:rPr>
                <w:rFonts w:asciiTheme="minorHAnsi" w:eastAsia="Times New Roman" w:hAnsiTheme="minorHAnsi"/>
                <w:iCs/>
                <w:color w:val="auto"/>
                <w:szCs w:val="17"/>
                <w:lang w:eastAsia="en-US"/>
              </w:rPr>
              <w:t>).</w:t>
            </w:r>
          </w:p>
        </w:tc>
      </w:tr>
      <w:tr w:rsidR="00F65487" w:rsidRPr="00AE6BB9" w14:paraId="0A2170EF" w14:textId="77777777" w:rsidTr="00D87D26">
        <w:tc>
          <w:tcPr>
            <w:tcW w:w="780" w:type="pct"/>
            <w:tcMar>
              <w:top w:w="57" w:type="dxa"/>
              <w:bottom w:w="57" w:type="dxa"/>
            </w:tcMar>
          </w:tcPr>
          <w:p w14:paraId="5A279068"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Improved transport infrastructure to support increased economic activity</w:t>
            </w:r>
          </w:p>
        </w:tc>
        <w:tc>
          <w:tcPr>
            <w:tcW w:w="785" w:type="pct"/>
          </w:tcPr>
          <w:p w14:paraId="3ADBCB29"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600km of roads rehabilitated or maintained</w:t>
            </w:r>
            <w:r w:rsidR="00746BB5" w:rsidRPr="00AE6BB9">
              <w:rPr>
                <w:rFonts w:asciiTheme="minorHAnsi" w:eastAsia="Times New Roman" w:hAnsiTheme="minorHAnsi"/>
                <w:iCs/>
                <w:color w:val="auto"/>
                <w:szCs w:val="17"/>
                <w:lang w:eastAsia="en-US"/>
              </w:rPr>
              <w:t xml:space="preserve"> in 2015-16*</w:t>
            </w:r>
          </w:p>
        </w:tc>
        <w:tc>
          <w:tcPr>
            <w:tcW w:w="492" w:type="pct"/>
            <w:shd w:val="clear" w:color="auto" w:fill="92D050"/>
          </w:tcPr>
          <w:p w14:paraId="1D0DB485" w14:textId="77777777" w:rsidR="00F65487" w:rsidRPr="00AE6BB9" w:rsidRDefault="00F65487"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Achieved</w:t>
            </w:r>
          </w:p>
        </w:tc>
        <w:tc>
          <w:tcPr>
            <w:tcW w:w="2943" w:type="pct"/>
          </w:tcPr>
          <w:p w14:paraId="31D316E1" w14:textId="77777777" w:rsidR="00F65487" w:rsidRPr="00AE6BB9" w:rsidRDefault="00AC066F"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 xml:space="preserve">Through </w:t>
            </w:r>
            <w:r w:rsidR="00F65487" w:rsidRPr="00AE6BB9">
              <w:rPr>
                <w:rFonts w:asciiTheme="minorHAnsi" w:eastAsia="Times New Roman" w:hAnsiTheme="minorHAnsi"/>
                <w:iCs/>
                <w:color w:val="auto"/>
                <w:szCs w:val="17"/>
                <w:lang w:eastAsia="en-US"/>
              </w:rPr>
              <w:t xml:space="preserve">Australian </w:t>
            </w:r>
            <w:r w:rsidRPr="00AE6BB9">
              <w:rPr>
                <w:rFonts w:asciiTheme="minorHAnsi" w:eastAsia="Times New Roman" w:hAnsiTheme="minorHAnsi"/>
                <w:iCs/>
                <w:color w:val="auto"/>
                <w:szCs w:val="17"/>
                <w:lang w:eastAsia="en-US"/>
              </w:rPr>
              <w:t>support for</w:t>
            </w:r>
            <w:r w:rsidR="00F65487" w:rsidRPr="00AE6BB9">
              <w:rPr>
                <w:rFonts w:asciiTheme="minorHAnsi" w:eastAsia="Times New Roman" w:hAnsiTheme="minorHAnsi"/>
                <w:iCs/>
                <w:color w:val="auto"/>
                <w:szCs w:val="17"/>
                <w:lang w:eastAsia="en-US"/>
              </w:rPr>
              <w:t xml:space="preserve"> the National Transport Fund, the Solomon Islands Government </w:t>
            </w:r>
            <w:r w:rsidRPr="00AE6BB9">
              <w:rPr>
                <w:rFonts w:asciiTheme="minorHAnsi" w:eastAsia="Times New Roman" w:hAnsiTheme="minorHAnsi"/>
                <w:iCs/>
                <w:color w:val="auto"/>
                <w:szCs w:val="17"/>
                <w:lang w:eastAsia="en-US"/>
              </w:rPr>
              <w:t xml:space="preserve">maintained </w:t>
            </w:r>
            <w:r w:rsidR="00F65487" w:rsidRPr="00AE6BB9">
              <w:rPr>
                <w:rFonts w:asciiTheme="minorHAnsi" w:eastAsia="Times New Roman" w:hAnsiTheme="minorHAnsi"/>
                <w:iCs/>
                <w:color w:val="auto"/>
                <w:szCs w:val="17"/>
                <w:lang w:eastAsia="en-US"/>
              </w:rPr>
              <w:t xml:space="preserve">887km of roads by the end of </w:t>
            </w:r>
            <w:r w:rsidR="00200A77" w:rsidRPr="00AE6BB9">
              <w:rPr>
                <w:rFonts w:asciiTheme="minorHAnsi" w:eastAsia="Times New Roman" w:hAnsiTheme="minorHAnsi"/>
                <w:iCs/>
                <w:color w:val="auto"/>
                <w:szCs w:val="17"/>
                <w:lang w:eastAsia="en-US"/>
              </w:rPr>
              <w:t xml:space="preserve">June </w:t>
            </w:r>
            <w:r w:rsidR="00F65487" w:rsidRPr="00AE6BB9">
              <w:rPr>
                <w:rFonts w:asciiTheme="minorHAnsi" w:eastAsia="Times New Roman" w:hAnsiTheme="minorHAnsi"/>
                <w:iCs/>
                <w:color w:val="auto"/>
                <w:szCs w:val="17"/>
                <w:lang w:eastAsia="en-US"/>
              </w:rPr>
              <w:t>2016 (up from 255km in 2011 and 643km in 2014-15). This represents 89 per cent of the country’s maintainable roads (up from 39 per cent in 2011 and 70 per cent in 2014-15).</w:t>
            </w:r>
          </w:p>
        </w:tc>
      </w:tr>
      <w:tr w:rsidR="00F65487" w:rsidRPr="00AE6BB9" w14:paraId="6315AC49" w14:textId="77777777" w:rsidTr="00D87D26">
        <w:tc>
          <w:tcPr>
            <w:tcW w:w="780" w:type="pct"/>
            <w:tcMar>
              <w:top w:w="57" w:type="dxa"/>
              <w:bottom w:w="57" w:type="dxa"/>
            </w:tcMar>
          </w:tcPr>
          <w:p w14:paraId="3FF64755"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Improved environment for private sector investment, economic growth and trade</w:t>
            </w:r>
          </w:p>
        </w:tc>
        <w:tc>
          <w:tcPr>
            <w:tcW w:w="785" w:type="pct"/>
          </w:tcPr>
          <w:p w14:paraId="661B5ECB" w14:textId="77777777" w:rsidR="00F65487" w:rsidRPr="00AE6BB9" w:rsidRDefault="00CB61C4"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50</w:t>
            </w:r>
            <w:r w:rsidR="00622D83" w:rsidRPr="00AE6BB9">
              <w:rPr>
                <w:rFonts w:asciiTheme="minorHAnsi" w:eastAsia="Times New Roman" w:hAnsiTheme="minorHAnsi"/>
                <w:iCs/>
                <w:color w:val="auto"/>
                <w:szCs w:val="17"/>
                <w:lang w:eastAsia="en-US"/>
              </w:rPr>
              <w:t xml:space="preserve"> per cent</w:t>
            </w:r>
            <w:r w:rsidRPr="00AE6BB9">
              <w:rPr>
                <w:rFonts w:asciiTheme="minorHAnsi" w:eastAsia="Times New Roman" w:hAnsiTheme="minorHAnsi"/>
                <w:iCs/>
                <w:color w:val="auto"/>
                <w:szCs w:val="17"/>
                <w:lang w:eastAsia="en-US"/>
              </w:rPr>
              <w:t xml:space="preserve"> of Core Economic Working Group Economic and Financial Reform Program actions achieved for 2015-16</w:t>
            </w:r>
            <w:r w:rsidR="00C2750F" w:rsidRPr="00AE6BB9">
              <w:rPr>
                <w:rFonts w:asciiTheme="minorHAnsi" w:eastAsia="Times New Roman" w:hAnsiTheme="minorHAnsi"/>
                <w:iCs/>
                <w:color w:val="auto"/>
                <w:szCs w:val="17"/>
                <w:lang w:eastAsia="en-US"/>
              </w:rPr>
              <w:t>*</w:t>
            </w:r>
          </w:p>
        </w:tc>
        <w:tc>
          <w:tcPr>
            <w:tcW w:w="492" w:type="pct"/>
            <w:shd w:val="clear" w:color="auto" w:fill="FF0000"/>
          </w:tcPr>
          <w:p w14:paraId="4310868F" w14:textId="77777777" w:rsidR="00F65487" w:rsidRPr="00AE6BB9" w:rsidRDefault="00EB3CA8"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Not</w:t>
            </w:r>
            <w:r w:rsidR="00F65487" w:rsidRPr="00AE6BB9">
              <w:rPr>
                <w:rFonts w:asciiTheme="minorHAnsi" w:eastAsia="Times New Roman" w:hAnsiTheme="minorHAnsi"/>
                <w:iCs/>
                <w:color w:val="FFFFFF" w:themeColor="background1"/>
                <w:szCs w:val="17"/>
                <w:lang w:eastAsia="en-US"/>
              </w:rPr>
              <w:t xml:space="preserve"> achieved</w:t>
            </w:r>
          </w:p>
        </w:tc>
        <w:tc>
          <w:tcPr>
            <w:tcW w:w="2943" w:type="pct"/>
          </w:tcPr>
          <w:p w14:paraId="6C06FC9B" w14:textId="77777777" w:rsidR="00F65487" w:rsidRPr="00AE6BB9" w:rsidRDefault="00037E2C"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The</w:t>
            </w:r>
            <w:r w:rsidR="00CB61C4" w:rsidRPr="00AE6BB9">
              <w:rPr>
                <w:rFonts w:asciiTheme="minorHAnsi" w:eastAsia="Times New Roman" w:hAnsiTheme="minorHAnsi"/>
                <w:iCs/>
                <w:color w:val="auto"/>
                <w:szCs w:val="17"/>
                <w:lang w:eastAsia="en-US"/>
              </w:rPr>
              <w:t xml:space="preserve"> Core Economic Working Group did not endorse a reform program for </w:t>
            </w:r>
            <w:r w:rsidRPr="00AE6BB9">
              <w:rPr>
                <w:rFonts w:asciiTheme="minorHAnsi" w:eastAsia="Times New Roman" w:hAnsiTheme="minorHAnsi"/>
                <w:iCs/>
                <w:color w:val="auto"/>
                <w:szCs w:val="17"/>
                <w:lang w:eastAsia="en-US"/>
              </w:rPr>
              <w:t>2015-16</w:t>
            </w:r>
            <w:r w:rsidR="00CB61C4" w:rsidRPr="00AE6BB9">
              <w:rPr>
                <w:rFonts w:asciiTheme="minorHAnsi" w:eastAsia="Times New Roman" w:hAnsiTheme="minorHAnsi"/>
                <w:iCs/>
                <w:color w:val="auto"/>
                <w:szCs w:val="17"/>
                <w:lang w:eastAsia="en-US"/>
              </w:rPr>
              <w:t>.</w:t>
            </w:r>
            <w:r w:rsidRPr="00AE6BB9">
              <w:rPr>
                <w:rFonts w:asciiTheme="minorHAnsi" w:eastAsia="Times New Roman" w:hAnsiTheme="minorHAnsi"/>
                <w:iCs/>
                <w:color w:val="auto"/>
                <w:szCs w:val="17"/>
                <w:lang w:eastAsia="en-US"/>
              </w:rPr>
              <w:t xml:space="preserve"> As a result, Australia did not make a tranche payment of </w:t>
            </w:r>
            <w:r w:rsidR="00ED2C7A" w:rsidRPr="00AE6BB9">
              <w:rPr>
                <w:rFonts w:asciiTheme="minorHAnsi" w:eastAsia="Times New Roman" w:hAnsiTheme="minorHAnsi"/>
                <w:iCs/>
                <w:color w:val="auto"/>
                <w:szCs w:val="17"/>
                <w:lang w:eastAsia="en-US"/>
              </w:rPr>
              <w:t>$</w:t>
            </w:r>
            <w:r w:rsidR="003D0ECF" w:rsidRPr="00AE6BB9">
              <w:rPr>
                <w:rFonts w:asciiTheme="minorHAnsi" w:eastAsia="Times New Roman" w:hAnsiTheme="minorHAnsi"/>
                <w:iCs/>
                <w:color w:val="auto"/>
                <w:szCs w:val="17"/>
                <w:lang w:eastAsia="en-US"/>
              </w:rPr>
              <w:t>3</w:t>
            </w:r>
            <w:r w:rsidRPr="00AE6BB9">
              <w:rPr>
                <w:rFonts w:asciiTheme="minorHAnsi" w:eastAsia="Times New Roman" w:hAnsiTheme="minorHAnsi"/>
                <w:iCs/>
                <w:color w:val="auto"/>
                <w:szCs w:val="17"/>
                <w:lang w:eastAsia="en-US"/>
              </w:rPr>
              <w:t xml:space="preserve"> million performance linked aid related to</w:t>
            </w:r>
            <w:r w:rsidR="00CB61C4" w:rsidRPr="00AE6BB9">
              <w:rPr>
                <w:rFonts w:asciiTheme="minorHAnsi" w:eastAsia="Times New Roman" w:hAnsiTheme="minorHAnsi"/>
                <w:iCs/>
                <w:color w:val="auto"/>
                <w:szCs w:val="17"/>
                <w:lang w:eastAsia="en-US"/>
              </w:rPr>
              <w:t xml:space="preserve"> </w:t>
            </w:r>
            <w:r w:rsidRPr="00AE6BB9">
              <w:rPr>
                <w:rFonts w:asciiTheme="minorHAnsi" w:eastAsia="Times New Roman" w:hAnsiTheme="minorHAnsi"/>
                <w:iCs/>
                <w:color w:val="auto"/>
                <w:szCs w:val="17"/>
                <w:lang w:eastAsia="en-US"/>
              </w:rPr>
              <w:t>this benchmark.</w:t>
            </w:r>
          </w:p>
        </w:tc>
      </w:tr>
    </w:tbl>
    <w:p w14:paraId="517F4E9A" w14:textId="77777777" w:rsidR="00591069" w:rsidRPr="00AE6BB9" w:rsidRDefault="00591069" w:rsidP="00AE6BB9">
      <w:pPr>
        <w:spacing w:beforeLines="40" w:before="96" w:afterLines="40" w:after="96" w:line="200" w:lineRule="atLeast"/>
        <w:rPr>
          <w:rFonts w:eastAsia="Times New Roman"/>
          <w:iCs/>
          <w:color w:val="auto"/>
          <w:sz w:val="17"/>
          <w:szCs w:val="17"/>
        </w:rPr>
      </w:pPr>
      <w:r w:rsidRPr="00AE6BB9">
        <w:rPr>
          <w:rFonts w:eastAsia="Times New Roman"/>
          <w:iCs/>
          <w:color w:val="auto"/>
          <w:sz w:val="17"/>
          <w:szCs w:val="17"/>
        </w:rPr>
        <w:br w:type="page"/>
      </w:r>
    </w:p>
    <w:tbl>
      <w:tblPr>
        <w:tblStyle w:val="DFATTable10"/>
        <w:tblW w:w="5000" w:type="pct"/>
        <w:tblLook w:val="04A0" w:firstRow="1" w:lastRow="0" w:firstColumn="1" w:lastColumn="0" w:noHBand="0" w:noVBand="1"/>
      </w:tblPr>
      <w:tblGrid>
        <w:gridCol w:w="2211"/>
        <w:gridCol w:w="2225"/>
        <w:gridCol w:w="1395"/>
        <w:gridCol w:w="8342"/>
      </w:tblGrid>
      <w:tr w:rsidR="00591069" w:rsidRPr="00AE6BB9" w14:paraId="125A27A1" w14:textId="77777777" w:rsidTr="00591069">
        <w:tc>
          <w:tcPr>
            <w:tcW w:w="780" w:type="pct"/>
          </w:tcPr>
          <w:p w14:paraId="1BF73ADF" w14:textId="77777777" w:rsidR="00591069" w:rsidRPr="00AE6BB9" w:rsidRDefault="00591069" w:rsidP="00AE6BB9">
            <w:pPr>
              <w:keepLines/>
              <w:suppressAutoHyphens w:val="0"/>
              <w:spacing w:before="40" w:after="40" w:line="200" w:lineRule="atLeast"/>
              <w:rPr>
                <w:rFonts w:eastAsia="Times New Roman"/>
                <w:b/>
                <w:iCs/>
                <w:szCs w:val="17"/>
              </w:rPr>
            </w:pPr>
            <w:r w:rsidRPr="00AE6BB9">
              <w:rPr>
                <w:rFonts w:eastAsia="Times New Roman"/>
                <w:b/>
                <w:iCs/>
                <w:szCs w:val="17"/>
              </w:rPr>
              <w:lastRenderedPageBreak/>
              <w:t>Aid objective</w:t>
            </w:r>
          </w:p>
        </w:tc>
        <w:tc>
          <w:tcPr>
            <w:tcW w:w="785" w:type="pct"/>
          </w:tcPr>
          <w:p w14:paraId="769A3714" w14:textId="77777777" w:rsidR="00591069" w:rsidRPr="00AE6BB9" w:rsidRDefault="00591069" w:rsidP="00AE6BB9">
            <w:pPr>
              <w:keepLines/>
              <w:suppressAutoHyphens w:val="0"/>
              <w:spacing w:before="40" w:after="40" w:line="200" w:lineRule="atLeast"/>
              <w:rPr>
                <w:rFonts w:eastAsia="Times New Roman"/>
                <w:b/>
                <w:iCs/>
                <w:szCs w:val="17"/>
              </w:rPr>
            </w:pPr>
            <w:r w:rsidRPr="00AE6BB9">
              <w:rPr>
                <w:rFonts w:eastAsia="Times New Roman"/>
                <w:b/>
                <w:iCs/>
                <w:szCs w:val="17"/>
              </w:rPr>
              <w:t>2015-16 benchmark</w:t>
            </w:r>
          </w:p>
        </w:tc>
        <w:tc>
          <w:tcPr>
            <w:tcW w:w="492" w:type="pct"/>
          </w:tcPr>
          <w:p w14:paraId="153FF1B4" w14:textId="77777777" w:rsidR="00591069" w:rsidRPr="00AE6BB9" w:rsidRDefault="00591069" w:rsidP="00AE6BB9">
            <w:pPr>
              <w:keepLines/>
              <w:suppressAutoHyphens w:val="0"/>
              <w:spacing w:before="40" w:after="40" w:line="200" w:lineRule="atLeast"/>
              <w:jc w:val="center"/>
              <w:rPr>
                <w:rFonts w:eastAsia="Times New Roman"/>
                <w:b/>
                <w:iCs/>
                <w:szCs w:val="17"/>
              </w:rPr>
            </w:pPr>
            <w:r w:rsidRPr="00AE6BB9">
              <w:rPr>
                <w:rFonts w:eastAsia="Times New Roman"/>
                <w:b/>
                <w:iCs/>
                <w:szCs w:val="17"/>
              </w:rPr>
              <w:t>Rating</w:t>
            </w:r>
          </w:p>
        </w:tc>
        <w:tc>
          <w:tcPr>
            <w:tcW w:w="2943" w:type="pct"/>
          </w:tcPr>
          <w:p w14:paraId="51284E8C" w14:textId="77777777" w:rsidR="00591069" w:rsidRPr="00AE6BB9" w:rsidRDefault="00591069" w:rsidP="00AE6BB9">
            <w:pPr>
              <w:keepLines/>
              <w:suppressAutoHyphens w:val="0"/>
              <w:spacing w:before="40" w:after="40" w:line="200" w:lineRule="atLeast"/>
              <w:jc w:val="center"/>
              <w:rPr>
                <w:rFonts w:eastAsia="Times New Roman"/>
                <w:b/>
                <w:iCs/>
                <w:szCs w:val="17"/>
              </w:rPr>
            </w:pPr>
            <w:r w:rsidRPr="00AE6BB9">
              <w:rPr>
                <w:rFonts w:eastAsia="Times New Roman"/>
                <w:b/>
                <w:iCs/>
                <w:szCs w:val="17"/>
              </w:rPr>
              <w:t>Progress in 2015-16</w:t>
            </w:r>
          </w:p>
        </w:tc>
      </w:tr>
      <w:tr w:rsidR="00F65487" w:rsidRPr="00AE6BB9" w14:paraId="727A450E" w14:textId="77777777" w:rsidTr="00D87D26">
        <w:tc>
          <w:tcPr>
            <w:tcW w:w="780" w:type="pct"/>
            <w:tcMar>
              <w:top w:w="57" w:type="dxa"/>
              <w:bottom w:w="57" w:type="dxa"/>
            </w:tcMar>
          </w:tcPr>
          <w:p w14:paraId="27AF0C01" w14:textId="77777777" w:rsidR="00F65487" w:rsidRPr="00AE6BB9" w:rsidRDefault="00F65487" w:rsidP="00AE6BB9">
            <w:pPr>
              <w:keepLines/>
              <w:suppressAutoHyphens w:val="0"/>
              <w:spacing w:before="40" w:after="40" w:line="200" w:lineRule="atLeast"/>
              <w:rPr>
                <w:rFonts w:asciiTheme="minorHAnsi" w:eastAsia="Times New Roman" w:hAnsiTheme="minorHAnsi"/>
                <w:iCs/>
                <w:color w:val="auto"/>
                <w:szCs w:val="17"/>
                <w:lang w:eastAsia="en-US"/>
              </w:rPr>
            </w:pPr>
            <w:r w:rsidRPr="00AE6BB9">
              <w:rPr>
                <w:rFonts w:eastAsia="Times New Roman"/>
                <w:b/>
                <w:iCs/>
                <w:szCs w:val="17"/>
              </w:rPr>
              <w:t>Human Development</w:t>
            </w:r>
          </w:p>
        </w:tc>
        <w:tc>
          <w:tcPr>
            <w:tcW w:w="785" w:type="pct"/>
            <w:shd w:val="clear" w:color="auto" w:fill="auto"/>
          </w:tcPr>
          <w:p w14:paraId="016C44E7"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p>
        </w:tc>
        <w:tc>
          <w:tcPr>
            <w:tcW w:w="492" w:type="pct"/>
            <w:shd w:val="clear" w:color="auto" w:fill="auto"/>
          </w:tcPr>
          <w:p w14:paraId="319C10C9"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p>
        </w:tc>
        <w:tc>
          <w:tcPr>
            <w:tcW w:w="2943" w:type="pct"/>
            <w:shd w:val="clear" w:color="auto" w:fill="auto"/>
          </w:tcPr>
          <w:p w14:paraId="4B3CB1B5"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p>
        </w:tc>
      </w:tr>
      <w:tr w:rsidR="00F65487" w:rsidRPr="00AE6BB9" w14:paraId="6ED6FFD3" w14:textId="77777777" w:rsidTr="00D87D26">
        <w:tc>
          <w:tcPr>
            <w:tcW w:w="780" w:type="pct"/>
            <w:tcMar>
              <w:top w:w="57" w:type="dxa"/>
              <w:bottom w:w="57" w:type="dxa"/>
            </w:tcMar>
          </w:tcPr>
          <w:p w14:paraId="57B81994"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Improv</w:t>
            </w:r>
            <w:r w:rsidR="00874F0D" w:rsidRPr="00AE6BB9">
              <w:rPr>
                <w:rFonts w:asciiTheme="minorHAnsi" w:eastAsia="Times New Roman" w:hAnsiTheme="minorHAnsi"/>
                <w:iCs/>
                <w:color w:val="auto"/>
                <w:szCs w:val="17"/>
                <w:lang w:eastAsia="en-US"/>
              </w:rPr>
              <w:t>ed functioning of health system</w:t>
            </w:r>
          </w:p>
        </w:tc>
        <w:tc>
          <w:tcPr>
            <w:tcW w:w="785" w:type="pct"/>
          </w:tcPr>
          <w:p w14:paraId="4CBA2765" w14:textId="77777777" w:rsidR="00F65487" w:rsidRPr="00AE6BB9" w:rsidRDefault="00746BB5"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Availability of critical and essential medicines (includes contraceptives) at the rural clinic level to 61 per cent</w:t>
            </w:r>
            <w:r w:rsidR="006C468A" w:rsidRPr="00AE6BB9">
              <w:rPr>
                <w:rFonts w:asciiTheme="minorHAnsi" w:eastAsia="Times New Roman" w:hAnsiTheme="minorHAnsi"/>
                <w:iCs/>
                <w:color w:val="auto"/>
                <w:szCs w:val="17"/>
                <w:lang w:eastAsia="en-US"/>
              </w:rPr>
              <w:t>*</w:t>
            </w:r>
          </w:p>
        </w:tc>
        <w:tc>
          <w:tcPr>
            <w:tcW w:w="492" w:type="pct"/>
            <w:shd w:val="clear" w:color="auto" w:fill="92D050"/>
          </w:tcPr>
          <w:p w14:paraId="1C86255C" w14:textId="77777777" w:rsidR="00F65487" w:rsidRPr="00AE6BB9" w:rsidRDefault="00746BB5"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w:t>
            </w:r>
            <w:r w:rsidR="00F65487" w:rsidRPr="00AE6BB9">
              <w:rPr>
                <w:rFonts w:asciiTheme="minorHAnsi" w:eastAsia="Times New Roman" w:hAnsiTheme="minorHAnsi"/>
                <w:iCs/>
                <w:color w:val="FFFFFF" w:themeColor="background1"/>
                <w:szCs w:val="17"/>
                <w:lang w:eastAsia="en-US"/>
              </w:rPr>
              <w:t>chieved</w:t>
            </w:r>
          </w:p>
        </w:tc>
        <w:tc>
          <w:tcPr>
            <w:tcW w:w="2943" w:type="pct"/>
          </w:tcPr>
          <w:p w14:paraId="615401D4"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Essential medicines coverage at rural health facilities improved from 73</w:t>
            </w:r>
            <w:r w:rsidR="00622D83" w:rsidRPr="00AE6BB9">
              <w:rPr>
                <w:rFonts w:asciiTheme="minorHAnsi" w:eastAsia="Times New Roman" w:hAnsiTheme="minorHAnsi"/>
                <w:iCs/>
                <w:color w:val="auto"/>
                <w:szCs w:val="17"/>
                <w:lang w:eastAsia="en-US"/>
              </w:rPr>
              <w:t xml:space="preserve"> per cent</w:t>
            </w:r>
            <w:r w:rsidRPr="00AE6BB9">
              <w:rPr>
                <w:rFonts w:asciiTheme="minorHAnsi" w:eastAsia="Times New Roman" w:hAnsiTheme="minorHAnsi"/>
                <w:iCs/>
                <w:color w:val="auto"/>
                <w:szCs w:val="17"/>
                <w:lang w:eastAsia="en-US"/>
              </w:rPr>
              <w:t xml:space="preserve"> to </w:t>
            </w:r>
            <w:r w:rsidR="001C6C22" w:rsidRPr="00AE6BB9">
              <w:rPr>
                <w:rFonts w:asciiTheme="minorHAnsi" w:eastAsia="Times New Roman" w:hAnsiTheme="minorHAnsi"/>
                <w:iCs/>
                <w:color w:val="auto"/>
                <w:szCs w:val="17"/>
                <w:lang w:eastAsia="en-US"/>
              </w:rPr>
              <w:t xml:space="preserve">74 </w:t>
            </w:r>
            <w:r w:rsidR="00622D83" w:rsidRPr="00AE6BB9">
              <w:rPr>
                <w:rFonts w:asciiTheme="minorHAnsi" w:eastAsia="Times New Roman" w:hAnsiTheme="minorHAnsi"/>
                <w:iCs/>
                <w:color w:val="auto"/>
                <w:szCs w:val="17"/>
                <w:lang w:eastAsia="en-US"/>
              </w:rPr>
              <w:t>per cent</w:t>
            </w:r>
            <w:r w:rsidRPr="00AE6BB9">
              <w:rPr>
                <w:rFonts w:asciiTheme="minorHAnsi" w:eastAsia="Times New Roman" w:hAnsiTheme="minorHAnsi"/>
                <w:iCs/>
                <w:color w:val="auto"/>
                <w:szCs w:val="17"/>
                <w:lang w:eastAsia="en-US"/>
              </w:rPr>
              <w:t xml:space="preserve"> during 2015-16</w:t>
            </w:r>
            <w:r w:rsidR="006C468A" w:rsidRPr="00AE6BB9">
              <w:rPr>
                <w:rFonts w:asciiTheme="minorHAnsi" w:eastAsia="Times New Roman" w:hAnsiTheme="minorHAnsi"/>
                <w:iCs/>
                <w:color w:val="auto"/>
                <w:szCs w:val="17"/>
                <w:lang w:eastAsia="en-US"/>
              </w:rPr>
              <w:t>.</w:t>
            </w:r>
          </w:p>
        </w:tc>
      </w:tr>
      <w:tr w:rsidR="00F65487" w:rsidRPr="00AE6BB9" w14:paraId="25AA1D12" w14:textId="77777777" w:rsidTr="00D87D26">
        <w:tc>
          <w:tcPr>
            <w:tcW w:w="780" w:type="pct"/>
            <w:tcMar>
              <w:top w:w="57" w:type="dxa"/>
              <w:bottom w:w="57" w:type="dxa"/>
            </w:tcMar>
          </w:tcPr>
          <w:p w14:paraId="49212B60"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Year 4 lite</w:t>
            </w:r>
            <w:r w:rsidR="00874F0D" w:rsidRPr="00AE6BB9">
              <w:rPr>
                <w:rFonts w:asciiTheme="minorHAnsi" w:eastAsia="Times New Roman" w:hAnsiTheme="minorHAnsi"/>
                <w:iCs/>
                <w:color w:val="auto"/>
                <w:szCs w:val="17"/>
                <w:lang w:eastAsia="en-US"/>
              </w:rPr>
              <w:t>racy and numeracy rates - SISTA</w:t>
            </w:r>
          </w:p>
        </w:tc>
        <w:tc>
          <w:tcPr>
            <w:tcW w:w="785" w:type="pct"/>
          </w:tcPr>
          <w:p w14:paraId="1889E71B" w14:textId="77777777" w:rsidR="00F65487" w:rsidRPr="00AE6BB9" w:rsidRDefault="00823159"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66.4%</w:t>
            </w:r>
          </w:p>
        </w:tc>
        <w:tc>
          <w:tcPr>
            <w:tcW w:w="492" w:type="pct"/>
            <w:shd w:val="clear" w:color="auto" w:fill="92D050"/>
          </w:tcPr>
          <w:p w14:paraId="7D73B97E" w14:textId="77777777" w:rsidR="00F65487" w:rsidRPr="00AE6BB9" w:rsidRDefault="00F65487"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Achieved</w:t>
            </w:r>
          </w:p>
        </w:tc>
        <w:tc>
          <w:tcPr>
            <w:tcW w:w="2943" w:type="pct"/>
          </w:tcPr>
          <w:p w14:paraId="5BA009F0" w14:textId="77777777" w:rsidR="00F65487" w:rsidRPr="00AE6BB9" w:rsidRDefault="00CE1B95"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In 2015 the literacy and numeracy competence of Year 4 students was tested</w:t>
            </w:r>
            <w:r w:rsidR="001C67AF" w:rsidRPr="00AE6BB9">
              <w:rPr>
                <w:rFonts w:asciiTheme="minorHAnsi" w:eastAsia="Times New Roman" w:hAnsiTheme="minorHAnsi"/>
                <w:iCs/>
                <w:color w:val="auto"/>
                <w:szCs w:val="17"/>
                <w:lang w:eastAsia="en-US"/>
              </w:rPr>
              <w:t>.</w:t>
            </w:r>
            <w:r w:rsidR="00F65487" w:rsidRPr="00AE6BB9">
              <w:rPr>
                <w:rFonts w:asciiTheme="minorHAnsi" w:eastAsia="Times New Roman" w:hAnsiTheme="minorHAnsi"/>
                <w:iCs/>
                <w:color w:val="auto"/>
                <w:szCs w:val="17"/>
                <w:lang w:eastAsia="en-US"/>
              </w:rPr>
              <w:t xml:space="preserve"> 75.6</w:t>
            </w:r>
            <w:r w:rsidR="00622D83" w:rsidRPr="00AE6BB9">
              <w:rPr>
                <w:rFonts w:asciiTheme="minorHAnsi" w:eastAsia="Times New Roman" w:hAnsiTheme="minorHAnsi"/>
                <w:iCs/>
                <w:color w:val="auto"/>
                <w:szCs w:val="17"/>
                <w:lang w:eastAsia="en-US"/>
              </w:rPr>
              <w:t xml:space="preserve"> per cent</w:t>
            </w:r>
            <w:r w:rsidR="00F65487" w:rsidRPr="00AE6BB9">
              <w:rPr>
                <w:rFonts w:asciiTheme="minorHAnsi" w:eastAsia="Times New Roman" w:hAnsiTheme="minorHAnsi"/>
                <w:iCs/>
                <w:color w:val="auto"/>
                <w:szCs w:val="17"/>
                <w:lang w:eastAsia="en-US"/>
              </w:rPr>
              <w:t xml:space="preserve"> of students were performing at expected literacy levels and 76.3</w:t>
            </w:r>
            <w:r w:rsidR="00622D83" w:rsidRPr="00AE6BB9">
              <w:rPr>
                <w:rFonts w:asciiTheme="minorHAnsi" w:eastAsia="Times New Roman" w:hAnsiTheme="minorHAnsi"/>
                <w:iCs/>
                <w:color w:val="auto"/>
                <w:szCs w:val="17"/>
                <w:lang w:eastAsia="en-US"/>
              </w:rPr>
              <w:t xml:space="preserve"> per cent</w:t>
            </w:r>
            <w:r w:rsidR="00F65487" w:rsidRPr="00AE6BB9">
              <w:rPr>
                <w:rFonts w:asciiTheme="minorHAnsi" w:eastAsia="Times New Roman" w:hAnsiTheme="minorHAnsi"/>
                <w:iCs/>
                <w:color w:val="auto"/>
                <w:szCs w:val="17"/>
                <w:lang w:eastAsia="en-US"/>
              </w:rPr>
              <w:t xml:space="preserve"> at expected numeracy levels</w:t>
            </w:r>
            <w:r w:rsidRPr="00AE6BB9">
              <w:rPr>
                <w:rFonts w:asciiTheme="minorHAnsi" w:eastAsia="Times New Roman" w:hAnsiTheme="minorHAnsi"/>
                <w:iCs/>
                <w:color w:val="auto"/>
                <w:szCs w:val="17"/>
                <w:lang w:eastAsia="en-US"/>
              </w:rPr>
              <w:t>.</w:t>
            </w:r>
            <w:r w:rsidR="00622D83" w:rsidRPr="00AE6BB9">
              <w:rPr>
                <w:rFonts w:asciiTheme="minorHAnsi" w:eastAsia="Times New Roman" w:hAnsiTheme="minorHAnsi"/>
                <w:iCs/>
                <w:color w:val="auto"/>
                <w:szCs w:val="17"/>
                <w:lang w:eastAsia="en-US"/>
              </w:rPr>
              <w:t xml:space="preserve"> These results are well above the benchmark (66.4 per cent).</w:t>
            </w:r>
          </w:p>
        </w:tc>
      </w:tr>
      <w:tr w:rsidR="00F65487" w:rsidRPr="00AE6BB9" w14:paraId="794E0EB0" w14:textId="77777777" w:rsidTr="00D87D26">
        <w:tc>
          <w:tcPr>
            <w:tcW w:w="780" w:type="pct"/>
            <w:tcMar>
              <w:top w:w="57" w:type="dxa"/>
              <w:bottom w:w="57" w:type="dxa"/>
            </w:tcMar>
          </w:tcPr>
          <w:p w14:paraId="0A2A1010"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Increase in</w:t>
            </w:r>
            <w:r w:rsidR="00874F0D" w:rsidRPr="00AE6BB9">
              <w:rPr>
                <w:rFonts w:asciiTheme="minorHAnsi" w:eastAsia="Times New Roman" w:hAnsiTheme="minorHAnsi"/>
                <w:iCs/>
                <w:color w:val="auto"/>
                <w:szCs w:val="17"/>
                <w:lang w:eastAsia="en-US"/>
              </w:rPr>
              <w:t xml:space="preserve"> percentage of teachers trained</w:t>
            </w:r>
          </w:p>
        </w:tc>
        <w:tc>
          <w:tcPr>
            <w:tcW w:w="785" w:type="pct"/>
          </w:tcPr>
          <w:p w14:paraId="0AB6E519" w14:textId="77777777" w:rsidR="00F65487" w:rsidRPr="00AE6BB9" w:rsidRDefault="006C468A"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70</w:t>
            </w:r>
            <w:r w:rsidR="00622D83" w:rsidRPr="00AE6BB9">
              <w:rPr>
                <w:rFonts w:asciiTheme="minorHAnsi" w:eastAsia="Times New Roman" w:hAnsiTheme="minorHAnsi"/>
                <w:iCs/>
                <w:color w:val="auto"/>
                <w:szCs w:val="17"/>
                <w:lang w:eastAsia="en-US"/>
              </w:rPr>
              <w:t xml:space="preserve"> per cent</w:t>
            </w:r>
            <w:r w:rsidR="00C2750F" w:rsidRPr="00AE6BB9">
              <w:rPr>
                <w:rFonts w:asciiTheme="minorHAnsi" w:eastAsia="Times New Roman" w:hAnsiTheme="minorHAnsi"/>
                <w:iCs/>
                <w:color w:val="auto"/>
                <w:szCs w:val="17"/>
                <w:lang w:eastAsia="en-US"/>
              </w:rPr>
              <w:t xml:space="preserve"> of teachers trained*</w:t>
            </w:r>
          </w:p>
        </w:tc>
        <w:tc>
          <w:tcPr>
            <w:tcW w:w="492" w:type="pct"/>
            <w:shd w:val="clear" w:color="auto" w:fill="92D050"/>
          </w:tcPr>
          <w:p w14:paraId="257F94CD" w14:textId="77777777" w:rsidR="00F65487" w:rsidRPr="00AE6BB9" w:rsidRDefault="00F65487" w:rsidP="00AE6BB9">
            <w:pPr>
              <w:spacing w:beforeLines="40" w:before="96" w:afterLines="40" w:after="96" w:line="200" w:lineRule="atLeast"/>
              <w:jc w:val="center"/>
              <w:rPr>
                <w:rFonts w:asciiTheme="minorHAnsi" w:eastAsia="Times New Roman" w:hAnsiTheme="minorHAnsi"/>
                <w:iCs/>
                <w:color w:val="FFFFFF" w:themeColor="background1"/>
                <w:szCs w:val="17"/>
                <w:lang w:eastAsia="en-US"/>
              </w:rPr>
            </w:pPr>
            <w:r w:rsidRPr="00AE6BB9">
              <w:rPr>
                <w:rFonts w:asciiTheme="minorHAnsi" w:eastAsia="Times New Roman" w:hAnsiTheme="minorHAnsi"/>
                <w:iCs/>
                <w:color w:val="FFFFFF" w:themeColor="background1"/>
                <w:szCs w:val="17"/>
                <w:lang w:eastAsia="en-US"/>
              </w:rPr>
              <w:t>Achieved</w:t>
            </w:r>
          </w:p>
        </w:tc>
        <w:tc>
          <w:tcPr>
            <w:tcW w:w="2943" w:type="pct"/>
          </w:tcPr>
          <w:p w14:paraId="2A7C301A" w14:textId="77777777" w:rsidR="00F65487" w:rsidRPr="00AE6BB9" w:rsidRDefault="00F65487" w:rsidP="00AE6BB9">
            <w:pPr>
              <w:spacing w:beforeLines="40" w:before="96" w:afterLines="40" w:after="96" w:line="200" w:lineRule="atLeast"/>
              <w:rPr>
                <w:rFonts w:asciiTheme="minorHAnsi" w:eastAsia="Times New Roman" w:hAnsiTheme="minorHAnsi"/>
                <w:iCs/>
                <w:color w:val="auto"/>
                <w:szCs w:val="17"/>
                <w:lang w:eastAsia="en-US"/>
              </w:rPr>
            </w:pPr>
            <w:r w:rsidRPr="00AE6BB9">
              <w:rPr>
                <w:rFonts w:asciiTheme="minorHAnsi" w:eastAsia="Times New Roman" w:hAnsiTheme="minorHAnsi"/>
                <w:iCs/>
                <w:color w:val="auto"/>
                <w:szCs w:val="17"/>
                <w:lang w:eastAsia="en-US"/>
              </w:rPr>
              <w:t>80</w:t>
            </w:r>
            <w:r w:rsidR="00622D83" w:rsidRPr="00AE6BB9">
              <w:rPr>
                <w:rFonts w:asciiTheme="minorHAnsi" w:eastAsia="Times New Roman" w:hAnsiTheme="minorHAnsi"/>
                <w:iCs/>
                <w:color w:val="auto"/>
                <w:szCs w:val="17"/>
                <w:lang w:eastAsia="en-US"/>
              </w:rPr>
              <w:t xml:space="preserve"> per cent</w:t>
            </w:r>
            <w:r w:rsidRPr="00AE6BB9">
              <w:rPr>
                <w:rFonts w:asciiTheme="minorHAnsi" w:eastAsia="Times New Roman" w:hAnsiTheme="minorHAnsi"/>
                <w:iCs/>
                <w:color w:val="auto"/>
                <w:szCs w:val="17"/>
                <w:lang w:eastAsia="en-US"/>
              </w:rPr>
              <w:t xml:space="preserve"> of teachers </w:t>
            </w:r>
            <w:r w:rsidR="00622D83" w:rsidRPr="00AE6BB9">
              <w:rPr>
                <w:rFonts w:asciiTheme="minorHAnsi" w:eastAsia="Times New Roman" w:hAnsiTheme="minorHAnsi"/>
                <w:iCs/>
                <w:color w:val="auto"/>
                <w:szCs w:val="17"/>
                <w:lang w:eastAsia="en-US"/>
              </w:rPr>
              <w:t>were</w:t>
            </w:r>
            <w:r w:rsidRPr="00AE6BB9">
              <w:rPr>
                <w:rFonts w:asciiTheme="minorHAnsi" w:eastAsia="Times New Roman" w:hAnsiTheme="minorHAnsi"/>
                <w:iCs/>
                <w:color w:val="auto"/>
                <w:szCs w:val="17"/>
                <w:lang w:eastAsia="en-US"/>
              </w:rPr>
              <w:t xml:space="preserve"> trained</w:t>
            </w:r>
            <w:r w:rsidR="00622D83" w:rsidRPr="00AE6BB9">
              <w:rPr>
                <w:rFonts w:asciiTheme="minorHAnsi" w:eastAsia="Times New Roman" w:hAnsiTheme="minorHAnsi"/>
                <w:iCs/>
                <w:color w:val="auto"/>
                <w:szCs w:val="17"/>
                <w:lang w:eastAsia="en-US"/>
              </w:rPr>
              <w:t>. E</w:t>
            </w:r>
            <w:r w:rsidRPr="00AE6BB9">
              <w:rPr>
                <w:rFonts w:asciiTheme="minorHAnsi" w:eastAsia="Times New Roman" w:hAnsiTheme="minorHAnsi"/>
                <w:iCs/>
                <w:color w:val="auto"/>
                <w:szCs w:val="17"/>
                <w:lang w:eastAsia="en-US"/>
              </w:rPr>
              <w:t>xceeding the initial benchmark</w:t>
            </w:r>
            <w:r w:rsidR="00622D83" w:rsidRPr="00AE6BB9">
              <w:rPr>
                <w:rFonts w:asciiTheme="minorHAnsi" w:eastAsia="Times New Roman" w:hAnsiTheme="minorHAnsi"/>
                <w:iCs/>
                <w:color w:val="auto"/>
                <w:szCs w:val="17"/>
                <w:lang w:eastAsia="en-US"/>
              </w:rPr>
              <w:t xml:space="preserve"> of 70 per cent.</w:t>
            </w:r>
          </w:p>
        </w:tc>
      </w:tr>
    </w:tbl>
    <w:p w14:paraId="42966D73" w14:textId="77777777" w:rsidR="00FE6824" w:rsidRPr="00AE6BB9" w:rsidRDefault="00FE6824" w:rsidP="00AE6BB9">
      <w:pPr>
        <w:spacing w:beforeLines="40" w:before="96" w:afterLines="40" w:after="96" w:line="200" w:lineRule="atLeast"/>
        <w:rPr>
          <w:rFonts w:eastAsia="Times New Roman"/>
          <w:iCs/>
          <w:color w:val="auto"/>
          <w:sz w:val="17"/>
          <w:szCs w:val="17"/>
        </w:rPr>
      </w:pPr>
      <w:r w:rsidRPr="00AE6BB9">
        <w:rPr>
          <w:rFonts w:eastAsia="Times New Roman"/>
          <w:iCs/>
          <w:color w:val="auto"/>
          <w:sz w:val="17"/>
          <w:szCs w:val="17"/>
        </w:rPr>
        <w:t>* Note in 2015-16 benchmarks were adjusted to align with the new Aid Investment Plan.</w:t>
      </w:r>
    </w:p>
    <w:p w14:paraId="1FF1A3D4" w14:textId="77777777" w:rsidR="00823159" w:rsidRPr="00AE6BB9" w:rsidRDefault="007F73A7" w:rsidP="00AE6BB9">
      <w:pPr>
        <w:spacing w:beforeLines="40" w:before="96" w:afterLines="40" w:after="96" w:line="200" w:lineRule="atLeast"/>
        <w:rPr>
          <w:rFonts w:eastAsia="Times New Roman"/>
          <w:iCs/>
          <w:color w:val="auto"/>
          <w:sz w:val="17"/>
          <w:szCs w:val="17"/>
        </w:rPr>
      </w:pPr>
      <w:r w:rsidRPr="00AE6BB9">
        <w:rPr>
          <w:rFonts w:eastAsia="Times New Roman"/>
          <w:iCs/>
          <w:color w:val="auto"/>
          <w:sz w:val="17"/>
          <w:szCs w:val="17"/>
        </w:rPr>
        <w:t># Provincial hospital (second tier medical store) level.</w:t>
      </w:r>
      <w:r w:rsidR="00F01767" w:rsidRPr="00AE6BB9">
        <w:rPr>
          <w:rFonts w:eastAsia="Times New Roman"/>
          <w:iCs/>
          <w:color w:val="auto"/>
          <w:sz w:val="17"/>
          <w:szCs w:val="17"/>
        </w:rPr>
        <w:t xml:space="preserve"> Note this target was subsequently adjusted in the </w:t>
      </w:r>
      <w:r w:rsidR="002F55A2" w:rsidRPr="00AE6BB9">
        <w:rPr>
          <w:rFonts w:eastAsia="Times New Roman"/>
          <w:iCs/>
          <w:color w:val="auto"/>
          <w:sz w:val="17"/>
          <w:szCs w:val="17"/>
        </w:rPr>
        <w:t>AIP</w:t>
      </w:r>
      <w:r w:rsidR="00F01767" w:rsidRPr="00AE6BB9">
        <w:rPr>
          <w:rFonts w:eastAsia="Times New Roman"/>
          <w:iCs/>
          <w:color w:val="auto"/>
          <w:sz w:val="17"/>
          <w:szCs w:val="17"/>
        </w:rPr>
        <w:t xml:space="preserve"> to reflect annual, not four year timeframes.</w:t>
      </w:r>
    </w:p>
    <w:p w14:paraId="1426C7B2" w14:textId="77777777" w:rsidR="007F73A7" w:rsidRDefault="007F73A7" w:rsidP="00400B0F">
      <w:pPr>
        <w:spacing w:before="20" w:after="20" w:line="180" w:lineRule="atLeast"/>
        <w:jc w:val="both"/>
        <w:rPr>
          <w:rFonts w:eastAsia="Times New Roman"/>
          <w:b/>
          <w:sz w:val="16"/>
          <w:szCs w:val="14"/>
        </w:rPr>
      </w:pPr>
    </w:p>
    <w:p w14:paraId="2EC7BCAD" w14:textId="77777777" w:rsidR="00400B0F" w:rsidRPr="00A427C6" w:rsidRDefault="00874F0D" w:rsidP="00400B0F">
      <w:pPr>
        <w:spacing w:before="20" w:after="20" w:line="180" w:lineRule="atLeast"/>
        <w:jc w:val="both"/>
        <w:rPr>
          <w:rFonts w:eastAsia="Times New Roman"/>
          <w:b/>
          <w:sz w:val="16"/>
          <w:szCs w:val="14"/>
        </w:rPr>
      </w:pPr>
      <w:r>
        <w:rPr>
          <w:rFonts w:eastAsia="Times New Roman"/>
          <w:b/>
          <w:sz w:val="16"/>
          <w:szCs w:val="14"/>
        </w:rPr>
        <w:t>Note:</w:t>
      </w:r>
    </w:p>
    <w:p w14:paraId="3F9DF77D"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00874F0D">
        <w:rPr>
          <w:rFonts w:eastAsia="Times New Roman"/>
          <w:b/>
          <w:sz w:val="16"/>
          <w:szCs w:val="14"/>
        </w:rPr>
        <w:t xml:space="preserve"> Achieved. </w:t>
      </w:r>
      <w:r w:rsidRPr="00A427C6">
        <w:rPr>
          <w:rFonts w:eastAsia="Times New Roman"/>
          <w:b/>
          <w:sz w:val="16"/>
          <w:szCs w:val="14"/>
        </w:rPr>
        <w:t>Significant progress has been made and the per</w:t>
      </w:r>
      <w:r w:rsidR="00874F0D">
        <w:rPr>
          <w:rFonts w:eastAsia="Times New Roman"/>
          <w:b/>
          <w:sz w:val="16"/>
          <w:szCs w:val="14"/>
        </w:rPr>
        <w:t>formance benchmark was achieved.</w:t>
      </w:r>
    </w:p>
    <w:p w14:paraId="2A2C4A8E"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00874F0D">
        <w:rPr>
          <w:rFonts w:eastAsia="Times New Roman"/>
          <w:b/>
          <w:sz w:val="16"/>
          <w:szCs w:val="14"/>
        </w:rPr>
        <w:t xml:space="preserve"> Partly achieved. </w:t>
      </w:r>
      <w:r w:rsidRPr="00A427C6">
        <w:rPr>
          <w:rFonts w:eastAsia="Times New Roman"/>
          <w:b/>
          <w:sz w:val="16"/>
          <w:szCs w:val="14"/>
        </w:rPr>
        <w:t>Some progress has been made towards achieving the performance benchmark, but progress was less</w:t>
      </w:r>
      <w:r w:rsidR="00874F0D">
        <w:rPr>
          <w:rFonts w:eastAsia="Times New Roman"/>
          <w:b/>
          <w:sz w:val="16"/>
          <w:szCs w:val="14"/>
        </w:rPr>
        <w:t xml:space="preserve"> than anticipated.</w:t>
      </w:r>
    </w:p>
    <w:p w14:paraId="003502C1"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r w:rsidR="00874F0D">
        <w:rPr>
          <w:rFonts w:eastAsia="Times New Roman"/>
          <w:b/>
          <w:sz w:val="16"/>
          <w:szCs w:val="14"/>
        </w:rPr>
        <w:t>.</w:t>
      </w:r>
    </w:p>
    <w:p w14:paraId="0CB75F70" w14:textId="77777777" w:rsidR="00400B0F" w:rsidRPr="00A427C6" w:rsidRDefault="00400B0F" w:rsidP="00400B0F">
      <w:pPr>
        <w:spacing w:after="160" w:line="280" w:lineRule="exact"/>
        <w:rPr>
          <w:rFonts w:eastAsia="Times New Roman"/>
          <w:sz w:val="21"/>
        </w:rPr>
      </w:pPr>
    </w:p>
    <w:p w14:paraId="71D4FD70" w14:textId="77777777" w:rsidR="002A51CA" w:rsidRPr="00C61187" w:rsidRDefault="002A51CA" w:rsidP="002A51CA">
      <w:pPr>
        <w:spacing w:after="120" w:line="280" w:lineRule="exact"/>
        <w:rPr>
          <w:rFonts w:ascii="Franklin Gothic Book" w:eastAsia="Times New Roman" w:hAnsi="Franklin Gothic Book"/>
          <w:sz w:val="21"/>
        </w:rPr>
      </w:pPr>
    </w:p>
    <w:p w14:paraId="130BB149" w14:textId="77777777" w:rsidR="009348C3" w:rsidRDefault="009348C3" w:rsidP="009348C3">
      <w:pPr>
        <w:suppressAutoHyphens w:val="0"/>
        <w:spacing w:before="0" w:after="120" w:line="440" w:lineRule="atLeast"/>
        <w:rPr>
          <w:rFonts w:eastAsiaTheme="majorEastAsia" w:cstheme="majorBidi"/>
          <w:bCs/>
          <w:iCs/>
          <w:caps/>
          <w:spacing w:val="-10"/>
          <w:kern w:val="28"/>
          <w:sz w:val="38"/>
          <w:szCs w:val="24"/>
        </w:rPr>
        <w:sectPr w:rsidR="009348C3" w:rsidSect="009348C3">
          <w:footnotePr>
            <w:numRestart w:val="eachPage"/>
          </w:footnotePr>
          <w:pgSz w:w="16838" w:h="11906" w:orient="landscape" w:code="9"/>
          <w:pgMar w:top="1272" w:right="1814" w:bottom="851" w:left="851" w:header="709" w:footer="230" w:gutter="0"/>
          <w:cols w:space="708"/>
          <w:titlePg/>
          <w:docGrid w:linePitch="360"/>
        </w:sectPr>
      </w:pPr>
    </w:p>
    <w:p w14:paraId="429CEE99" w14:textId="77777777" w:rsidR="00400B0F" w:rsidRPr="00E41505" w:rsidRDefault="00400B0F" w:rsidP="009348C3">
      <w:pPr>
        <w:suppressAutoHyphens w:val="0"/>
        <w:spacing w:before="0" w:after="120" w:line="440" w:lineRule="atLeast"/>
        <w:rPr>
          <w:rFonts w:asciiTheme="majorHAnsi" w:eastAsiaTheme="majorEastAsia" w:hAnsiTheme="majorHAnsi" w:cstheme="majorBidi"/>
          <w:caps/>
          <w:sz w:val="38"/>
          <w:szCs w:val="26"/>
        </w:rPr>
      </w:pPr>
      <w:r w:rsidRPr="00E41505">
        <w:rPr>
          <w:rFonts w:asciiTheme="majorHAnsi" w:eastAsiaTheme="majorEastAsia" w:hAnsiTheme="majorHAnsi" w:cstheme="majorBidi"/>
          <w:caps/>
          <w:sz w:val="38"/>
          <w:szCs w:val="26"/>
        </w:rPr>
        <w:lastRenderedPageBreak/>
        <w:t>Annex C - Evaluation Planning</w:t>
      </w:r>
    </w:p>
    <w:p w14:paraId="197A3C73" w14:textId="77777777" w:rsidR="00627161" w:rsidRPr="008C2F58" w:rsidRDefault="00627161" w:rsidP="00627161">
      <w:pPr>
        <w:rPr>
          <w:b/>
          <w:sz w:val="24"/>
        </w:rPr>
      </w:pPr>
      <w:r w:rsidRPr="008C2F58">
        <w:rPr>
          <w:b/>
          <w:sz w:val="24"/>
        </w:rPr>
        <w:t xml:space="preserve">List of program prioritised evaluations </w:t>
      </w:r>
      <w:r>
        <w:rPr>
          <w:b/>
          <w:sz w:val="24"/>
        </w:rPr>
        <w:t xml:space="preserve">completed in the last </w:t>
      </w:r>
      <w:r w:rsidRPr="008C2F58">
        <w:rPr>
          <w:b/>
          <w:sz w:val="24"/>
        </w:rPr>
        <w:t xml:space="preserve">12 months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14:paraId="5B5452B1"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016DCB97" w14:textId="77777777" w:rsidR="00400B0F" w:rsidRPr="00975062" w:rsidRDefault="00975062" w:rsidP="006F27B1">
            <w:pPr>
              <w:keepLines/>
              <w:spacing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Investment number and name</w:t>
            </w:r>
          </w:p>
        </w:tc>
        <w:tc>
          <w:tcPr>
            <w:tcW w:w="4657" w:type="dxa"/>
          </w:tcPr>
          <w:p w14:paraId="6C282217"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1397" w:type="dxa"/>
          </w:tcPr>
          <w:p w14:paraId="5AB0BC13"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953" w:type="dxa"/>
          </w:tcPr>
          <w:p w14:paraId="492C03B0"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Evaluation report Uploaded into AidWorks</w:t>
            </w:r>
          </w:p>
        </w:tc>
        <w:tc>
          <w:tcPr>
            <w:tcW w:w="1671" w:type="dxa"/>
          </w:tcPr>
          <w:p w14:paraId="38964829"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Management response uploaded into AidWorks</w:t>
            </w:r>
          </w:p>
        </w:tc>
        <w:tc>
          <w:tcPr>
            <w:tcW w:w="1515" w:type="dxa"/>
          </w:tcPr>
          <w:p w14:paraId="785B22D6"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F65487" w:rsidRPr="005079E6" w14:paraId="49FFE3C2"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4CF54051" w14:textId="77777777" w:rsidR="00F65487" w:rsidRPr="004E1632" w:rsidRDefault="00F65487"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INJ159 Solomon Islands Telecommunications Support</w:t>
            </w:r>
          </w:p>
        </w:tc>
        <w:tc>
          <w:tcPr>
            <w:tcW w:w="4657" w:type="dxa"/>
          </w:tcPr>
          <w:p w14:paraId="77B15277" w14:textId="77777777" w:rsidR="00F65487" w:rsidRPr="004E1632" w:rsidRDefault="00F65487"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Independent Completion and Results Report</w:t>
            </w:r>
          </w:p>
        </w:tc>
        <w:tc>
          <w:tcPr>
            <w:tcW w:w="1397" w:type="dxa"/>
          </w:tcPr>
          <w:p w14:paraId="68B5A6C6" w14:textId="77777777" w:rsidR="00F65487" w:rsidRPr="004E1632" w:rsidRDefault="00F65487" w:rsidP="00CF593F">
            <w:pPr>
              <w:spacing w:before="40" w:after="40"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September 2015</w:t>
            </w:r>
          </w:p>
        </w:tc>
        <w:tc>
          <w:tcPr>
            <w:tcW w:w="1953" w:type="dxa"/>
          </w:tcPr>
          <w:p w14:paraId="1BCBEA66" w14:textId="77777777" w:rsidR="00F65487" w:rsidRPr="004E1632" w:rsidRDefault="00F65487" w:rsidP="00CF593F">
            <w:pPr>
              <w:spacing w:before="40" w:after="40"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February 2016</w:t>
            </w:r>
          </w:p>
        </w:tc>
        <w:tc>
          <w:tcPr>
            <w:tcW w:w="1671" w:type="dxa"/>
          </w:tcPr>
          <w:p w14:paraId="78EC172E" w14:textId="77777777" w:rsidR="00F65487" w:rsidRPr="004E1632" w:rsidRDefault="001351AD" w:rsidP="001351AD">
            <w:pPr>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c>
          <w:tcPr>
            <w:tcW w:w="1515" w:type="dxa"/>
          </w:tcPr>
          <w:p w14:paraId="14422E88" w14:textId="77777777" w:rsidR="00F65487" w:rsidRPr="004E1632" w:rsidRDefault="00E44C39" w:rsidP="00EB6338">
            <w:pPr>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N/A</w:t>
            </w:r>
          </w:p>
        </w:tc>
      </w:tr>
      <w:tr w:rsidR="00EB6338" w:rsidRPr="003E2918" w14:paraId="5D7CA9C8"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78D166D6" w14:textId="77777777" w:rsidR="00EB6338" w:rsidRPr="004E1632" w:rsidRDefault="00EB6338"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INK790 Managing Urbanisation in Solomon Islands</w:t>
            </w:r>
          </w:p>
        </w:tc>
        <w:tc>
          <w:tcPr>
            <w:tcW w:w="4657" w:type="dxa"/>
          </w:tcPr>
          <w:p w14:paraId="14630606" w14:textId="77777777" w:rsidR="00EB6338" w:rsidRPr="004E1632" w:rsidRDefault="00EB6338"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DFAT/SPC Program of Technical Assistance to Ministry of Lands, Housing and Survey Solomon Islands - Evaluation Report</w:t>
            </w:r>
          </w:p>
        </w:tc>
        <w:tc>
          <w:tcPr>
            <w:tcW w:w="1397" w:type="dxa"/>
          </w:tcPr>
          <w:p w14:paraId="35EAC569" w14:textId="77777777" w:rsidR="00EB6338" w:rsidRPr="004E1632" w:rsidRDefault="00EB6338"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September 2015</w:t>
            </w:r>
          </w:p>
        </w:tc>
        <w:tc>
          <w:tcPr>
            <w:tcW w:w="1953" w:type="dxa"/>
          </w:tcPr>
          <w:p w14:paraId="0AA40D96" w14:textId="77777777" w:rsidR="00EB6338" w:rsidRPr="004E1632" w:rsidRDefault="001351AD" w:rsidP="001C67A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c>
          <w:tcPr>
            <w:tcW w:w="1671" w:type="dxa"/>
          </w:tcPr>
          <w:p w14:paraId="52A9EF0F" w14:textId="77777777" w:rsidR="00EB6338" w:rsidRPr="004E1632" w:rsidRDefault="001351AD" w:rsidP="001C67A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c>
          <w:tcPr>
            <w:tcW w:w="1515" w:type="dxa"/>
          </w:tcPr>
          <w:p w14:paraId="5C44FBCC" w14:textId="77777777" w:rsidR="00EB6338" w:rsidRPr="004E1632" w:rsidRDefault="001351AD" w:rsidP="001C67A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r>
      <w:tr w:rsidR="00F65487" w:rsidRPr="003E2918" w14:paraId="6B999F30"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128A5459" w14:textId="77777777" w:rsidR="00F65487" w:rsidRPr="004E1632" w:rsidRDefault="00F65487"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INK561 Solomon Islands Health Sector Support (Phase 2)</w:t>
            </w:r>
          </w:p>
        </w:tc>
        <w:tc>
          <w:tcPr>
            <w:tcW w:w="4657" w:type="dxa"/>
          </w:tcPr>
          <w:p w14:paraId="5FD28304" w14:textId="77777777" w:rsidR="00F65487" w:rsidRPr="004E1632" w:rsidRDefault="00F65487"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Independent Completion Evaluation of Australia’s Contribution to the Solomon Islands Health Sector Support Program</w:t>
            </w:r>
          </w:p>
        </w:tc>
        <w:tc>
          <w:tcPr>
            <w:tcW w:w="1397" w:type="dxa"/>
          </w:tcPr>
          <w:p w14:paraId="29F9227F" w14:textId="77777777" w:rsidR="00F65487" w:rsidRPr="004E1632" w:rsidRDefault="00F65487"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November 2015</w:t>
            </w:r>
          </w:p>
        </w:tc>
        <w:tc>
          <w:tcPr>
            <w:tcW w:w="1953" w:type="dxa"/>
          </w:tcPr>
          <w:p w14:paraId="55AD2725" w14:textId="77777777" w:rsidR="00F65487" w:rsidRPr="004E1632" w:rsidRDefault="00F65487"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April 2016</w:t>
            </w:r>
          </w:p>
        </w:tc>
        <w:tc>
          <w:tcPr>
            <w:tcW w:w="1671" w:type="dxa"/>
          </w:tcPr>
          <w:p w14:paraId="6EC39B71" w14:textId="77777777" w:rsidR="00F65487" w:rsidRPr="004E1632" w:rsidRDefault="001351AD" w:rsidP="004D709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 2016</w:t>
            </w:r>
          </w:p>
        </w:tc>
        <w:tc>
          <w:tcPr>
            <w:tcW w:w="1515" w:type="dxa"/>
          </w:tcPr>
          <w:p w14:paraId="612F388F" w14:textId="77777777" w:rsidR="00F65487" w:rsidRPr="004E1632" w:rsidRDefault="001351AD" w:rsidP="004D709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 2016</w:t>
            </w:r>
          </w:p>
        </w:tc>
      </w:tr>
      <w:tr w:rsidR="002F4B23" w:rsidRPr="003E2918" w14:paraId="1715E4FB"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7F7CDB16" w14:textId="77777777" w:rsidR="002F4B23" w:rsidRPr="00BD56C0" w:rsidRDefault="002F4B23"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INK561 Solomon Islands Health Sector Support (Phase 2)</w:t>
            </w:r>
          </w:p>
        </w:tc>
        <w:tc>
          <w:tcPr>
            <w:tcW w:w="4657" w:type="dxa"/>
          </w:tcPr>
          <w:p w14:paraId="73EDD57F" w14:textId="77777777" w:rsidR="002F4B23" w:rsidRPr="004634F9" w:rsidRDefault="006401EB" w:rsidP="004634F9">
            <w:pPr>
              <w:keepLines/>
              <w:spacing w:beforeLines="40" w:before="96" w:afterLines="40" w:after="96" w:line="200" w:lineRule="atLeast"/>
              <w:rPr>
                <w:rFonts w:asciiTheme="minorHAnsi" w:eastAsia="Times New Roman" w:hAnsiTheme="minorHAnsi"/>
                <w:b w:val="0"/>
                <w:iCs/>
                <w:color w:val="auto"/>
                <w:szCs w:val="17"/>
                <w:lang w:eastAsia="en-US"/>
              </w:rPr>
            </w:pPr>
            <w:r w:rsidRPr="004634F9">
              <w:rPr>
                <w:rFonts w:asciiTheme="minorHAnsi" w:eastAsia="Times New Roman" w:hAnsiTheme="minorHAnsi"/>
                <w:b w:val="0"/>
                <w:iCs/>
                <w:color w:val="auto"/>
                <w:szCs w:val="17"/>
                <w:lang w:eastAsia="en-US"/>
              </w:rPr>
              <w:t>Joint Annual Performance Review</w:t>
            </w:r>
          </w:p>
        </w:tc>
        <w:tc>
          <w:tcPr>
            <w:tcW w:w="1397" w:type="dxa"/>
          </w:tcPr>
          <w:p w14:paraId="062468BE" w14:textId="77777777" w:rsidR="002F4B23" w:rsidRPr="004634F9" w:rsidRDefault="006401EB" w:rsidP="004634F9">
            <w:pPr>
              <w:keepLines/>
              <w:spacing w:beforeLines="40" w:before="96" w:afterLines="40" w:after="96" w:line="200" w:lineRule="atLeast"/>
              <w:rPr>
                <w:rFonts w:asciiTheme="minorHAnsi" w:eastAsia="Times New Roman" w:hAnsiTheme="minorHAnsi"/>
                <w:b w:val="0"/>
                <w:iCs/>
                <w:color w:val="auto"/>
                <w:szCs w:val="17"/>
                <w:lang w:eastAsia="en-US"/>
              </w:rPr>
            </w:pPr>
            <w:r w:rsidRPr="004634F9">
              <w:rPr>
                <w:rFonts w:asciiTheme="minorHAnsi" w:eastAsia="Times New Roman" w:hAnsiTheme="minorHAnsi"/>
                <w:b w:val="0"/>
                <w:iCs/>
                <w:color w:val="auto"/>
                <w:szCs w:val="17"/>
                <w:lang w:eastAsia="en-US"/>
              </w:rPr>
              <w:t>April 2016</w:t>
            </w:r>
          </w:p>
        </w:tc>
        <w:tc>
          <w:tcPr>
            <w:tcW w:w="1953" w:type="dxa"/>
          </w:tcPr>
          <w:p w14:paraId="3DD30163" w14:textId="77777777" w:rsidR="002F4B23" w:rsidRPr="004634F9" w:rsidRDefault="001351AD" w:rsidP="004634F9">
            <w:pPr>
              <w:keepLines/>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 2016</w:t>
            </w:r>
          </w:p>
        </w:tc>
        <w:tc>
          <w:tcPr>
            <w:tcW w:w="1671" w:type="dxa"/>
          </w:tcPr>
          <w:p w14:paraId="62E90DED" w14:textId="77777777" w:rsidR="002F4B23" w:rsidRPr="003A57B0" w:rsidRDefault="00615A5B" w:rsidP="00E44C39">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 xml:space="preserve">N/A – basis for </w:t>
            </w:r>
            <w:r w:rsidR="00E44C39">
              <w:rPr>
                <w:rFonts w:asciiTheme="minorHAnsi" w:eastAsia="Times New Roman" w:hAnsiTheme="minorHAnsi"/>
                <w:b w:val="0"/>
                <w:iCs/>
                <w:color w:val="auto"/>
                <w:szCs w:val="17"/>
                <w:lang w:eastAsia="en-US"/>
              </w:rPr>
              <w:t xml:space="preserve">performance linked aid </w:t>
            </w:r>
            <w:r>
              <w:rPr>
                <w:rFonts w:asciiTheme="minorHAnsi" w:eastAsia="Times New Roman" w:hAnsiTheme="minorHAnsi"/>
                <w:b w:val="0"/>
                <w:iCs/>
                <w:color w:val="auto"/>
                <w:szCs w:val="17"/>
                <w:lang w:eastAsia="en-US"/>
              </w:rPr>
              <w:t>payment</w:t>
            </w:r>
          </w:p>
        </w:tc>
        <w:tc>
          <w:tcPr>
            <w:tcW w:w="1515" w:type="dxa"/>
          </w:tcPr>
          <w:p w14:paraId="21C82A92" w14:textId="77777777" w:rsidR="002F4B23" w:rsidRPr="003A57B0" w:rsidRDefault="00615A5B" w:rsidP="00CF593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SIG document</w:t>
            </w:r>
          </w:p>
        </w:tc>
      </w:tr>
      <w:tr w:rsidR="00613BD3" w:rsidRPr="003E2918" w14:paraId="78BEE064"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3DFE1EAA" w14:textId="77777777" w:rsidR="00613BD3" w:rsidRPr="004E1632" w:rsidRDefault="00613BD3"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INK791 Skills Sub-sector (Education)</w:t>
            </w:r>
          </w:p>
        </w:tc>
        <w:tc>
          <w:tcPr>
            <w:tcW w:w="4657" w:type="dxa"/>
          </w:tcPr>
          <w:p w14:paraId="58EB4369" w14:textId="77777777" w:rsidR="00613BD3" w:rsidRPr="004E1632" w:rsidRDefault="00613BD3"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 xml:space="preserve">Evaluation of the </w:t>
            </w:r>
            <w:proofErr w:type="spellStart"/>
            <w:r w:rsidRPr="004E1632">
              <w:rPr>
                <w:rFonts w:asciiTheme="minorHAnsi" w:eastAsia="Times New Roman" w:hAnsiTheme="minorHAnsi"/>
                <w:b w:val="0"/>
                <w:iCs/>
                <w:color w:val="auto"/>
                <w:szCs w:val="17"/>
                <w:lang w:eastAsia="en-US"/>
              </w:rPr>
              <w:t>Youth@Work</w:t>
            </w:r>
            <w:proofErr w:type="spellEnd"/>
            <w:r w:rsidRPr="004E1632">
              <w:rPr>
                <w:rFonts w:asciiTheme="minorHAnsi" w:eastAsia="Times New Roman" w:hAnsiTheme="minorHAnsi"/>
                <w:b w:val="0"/>
                <w:iCs/>
                <w:color w:val="auto"/>
                <w:szCs w:val="17"/>
                <w:lang w:eastAsia="en-US"/>
              </w:rPr>
              <w:t xml:space="preserve"> Program Solomon Islands 2012 - 2015</w:t>
            </w:r>
          </w:p>
        </w:tc>
        <w:tc>
          <w:tcPr>
            <w:tcW w:w="1397" w:type="dxa"/>
          </w:tcPr>
          <w:p w14:paraId="54860350" w14:textId="77777777" w:rsidR="00613BD3" w:rsidRPr="004E1632" w:rsidRDefault="00613BD3"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January 2016</w:t>
            </w:r>
          </w:p>
        </w:tc>
        <w:tc>
          <w:tcPr>
            <w:tcW w:w="1953" w:type="dxa"/>
          </w:tcPr>
          <w:p w14:paraId="3439EAAE" w14:textId="77777777" w:rsidR="00613BD3" w:rsidRPr="004E1632" w:rsidRDefault="001351AD" w:rsidP="00613BD3">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613BD3" w:rsidRPr="004E1632">
              <w:rPr>
                <w:rFonts w:asciiTheme="minorHAnsi" w:eastAsia="Times New Roman" w:hAnsiTheme="minorHAnsi"/>
                <w:b w:val="0"/>
                <w:iCs/>
                <w:color w:val="auto"/>
                <w:szCs w:val="17"/>
                <w:lang w:eastAsia="en-US"/>
              </w:rPr>
              <w:t>2016</w:t>
            </w:r>
          </w:p>
        </w:tc>
        <w:tc>
          <w:tcPr>
            <w:tcW w:w="1671" w:type="dxa"/>
          </w:tcPr>
          <w:p w14:paraId="2CECEE27" w14:textId="77777777" w:rsidR="00613BD3" w:rsidRPr="004E1632" w:rsidRDefault="001351AD" w:rsidP="00EF53E8">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613BD3" w:rsidRPr="004E1632">
              <w:rPr>
                <w:rFonts w:asciiTheme="minorHAnsi" w:eastAsia="Times New Roman" w:hAnsiTheme="minorHAnsi"/>
                <w:b w:val="0"/>
                <w:iCs/>
                <w:color w:val="auto"/>
                <w:szCs w:val="17"/>
                <w:lang w:eastAsia="en-US"/>
              </w:rPr>
              <w:t>2016</w:t>
            </w:r>
          </w:p>
        </w:tc>
        <w:tc>
          <w:tcPr>
            <w:tcW w:w="1515" w:type="dxa"/>
          </w:tcPr>
          <w:p w14:paraId="187918F3" w14:textId="77777777" w:rsidR="00613BD3" w:rsidRPr="004E1632" w:rsidRDefault="001351AD" w:rsidP="00CF593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613BD3" w:rsidRPr="004E1632">
              <w:rPr>
                <w:rFonts w:asciiTheme="minorHAnsi" w:eastAsia="Times New Roman" w:hAnsiTheme="minorHAnsi"/>
                <w:b w:val="0"/>
                <w:iCs/>
                <w:color w:val="auto"/>
                <w:szCs w:val="17"/>
                <w:lang w:eastAsia="en-US"/>
              </w:rPr>
              <w:t>2016</w:t>
            </w:r>
          </w:p>
        </w:tc>
      </w:tr>
      <w:tr w:rsidR="00EB6338" w:rsidRPr="003E2918" w14:paraId="1858D0BA"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4DB34C6C" w14:textId="77777777" w:rsidR="00EB6338" w:rsidRPr="004E1632" w:rsidRDefault="00EB6338"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 xml:space="preserve">INI854 </w:t>
            </w:r>
            <w:proofErr w:type="spellStart"/>
            <w:r w:rsidRPr="004E1632">
              <w:rPr>
                <w:rFonts w:asciiTheme="minorHAnsi" w:eastAsia="Times New Roman" w:hAnsiTheme="minorHAnsi"/>
                <w:b w:val="0"/>
                <w:iCs/>
                <w:color w:val="auto"/>
                <w:szCs w:val="17"/>
                <w:lang w:eastAsia="en-US"/>
              </w:rPr>
              <w:t>Strongim</w:t>
            </w:r>
            <w:proofErr w:type="spellEnd"/>
            <w:r w:rsidRPr="004E1632">
              <w:rPr>
                <w:rFonts w:asciiTheme="minorHAnsi" w:eastAsia="Times New Roman" w:hAnsiTheme="minorHAnsi"/>
                <w:b w:val="0"/>
                <w:iCs/>
                <w:color w:val="auto"/>
                <w:szCs w:val="17"/>
                <w:lang w:eastAsia="en-US"/>
              </w:rPr>
              <w:t xml:space="preserve"> </w:t>
            </w:r>
            <w:proofErr w:type="spellStart"/>
            <w:r w:rsidRPr="004E1632">
              <w:rPr>
                <w:rFonts w:asciiTheme="minorHAnsi" w:eastAsia="Times New Roman" w:hAnsiTheme="minorHAnsi"/>
                <w:b w:val="0"/>
                <w:iCs/>
                <w:color w:val="auto"/>
                <w:szCs w:val="17"/>
                <w:lang w:eastAsia="en-US"/>
              </w:rPr>
              <w:t>Yumi</w:t>
            </w:r>
            <w:proofErr w:type="spellEnd"/>
            <w:r w:rsidRPr="004E1632">
              <w:rPr>
                <w:rFonts w:asciiTheme="minorHAnsi" w:eastAsia="Times New Roman" w:hAnsiTheme="minorHAnsi"/>
                <w:b w:val="0"/>
                <w:iCs/>
                <w:color w:val="auto"/>
                <w:szCs w:val="17"/>
                <w:lang w:eastAsia="en-US"/>
              </w:rPr>
              <w:t xml:space="preserve"> </w:t>
            </w:r>
            <w:proofErr w:type="spellStart"/>
            <w:r w:rsidRPr="004E1632">
              <w:rPr>
                <w:rFonts w:asciiTheme="minorHAnsi" w:eastAsia="Times New Roman" w:hAnsiTheme="minorHAnsi"/>
                <w:b w:val="0"/>
                <w:iCs/>
                <w:color w:val="auto"/>
                <w:szCs w:val="17"/>
                <w:lang w:eastAsia="en-US"/>
              </w:rPr>
              <w:t>Togeta</w:t>
            </w:r>
            <w:proofErr w:type="spellEnd"/>
          </w:p>
        </w:tc>
        <w:tc>
          <w:tcPr>
            <w:tcW w:w="4657" w:type="dxa"/>
          </w:tcPr>
          <w:p w14:paraId="72879AE1" w14:textId="77777777" w:rsidR="00EB6338" w:rsidRPr="004E1632" w:rsidRDefault="00EB6338"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SINPA Final Evaluation Report (February 2016) Solomon Islands NGO Partnership Agreement</w:t>
            </w:r>
          </w:p>
        </w:tc>
        <w:tc>
          <w:tcPr>
            <w:tcW w:w="1397" w:type="dxa"/>
          </w:tcPr>
          <w:p w14:paraId="574DAD29" w14:textId="77777777" w:rsidR="00EB6338" w:rsidRPr="004E1632" w:rsidRDefault="00EB6338"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February 2016</w:t>
            </w:r>
          </w:p>
        </w:tc>
        <w:tc>
          <w:tcPr>
            <w:tcW w:w="1953" w:type="dxa"/>
          </w:tcPr>
          <w:p w14:paraId="59F8EECF" w14:textId="77777777" w:rsidR="00EB6338" w:rsidRPr="004E1632" w:rsidRDefault="00EB6338"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April 2016</w:t>
            </w:r>
          </w:p>
        </w:tc>
        <w:tc>
          <w:tcPr>
            <w:tcW w:w="1671" w:type="dxa"/>
          </w:tcPr>
          <w:p w14:paraId="3DEE7123" w14:textId="77777777" w:rsidR="00EB6338" w:rsidRPr="004E1632" w:rsidRDefault="00B84F29" w:rsidP="001C67A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c>
          <w:tcPr>
            <w:tcW w:w="1515" w:type="dxa"/>
          </w:tcPr>
          <w:p w14:paraId="7F7721CE" w14:textId="77777777" w:rsidR="00EB6338" w:rsidRPr="004E1632" w:rsidRDefault="00B84F29" w:rsidP="001C67A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r>
      <w:tr w:rsidR="00EB6338" w:rsidRPr="003E2918" w14:paraId="0E440B52"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224C30D6" w14:textId="77777777" w:rsidR="00EB6338" w:rsidRPr="004E1632" w:rsidRDefault="00EB6338"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INL129 Education Sector Program 2</w:t>
            </w:r>
          </w:p>
        </w:tc>
        <w:tc>
          <w:tcPr>
            <w:tcW w:w="4657" w:type="dxa"/>
          </w:tcPr>
          <w:p w14:paraId="5FFA3D3C" w14:textId="77777777" w:rsidR="00EB6338" w:rsidRPr="004E1632" w:rsidRDefault="00BD56C0" w:rsidP="00613BD3">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Annual Joint Review</w:t>
            </w:r>
          </w:p>
          <w:p w14:paraId="1E0C092E" w14:textId="77777777" w:rsidR="00EB6338" w:rsidRPr="004E1632" w:rsidRDefault="00EB6338" w:rsidP="00613BD3">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Partner Government document (MERHD)</w:t>
            </w:r>
          </w:p>
        </w:tc>
        <w:tc>
          <w:tcPr>
            <w:tcW w:w="1397" w:type="dxa"/>
          </w:tcPr>
          <w:p w14:paraId="4EC8F025" w14:textId="77777777" w:rsidR="00EB6338" w:rsidRPr="004E1632" w:rsidRDefault="00EB6338"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June 2016</w:t>
            </w:r>
          </w:p>
        </w:tc>
        <w:tc>
          <w:tcPr>
            <w:tcW w:w="1953" w:type="dxa"/>
          </w:tcPr>
          <w:p w14:paraId="0DB18B65" w14:textId="77777777" w:rsidR="00EB6338" w:rsidRPr="004E1632" w:rsidRDefault="001351AD" w:rsidP="004D709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 2016</w:t>
            </w:r>
          </w:p>
        </w:tc>
        <w:tc>
          <w:tcPr>
            <w:tcW w:w="1671" w:type="dxa"/>
          </w:tcPr>
          <w:p w14:paraId="6F3D4DE6" w14:textId="77777777" w:rsidR="00EB6338" w:rsidRPr="004E1632" w:rsidRDefault="00615A5B" w:rsidP="004D709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 xml:space="preserve">N/A – basis for </w:t>
            </w:r>
            <w:r w:rsidR="00E44C39">
              <w:rPr>
                <w:rFonts w:asciiTheme="minorHAnsi" w:eastAsia="Times New Roman" w:hAnsiTheme="minorHAnsi"/>
                <w:b w:val="0"/>
                <w:iCs/>
                <w:color w:val="auto"/>
                <w:szCs w:val="17"/>
                <w:lang w:eastAsia="en-US"/>
              </w:rPr>
              <w:t>performance linked aid</w:t>
            </w:r>
            <w:r>
              <w:rPr>
                <w:rFonts w:asciiTheme="minorHAnsi" w:eastAsia="Times New Roman" w:hAnsiTheme="minorHAnsi"/>
                <w:b w:val="0"/>
                <w:iCs/>
                <w:color w:val="auto"/>
                <w:szCs w:val="17"/>
                <w:lang w:eastAsia="en-US"/>
              </w:rPr>
              <w:t xml:space="preserve"> payment</w:t>
            </w:r>
          </w:p>
        </w:tc>
        <w:tc>
          <w:tcPr>
            <w:tcW w:w="1515" w:type="dxa"/>
          </w:tcPr>
          <w:p w14:paraId="1DE250D7" w14:textId="77777777" w:rsidR="00EB6338" w:rsidRPr="004E1632" w:rsidRDefault="00615A5B" w:rsidP="004D709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SIG document</w:t>
            </w:r>
          </w:p>
        </w:tc>
      </w:tr>
      <w:tr w:rsidR="00EB6338" w:rsidRPr="005079E6" w14:paraId="3A82A57B" w14:textId="77777777" w:rsidTr="00CF593F">
        <w:trPr>
          <w:cnfStyle w:val="100000000000" w:firstRow="1" w:lastRow="0" w:firstColumn="0" w:lastColumn="0" w:oddVBand="0" w:evenVBand="0" w:oddHBand="0" w:evenHBand="0" w:firstRowFirstColumn="0" w:firstRowLastColumn="0" w:lastRowFirstColumn="0" w:lastRowLastColumn="0"/>
        </w:trPr>
        <w:tc>
          <w:tcPr>
            <w:tcW w:w="3064" w:type="dxa"/>
          </w:tcPr>
          <w:p w14:paraId="6372F9A4" w14:textId="77777777" w:rsidR="00EB6338" w:rsidRPr="004E1632" w:rsidRDefault="00EB6338" w:rsidP="00CF593F">
            <w:pPr>
              <w:keepLines/>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INK143 Solomon Islands Urban Water Supply</w:t>
            </w:r>
          </w:p>
        </w:tc>
        <w:tc>
          <w:tcPr>
            <w:tcW w:w="4657" w:type="dxa"/>
          </w:tcPr>
          <w:p w14:paraId="4CDFF2E7" w14:textId="77777777" w:rsidR="00EB6338" w:rsidRPr="004E1632" w:rsidRDefault="00EB6338"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Independent Evaluation of Phase 2 of the Australian Aid Program's Urban Water Program in Solomon Islands</w:t>
            </w:r>
          </w:p>
        </w:tc>
        <w:tc>
          <w:tcPr>
            <w:tcW w:w="1397" w:type="dxa"/>
          </w:tcPr>
          <w:p w14:paraId="46765817" w14:textId="77777777" w:rsidR="00EB6338" w:rsidRPr="004E1632" w:rsidRDefault="00EB6338" w:rsidP="00CF593F">
            <w:pPr>
              <w:spacing w:beforeLines="40" w:before="96" w:afterLines="40" w:after="96" w:line="200" w:lineRule="atLeast"/>
              <w:rPr>
                <w:rFonts w:asciiTheme="minorHAnsi" w:eastAsia="Times New Roman" w:hAnsiTheme="minorHAnsi"/>
                <w:b w:val="0"/>
                <w:iCs/>
                <w:color w:val="auto"/>
                <w:szCs w:val="17"/>
                <w:lang w:eastAsia="en-US"/>
              </w:rPr>
            </w:pPr>
            <w:r w:rsidRPr="004E1632">
              <w:rPr>
                <w:rFonts w:asciiTheme="minorHAnsi" w:eastAsia="Times New Roman" w:hAnsiTheme="minorHAnsi"/>
                <w:b w:val="0"/>
                <w:iCs/>
                <w:color w:val="auto"/>
                <w:szCs w:val="17"/>
                <w:lang w:eastAsia="en-US"/>
              </w:rPr>
              <w:t>June 2016</w:t>
            </w:r>
          </w:p>
        </w:tc>
        <w:tc>
          <w:tcPr>
            <w:tcW w:w="1953" w:type="dxa"/>
          </w:tcPr>
          <w:p w14:paraId="451E51D5" w14:textId="77777777" w:rsidR="00EB6338" w:rsidRPr="004E1632" w:rsidRDefault="001351AD" w:rsidP="00CF593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August</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c>
          <w:tcPr>
            <w:tcW w:w="1671" w:type="dxa"/>
          </w:tcPr>
          <w:p w14:paraId="37362C4D" w14:textId="77777777" w:rsidR="00EB6338" w:rsidRPr="004E1632" w:rsidRDefault="00E44C39" w:rsidP="001C67A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September</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c>
          <w:tcPr>
            <w:tcW w:w="1515" w:type="dxa"/>
          </w:tcPr>
          <w:p w14:paraId="344E4A3C" w14:textId="77777777" w:rsidR="00EB6338" w:rsidRPr="004E1632" w:rsidRDefault="00E44C39" w:rsidP="001C67AF">
            <w:pPr>
              <w:spacing w:beforeLines="40" w:before="96" w:afterLines="40" w:after="96"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September</w:t>
            </w:r>
            <w:r w:rsidRPr="004E1632">
              <w:rPr>
                <w:rFonts w:asciiTheme="minorHAnsi" w:eastAsia="Times New Roman" w:hAnsiTheme="minorHAnsi"/>
                <w:b w:val="0"/>
                <w:iCs/>
                <w:color w:val="auto"/>
                <w:szCs w:val="17"/>
                <w:lang w:eastAsia="en-US"/>
              </w:rPr>
              <w:t xml:space="preserve"> </w:t>
            </w:r>
            <w:r w:rsidR="00EB6338" w:rsidRPr="004E1632">
              <w:rPr>
                <w:rFonts w:asciiTheme="minorHAnsi" w:eastAsia="Times New Roman" w:hAnsiTheme="minorHAnsi"/>
                <w:b w:val="0"/>
                <w:iCs/>
                <w:color w:val="auto"/>
                <w:szCs w:val="17"/>
                <w:lang w:eastAsia="en-US"/>
              </w:rPr>
              <w:t>2016</w:t>
            </w:r>
          </w:p>
        </w:tc>
      </w:tr>
    </w:tbl>
    <w:p w14:paraId="411336AD" w14:textId="77777777" w:rsidR="001342B2" w:rsidRPr="00926ADC" w:rsidRDefault="001342B2">
      <w:pPr>
        <w:suppressAutoHyphens w:val="0"/>
        <w:spacing w:before="0" w:after="120" w:line="440" w:lineRule="atLeast"/>
        <w:rPr>
          <w:rFonts w:ascii="Franklin Gothic Book" w:hAnsi="Franklin Gothic Book"/>
          <w:sz w:val="18"/>
          <w:szCs w:val="18"/>
        </w:rPr>
      </w:pPr>
      <w:r w:rsidRPr="00926ADC">
        <w:rPr>
          <w:rFonts w:ascii="Franklin Gothic Book" w:hAnsi="Franklin Gothic Book"/>
          <w:sz w:val="18"/>
          <w:szCs w:val="18"/>
        </w:rPr>
        <w:br w:type="page"/>
      </w:r>
    </w:p>
    <w:p w14:paraId="19256045" w14:textId="77777777" w:rsidR="00400B0F" w:rsidRPr="008C2F58" w:rsidRDefault="00400B0F" w:rsidP="008C2F58">
      <w:pPr>
        <w:rPr>
          <w:b/>
          <w:sz w:val="24"/>
        </w:rPr>
      </w:pPr>
      <w:r w:rsidRPr="008C2F58">
        <w:rPr>
          <w:b/>
          <w:sz w:val="24"/>
        </w:rPr>
        <w:lastRenderedPageBreak/>
        <w:t xml:space="preserve">List of program prioritised evaluations planned for the next 12 months </w:t>
      </w:r>
    </w:p>
    <w:tbl>
      <w:tblPr>
        <w:tblStyle w:val="APPR"/>
        <w:tblW w:w="0" w:type="auto"/>
        <w:tblLook w:val="0600" w:firstRow="0" w:lastRow="0" w:firstColumn="0" w:lastColumn="0" w:noHBand="1" w:noVBand="1"/>
      </w:tblPr>
      <w:tblGrid>
        <w:gridCol w:w="2514"/>
        <w:gridCol w:w="2409"/>
        <w:gridCol w:w="2487"/>
        <w:gridCol w:w="2255"/>
        <w:gridCol w:w="2376"/>
        <w:gridCol w:w="2404"/>
      </w:tblGrid>
      <w:tr w:rsidR="00251C1A" w:rsidRPr="00C61187" w14:paraId="2F76E562" w14:textId="77777777" w:rsidTr="006F27B1">
        <w:tc>
          <w:tcPr>
            <w:tcW w:w="2472" w:type="dxa"/>
          </w:tcPr>
          <w:p w14:paraId="49EAED3D" w14:textId="77777777" w:rsidR="00251C1A" w:rsidRPr="00A427C6" w:rsidRDefault="00251C1A"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b/>
                <w:iCs/>
                <w:szCs w:val="17"/>
                <w:lang w:eastAsia="en-US"/>
              </w:rPr>
              <w:t>Evaluation title</w:t>
            </w:r>
          </w:p>
        </w:tc>
        <w:tc>
          <w:tcPr>
            <w:tcW w:w="2381" w:type="dxa"/>
          </w:tcPr>
          <w:p w14:paraId="549C2383" w14:textId="77777777" w:rsidR="00251C1A" w:rsidRPr="00A427C6" w:rsidRDefault="00251C1A"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b/>
                <w:iCs/>
                <w:szCs w:val="17"/>
                <w:lang w:eastAsia="en-US"/>
              </w:rPr>
              <w:t xml:space="preserve">Investment number and name (if applicable) </w:t>
            </w:r>
          </w:p>
        </w:tc>
        <w:tc>
          <w:tcPr>
            <w:tcW w:w="2459" w:type="dxa"/>
          </w:tcPr>
          <w:p w14:paraId="050B3714" w14:textId="77777777" w:rsidR="00251C1A" w:rsidRPr="00A427C6" w:rsidRDefault="00251C1A"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b/>
                <w:iCs/>
                <w:szCs w:val="17"/>
                <w:lang w:eastAsia="en-US"/>
              </w:rPr>
              <w:t>Date – planned commencement (month/year)</w:t>
            </w:r>
          </w:p>
        </w:tc>
        <w:tc>
          <w:tcPr>
            <w:tcW w:w="2227" w:type="dxa"/>
          </w:tcPr>
          <w:p w14:paraId="1A4CAF9E" w14:textId="77777777" w:rsidR="00251C1A" w:rsidRPr="00A427C6" w:rsidRDefault="00251C1A"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b/>
                <w:iCs/>
                <w:szCs w:val="17"/>
                <w:lang w:eastAsia="en-US"/>
              </w:rPr>
              <w:t>Date – planned completion (month/year)</w:t>
            </w:r>
          </w:p>
        </w:tc>
        <w:tc>
          <w:tcPr>
            <w:tcW w:w="2348" w:type="dxa"/>
          </w:tcPr>
          <w:p w14:paraId="0AFA0077" w14:textId="77777777" w:rsidR="00251C1A" w:rsidRPr="00A427C6" w:rsidRDefault="00251C1A" w:rsidP="006F27B1">
            <w:pPr>
              <w:keepLines/>
              <w:spacing w:before="40" w:after="40" w:line="200" w:lineRule="atLeast"/>
              <w:rPr>
                <w:rFonts w:asciiTheme="minorHAnsi" w:eastAsia="Times New Roman" w:hAnsiTheme="minorHAnsi"/>
                <w:iCs/>
                <w:color w:val="000000" w:themeColor="text1" w:themeShade="BF"/>
                <w:szCs w:val="17"/>
                <w:lang w:eastAsia="en-US"/>
              </w:rPr>
            </w:pPr>
            <w:r w:rsidRPr="00A427C6">
              <w:rPr>
                <w:rFonts w:asciiTheme="minorHAnsi" w:eastAsia="Times New Roman" w:hAnsiTheme="minorHAnsi"/>
                <w:b/>
                <w:iCs/>
                <w:szCs w:val="17"/>
                <w:lang w:eastAsia="en-US"/>
              </w:rPr>
              <w:t>Purpose of evaluation</w:t>
            </w:r>
          </w:p>
        </w:tc>
        <w:tc>
          <w:tcPr>
            <w:tcW w:w="2362" w:type="dxa"/>
          </w:tcPr>
          <w:p w14:paraId="33F09452" w14:textId="77777777" w:rsidR="00251C1A" w:rsidRPr="00A427C6" w:rsidRDefault="00251C1A"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b/>
                <w:iCs/>
                <w:szCs w:val="17"/>
                <w:lang w:eastAsia="en-US"/>
              </w:rPr>
              <w:t>Evaluation type</w:t>
            </w:r>
          </w:p>
        </w:tc>
      </w:tr>
      <w:tr w:rsidR="00251C1A" w:rsidRPr="00C61187" w14:paraId="47C2C07E" w14:textId="77777777" w:rsidTr="006F27B1">
        <w:tc>
          <w:tcPr>
            <w:tcW w:w="2472" w:type="dxa"/>
          </w:tcPr>
          <w:p w14:paraId="7F4AA109" w14:textId="77777777" w:rsidR="00251C1A" w:rsidRPr="00C61187" w:rsidRDefault="00251C1A" w:rsidP="006F27B1">
            <w:pPr>
              <w:keepLines/>
              <w:spacing w:before="40" w:after="40" w:line="200" w:lineRule="atLeast"/>
              <w:rPr>
                <w:rFonts w:eastAsia="Times New Roman"/>
                <w:iCs/>
                <w:szCs w:val="17"/>
                <w:lang w:eastAsia="en-US"/>
              </w:rPr>
            </w:pPr>
            <w:r w:rsidRPr="003E2918">
              <w:rPr>
                <w:rFonts w:asciiTheme="minorHAnsi" w:eastAsia="Times New Roman" w:hAnsiTheme="minorHAnsi"/>
                <w:iCs/>
                <w:szCs w:val="17"/>
                <w:lang w:eastAsia="en-US"/>
              </w:rPr>
              <w:t xml:space="preserve">Annual Joint </w:t>
            </w:r>
            <w:r w:rsidR="001351AD">
              <w:rPr>
                <w:rFonts w:asciiTheme="minorHAnsi" w:eastAsia="Times New Roman" w:hAnsiTheme="minorHAnsi"/>
                <w:iCs/>
                <w:szCs w:val="17"/>
                <w:lang w:eastAsia="en-US"/>
              </w:rPr>
              <w:t xml:space="preserve">Performance </w:t>
            </w:r>
            <w:r w:rsidRPr="003E2918">
              <w:rPr>
                <w:rFonts w:asciiTheme="minorHAnsi" w:eastAsia="Times New Roman" w:hAnsiTheme="minorHAnsi"/>
                <w:iCs/>
                <w:szCs w:val="17"/>
                <w:lang w:eastAsia="en-US"/>
              </w:rPr>
              <w:t>Review</w:t>
            </w:r>
          </w:p>
        </w:tc>
        <w:tc>
          <w:tcPr>
            <w:tcW w:w="2381" w:type="dxa"/>
          </w:tcPr>
          <w:p w14:paraId="6D10DE90" w14:textId="77777777" w:rsidR="00251C1A" w:rsidRPr="00C61187" w:rsidRDefault="00251C1A" w:rsidP="006F27B1">
            <w:pPr>
              <w:keepLines/>
              <w:spacing w:before="40" w:after="40" w:line="200" w:lineRule="atLeast"/>
              <w:rPr>
                <w:rFonts w:eastAsia="Times New Roman"/>
                <w:iCs/>
                <w:szCs w:val="17"/>
                <w:lang w:eastAsia="en-US"/>
              </w:rPr>
            </w:pPr>
            <w:r w:rsidRPr="003E2918">
              <w:rPr>
                <w:rFonts w:asciiTheme="minorHAnsi" w:eastAsia="Times New Roman" w:hAnsiTheme="minorHAnsi"/>
                <w:iCs/>
                <w:szCs w:val="17"/>
                <w:lang w:eastAsia="en-US"/>
              </w:rPr>
              <w:t>INL129 Education Sector Program 2</w:t>
            </w:r>
          </w:p>
        </w:tc>
        <w:tc>
          <w:tcPr>
            <w:tcW w:w="2459" w:type="dxa"/>
          </w:tcPr>
          <w:p w14:paraId="3B3723BD" w14:textId="77777777" w:rsidR="00251C1A" w:rsidRPr="00C61187" w:rsidRDefault="00251C1A" w:rsidP="006F27B1">
            <w:pPr>
              <w:keepLines/>
              <w:spacing w:before="40" w:after="40" w:line="200" w:lineRule="atLeast"/>
              <w:rPr>
                <w:rFonts w:eastAsia="Times New Roman"/>
                <w:iCs/>
                <w:szCs w:val="17"/>
                <w:lang w:eastAsia="en-US"/>
              </w:rPr>
            </w:pPr>
            <w:r>
              <w:rPr>
                <w:rFonts w:asciiTheme="minorHAnsi" w:eastAsia="Times New Roman" w:hAnsiTheme="minorHAnsi"/>
                <w:iCs/>
                <w:szCs w:val="17"/>
                <w:lang w:eastAsia="en-US"/>
              </w:rPr>
              <w:t>May 20</w:t>
            </w:r>
            <w:r w:rsidRPr="003E2918">
              <w:rPr>
                <w:rFonts w:asciiTheme="minorHAnsi" w:eastAsia="Times New Roman" w:hAnsiTheme="minorHAnsi"/>
                <w:iCs/>
                <w:szCs w:val="17"/>
                <w:lang w:eastAsia="en-US"/>
              </w:rPr>
              <w:t>17</w:t>
            </w:r>
          </w:p>
        </w:tc>
        <w:tc>
          <w:tcPr>
            <w:tcW w:w="2227" w:type="dxa"/>
          </w:tcPr>
          <w:p w14:paraId="4D62D304" w14:textId="77777777" w:rsidR="00251C1A" w:rsidRPr="00C61187" w:rsidRDefault="00251C1A" w:rsidP="006F27B1">
            <w:pPr>
              <w:keepLines/>
              <w:spacing w:before="40" w:after="40" w:line="200" w:lineRule="atLeast"/>
              <w:rPr>
                <w:rFonts w:eastAsia="Times New Roman"/>
                <w:iCs/>
                <w:szCs w:val="17"/>
                <w:lang w:eastAsia="en-US"/>
              </w:rPr>
            </w:pPr>
            <w:r>
              <w:rPr>
                <w:rFonts w:asciiTheme="minorHAnsi" w:eastAsia="Times New Roman" w:hAnsiTheme="minorHAnsi"/>
                <w:iCs/>
                <w:szCs w:val="17"/>
                <w:lang w:eastAsia="en-US"/>
              </w:rPr>
              <w:t>June 20</w:t>
            </w:r>
            <w:r w:rsidRPr="003E2918">
              <w:rPr>
                <w:rFonts w:asciiTheme="minorHAnsi" w:eastAsia="Times New Roman" w:hAnsiTheme="minorHAnsi"/>
                <w:iCs/>
                <w:szCs w:val="17"/>
                <w:lang w:eastAsia="en-US"/>
              </w:rPr>
              <w:t>17</w:t>
            </w:r>
          </w:p>
        </w:tc>
        <w:tc>
          <w:tcPr>
            <w:tcW w:w="2348" w:type="dxa"/>
          </w:tcPr>
          <w:p w14:paraId="6346139F" w14:textId="77777777" w:rsidR="00251C1A" w:rsidRPr="00C61187" w:rsidRDefault="00251C1A" w:rsidP="006F27B1">
            <w:pPr>
              <w:keepLines/>
              <w:spacing w:before="40" w:after="40" w:line="200" w:lineRule="atLeast"/>
              <w:rPr>
                <w:rFonts w:eastAsia="Times New Roman"/>
                <w:iCs/>
                <w:szCs w:val="17"/>
                <w:lang w:eastAsia="en-US"/>
              </w:rPr>
            </w:pPr>
            <w:r w:rsidRPr="003E2918">
              <w:rPr>
                <w:rFonts w:asciiTheme="minorHAnsi" w:eastAsia="Times New Roman" w:hAnsiTheme="minorHAnsi"/>
                <w:iCs/>
                <w:szCs w:val="17"/>
                <w:lang w:eastAsia="en-US"/>
              </w:rPr>
              <w:t>Joint Annual Review on Co-funding (Budget Support)</w:t>
            </w:r>
            <w:r>
              <w:rPr>
                <w:rFonts w:asciiTheme="minorHAnsi" w:eastAsia="Times New Roman" w:hAnsiTheme="minorHAnsi"/>
                <w:iCs/>
                <w:szCs w:val="17"/>
                <w:lang w:eastAsia="en-US"/>
              </w:rPr>
              <w:t xml:space="preserve"> from DFAT/NZMFAT to SIG MEHRD</w:t>
            </w:r>
          </w:p>
        </w:tc>
        <w:tc>
          <w:tcPr>
            <w:tcW w:w="2362" w:type="dxa"/>
          </w:tcPr>
          <w:p w14:paraId="126BAC6E" w14:textId="77777777" w:rsidR="00251C1A" w:rsidRPr="00C61187" w:rsidRDefault="00251C1A" w:rsidP="006F27B1">
            <w:pPr>
              <w:keepLines/>
              <w:spacing w:before="40" w:after="40" w:line="200" w:lineRule="atLeast"/>
              <w:rPr>
                <w:rFonts w:eastAsia="Times New Roman"/>
                <w:iCs/>
                <w:szCs w:val="17"/>
                <w:lang w:eastAsia="en-US"/>
              </w:rPr>
            </w:pPr>
            <w:r w:rsidRPr="003E2918">
              <w:rPr>
                <w:rFonts w:asciiTheme="minorHAnsi" w:eastAsia="Times New Roman" w:hAnsiTheme="minorHAnsi"/>
                <w:iCs/>
                <w:szCs w:val="17"/>
                <w:lang w:eastAsia="en-US"/>
              </w:rPr>
              <w:t>Partn</w:t>
            </w:r>
            <w:r w:rsidR="009348C3">
              <w:rPr>
                <w:rFonts w:asciiTheme="minorHAnsi" w:eastAsia="Times New Roman" w:hAnsiTheme="minorHAnsi"/>
                <w:iCs/>
                <w:szCs w:val="17"/>
                <w:lang w:eastAsia="en-US"/>
              </w:rPr>
              <w:t>er-led joint r</w:t>
            </w:r>
            <w:r w:rsidRPr="003E2918">
              <w:rPr>
                <w:rFonts w:asciiTheme="minorHAnsi" w:eastAsia="Times New Roman" w:hAnsiTheme="minorHAnsi"/>
                <w:iCs/>
                <w:szCs w:val="17"/>
                <w:lang w:eastAsia="en-US"/>
              </w:rPr>
              <w:t>eview</w:t>
            </w:r>
          </w:p>
        </w:tc>
      </w:tr>
      <w:tr w:rsidR="002F4B23" w:rsidRPr="00C61187" w14:paraId="5C077CDB" w14:textId="77777777" w:rsidTr="006F27B1">
        <w:tc>
          <w:tcPr>
            <w:tcW w:w="2472" w:type="dxa"/>
          </w:tcPr>
          <w:p w14:paraId="155F7506" w14:textId="77777777" w:rsidR="002F4B23" w:rsidRPr="003A57B0" w:rsidRDefault="002F4B23" w:rsidP="006F27B1">
            <w:pPr>
              <w:keepLines/>
              <w:spacing w:before="40" w:after="40" w:line="200" w:lineRule="atLeast"/>
              <w:rPr>
                <w:rFonts w:asciiTheme="minorHAnsi" w:eastAsia="Times New Roman" w:hAnsiTheme="minorHAnsi"/>
                <w:iCs/>
                <w:szCs w:val="17"/>
                <w:lang w:eastAsia="en-US"/>
              </w:rPr>
            </w:pPr>
            <w:r w:rsidRPr="003A57B0">
              <w:rPr>
                <w:rFonts w:asciiTheme="minorHAnsi" w:eastAsia="Times New Roman" w:hAnsiTheme="minorHAnsi"/>
                <w:iCs/>
                <w:szCs w:val="17"/>
                <w:lang w:eastAsia="en-US"/>
              </w:rPr>
              <w:t>Joint Annual Performance Review</w:t>
            </w:r>
          </w:p>
        </w:tc>
        <w:tc>
          <w:tcPr>
            <w:tcW w:w="2381" w:type="dxa"/>
          </w:tcPr>
          <w:p w14:paraId="0A191317" w14:textId="77777777" w:rsidR="002F4B23" w:rsidRPr="003A57B0" w:rsidRDefault="002F4B23" w:rsidP="006F27B1">
            <w:pPr>
              <w:keepLines/>
              <w:spacing w:before="40" w:after="40" w:line="200" w:lineRule="atLeast"/>
              <w:rPr>
                <w:rFonts w:asciiTheme="minorHAnsi" w:eastAsia="Times New Roman" w:hAnsiTheme="minorHAnsi"/>
                <w:iCs/>
                <w:szCs w:val="17"/>
                <w:lang w:eastAsia="en-US"/>
              </w:rPr>
            </w:pPr>
            <w:r w:rsidRPr="003A57B0">
              <w:rPr>
                <w:rFonts w:asciiTheme="minorHAnsi" w:eastAsia="Times New Roman" w:hAnsiTheme="minorHAnsi"/>
                <w:iCs/>
                <w:szCs w:val="17"/>
                <w:lang w:eastAsia="en-US"/>
              </w:rPr>
              <w:t>INL121 Health Sector Support Program – Phase 3</w:t>
            </w:r>
          </w:p>
        </w:tc>
        <w:tc>
          <w:tcPr>
            <w:tcW w:w="2459" w:type="dxa"/>
          </w:tcPr>
          <w:p w14:paraId="7EFE1DC3" w14:textId="77777777" w:rsidR="002F4B23" w:rsidRPr="003A57B0" w:rsidRDefault="006401EB" w:rsidP="006F27B1">
            <w:pPr>
              <w:keepLines/>
              <w:spacing w:before="40" w:after="40" w:line="200" w:lineRule="atLeast"/>
              <w:rPr>
                <w:rFonts w:asciiTheme="minorHAnsi" w:eastAsia="Times New Roman" w:hAnsiTheme="minorHAnsi"/>
                <w:iCs/>
                <w:szCs w:val="17"/>
                <w:lang w:eastAsia="en-US"/>
              </w:rPr>
            </w:pPr>
            <w:r w:rsidRPr="003A57B0">
              <w:rPr>
                <w:rFonts w:asciiTheme="minorHAnsi" w:eastAsia="Times New Roman" w:hAnsiTheme="minorHAnsi"/>
                <w:iCs/>
                <w:szCs w:val="17"/>
                <w:lang w:eastAsia="en-US"/>
              </w:rPr>
              <w:t>April 2017</w:t>
            </w:r>
          </w:p>
        </w:tc>
        <w:tc>
          <w:tcPr>
            <w:tcW w:w="2227" w:type="dxa"/>
          </w:tcPr>
          <w:p w14:paraId="75C8BBD2" w14:textId="77777777" w:rsidR="002F4B23" w:rsidRPr="003A57B0" w:rsidRDefault="006401EB" w:rsidP="006F27B1">
            <w:pPr>
              <w:keepLines/>
              <w:spacing w:before="40" w:after="40" w:line="200" w:lineRule="atLeast"/>
              <w:rPr>
                <w:rFonts w:asciiTheme="minorHAnsi" w:eastAsia="Times New Roman" w:hAnsiTheme="minorHAnsi"/>
                <w:iCs/>
                <w:szCs w:val="17"/>
                <w:lang w:eastAsia="en-US"/>
              </w:rPr>
            </w:pPr>
            <w:r w:rsidRPr="003A57B0">
              <w:rPr>
                <w:rFonts w:asciiTheme="minorHAnsi" w:eastAsia="Times New Roman" w:hAnsiTheme="minorHAnsi"/>
                <w:iCs/>
                <w:szCs w:val="17"/>
                <w:lang w:eastAsia="en-US"/>
              </w:rPr>
              <w:t>April 2017</w:t>
            </w:r>
          </w:p>
        </w:tc>
        <w:tc>
          <w:tcPr>
            <w:tcW w:w="2348" w:type="dxa"/>
          </w:tcPr>
          <w:p w14:paraId="30DA5C67" w14:textId="77777777" w:rsidR="002F4B23" w:rsidRPr="003A57B0" w:rsidRDefault="006401EB" w:rsidP="006F27B1">
            <w:pPr>
              <w:keepLines/>
              <w:spacing w:before="40" w:after="40" w:line="200" w:lineRule="atLeast"/>
              <w:rPr>
                <w:rFonts w:asciiTheme="minorHAnsi" w:eastAsia="Times New Roman" w:hAnsiTheme="minorHAnsi"/>
                <w:iCs/>
                <w:szCs w:val="17"/>
                <w:lang w:eastAsia="en-US"/>
              </w:rPr>
            </w:pPr>
            <w:r w:rsidRPr="003A57B0">
              <w:rPr>
                <w:rFonts w:asciiTheme="minorHAnsi" w:eastAsia="Times New Roman" w:hAnsiTheme="minorHAnsi"/>
                <w:iCs/>
                <w:szCs w:val="17"/>
                <w:lang w:eastAsia="en-US"/>
              </w:rPr>
              <w:t>Joint annual assessment of progress against PLA indicators</w:t>
            </w:r>
          </w:p>
        </w:tc>
        <w:tc>
          <w:tcPr>
            <w:tcW w:w="2362" w:type="dxa"/>
          </w:tcPr>
          <w:p w14:paraId="4417B1A9" w14:textId="77777777" w:rsidR="002F4B23" w:rsidRPr="003A57B0" w:rsidRDefault="006401EB" w:rsidP="006F27B1">
            <w:pPr>
              <w:keepLines/>
              <w:spacing w:before="40" w:after="40" w:line="200" w:lineRule="atLeast"/>
              <w:rPr>
                <w:rFonts w:asciiTheme="minorHAnsi" w:eastAsia="Times New Roman" w:hAnsiTheme="minorHAnsi"/>
                <w:iCs/>
                <w:szCs w:val="17"/>
                <w:lang w:eastAsia="en-US"/>
              </w:rPr>
            </w:pPr>
            <w:r w:rsidRPr="003A57B0">
              <w:rPr>
                <w:rFonts w:asciiTheme="minorHAnsi" w:eastAsia="Times New Roman" w:hAnsiTheme="minorHAnsi"/>
                <w:iCs/>
                <w:szCs w:val="17"/>
                <w:lang w:eastAsia="en-US"/>
              </w:rPr>
              <w:t>Joint review</w:t>
            </w:r>
          </w:p>
        </w:tc>
      </w:tr>
      <w:tr w:rsidR="000A5BB3" w:rsidRPr="00C61187" w14:paraId="0EF7306C" w14:textId="77777777" w:rsidTr="006F27B1">
        <w:tc>
          <w:tcPr>
            <w:tcW w:w="2472" w:type="dxa"/>
          </w:tcPr>
          <w:p w14:paraId="264DBCF2" w14:textId="77777777" w:rsidR="000A5BB3" w:rsidRPr="000A5BB3" w:rsidRDefault="000A5BB3" w:rsidP="000A5BB3">
            <w:pPr>
              <w:keepLines/>
              <w:spacing w:before="40" w:after="40" w:line="200" w:lineRule="atLeast"/>
              <w:rPr>
                <w:rFonts w:asciiTheme="minorHAnsi" w:eastAsia="Times New Roman" w:hAnsiTheme="minorHAnsi"/>
                <w:iCs/>
                <w:szCs w:val="17"/>
                <w:lang w:eastAsia="en-US"/>
              </w:rPr>
            </w:pPr>
            <w:r w:rsidRPr="000A5BB3">
              <w:rPr>
                <w:rFonts w:asciiTheme="minorHAnsi" w:eastAsia="Times New Roman" w:hAnsiTheme="minorHAnsi"/>
                <w:iCs/>
                <w:szCs w:val="17"/>
                <w:lang w:eastAsia="en-US"/>
              </w:rPr>
              <w:t>Mid-term review</w:t>
            </w:r>
          </w:p>
        </w:tc>
        <w:tc>
          <w:tcPr>
            <w:tcW w:w="2381" w:type="dxa"/>
          </w:tcPr>
          <w:p w14:paraId="0F564C29" w14:textId="77777777" w:rsidR="000A5BB3" w:rsidRPr="000A5BB3" w:rsidRDefault="000A5BB3" w:rsidP="000A5BB3">
            <w:pPr>
              <w:keepLines/>
              <w:spacing w:before="40" w:after="40" w:line="200" w:lineRule="atLeast"/>
              <w:rPr>
                <w:rFonts w:asciiTheme="minorHAnsi" w:eastAsia="Times New Roman" w:hAnsiTheme="minorHAnsi"/>
                <w:iCs/>
                <w:szCs w:val="17"/>
                <w:lang w:eastAsia="en-US"/>
              </w:rPr>
            </w:pPr>
            <w:r w:rsidRPr="000A5BB3">
              <w:rPr>
                <w:rFonts w:asciiTheme="minorHAnsi" w:eastAsia="Times New Roman" w:hAnsiTheme="minorHAnsi"/>
                <w:iCs/>
                <w:szCs w:val="17"/>
                <w:lang w:eastAsia="en-US"/>
              </w:rPr>
              <w:t>INL129 Education Sector Program 2</w:t>
            </w:r>
          </w:p>
        </w:tc>
        <w:tc>
          <w:tcPr>
            <w:tcW w:w="2459" w:type="dxa"/>
          </w:tcPr>
          <w:p w14:paraId="7CB475DE" w14:textId="77777777" w:rsidR="000A5BB3" w:rsidRPr="000A5BB3" w:rsidRDefault="000A5BB3" w:rsidP="000A5BB3">
            <w:pPr>
              <w:keepLines/>
              <w:spacing w:before="40" w:after="40" w:line="200" w:lineRule="atLeast"/>
              <w:rPr>
                <w:rFonts w:asciiTheme="minorHAnsi" w:eastAsia="Times New Roman" w:hAnsiTheme="minorHAnsi"/>
                <w:iCs/>
                <w:szCs w:val="17"/>
                <w:lang w:eastAsia="en-US"/>
              </w:rPr>
            </w:pPr>
            <w:r w:rsidRPr="000A5BB3">
              <w:rPr>
                <w:rFonts w:asciiTheme="minorHAnsi" w:eastAsia="Times New Roman" w:hAnsiTheme="minorHAnsi"/>
                <w:iCs/>
                <w:szCs w:val="17"/>
                <w:lang w:eastAsia="en-US"/>
              </w:rPr>
              <w:t>March 2017</w:t>
            </w:r>
          </w:p>
        </w:tc>
        <w:tc>
          <w:tcPr>
            <w:tcW w:w="2227" w:type="dxa"/>
          </w:tcPr>
          <w:p w14:paraId="321AAF99" w14:textId="77777777" w:rsidR="000A5BB3" w:rsidRPr="000A5BB3" w:rsidRDefault="000A5BB3" w:rsidP="000A5BB3">
            <w:pPr>
              <w:keepLines/>
              <w:spacing w:before="40" w:after="40" w:line="200" w:lineRule="atLeast"/>
              <w:rPr>
                <w:rFonts w:asciiTheme="minorHAnsi" w:eastAsia="Times New Roman" w:hAnsiTheme="minorHAnsi"/>
                <w:iCs/>
                <w:szCs w:val="17"/>
                <w:lang w:eastAsia="en-US"/>
              </w:rPr>
            </w:pPr>
            <w:r w:rsidRPr="000A5BB3">
              <w:rPr>
                <w:rFonts w:asciiTheme="minorHAnsi" w:eastAsia="Times New Roman" w:hAnsiTheme="minorHAnsi"/>
                <w:iCs/>
                <w:szCs w:val="17"/>
                <w:lang w:eastAsia="en-US"/>
              </w:rPr>
              <w:t>June 2017</w:t>
            </w:r>
          </w:p>
        </w:tc>
        <w:tc>
          <w:tcPr>
            <w:tcW w:w="2348" w:type="dxa"/>
          </w:tcPr>
          <w:p w14:paraId="44CF546D" w14:textId="77777777" w:rsidR="000A5BB3" w:rsidRPr="000A5BB3" w:rsidRDefault="000A5BB3" w:rsidP="000A5BB3">
            <w:pPr>
              <w:keepLines/>
              <w:spacing w:before="40" w:after="40" w:line="200" w:lineRule="atLeast"/>
              <w:rPr>
                <w:rFonts w:asciiTheme="minorHAnsi" w:eastAsia="Times New Roman" w:hAnsiTheme="minorHAnsi"/>
                <w:iCs/>
                <w:szCs w:val="17"/>
                <w:lang w:eastAsia="en-US"/>
              </w:rPr>
            </w:pPr>
            <w:r w:rsidRPr="000A5BB3">
              <w:rPr>
                <w:rFonts w:asciiTheme="minorHAnsi" w:eastAsia="Times New Roman" w:hAnsiTheme="minorHAnsi"/>
                <w:iCs/>
                <w:szCs w:val="17"/>
                <w:lang w:eastAsia="en-US"/>
              </w:rPr>
              <w:t>To assess performance of support to the education sector.</w:t>
            </w:r>
          </w:p>
        </w:tc>
        <w:tc>
          <w:tcPr>
            <w:tcW w:w="2362" w:type="dxa"/>
          </w:tcPr>
          <w:p w14:paraId="60E6BD40" w14:textId="77777777" w:rsidR="000A5BB3" w:rsidRPr="000A5BB3" w:rsidRDefault="000A5BB3" w:rsidP="000A5BB3">
            <w:pPr>
              <w:keepLines/>
              <w:spacing w:before="40" w:after="40" w:line="200" w:lineRule="atLeast"/>
              <w:rPr>
                <w:rFonts w:asciiTheme="minorHAnsi" w:eastAsia="Times New Roman" w:hAnsiTheme="minorHAnsi"/>
                <w:iCs/>
                <w:szCs w:val="17"/>
                <w:lang w:eastAsia="en-US"/>
              </w:rPr>
            </w:pPr>
            <w:r w:rsidRPr="000A5BB3">
              <w:rPr>
                <w:rFonts w:asciiTheme="minorHAnsi" w:eastAsia="Times New Roman" w:hAnsiTheme="minorHAnsi"/>
                <w:iCs/>
                <w:szCs w:val="17"/>
                <w:lang w:eastAsia="en-US"/>
              </w:rPr>
              <w:t>Independent review</w:t>
            </w:r>
          </w:p>
        </w:tc>
      </w:tr>
      <w:tr w:rsidR="00251C1A" w:rsidRPr="00C61187" w14:paraId="7001B560" w14:textId="77777777" w:rsidTr="006F27B1">
        <w:tc>
          <w:tcPr>
            <w:tcW w:w="2472" w:type="dxa"/>
          </w:tcPr>
          <w:p w14:paraId="3C094F7D" w14:textId="77777777" w:rsidR="00251C1A" w:rsidRPr="005079E6" w:rsidRDefault="00251C1A" w:rsidP="006F27B1">
            <w:pPr>
              <w:keepLines/>
              <w:spacing w:before="40" w:after="40" w:line="200" w:lineRule="atLeast"/>
              <w:rPr>
                <w:rFonts w:eastAsia="Times New Roman"/>
                <w:iCs/>
                <w:szCs w:val="17"/>
              </w:rPr>
            </w:pPr>
            <w:r w:rsidRPr="005079E6">
              <w:rPr>
                <w:rFonts w:asciiTheme="minorHAnsi" w:eastAsia="Times New Roman" w:hAnsiTheme="minorHAnsi"/>
                <w:iCs/>
                <w:szCs w:val="17"/>
                <w:lang w:eastAsia="en-US"/>
              </w:rPr>
              <w:t>ADB Independent Completion Report</w:t>
            </w:r>
          </w:p>
        </w:tc>
        <w:tc>
          <w:tcPr>
            <w:tcW w:w="2381" w:type="dxa"/>
          </w:tcPr>
          <w:p w14:paraId="4C3B475A" w14:textId="77777777" w:rsidR="00251C1A" w:rsidRPr="005079E6" w:rsidRDefault="00251C1A" w:rsidP="006F27B1">
            <w:pPr>
              <w:keepLines/>
              <w:spacing w:before="40" w:after="40" w:line="200" w:lineRule="atLeast"/>
              <w:rPr>
                <w:rFonts w:eastAsia="Times New Roman"/>
                <w:iCs/>
                <w:szCs w:val="17"/>
              </w:rPr>
            </w:pPr>
            <w:r w:rsidRPr="005079E6">
              <w:rPr>
                <w:rFonts w:asciiTheme="minorHAnsi" w:eastAsia="Times New Roman" w:hAnsiTheme="minorHAnsi"/>
                <w:iCs/>
                <w:szCs w:val="17"/>
                <w:lang w:eastAsia="en-US"/>
              </w:rPr>
              <w:t>INK511 Solomon Islands Domestic Maritime Support Project</w:t>
            </w:r>
          </w:p>
        </w:tc>
        <w:tc>
          <w:tcPr>
            <w:tcW w:w="2459" w:type="dxa"/>
          </w:tcPr>
          <w:p w14:paraId="192D127A" w14:textId="77777777" w:rsidR="00251C1A" w:rsidRPr="004D5C84" w:rsidRDefault="00251C1A" w:rsidP="006F27B1">
            <w:pPr>
              <w:keepLines/>
              <w:spacing w:before="40" w:after="40" w:line="200" w:lineRule="atLeast"/>
              <w:rPr>
                <w:rFonts w:eastAsia="Times New Roman"/>
                <w:iCs/>
                <w:szCs w:val="17"/>
              </w:rPr>
            </w:pPr>
            <w:r>
              <w:rPr>
                <w:rFonts w:asciiTheme="minorHAnsi" w:eastAsia="Times New Roman" w:hAnsiTheme="minorHAnsi"/>
                <w:iCs/>
                <w:szCs w:val="17"/>
                <w:lang w:eastAsia="en-US"/>
              </w:rPr>
              <w:t xml:space="preserve">March </w:t>
            </w:r>
            <w:r w:rsidR="00744A6A">
              <w:rPr>
                <w:rFonts w:asciiTheme="minorHAnsi" w:eastAsia="Times New Roman" w:hAnsiTheme="minorHAnsi"/>
                <w:iCs/>
                <w:szCs w:val="17"/>
                <w:lang w:eastAsia="en-US"/>
              </w:rPr>
              <w:t>20</w:t>
            </w:r>
            <w:r w:rsidRPr="005079E6">
              <w:rPr>
                <w:rFonts w:asciiTheme="minorHAnsi" w:eastAsia="Times New Roman" w:hAnsiTheme="minorHAnsi"/>
                <w:iCs/>
                <w:szCs w:val="17"/>
                <w:lang w:eastAsia="en-US"/>
              </w:rPr>
              <w:t>16</w:t>
            </w:r>
          </w:p>
        </w:tc>
        <w:tc>
          <w:tcPr>
            <w:tcW w:w="2227" w:type="dxa"/>
          </w:tcPr>
          <w:p w14:paraId="712A906F" w14:textId="77777777" w:rsidR="00251C1A" w:rsidRPr="004D5C84" w:rsidRDefault="00251C1A" w:rsidP="006F27B1">
            <w:pPr>
              <w:keepLines/>
              <w:spacing w:before="40" w:after="40" w:line="200" w:lineRule="atLeast"/>
              <w:rPr>
                <w:rFonts w:eastAsia="Times New Roman"/>
                <w:iCs/>
                <w:szCs w:val="17"/>
              </w:rPr>
            </w:pPr>
            <w:r w:rsidRPr="005079E6">
              <w:rPr>
                <w:rFonts w:asciiTheme="minorHAnsi" w:eastAsia="Times New Roman" w:hAnsiTheme="minorHAnsi"/>
                <w:iCs/>
                <w:szCs w:val="17"/>
                <w:lang w:eastAsia="en-US"/>
              </w:rPr>
              <w:t>2017</w:t>
            </w:r>
          </w:p>
        </w:tc>
        <w:tc>
          <w:tcPr>
            <w:tcW w:w="2348" w:type="dxa"/>
          </w:tcPr>
          <w:p w14:paraId="08F3E26C" w14:textId="77777777" w:rsidR="00251C1A" w:rsidRPr="005079E6" w:rsidRDefault="00251C1A" w:rsidP="006F27B1">
            <w:pPr>
              <w:keepLines/>
              <w:spacing w:before="40" w:after="40" w:line="200" w:lineRule="atLeast"/>
              <w:rPr>
                <w:rFonts w:eastAsia="Times New Roman"/>
                <w:iCs/>
                <w:szCs w:val="17"/>
              </w:rPr>
            </w:pPr>
            <w:r w:rsidRPr="005079E6">
              <w:rPr>
                <w:rFonts w:asciiTheme="minorHAnsi" w:eastAsia="Times New Roman" w:hAnsiTheme="minorHAnsi"/>
                <w:iCs/>
                <w:szCs w:val="17"/>
                <w:lang w:eastAsia="en-US"/>
              </w:rPr>
              <w:t>To assess the performance of the wharves construction component of DMSP</w:t>
            </w:r>
            <w:r w:rsidR="00A262EE">
              <w:rPr>
                <w:rFonts w:asciiTheme="minorHAnsi" w:eastAsia="Times New Roman" w:hAnsiTheme="minorHAnsi"/>
                <w:iCs/>
                <w:szCs w:val="17"/>
                <w:lang w:eastAsia="en-US"/>
              </w:rPr>
              <w:t xml:space="preserve">. </w:t>
            </w:r>
            <w:r w:rsidRPr="005079E6">
              <w:rPr>
                <w:rFonts w:asciiTheme="minorHAnsi" w:eastAsia="Times New Roman" w:hAnsiTheme="minorHAnsi"/>
                <w:iCs/>
                <w:szCs w:val="17"/>
                <w:lang w:eastAsia="en-US"/>
              </w:rPr>
              <w:t>This is the component that Australian funding supported.</w:t>
            </w:r>
          </w:p>
        </w:tc>
        <w:tc>
          <w:tcPr>
            <w:tcW w:w="2362" w:type="dxa"/>
          </w:tcPr>
          <w:p w14:paraId="0F41F286" w14:textId="77777777" w:rsidR="00251C1A" w:rsidRPr="005079E6" w:rsidRDefault="00251C1A" w:rsidP="006F27B1">
            <w:pPr>
              <w:keepLines/>
              <w:spacing w:before="40" w:after="40" w:line="200" w:lineRule="atLeast"/>
              <w:rPr>
                <w:rFonts w:eastAsia="Times New Roman"/>
                <w:iCs/>
                <w:szCs w:val="17"/>
              </w:rPr>
            </w:pPr>
            <w:r w:rsidRPr="005079E6">
              <w:rPr>
                <w:rFonts w:asciiTheme="minorHAnsi" w:eastAsia="Times New Roman" w:hAnsiTheme="minorHAnsi"/>
                <w:iCs/>
                <w:szCs w:val="17"/>
                <w:lang w:eastAsia="en-US"/>
              </w:rPr>
              <w:t>Partner-led (ADB)</w:t>
            </w:r>
          </w:p>
        </w:tc>
      </w:tr>
      <w:tr w:rsidR="001351AD" w:rsidRPr="00C61187" w14:paraId="70167149" w14:textId="77777777" w:rsidTr="006F27B1">
        <w:tc>
          <w:tcPr>
            <w:tcW w:w="2472" w:type="dxa"/>
          </w:tcPr>
          <w:p w14:paraId="0C9814A5" w14:textId="77777777" w:rsidR="001351AD" w:rsidRPr="00975062" w:rsidRDefault="001351AD" w:rsidP="00D95F41">
            <w:pPr>
              <w:keepLines/>
              <w:spacing w:beforeLines="40" w:before="96" w:afterLines="40" w:after="96" w:line="200" w:lineRule="atLeast"/>
              <w:rPr>
                <w:rFonts w:asciiTheme="minorHAnsi" w:eastAsia="Times New Roman" w:hAnsiTheme="minorHAnsi"/>
                <w:iCs/>
                <w:color w:val="auto"/>
                <w:szCs w:val="17"/>
                <w:lang w:eastAsia="en-US"/>
              </w:rPr>
            </w:pPr>
            <w:r w:rsidRPr="00975062">
              <w:rPr>
                <w:rFonts w:asciiTheme="minorHAnsi" w:eastAsia="Times New Roman" w:hAnsiTheme="minorHAnsi"/>
                <w:iCs/>
                <w:szCs w:val="17"/>
                <w:lang w:eastAsia="en-US"/>
              </w:rPr>
              <w:t>Joint Annual Performance Review</w:t>
            </w:r>
          </w:p>
        </w:tc>
        <w:tc>
          <w:tcPr>
            <w:tcW w:w="2381" w:type="dxa"/>
          </w:tcPr>
          <w:p w14:paraId="415CBFA7" w14:textId="77777777" w:rsidR="001351AD" w:rsidRPr="00975062" w:rsidRDefault="001351AD" w:rsidP="00D95F41">
            <w:pPr>
              <w:spacing w:beforeLines="40" w:before="96" w:afterLines="40" w:after="96" w:line="200" w:lineRule="atLeast"/>
              <w:rPr>
                <w:rFonts w:asciiTheme="minorHAnsi" w:eastAsia="Times New Roman" w:hAnsiTheme="minorHAnsi"/>
                <w:iCs/>
                <w:color w:val="auto"/>
                <w:szCs w:val="17"/>
                <w:lang w:eastAsia="en-US"/>
              </w:rPr>
            </w:pPr>
            <w:r w:rsidRPr="00975062">
              <w:rPr>
                <w:rFonts w:asciiTheme="minorHAnsi" w:eastAsia="Times New Roman" w:hAnsiTheme="minorHAnsi"/>
                <w:iCs/>
                <w:szCs w:val="17"/>
                <w:lang w:eastAsia="en-US"/>
              </w:rPr>
              <w:t>INK790 Managing Urbanisation in Solomon Islands</w:t>
            </w:r>
          </w:p>
        </w:tc>
        <w:tc>
          <w:tcPr>
            <w:tcW w:w="2459" w:type="dxa"/>
          </w:tcPr>
          <w:p w14:paraId="1E314EF9" w14:textId="77777777" w:rsidR="001351AD" w:rsidRPr="00975062" w:rsidRDefault="001351AD" w:rsidP="006F27B1">
            <w:pPr>
              <w:keepLines/>
              <w:spacing w:before="40" w:after="40" w:line="200" w:lineRule="atLeast"/>
              <w:rPr>
                <w:rFonts w:asciiTheme="minorHAnsi" w:eastAsia="Times New Roman" w:hAnsiTheme="minorHAnsi"/>
                <w:iCs/>
                <w:szCs w:val="17"/>
                <w:lang w:eastAsia="en-US"/>
              </w:rPr>
            </w:pPr>
            <w:r w:rsidRPr="00975062">
              <w:rPr>
                <w:rFonts w:asciiTheme="minorHAnsi" w:eastAsia="Times New Roman" w:hAnsiTheme="minorHAnsi"/>
                <w:iCs/>
                <w:szCs w:val="17"/>
                <w:lang w:eastAsia="en-US"/>
              </w:rPr>
              <w:t>2017</w:t>
            </w:r>
          </w:p>
        </w:tc>
        <w:tc>
          <w:tcPr>
            <w:tcW w:w="2227" w:type="dxa"/>
          </w:tcPr>
          <w:p w14:paraId="64AF701C" w14:textId="77777777" w:rsidR="001351AD" w:rsidRPr="00975062" w:rsidRDefault="001351AD" w:rsidP="006F27B1">
            <w:pPr>
              <w:keepLines/>
              <w:spacing w:before="40" w:after="40" w:line="200" w:lineRule="atLeast"/>
              <w:rPr>
                <w:rFonts w:asciiTheme="minorHAnsi" w:eastAsia="Times New Roman" w:hAnsiTheme="minorHAnsi"/>
                <w:iCs/>
                <w:szCs w:val="17"/>
                <w:lang w:eastAsia="en-US"/>
              </w:rPr>
            </w:pPr>
            <w:r w:rsidRPr="00975062">
              <w:rPr>
                <w:rFonts w:asciiTheme="minorHAnsi" w:eastAsia="Times New Roman" w:hAnsiTheme="minorHAnsi"/>
                <w:iCs/>
                <w:szCs w:val="17"/>
                <w:lang w:eastAsia="en-US"/>
              </w:rPr>
              <w:t>2017</w:t>
            </w:r>
          </w:p>
        </w:tc>
        <w:tc>
          <w:tcPr>
            <w:tcW w:w="2348" w:type="dxa"/>
          </w:tcPr>
          <w:p w14:paraId="396CD137" w14:textId="77777777" w:rsidR="001351AD" w:rsidRPr="005079E6" w:rsidRDefault="001351AD" w:rsidP="001351AD">
            <w:pPr>
              <w:keepLines/>
              <w:spacing w:before="40" w:after="40" w:line="200" w:lineRule="atLeast"/>
              <w:rPr>
                <w:rFonts w:eastAsia="Times New Roman"/>
                <w:iCs/>
                <w:szCs w:val="17"/>
              </w:rPr>
            </w:pPr>
            <w:r w:rsidRPr="003E2918">
              <w:rPr>
                <w:rFonts w:asciiTheme="minorHAnsi" w:eastAsia="Times New Roman" w:hAnsiTheme="minorHAnsi"/>
                <w:iCs/>
                <w:szCs w:val="17"/>
                <w:lang w:eastAsia="en-US"/>
              </w:rPr>
              <w:t xml:space="preserve">Joint Annual Review on </w:t>
            </w:r>
            <w:r w:rsidRPr="001351AD">
              <w:rPr>
                <w:rFonts w:asciiTheme="minorHAnsi" w:eastAsia="Times New Roman" w:hAnsiTheme="minorHAnsi"/>
                <w:iCs/>
                <w:szCs w:val="17"/>
                <w:lang w:eastAsia="en-US"/>
              </w:rPr>
              <w:t>DFAT/SPC Program of Technical Assistance to Ministry of Lands, Housing and Survey Solomon Islands</w:t>
            </w:r>
          </w:p>
        </w:tc>
        <w:tc>
          <w:tcPr>
            <w:tcW w:w="2362" w:type="dxa"/>
          </w:tcPr>
          <w:p w14:paraId="1EA30C2A" w14:textId="77777777" w:rsidR="001351AD" w:rsidRPr="005079E6" w:rsidRDefault="001351AD" w:rsidP="006F27B1">
            <w:pPr>
              <w:keepLines/>
              <w:spacing w:before="40" w:after="40" w:line="200" w:lineRule="atLeast"/>
              <w:rPr>
                <w:rFonts w:eastAsia="Times New Roman"/>
                <w:iCs/>
                <w:szCs w:val="17"/>
              </w:rPr>
            </w:pPr>
            <w:r w:rsidRPr="003E2918">
              <w:rPr>
                <w:rFonts w:asciiTheme="minorHAnsi" w:eastAsia="Times New Roman" w:hAnsiTheme="minorHAnsi"/>
                <w:iCs/>
                <w:szCs w:val="17"/>
                <w:lang w:eastAsia="en-US"/>
              </w:rPr>
              <w:t>Partn</w:t>
            </w:r>
            <w:r>
              <w:rPr>
                <w:rFonts w:asciiTheme="minorHAnsi" w:eastAsia="Times New Roman" w:hAnsiTheme="minorHAnsi"/>
                <w:iCs/>
                <w:szCs w:val="17"/>
                <w:lang w:eastAsia="en-US"/>
              </w:rPr>
              <w:t>er-led joint r</w:t>
            </w:r>
            <w:r w:rsidRPr="003E2918">
              <w:rPr>
                <w:rFonts w:asciiTheme="minorHAnsi" w:eastAsia="Times New Roman" w:hAnsiTheme="minorHAnsi"/>
                <w:iCs/>
                <w:szCs w:val="17"/>
                <w:lang w:eastAsia="en-US"/>
              </w:rPr>
              <w:t>eview</w:t>
            </w:r>
          </w:p>
        </w:tc>
      </w:tr>
    </w:tbl>
    <w:p w14:paraId="2804E90B" w14:textId="77777777" w:rsidR="009348C3" w:rsidRDefault="009348C3" w:rsidP="00400B0F">
      <w:pPr>
        <w:keepNext/>
        <w:tabs>
          <w:tab w:val="left" w:pos="1560"/>
        </w:tabs>
        <w:spacing w:before="360" w:after="120"/>
        <w:outlineLvl w:val="1"/>
        <w:rPr>
          <w:rFonts w:eastAsiaTheme="majorEastAsia" w:cstheme="majorBidi"/>
          <w:bCs/>
          <w:iCs/>
          <w:caps/>
          <w:spacing w:val="-10"/>
          <w:kern w:val="28"/>
          <w:sz w:val="38"/>
          <w:szCs w:val="24"/>
        </w:rPr>
        <w:sectPr w:rsidR="009348C3" w:rsidSect="00784031">
          <w:headerReference w:type="default" r:id="rId20"/>
          <w:pgSz w:w="16838" w:h="11906" w:orient="landscape" w:code="9"/>
          <w:pgMar w:top="1134" w:right="1527" w:bottom="1134" w:left="851" w:header="1418" w:footer="267" w:gutter="0"/>
          <w:cols w:space="397"/>
          <w:docGrid w:linePitch="360"/>
        </w:sectPr>
      </w:pPr>
    </w:p>
    <w:p w14:paraId="5F6D17A5" w14:textId="77777777" w:rsidR="00400B0F" w:rsidRPr="00E41505" w:rsidRDefault="009348C3" w:rsidP="00400B0F">
      <w:pPr>
        <w:keepNext/>
        <w:tabs>
          <w:tab w:val="left" w:pos="1560"/>
        </w:tabs>
        <w:spacing w:before="360" w:after="120"/>
        <w:outlineLvl w:val="1"/>
        <w:rPr>
          <w:rFonts w:asciiTheme="majorHAnsi" w:eastAsiaTheme="majorEastAsia" w:hAnsiTheme="majorHAnsi" w:cstheme="majorBidi"/>
          <w:caps/>
          <w:sz w:val="38"/>
          <w:szCs w:val="26"/>
        </w:rPr>
      </w:pPr>
      <w:r w:rsidRPr="00E41505">
        <w:rPr>
          <w:rFonts w:asciiTheme="majorHAnsi" w:eastAsiaTheme="majorEastAsia" w:hAnsiTheme="majorHAnsi" w:cstheme="majorBidi"/>
          <w:caps/>
          <w:sz w:val="38"/>
          <w:szCs w:val="26"/>
        </w:rPr>
        <w:lastRenderedPageBreak/>
        <w:t>A</w:t>
      </w:r>
      <w:r w:rsidR="00400B0F" w:rsidRPr="00E41505">
        <w:rPr>
          <w:rFonts w:asciiTheme="majorHAnsi" w:eastAsiaTheme="majorEastAsia" w:hAnsiTheme="majorHAnsi" w:cstheme="majorBidi"/>
          <w:caps/>
          <w:sz w:val="38"/>
          <w:szCs w:val="26"/>
        </w:rPr>
        <w:t xml:space="preserve">nnex D </w:t>
      </w:r>
      <w:r w:rsidR="00BD56C0" w:rsidRPr="00E41505">
        <w:rPr>
          <w:rFonts w:asciiTheme="majorHAnsi" w:eastAsiaTheme="majorEastAsia" w:hAnsiTheme="majorHAnsi" w:cstheme="majorBidi"/>
          <w:caps/>
          <w:sz w:val="38"/>
          <w:szCs w:val="26"/>
        </w:rPr>
        <w:t>–</w:t>
      </w:r>
      <w:r w:rsidR="00400B0F" w:rsidRPr="00E41505">
        <w:rPr>
          <w:rFonts w:asciiTheme="majorHAnsi" w:eastAsiaTheme="majorEastAsia" w:hAnsiTheme="majorHAnsi" w:cstheme="majorBidi"/>
          <w:caps/>
          <w:sz w:val="38"/>
          <w:szCs w:val="26"/>
        </w:rPr>
        <w:t xml:space="preserve"> Aid</w:t>
      </w:r>
      <w:r w:rsidR="00BD56C0" w:rsidRPr="00E41505">
        <w:rPr>
          <w:rFonts w:asciiTheme="majorHAnsi" w:eastAsiaTheme="majorEastAsia" w:hAnsiTheme="majorHAnsi" w:cstheme="majorBidi"/>
          <w:caps/>
          <w:sz w:val="38"/>
          <w:szCs w:val="26"/>
        </w:rPr>
        <w:t xml:space="preserve"> </w:t>
      </w:r>
      <w:r w:rsidR="00400B0F" w:rsidRPr="00E41505">
        <w:rPr>
          <w:rFonts w:asciiTheme="majorHAnsi" w:eastAsiaTheme="majorEastAsia" w:hAnsiTheme="majorHAnsi" w:cstheme="majorBidi"/>
          <w:caps/>
          <w:sz w:val="38"/>
          <w:szCs w:val="26"/>
        </w:rPr>
        <w:t>Quality Check ratings</w:t>
      </w:r>
    </w:p>
    <w:p w14:paraId="77310E2C" w14:textId="77777777"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14:paraId="2FF9AA24" w14:textId="77777777" w:rsidR="00400B0F" w:rsidRPr="00C61187" w:rsidRDefault="00400B0F" w:rsidP="004E0264">
      <w:r w:rsidRPr="00C61187">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670"/>
        <w:gridCol w:w="1930"/>
        <w:gridCol w:w="1231"/>
        <w:gridCol w:w="1237"/>
        <w:gridCol w:w="1228"/>
        <w:gridCol w:w="1237"/>
        <w:gridCol w:w="1228"/>
        <w:gridCol w:w="1237"/>
        <w:gridCol w:w="1228"/>
        <w:gridCol w:w="1234"/>
      </w:tblGrid>
      <w:tr w:rsidR="00251C1A" w:rsidRPr="00C61187" w14:paraId="7B22C673" w14:textId="77777777" w:rsidTr="005646A9">
        <w:trPr>
          <w:cnfStyle w:val="000000010000" w:firstRow="0" w:lastRow="0" w:firstColumn="0" w:lastColumn="0" w:oddVBand="0" w:evenVBand="0" w:oddHBand="0" w:evenHBand="1" w:firstRowFirstColumn="0" w:firstRowLastColumn="0" w:lastRowFirstColumn="0" w:lastRowLastColumn="0"/>
          <w:trHeight w:val="1413"/>
        </w:trPr>
        <w:tc>
          <w:tcPr>
            <w:tcW w:w="908" w:type="pct"/>
            <w:tcBorders>
              <w:top w:val="single" w:sz="12" w:space="0" w:color="000000" w:themeColor="text1"/>
            </w:tcBorders>
          </w:tcPr>
          <w:p w14:paraId="1801002C"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lastRenderedPageBreak/>
              <w:drawing>
                <wp:anchor distT="0" distB="0" distL="114300" distR="114300" simplePos="0" relativeHeight="251682816" behindDoc="0" locked="0" layoutInCell="1" allowOverlap="1" wp14:anchorId="26AD6D04" wp14:editId="663C02D9">
                  <wp:simplePos x="0" y="0"/>
                  <wp:positionH relativeFrom="column">
                    <wp:posOffset>0</wp:posOffset>
                  </wp:positionH>
                  <wp:positionV relativeFrom="paragraph">
                    <wp:posOffset>0</wp:posOffset>
                  </wp:positionV>
                  <wp:extent cx="1857375" cy="228600"/>
                  <wp:effectExtent l="0" t="0" r="9525"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58" w:type="pct"/>
            <w:tcBorders>
              <w:top w:val="single" w:sz="12" w:space="0" w:color="000000" w:themeColor="text1"/>
            </w:tcBorders>
            <w:textDirection w:val="btLr"/>
          </w:tcPr>
          <w:p w14:paraId="79704A55"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6" w:type="pct"/>
            <w:tcBorders>
              <w:top w:val="single" w:sz="12" w:space="0" w:color="000000" w:themeColor="text1"/>
            </w:tcBorders>
            <w:textDirection w:val="btLr"/>
          </w:tcPr>
          <w:p w14:paraId="63E0A17A"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18" w:type="pct"/>
            <w:tcBorders>
              <w:top w:val="single" w:sz="12" w:space="0" w:color="000000" w:themeColor="text1"/>
            </w:tcBorders>
            <w:textDirection w:val="btLr"/>
          </w:tcPr>
          <w:p w14:paraId="3B9FB63D"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5" w:type="pct"/>
            <w:tcBorders>
              <w:top w:val="single" w:sz="12" w:space="0" w:color="000000" w:themeColor="text1"/>
            </w:tcBorders>
            <w:textDirection w:val="btLr"/>
          </w:tcPr>
          <w:p w14:paraId="791F11BB"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18" w:type="pct"/>
            <w:tcBorders>
              <w:top w:val="single" w:sz="12" w:space="0" w:color="000000" w:themeColor="text1"/>
            </w:tcBorders>
            <w:textDirection w:val="btLr"/>
          </w:tcPr>
          <w:p w14:paraId="37F82F64"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5" w:type="pct"/>
            <w:tcBorders>
              <w:top w:val="single" w:sz="12" w:space="0" w:color="000000" w:themeColor="text1"/>
            </w:tcBorders>
            <w:textDirection w:val="btLr"/>
          </w:tcPr>
          <w:p w14:paraId="473EDDEE"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18" w:type="pct"/>
            <w:tcBorders>
              <w:top w:val="single" w:sz="12" w:space="0" w:color="000000" w:themeColor="text1"/>
            </w:tcBorders>
            <w:textDirection w:val="btLr"/>
          </w:tcPr>
          <w:p w14:paraId="51D4BBB1"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5" w:type="pct"/>
            <w:tcBorders>
              <w:top w:val="single" w:sz="12" w:space="0" w:color="000000" w:themeColor="text1"/>
            </w:tcBorders>
            <w:textDirection w:val="btLr"/>
          </w:tcPr>
          <w:p w14:paraId="69315309"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12" w:type="pct"/>
            <w:tcBorders>
              <w:top w:val="single" w:sz="12" w:space="0" w:color="000000" w:themeColor="text1"/>
            </w:tcBorders>
            <w:textDirection w:val="btLr"/>
          </w:tcPr>
          <w:p w14:paraId="244B6307"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7D5768" w:rsidRPr="00C61187" w14:paraId="14268218" w14:textId="77777777" w:rsidTr="005646A9">
        <w:trPr>
          <w:cnfStyle w:val="000000010000" w:firstRow="0" w:lastRow="0" w:firstColumn="0" w:lastColumn="0" w:oddVBand="0" w:evenVBand="0" w:oddHBand="0" w:evenHBand="1" w:firstRowFirstColumn="0" w:firstRowLastColumn="0" w:lastRowFirstColumn="0" w:lastRowLastColumn="0"/>
          <w:trHeight w:val="423"/>
        </w:trPr>
        <w:tc>
          <w:tcPr>
            <w:tcW w:w="908" w:type="pct"/>
            <w:vMerge w:val="restart"/>
            <w:tcBorders>
              <w:top w:val="single" w:sz="4" w:space="0" w:color="auto"/>
            </w:tcBorders>
          </w:tcPr>
          <w:p w14:paraId="002431DA"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Rural livelihoods (INH615)</w:t>
            </w:r>
          </w:p>
        </w:tc>
        <w:tc>
          <w:tcPr>
            <w:tcW w:w="658" w:type="pct"/>
            <w:vMerge w:val="restart"/>
            <w:tcBorders>
              <w:top w:val="single" w:sz="4" w:space="0" w:color="auto"/>
            </w:tcBorders>
            <w:vAlign w:val="center"/>
          </w:tcPr>
          <w:p w14:paraId="07992648"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$31.763m</w:t>
            </w:r>
          </w:p>
          <w:p w14:paraId="195E4079"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2007-21</w:t>
            </w:r>
          </w:p>
        </w:tc>
        <w:tc>
          <w:tcPr>
            <w:tcW w:w="416" w:type="pct"/>
            <w:tcBorders>
              <w:top w:val="single" w:sz="4" w:space="0" w:color="auto"/>
            </w:tcBorders>
            <w:vAlign w:val="center"/>
          </w:tcPr>
          <w:p w14:paraId="4FDC192B"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tcBorders>
              <w:top w:val="single" w:sz="4" w:space="0" w:color="auto"/>
            </w:tcBorders>
            <w:shd w:val="clear" w:color="auto" w:fill="92D050"/>
            <w:noWrap/>
            <w:vAlign w:val="center"/>
          </w:tcPr>
          <w:p w14:paraId="49BE728E" w14:textId="77777777" w:rsidR="00251C1A" w:rsidRPr="008A0468" w:rsidRDefault="00251C1A" w:rsidP="00604DF0">
            <w:pPr>
              <w:jc w:val="center"/>
            </w:pPr>
            <w:r w:rsidRPr="008A0468">
              <w:t>5</w:t>
            </w:r>
          </w:p>
        </w:tc>
        <w:tc>
          <w:tcPr>
            <w:tcW w:w="415" w:type="pct"/>
            <w:tcBorders>
              <w:top w:val="single" w:sz="4" w:space="0" w:color="auto"/>
            </w:tcBorders>
            <w:shd w:val="clear" w:color="auto" w:fill="FF6600"/>
            <w:noWrap/>
            <w:vAlign w:val="center"/>
          </w:tcPr>
          <w:p w14:paraId="2A3D9159" w14:textId="3E989104" w:rsidR="00251C1A" w:rsidRPr="008A0468" w:rsidRDefault="00447D3B" w:rsidP="00604DF0">
            <w:pPr>
              <w:jc w:val="center"/>
            </w:pPr>
            <w:r>
              <w:t>3</w:t>
            </w:r>
          </w:p>
        </w:tc>
        <w:tc>
          <w:tcPr>
            <w:tcW w:w="418" w:type="pct"/>
            <w:tcBorders>
              <w:top w:val="single" w:sz="4" w:space="0" w:color="auto"/>
            </w:tcBorders>
            <w:shd w:val="clear" w:color="auto" w:fill="FFFF00"/>
            <w:noWrap/>
            <w:vAlign w:val="center"/>
          </w:tcPr>
          <w:p w14:paraId="16FDBC0E" w14:textId="77777777" w:rsidR="00251C1A" w:rsidRPr="008A0468" w:rsidRDefault="00251C1A" w:rsidP="00604DF0">
            <w:pPr>
              <w:jc w:val="center"/>
            </w:pPr>
            <w:r w:rsidRPr="008A0468">
              <w:t>4</w:t>
            </w:r>
          </w:p>
        </w:tc>
        <w:tc>
          <w:tcPr>
            <w:tcW w:w="415" w:type="pct"/>
            <w:tcBorders>
              <w:top w:val="single" w:sz="4" w:space="0" w:color="auto"/>
            </w:tcBorders>
            <w:shd w:val="clear" w:color="auto" w:fill="FFFF00"/>
            <w:noWrap/>
            <w:vAlign w:val="center"/>
          </w:tcPr>
          <w:p w14:paraId="1F242BD2" w14:textId="77777777" w:rsidR="00251C1A" w:rsidRPr="008A0468" w:rsidRDefault="00251C1A" w:rsidP="00604DF0">
            <w:pPr>
              <w:jc w:val="center"/>
            </w:pPr>
            <w:r w:rsidRPr="008A0468">
              <w:t>4</w:t>
            </w:r>
          </w:p>
        </w:tc>
        <w:tc>
          <w:tcPr>
            <w:tcW w:w="418" w:type="pct"/>
            <w:tcBorders>
              <w:top w:val="single" w:sz="4" w:space="0" w:color="auto"/>
            </w:tcBorders>
            <w:shd w:val="clear" w:color="auto" w:fill="FFFF00"/>
            <w:noWrap/>
            <w:vAlign w:val="center"/>
          </w:tcPr>
          <w:p w14:paraId="49B1DCBF" w14:textId="77777777" w:rsidR="00251C1A" w:rsidRPr="008A0468" w:rsidRDefault="00251C1A" w:rsidP="00604DF0">
            <w:pPr>
              <w:jc w:val="center"/>
            </w:pPr>
            <w:r w:rsidRPr="008A0468">
              <w:t>4</w:t>
            </w:r>
          </w:p>
        </w:tc>
        <w:tc>
          <w:tcPr>
            <w:tcW w:w="415" w:type="pct"/>
            <w:tcBorders>
              <w:top w:val="single" w:sz="4" w:space="0" w:color="auto"/>
            </w:tcBorders>
            <w:shd w:val="clear" w:color="auto" w:fill="FF6600"/>
            <w:noWrap/>
            <w:vAlign w:val="center"/>
          </w:tcPr>
          <w:p w14:paraId="476E73D6" w14:textId="77777777" w:rsidR="00251C1A" w:rsidRPr="008A0468" w:rsidRDefault="00251C1A" w:rsidP="00604DF0">
            <w:pPr>
              <w:jc w:val="center"/>
            </w:pPr>
            <w:r w:rsidRPr="008A0468">
              <w:t>3</w:t>
            </w:r>
          </w:p>
        </w:tc>
        <w:tc>
          <w:tcPr>
            <w:tcW w:w="412" w:type="pct"/>
            <w:tcBorders>
              <w:top w:val="single" w:sz="4" w:space="0" w:color="auto"/>
            </w:tcBorders>
            <w:shd w:val="clear" w:color="auto" w:fill="92D050"/>
            <w:vAlign w:val="center"/>
          </w:tcPr>
          <w:p w14:paraId="735EBA85" w14:textId="77777777" w:rsidR="00251C1A" w:rsidRPr="008A0468" w:rsidRDefault="00251C1A" w:rsidP="00604DF0">
            <w:pPr>
              <w:jc w:val="center"/>
            </w:pPr>
            <w:r w:rsidRPr="008A0468">
              <w:t>5</w:t>
            </w:r>
          </w:p>
        </w:tc>
      </w:tr>
      <w:tr w:rsidR="00251C1A" w:rsidRPr="00C61187" w14:paraId="5533E13C"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24599D46"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1CF35602"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3E373A75"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67CA6907" w14:textId="77777777" w:rsidR="00251C1A" w:rsidRPr="00880004" w:rsidRDefault="00251C1A" w:rsidP="00604DF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vAlign w:val="center"/>
          </w:tcPr>
          <w:p w14:paraId="5B2C192B" w14:textId="77777777" w:rsidR="00251C1A" w:rsidRDefault="00251C1A" w:rsidP="00604DF0">
            <w:pPr>
              <w:jc w:val="center"/>
            </w:pPr>
            <w:r>
              <w:t>5</w:t>
            </w:r>
          </w:p>
        </w:tc>
        <w:tc>
          <w:tcPr>
            <w:tcW w:w="418" w:type="pct"/>
            <w:tcBorders>
              <w:bottom w:val="single" w:sz="4" w:space="0" w:color="auto"/>
            </w:tcBorders>
            <w:shd w:val="clear" w:color="auto" w:fill="92D050"/>
            <w:noWrap/>
            <w:vAlign w:val="center"/>
          </w:tcPr>
          <w:p w14:paraId="45CE687A"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1A8AF2B4"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5F8DA9D2" w14:textId="77777777" w:rsidR="00251C1A" w:rsidRDefault="00251C1A" w:rsidP="00604DF0">
            <w:pPr>
              <w:jc w:val="center"/>
            </w:pPr>
            <w:r>
              <w:t>4</w:t>
            </w:r>
          </w:p>
        </w:tc>
        <w:tc>
          <w:tcPr>
            <w:tcW w:w="415" w:type="pct"/>
            <w:tcBorders>
              <w:bottom w:val="single" w:sz="4" w:space="0" w:color="auto"/>
            </w:tcBorders>
            <w:shd w:val="clear" w:color="auto" w:fill="FF6600"/>
            <w:noWrap/>
            <w:vAlign w:val="center"/>
          </w:tcPr>
          <w:p w14:paraId="58B8D39A" w14:textId="77777777" w:rsidR="00251C1A" w:rsidRDefault="00251C1A" w:rsidP="00604DF0">
            <w:pPr>
              <w:jc w:val="center"/>
            </w:pPr>
            <w:r>
              <w:t>3</w:t>
            </w:r>
          </w:p>
        </w:tc>
        <w:tc>
          <w:tcPr>
            <w:tcW w:w="412" w:type="pct"/>
            <w:tcBorders>
              <w:bottom w:val="single" w:sz="4" w:space="0" w:color="auto"/>
            </w:tcBorders>
            <w:shd w:val="clear" w:color="auto" w:fill="92D050"/>
            <w:vAlign w:val="center"/>
          </w:tcPr>
          <w:p w14:paraId="459A8D84" w14:textId="77777777" w:rsidR="00251C1A" w:rsidRDefault="00251C1A" w:rsidP="00604DF0">
            <w:pPr>
              <w:jc w:val="center"/>
            </w:pPr>
            <w:r>
              <w:t>5</w:t>
            </w:r>
          </w:p>
        </w:tc>
      </w:tr>
      <w:tr w:rsidR="00251C1A" w:rsidRPr="00880004" w14:paraId="7ABB8824"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4254A44C"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Gender (INK688)</w:t>
            </w:r>
          </w:p>
        </w:tc>
        <w:tc>
          <w:tcPr>
            <w:tcW w:w="658" w:type="pct"/>
            <w:vMerge w:val="restart"/>
            <w:vAlign w:val="center"/>
          </w:tcPr>
          <w:p w14:paraId="442FC7DC"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$16.243m</w:t>
            </w:r>
          </w:p>
          <w:p w14:paraId="78130B00"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2012-18</w:t>
            </w:r>
          </w:p>
        </w:tc>
        <w:tc>
          <w:tcPr>
            <w:tcW w:w="416" w:type="pct"/>
          </w:tcPr>
          <w:p w14:paraId="0D99F52A"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665F10F7" w14:textId="77777777" w:rsidR="00251C1A" w:rsidRDefault="00251C1A" w:rsidP="00604DF0">
            <w:pPr>
              <w:jc w:val="center"/>
            </w:pPr>
            <w:r>
              <w:t>5</w:t>
            </w:r>
          </w:p>
        </w:tc>
        <w:tc>
          <w:tcPr>
            <w:tcW w:w="415" w:type="pct"/>
            <w:shd w:val="clear" w:color="auto" w:fill="FFFF00"/>
            <w:noWrap/>
            <w:vAlign w:val="center"/>
          </w:tcPr>
          <w:p w14:paraId="681AC339" w14:textId="77777777" w:rsidR="00251C1A" w:rsidRDefault="00251C1A" w:rsidP="00604DF0">
            <w:pPr>
              <w:jc w:val="center"/>
            </w:pPr>
            <w:r>
              <w:t>4</w:t>
            </w:r>
          </w:p>
        </w:tc>
        <w:tc>
          <w:tcPr>
            <w:tcW w:w="418" w:type="pct"/>
            <w:shd w:val="clear" w:color="auto" w:fill="FFFF00"/>
            <w:noWrap/>
            <w:vAlign w:val="center"/>
          </w:tcPr>
          <w:p w14:paraId="65C04655" w14:textId="77777777" w:rsidR="00251C1A" w:rsidRDefault="00251C1A" w:rsidP="00604DF0">
            <w:pPr>
              <w:jc w:val="center"/>
            </w:pPr>
            <w:r>
              <w:t>4</w:t>
            </w:r>
          </w:p>
        </w:tc>
        <w:tc>
          <w:tcPr>
            <w:tcW w:w="415" w:type="pct"/>
            <w:shd w:val="clear" w:color="auto" w:fill="FF6600"/>
            <w:noWrap/>
            <w:vAlign w:val="center"/>
          </w:tcPr>
          <w:p w14:paraId="1C5728E9" w14:textId="77777777" w:rsidR="00251C1A" w:rsidRDefault="00251C1A" w:rsidP="00604DF0">
            <w:pPr>
              <w:jc w:val="center"/>
            </w:pPr>
            <w:r>
              <w:t>3</w:t>
            </w:r>
          </w:p>
        </w:tc>
        <w:tc>
          <w:tcPr>
            <w:tcW w:w="418" w:type="pct"/>
            <w:shd w:val="clear" w:color="auto" w:fill="FFFF00"/>
            <w:noWrap/>
            <w:vAlign w:val="center"/>
          </w:tcPr>
          <w:p w14:paraId="56C93A0D" w14:textId="77777777" w:rsidR="00251C1A" w:rsidRDefault="00251C1A" w:rsidP="00604DF0">
            <w:pPr>
              <w:jc w:val="center"/>
            </w:pPr>
            <w:r>
              <w:t>4</w:t>
            </w:r>
          </w:p>
        </w:tc>
        <w:tc>
          <w:tcPr>
            <w:tcW w:w="415" w:type="pct"/>
            <w:shd w:val="clear" w:color="auto" w:fill="92D050"/>
            <w:noWrap/>
            <w:vAlign w:val="center"/>
          </w:tcPr>
          <w:p w14:paraId="00C4E289" w14:textId="77777777" w:rsidR="00251C1A" w:rsidRDefault="00251C1A" w:rsidP="00604DF0">
            <w:pPr>
              <w:jc w:val="center"/>
            </w:pPr>
            <w:r>
              <w:t>5</w:t>
            </w:r>
          </w:p>
        </w:tc>
        <w:tc>
          <w:tcPr>
            <w:tcW w:w="412" w:type="pct"/>
            <w:shd w:val="clear" w:color="auto" w:fill="FFFF00"/>
            <w:vAlign w:val="center"/>
          </w:tcPr>
          <w:p w14:paraId="1C336522" w14:textId="77777777" w:rsidR="00251C1A" w:rsidRDefault="00251C1A" w:rsidP="00604DF0">
            <w:pPr>
              <w:jc w:val="center"/>
            </w:pPr>
            <w:r>
              <w:t>4</w:t>
            </w:r>
          </w:p>
        </w:tc>
      </w:tr>
      <w:tr w:rsidR="00251C1A" w:rsidRPr="00880004" w14:paraId="010327DF"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0762BAAA"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719FC513"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19586862"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6FA94274"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4B674796"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5432319D" w14:textId="77777777" w:rsidR="00251C1A" w:rsidRDefault="00251C1A" w:rsidP="00604DF0">
            <w:pPr>
              <w:jc w:val="center"/>
            </w:pPr>
            <w:r>
              <w:t>4</w:t>
            </w:r>
          </w:p>
        </w:tc>
        <w:tc>
          <w:tcPr>
            <w:tcW w:w="415" w:type="pct"/>
            <w:tcBorders>
              <w:bottom w:val="single" w:sz="4" w:space="0" w:color="auto"/>
            </w:tcBorders>
            <w:shd w:val="clear" w:color="auto" w:fill="FF6600"/>
            <w:noWrap/>
            <w:vAlign w:val="center"/>
          </w:tcPr>
          <w:p w14:paraId="24A631FF" w14:textId="77777777" w:rsidR="00251C1A" w:rsidRDefault="00251C1A" w:rsidP="00604DF0">
            <w:pPr>
              <w:jc w:val="center"/>
            </w:pPr>
            <w:r>
              <w:t>3</w:t>
            </w:r>
          </w:p>
        </w:tc>
        <w:tc>
          <w:tcPr>
            <w:tcW w:w="418" w:type="pct"/>
            <w:tcBorders>
              <w:bottom w:val="single" w:sz="4" w:space="0" w:color="auto"/>
            </w:tcBorders>
            <w:shd w:val="clear" w:color="auto" w:fill="92D050"/>
            <w:noWrap/>
            <w:vAlign w:val="center"/>
          </w:tcPr>
          <w:p w14:paraId="16D8D4F0"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176DB1BD" w14:textId="77777777" w:rsidR="00251C1A" w:rsidRDefault="00251C1A" w:rsidP="00604DF0">
            <w:pPr>
              <w:jc w:val="center"/>
            </w:pPr>
            <w:r>
              <w:t>4</w:t>
            </w:r>
          </w:p>
        </w:tc>
        <w:tc>
          <w:tcPr>
            <w:tcW w:w="412" w:type="pct"/>
            <w:tcBorders>
              <w:bottom w:val="single" w:sz="4" w:space="0" w:color="auto"/>
            </w:tcBorders>
            <w:shd w:val="clear" w:color="auto" w:fill="FFFF00"/>
            <w:vAlign w:val="center"/>
          </w:tcPr>
          <w:p w14:paraId="66485C20" w14:textId="77777777" w:rsidR="00251C1A" w:rsidRDefault="00251C1A" w:rsidP="00604DF0">
            <w:pPr>
              <w:jc w:val="center"/>
            </w:pPr>
            <w:r>
              <w:t>4</w:t>
            </w:r>
          </w:p>
        </w:tc>
      </w:tr>
      <w:tr w:rsidR="00251C1A" w:rsidRPr="00880004" w14:paraId="54184F84"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711D4D3B"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Justice (INK867)</w:t>
            </w:r>
          </w:p>
        </w:tc>
        <w:tc>
          <w:tcPr>
            <w:tcW w:w="658" w:type="pct"/>
            <w:vMerge w:val="restart"/>
            <w:vAlign w:val="center"/>
          </w:tcPr>
          <w:p w14:paraId="0C28CB9F"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$47.589m</w:t>
            </w:r>
          </w:p>
          <w:p w14:paraId="14184318"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2013-17</w:t>
            </w:r>
          </w:p>
        </w:tc>
        <w:tc>
          <w:tcPr>
            <w:tcW w:w="416" w:type="pct"/>
          </w:tcPr>
          <w:p w14:paraId="01D2A945"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09B45C5D" w14:textId="77777777" w:rsidR="00251C1A" w:rsidRDefault="00251C1A" w:rsidP="00604DF0">
            <w:pPr>
              <w:jc w:val="center"/>
            </w:pPr>
            <w:r>
              <w:t>5</w:t>
            </w:r>
          </w:p>
        </w:tc>
        <w:tc>
          <w:tcPr>
            <w:tcW w:w="415" w:type="pct"/>
            <w:shd w:val="clear" w:color="auto" w:fill="FFFF00"/>
            <w:noWrap/>
            <w:vAlign w:val="center"/>
          </w:tcPr>
          <w:p w14:paraId="67481A47" w14:textId="77777777" w:rsidR="00251C1A" w:rsidRDefault="00251C1A" w:rsidP="00604DF0">
            <w:pPr>
              <w:jc w:val="center"/>
            </w:pPr>
            <w:r>
              <w:t>4</w:t>
            </w:r>
          </w:p>
        </w:tc>
        <w:tc>
          <w:tcPr>
            <w:tcW w:w="418" w:type="pct"/>
            <w:shd w:val="clear" w:color="auto" w:fill="FFFF00"/>
            <w:noWrap/>
            <w:vAlign w:val="center"/>
          </w:tcPr>
          <w:p w14:paraId="5424F2FE" w14:textId="77777777" w:rsidR="00251C1A" w:rsidRDefault="00251C1A" w:rsidP="00604DF0">
            <w:pPr>
              <w:jc w:val="center"/>
            </w:pPr>
            <w:r>
              <w:t>4</w:t>
            </w:r>
          </w:p>
        </w:tc>
        <w:tc>
          <w:tcPr>
            <w:tcW w:w="415" w:type="pct"/>
            <w:shd w:val="clear" w:color="auto" w:fill="FF6600"/>
            <w:noWrap/>
            <w:vAlign w:val="center"/>
          </w:tcPr>
          <w:p w14:paraId="288AE9B2" w14:textId="77777777" w:rsidR="00251C1A" w:rsidRDefault="00251C1A" w:rsidP="00604DF0">
            <w:pPr>
              <w:jc w:val="center"/>
            </w:pPr>
            <w:r>
              <w:t>3</w:t>
            </w:r>
          </w:p>
        </w:tc>
        <w:tc>
          <w:tcPr>
            <w:tcW w:w="418" w:type="pct"/>
            <w:shd w:val="clear" w:color="auto" w:fill="FFFF00"/>
            <w:noWrap/>
            <w:vAlign w:val="center"/>
          </w:tcPr>
          <w:p w14:paraId="743408F5" w14:textId="77777777" w:rsidR="00251C1A" w:rsidRDefault="00251C1A" w:rsidP="00604DF0">
            <w:pPr>
              <w:jc w:val="center"/>
            </w:pPr>
            <w:r>
              <w:t>4</w:t>
            </w:r>
          </w:p>
        </w:tc>
        <w:tc>
          <w:tcPr>
            <w:tcW w:w="415" w:type="pct"/>
            <w:shd w:val="clear" w:color="auto" w:fill="FFFF00"/>
            <w:noWrap/>
            <w:vAlign w:val="center"/>
          </w:tcPr>
          <w:p w14:paraId="0B48A128" w14:textId="77777777" w:rsidR="00251C1A" w:rsidRDefault="00251C1A" w:rsidP="00604DF0">
            <w:pPr>
              <w:jc w:val="center"/>
            </w:pPr>
            <w:r>
              <w:t>4</w:t>
            </w:r>
          </w:p>
        </w:tc>
        <w:tc>
          <w:tcPr>
            <w:tcW w:w="412" w:type="pct"/>
            <w:shd w:val="clear" w:color="auto" w:fill="FFFF00"/>
            <w:vAlign w:val="center"/>
          </w:tcPr>
          <w:p w14:paraId="7C5B42A3" w14:textId="77777777" w:rsidR="00251C1A" w:rsidRDefault="00251C1A" w:rsidP="00604DF0">
            <w:pPr>
              <w:jc w:val="center"/>
            </w:pPr>
            <w:r>
              <w:t>4</w:t>
            </w:r>
          </w:p>
        </w:tc>
      </w:tr>
      <w:tr w:rsidR="00251C1A" w:rsidRPr="00880004" w14:paraId="356DF8A2"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43AF4ECC"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376ECBC4"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308BE802"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02506B59"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6232E7E8"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55F7A06D"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17D24AB8"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79893581"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1FD68CB4" w14:textId="77777777" w:rsidR="00251C1A" w:rsidRDefault="00251C1A" w:rsidP="00604DF0">
            <w:pPr>
              <w:jc w:val="center"/>
            </w:pPr>
            <w:r>
              <w:t>4</w:t>
            </w:r>
          </w:p>
        </w:tc>
        <w:tc>
          <w:tcPr>
            <w:tcW w:w="412" w:type="pct"/>
            <w:tcBorders>
              <w:bottom w:val="single" w:sz="4" w:space="0" w:color="auto"/>
            </w:tcBorders>
            <w:shd w:val="clear" w:color="auto" w:fill="92D050"/>
            <w:vAlign w:val="center"/>
          </w:tcPr>
          <w:p w14:paraId="04E08C2B" w14:textId="77777777" w:rsidR="00251C1A" w:rsidRDefault="00251C1A" w:rsidP="00604DF0">
            <w:pPr>
              <w:jc w:val="center"/>
            </w:pPr>
            <w:r>
              <w:t>5</w:t>
            </w:r>
          </w:p>
        </w:tc>
      </w:tr>
      <w:tr w:rsidR="00251C1A" w:rsidRPr="00880004" w14:paraId="39AB076D"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56E81C5E"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Transport Phase 1 (INJ485)</w:t>
            </w:r>
          </w:p>
        </w:tc>
        <w:tc>
          <w:tcPr>
            <w:tcW w:w="658" w:type="pct"/>
            <w:vMerge w:val="restart"/>
            <w:vAlign w:val="center"/>
          </w:tcPr>
          <w:p w14:paraId="219520DC"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$38.242m</w:t>
            </w:r>
          </w:p>
          <w:p w14:paraId="711A622C"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2010-16</w:t>
            </w:r>
          </w:p>
        </w:tc>
        <w:tc>
          <w:tcPr>
            <w:tcW w:w="416" w:type="pct"/>
          </w:tcPr>
          <w:p w14:paraId="1C35326A"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3FDBCCDF" w14:textId="77777777" w:rsidR="00251C1A" w:rsidRDefault="00251C1A" w:rsidP="00604DF0">
            <w:pPr>
              <w:jc w:val="center"/>
            </w:pPr>
            <w:r>
              <w:t>6</w:t>
            </w:r>
          </w:p>
        </w:tc>
        <w:tc>
          <w:tcPr>
            <w:tcW w:w="415" w:type="pct"/>
            <w:shd w:val="clear" w:color="auto" w:fill="FFFF00"/>
            <w:noWrap/>
            <w:vAlign w:val="center"/>
          </w:tcPr>
          <w:p w14:paraId="6E4F61F9" w14:textId="77777777" w:rsidR="00251C1A" w:rsidRDefault="00251C1A" w:rsidP="00604DF0">
            <w:pPr>
              <w:jc w:val="center"/>
            </w:pPr>
            <w:r>
              <w:t>4</w:t>
            </w:r>
          </w:p>
        </w:tc>
        <w:tc>
          <w:tcPr>
            <w:tcW w:w="418" w:type="pct"/>
            <w:shd w:val="clear" w:color="auto" w:fill="FFFF00"/>
            <w:noWrap/>
            <w:vAlign w:val="center"/>
          </w:tcPr>
          <w:p w14:paraId="766E7AED" w14:textId="77777777" w:rsidR="00251C1A" w:rsidRDefault="00251C1A" w:rsidP="00604DF0">
            <w:pPr>
              <w:jc w:val="center"/>
            </w:pPr>
            <w:r>
              <w:t>4</w:t>
            </w:r>
          </w:p>
        </w:tc>
        <w:tc>
          <w:tcPr>
            <w:tcW w:w="415" w:type="pct"/>
            <w:shd w:val="clear" w:color="auto" w:fill="92D050"/>
            <w:noWrap/>
            <w:vAlign w:val="center"/>
          </w:tcPr>
          <w:p w14:paraId="076EBE7A" w14:textId="77777777" w:rsidR="00251C1A" w:rsidRDefault="00251C1A" w:rsidP="00604DF0">
            <w:pPr>
              <w:jc w:val="center"/>
            </w:pPr>
            <w:r>
              <w:t>5</w:t>
            </w:r>
          </w:p>
        </w:tc>
        <w:tc>
          <w:tcPr>
            <w:tcW w:w="418" w:type="pct"/>
            <w:shd w:val="clear" w:color="auto" w:fill="92D050"/>
            <w:noWrap/>
            <w:vAlign w:val="center"/>
          </w:tcPr>
          <w:p w14:paraId="3E8E02D8" w14:textId="77777777" w:rsidR="00251C1A" w:rsidRDefault="00251C1A" w:rsidP="00604DF0">
            <w:pPr>
              <w:jc w:val="center"/>
            </w:pPr>
            <w:r>
              <w:t>5</w:t>
            </w:r>
          </w:p>
        </w:tc>
        <w:tc>
          <w:tcPr>
            <w:tcW w:w="415" w:type="pct"/>
            <w:shd w:val="clear" w:color="auto" w:fill="92D050"/>
            <w:noWrap/>
            <w:vAlign w:val="center"/>
          </w:tcPr>
          <w:p w14:paraId="690FFEF8" w14:textId="77777777" w:rsidR="00251C1A" w:rsidRDefault="00251C1A" w:rsidP="00604DF0">
            <w:pPr>
              <w:jc w:val="center"/>
            </w:pPr>
            <w:r>
              <w:t>5</w:t>
            </w:r>
          </w:p>
        </w:tc>
        <w:tc>
          <w:tcPr>
            <w:tcW w:w="412" w:type="pct"/>
            <w:shd w:val="clear" w:color="auto" w:fill="92D050"/>
            <w:vAlign w:val="center"/>
          </w:tcPr>
          <w:p w14:paraId="25B55C84" w14:textId="77777777" w:rsidR="00251C1A" w:rsidRDefault="00251C1A" w:rsidP="00604DF0">
            <w:pPr>
              <w:jc w:val="center"/>
            </w:pPr>
            <w:r>
              <w:t>5</w:t>
            </w:r>
          </w:p>
        </w:tc>
      </w:tr>
      <w:tr w:rsidR="00251C1A" w:rsidRPr="00880004" w14:paraId="425835A1"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7148A168"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0A65178F"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63457754"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7AFFBC0F" w14:textId="77777777" w:rsidR="00251C1A" w:rsidRDefault="00251C1A" w:rsidP="00604DF0">
            <w:pPr>
              <w:jc w:val="center"/>
            </w:pPr>
            <w:r>
              <w:t>6</w:t>
            </w:r>
          </w:p>
        </w:tc>
        <w:tc>
          <w:tcPr>
            <w:tcW w:w="415" w:type="pct"/>
            <w:tcBorders>
              <w:bottom w:val="single" w:sz="4" w:space="0" w:color="auto"/>
            </w:tcBorders>
            <w:shd w:val="clear" w:color="auto" w:fill="FFFF00"/>
            <w:noWrap/>
            <w:vAlign w:val="center"/>
          </w:tcPr>
          <w:p w14:paraId="3FDE96E4"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594F8404"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5A886977" w14:textId="77777777" w:rsidR="00251C1A" w:rsidRDefault="00251C1A" w:rsidP="00604DF0">
            <w:pPr>
              <w:jc w:val="center"/>
            </w:pPr>
            <w:r>
              <w:t>4</w:t>
            </w:r>
          </w:p>
        </w:tc>
        <w:tc>
          <w:tcPr>
            <w:tcW w:w="418" w:type="pct"/>
            <w:tcBorders>
              <w:bottom w:val="single" w:sz="4" w:space="0" w:color="auto"/>
            </w:tcBorders>
            <w:shd w:val="clear" w:color="auto" w:fill="92D050"/>
            <w:noWrap/>
            <w:vAlign w:val="center"/>
          </w:tcPr>
          <w:p w14:paraId="3E42D62B"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251F0497" w14:textId="77777777" w:rsidR="00251C1A" w:rsidRDefault="00251C1A" w:rsidP="00604DF0">
            <w:pPr>
              <w:jc w:val="center"/>
            </w:pPr>
            <w:r>
              <w:t>4</w:t>
            </w:r>
          </w:p>
        </w:tc>
        <w:tc>
          <w:tcPr>
            <w:tcW w:w="412" w:type="pct"/>
            <w:tcBorders>
              <w:bottom w:val="single" w:sz="4" w:space="0" w:color="auto"/>
            </w:tcBorders>
            <w:shd w:val="clear" w:color="auto" w:fill="FFFF00"/>
            <w:vAlign w:val="center"/>
          </w:tcPr>
          <w:p w14:paraId="31FFEDF2" w14:textId="77777777" w:rsidR="00251C1A" w:rsidRDefault="00251C1A" w:rsidP="00604DF0">
            <w:pPr>
              <w:jc w:val="center"/>
            </w:pPr>
            <w:r>
              <w:t>4</w:t>
            </w:r>
          </w:p>
        </w:tc>
      </w:tr>
      <w:tr w:rsidR="009348C3" w:rsidRPr="00880004" w14:paraId="21558CB9"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4D0E3DB9" w14:textId="77777777" w:rsidR="009348C3" w:rsidRPr="00C2750F" w:rsidRDefault="009348C3" w:rsidP="00D52419">
            <w:pPr>
              <w:keepLines/>
              <w:spacing w:before="40" w:after="40" w:line="200" w:lineRule="atLeast"/>
              <w:rPr>
                <w:rFonts w:asciiTheme="minorHAnsi" w:eastAsia="Times New Roman" w:hAnsiTheme="minorHAnsi"/>
                <w:iCs/>
                <w:szCs w:val="17"/>
                <w:lang w:eastAsia="en-US"/>
              </w:rPr>
            </w:pPr>
            <w:r w:rsidRPr="00C2750F">
              <w:rPr>
                <w:rFonts w:asciiTheme="minorHAnsi" w:eastAsia="Times New Roman" w:hAnsiTheme="minorHAnsi"/>
                <w:iCs/>
                <w:szCs w:val="17"/>
                <w:lang w:eastAsia="en-US"/>
              </w:rPr>
              <w:t>Urban water (INK143)</w:t>
            </w:r>
          </w:p>
        </w:tc>
        <w:tc>
          <w:tcPr>
            <w:tcW w:w="658" w:type="pct"/>
            <w:vMerge w:val="restart"/>
            <w:vAlign w:val="center"/>
          </w:tcPr>
          <w:p w14:paraId="3662D30D" w14:textId="77777777" w:rsidR="009348C3" w:rsidRPr="0028036E" w:rsidRDefault="009348C3"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$14.202m</w:t>
            </w:r>
          </w:p>
          <w:p w14:paraId="08476255" w14:textId="77777777" w:rsidR="009348C3" w:rsidRPr="0028036E" w:rsidRDefault="009348C3" w:rsidP="0028036E">
            <w:pPr>
              <w:spacing w:line="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2011-17</w:t>
            </w:r>
          </w:p>
        </w:tc>
        <w:tc>
          <w:tcPr>
            <w:tcW w:w="416" w:type="pct"/>
          </w:tcPr>
          <w:p w14:paraId="35940ABB" w14:textId="77777777" w:rsidR="009348C3" w:rsidRPr="0028036E" w:rsidRDefault="009348C3"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0B6C7616" w14:textId="77777777" w:rsidR="009348C3" w:rsidRDefault="009348C3" w:rsidP="001C67AF">
            <w:pPr>
              <w:jc w:val="center"/>
            </w:pPr>
            <w:r>
              <w:t>5</w:t>
            </w:r>
          </w:p>
        </w:tc>
        <w:tc>
          <w:tcPr>
            <w:tcW w:w="415" w:type="pct"/>
            <w:shd w:val="clear" w:color="auto" w:fill="FFFF00"/>
            <w:noWrap/>
            <w:vAlign w:val="center"/>
          </w:tcPr>
          <w:p w14:paraId="5AFAEEC6" w14:textId="77777777" w:rsidR="009348C3" w:rsidRDefault="009348C3" w:rsidP="001C67AF">
            <w:pPr>
              <w:jc w:val="center"/>
            </w:pPr>
            <w:r>
              <w:t>4</w:t>
            </w:r>
          </w:p>
        </w:tc>
        <w:tc>
          <w:tcPr>
            <w:tcW w:w="418" w:type="pct"/>
            <w:shd w:val="clear" w:color="auto" w:fill="FFFF00"/>
            <w:noWrap/>
            <w:vAlign w:val="center"/>
          </w:tcPr>
          <w:p w14:paraId="67A71864" w14:textId="77777777" w:rsidR="009348C3" w:rsidRDefault="009348C3" w:rsidP="001C67AF">
            <w:pPr>
              <w:jc w:val="center"/>
            </w:pPr>
            <w:r>
              <w:t>4</w:t>
            </w:r>
          </w:p>
        </w:tc>
        <w:tc>
          <w:tcPr>
            <w:tcW w:w="415" w:type="pct"/>
            <w:shd w:val="clear" w:color="auto" w:fill="FFFF00"/>
            <w:noWrap/>
            <w:vAlign w:val="center"/>
          </w:tcPr>
          <w:p w14:paraId="105F94D7" w14:textId="77777777" w:rsidR="009348C3" w:rsidRDefault="009348C3" w:rsidP="001C67AF">
            <w:pPr>
              <w:jc w:val="center"/>
            </w:pPr>
            <w:r>
              <w:t>4</w:t>
            </w:r>
          </w:p>
        </w:tc>
        <w:tc>
          <w:tcPr>
            <w:tcW w:w="418" w:type="pct"/>
            <w:shd w:val="clear" w:color="auto" w:fill="FFFF00"/>
            <w:noWrap/>
            <w:vAlign w:val="center"/>
          </w:tcPr>
          <w:p w14:paraId="3DDDADC9" w14:textId="77777777" w:rsidR="009348C3" w:rsidRDefault="009348C3" w:rsidP="001C67AF">
            <w:pPr>
              <w:jc w:val="center"/>
            </w:pPr>
            <w:r>
              <w:t>4</w:t>
            </w:r>
          </w:p>
        </w:tc>
        <w:tc>
          <w:tcPr>
            <w:tcW w:w="415" w:type="pct"/>
            <w:shd w:val="clear" w:color="auto" w:fill="FFFF00"/>
            <w:noWrap/>
            <w:vAlign w:val="center"/>
          </w:tcPr>
          <w:p w14:paraId="7C60BBE7" w14:textId="77777777" w:rsidR="009348C3" w:rsidRDefault="009348C3" w:rsidP="001C67AF">
            <w:pPr>
              <w:jc w:val="center"/>
            </w:pPr>
            <w:r>
              <w:t>4</w:t>
            </w:r>
          </w:p>
        </w:tc>
        <w:tc>
          <w:tcPr>
            <w:tcW w:w="412" w:type="pct"/>
            <w:shd w:val="clear" w:color="auto" w:fill="92D050"/>
            <w:vAlign w:val="center"/>
          </w:tcPr>
          <w:p w14:paraId="26157C7D" w14:textId="77777777" w:rsidR="009348C3" w:rsidRDefault="009348C3" w:rsidP="001C67AF">
            <w:pPr>
              <w:jc w:val="center"/>
            </w:pPr>
            <w:r>
              <w:t>5</w:t>
            </w:r>
          </w:p>
        </w:tc>
      </w:tr>
      <w:tr w:rsidR="00251C1A" w:rsidRPr="00880004" w14:paraId="11BA300B"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6A04495B"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417F1215"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42E58A4B"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7AF730D7"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7819A0E3"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0A3E1D2E"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0BF212CE" w14:textId="77777777" w:rsidR="00251C1A" w:rsidRDefault="00251C1A" w:rsidP="00604DF0">
            <w:pPr>
              <w:jc w:val="center"/>
            </w:pPr>
            <w:r>
              <w:t>4</w:t>
            </w:r>
          </w:p>
        </w:tc>
        <w:tc>
          <w:tcPr>
            <w:tcW w:w="418" w:type="pct"/>
            <w:tcBorders>
              <w:bottom w:val="single" w:sz="4" w:space="0" w:color="auto"/>
            </w:tcBorders>
            <w:shd w:val="clear" w:color="auto" w:fill="92D050"/>
            <w:noWrap/>
            <w:vAlign w:val="center"/>
          </w:tcPr>
          <w:p w14:paraId="60C818F0"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7771A08D" w14:textId="77777777" w:rsidR="00251C1A" w:rsidRDefault="00251C1A" w:rsidP="00604DF0">
            <w:pPr>
              <w:jc w:val="center"/>
            </w:pPr>
            <w:r>
              <w:t>4</w:t>
            </w:r>
          </w:p>
        </w:tc>
        <w:tc>
          <w:tcPr>
            <w:tcW w:w="412" w:type="pct"/>
            <w:tcBorders>
              <w:bottom w:val="single" w:sz="4" w:space="0" w:color="auto"/>
            </w:tcBorders>
            <w:shd w:val="clear" w:color="auto" w:fill="FFFF00"/>
            <w:vAlign w:val="center"/>
          </w:tcPr>
          <w:p w14:paraId="5D293A9B" w14:textId="77777777" w:rsidR="00251C1A" w:rsidRDefault="00251C1A" w:rsidP="00604DF0">
            <w:pPr>
              <w:jc w:val="center"/>
            </w:pPr>
            <w:r>
              <w:t>4</w:t>
            </w:r>
          </w:p>
        </w:tc>
      </w:tr>
      <w:tr w:rsidR="00251C1A" w:rsidRPr="00880004" w14:paraId="2091AD74"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2ED1C068"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Governance (INL122)</w:t>
            </w:r>
          </w:p>
        </w:tc>
        <w:tc>
          <w:tcPr>
            <w:tcW w:w="658" w:type="pct"/>
            <w:vMerge w:val="restart"/>
            <w:vAlign w:val="center"/>
          </w:tcPr>
          <w:p w14:paraId="3FCF2847"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 xml:space="preserve">$49.297m </w:t>
            </w:r>
          </w:p>
          <w:p w14:paraId="0949051C"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2013-17</w:t>
            </w:r>
          </w:p>
        </w:tc>
        <w:tc>
          <w:tcPr>
            <w:tcW w:w="416" w:type="pct"/>
          </w:tcPr>
          <w:p w14:paraId="5155CA6E"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6343ADD5" w14:textId="77777777" w:rsidR="00251C1A" w:rsidRDefault="00251C1A" w:rsidP="00604DF0">
            <w:pPr>
              <w:jc w:val="center"/>
            </w:pPr>
            <w:r>
              <w:t>5</w:t>
            </w:r>
          </w:p>
        </w:tc>
        <w:tc>
          <w:tcPr>
            <w:tcW w:w="415" w:type="pct"/>
            <w:shd w:val="clear" w:color="auto" w:fill="FFFF00"/>
            <w:noWrap/>
            <w:vAlign w:val="center"/>
          </w:tcPr>
          <w:p w14:paraId="3670B659" w14:textId="77777777" w:rsidR="00251C1A" w:rsidRDefault="00251C1A" w:rsidP="00604DF0">
            <w:pPr>
              <w:jc w:val="center"/>
            </w:pPr>
            <w:r>
              <w:t>4</w:t>
            </w:r>
          </w:p>
        </w:tc>
        <w:tc>
          <w:tcPr>
            <w:tcW w:w="418" w:type="pct"/>
            <w:shd w:val="clear" w:color="auto" w:fill="92D050"/>
            <w:noWrap/>
            <w:vAlign w:val="center"/>
          </w:tcPr>
          <w:p w14:paraId="1D103260" w14:textId="77777777" w:rsidR="00251C1A" w:rsidRDefault="00251C1A" w:rsidP="00604DF0">
            <w:pPr>
              <w:jc w:val="center"/>
            </w:pPr>
            <w:r>
              <w:t>5</w:t>
            </w:r>
          </w:p>
        </w:tc>
        <w:tc>
          <w:tcPr>
            <w:tcW w:w="415" w:type="pct"/>
            <w:shd w:val="clear" w:color="auto" w:fill="FFFF00"/>
            <w:noWrap/>
            <w:vAlign w:val="center"/>
          </w:tcPr>
          <w:p w14:paraId="11694FA4" w14:textId="77777777" w:rsidR="00251C1A" w:rsidRDefault="00251C1A" w:rsidP="00604DF0">
            <w:pPr>
              <w:jc w:val="center"/>
            </w:pPr>
            <w:r>
              <w:t>4</w:t>
            </w:r>
          </w:p>
        </w:tc>
        <w:tc>
          <w:tcPr>
            <w:tcW w:w="418" w:type="pct"/>
            <w:shd w:val="clear" w:color="auto" w:fill="FFFF00"/>
            <w:noWrap/>
            <w:vAlign w:val="center"/>
          </w:tcPr>
          <w:p w14:paraId="1020F3FD" w14:textId="77777777" w:rsidR="00251C1A" w:rsidRDefault="00251C1A" w:rsidP="00604DF0">
            <w:pPr>
              <w:jc w:val="center"/>
            </w:pPr>
            <w:r>
              <w:t>4</w:t>
            </w:r>
          </w:p>
        </w:tc>
        <w:tc>
          <w:tcPr>
            <w:tcW w:w="415" w:type="pct"/>
            <w:shd w:val="clear" w:color="auto" w:fill="FFFF00"/>
            <w:noWrap/>
            <w:vAlign w:val="center"/>
          </w:tcPr>
          <w:p w14:paraId="5B3CE73B" w14:textId="77777777" w:rsidR="00251C1A" w:rsidRDefault="00251C1A" w:rsidP="00604DF0">
            <w:pPr>
              <w:jc w:val="center"/>
            </w:pPr>
            <w:r>
              <w:t>4</w:t>
            </w:r>
          </w:p>
        </w:tc>
        <w:tc>
          <w:tcPr>
            <w:tcW w:w="412" w:type="pct"/>
            <w:shd w:val="clear" w:color="auto" w:fill="92D050"/>
            <w:vAlign w:val="center"/>
          </w:tcPr>
          <w:p w14:paraId="4A7FB6B9" w14:textId="77777777" w:rsidR="00251C1A" w:rsidRDefault="00251C1A" w:rsidP="00604DF0">
            <w:pPr>
              <w:jc w:val="center"/>
            </w:pPr>
            <w:r>
              <w:t>5</w:t>
            </w:r>
          </w:p>
        </w:tc>
      </w:tr>
      <w:tr w:rsidR="00251C1A" w:rsidRPr="00880004" w14:paraId="62694EEE"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0FB7F13E"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1EAE908C"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29EC071A"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5ED94BC8" w14:textId="77777777" w:rsidR="00251C1A" w:rsidRDefault="00251C1A" w:rsidP="00604DF0">
            <w:pPr>
              <w:jc w:val="center"/>
            </w:pPr>
            <w:r>
              <w:t>6</w:t>
            </w:r>
          </w:p>
        </w:tc>
        <w:tc>
          <w:tcPr>
            <w:tcW w:w="415" w:type="pct"/>
            <w:tcBorders>
              <w:bottom w:val="single" w:sz="4" w:space="0" w:color="auto"/>
            </w:tcBorders>
            <w:shd w:val="clear" w:color="auto" w:fill="FFFF00"/>
            <w:noWrap/>
            <w:vAlign w:val="center"/>
          </w:tcPr>
          <w:p w14:paraId="513D219B"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313F0B01"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5A95FB14"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46CE26AD" w14:textId="77777777" w:rsidR="00251C1A" w:rsidRDefault="00251C1A" w:rsidP="00604DF0">
            <w:pPr>
              <w:jc w:val="center"/>
            </w:pPr>
            <w:r>
              <w:t>4</w:t>
            </w:r>
          </w:p>
        </w:tc>
        <w:tc>
          <w:tcPr>
            <w:tcW w:w="415" w:type="pct"/>
            <w:tcBorders>
              <w:bottom w:val="single" w:sz="4" w:space="0" w:color="auto"/>
            </w:tcBorders>
            <w:shd w:val="clear" w:color="auto" w:fill="FF6600"/>
            <w:noWrap/>
            <w:vAlign w:val="center"/>
          </w:tcPr>
          <w:p w14:paraId="6DAE90B7" w14:textId="77777777" w:rsidR="00251C1A" w:rsidRDefault="00251C1A" w:rsidP="00604DF0">
            <w:pPr>
              <w:jc w:val="center"/>
            </w:pPr>
            <w:r>
              <w:t>3</w:t>
            </w:r>
          </w:p>
        </w:tc>
        <w:tc>
          <w:tcPr>
            <w:tcW w:w="412" w:type="pct"/>
            <w:tcBorders>
              <w:bottom w:val="single" w:sz="4" w:space="0" w:color="auto"/>
            </w:tcBorders>
            <w:shd w:val="clear" w:color="auto" w:fill="92D050"/>
            <w:vAlign w:val="center"/>
          </w:tcPr>
          <w:p w14:paraId="5CF29C76" w14:textId="77777777" w:rsidR="00251C1A" w:rsidRDefault="00251C1A" w:rsidP="00604DF0">
            <w:pPr>
              <w:jc w:val="center"/>
            </w:pPr>
            <w:r>
              <w:t>5</w:t>
            </w:r>
          </w:p>
        </w:tc>
      </w:tr>
    </w:tbl>
    <w:p w14:paraId="09A813E8" w14:textId="77777777" w:rsidR="005646A9" w:rsidRDefault="005646A9">
      <w:r>
        <w:br w:type="page"/>
      </w:r>
    </w:p>
    <w:tbl>
      <w:tblPr>
        <w:tblStyle w:val="APPR"/>
        <w:tblW w:w="5000" w:type="pct"/>
        <w:tblLook w:val="0000" w:firstRow="0" w:lastRow="0" w:firstColumn="0" w:lastColumn="0" w:noHBand="0" w:noVBand="0"/>
      </w:tblPr>
      <w:tblGrid>
        <w:gridCol w:w="2670"/>
        <w:gridCol w:w="1930"/>
        <w:gridCol w:w="1231"/>
        <w:gridCol w:w="1237"/>
        <w:gridCol w:w="1228"/>
        <w:gridCol w:w="1237"/>
        <w:gridCol w:w="1228"/>
        <w:gridCol w:w="1237"/>
        <w:gridCol w:w="1228"/>
        <w:gridCol w:w="1234"/>
      </w:tblGrid>
      <w:tr w:rsidR="00791E1B" w:rsidRPr="00880004" w14:paraId="48AC818A"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7D05E829" w14:textId="48CD5E51"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Statistics (INL127)</w:t>
            </w:r>
          </w:p>
        </w:tc>
        <w:tc>
          <w:tcPr>
            <w:tcW w:w="658" w:type="pct"/>
            <w:vMerge w:val="restart"/>
            <w:vAlign w:val="center"/>
          </w:tcPr>
          <w:p w14:paraId="66A855B8"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$4.64m</w:t>
            </w:r>
          </w:p>
          <w:p w14:paraId="62ED522D"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2013-17</w:t>
            </w:r>
          </w:p>
        </w:tc>
        <w:tc>
          <w:tcPr>
            <w:tcW w:w="416" w:type="pct"/>
          </w:tcPr>
          <w:p w14:paraId="45767C7D"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FFFF00"/>
            <w:noWrap/>
            <w:vAlign w:val="center"/>
          </w:tcPr>
          <w:p w14:paraId="6D928FB7" w14:textId="77777777" w:rsidR="00251C1A" w:rsidRDefault="00251C1A" w:rsidP="00604DF0">
            <w:pPr>
              <w:jc w:val="center"/>
            </w:pPr>
            <w:r>
              <w:t>4</w:t>
            </w:r>
          </w:p>
        </w:tc>
        <w:tc>
          <w:tcPr>
            <w:tcW w:w="415" w:type="pct"/>
            <w:shd w:val="clear" w:color="auto" w:fill="FF6600"/>
            <w:noWrap/>
            <w:vAlign w:val="center"/>
          </w:tcPr>
          <w:p w14:paraId="2AA04430" w14:textId="7E002D2D" w:rsidR="00251C1A" w:rsidRDefault="00447D3B" w:rsidP="00604DF0">
            <w:pPr>
              <w:jc w:val="center"/>
            </w:pPr>
            <w:r>
              <w:t>3</w:t>
            </w:r>
          </w:p>
        </w:tc>
        <w:tc>
          <w:tcPr>
            <w:tcW w:w="418" w:type="pct"/>
            <w:shd w:val="clear" w:color="auto" w:fill="FFFF00"/>
            <w:noWrap/>
            <w:vAlign w:val="center"/>
          </w:tcPr>
          <w:p w14:paraId="61649DB5" w14:textId="77777777" w:rsidR="00251C1A" w:rsidRDefault="00251C1A" w:rsidP="00604DF0">
            <w:pPr>
              <w:jc w:val="center"/>
            </w:pPr>
            <w:r>
              <w:t>4</w:t>
            </w:r>
          </w:p>
        </w:tc>
        <w:tc>
          <w:tcPr>
            <w:tcW w:w="415" w:type="pct"/>
            <w:shd w:val="clear" w:color="auto" w:fill="FFFF00"/>
            <w:noWrap/>
            <w:vAlign w:val="center"/>
          </w:tcPr>
          <w:p w14:paraId="6C031267" w14:textId="77777777" w:rsidR="00251C1A" w:rsidRDefault="00251C1A" w:rsidP="00604DF0">
            <w:pPr>
              <w:jc w:val="center"/>
            </w:pPr>
            <w:r>
              <w:t>4</w:t>
            </w:r>
          </w:p>
        </w:tc>
        <w:tc>
          <w:tcPr>
            <w:tcW w:w="418" w:type="pct"/>
            <w:shd w:val="clear" w:color="auto" w:fill="FF6600"/>
            <w:noWrap/>
            <w:vAlign w:val="center"/>
          </w:tcPr>
          <w:p w14:paraId="4CE5D79A" w14:textId="67D218AC" w:rsidR="00251C1A" w:rsidRDefault="00447D3B" w:rsidP="00604DF0">
            <w:pPr>
              <w:jc w:val="center"/>
            </w:pPr>
            <w:r>
              <w:t>3</w:t>
            </w:r>
          </w:p>
        </w:tc>
        <w:tc>
          <w:tcPr>
            <w:tcW w:w="415" w:type="pct"/>
            <w:shd w:val="clear" w:color="auto" w:fill="FFFF00"/>
            <w:noWrap/>
            <w:vAlign w:val="center"/>
          </w:tcPr>
          <w:p w14:paraId="288D1539" w14:textId="77777777" w:rsidR="00251C1A" w:rsidRDefault="00251C1A" w:rsidP="00604DF0">
            <w:pPr>
              <w:jc w:val="center"/>
            </w:pPr>
            <w:r>
              <w:t>4</w:t>
            </w:r>
          </w:p>
        </w:tc>
        <w:tc>
          <w:tcPr>
            <w:tcW w:w="412" w:type="pct"/>
            <w:shd w:val="clear" w:color="auto" w:fill="FFFF00"/>
            <w:vAlign w:val="center"/>
          </w:tcPr>
          <w:p w14:paraId="47740339" w14:textId="77777777" w:rsidR="00251C1A" w:rsidRDefault="00251C1A" w:rsidP="00604DF0">
            <w:pPr>
              <w:jc w:val="center"/>
            </w:pPr>
            <w:r>
              <w:t>4</w:t>
            </w:r>
          </w:p>
        </w:tc>
      </w:tr>
      <w:tr w:rsidR="00251C1A" w:rsidRPr="00880004" w14:paraId="42C72ADC"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1CF27130"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1BED010D"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6E4E158E"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449DCD84"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74E20E34" w14:textId="77777777" w:rsidR="00251C1A" w:rsidRDefault="00251C1A" w:rsidP="00604DF0">
            <w:pPr>
              <w:jc w:val="center"/>
            </w:pPr>
            <w:r>
              <w:t>4</w:t>
            </w:r>
          </w:p>
        </w:tc>
        <w:tc>
          <w:tcPr>
            <w:tcW w:w="418" w:type="pct"/>
            <w:tcBorders>
              <w:bottom w:val="single" w:sz="4" w:space="0" w:color="auto"/>
            </w:tcBorders>
            <w:shd w:val="clear" w:color="auto" w:fill="92D050"/>
            <w:noWrap/>
            <w:vAlign w:val="center"/>
          </w:tcPr>
          <w:p w14:paraId="1F47C526"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1F62F7C8"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32C8773E" w14:textId="77777777" w:rsidR="00251C1A" w:rsidRDefault="00251C1A" w:rsidP="00604DF0">
            <w:pPr>
              <w:jc w:val="center"/>
            </w:pPr>
            <w:r>
              <w:t>4</w:t>
            </w:r>
          </w:p>
        </w:tc>
        <w:tc>
          <w:tcPr>
            <w:tcW w:w="415" w:type="pct"/>
            <w:tcBorders>
              <w:bottom w:val="single" w:sz="4" w:space="0" w:color="auto"/>
            </w:tcBorders>
            <w:shd w:val="clear" w:color="auto" w:fill="92D050"/>
            <w:noWrap/>
            <w:vAlign w:val="center"/>
          </w:tcPr>
          <w:p w14:paraId="4F935938" w14:textId="77777777" w:rsidR="00251C1A" w:rsidRDefault="00251C1A" w:rsidP="00604DF0">
            <w:pPr>
              <w:jc w:val="center"/>
            </w:pPr>
            <w:r>
              <w:t>5</w:t>
            </w:r>
          </w:p>
        </w:tc>
        <w:tc>
          <w:tcPr>
            <w:tcW w:w="412" w:type="pct"/>
            <w:tcBorders>
              <w:bottom w:val="single" w:sz="4" w:space="0" w:color="auto"/>
            </w:tcBorders>
            <w:shd w:val="clear" w:color="auto" w:fill="FFFF00"/>
            <w:vAlign w:val="center"/>
          </w:tcPr>
          <w:p w14:paraId="62D28F0F" w14:textId="77777777" w:rsidR="00251C1A" w:rsidRDefault="00251C1A" w:rsidP="00604DF0">
            <w:pPr>
              <w:jc w:val="center"/>
            </w:pPr>
            <w:r>
              <w:t>4</w:t>
            </w:r>
          </w:p>
        </w:tc>
      </w:tr>
      <w:tr w:rsidR="00251C1A" w:rsidRPr="00880004" w14:paraId="58D0A338"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6DC40FCA"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Education (INK172)</w:t>
            </w:r>
          </w:p>
        </w:tc>
        <w:tc>
          <w:tcPr>
            <w:tcW w:w="658" w:type="pct"/>
            <w:vMerge w:val="restart"/>
            <w:vAlign w:val="center"/>
          </w:tcPr>
          <w:p w14:paraId="159E985E"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$23.95m</w:t>
            </w:r>
          </w:p>
          <w:p w14:paraId="00481BDA"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2011-15</w:t>
            </w:r>
          </w:p>
        </w:tc>
        <w:tc>
          <w:tcPr>
            <w:tcW w:w="416" w:type="pct"/>
          </w:tcPr>
          <w:p w14:paraId="69613B88"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5235B93B" w14:textId="77777777" w:rsidR="00251C1A" w:rsidRDefault="00251C1A" w:rsidP="00604DF0">
            <w:pPr>
              <w:jc w:val="center"/>
            </w:pPr>
            <w:r>
              <w:t>5</w:t>
            </w:r>
          </w:p>
        </w:tc>
        <w:tc>
          <w:tcPr>
            <w:tcW w:w="415" w:type="pct"/>
            <w:shd w:val="clear" w:color="auto" w:fill="92D050"/>
            <w:noWrap/>
            <w:vAlign w:val="center"/>
          </w:tcPr>
          <w:p w14:paraId="720FF914" w14:textId="77777777" w:rsidR="00251C1A" w:rsidRDefault="00251C1A" w:rsidP="00604DF0">
            <w:pPr>
              <w:jc w:val="center"/>
            </w:pPr>
            <w:r>
              <w:t>5</w:t>
            </w:r>
          </w:p>
        </w:tc>
        <w:tc>
          <w:tcPr>
            <w:tcW w:w="418" w:type="pct"/>
            <w:shd w:val="clear" w:color="auto" w:fill="92D050"/>
            <w:noWrap/>
            <w:vAlign w:val="center"/>
          </w:tcPr>
          <w:p w14:paraId="69D35CA3" w14:textId="77777777" w:rsidR="00251C1A" w:rsidRDefault="00251C1A" w:rsidP="00604DF0">
            <w:pPr>
              <w:jc w:val="center"/>
            </w:pPr>
            <w:r>
              <w:t>5</w:t>
            </w:r>
          </w:p>
        </w:tc>
        <w:tc>
          <w:tcPr>
            <w:tcW w:w="415" w:type="pct"/>
            <w:shd w:val="clear" w:color="auto" w:fill="92D050"/>
            <w:noWrap/>
            <w:vAlign w:val="center"/>
          </w:tcPr>
          <w:p w14:paraId="6C95DA77" w14:textId="77777777" w:rsidR="00251C1A" w:rsidRDefault="00251C1A" w:rsidP="00604DF0">
            <w:pPr>
              <w:jc w:val="center"/>
            </w:pPr>
            <w:r>
              <w:t>5</w:t>
            </w:r>
          </w:p>
        </w:tc>
        <w:tc>
          <w:tcPr>
            <w:tcW w:w="418" w:type="pct"/>
            <w:shd w:val="clear" w:color="auto" w:fill="92D050"/>
            <w:noWrap/>
            <w:vAlign w:val="center"/>
          </w:tcPr>
          <w:p w14:paraId="4BEAEDBB" w14:textId="77777777" w:rsidR="00251C1A" w:rsidRDefault="00251C1A" w:rsidP="00604DF0">
            <w:pPr>
              <w:jc w:val="center"/>
            </w:pPr>
            <w:r>
              <w:t>5</w:t>
            </w:r>
          </w:p>
        </w:tc>
        <w:tc>
          <w:tcPr>
            <w:tcW w:w="415" w:type="pct"/>
            <w:shd w:val="clear" w:color="auto" w:fill="92D050"/>
            <w:noWrap/>
            <w:vAlign w:val="center"/>
          </w:tcPr>
          <w:p w14:paraId="0EAF0B5C" w14:textId="77777777" w:rsidR="00251C1A" w:rsidRDefault="00251C1A" w:rsidP="00604DF0">
            <w:pPr>
              <w:jc w:val="center"/>
            </w:pPr>
            <w:r>
              <w:t>5</w:t>
            </w:r>
          </w:p>
        </w:tc>
        <w:tc>
          <w:tcPr>
            <w:tcW w:w="412" w:type="pct"/>
            <w:shd w:val="clear" w:color="auto" w:fill="FFFF00"/>
            <w:vAlign w:val="center"/>
          </w:tcPr>
          <w:p w14:paraId="6C537587" w14:textId="77777777" w:rsidR="00251C1A" w:rsidRDefault="00251C1A" w:rsidP="00604DF0">
            <w:pPr>
              <w:jc w:val="center"/>
            </w:pPr>
            <w:r>
              <w:t>4</w:t>
            </w:r>
          </w:p>
        </w:tc>
      </w:tr>
      <w:tr w:rsidR="00251C1A" w:rsidRPr="00880004" w14:paraId="0ED8336C"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571279D4"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7AD895B9"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61F4E6FF"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0B4EAA2B" w14:textId="77777777" w:rsidR="00251C1A" w:rsidRDefault="00251C1A" w:rsidP="00604DF0">
            <w:pPr>
              <w:jc w:val="center"/>
            </w:pPr>
            <w:r>
              <w:t>6</w:t>
            </w:r>
          </w:p>
        </w:tc>
        <w:tc>
          <w:tcPr>
            <w:tcW w:w="415" w:type="pct"/>
            <w:tcBorders>
              <w:bottom w:val="single" w:sz="4" w:space="0" w:color="auto"/>
            </w:tcBorders>
            <w:shd w:val="clear" w:color="auto" w:fill="FFFF00"/>
            <w:noWrap/>
            <w:vAlign w:val="center"/>
          </w:tcPr>
          <w:p w14:paraId="63E2EBD1"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137D939C"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5394839D" w14:textId="77777777" w:rsidR="00251C1A" w:rsidRDefault="00251C1A" w:rsidP="00604DF0">
            <w:pPr>
              <w:jc w:val="center"/>
            </w:pPr>
            <w:r>
              <w:t>4</w:t>
            </w:r>
          </w:p>
        </w:tc>
        <w:tc>
          <w:tcPr>
            <w:tcW w:w="418" w:type="pct"/>
            <w:tcBorders>
              <w:bottom w:val="single" w:sz="4" w:space="0" w:color="auto"/>
            </w:tcBorders>
            <w:shd w:val="clear" w:color="auto" w:fill="92D050"/>
            <w:noWrap/>
            <w:vAlign w:val="center"/>
          </w:tcPr>
          <w:p w14:paraId="038A03DE" w14:textId="77777777" w:rsidR="00251C1A" w:rsidRDefault="00251C1A" w:rsidP="00604DF0">
            <w:pPr>
              <w:jc w:val="center"/>
            </w:pPr>
            <w:r>
              <w:t>5</w:t>
            </w:r>
          </w:p>
        </w:tc>
        <w:tc>
          <w:tcPr>
            <w:tcW w:w="415" w:type="pct"/>
            <w:tcBorders>
              <w:bottom w:val="single" w:sz="4" w:space="0" w:color="auto"/>
            </w:tcBorders>
            <w:shd w:val="clear" w:color="auto" w:fill="FFFF00"/>
            <w:noWrap/>
            <w:vAlign w:val="center"/>
          </w:tcPr>
          <w:p w14:paraId="60C3095A" w14:textId="77777777" w:rsidR="00251C1A" w:rsidRDefault="00251C1A" w:rsidP="00604DF0">
            <w:pPr>
              <w:jc w:val="center"/>
            </w:pPr>
            <w:r>
              <w:t>4</w:t>
            </w:r>
          </w:p>
        </w:tc>
        <w:tc>
          <w:tcPr>
            <w:tcW w:w="412" w:type="pct"/>
            <w:tcBorders>
              <w:bottom w:val="single" w:sz="4" w:space="0" w:color="auto"/>
            </w:tcBorders>
            <w:shd w:val="clear" w:color="auto" w:fill="FFFF00"/>
            <w:vAlign w:val="center"/>
          </w:tcPr>
          <w:p w14:paraId="354ABA42" w14:textId="77777777" w:rsidR="00251C1A" w:rsidRDefault="00251C1A" w:rsidP="00604DF0">
            <w:pPr>
              <w:jc w:val="center"/>
            </w:pPr>
            <w:r>
              <w:t>4</w:t>
            </w:r>
          </w:p>
        </w:tc>
      </w:tr>
      <w:tr w:rsidR="00791E1B" w:rsidRPr="00880004" w14:paraId="5E6917ED"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1739679D"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Democratic governance (INK788)</w:t>
            </w:r>
          </w:p>
        </w:tc>
        <w:tc>
          <w:tcPr>
            <w:tcW w:w="658" w:type="pct"/>
            <w:vMerge w:val="restart"/>
            <w:vAlign w:val="center"/>
          </w:tcPr>
          <w:p w14:paraId="1048C06A"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$9.887m</w:t>
            </w:r>
          </w:p>
          <w:p w14:paraId="520A55D5"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lastRenderedPageBreak/>
              <w:t>2013-17</w:t>
            </w:r>
          </w:p>
        </w:tc>
        <w:tc>
          <w:tcPr>
            <w:tcW w:w="416" w:type="pct"/>
          </w:tcPr>
          <w:p w14:paraId="718BB67A"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lastRenderedPageBreak/>
              <w:t>2016 AQC</w:t>
            </w:r>
          </w:p>
        </w:tc>
        <w:tc>
          <w:tcPr>
            <w:tcW w:w="418" w:type="pct"/>
            <w:shd w:val="clear" w:color="auto" w:fill="92D050"/>
            <w:noWrap/>
            <w:vAlign w:val="center"/>
          </w:tcPr>
          <w:p w14:paraId="17E447F4" w14:textId="77777777" w:rsidR="00251C1A" w:rsidRDefault="00251C1A" w:rsidP="00604DF0">
            <w:pPr>
              <w:jc w:val="center"/>
            </w:pPr>
            <w:r>
              <w:t>5</w:t>
            </w:r>
          </w:p>
        </w:tc>
        <w:tc>
          <w:tcPr>
            <w:tcW w:w="415" w:type="pct"/>
            <w:shd w:val="clear" w:color="auto" w:fill="FFFF00"/>
            <w:noWrap/>
            <w:vAlign w:val="center"/>
          </w:tcPr>
          <w:p w14:paraId="2BA92931" w14:textId="77777777" w:rsidR="00251C1A" w:rsidRDefault="00251C1A" w:rsidP="00604DF0">
            <w:pPr>
              <w:jc w:val="center"/>
            </w:pPr>
            <w:r>
              <w:t>4</w:t>
            </w:r>
          </w:p>
        </w:tc>
        <w:tc>
          <w:tcPr>
            <w:tcW w:w="418" w:type="pct"/>
            <w:shd w:val="clear" w:color="auto" w:fill="FFFF00"/>
            <w:noWrap/>
            <w:vAlign w:val="center"/>
          </w:tcPr>
          <w:p w14:paraId="139E1691" w14:textId="77777777" w:rsidR="00251C1A" w:rsidRDefault="00251C1A" w:rsidP="00604DF0">
            <w:pPr>
              <w:jc w:val="center"/>
            </w:pPr>
            <w:r>
              <w:t>4</w:t>
            </w:r>
          </w:p>
        </w:tc>
        <w:tc>
          <w:tcPr>
            <w:tcW w:w="415" w:type="pct"/>
            <w:shd w:val="clear" w:color="auto" w:fill="FFFF00"/>
            <w:noWrap/>
            <w:vAlign w:val="center"/>
          </w:tcPr>
          <w:p w14:paraId="32D48361" w14:textId="77777777" w:rsidR="00251C1A" w:rsidRDefault="00251C1A" w:rsidP="00604DF0">
            <w:pPr>
              <w:jc w:val="center"/>
            </w:pPr>
            <w:r>
              <w:t>4</w:t>
            </w:r>
          </w:p>
        </w:tc>
        <w:tc>
          <w:tcPr>
            <w:tcW w:w="418" w:type="pct"/>
            <w:shd w:val="clear" w:color="auto" w:fill="FF6600"/>
            <w:noWrap/>
            <w:vAlign w:val="center"/>
          </w:tcPr>
          <w:p w14:paraId="1DC0FDC0" w14:textId="02096C1C" w:rsidR="00251C1A" w:rsidRDefault="00447D3B" w:rsidP="00604DF0">
            <w:pPr>
              <w:jc w:val="center"/>
            </w:pPr>
            <w:r>
              <w:t>3</w:t>
            </w:r>
          </w:p>
        </w:tc>
        <w:tc>
          <w:tcPr>
            <w:tcW w:w="415" w:type="pct"/>
            <w:shd w:val="clear" w:color="auto" w:fill="FFFF00"/>
            <w:noWrap/>
            <w:vAlign w:val="center"/>
          </w:tcPr>
          <w:p w14:paraId="0FD37C9B" w14:textId="77777777" w:rsidR="00251C1A" w:rsidRDefault="00251C1A" w:rsidP="00604DF0">
            <w:pPr>
              <w:jc w:val="center"/>
            </w:pPr>
            <w:r>
              <w:t>4</w:t>
            </w:r>
          </w:p>
        </w:tc>
        <w:tc>
          <w:tcPr>
            <w:tcW w:w="412" w:type="pct"/>
            <w:shd w:val="clear" w:color="auto" w:fill="92D050"/>
            <w:vAlign w:val="center"/>
          </w:tcPr>
          <w:p w14:paraId="3F5FEF38" w14:textId="77777777" w:rsidR="00251C1A" w:rsidRDefault="00251C1A" w:rsidP="00604DF0">
            <w:pPr>
              <w:jc w:val="center"/>
            </w:pPr>
            <w:r>
              <w:t>5</w:t>
            </w:r>
          </w:p>
        </w:tc>
      </w:tr>
      <w:tr w:rsidR="00251C1A" w:rsidRPr="00880004" w14:paraId="150F2DA0"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00C7BE1C"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09D4F7F1" w14:textId="77777777" w:rsidR="00251C1A" w:rsidRPr="0028036E" w:rsidRDefault="00251C1A" w:rsidP="0028036E">
            <w:pPr>
              <w:rPr>
                <w:rFonts w:asciiTheme="minorHAnsi" w:eastAsia="Times New Roman" w:hAnsiTheme="minorHAnsi"/>
                <w:iCs/>
                <w:szCs w:val="17"/>
                <w:lang w:eastAsia="en-US"/>
              </w:rPr>
            </w:pPr>
          </w:p>
        </w:tc>
        <w:tc>
          <w:tcPr>
            <w:tcW w:w="416" w:type="pct"/>
            <w:tcBorders>
              <w:bottom w:val="single" w:sz="4" w:space="0" w:color="auto"/>
            </w:tcBorders>
          </w:tcPr>
          <w:p w14:paraId="4A387BC5"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73F101C7" w14:textId="77777777" w:rsidR="00251C1A" w:rsidRDefault="00251C1A" w:rsidP="00604DF0">
            <w:pPr>
              <w:jc w:val="center"/>
            </w:pPr>
            <w:r>
              <w:t>6</w:t>
            </w:r>
          </w:p>
        </w:tc>
        <w:tc>
          <w:tcPr>
            <w:tcW w:w="415" w:type="pct"/>
            <w:tcBorders>
              <w:bottom w:val="single" w:sz="4" w:space="0" w:color="auto"/>
            </w:tcBorders>
            <w:shd w:val="clear" w:color="auto" w:fill="92D050"/>
            <w:noWrap/>
            <w:vAlign w:val="center"/>
          </w:tcPr>
          <w:p w14:paraId="7FDE2347" w14:textId="77777777" w:rsidR="00251C1A" w:rsidRDefault="00251C1A" w:rsidP="00604DF0">
            <w:pPr>
              <w:jc w:val="center"/>
            </w:pPr>
            <w:r>
              <w:t>5</w:t>
            </w:r>
          </w:p>
        </w:tc>
        <w:tc>
          <w:tcPr>
            <w:tcW w:w="418" w:type="pct"/>
            <w:tcBorders>
              <w:bottom w:val="single" w:sz="4" w:space="0" w:color="auto"/>
            </w:tcBorders>
            <w:shd w:val="clear" w:color="auto" w:fill="FFFF00"/>
            <w:noWrap/>
            <w:vAlign w:val="center"/>
          </w:tcPr>
          <w:p w14:paraId="07FC61E4"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78442E7B" w14:textId="77777777" w:rsidR="00251C1A" w:rsidRDefault="00251C1A" w:rsidP="00604DF0">
            <w:pPr>
              <w:jc w:val="center"/>
            </w:pPr>
            <w:r>
              <w:t>4</w:t>
            </w:r>
          </w:p>
        </w:tc>
        <w:tc>
          <w:tcPr>
            <w:tcW w:w="418" w:type="pct"/>
            <w:tcBorders>
              <w:bottom w:val="single" w:sz="4" w:space="0" w:color="auto"/>
            </w:tcBorders>
            <w:shd w:val="clear" w:color="auto" w:fill="FFFF00"/>
            <w:noWrap/>
            <w:vAlign w:val="center"/>
          </w:tcPr>
          <w:p w14:paraId="6AB82FE6" w14:textId="77777777" w:rsidR="00251C1A" w:rsidRDefault="00251C1A" w:rsidP="00604DF0">
            <w:pPr>
              <w:jc w:val="center"/>
            </w:pPr>
            <w:r>
              <w:t>4</w:t>
            </w:r>
          </w:p>
        </w:tc>
        <w:tc>
          <w:tcPr>
            <w:tcW w:w="415" w:type="pct"/>
            <w:tcBorders>
              <w:bottom w:val="single" w:sz="4" w:space="0" w:color="auto"/>
            </w:tcBorders>
            <w:shd w:val="clear" w:color="auto" w:fill="FFFF00"/>
            <w:noWrap/>
            <w:vAlign w:val="center"/>
          </w:tcPr>
          <w:p w14:paraId="37127747" w14:textId="77777777" w:rsidR="00251C1A" w:rsidRDefault="00251C1A" w:rsidP="00604DF0">
            <w:pPr>
              <w:jc w:val="center"/>
            </w:pPr>
            <w:r>
              <w:t>4</w:t>
            </w:r>
          </w:p>
        </w:tc>
        <w:tc>
          <w:tcPr>
            <w:tcW w:w="412" w:type="pct"/>
            <w:tcBorders>
              <w:bottom w:val="single" w:sz="4" w:space="0" w:color="auto"/>
            </w:tcBorders>
            <w:shd w:val="clear" w:color="auto" w:fill="92D050"/>
            <w:vAlign w:val="center"/>
          </w:tcPr>
          <w:p w14:paraId="5A76A7C6" w14:textId="77777777" w:rsidR="00251C1A" w:rsidRDefault="00251C1A" w:rsidP="00604DF0">
            <w:pPr>
              <w:jc w:val="center"/>
            </w:pPr>
            <w:r>
              <w:t>5</w:t>
            </w:r>
          </w:p>
        </w:tc>
      </w:tr>
      <w:tr w:rsidR="00791E1B" w:rsidRPr="00880004" w14:paraId="013F8A7C"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02560CAD" w14:textId="77777777" w:rsidR="00251C1A" w:rsidRPr="00880004" w:rsidRDefault="00251C1A" w:rsidP="00604DF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Tina River (INK466)</w:t>
            </w:r>
          </w:p>
        </w:tc>
        <w:tc>
          <w:tcPr>
            <w:tcW w:w="658" w:type="pct"/>
            <w:vMerge w:val="restart"/>
            <w:vAlign w:val="center"/>
          </w:tcPr>
          <w:p w14:paraId="3A30E924"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$5.3m</w:t>
            </w:r>
          </w:p>
          <w:p w14:paraId="016CEEF0" w14:textId="77777777" w:rsidR="00251C1A" w:rsidRPr="0028036E" w:rsidRDefault="00251C1A"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2012-16</w:t>
            </w:r>
          </w:p>
        </w:tc>
        <w:tc>
          <w:tcPr>
            <w:tcW w:w="416" w:type="pct"/>
          </w:tcPr>
          <w:p w14:paraId="4B172409" w14:textId="77777777" w:rsidR="00251C1A" w:rsidRPr="0028036E" w:rsidRDefault="00251C1A"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51CE459C" w14:textId="77777777" w:rsidR="00251C1A" w:rsidRDefault="00251C1A" w:rsidP="00604DF0">
            <w:pPr>
              <w:jc w:val="center"/>
            </w:pPr>
            <w:r>
              <w:t>5</w:t>
            </w:r>
          </w:p>
        </w:tc>
        <w:tc>
          <w:tcPr>
            <w:tcW w:w="415" w:type="pct"/>
            <w:shd w:val="clear" w:color="auto" w:fill="FFFF00"/>
            <w:noWrap/>
            <w:vAlign w:val="center"/>
          </w:tcPr>
          <w:p w14:paraId="71515CE4" w14:textId="77777777" w:rsidR="00251C1A" w:rsidRDefault="00251C1A" w:rsidP="00604DF0">
            <w:pPr>
              <w:jc w:val="center"/>
            </w:pPr>
            <w:r>
              <w:t>4</w:t>
            </w:r>
          </w:p>
        </w:tc>
        <w:tc>
          <w:tcPr>
            <w:tcW w:w="418" w:type="pct"/>
            <w:shd w:val="clear" w:color="auto" w:fill="FF6600"/>
            <w:noWrap/>
            <w:vAlign w:val="center"/>
          </w:tcPr>
          <w:p w14:paraId="59659442" w14:textId="3E8517AF" w:rsidR="00251C1A" w:rsidRDefault="00447D3B" w:rsidP="00604DF0">
            <w:pPr>
              <w:jc w:val="center"/>
            </w:pPr>
            <w:r>
              <w:t>3</w:t>
            </w:r>
          </w:p>
        </w:tc>
        <w:tc>
          <w:tcPr>
            <w:tcW w:w="415" w:type="pct"/>
            <w:shd w:val="clear" w:color="auto" w:fill="FFFF00"/>
            <w:noWrap/>
            <w:vAlign w:val="center"/>
          </w:tcPr>
          <w:p w14:paraId="28F58484" w14:textId="77777777" w:rsidR="00251C1A" w:rsidRDefault="00251C1A" w:rsidP="00604DF0">
            <w:pPr>
              <w:jc w:val="center"/>
            </w:pPr>
            <w:r>
              <w:t>4</w:t>
            </w:r>
          </w:p>
        </w:tc>
        <w:tc>
          <w:tcPr>
            <w:tcW w:w="418" w:type="pct"/>
            <w:shd w:val="clear" w:color="auto" w:fill="FFFF00"/>
            <w:noWrap/>
            <w:vAlign w:val="center"/>
          </w:tcPr>
          <w:p w14:paraId="6DE97BF0" w14:textId="77777777" w:rsidR="00251C1A" w:rsidRDefault="00251C1A" w:rsidP="00604DF0">
            <w:pPr>
              <w:jc w:val="center"/>
            </w:pPr>
            <w:r>
              <w:t>4</w:t>
            </w:r>
          </w:p>
        </w:tc>
        <w:tc>
          <w:tcPr>
            <w:tcW w:w="415" w:type="pct"/>
            <w:shd w:val="clear" w:color="auto" w:fill="FFFF00"/>
            <w:noWrap/>
            <w:vAlign w:val="center"/>
          </w:tcPr>
          <w:p w14:paraId="3144AB09" w14:textId="77777777" w:rsidR="00251C1A" w:rsidRDefault="00251C1A" w:rsidP="00604DF0">
            <w:pPr>
              <w:jc w:val="center"/>
            </w:pPr>
            <w:r>
              <w:t>4</w:t>
            </w:r>
          </w:p>
        </w:tc>
        <w:tc>
          <w:tcPr>
            <w:tcW w:w="412" w:type="pct"/>
            <w:shd w:val="clear" w:color="auto" w:fill="92D050"/>
            <w:vAlign w:val="center"/>
          </w:tcPr>
          <w:p w14:paraId="3262540F" w14:textId="77777777" w:rsidR="00251C1A" w:rsidRDefault="00251C1A" w:rsidP="00604DF0">
            <w:pPr>
              <w:jc w:val="center"/>
            </w:pPr>
            <w:r>
              <w:t>5</w:t>
            </w:r>
          </w:p>
        </w:tc>
      </w:tr>
      <w:tr w:rsidR="009348C3" w:rsidRPr="00880004" w14:paraId="6F27DF55"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7DB07203" w14:textId="77777777" w:rsidR="009348C3" w:rsidRPr="00880004" w:rsidRDefault="009348C3" w:rsidP="00604DF0">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vAlign w:val="center"/>
          </w:tcPr>
          <w:p w14:paraId="7512DB6B" w14:textId="77777777" w:rsidR="009348C3" w:rsidRPr="0028036E" w:rsidRDefault="009348C3" w:rsidP="0028036E">
            <w:pPr>
              <w:rPr>
                <w:rFonts w:asciiTheme="minorHAnsi" w:eastAsia="Times New Roman" w:hAnsiTheme="minorHAnsi"/>
                <w:iCs/>
                <w:szCs w:val="17"/>
                <w:lang w:eastAsia="en-US"/>
              </w:rPr>
            </w:pPr>
          </w:p>
        </w:tc>
        <w:tc>
          <w:tcPr>
            <w:tcW w:w="416" w:type="pct"/>
            <w:tcBorders>
              <w:bottom w:val="single" w:sz="4" w:space="0" w:color="auto"/>
            </w:tcBorders>
          </w:tcPr>
          <w:p w14:paraId="6F7886B0" w14:textId="77777777" w:rsidR="009348C3" w:rsidRPr="0028036E" w:rsidRDefault="009348C3" w:rsidP="00604DF0">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7DD400A6" w14:textId="77777777" w:rsidR="009348C3" w:rsidRDefault="009348C3" w:rsidP="001C67AF">
            <w:pPr>
              <w:jc w:val="center"/>
            </w:pPr>
            <w:r>
              <w:t>5</w:t>
            </w:r>
          </w:p>
        </w:tc>
        <w:tc>
          <w:tcPr>
            <w:tcW w:w="415" w:type="pct"/>
            <w:tcBorders>
              <w:bottom w:val="single" w:sz="4" w:space="0" w:color="auto"/>
            </w:tcBorders>
            <w:shd w:val="clear" w:color="auto" w:fill="FFFF00"/>
            <w:noWrap/>
            <w:vAlign w:val="center"/>
          </w:tcPr>
          <w:p w14:paraId="4929E41A" w14:textId="77777777" w:rsidR="009348C3" w:rsidRDefault="009348C3" w:rsidP="001C67AF">
            <w:pPr>
              <w:jc w:val="center"/>
            </w:pPr>
            <w:r>
              <w:t>4</w:t>
            </w:r>
          </w:p>
        </w:tc>
        <w:tc>
          <w:tcPr>
            <w:tcW w:w="418" w:type="pct"/>
            <w:tcBorders>
              <w:bottom w:val="single" w:sz="4" w:space="0" w:color="auto"/>
            </w:tcBorders>
            <w:shd w:val="clear" w:color="auto" w:fill="FFFF00"/>
            <w:noWrap/>
            <w:vAlign w:val="center"/>
          </w:tcPr>
          <w:p w14:paraId="6720A6C3" w14:textId="77777777" w:rsidR="009348C3" w:rsidRDefault="009348C3" w:rsidP="001C67AF">
            <w:pPr>
              <w:jc w:val="center"/>
            </w:pPr>
            <w:r>
              <w:t>4</w:t>
            </w:r>
          </w:p>
        </w:tc>
        <w:tc>
          <w:tcPr>
            <w:tcW w:w="415" w:type="pct"/>
            <w:tcBorders>
              <w:bottom w:val="single" w:sz="4" w:space="0" w:color="auto"/>
            </w:tcBorders>
            <w:shd w:val="clear" w:color="auto" w:fill="FFFF00"/>
            <w:noWrap/>
            <w:vAlign w:val="center"/>
          </w:tcPr>
          <w:p w14:paraId="6AAA8790" w14:textId="77777777" w:rsidR="009348C3" w:rsidRDefault="009348C3" w:rsidP="001C67AF">
            <w:pPr>
              <w:jc w:val="center"/>
            </w:pPr>
            <w:r>
              <w:t>4</w:t>
            </w:r>
          </w:p>
        </w:tc>
        <w:tc>
          <w:tcPr>
            <w:tcW w:w="418" w:type="pct"/>
            <w:tcBorders>
              <w:bottom w:val="single" w:sz="4" w:space="0" w:color="auto"/>
            </w:tcBorders>
            <w:shd w:val="clear" w:color="auto" w:fill="92D050"/>
            <w:noWrap/>
            <w:vAlign w:val="center"/>
          </w:tcPr>
          <w:p w14:paraId="2B1FA1C4" w14:textId="77777777" w:rsidR="009348C3" w:rsidRDefault="009348C3" w:rsidP="001C67AF">
            <w:pPr>
              <w:jc w:val="center"/>
            </w:pPr>
            <w:r>
              <w:t>5</w:t>
            </w:r>
          </w:p>
        </w:tc>
        <w:tc>
          <w:tcPr>
            <w:tcW w:w="415" w:type="pct"/>
            <w:tcBorders>
              <w:bottom w:val="single" w:sz="4" w:space="0" w:color="auto"/>
            </w:tcBorders>
            <w:shd w:val="clear" w:color="auto" w:fill="FFFF00"/>
            <w:noWrap/>
            <w:vAlign w:val="center"/>
          </w:tcPr>
          <w:p w14:paraId="778D98BE" w14:textId="77777777" w:rsidR="009348C3" w:rsidRDefault="009348C3" w:rsidP="001C67AF">
            <w:pPr>
              <w:jc w:val="center"/>
            </w:pPr>
            <w:r>
              <w:t>4</w:t>
            </w:r>
          </w:p>
        </w:tc>
        <w:tc>
          <w:tcPr>
            <w:tcW w:w="412" w:type="pct"/>
            <w:tcBorders>
              <w:bottom w:val="single" w:sz="4" w:space="0" w:color="auto"/>
            </w:tcBorders>
            <w:shd w:val="clear" w:color="auto" w:fill="FFFF00"/>
            <w:vAlign w:val="center"/>
          </w:tcPr>
          <w:p w14:paraId="0E29A83D" w14:textId="77777777" w:rsidR="009348C3" w:rsidRDefault="009348C3" w:rsidP="001C67AF">
            <w:pPr>
              <w:jc w:val="center"/>
            </w:pPr>
            <w:r>
              <w:t>4</w:t>
            </w:r>
          </w:p>
        </w:tc>
      </w:tr>
      <w:tr w:rsidR="0033580B" w14:paraId="04F7203D"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67AFC267" w14:textId="77777777" w:rsidR="0033580B" w:rsidRPr="0028036E" w:rsidRDefault="0033580B" w:rsidP="00AB5B23">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RAMSI</w:t>
            </w:r>
          </w:p>
        </w:tc>
        <w:tc>
          <w:tcPr>
            <w:tcW w:w="658" w:type="pct"/>
            <w:vMerge w:val="restart"/>
            <w:vAlign w:val="center"/>
          </w:tcPr>
          <w:p w14:paraId="5CC1D371" w14:textId="77777777" w:rsidR="0033580B" w:rsidRPr="0028036E" w:rsidRDefault="0033580B"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w:t>
            </w:r>
            <w:r w:rsidR="001B1C9B" w:rsidRPr="0028036E">
              <w:rPr>
                <w:rFonts w:asciiTheme="minorHAnsi" w:eastAsia="Times New Roman" w:hAnsiTheme="minorHAnsi"/>
                <w:iCs/>
                <w:szCs w:val="17"/>
                <w:lang w:eastAsia="en-US"/>
              </w:rPr>
              <w:t>53.9</w:t>
            </w:r>
            <w:r w:rsidRPr="0028036E">
              <w:rPr>
                <w:rFonts w:asciiTheme="minorHAnsi" w:eastAsia="Times New Roman" w:hAnsiTheme="minorHAnsi"/>
                <w:iCs/>
                <w:szCs w:val="17"/>
                <w:lang w:eastAsia="en-US"/>
              </w:rPr>
              <w:t>m</w:t>
            </w:r>
          </w:p>
          <w:p w14:paraId="12D970B8" w14:textId="77777777" w:rsidR="0033580B" w:rsidRPr="0028036E" w:rsidRDefault="0033580B" w:rsidP="0028036E">
            <w:pPr>
              <w:keepLines/>
              <w:spacing w:before="40" w:after="40" w:line="200" w:lineRule="atLeast"/>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2009-13</w:t>
            </w:r>
          </w:p>
        </w:tc>
        <w:tc>
          <w:tcPr>
            <w:tcW w:w="416" w:type="pct"/>
          </w:tcPr>
          <w:p w14:paraId="3AC5EE14" w14:textId="77777777" w:rsidR="0033580B" w:rsidRPr="0028036E" w:rsidRDefault="0033580B" w:rsidP="00AB5B23">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2016 AQC</w:t>
            </w:r>
          </w:p>
        </w:tc>
        <w:tc>
          <w:tcPr>
            <w:tcW w:w="418" w:type="pct"/>
            <w:shd w:val="clear" w:color="auto" w:fill="92D050"/>
            <w:noWrap/>
            <w:vAlign w:val="center"/>
          </w:tcPr>
          <w:p w14:paraId="564B47B0" w14:textId="77777777" w:rsidR="0033580B" w:rsidRDefault="0033580B" w:rsidP="00AB5B23">
            <w:pPr>
              <w:jc w:val="center"/>
            </w:pPr>
            <w:r>
              <w:t>5</w:t>
            </w:r>
          </w:p>
        </w:tc>
        <w:tc>
          <w:tcPr>
            <w:tcW w:w="415" w:type="pct"/>
            <w:shd w:val="clear" w:color="auto" w:fill="FFFF00"/>
            <w:noWrap/>
            <w:vAlign w:val="center"/>
          </w:tcPr>
          <w:p w14:paraId="2109FD49" w14:textId="77777777" w:rsidR="0033580B" w:rsidRDefault="0033580B" w:rsidP="00AB5B23">
            <w:pPr>
              <w:jc w:val="center"/>
            </w:pPr>
            <w:r>
              <w:t>4</w:t>
            </w:r>
          </w:p>
        </w:tc>
        <w:tc>
          <w:tcPr>
            <w:tcW w:w="418" w:type="pct"/>
            <w:shd w:val="clear" w:color="auto" w:fill="FFFF00"/>
            <w:noWrap/>
            <w:vAlign w:val="center"/>
          </w:tcPr>
          <w:p w14:paraId="1746A4E6" w14:textId="77777777" w:rsidR="0033580B" w:rsidRDefault="0033580B" w:rsidP="00AB5B23">
            <w:pPr>
              <w:jc w:val="center"/>
            </w:pPr>
            <w:r>
              <w:t>4</w:t>
            </w:r>
          </w:p>
        </w:tc>
        <w:tc>
          <w:tcPr>
            <w:tcW w:w="415" w:type="pct"/>
            <w:shd w:val="clear" w:color="auto" w:fill="FFFF00"/>
            <w:noWrap/>
            <w:vAlign w:val="center"/>
          </w:tcPr>
          <w:p w14:paraId="0C30DB0F" w14:textId="77777777" w:rsidR="0033580B" w:rsidRDefault="0033580B" w:rsidP="00AB5B23">
            <w:pPr>
              <w:jc w:val="center"/>
            </w:pPr>
            <w:r>
              <w:t>4</w:t>
            </w:r>
          </w:p>
        </w:tc>
        <w:tc>
          <w:tcPr>
            <w:tcW w:w="418" w:type="pct"/>
            <w:shd w:val="clear" w:color="auto" w:fill="FFFF00"/>
            <w:noWrap/>
            <w:vAlign w:val="center"/>
          </w:tcPr>
          <w:p w14:paraId="49507736" w14:textId="77777777" w:rsidR="0033580B" w:rsidRDefault="0033580B" w:rsidP="00AB5B23">
            <w:pPr>
              <w:jc w:val="center"/>
            </w:pPr>
            <w:r>
              <w:t>4</w:t>
            </w:r>
          </w:p>
        </w:tc>
        <w:tc>
          <w:tcPr>
            <w:tcW w:w="415" w:type="pct"/>
            <w:shd w:val="clear" w:color="auto" w:fill="FFFF00"/>
            <w:noWrap/>
            <w:vAlign w:val="center"/>
          </w:tcPr>
          <w:p w14:paraId="2EFA2544" w14:textId="77777777" w:rsidR="0033580B" w:rsidRDefault="0033580B" w:rsidP="00AB5B23">
            <w:pPr>
              <w:jc w:val="center"/>
            </w:pPr>
            <w:r>
              <w:t>4</w:t>
            </w:r>
          </w:p>
        </w:tc>
        <w:tc>
          <w:tcPr>
            <w:tcW w:w="412" w:type="pct"/>
            <w:shd w:val="clear" w:color="auto" w:fill="FFFF00"/>
            <w:vAlign w:val="center"/>
          </w:tcPr>
          <w:p w14:paraId="4D746297" w14:textId="77777777" w:rsidR="0033580B" w:rsidRDefault="0033580B" w:rsidP="00AB5B23">
            <w:pPr>
              <w:jc w:val="center"/>
            </w:pPr>
            <w:r>
              <w:t>4</w:t>
            </w:r>
          </w:p>
        </w:tc>
      </w:tr>
      <w:tr w:rsidR="0033580B" w14:paraId="497C5203" w14:textId="77777777" w:rsidTr="005646A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179C6E6C" w14:textId="77777777" w:rsidR="0033580B" w:rsidRPr="00880004" w:rsidRDefault="0033580B" w:rsidP="00AB5B23">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6744E9CB" w14:textId="77777777" w:rsidR="0033580B" w:rsidRPr="0028036E" w:rsidRDefault="0033580B" w:rsidP="00AB5B23">
            <w:pPr>
              <w:rPr>
                <w:rFonts w:asciiTheme="minorHAnsi" w:eastAsia="Times New Roman" w:hAnsiTheme="minorHAnsi"/>
                <w:iCs/>
                <w:szCs w:val="17"/>
                <w:lang w:eastAsia="en-US"/>
              </w:rPr>
            </w:pPr>
          </w:p>
        </w:tc>
        <w:tc>
          <w:tcPr>
            <w:tcW w:w="416" w:type="pct"/>
            <w:tcBorders>
              <w:bottom w:val="single" w:sz="4" w:space="0" w:color="auto"/>
            </w:tcBorders>
          </w:tcPr>
          <w:p w14:paraId="59C9F24D" w14:textId="77777777" w:rsidR="0033580B" w:rsidRPr="0028036E" w:rsidRDefault="0033580B" w:rsidP="00AB5B23">
            <w:pPr>
              <w:jc w:val="center"/>
              <w:rPr>
                <w:rFonts w:asciiTheme="minorHAnsi" w:eastAsia="Times New Roman" w:hAnsiTheme="minorHAnsi"/>
                <w:iCs/>
                <w:szCs w:val="17"/>
                <w:lang w:eastAsia="en-US"/>
              </w:rPr>
            </w:pPr>
            <w:r w:rsidRPr="0028036E">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vAlign w:val="center"/>
          </w:tcPr>
          <w:p w14:paraId="336160D8" w14:textId="77777777" w:rsidR="0033580B" w:rsidRDefault="0033580B" w:rsidP="00AB5B23">
            <w:pPr>
              <w:jc w:val="center"/>
            </w:pPr>
            <w:r>
              <w:t>5</w:t>
            </w:r>
          </w:p>
        </w:tc>
        <w:tc>
          <w:tcPr>
            <w:tcW w:w="415" w:type="pct"/>
            <w:tcBorders>
              <w:bottom w:val="single" w:sz="4" w:space="0" w:color="auto"/>
            </w:tcBorders>
            <w:shd w:val="clear" w:color="auto" w:fill="FFFF00"/>
            <w:noWrap/>
            <w:vAlign w:val="center"/>
          </w:tcPr>
          <w:p w14:paraId="39CD1563" w14:textId="77777777" w:rsidR="0033580B" w:rsidRDefault="0033580B" w:rsidP="00AB5B23">
            <w:pPr>
              <w:jc w:val="center"/>
            </w:pPr>
            <w:r>
              <w:t>4</w:t>
            </w:r>
          </w:p>
        </w:tc>
        <w:tc>
          <w:tcPr>
            <w:tcW w:w="418" w:type="pct"/>
            <w:tcBorders>
              <w:bottom w:val="single" w:sz="4" w:space="0" w:color="auto"/>
            </w:tcBorders>
            <w:shd w:val="clear" w:color="auto" w:fill="FFFF00"/>
            <w:noWrap/>
            <w:vAlign w:val="center"/>
          </w:tcPr>
          <w:p w14:paraId="0BBA456B" w14:textId="77777777" w:rsidR="0033580B" w:rsidRDefault="0033580B" w:rsidP="00AB5B23">
            <w:pPr>
              <w:jc w:val="center"/>
            </w:pPr>
            <w:r>
              <w:t>4</w:t>
            </w:r>
          </w:p>
        </w:tc>
        <w:tc>
          <w:tcPr>
            <w:tcW w:w="415" w:type="pct"/>
            <w:tcBorders>
              <w:bottom w:val="single" w:sz="4" w:space="0" w:color="auto"/>
            </w:tcBorders>
            <w:shd w:val="clear" w:color="auto" w:fill="FFFF00"/>
            <w:noWrap/>
            <w:vAlign w:val="center"/>
          </w:tcPr>
          <w:p w14:paraId="0405D42B" w14:textId="77777777" w:rsidR="0033580B" w:rsidRDefault="0033580B" w:rsidP="00AB5B23">
            <w:pPr>
              <w:jc w:val="center"/>
            </w:pPr>
            <w:r>
              <w:t>4</w:t>
            </w:r>
          </w:p>
        </w:tc>
        <w:tc>
          <w:tcPr>
            <w:tcW w:w="418" w:type="pct"/>
            <w:tcBorders>
              <w:bottom w:val="single" w:sz="4" w:space="0" w:color="auto"/>
            </w:tcBorders>
            <w:shd w:val="clear" w:color="auto" w:fill="FFFF00"/>
            <w:noWrap/>
            <w:vAlign w:val="center"/>
          </w:tcPr>
          <w:p w14:paraId="6EA9353C" w14:textId="77777777" w:rsidR="0033580B" w:rsidRDefault="0033580B" w:rsidP="00AB5B23">
            <w:pPr>
              <w:jc w:val="center"/>
            </w:pPr>
            <w:r>
              <w:t>4</w:t>
            </w:r>
          </w:p>
        </w:tc>
        <w:tc>
          <w:tcPr>
            <w:tcW w:w="415" w:type="pct"/>
            <w:tcBorders>
              <w:bottom w:val="single" w:sz="4" w:space="0" w:color="auto"/>
            </w:tcBorders>
            <w:shd w:val="clear" w:color="auto" w:fill="92D050"/>
            <w:noWrap/>
            <w:vAlign w:val="center"/>
          </w:tcPr>
          <w:p w14:paraId="6C6C20CD" w14:textId="77777777" w:rsidR="0033580B" w:rsidRDefault="0033580B" w:rsidP="00AB5B23">
            <w:pPr>
              <w:jc w:val="center"/>
            </w:pPr>
            <w:r>
              <w:t>5</w:t>
            </w:r>
          </w:p>
        </w:tc>
        <w:tc>
          <w:tcPr>
            <w:tcW w:w="412" w:type="pct"/>
            <w:tcBorders>
              <w:bottom w:val="single" w:sz="4" w:space="0" w:color="auto"/>
            </w:tcBorders>
            <w:shd w:val="clear" w:color="auto" w:fill="FFFF00"/>
            <w:vAlign w:val="center"/>
          </w:tcPr>
          <w:p w14:paraId="0B3348CB" w14:textId="77777777" w:rsidR="0033580B" w:rsidRDefault="0033580B" w:rsidP="00AB5B23">
            <w:pPr>
              <w:jc w:val="center"/>
            </w:pPr>
            <w:r>
              <w:t>4</w:t>
            </w:r>
          </w:p>
        </w:tc>
      </w:tr>
    </w:tbl>
    <w:p w14:paraId="416314C2" w14:textId="77777777" w:rsidR="00400B0F" w:rsidRPr="00C61187" w:rsidRDefault="00400B0F" w:rsidP="00400B0F">
      <w:pPr>
        <w:rPr>
          <w:iCs/>
        </w:rPr>
      </w:pPr>
    </w:p>
    <w:p w14:paraId="11201DE3" w14:textId="77777777" w:rsidR="009348C3" w:rsidRDefault="009348C3" w:rsidP="00400B0F">
      <w:pPr>
        <w:keepNext/>
        <w:numPr>
          <w:ilvl w:val="2"/>
          <w:numId w:val="0"/>
        </w:numPr>
        <w:spacing w:before="240" w:after="120"/>
        <w:outlineLvl w:val="2"/>
        <w:rPr>
          <w:rFonts w:asciiTheme="majorHAnsi" w:eastAsiaTheme="majorEastAsia" w:hAnsiTheme="majorHAnsi" w:cstheme="majorBidi"/>
          <w:caps/>
          <w:sz w:val="38"/>
          <w:szCs w:val="26"/>
        </w:rPr>
        <w:sectPr w:rsidR="009348C3" w:rsidSect="00784031">
          <w:pgSz w:w="16838" w:h="11906" w:orient="landscape" w:code="9"/>
          <w:pgMar w:top="1134" w:right="1527" w:bottom="1134" w:left="851" w:header="1418" w:footer="267" w:gutter="0"/>
          <w:cols w:space="397"/>
          <w:docGrid w:linePitch="360"/>
        </w:sectPr>
      </w:pPr>
    </w:p>
    <w:p w14:paraId="182744EA" w14:textId="77777777" w:rsidR="00E41505" w:rsidRDefault="00400B0F" w:rsidP="00E41505">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lastRenderedPageBreak/>
        <w:t>FAQC ratings</w:t>
      </w:r>
    </w:p>
    <w:p w14:paraId="358B885F" w14:textId="77777777" w:rsidR="00400B0F" w:rsidRPr="00C61187" w:rsidRDefault="00400B0F" w:rsidP="00E41505">
      <w:pPr>
        <w:keepNext/>
        <w:numPr>
          <w:ilvl w:val="2"/>
          <w:numId w:val="0"/>
        </w:numPr>
        <w:spacing w:before="240" w:after="120"/>
        <w:outlineLvl w:val="2"/>
      </w:pPr>
      <w:r w:rsidRPr="00C61187">
        <w:t>Final AQCs assess performance over the lifetime of the investment (ratings are not compared to previous years).</w:t>
      </w:r>
    </w:p>
    <w:p w14:paraId="44FB634D" w14:textId="77777777" w:rsidR="00400B0F" w:rsidRDefault="00400B0F" w:rsidP="00400B0F">
      <w:pPr>
        <w:spacing w:before="20" w:after="20" w:line="180" w:lineRule="atLeast"/>
        <w:jc w:val="both"/>
        <w:rPr>
          <w:rFonts w:ascii="Franklin Gothic Book" w:eastAsia="Times New Roman" w:hAnsi="Franklin Gothic Book"/>
          <w:b/>
          <w:sz w:val="14"/>
          <w:szCs w:val="14"/>
        </w:rPr>
      </w:pPr>
    </w:p>
    <w:tbl>
      <w:tblPr>
        <w:tblStyle w:val="APPR"/>
        <w:tblW w:w="5000" w:type="pct"/>
        <w:tblLook w:val="0000" w:firstRow="0" w:lastRow="0" w:firstColumn="0" w:lastColumn="0" w:noHBand="0" w:noVBand="0"/>
      </w:tblPr>
      <w:tblGrid>
        <w:gridCol w:w="2668"/>
        <w:gridCol w:w="1938"/>
        <w:gridCol w:w="1219"/>
        <w:gridCol w:w="1254"/>
        <w:gridCol w:w="1217"/>
        <w:gridCol w:w="1254"/>
        <w:gridCol w:w="1217"/>
        <w:gridCol w:w="1254"/>
        <w:gridCol w:w="1217"/>
        <w:gridCol w:w="1222"/>
      </w:tblGrid>
      <w:tr w:rsidR="00251C1A" w:rsidRPr="00C61187" w14:paraId="2C7418B2" w14:textId="77777777" w:rsidTr="00604DF0">
        <w:trPr>
          <w:cnfStyle w:val="000000010000" w:firstRow="0" w:lastRow="0" w:firstColumn="0" w:lastColumn="0" w:oddVBand="0" w:evenVBand="0" w:oddHBand="0" w:evenHBand="1" w:firstRowFirstColumn="0" w:firstRowLastColumn="0" w:lastRowFirstColumn="0" w:lastRowLastColumn="0"/>
          <w:trHeight w:val="1413"/>
        </w:trPr>
        <w:tc>
          <w:tcPr>
            <w:tcW w:w="908" w:type="pct"/>
            <w:tcBorders>
              <w:top w:val="single" w:sz="12" w:space="0" w:color="000000" w:themeColor="text1"/>
            </w:tcBorders>
          </w:tcPr>
          <w:p w14:paraId="7B1D630D"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80768" behindDoc="0" locked="0" layoutInCell="1" allowOverlap="1" wp14:anchorId="27463B37" wp14:editId="4C5A7489">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61" w:type="pct"/>
            <w:tcBorders>
              <w:top w:val="single" w:sz="12" w:space="0" w:color="000000" w:themeColor="text1"/>
            </w:tcBorders>
            <w:textDirection w:val="btLr"/>
          </w:tcPr>
          <w:p w14:paraId="316DE102"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2" w:type="pct"/>
            <w:tcBorders>
              <w:top w:val="single" w:sz="12" w:space="0" w:color="000000" w:themeColor="text1"/>
            </w:tcBorders>
            <w:textDirection w:val="btLr"/>
          </w:tcPr>
          <w:p w14:paraId="5F5DEA28"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24" w:type="pct"/>
            <w:tcBorders>
              <w:top w:val="single" w:sz="12" w:space="0" w:color="000000" w:themeColor="text1"/>
            </w:tcBorders>
            <w:textDirection w:val="btLr"/>
          </w:tcPr>
          <w:p w14:paraId="30ECF7F8"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1" w:type="pct"/>
            <w:tcBorders>
              <w:top w:val="single" w:sz="12" w:space="0" w:color="000000" w:themeColor="text1"/>
            </w:tcBorders>
            <w:textDirection w:val="btLr"/>
          </w:tcPr>
          <w:p w14:paraId="0DF1AD1A"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24" w:type="pct"/>
            <w:tcBorders>
              <w:top w:val="single" w:sz="12" w:space="0" w:color="000000" w:themeColor="text1"/>
            </w:tcBorders>
            <w:textDirection w:val="btLr"/>
          </w:tcPr>
          <w:p w14:paraId="0B8A8747"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1" w:type="pct"/>
            <w:tcBorders>
              <w:top w:val="single" w:sz="12" w:space="0" w:color="000000" w:themeColor="text1"/>
            </w:tcBorders>
            <w:textDirection w:val="btLr"/>
          </w:tcPr>
          <w:p w14:paraId="5C74778C"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24" w:type="pct"/>
            <w:tcBorders>
              <w:top w:val="single" w:sz="12" w:space="0" w:color="000000" w:themeColor="text1"/>
            </w:tcBorders>
            <w:textDirection w:val="btLr"/>
          </w:tcPr>
          <w:p w14:paraId="7B1B1E02"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1" w:type="pct"/>
            <w:tcBorders>
              <w:top w:val="single" w:sz="12" w:space="0" w:color="000000" w:themeColor="text1"/>
            </w:tcBorders>
            <w:textDirection w:val="btLr"/>
          </w:tcPr>
          <w:p w14:paraId="5A5B1EFF"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08" w:type="pct"/>
            <w:tcBorders>
              <w:top w:val="single" w:sz="12" w:space="0" w:color="000000" w:themeColor="text1"/>
            </w:tcBorders>
            <w:textDirection w:val="btLr"/>
          </w:tcPr>
          <w:p w14:paraId="74C1089B" w14:textId="77777777" w:rsidR="00251C1A" w:rsidRPr="00880004" w:rsidRDefault="00251C1A" w:rsidP="00604DF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791E1B" w:rsidRPr="00880004" w14:paraId="6926B2C0" w14:textId="77777777" w:rsidTr="000470A8">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7CE43E33"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r w:rsidRPr="00AE6BB9">
              <w:rPr>
                <w:rFonts w:asciiTheme="minorHAnsi" w:eastAsia="Times New Roman" w:hAnsiTheme="minorHAnsi"/>
                <w:iCs/>
                <w:szCs w:val="17"/>
                <w:lang w:eastAsia="en-US"/>
              </w:rPr>
              <w:t>SINPA (INI854)</w:t>
            </w:r>
          </w:p>
        </w:tc>
        <w:tc>
          <w:tcPr>
            <w:tcW w:w="661" w:type="pct"/>
            <w:vMerge w:val="restart"/>
            <w:vAlign w:val="center"/>
          </w:tcPr>
          <w:p w14:paraId="5B332D0D"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$24.852m</w:t>
            </w:r>
          </w:p>
          <w:p w14:paraId="555435BF"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2009-16</w:t>
            </w:r>
          </w:p>
        </w:tc>
        <w:tc>
          <w:tcPr>
            <w:tcW w:w="412" w:type="pct"/>
          </w:tcPr>
          <w:p w14:paraId="1A9EBB0D"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 xml:space="preserve">2016 </w:t>
            </w:r>
            <w:r w:rsidR="00EC22CC" w:rsidRPr="00AE6BB9">
              <w:rPr>
                <w:rFonts w:asciiTheme="minorHAnsi" w:eastAsia="Times New Roman" w:hAnsiTheme="minorHAnsi"/>
                <w:iCs/>
                <w:szCs w:val="17"/>
                <w:lang w:eastAsia="en-US"/>
              </w:rPr>
              <w:t>F</w:t>
            </w:r>
            <w:r w:rsidRPr="00AE6BB9">
              <w:rPr>
                <w:rFonts w:asciiTheme="minorHAnsi" w:eastAsia="Times New Roman" w:hAnsiTheme="minorHAnsi"/>
                <w:iCs/>
                <w:szCs w:val="17"/>
                <w:lang w:eastAsia="en-US"/>
              </w:rPr>
              <w:t>AQC</w:t>
            </w:r>
          </w:p>
        </w:tc>
        <w:tc>
          <w:tcPr>
            <w:tcW w:w="424" w:type="pct"/>
            <w:shd w:val="clear" w:color="auto" w:fill="FFFF00"/>
            <w:noWrap/>
            <w:vAlign w:val="center"/>
          </w:tcPr>
          <w:p w14:paraId="567AB352" w14:textId="77777777" w:rsidR="00251C1A" w:rsidRPr="00BD56C0" w:rsidRDefault="00251C1A" w:rsidP="00604DF0">
            <w:pPr>
              <w:jc w:val="center"/>
            </w:pPr>
            <w:r w:rsidRPr="00BD56C0">
              <w:t>4</w:t>
            </w:r>
          </w:p>
        </w:tc>
        <w:tc>
          <w:tcPr>
            <w:tcW w:w="411" w:type="pct"/>
            <w:shd w:val="clear" w:color="auto" w:fill="FF6600"/>
            <w:noWrap/>
            <w:vAlign w:val="center"/>
          </w:tcPr>
          <w:p w14:paraId="3C3E2336" w14:textId="12EA602F" w:rsidR="00251C1A" w:rsidRDefault="0061211E" w:rsidP="00604DF0">
            <w:pPr>
              <w:jc w:val="center"/>
            </w:pPr>
            <w:r>
              <w:t>3</w:t>
            </w:r>
          </w:p>
        </w:tc>
        <w:tc>
          <w:tcPr>
            <w:tcW w:w="424" w:type="pct"/>
            <w:shd w:val="clear" w:color="auto" w:fill="FF6600"/>
            <w:noWrap/>
            <w:vAlign w:val="center"/>
          </w:tcPr>
          <w:p w14:paraId="36D9A0F7" w14:textId="77777777" w:rsidR="00251C1A" w:rsidRDefault="00251C1A" w:rsidP="00604DF0">
            <w:pPr>
              <w:jc w:val="center"/>
            </w:pPr>
            <w:r>
              <w:t>3</w:t>
            </w:r>
          </w:p>
        </w:tc>
        <w:tc>
          <w:tcPr>
            <w:tcW w:w="411" w:type="pct"/>
            <w:shd w:val="clear" w:color="auto" w:fill="FFFF00"/>
            <w:noWrap/>
            <w:vAlign w:val="center"/>
          </w:tcPr>
          <w:p w14:paraId="5600EF1B" w14:textId="77777777" w:rsidR="00251C1A" w:rsidRDefault="00251C1A" w:rsidP="00604DF0">
            <w:pPr>
              <w:jc w:val="center"/>
            </w:pPr>
            <w:r>
              <w:t>4</w:t>
            </w:r>
          </w:p>
        </w:tc>
        <w:tc>
          <w:tcPr>
            <w:tcW w:w="424" w:type="pct"/>
            <w:shd w:val="clear" w:color="auto" w:fill="FFFF00"/>
            <w:noWrap/>
            <w:vAlign w:val="center"/>
          </w:tcPr>
          <w:p w14:paraId="7CE1D4AB" w14:textId="77777777" w:rsidR="00251C1A" w:rsidRDefault="00251C1A" w:rsidP="00604DF0">
            <w:pPr>
              <w:jc w:val="center"/>
            </w:pPr>
            <w:r>
              <w:t>4</w:t>
            </w:r>
          </w:p>
        </w:tc>
        <w:tc>
          <w:tcPr>
            <w:tcW w:w="411" w:type="pct"/>
            <w:shd w:val="clear" w:color="auto" w:fill="92D050"/>
            <w:noWrap/>
            <w:vAlign w:val="center"/>
          </w:tcPr>
          <w:p w14:paraId="7EA8999B" w14:textId="77777777" w:rsidR="00251C1A" w:rsidRDefault="00251C1A" w:rsidP="00604DF0">
            <w:pPr>
              <w:jc w:val="center"/>
            </w:pPr>
            <w:r>
              <w:t>5</w:t>
            </w:r>
          </w:p>
        </w:tc>
        <w:tc>
          <w:tcPr>
            <w:tcW w:w="408" w:type="pct"/>
            <w:shd w:val="clear" w:color="auto" w:fill="92D050"/>
            <w:vAlign w:val="center"/>
          </w:tcPr>
          <w:p w14:paraId="2519C852" w14:textId="77777777" w:rsidR="00251C1A" w:rsidRDefault="00251C1A" w:rsidP="00604DF0">
            <w:pPr>
              <w:jc w:val="center"/>
            </w:pPr>
            <w:r>
              <w:t>5</w:t>
            </w:r>
          </w:p>
        </w:tc>
      </w:tr>
      <w:tr w:rsidR="00251C1A" w:rsidRPr="00880004" w14:paraId="73186F07" w14:textId="77777777" w:rsidTr="00AE6BB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0CA45C1A"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p>
        </w:tc>
        <w:tc>
          <w:tcPr>
            <w:tcW w:w="661" w:type="pct"/>
            <w:vMerge/>
            <w:tcBorders>
              <w:bottom w:val="single" w:sz="4" w:space="0" w:color="auto"/>
            </w:tcBorders>
            <w:vAlign w:val="center"/>
          </w:tcPr>
          <w:p w14:paraId="186DF796"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4DBFFA6D"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2015 AQC</w:t>
            </w:r>
          </w:p>
        </w:tc>
        <w:tc>
          <w:tcPr>
            <w:tcW w:w="424" w:type="pct"/>
            <w:tcBorders>
              <w:bottom w:val="single" w:sz="4" w:space="0" w:color="auto"/>
            </w:tcBorders>
            <w:shd w:val="clear" w:color="auto" w:fill="FFFF00"/>
            <w:noWrap/>
            <w:vAlign w:val="center"/>
          </w:tcPr>
          <w:p w14:paraId="58F705A2" w14:textId="77777777" w:rsidR="00251C1A" w:rsidRPr="00BD56C0" w:rsidRDefault="00251C1A" w:rsidP="00604DF0">
            <w:pPr>
              <w:jc w:val="center"/>
            </w:pPr>
            <w:r w:rsidRPr="00BD56C0">
              <w:t>4</w:t>
            </w:r>
          </w:p>
        </w:tc>
        <w:tc>
          <w:tcPr>
            <w:tcW w:w="411" w:type="pct"/>
            <w:tcBorders>
              <w:bottom w:val="single" w:sz="4" w:space="0" w:color="auto"/>
            </w:tcBorders>
            <w:shd w:val="clear" w:color="auto" w:fill="FFFF00"/>
            <w:noWrap/>
            <w:vAlign w:val="center"/>
          </w:tcPr>
          <w:p w14:paraId="179FF01F" w14:textId="77777777" w:rsidR="00251C1A" w:rsidRDefault="00251C1A" w:rsidP="00604DF0">
            <w:pPr>
              <w:jc w:val="center"/>
            </w:pPr>
            <w:r>
              <w:t>4</w:t>
            </w:r>
          </w:p>
        </w:tc>
        <w:tc>
          <w:tcPr>
            <w:tcW w:w="424" w:type="pct"/>
            <w:tcBorders>
              <w:bottom w:val="single" w:sz="4" w:space="0" w:color="auto"/>
            </w:tcBorders>
            <w:shd w:val="clear" w:color="auto" w:fill="FFFF00"/>
            <w:noWrap/>
            <w:vAlign w:val="center"/>
          </w:tcPr>
          <w:p w14:paraId="6DCB87B0" w14:textId="77777777" w:rsidR="00251C1A" w:rsidRDefault="00251C1A" w:rsidP="00604DF0">
            <w:pPr>
              <w:jc w:val="center"/>
            </w:pPr>
            <w:r>
              <w:t>4</w:t>
            </w:r>
          </w:p>
        </w:tc>
        <w:tc>
          <w:tcPr>
            <w:tcW w:w="411" w:type="pct"/>
            <w:tcBorders>
              <w:bottom w:val="single" w:sz="4" w:space="0" w:color="auto"/>
            </w:tcBorders>
            <w:shd w:val="clear" w:color="auto" w:fill="92D050"/>
            <w:noWrap/>
            <w:vAlign w:val="center"/>
          </w:tcPr>
          <w:p w14:paraId="34214E25" w14:textId="77777777" w:rsidR="00251C1A" w:rsidRDefault="00251C1A" w:rsidP="00604DF0">
            <w:pPr>
              <w:jc w:val="center"/>
            </w:pPr>
            <w:r>
              <w:t>5</w:t>
            </w:r>
          </w:p>
        </w:tc>
        <w:tc>
          <w:tcPr>
            <w:tcW w:w="424" w:type="pct"/>
            <w:tcBorders>
              <w:bottom w:val="single" w:sz="4" w:space="0" w:color="auto"/>
            </w:tcBorders>
            <w:shd w:val="clear" w:color="auto" w:fill="FFFF00"/>
            <w:noWrap/>
            <w:vAlign w:val="center"/>
          </w:tcPr>
          <w:p w14:paraId="7CBFA7CC" w14:textId="77777777" w:rsidR="00251C1A" w:rsidRDefault="00251C1A" w:rsidP="00604DF0">
            <w:pPr>
              <w:jc w:val="center"/>
            </w:pPr>
            <w:r>
              <w:t>4</w:t>
            </w:r>
          </w:p>
        </w:tc>
        <w:tc>
          <w:tcPr>
            <w:tcW w:w="411" w:type="pct"/>
            <w:tcBorders>
              <w:bottom w:val="single" w:sz="4" w:space="0" w:color="auto"/>
            </w:tcBorders>
            <w:shd w:val="clear" w:color="auto" w:fill="92D050"/>
            <w:noWrap/>
            <w:vAlign w:val="center"/>
          </w:tcPr>
          <w:p w14:paraId="5F952C74" w14:textId="77777777" w:rsidR="00251C1A" w:rsidRDefault="00251C1A" w:rsidP="00604DF0">
            <w:pPr>
              <w:jc w:val="center"/>
            </w:pPr>
            <w:r>
              <w:t>5</w:t>
            </w:r>
          </w:p>
        </w:tc>
        <w:tc>
          <w:tcPr>
            <w:tcW w:w="408" w:type="pct"/>
            <w:tcBorders>
              <w:bottom w:val="single" w:sz="4" w:space="0" w:color="auto"/>
            </w:tcBorders>
            <w:shd w:val="clear" w:color="auto" w:fill="92D050"/>
            <w:vAlign w:val="center"/>
          </w:tcPr>
          <w:p w14:paraId="78D734FB" w14:textId="77777777" w:rsidR="00251C1A" w:rsidRDefault="00251C1A" w:rsidP="00604DF0">
            <w:pPr>
              <w:jc w:val="center"/>
            </w:pPr>
            <w:r>
              <w:t>5</w:t>
            </w:r>
          </w:p>
        </w:tc>
      </w:tr>
      <w:tr w:rsidR="00251C1A" w:rsidRPr="00880004" w14:paraId="27A6A07A" w14:textId="77777777" w:rsidTr="00AE6BB9">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0B68447A"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r w:rsidRPr="00AE6BB9">
              <w:rPr>
                <w:rFonts w:asciiTheme="minorHAnsi" w:eastAsia="Times New Roman" w:hAnsiTheme="minorHAnsi"/>
                <w:iCs/>
                <w:szCs w:val="17"/>
                <w:lang w:eastAsia="en-US"/>
              </w:rPr>
              <w:t>Domestic Maritime Support Program (INK511)</w:t>
            </w:r>
          </w:p>
        </w:tc>
        <w:tc>
          <w:tcPr>
            <w:tcW w:w="661" w:type="pct"/>
            <w:vMerge w:val="restart"/>
            <w:vAlign w:val="center"/>
          </w:tcPr>
          <w:p w14:paraId="3A17A335"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$4m</w:t>
            </w:r>
          </w:p>
          <w:p w14:paraId="37DD0C82"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2012-16</w:t>
            </w:r>
          </w:p>
        </w:tc>
        <w:tc>
          <w:tcPr>
            <w:tcW w:w="412" w:type="pct"/>
          </w:tcPr>
          <w:p w14:paraId="3635B26A"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 xml:space="preserve">2016 </w:t>
            </w:r>
            <w:r w:rsidR="00EC22CC" w:rsidRPr="00AE6BB9">
              <w:rPr>
                <w:rFonts w:asciiTheme="minorHAnsi" w:eastAsia="Times New Roman" w:hAnsiTheme="minorHAnsi"/>
                <w:iCs/>
                <w:szCs w:val="17"/>
                <w:lang w:eastAsia="en-US"/>
              </w:rPr>
              <w:t>F</w:t>
            </w:r>
            <w:r w:rsidRPr="00AE6BB9">
              <w:rPr>
                <w:rFonts w:asciiTheme="minorHAnsi" w:eastAsia="Times New Roman" w:hAnsiTheme="minorHAnsi"/>
                <w:iCs/>
                <w:szCs w:val="17"/>
                <w:lang w:eastAsia="en-US"/>
              </w:rPr>
              <w:t>AQC</w:t>
            </w:r>
          </w:p>
        </w:tc>
        <w:tc>
          <w:tcPr>
            <w:tcW w:w="424" w:type="pct"/>
            <w:shd w:val="clear" w:color="auto" w:fill="92D050"/>
            <w:noWrap/>
            <w:vAlign w:val="center"/>
          </w:tcPr>
          <w:p w14:paraId="450A6885" w14:textId="77777777" w:rsidR="00251C1A" w:rsidRDefault="00251C1A" w:rsidP="00604DF0">
            <w:pPr>
              <w:jc w:val="center"/>
            </w:pPr>
            <w:r>
              <w:t>5</w:t>
            </w:r>
          </w:p>
        </w:tc>
        <w:tc>
          <w:tcPr>
            <w:tcW w:w="411" w:type="pct"/>
            <w:shd w:val="clear" w:color="auto" w:fill="92D050"/>
            <w:noWrap/>
            <w:vAlign w:val="center"/>
          </w:tcPr>
          <w:p w14:paraId="3B589241" w14:textId="77777777" w:rsidR="00251C1A" w:rsidRDefault="00251C1A" w:rsidP="00604DF0">
            <w:pPr>
              <w:jc w:val="center"/>
            </w:pPr>
            <w:r>
              <w:t>5</w:t>
            </w:r>
          </w:p>
        </w:tc>
        <w:tc>
          <w:tcPr>
            <w:tcW w:w="424" w:type="pct"/>
            <w:shd w:val="clear" w:color="auto" w:fill="92D050"/>
            <w:noWrap/>
            <w:vAlign w:val="center"/>
          </w:tcPr>
          <w:p w14:paraId="4FEF9C95" w14:textId="77777777" w:rsidR="00251C1A" w:rsidRDefault="00251C1A" w:rsidP="00604DF0">
            <w:pPr>
              <w:jc w:val="center"/>
            </w:pPr>
            <w:r>
              <w:t>5</w:t>
            </w:r>
          </w:p>
        </w:tc>
        <w:tc>
          <w:tcPr>
            <w:tcW w:w="411" w:type="pct"/>
            <w:shd w:val="clear" w:color="auto" w:fill="FFFF00"/>
            <w:noWrap/>
            <w:vAlign w:val="center"/>
          </w:tcPr>
          <w:p w14:paraId="3656D938" w14:textId="77777777" w:rsidR="00251C1A" w:rsidRDefault="00251C1A" w:rsidP="00604DF0">
            <w:pPr>
              <w:jc w:val="center"/>
            </w:pPr>
            <w:r>
              <w:t>4</w:t>
            </w:r>
          </w:p>
        </w:tc>
        <w:tc>
          <w:tcPr>
            <w:tcW w:w="424" w:type="pct"/>
            <w:shd w:val="clear" w:color="auto" w:fill="92D050"/>
            <w:noWrap/>
            <w:vAlign w:val="center"/>
          </w:tcPr>
          <w:p w14:paraId="3CD8120F" w14:textId="77777777" w:rsidR="00251C1A" w:rsidRDefault="00251C1A" w:rsidP="00604DF0">
            <w:pPr>
              <w:jc w:val="center"/>
            </w:pPr>
            <w:r>
              <w:t>5</w:t>
            </w:r>
          </w:p>
        </w:tc>
        <w:tc>
          <w:tcPr>
            <w:tcW w:w="411" w:type="pct"/>
            <w:shd w:val="clear" w:color="auto" w:fill="FF6600"/>
            <w:noWrap/>
            <w:vAlign w:val="center"/>
          </w:tcPr>
          <w:p w14:paraId="4839A5B0" w14:textId="77777777" w:rsidR="00251C1A" w:rsidRDefault="00251C1A" w:rsidP="00604DF0">
            <w:pPr>
              <w:jc w:val="center"/>
            </w:pPr>
            <w:r>
              <w:t>3</w:t>
            </w:r>
          </w:p>
        </w:tc>
        <w:tc>
          <w:tcPr>
            <w:tcW w:w="408" w:type="pct"/>
            <w:shd w:val="clear" w:color="auto" w:fill="92D050"/>
            <w:vAlign w:val="center"/>
          </w:tcPr>
          <w:p w14:paraId="66961B6A" w14:textId="77777777" w:rsidR="00251C1A" w:rsidRDefault="00251C1A" w:rsidP="00604DF0">
            <w:pPr>
              <w:jc w:val="center"/>
            </w:pPr>
            <w:r>
              <w:t>5</w:t>
            </w:r>
          </w:p>
        </w:tc>
      </w:tr>
      <w:tr w:rsidR="00251C1A" w:rsidRPr="00880004" w14:paraId="5AC6CCEC" w14:textId="77777777" w:rsidTr="00AE6BB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3E674289"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p>
        </w:tc>
        <w:tc>
          <w:tcPr>
            <w:tcW w:w="661" w:type="pct"/>
            <w:vMerge/>
            <w:tcBorders>
              <w:bottom w:val="single" w:sz="4" w:space="0" w:color="auto"/>
            </w:tcBorders>
            <w:vAlign w:val="center"/>
          </w:tcPr>
          <w:p w14:paraId="1A704FEC"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61B6D584"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2015 AQC</w:t>
            </w:r>
          </w:p>
        </w:tc>
        <w:tc>
          <w:tcPr>
            <w:tcW w:w="424" w:type="pct"/>
            <w:tcBorders>
              <w:bottom w:val="single" w:sz="4" w:space="0" w:color="auto"/>
            </w:tcBorders>
            <w:shd w:val="clear" w:color="auto" w:fill="92D050"/>
            <w:noWrap/>
            <w:vAlign w:val="center"/>
          </w:tcPr>
          <w:p w14:paraId="3E2A1F6A" w14:textId="77777777" w:rsidR="00251C1A" w:rsidRDefault="00251C1A" w:rsidP="00604DF0">
            <w:pPr>
              <w:jc w:val="center"/>
            </w:pPr>
            <w:r>
              <w:t>5</w:t>
            </w:r>
          </w:p>
        </w:tc>
        <w:tc>
          <w:tcPr>
            <w:tcW w:w="411" w:type="pct"/>
            <w:tcBorders>
              <w:bottom w:val="single" w:sz="4" w:space="0" w:color="auto"/>
            </w:tcBorders>
            <w:shd w:val="clear" w:color="auto" w:fill="FFFF00"/>
            <w:noWrap/>
            <w:vAlign w:val="center"/>
          </w:tcPr>
          <w:p w14:paraId="71040603" w14:textId="77777777" w:rsidR="00251C1A" w:rsidRDefault="00251C1A" w:rsidP="00604DF0">
            <w:pPr>
              <w:jc w:val="center"/>
            </w:pPr>
            <w:r>
              <w:t>4</w:t>
            </w:r>
          </w:p>
        </w:tc>
        <w:tc>
          <w:tcPr>
            <w:tcW w:w="424" w:type="pct"/>
            <w:tcBorders>
              <w:bottom w:val="single" w:sz="4" w:space="0" w:color="auto"/>
            </w:tcBorders>
            <w:shd w:val="clear" w:color="auto" w:fill="FFFF00"/>
            <w:noWrap/>
            <w:vAlign w:val="center"/>
          </w:tcPr>
          <w:p w14:paraId="42679F7E" w14:textId="77777777" w:rsidR="00251C1A" w:rsidRDefault="00251C1A" w:rsidP="00604DF0">
            <w:pPr>
              <w:jc w:val="center"/>
            </w:pPr>
            <w:r>
              <w:t>4</w:t>
            </w:r>
          </w:p>
        </w:tc>
        <w:tc>
          <w:tcPr>
            <w:tcW w:w="411" w:type="pct"/>
            <w:tcBorders>
              <w:bottom w:val="single" w:sz="4" w:space="0" w:color="auto"/>
            </w:tcBorders>
            <w:shd w:val="clear" w:color="auto" w:fill="FFFF00"/>
            <w:noWrap/>
            <w:vAlign w:val="center"/>
          </w:tcPr>
          <w:p w14:paraId="1C5E8F19" w14:textId="77777777" w:rsidR="00251C1A" w:rsidRDefault="00251C1A" w:rsidP="00604DF0">
            <w:pPr>
              <w:jc w:val="center"/>
            </w:pPr>
            <w:r>
              <w:t>4</w:t>
            </w:r>
          </w:p>
        </w:tc>
        <w:tc>
          <w:tcPr>
            <w:tcW w:w="424" w:type="pct"/>
            <w:tcBorders>
              <w:bottom w:val="single" w:sz="4" w:space="0" w:color="auto"/>
            </w:tcBorders>
            <w:shd w:val="clear" w:color="auto" w:fill="FFFF00"/>
            <w:noWrap/>
            <w:vAlign w:val="center"/>
          </w:tcPr>
          <w:p w14:paraId="72A48241" w14:textId="77777777" w:rsidR="00251C1A" w:rsidRDefault="00251C1A" w:rsidP="00604DF0">
            <w:pPr>
              <w:jc w:val="center"/>
            </w:pPr>
            <w:r>
              <w:t>4</w:t>
            </w:r>
          </w:p>
        </w:tc>
        <w:tc>
          <w:tcPr>
            <w:tcW w:w="411" w:type="pct"/>
            <w:tcBorders>
              <w:bottom w:val="single" w:sz="4" w:space="0" w:color="auto"/>
            </w:tcBorders>
            <w:shd w:val="clear" w:color="auto" w:fill="FFFF00"/>
            <w:noWrap/>
            <w:vAlign w:val="center"/>
          </w:tcPr>
          <w:p w14:paraId="2C25DF17" w14:textId="77777777" w:rsidR="00251C1A" w:rsidRDefault="00251C1A" w:rsidP="00604DF0">
            <w:pPr>
              <w:jc w:val="center"/>
            </w:pPr>
            <w:r>
              <w:t>4</w:t>
            </w:r>
          </w:p>
        </w:tc>
        <w:tc>
          <w:tcPr>
            <w:tcW w:w="408" w:type="pct"/>
            <w:tcBorders>
              <w:bottom w:val="single" w:sz="4" w:space="0" w:color="auto"/>
            </w:tcBorders>
            <w:shd w:val="clear" w:color="auto" w:fill="auto"/>
            <w:vAlign w:val="center"/>
          </w:tcPr>
          <w:p w14:paraId="43EC495A" w14:textId="77777777" w:rsidR="00251C1A" w:rsidRDefault="00251C1A" w:rsidP="00604DF0">
            <w:pPr>
              <w:jc w:val="center"/>
            </w:pPr>
            <w:r>
              <w:t>-</w:t>
            </w:r>
          </w:p>
        </w:tc>
      </w:tr>
      <w:tr w:rsidR="00791E1B" w:rsidRPr="00880004" w14:paraId="5DDE583E" w14:textId="77777777" w:rsidTr="000470A8">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17B061AA"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r w:rsidRPr="00AE6BB9">
              <w:rPr>
                <w:rFonts w:asciiTheme="minorHAnsi" w:eastAsia="Times New Roman" w:hAnsiTheme="minorHAnsi"/>
                <w:iCs/>
                <w:szCs w:val="17"/>
                <w:lang w:eastAsia="en-US"/>
              </w:rPr>
              <w:t>Health Phase 2 (INK561)</w:t>
            </w:r>
          </w:p>
        </w:tc>
        <w:tc>
          <w:tcPr>
            <w:tcW w:w="661" w:type="pct"/>
            <w:vMerge w:val="restart"/>
            <w:vAlign w:val="center"/>
          </w:tcPr>
          <w:p w14:paraId="649F67C2"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$75.665m</w:t>
            </w:r>
          </w:p>
          <w:p w14:paraId="525C75BC"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2012-16</w:t>
            </w:r>
          </w:p>
        </w:tc>
        <w:tc>
          <w:tcPr>
            <w:tcW w:w="412" w:type="pct"/>
          </w:tcPr>
          <w:p w14:paraId="401D9B97"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 xml:space="preserve">2016 </w:t>
            </w:r>
            <w:r w:rsidR="00EC22CC" w:rsidRPr="00AE6BB9">
              <w:rPr>
                <w:rFonts w:asciiTheme="minorHAnsi" w:eastAsia="Times New Roman" w:hAnsiTheme="minorHAnsi"/>
                <w:iCs/>
                <w:szCs w:val="17"/>
                <w:lang w:eastAsia="en-US"/>
              </w:rPr>
              <w:t>F</w:t>
            </w:r>
            <w:r w:rsidRPr="00AE6BB9">
              <w:rPr>
                <w:rFonts w:asciiTheme="minorHAnsi" w:eastAsia="Times New Roman" w:hAnsiTheme="minorHAnsi"/>
                <w:iCs/>
                <w:szCs w:val="17"/>
                <w:lang w:eastAsia="en-US"/>
              </w:rPr>
              <w:t>AQC</w:t>
            </w:r>
          </w:p>
        </w:tc>
        <w:tc>
          <w:tcPr>
            <w:tcW w:w="424" w:type="pct"/>
            <w:shd w:val="clear" w:color="auto" w:fill="92D050"/>
            <w:noWrap/>
            <w:vAlign w:val="center"/>
          </w:tcPr>
          <w:p w14:paraId="4AE6D815" w14:textId="77777777" w:rsidR="00251C1A" w:rsidRDefault="00251C1A" w:rsidP="00604DF0">
            <w:pPr>
              <w:jc w:val="center"/>
            </w:pPr>
            <w:r>
              <w:t>5</w:t>
            </w:r>
          </w:p>
        </w:tc>
        <w:tc>
          <w:tcPr>
            <w:tcW w:w="411" w:type="pct"/>
            <w:shd w:val="clear" w:color="auto" w:fill="FFFF00"/>
            <w:noWrap/>
            <w:vAlign w:val="center"/>
          </w:tcPr>
          <w:p w14:paraId="14FC6A82" w14:textId="447899C1" w:rsidR="00251C1A" w:rsidRDefault="0061211E" w:rsidP="00604DF0">
            <w:pPr>
              <w:jc w:val="center"/>
            </w:pPr>
            <w:r>
              <w:t>4</w:t>
            </w:r>
          </w:p>
        </w:tc>
        <w:tc>
          <w:tcPr>
            <w:tcW w:w="424" w:type="pct"/>
            <w:shd w:val="clear" w:color="auto" w:fill="FFFF00"/>
            <w:noWrap/>
            <w:vAlign w:val="center"/>
          </w:tcPr>
          <w:p w14:paraId="328EBEA4" w14:textId="61AF612B" w:rsidR="00251C1A" w:rsidRDefault="0061211E" w:rsidP="00604DF0">
            <w:pPr>
              <w:jc w:val="center"/>
            </w:pPr>
            <w:r>
              <w:t>4</w:t>
            </w:r>
          </w:p>
        </w:tc>
        <w:tc>
          <w:tcPr>
            <w:tcW w:w="411" w:type="pct"/>
            <w:shd w:val="clear" w:color="auto" w:fill="92D050"/>
            <w:noWrap/>
            <w:vAlign w:val="center"/>
          </w:tcPr>
          <w:p w14:paraId="29346302" w14:textId="77777777" w:rsidR="00251C1A" w:rsidRDefault="00251C1A" w:rsidP="00604DF0">
            <w:pPr>
              <w:jc w:val="center"/>
            </w:pPr>
            <w:r>
              <w:t>5</w:t>
            </w:r>
          </w:p>
        </w:tc>
        <w:tc>
          <w:tcPr>
            <w:tcW w:w="424" w:type="pct"/>
            <w:shd w:val="clear" w:color="auto" w:fill="92D050"/>
            <w:noWrap/>
            <w:vAlign w:val="center"/>
          </w:tcPr>
          <w:p w14:paraId="59C71DDD" w14:textId="77777777" w:rsidR="00251C1A" w:rsidRDefault="00251C1A" w:rsidP="00604DF0">
            <w:pPr>
              <w:jc w:val="center"/>
            </w:pPr>
            <w:r>
              <w:t>5</w:t>
            </w:r>
          </w:p>
        </w:tc>
        <w:tc>
          <w:tcPr>
            <w:tcW w:w="411" w:type="pct"/>
            <w:shd w:val="clear" w:color="auto" w:fill="FFFF00"/>
            <w:noWrap/>
            <w:vAlign w:val="center"/>
          </w:tcPr>
          <w:p w14:paraId="46D194D5" w14:textId="77777777" w:rsidR="00251C1A" w:rsidRDefault="00251C1A" w:rsidP="00604DF0">
            <w:pPr>
              <w:jc w:val="center"/>
            </w:pPr>
            <w:r>
              <w:t>4</w:t>
            </w:r>
          </w:p>
        </w:tc>
        <w:tc>
          <w:tcPr>
            <w:tcW w:w="408" w:type="pct"/>
            <w:shd w:val="clear" w:color="auto" w:fill="92D050"/>
            <w:vAlign w:val="center"/>
          </w:tcPr>
          <w:p w14:paraId="71477848" w14:textId="77777777" w:rsidR="00251C1A" w:rsidRDefault="00251C1A" w:rsidP="00604DF0">
            <w:pPr>
              <w:jc w:val="center"/>
            </w:pPr>
            <w:r>
              <w:t>5</w:t>
            </w:r>
          </w:p>
        </w:tc>
      </w:tr>
      <w:tr w:rsidR="00251C1A" w:rsidRPr="00880004" w14:paraId="4258F51D" w14:textId="77777777" w:rsidTr="00AE6BB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35EC268E"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p>
        </w:tc>
        <w:tc>
          <w:tcPr>
            <w:tcW w:w="661" w:type="pct"/>
            <w:vMerge/>
            <w:tcBorders>
              <w:bottom w:val="single" w:sz="4" w:space="0" w:color="auto"/>
            </w:tcBorders>
            <w:vAlign w:val="center"/>
          </w:tcPr>
          <w:p w14:paraId="3F8FDBDE"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0CF2BC07"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2015 AQC</w:t>
            </w:r>
          </w:p>
        </w:tc>
        <w:tc>
          <w:tcPr>
            <w:tcW w:w="424" w:type="pct"/>
            <w:tcBorders>
              <w:bottom w:val="single" w:sz="4" w:space="0" w:color="auto"/>
            </w:tcBorders>
            <w:shd w:val="clear" w:color="auto" w:fill="92D050"/>
            <w:noWrap/>
            <w:vAlign w:val="center"/>
          </w:tcPr>
          <w:p w14:paraId="57240CFE" w14:textId="77777777" w:rsidR="00251C1A" w:rsidRDefault="00251C1A" w:rsidP="00604DF0">
            <w:pPr>
              <w:jc w:val="center"/>
            </w:pPr>
            <w:r>
              <w:t>6</w:t>
            </w:r>
          </w:p>
        </w:tc>
        <w:tc>
          <w:tcPr>
            <w:tcW w:w="411" w:type="pct"/>
            <w:tcBorders>
              <w:bottom w:val="single" w:sz="4" w:space="0" w:color="auto"/>
            </w:tcBorders>
            <w:shd w:val="clear" w:color="auto" w:fill="92D050"/>
            <w:noWrap/>
            <w:vAlign w:val="center"/>
          </w:tcPr>
          <w:p w14:paraId="1D134BCF" w14:textId="77777777" w:rsidR="00251C1A" w:rsidRDefault="00251C1A" w:rsidP="00604DF0">
            <w:pPr>
              <w:jc w:val="center"/>
            </w:pPr>
            <w:r>
              <w:t>5</w:t>
            </w:r>
          </w:p>
        </w:tc>
        <w:tc>
          <w:tcPr>
            <w:tcW w:w="424" w:type="pct"/>
            <w:tcBorders>
              <w:bottom w:val="single" w:sz="4" w:space="0" w:color="auto"/>
            </w:tcBorders>
            <w:shd w:val="clear" w:color="auto" w:fill="92D050"/>
            <w:noWrap/>
            <w:vAlign w:val="center"/>
          </w:tcPr>
          <w:p w14:paraId="08500E62" w14:textId="77777777" w:rsidR="00251C1A" w:rsidRDefault="00251C1A" w:rsidP="00604DF0">
            <w:pPr>
              <w:jc w:val="center"/>
            </w:pPr>
            <w:r>
              <w:t>5</w:t>
            </w:r>
          </w:p>
        </w:tc>
        <w:tc>
          <w:tcPr>
            <w:tcW w:w="411" w:type="pct"/>
            <w:tcBorders>
              <w:bottom w:val="single" w:sz="4" w:space="0" w:color="auto"/>
            </w:tcBorders>
            <w:shd w:val="clear" w:color="auto" w:fill="92D050"/>
            <w:noWrap/>
            <w:vAlign w:val="center"/>
          </w:tcPr>
          <w:p w14:paraId="02447256" w14:textId="77777777" w:rsidR="00251C1A" w:rsidRDefault="00251C1A" w:rsidP="00604DF0">
            <w:pPr>
              <w:jc w:val="center"/>
            </w:pPr>
            <w:r>
              <w:t>6</w:t>
            </w:r>
          </w:p>
        </w:tc>
        <w:tc>
          <w:tcPr>
            <w:tcW w:w="424" w:type="pct"/>
            <w:tcBorders>
              <w:bottom w:val="single" w:sz="4" w:space="0" w:color="auto"/>
            </w:tcBorders>
            <w:shd w:val="clear" w:color="auto" w:fill="92D050"/>
            <w:noWrap/>
            <w:vAlign w:val="center"/>
          </w:tcPr>
          <w:p w14:paraId="16E31194" w14:textId="77777777" w:rsidR="00251C1A" w:rsidRDefault="00251C1A" w:rsidP="00604DF0">
            <w:pPr>
              <w:jc w:val="center"/>
            </w:pPr>
            <w:r>
              <w:t>5</w:t>
            </w:r>
          </w:p>
        </w:tc>
        <w:tc>
          <w:tcPr>
            <w:tcW w:w="411" w:type="pct"/>
            <w:tcBorders>
              <w:bottom w:val="single" w:sz="4" w:space="0" w:color="auto"/>
            </w:tcBorders>
            <w:shd w:val="clear" w:color="auto" w:fill="FFFF00"/>
            <w:noWrap/>
            <w:vAlign w:val="center"/>
          </w:tcPr>
          <w:p w14:paraId="2026276C" w14:textId="77777777" w:rsidR="00251C1A" w:rsidRDefault="00251C1A" w:rsidP="00604DF0">
            <w:pPr>
              <w:jc w:val="center"/>
            </w:pPr>
            <w:r>
              <w:t>4</w:t>
            </w:r>
          </w:p>
        </w:tc>
        <w:tc>
          <w:tcPr>
            <w:tcW w:w="408" w:type="pct"/>
            <w:tcBorders>
              <w:bottom w:val="single" w:sz="4" w:space="0" w:color="auto"/>
            </w:tcBorders>
            <w:shd w:val="clear" w:color="auto" w:fill="92D050"/>
            <w:vAlign w:val="center"/>
          </w:tcPr>
          <w:p w14:paraId="72C31DBE" w14:textId="77777777" w:rsidR="00251C1A" w:rsidRDefault="00251C1A" w:rsidP="00604DF0">
            <w:pPr>
              <w:jc w:val="center"/>
            </w:pPr>
            <w:r>
              <w:t>5</w:t>
            </w:r>
          </w:p>
        </w:tc>
      </w:tr>
      <w:tr w:rsidR="00791E1B" w:rsidRPr="00880004" w14:paraId="019C603B" w14:textId="77777777" w:rsidTr="000470A8">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69C0335F"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r w:rsidRPr="00AE6BB9">
              <w:rPr>
                <w:rFonts w:asciiTheme="minorHAnsi" w:eastAsia="Times New Roman" w:hAnsiTheme="minorHAnsi"/>
                <w:iCs/>
                <w:szCs w:val="17"/>
                <w:lang w:eastAsia="en-US"/>
              </w:rPr>
              <w:t>Solomon Islands Partnership Facility (INL118)</w:t>
            </w:r>
          </w:p>
        </w:tc>
        <w:tc>
          <w:tcPr>
            <w:tcW w:w="661" w:type="pct"/>
            <w:vMerge w:val="restart"/>
            <w:vAlign w:val="center"/>
          </w:tcPr>
          <w:p w14:paraId="0D7FBB8D"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$17.257m</w:t>
            </w:r>
          </w:p>
          <w:p w14:paraId="784AC33F"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2013-16</w:t>
            </w:r>
          </w:p>
        </w:tc>
        <w:tc>
          <w:tcPr>
            <w:tcW w:w="412" w:type="pct"/>
          </w:tcPr>
          <w:p w14:paraId="67313C79"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 xml:space="preserve">2016 </w:t>
            </w:r>
            <w:r w:rsidR="00EC22CC" w:rsidRPr="00AE6BB9">
              <w:rPr>
                <w:rFonts w:asciiTheme="minorHAnsi" w:eastAsia="Times New Roman" w:hAnsiTheme="minorHAnsi"/>
                <w:iCs/>
                <w:szCs w:val="17"/>
                <w:lang w:eastAsia="en-US"/>
              </w:rPr>
              <w:t>F</w:t>
            </w:r>
            <w:r w:rsidRPr="00AE6BB9">
              <w:rPr>
                <w:rFonts w:asciiTheme="minorHAnsi" w:eastAsia="Times New Roman" w:hAnsiTheme="minorHAnsi"/>
                <w:iCs/>
                <w:szCs w:val="17"/>
                <w:lang w:eastAsia="en-US"/>
              </w:rPr>
              <w:t>AQC</w:t>
            </w:r>
          </w:p>
        </w:tc>
        <w:tc>
          <w:tcPr>
            <w:tcW w:w="424" w:type="pct"/>
            <w:shd w:val="clear" w:color="auto" w:fill="92D050"/>
            <w:noWrap/>
            <w:vAlign w:val="center"/>
          </w:tcPr>
          <w:p w14:paraId="66E9E012" w14:textId="77777777" w:rsidR="00251C1A" w:rsidRDefault="00251C1A" w:rsidP="00604DF0">
            <w:pPr>
              <w:jc w:val="center"/>
            </w:pPr>
            <w:r>
              <w:t>5</w:t>
            </w:r>
          </w:p>
        </w:tc>
        <w:tc>
          <w:tcPr>
            <w:tcW w:w="411" w:type="pct"/>
            <w:shd w:val="clear" w:color="auto" w:fill="FFFF00"/>
            <w:noWrap/>
            <w:vAlign w:val="center"/>
          </w:tcPr>
          <w:p w14:paraId="354604E1" w14:textId="77777777" w:rsidR="00251C1A" w:rsidRDefault="00251C1A" w:rsidP="00604DF0">
            <w:pPr>
              <w:jc w:val="center"/>
            </w:pPr>
            <w:r>
              <w:t>4</w:t>
            </w:r>
          </w:p>
        </w:tc>
        <w:tc>
          <w:tcPr>
            <w:tcW w:w="424" w:type="pct"/>
            <w:shd w:val="clear" w:color="auto" w:fill="FF6600"/>
            <w:noWrap/>
            <w:vAlign w:val="center"/>
          </w:tcPr>
          <w:p w14:paraId="5A360C9F" w14:textId="202FA995" w:rsidR="00251C1A" w:rsidRDefault="0061211E" w:rsidP="00604DF0">
            <w:pPr>
              <w:jc w:val="center"/>
            </w:pPr>
            <w:r>
              <w:t>3</w:t>
            </w:r>
          </w:p>
        </w:tc>
        <w:tc>
          <w:tcPr>
            <w:tcW w:w="411" w:type="pct"/>
            <w:shd w:val="clear" w:color="auto" w:fill="FF6600"/>
            <w:noWrap/>
            <w:vAlign w:val="center"/>
          </w:tcPr>
          <w:p w14:paraId="668F0447" w14:textId="77777777" w:rsidR="00251C1A" w:rsidRDefault="00251C1A" w:rsidP="00604DF0">
            <w:pPr>
              <w:jc w:val="center"/>
            </w:pPr>
            <w:r>
              <w:t>3</w:t>
            </w:r>
          </w:p>
        </w:tc>
        <w:tc>
          <w:tcPr>
            <w:tcW w:w="424" w:type="pct"/>
            <w:shd w:val="clear" w:color="auto" w:fill="FFFF00"/>
            <w:noWrap/>
            <w:vAlign w:val="center"/>
          </w:tcPr>
          <w:p w14:paraId="17A413CD" w14:textId="77777777" w:rsidR="00251C1A" w:rsidRDefault="00251C1A" w:rsidP="00604DF0">
            <w:pPr>
              <w:jc w:val="center"/>
            </w:pPr>
            <w:r>
              <w:t>4</w:t>
            </w:r>
          </w:p>
        </w:tc>
        <w:tc>
          <w:tcPr>
            <w:tcW w:w="411" w:type="pct"/>
            <w:shd w:val="clear" w:color="auto" w:fill="FF6600"/>
            <w:noWrap/>
            <w:vAlign w:val="center"/>
          </w:tcPr>
          <w:p w14:paraId="0C986A8E" w14:textId="77777777" w:rsidR="00251C1A" w:rsidRDefault="00251C1A" w:rsidP="00604DF0">
            <w:pPr>
              <w:jc w:val="center"/>
            </w:pPr>
            <w:r>
              <w:t>3</w:t>
            </w:r>
          </w:p>
        </w:tc>
        <w:tc>
          <w:tcPr>
            <w:tcW w:w="408" w:type="pct"/>
            <w:shd w:val="clear" w:color="auto" w:fill="92D050"/>
            <w:vAlign w:val="center"/>
          </w:tcPr>
          <w:p w14:paraId="4E3C7D36" w14:textId="77777777" w:rsidR="00251C1A" w:rsidRDefault="00251C1A" w:rsidP="00604DF0">
            <w:pPr>
              <w:jc w:val="center"/>
            </w:pPr>
            <w:r>
              <w:t>5</w:t>
            </w:r>
          </w:p>
        </w:tc>
      </w:tr>
      <w:tr w:rsidR="00251C1A" w:rsidRPr="00880004" w14:paraId="27C6ABAE" w14:textId="77777777" w:rsidTr="00AE6BB9">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67246237"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p>
        </w:tc>
        <w:tc>
          <w:tcPr>
            <w:tcW w:w="661" w:type="pct"/>
            <w:vMerge/>
            <w:tcBorders>
              <w:bottom w:val="single" w:sz="4" w:space="0" w:color="auto"/>
            </w:tcBorders>
            <w:vAlign w:val="center"/>
          </w:tcPr>
          <w:p w14:paraId="79D8CD51"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0D4992F7"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2015 AQC</w:t>
            </w:r>
          </w:p>
        </w:tc>
        <w:tc>
          <w:tcPr>
            <w:tcW w:w="424" w:type="pct"/>
            <w:tcBorders>
              <w:bottom w:val="single" w:sz="4" w:space="0" w:color="auto"/>
            </w:tcBorders>
            <w:shd w:val="clear" w:color="auto" w:fill="92D050"/>
            <w:noWrap/>
            <w:vAlign w:val="center"/>
          </w:tcPr>
          <w:p w14:paraId="5A97CEFE" w14:textId="77777777" w:rsidR="00251C1A" w:rsidRDefault="00251C1A" w:rsidP="00604DF0">
            <w:pPr>
              <w:jc w:val="center"/>
            </w:pPr>
            <w:r>
              <w:t>5</w:t>
            </w:r>
          </w:p>
        </w:tc>
        <w:tc>
          <w:tcPr>
            <w:tcW w:w="411" w:type="pct"/>
            <w:tcBorders>
              <w:bottom w:val="single" w:sz="4" w:space="0" w:color="auto"/>
            </w:tcBorders>
            <w:shd w:val="clear" w:color="auto" w:fill="92D050"/>
            <w:noWrap/>
            <w:vAlign w:val="center"/>
          </w:tcPr>
          <w:p w14:paraId="0CECC822" w14:textId="77777777" w:rsidR="00251C1A" w:rsidRDefault="00251C1A" w:rsidP="00604DF0">
            <w:pPr>
              <w:jc w:val="center"/>
            </w:pPr>
            <w:r>
              <w:t>5</w:t>
            </w:r>
          </w:p>
        </w:tc>
        <w:tc>
          <w:tcPr>
            <w:tcW w:w="424" w:type="pct"/>
            <w:tcBorders>
              <w:bottom w:val="single" w:sz="4" w:space="0" w:color="auto"/>
            </w:tcBorders>
            <w:shd w:val="clear" w:color="auto" w:fill="92D050"/>
            <w:noWrap/>
            <w:vAlign w:val="center"/>
          </w:tcPr>
          <w:p w14:paraId="72C67C5E" w14:textId="77777777" w:rsidR="00251C1A" w:rsidRDefault="00251C1A" w:rsidP="00604DF0">
            <w:pPr>
              <w:jc w:val="center"/>
            </w:pPr>
            <w:r>
              <w:t>5</w:t>
            </w:r>
          </w:p>
        </w:tc>
        <w:tc>
          <w:tcPr>
            <w:tcW w:w="411" w:type="pct"/>
            <w:tcBorders>
              <w:bottom w:val="single" w:sz="4" w:space="0" w:color="auto"/>
            </w:tcBorders>
            <w:shd w:val="clear" w:color="auto" w:fill="FFFF00"/>
            <w:noWrap/>
            <w:vAlign w:val="center"/>
          </w:tcPr>
          <w:p w14:paraId="439E0EF2" w14:textId="77777777" w:rsidR="00251C1A" w:rsidRDefault="00251C1A" w:rsidP="00604DF0">
            <w:pPr>
              <w:jc w:val="center"/>
            </w:pPr>
            <w:r>
              <w:t>4</w:t>
            </w:r>
          </w:p>
        </w:tc>
        <w:tc>
          <w:tcPr>
            <w:tcW w:w="424" w:type="pct"/>
            <w:tcBorders>
              <w:bottom w:val="single" w:sz="4" w:space="0" w:color="auto"/>
            </w:tcBorders>
            <w:shd w:val="clear" w:color="auto" w:fill="FFFF00"/>
            <w:noWrap/>
            <w:vAlign w:val="center"/>
          </w:tcPr>
          <w:p w14:paraId="21B029DD" w14:textId="77777777" w:rsidR="00251C1A" w:rsidRDefault="00251C1A" w:rsidP="00604DF0">
            <w:pPr>
              <w:jc w:val="center"/>
            </w:pPr>
            <w:r>
              <w:t>4</w:t>
            </w:r>
          </w:p>
        </w:tc>
        <w:tc>
          <w:tcPr>
            <w:tcW w:w="411" w:type="pct"/>
            <w:tcBorders>
              <w:bottom w:val="single" w:sz="4" w:space="0" w:color="auto"/>
            </w:tcBorders>
            <w:shd w:val="clear" w:color="auto" w:fill="FFFF00"/>
            <w:noWrap/>
            <w:vAlign w:val="center"/>
          </w:tcPr>
          <w:p w14:paraId="7E42D5DA" w14:textId="77777777" w:rsidR="00251C1A" w:rsidRDefault="00251C1A" w:rsidP="00604DF0">
            <w:pPr>
              <w:jc w:val="center"/>
            </w:pPr>
            <w:r>
              <w:t>4</w:t>
            </w:r>
          </w:p>
        </w:tc>
        <w:tc>
          <w:tcPr>
            <w:tcW w:w="408" w:type="pct"/>
            <w:tcBorders>
              <w:bottom w:val="single" w:sz="4" w:space="0" w:color="auto"/>
            </w:tcBorders>
            <w:shd w:val="clear" w:color="auto" w:fill="92D050"/>
            <w:vAlign w:val="center"/>
          </w:tcPr>
          <w:p w14:paraId="651312D7" w14:textId="77777777" w:rsidR="00251C1A" w:rsidRDefault="00251C1A" w:rsidP="00604DF0">
            <w:pPr>
              <w:jc w:val="center"/>
            </w:pPr>
            <w:r>
              <w:t>5</w:t>
            </w:r>
          </w:p>
        </w:tc>
      </w:tr>
      <w:tr w:rsidR="00791E1B" w:rsidRPr="00880004" w14:paraId="2C8BBA13" w14:textId="77777777" w:rsidTr="000470A8">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0BB5096E" w14:textId="77777777" w:rsidR="00251C1A" w:rsidRPr="00AE6BB9" w:rsidRDefault="00251C1A" w:rsidP="00AE6BB9">
            <w:pPr>
              <w:keepLines/>
              <w:spacing w:before="40" w:after="40" w:line="200" w:lineRule="atLeast"/>
              <w:rPr>
                <w:rFonts w:asciiTheme="minorHAnsi" w:eastAsia="Times New Roman" w:hAnsiTheme="minorHAnsi"/>
                <w:iCs/>
                <w:szCs w:val="17"/>
                <w:lang w:eastAsia="en-US"/>
              </w:rPr>
            </w:pPr>
            <w:r w:rsidRPr="00AE6BB9">
              <w:rPr>
                <w:rFonts w:asciiTheme="minorHAnsi" w:eastAsia="Times New Roman" w:hAnsiTheme="minorHAnsi"/>
                <w:iCs/>
                <w:szCs w:val="17"/>
                <w:lang w:eastAsia="en-US"/>
              </w:rPr>
              <w:t>Telecommunications (IN</w:t>
            </w:r>
            <w:r w:rsidR="00926ADC" w:rsidRPr="00AE6BB9">
              <w:rPr>
                <w:rFonts w:asciiTheme="minorHAnsi" w:eastAsia="Times New Roman" w:hAnsiTheme="minorHAnsi"/>
                <w:iCs/>
                <w:szCs w:val="17"/>
                <w:lang w:eastAsia="en-US"/>
              </w:rPr>
              <w:t>J</w:t>
            </w:r>
            <w:r w:rsidRPr="00AE6BB9">
              <w:rPr>
                <w:rFonts w:asciiTheme="minorHAnsi" w:eastAsia="Times New Roman" w:hAnsiTheme="minorHAnsi"/>
                <w:iCs/>
                <w:szCs w:val="17"/>
                <w:lang w:eastAsia="en-US"/>
              </w:rPr>
              <w:t>159)</w:t>
            </w:r>
          </w:p>
        </w:tc>
        <w:tc>
          <w:tcPr>
            <w:tcW w:w="661" w:type="pct"/>
            <w:vMerge w:val="restart"/>
            <w:vAlign w:val="center"/>
          </w:tcPr>
          <w:p w14:paraId="3B3784EC"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$4.8m</w:t>
            </w:r>
          </w:p>
          <w:p w14:paraId="5BF321E8" w14:textId="77777777" w:rsidR="00251C1A" w:rsidRPr="00662F4A" w:rsidRDefault="00251C1A" w:rsidP="00AE6BB9">
            <w:pPr>
              <w:keepLines/>
              <w:spacing w:before="40" w:after="40" w:line="200" w:lineRule="atLeast"/>
              <w:rPr>
                <w:rFonts w:asciiTheme="minorHAnsi" w:eastAsia="Times New Roman" w:hAnsiTheme="minorHAnsi"/>
                <w:iCs/>
                <w:szCs w:val="17"/>
                <w:lang w:eastAsia="en-US"/>
              </w:rPr>
            </w:pPr>
            <w:r w:rsidRPr="00662F4A">
              <w:rPr>
                <w:rFonts w:asciiTheme="minorHAnsi" w:eastAsia="Times New Roman" w:hAnsiTheme="minorHAnsi"/>
                <w:iCs/>
                <w:szCs w:val="17"/>
                <w:lang w:eastAsia="en-US"/>
              </w:rPr>
              <w:t>2010-15</w:t>
            </w:r>
          </w:p>
        </w:tc>
        <w:tc>
          <w:tcPr>
            <w:tcW w:w="412" w:type="pct"/>
          </w:tcPr>
          <w:p w14:paraId="1968A8C3" w14:textId="77777777" w:rsidR="00251C1A" w:rsidRPr="00AE6BB9" w:rsidRDefault="00251C1A" w:rsidP="00604DF0">
            <w:pPr>
              <w:jc w:val="center"/>
              <w:rPr>
                <w:rFonts w:asciiTheme="minorHAnsi" w:eastAsia="Times New Roman" w:hAnsiTheme="minorHAnsi"/>
                <w:iCs/>
                <w:szCs w:val="17"/>
                <w:lang w:eastAsia="en-US"/>
              </w:rPr>
            </w:pPr>
            <w:r w:rsidRPr="00AE6BB9">
              <w:rPr>
                <w:rFonts w:asciiTheme="minorHAnsi" w:eastAsia="Times New Roman" w:hAnsiTheme="minorHAnsi"/>
                <w:iCs/>
                <w:szCs w:val="17"/>
                <w:lang w:eastAsia="en-US"/>
              </w:rPr>
              <w:t xml:space="preserve">2016 </w:t>
            </w:r>
            <w:r w:rsidR="00EC22CC" w:rsidRPr="00AE6BB9">
              <w:rPr>
                <w:rFonts w:asciiTheme="minorHAnsi" w:eastAsia="Times New Roman" w:hAnsiTheme="minorHAnsi"/>
                <w:iCs/>
                <w:szCs w:val="17"/>
                <w:lang w:eastAsia="en-US"/>
              </w:rPr>
              <w:t>F</w:t>
            </w:r>
            <w:r w:rsidRPr="00AE6BB9">
              <w:rPr>
                <w:rFonts w:asciiTheme="minorHAnsi" w:eastAsia="Times New Roman" w:hAnsiTheme="minorHAnsi"/>
                <w:iCs/>
                <w:szCs w:val="17"/>
                <w:lang w:eastAsia="en-US"/>
              </w:rPr>
              <w:t>AQC</w:t>
            </w:r>
          </w:p>
        </w:tc>
        <w:tc>
          <w:tcPr>
            <w:tcW w:w="424" w:type="pct"/>
            <w:shd w:val="clear" w:color="auto" w:fill="92D050"/>
            <w:noWrap/>
            <w:vAlign w:val="center"/>
          </w:tcPr>
          <w:p w14:paraId="5F1EEE65" w14:textId="77777777" w:rsidR="00251C1A" w:rsidRDefault="00251C1A" w:rsidP="00604DF0">
            <w:pPr>
              <w:jc w:val="center"/>
            </w:pPr>
            <w:r>
              <w:t>6</w:t>
            </w:r>
          </w:p>
        </w:tc>
        <w:tc>
          <w:tcPr>
            <w:tcW w:w="411" w:type="pct"/>
            <w:shd w:val="clear" w:color="auto" w:fill="92D050"/>
            <w:noWrap/>
            <w:vAlign w:val="center"/>
          </w:tcPr>
          <w:p w14:paraId="40AC8351" w14:textId="77777777" w:rsidR="00251C1A" w:rsidRPr="00BD56C0" w:rsidRDefault="00251C1A" w:rsidP="00BD56C0">
            <w:pPr>
              <w:jc w:val="center"/>
            </w:pPr>
            <w:r w:rsidRPr="00BD56C0">
              <w:t>5</w:t>
            </w:r>
          </w:p>
        </w:tc>
        <w:tc>
          <w:tcPr>
            <w:tcW w:w="424" w:type="pct"/>
            <w:shd w:val="clear" w:color="auto" w:fill="92D050"/>
            <w:noWrap/>
            <w:vAlign w:val="center"/>
          </w:tcPr>
          <w:p w14:paraId="3536801C" w14:textId="77777777" w:rsidR="00251C1A" w:rsidRPr="00BD56C0" w:rsidRDefault="00251C1A" w:rsidP="00BD56C0">
            <w:pPr>
              <w:jc w:val="center"/>
            </w:pPr>
            <w:r w:rsidRPr="00BD56C0">
              <w:t>5</w:t>
            </w:r>
          </w:p>
        </w:tc>
        <w:tc>
          <w:tcPr>
            <w:tcW w:w="411" w:type="pct"/>
            <w:shd w:val="clear" w:color="auto" w:fill="92D050"/>
            <w:noWrap/>
            <w:vAlign w:val="center"/>
          </w:tcPr>
          <w:p w14:paraId="06DD892B" w14:textId="77777777" w:rsidR="00251C1A" w:rsidRPr="00BD56C0" w:rsidRDefault="00251C1A" w:rsidP="00BD56C0">
            <w:pPr>
              <w:jc w:val="center"/>
            </w:pPr>
            <w:r w:rsidRPr="00BD56C0">
              <w:t>5</w:t>
            </w:r>
          </w:p>
        </w:tc>
        <w:tc>
          <w:tcPr>
            <w:tcW w:w="424" w:type="pct"/>
            <w:shd w:val="clear" w:color="auto" w:fill="FFFF00"/>
            <w:noWrap/>
            <w:vAlign w:val="center"/>
          </w:tcPr>
          <w:p w14:paraId="7BE3E5AC" w14:textId="5F896F60" w:rsidR="00251C1A" w:rsidRPr="00BD56C0" w:rsidRDefault="0061211E" w:rsidP="00BD56C0">
            <w:pPr>
              <w:jc w:val="center"/>
            </w:pPr>
            <w:r>
              <w:t>4</w:t>
            </w:r>
          </w:p>
        </w:tc>
        <w:tc>
          <w:tcPr>
            <w:tcW w:w="411" w:type="pct"/>
            <w:shd w:val="clear" w:color="auto" w:fill="FF6600"/>
            <w:noWrap/>
            <w:vAlign w:val="center"/>
          </w:tcPr>
          <w:p w14:paraId="70EEFA62" w14:textId="77777777" w:rsidR="00251C1A" w:rsidRPr="00BD56C0" w:rsidRDefault="00251C1A" w:rsidP="00BD56C0">
            <w:pPr>
              <w:jc w:val="center"/>
            </w:pPr>
            <w:r w:rsidRPr="00BD56C0">
              <w:t>3</w:t>
            </w:r>
          </w:p>
        </w:tc>
        <w:tc>
          <w:tcPr>
            <w:tcW w:w="408" w:type="pct"/>
            <w:shd w:val="clear" w:color="auto" w:fill="92D050"/>
            <w:vAlign w:val="center"/>
          </w:tcPr>
          <w:p w14:paraId="1B086808" w14:textId="77777777" w:rsidR="00251C1A" w:rsidRPr="00BD56C0" w:rsidRDefault="00251C1A" w:rsidP="00BD56C0">
            <w:pPr>
              <w:jc w:val="center"/>
            </w:pPr>
            <w:r w:rsidRPr="00BD56C0">
              <w:t>5</w:t>
            </w:r>
          </w:p>
        </w:tc>
      </w:tr>
      <w:tr w:rsidR="00251C1A" w:rsidRPr="00880004" w14:paraId="75DEBB01" w14:textId="77777777" w:rsidTr="00604DF0">
        <w:trPr>
          <w:cnfStyle w:val="000000010000" w:firstRow="0" w:lastRow="0" w:firstColumn="0" w:lastColumn="0" w:oddVBand="0" w:evenVBand="0" w:oddHBand="0" w:evenHBand="1" w:firstRowFirstColumn="0" w:firstRowLastColumn="0" w:lastRowFirstColumn="0" w:lastRowLastColumn="0"/>
          <w:trHeight w:val="284"/>
        </w:trPr>
        <w:tc>
          <w:tcPr>
            <w:tcW w:w="908" w:type="pct"/>
            <w:vMerge/>
          </w:tcPr>
          <w:p w14:paraId="076E231A" w14:textId="77777777" w:rsidR="00251C1A" w:rsidRPr="00846138" w:rsidRDefault="00251C1A" w:rsidP="00604DF0">
            <w:pPr>
              <w:jc w:val="center"/>
            </w:pPr>
          </w:p>
        </w:tc>
        <w:tc>
          <w:tcPr>
            <w:tcW w:w="661" w:type="pct"/>
            <w:vMerge/>
          </w:tcPr>
          <w:p w14:paraId="274558C4" w14:textId="77777777" w:rsidR="00251C1A" w:rsidRPr="00846138" w:rsidRDefault="00251C1A" w:rsidP="00604DF0">
            <w:pPr>
              <w:jc w:val="center"/>
            </w:pPr>
          </w:p>
        </w:tc>
        <w:tc>
          <w:tcPr>
            <w:tcW w:w="412" w:type="pct"/>
          </w:tcPr>
          <w:p w14:paraId="2A6B1326" w14:textId="77777777" w:rsidR="00251C1A" w:rsidRPr="00846138" w:rsidRDefault="00251C1A" w:rsidP="00604DF0">
            <w:pPr>
              <w:jc w:val="center"/>
            </w:pPr>
          </w:p>
        </w:tc>
        <w:tc>
          <w:tcPr>
            <w:tcW w:w="424" w:type="pct"/>
            <w:shd w:val="clear" w:color="auto" w:fill="auto"/>
            <w:noWrap/>
            <w:vAlign w:val="center"/>
          </w:tcPr>
          <w:p w14:paraId="68CA5844" w14:textId="77777777" w:rsidR="00251C1A" w:rsidRDefault="00251C1A" w:rsidP="00604DF0">
            <w:pPr>
              <w:jc w:val="center"/>
            </w:pPr>
          </w:p>
        </w:tc>
        <w:tc>
          <w:tcPr>
            <w:tcW w:w="411" w:type="pct"/>
            <w:shd w:val="clear" w:color="auto" w:fill="auto"/>
            <w:noWrap/>
            <w:vAlign w:val="center"/>
          </w:tcPr>
          <w:p w14:paraId="35A92323" w14:textId="77777777" w:rsidR="00251C1A" w:rsidRPr="00880004" w:rsidRDefault="00251C1A" w:rsidP="00604DF0">
            <w:pPr>
              <w:keepLines/>
              <w:spacing w:before="40" w:after="40" w:line="200" w:lineRule="atLeast"/>
              <w:jc w:val="center"/>
              <w:rPr>
                <w:rFonts w:asciiTheme="minorHAnsi" w:eastAsia="Times New Roman" w:hAnsiTheme="minorHAnsi"/>
                <w:iCs/>
                <w:szCs w:val="17"/>
                <w:lang w:eastAsia="en-US"/>
              </w:rPr>
            </w:pPr>
          </w:p>
        </w:tc>
        <w:tc>
          <w:tcPr>
            <w:tcW w:w="424" w:type="pct"/>
            <w:shd w:val="clear" w:color="auto" w:fill="auto"/>
            <w:noWrap/>
            <w:vAlign w:val="center"/>
          </w:tcPr>
          <w:p w14:paraId="34B5C7EA" w14:textId="77777777" w:rsidR="00251C1A" w:rsidRPr="00880004" w:rsidRDefault="00251C1A" w:rsidP="00604DF0">
            <w:pPr>
              <w:keepLines/>
              <w:spacing w:before="40" w:after="40" w:line="200" w:lineRule="atLeast"/>
              <w:jc w:val="center"/>
              <w:rPr>
                <w:rFonts w:asciiTheme="minorHAnsi" w:eastAsia="Times New Roman" w:hAnsiTheme="minorHAnsi"/>
                <w:iCs/>
                <w:szCs w:val="17"/>
                <w:lang w:eastAsia="en-US"/>
              </w:rPr>
            </w:pPr>
          </w:p>
        </w:tc>
        <w:tc>
          <w:tcPr>
            <w:tcW w:w="411" w:type="pct"/>
            <w:shd w:val="clear" w:color="auto" w:fill="auto"/>
            <w:noWrap/>
            <w:vAlign w:val="center"/>
          </w:tcPr>
          <w:p w14:paraId="3CC31973" w14:textId="77777777" w:rsidR="00251C1A" w:rsidRPr="00880004" w:rsidRDefault="00251C1A" w:rsidP="00604DF0">
            <w:pPr>
              <w:keepLines/>
              <w:spacing w:before="40" w:after="40" w:line="200" w:lineRule="atLeast"/>
              <w:jc w:val="center"/>
              <w:rPr>
                <w:rFonts w:asciiTheme="minorHAnsi" w:eastAsia="Times New Roman" w:hAnsiTheme="minorHAnsi"/>
                <w:iCs/>
                <w:szCs w:val="17"/>
                <w:lang w:eastAsia="en-US"/>
              </w:rPr>
            </w:pPr>
          </w:p>
        </w:tc>
        <w:tc>
          <w:tcPr>
            <w:tcW w:w="424" w:type="pct"/>
            <w:shd w:val="clear" w:color="auto" w:fill="auto"/>
            <w:noWrap/>
            <w:vAlign w:val="center"/>
          </w:tcPr>
          <w:p w14:paraId="23B42885" w14:textId="77777777" w:rsidR="00251C1A" w:rsidRPr="00880004" w:rsidRDefault="00251C1A" w:rsidP="00604DF0">
            <w:pPr>
              <w:keepLines/>
              <w:spacing w:before="40" w:after="40" w:line="200" w:lineRule="atLeast"/>
              <w:jc w:val="center"/>
              <w:rPr>
                <w:rFonts w:asciiTheme="minorHAnsi" w:eastAsia="Times New Roman" w:hAnsiTheme="minorHAnsi"/>
                <w:iCs/>
                <w:szCs w:val="17"/>
                <w:lang w:eastAsia="en-US"/>
              </w:rPr>
            </w:pPr>
          </w:p>
        </w:tc>
        <w:tc>
          <w:tcPr>
            <w:tcW w:w="411" w:type="pct"/>
            <w:shd w:val="clear" w:color="auto" w:fill="auto"/>
            <w:noWrap/>
            <w:vAlign w:val="center"/>
          </w:tcPr>
          <w:p w14:paraId="518344B1" w14:textId="77777777" w:rsidR="00251C1A" w:rsidRPr="00880004" w:rsidRDefault="00251C1A" w:rsidP="00604DF0">
            <w:pPr>
              <w:keepLines/>
              <w:spacing w:before="40" w:after="40" w:line="200" w:lineRule="atLeast"/>
              <w:jc w:val="center"/>
              <w:rPr>
                <w:rFonts w:asciiTheme="minorHAnsi" w:eastAsia="Times New Roman" w:hAnsiTheme="minorHAnsi"/>
                <w:iCs/>
                <w:szCs w:val="17"/>
                <w:lang w:eastAsia="en-US"/>
              </w:rPr>
            </w:pPr>
          </w:p>
        </w:tc>
        <w:tc>
          <w:tcPr>
            <w:tcW w:w="408" w:type="pct"/>
            <w:shd w:val="clear" w:color="auto" w:fill="auto"/>
            <w:vAlign w:val="center"/>
          </w:tcPr>
          <w:p w14:paraId="33EF13FE" w14:textId="77777777" w:rsidR="00251C1A" w:rsidRPr="00880004" w:rsidRDefault="00251C1A" w:rsidP="00604DF0">
            <w:pPr>
              <w:keepLines/>
              <w:spacing w:before="40" w:after="40" w:line="200" w:lineRule="atLeast"/>
              <w:jc w:val="center"/>
              <w:rPr>
                <w:rFonts w:asciiTheme="minorHAnsi" w:eastAsia="Times New Roman" w:hAnsiTheme="minorHAnsi"/>
                <w:iCs/>
                <w:szCs w:val="17"/>
                <w:lang w:eastAsia="en-US"/>
              </w:rPr>
            </w:pPr>
          </w:p>
        </w:tc>
      </w:tr>
    </w:tbl>
    <w:p w14:paraId="7CB91D5B"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14:paraId="64A81FF9"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Satisfactory (4, 5 and 6)</w:t>
      </w:r>
    </w:p>
    <w:p w14:paraId="20DF6D4C"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w:t>
      </w:r>
      <w:r w:rsidR="00A262EE">
        <w:rPr>
          <w:rFonts w:eastAsia="Times New Roman"/>
          <w:b/>
          <w:sz w:val="16"/>
          <w:szCs w:val="14"/>
        </w:rPr>
        <w:t xml:space="preserve">.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14:paraId="3670CE48"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14:paraId="20A6798C"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14:paraId="2D91BE16"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14:paraId="4B361DBF" w14:textId="77777777" w:rsidR="00DB5FD9" w:rsidRDefault="00400B0F" w:rsidP="00400B0F">
      <w:pPr>
        <w:spacing w:before="20" w:after="20" w:line="180" w:lineRule="atLeast"/>
        <w:sectPr w:rsidR="00DB5FD9" w:rsidSect="00784031">
          <w:pgSz w:w="16838" w:h="11906" w:orient="landscape" w:code="9"/>
          <w:pgMar w:top="1134" w:right="1527" w:bottom="1134" w:left="851" w:header="1418" w:footer="267" w:gutter="0"/>
          <w:cols w:space="397"/>
          <w:docGrid w:linePitch="360"/>
        </w:sectPr>
      </w:pPr>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w:t>
      </w:r>
      <w:r w:rsidR="00A262EE">
        <w:rPr>
          <w:rFonts w:eastAsia="Times New Roman"/>
          <w:b/>
          <w:sz w:val="16"/>
          <w:szCs w:val="14"/>
        </w:rPr>
        <w:t xml:space="preserve">.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r w:rsidR="004E0264">
        <w:br w:type="page"/>
      </w:r>
    </w:p>
    <w:p w14:paraId="761FF45C" w14:textId="77777777" w:rsidR="00400B0F" w:rsidRPr="00E41505" w:rsidRDefault="00400B0F" w:rsidP="00400B0F">
      <w:pPr>
        <w:spacing w:before="20" w:after="20" w:line="180" w:lineRule="atLeast"/>
        <w:rPr>
          <w:rFonts w:asciiTheme="majorHAnsi" w:eastAsiaTheme="majorEastAsia" w:hAnsiTheme="majorHAnsi" w:cstheme="majorBidi"/>
          <w:caps/>
          <w:sz w:val="38"/>
          <w:szCs w:val="26"/>
        </w:rPr>
      </w:pPr>
      <w:r w:rsidRPr="00E41505">
        <w:rPr>
          <w:rFonts w:asciiTheme="majorHAnsi" w:eastAsiaTheme="majorEastAsia" w:hAnsiTheme="majorHAnsi" w:cstheme="majorBidi"/>
          <w:caps/>
          <w:sz w:val="38"/>
          <w:szCs w:val="26"/>
        </w:rPr>
        <w:lastRenderedPageBreak/>
        <w:t>Annex E – Performance Assessment Framework</w:t>
      </w:r>
    </w:p>
    <w:p w14:paraId="42EE74AB" w14:textId="77777777" w:rsidR="00400B0F" w:rsidRDefault="00400B0F" w:rsidP="00400B0F">
      <w:pPr>
        <w:spacing w:before="20" w:after="20" w:line="180" w:lineRule="atLeast"/>
        <w:rPr>
          <w:rFonts w:ascii="Helvetica" w:eastAsia="Times New Roman" w:hAnsi="Helvetica" w:cs="Arial"/>
          <w:color w:val="007FAD"/>
          <w:kern w:val="28"/>
          <w:sz w:val="28"/>
          <w:szCs w:val="28"/>
        </w:rPr>
      </w:pPr>
    </w:p>
    <w:tbl>
      <w:tblPr>
        <w:tblW w:w="5001" w:type="pct"/>
        <w:tblLook w:val="04A0" w:firstRow="1" w:lastRow="0" w:firstColumn="1" w:lastColumn="0" w:noHBand="0" w:noVBand="1"/>
      </w:tblPr>
      <w:tblGrid>
        <w:gridCol w:w="4008"/>
        <w:gridCol w:w="1099"/>
        <w:gridCol w:w="77"/>
        <w:gridCol w:w="3872"/>
        <w:gridCol w:w="1255"/>
        <w:gridCol w:w="3957"/>
        <w:gridCol w:w="175"/>
      </w:tblGrid>
      <w:tr w:rsidR="00DB5FD9" w:rsidRPr="00DB5FD9" w14:paraId="5C528E4B" w14:textId="77777777" w:rsidTr="00DB5FD9">
        <w:trPr>
          <w:gridAfter w:val="1"/>
          <w:wAfter w:w="64" w:type="pct"/>
          <w:trHeight w:val="1174"/>
        </w:trPr>
        <w:tc>
          <w:tcPr>
            <w:tcW w:w="1391" w:type="pct"/>
            <w:tcBorders>
              <w:top w:val="single" w:sz="8" w:space="0" w:color="auto"/>
              <w:left w:val="single" w:sz="8" w:space="0" w:color="auto"/>
              <w:bottom w:val="single" w:sz="8" w:space="0" w:color="auto"/>
              <w:right w:val="single" w:sz="8" w:space="0" w:color="auto"/>
            </w:tcBorders>
            <w:shd w:val="clear" w:color="000000" w:fill="F2DCDB"/>
            <w:noWrap/>
            <w:vAlign w:val="center"/>
            <w:hideMark/>
          </w:tcPr>
          <w:p w14:paraId="50FE98B7" w14:textId="77777777" w:rsidR="00DB5FD9" w:rsidRPr="00DB5FD9" w:rsidRDefault="00DB5FD9" w:rsidP="00DB5FD9">
            <w:pPr>
              <w:suppressAutoHyphens w:val="0"/>
              <w:spacing w:before="0" w:after="0" w:line="240" w:lineRule="auto"/>
              <w:jc w:val="center"/>
              <w:rPr>
                <w:rFonts w:ascii="Calibri" w:eastAsia="Times New Roman" w:hAnsi="Calibri" w:cs="Times New Roman"/>
                <w:b/>
                <w:bCs/>
                <w:color w:val="000000"/>
                <w:sz w:val="28"/>
                <w:szCs w:val="28"/>
                <w:lang w:val="en-AU"/>
              </w:rPr>
            </w:pPr>
            <w:bookmarkStart w:id="1" w:name="RANGE!A1:E9"/>
            <w:r w:rsidRPr="00DB5FD9">
              <w:rPr>
                <w:rFonts w:ascii="Calibri" w:eastAsia="Times New Roman" w:hAnsi="Calibri" w:cs="Times New Roman"/>
                <w:b/>
                <w:bCs/>
                <w:color w:val="000000"/>
                <w:sz w:val="28"/>
                <w:szCs w:val="28"/>
                <w:lang w:val="en-AU"/>
              </w:rPr>
              <w:t>Supporting Stability</w:t>
            </w:r>
            <w:bookmarkEnd w:id="1"/>
          </w:p>
        </w:tc>
        <w:tc>
          <w:tcPr>
            <w:tcW w:w="384" w:type="pct"/>
            <w:tcBorders>
              <w:top w:val="nil"/>
              <w:left w:val="nil"/>
              <w:bottom w:val="nil"/>
              <w:right w:val="nil"/>
            </w:tcBorders>
            <w:shd w:val="clear" w:color="auto" w:fill="auto"/>
            <w:noWrap/>
            <w:vAlign w:val="center"/>
            <w:hideMark/>
          </w:tcPr>
          <w:p w14:paraId="52358117"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1374" w:type="pct"/>
            <w:gridSpan w:val="2"/>
            <w:tcBorders>
              <w:top w:val="single" w:sz="8" w:space="0" w:color="auto"/>
              <w:left w:val="single" w:sz="8" w:space="0" w:color="auto"/>
              <w:bottom w:val="single" w:sz="8" w:space="0" w:color="auto"/>
              <w:right w:val="single" w:sz="8" w:space="0" w:color="auto"/>
            </w:tcBorders>
            <w:shd w:val="clear" w:color="000000" w:fill="FDE9D9"/>
            <w:noWrap/>
            <w:vAlign w:val="center"/>
            <w:hideMark/>
          </w:tcPr>
          <w:p w14:paraId="69A63CAC" w14:textId="77777777" w:rsidR="00DB5FD9" w:rsidRPr="00DB5FD9" w:rsidRDefault="00DB5FD9" w:rsidP="00DB5FD9">
            <w:pPr>
              <w:suppressAutoHyphens w:val="0"/>
              <w:spacing w:before="0" w:after="0" w:line="240" w:lineRule="auto"/>
              <w:jc w:val="center"/>
              <w:rPr>
                <w:rFonts w:ascii="Calibri" w:eastAsia="Times New Roman" w:hAnsi="Calibri" w:cs="Times New Roman"/>
                <w:b/>
                <w:bCs/>
                <w:color w:val="000000"/>
                <w:sz w:val="28"/>
                <w:szCs w:val="28"/>
                <w:lang w:val="en-AU"/>
              </w:rPr>
            </w:pPr>
            <w:r w:rsidRPr="00DB5FD9">
              <w:rPr>
                <w:rFonts w:ascii="Calibri" w:eastAsia="Times New Roman" w:hAnsi="Calibri" w:cs="Times New Roman"/>
                <w:b/>
                <w:bCs/>
                <w:color w:val="000000"/>
                <w:sz w:val="28"/>
                <w:szCs w:val="28"/>
                <w:lang w:val="en-AU"/>
              </w:rPr>
              <w:t>Enabling Growth</w:t>
            </w:r>
          </w:p>
        </w:tc>
        <w:tc>
          <w:tcPr>
            <w:tcW w:w="438" w:type="pct"/>
            <w:tcBorders>
              <w:top w:val="nil"/>
              <w:left w:val="nil"/>
              <w:bottom w:val="nil"/>
              <w:right w:val="nil"/>
            </w:tcBorders>
            <w:shd w:val="clear" w:color="auto" w:fill="auto"/>
            <w:noWrap/>
            <w:vAlign w:val="center"/>
            <w:hideMark/>
          </w:tcPr>
          <w:p w14:paraId="29729336"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1349" w:type="pct"/>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2B865AB5" w14:textId="77777777" w:rsidR="00DB5FD9" w:rsidRPr="00DB5FD9" w:rsidRDefault="00DB5FD9" w:rsidP="00DB5FD9">
            <w:pPr>
              <w:suppressAutoHyphens w:val="0"/>
              <w:spacing w:before="0" w:after="0" w:line="240" w:lineRule="auto"/>
              <w:jc w:val="center"/>
              <w:rPr>
                <w:rFonts w:ascii="Calibri" w:eastAsia="Times New Roman" w:hAnsi="Calibri" w:cs="Times New Roman"/>
                <w:b/>
                <w:bCs/>
                <w:color w:val="000000"/>
                <w:sz w:val="28"/>
                <w:szCs w:val="28"/>
                <w:lang w:val="en-AU"/>
              </w:rPr>
            </w:pPr>
            <w:r w:rsidRPr="00DB5FD9">
              <w:rPr>
                <w:rFonts w:ascii="Calibri" w:eastAsia="Times New Roman" w:hAnsi="Calibri" w:cs="Times New Roman"/>
                <w:b/>
                <w:bCs/>
                <w:color w:val="000000"/>
                <w:sz w:val="28"/>
                <w:szCs w:val="28"/>
                <w:lang w:val="en-AU"/>
              </w:rPr>
              <w:t>Enhancing Human Development</w:t>
            </w:r>
          </w:p>
        </w:tc>
      </w:tr>
      <w:tr w:rsidR="00DB5FD9" w:rsidRPr="00DB5FD9" w14:paraId="12DE3797" w14:textId="77777777" w:rsidTr="00DB5FD9">
        <w:trPr>
          <w:gridAfter w:val="1"/>
          <w:wAfter w:w="64" w:type="pct"/>
          <w:trHeight w:val="270"/>
        </w:trPr>
        <w:tc>
          <w:tcPr>
            <w:tcW w:w="1391" w:type="pct"/>
            <w:tcBorders>
              <w:top w:val="nil"/>
              <w:left w:val="nil"/>
              <w:bottom w:val="nil"/>
              <w:right w:val="nil"/>
            </w:tcBorders>
            <w:shd w:val="clear" w:color="auto" w:fill="auto"/>
            <w:noWrap/>
            <w:vAlign w:val="center"/>
            <w:hideMark/>
          </w:tcPr>
          <w:p w14:paraId="6629CA74"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384" w:type="pct"/>
            <w:tcBorders>
              <w:top w:val="nil"/>
              <w:left w:val="nil"/>
              <w:bottom w:val="nil"/>
              <w:right w:val="nil"/>
            </w:tcBorders>
            <w:shd w:val="clear" w:color="auto" w:fill="auto"/>
            <w:noWrap/>
            <w:vAlign w:val="center"/>
            <w:hideMark/>
          </w:tcPr>
          <w:p w14:paraId="6C48C3F7"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1374" w:type="pct"/>
            <w:gridSpan w:val="2"/>
            <w:tcBorders>
              <w:top w:val="nil"/>
              <w:left w:val="nil"/>
              <w:bottom w:val="nil"/>
              <w:right w:val="nil"/>
            </w:tcBorders>
            <w:shd w:val="clear" w:color="auto" w:fill="auto"/>
            <w:noWrap/>
            <w:vAlign w:val="center"/>
            <w:hideMark/>
          </w:tcPr>
          <w:p w14:paraId="3E92D64A"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438" w:type="pct"/>
            <w:tcBorders>
              <w:top w:val="nil"/>
              <w:left w:val="nil"/>
              <w:bottom w:val="nil"/>
              <w:right w:val="nil"/>
            </w:tcBorders>
            <w:shd w:val="clear" w:color="auto" w:fill="auto"/>
            <w:noWrap/>
            <w:vAlign w:val="center"/>
            <w:hideMark/>
          </w:tcPr>
          <w:p w14:paraId="22339C97"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1349" w:type="pct"/>
            <w:tcBorders>
              <w:top w:val="nil"/>
              <w:left w:val="nil"/>
              <w:bottom w:val="nil"/>
              <w:right w:val="nil"/>
            </w:tcBorders>
            <w:shd w:val="clear" w:color="auto" w:fill="auto"/>
            <w:noWrap/>
            <w:vAlign w:val="center"/>
            <w:hideMark/>
          </w:tcPr>
          <w:p w14:paraId="310B202D"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r>
      <w:tr w:rsidR="00DB5FD9" w:rsidRPr="00DB5FD9" w14:paraId="2CC3D3E7" w14:textId="77777777" w:rsidTr="00DB5FD9">
        <w:trPr>
          <w:gridAfter w:val="1"/>
          <w:wAfter w:w="64" w:type="pct"/>
          <w:trHeight w:val="617"/>
        </w:trPr>
        <w:tc>
          <w:tcPr>
            <w:tcW w:w="1391" w:type="pct"/>
            <w:tcBorders>
              <w:top w:val="single" w:sz="8" w:space="0" w:color="auto"/>
              <w:left w:val="single" w:sz="8" w:space="0" w:color="auto"/>
              <w:bottom w:val="nil"/>
              <w:right w:val="single" w:sz="8" w:space="0" w:color="auto"/>
            </w:tcBorders>
            <w:shd w:val="clear" w:color="000000" w:fill="F2DCDB"/>
            <w:noWrap/>
            <w:vAlign w:val="center"/>
            <w:hideMark/>
          </w:tcPr>
          <w:p w14:paraId="72075C24" w14:textId="77777777" w:rsidR="00DB5FD9" w:rsidRPr="00DB5FD9" w:rsidRDefault="00DB5FD9" w:rsidP="00DB5FD9">
            <w:pPr>
              <w:suppressAutoHyphens w:val="0"/>
              <w:spacing w:before="0" w:after="0" w:line="240" w:lineRule="auto"/>
              <w:rPr>
                <w:rFonts w:ascii="Calibri" w:eastAsia="Times New Roman" w:hAnsi="Calibri" w:cs="Times New Roman"/>
                <w:color w:val="000000"/>
                <w:sz w:val="28"/>
                <w:szCs w:val="28"/>
                <w:lang w:val="en-AU"/>
              </w:rPr>
            </w:pPr>
            <w:r w:rsidRPr="00DB5FD9">
              <w:rPr>
                <w:rFonts w:ascii="Calibri" w:eastAsia="Times New Roman" w:hAnsi="Calibri" w:cs="Times New Roman"/>
                <w:color w:val="000000"/>
                <w:sz w:val="28"/>
                <w:szCs w:val="28"/>
                <w:lang w:val="en-AU"/>
              </w:rPr>
              <w:t>End of Program Outcome:</w:t>
            </w:r>
          </w:p>
        </w:tc>
        <w:tc>
          <w:tcPr>
            <w:tcW w:w="384" w:type="pct"/>
            <w:tcBorders>
              <w:top w:val="nil"/>
              <w:left w:val="nil"/>
              <w:bottom w:val="nil"/>
              <w:right w:val="nil"/>
            </w:tcBorders>
            <w:shd w:val="clear" w:color="auto" w:fill="auto"/>
            <w:noWrap/>
            <w:vAlign w:val="center"/>
            <w:hideMark/>
          </w:tcPr>
          <w:p w14:paraId="1F66CB70"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1374" w:type="pct"/>
            <w:gridSpan w:val="2"/>
            <w:tcBorders>
              <w:top w:val="single" w:sz="8" w:space="0" w:color="auto"/>
              <w:left w:val="single" w:sz="8" w:space="0" w:color="auto"/>
              <w:bottom w:val="nil"/>
              <w:right w:val="single" w:sz="8" w:space="0" w:color="auto"/>
            </w:tcBorders>
            <w:shd w:val="clear" w:color="000000" w:fill="FDE9D9"/>
            <w:noWrap/>
            <w:vAlign w:val="center"/>
            <w:hideMark/>
          </w:tcPr>
          <w:p w14:paraId="459752FE" w14:textId="77777777" w:rsidR="00DB5FD9" w:rsidRPr="00DB5FD9" w:rsidRDefault="00DB5FD9" w:rsidP="00DB5FD9">
            <w:pPr>
              <w:suppressAutoHyphens w:val="0"/>
              <w:spacing w:before="0" w:after="0" w:line="240" w:lineRule="auto"/>
              <w:rPr>
                <w:rFonts w:ascii="Calibri" w:eastAsia="Times New Roman" w:hAnsi="Calibri" w:cs="Times New Roman"/>
                <w:color w:val="000000"/>
                <w:sz w:val="28"/>
                <w:szCs w:val="28"/>
                <w:lang w:val="en-AU"/>
              </w:rPr>
            </w:pPr>
            <w:r w:rsidRPr="00DB5FD9">
              <w:rPr>
                <w:rFonts w:ascii="Calibri" w:eastAsia="Times New Roman" w:hAnsi="Calibri" w:cs="Times New Roman"/>
                <w:color w:val="000000"/>
                <w:sz w:val="28"/>
                <w:szCs w:val="28"/>
                <w:lang w:val="en-AU"/>
              </w:rPr>
              <w:t>End of program outcome:</w:t>
            </w:r>
          </w:p>
        </w:tc>
        <w:tc>
          <w:tcPr>
            <w:tcW w:w="438" w:type="pct"/>
            <w:tcBorders>
              <w:top w:val="nil"/>
              <w:left w:val="nil"/>
              <w:bottom w:val="nil"/>
              <w:right w:val="nil"/>
            </w:tcBorders>
            <w:shd w:val="clear" w:color="auto" w:fill="auto"/>
            <w:noWrap/>
            <w:vAlign w:val="center"/>
            <w:hideMark/>
          </w:tcPr>
          <w:p w14:paraId="5957A2CE"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c>
          <w:tcPr>
            <w:tcW w:w="1349" w:type="pct"/>
            <w:tcBorders>
              <w:top w:val="single" w:sz="8" w:space="0" w:color="auto"/>
              <w:left w:val="single" w:sz="8" w:space="0" w:color="auto"/>
              <w:bottom w:val="nil"/>
              <w:right w:val="single" w:sz="8" w:space="0" w:color="auto"/>
            </w:tcBorders>
            <w:shd w:val="clear" w:color="000000" w:fill="FFFFCC"/>
            <w:noWrap/>
            <w:vAlign w:val="center"/>
            <w:hideMark/>
          </w:tcPr>
          <w:p w14:paraId="120D8C16" w14:textId="77777777" w:rsidR="00DB5FD9" w:rsidRPr="00DB5FD9" w:rsidRDefault="00DB5FD9" w:rsidP="00DB5FD9">
            <w:pPr>
              <w:suppressAutoHyphens w:val="0"/>
              <w:spacing w:before="0" w:after="0" w:line="240" w:lineRule="auto"/>
              <w:rPr>
                <w:rFonts w:ascii="Calibri" w:eastAsia="Times New Roman" w:hAnsi="Calibri" w:cs="Times New Roman"/>
                <w:color w:val="000000"/>
                <w:sz w:val="28"/>
                <w:szCs w:val="28"/>
                <w:lang w:val="en-AU"/>
              </w:rPr>
            </w:pPr>
            <w:r w:rsidRPr="00DB5FD9">
              <w:rPr>
                <w:rFonts w:ascii="Calibri" w:eastAsia="Times New Roman" w:hAnsi="Calibri" w:cs="Times New Roman"/>
                <w:color w:val="000000"/>
                <w:sz w:val="28"/>
                <w:szCs w:val="28"/>
                <w:lang w:val="en-AU"/>
              </w:rPr>
              <w:t>End of program outcome:</w:t>
            </w:r>
          </w:p>
        </w:tc>
      </w:tr>
      <w:tr w:rsidR="00DB5FD9" w:rsidRPr="00DB5FD9" w14:paraId="2A18D0CD" w14:textId="77777777" w:rsidTr="00DB5FD9">
        <w:trPr>
          <w:gridAfter w:val="1"/>
          <w:wAfter w:w="64" w:type="pct"/>
          <w:trHeight w:val="1210"/>
        </w:trPr>
        <w:tc>
          <w:tcPr>
            <w:tcW w:w="1391" w:type="pct"/>
            <w:vMerge w:val="restart"/>
            <w:tcBorders>
              <w:top w:val="nil"/>
              <w:left w:val="single" w:sz="8" w:space="0" w:color="auto"/>
              <w:bottom w:val="single" w:sz="8" w:space="0" w:color="000000"/>
              <w:right w:val="single" w:sz="8" w:space="0" w:color="auto"/>
            </w:tcBorders>
            <w:shd w:val="clear" w:color="000000" w:fill="F2DCDB"/>
            <w:hideMark/>
          </w:tcPr>
          <w:p w14:paraId="6FA50953" w14:textId="77777777" w:rsidR="00DB5FD9" w:rsidRPr="00DB5FD9" w:rsidRDefault="0068605E" w:rsidP="0068605E">
            <w:pPr>
              <w:numPr>
                <w:ilvl w:val="0"/>
                <w:numId w:val="45"/>
              </w:numPr>
              <w:suppressAutoHyphens w:val="0"/>
              <w:spacing w:before="0" w:after="0" w:line="240" w:lineRule="auto"/>
              <w:contextualSpacing/>
              <w:rPr>
                <w:rFonts w:ascii="Calibri" w:eastAsia="Times New Roman" w:hAnsi="Calibri" w:cs="Times New Roman"/>
                <w:color w:val="000000"/>
                <w:sz w:val="28"/>
                <w:szCs w:val="28"/>
                <w:lang w:val="en-AU"/>
              </w:rPr>
            </w:pPr>
            <w:r w:rsidRPr="0068605E">
              <w:rPr>
                <w:rFonts w:ascii="Calibri" w:eastAsia="Times New Roman" w:hAnsi="Calibri" w:cs="Times New Roman"/>
                <w:color w:val="000000"/>
                <w:sz w:val="28"/>
                <w:szCs w:val="28"/>
                <w:lang w:val="en-AU"/>
              </w:rPr>
              <w:t>Solomon Islanders increasingly benefit from a functioning, economically stable state and a secure environment</w:t>
            </w:r>
          </w:p>
        </w:tc>
        <w:tc>
          <w:tcPr>
            <w:tcW w:w="384" w:type="pct"/>
            <w:tcBorders>
              <w:top w:val="nil"/>
              <w:left w:val="nil"/>
              <w:bottom w:val="nil"/>
              <w:right w:val="nil"/>
            </w:tcBorders>
            <w:shd w:val="clear" w:color="auto" w:fill="auto"/>
            <w:vAlign w:val="center"/>
            <w:hideMark/>
          </w:tcPr>
          <w:p w14:paraId="2963AF23" w14:textId="77777777" w:rsidR="00DB5FD9" w:rsidRPr="00DB5FD9" w:rsidRDefault="00DB5FD9" w:rsidP="00BD56C0">
            <w:pPr>
              <w:suppressAutoHyphens w:val="0"/>
              <w:spacing w:before="0" w:after="0" w:line="240" w:lineRule="auto"/>
              <w:jc w:val="center"/>
              <w:rPr>
                <w:rFonts w:ascii="Calibri" w:eastAsia="Times New Roman" w:hAnsi="Calibri" w:cs="Times New Roman"/>
                <w:color w:val="000000"/>
                <w:sz w:val="28"/>
                <w:szCs w:val="28"/>
                <w:lang w:val="en-AU"/>
              </w:rPr>
            </w:pPr>
          </w:p>
        </w:tc>
        <w:tc>
          <w:tcPr>
            <w:tcW w:w="1374" w:type="pct"/>
            <w:gridSpan w:val="2"/>
            <w:vMerge w:val="restart"/>
            <w:tcBorders>
              <w:top w:val="nil"/>
              <w:left w:val="single" w:sz="8" w:space="0" w:color="auto"/>
              <w:bottom w:val="single" w:sz="8" w:space="0" w:color="000000"/>
              <w:right w:val="single" w:sz="8" w:space="0" w:color="auto"/>
            </w:tcBorders>
            <w:shd w:val="clear" w:color="000000" w:fill="FDE9D9"/>
            <w:hideMark/>
          </w:tcPr>
          <w:p w14:paraId="7042A076" w14:textId="77777777" w:rsidR="00DB5FD9" w:rsidRPr="00DB5FD9" w:rsidRDefault="00EE104B" w:rsidP="00EE104B">
            <w:pPr>
              <w:numPr>
                <w:ilvl w:val="0"/>
                <w:numId w:val="45"/>
              </w:numPr>
              <w:suppressAutoHyphens w:val="0"/>
              <w:spacing w:before="0" w:after="0" w:line="240" w:lineRule="auto"/>
              <w:contextualSpacing/>
              <w:rPr>
                <w:rFonts w:ascii="Calibri" w:eastAsia="Times New Roman" w:hAnsi="Calibri" w:cs="Times New Roman"/>
                <w:color w:val="000000"/>
                <w:sz w:val="28"/>
                <w:szCs w:val="28"/>
                <w:lang w:val="en-AU"/>
              </w:rPr>
            </w:pPr>
            <w:r w:rsidRPr="00EE104B">
              <w:rPr>
                <w:rFonts w:ascii="Calibri" w:eastAsia="Times New Roman" w:hAnsi="Calibri" w:cs="Times New Roman"/>
                <w:color w:val="000000"/>
                <w:sz w:val="28"/>
                <w:szCs w:val="28"/>
                <w:lang w:val="en-AU"/>
              </w:rPr>
              <w:t xml:space="preserve">Solomon Islands' enabling environment is more attractive to business </w:t>
            </w:r>
          </w:p>
          <w:p w14:paraId="4712CB66" w14:textId="77777777" w:rsidR="00DB5FD9" w:rsidRPr="00DB5FD9" w:rsidRDefault="00DB5FD9" w:rsidP="00EE104B">
            <w:pPr>
              <w:numPr>
                <w:ilvl w:val="0"/>
                <w:numId w:val="45"/>
              </w:numPr>
              <w:suppressAutoHyphens w:val="0"/>
              <w:spacing w:before="0" w:after="0" w:line="240" w:lineRule="auto"/>
              <w:contextualSpacing/>
              <w:rPr>
                <w:rFonts w:ascii="Calibri" w:eastAsia="Times New Roman" w:hAnsi="Calibri" w:cs="Times New Roman"/>
                <w:color w:val="000000"/>
                <w:sz w:val="28"/>
                <w:szCs w:val="28"/>
                <w:lang w:val="en-AU"/>
              </w:rPr>
            </w:pPr>
            <w:r w:rsidRPr="00DB5FD9">
              <w:rPr>
                <w:rFonts w:ascii="Calibri" w:eastAsia="Times New Roman" w:hAnsi="Calibri" w:cs="Times New Roman"/>
                <w:color w:val="000000"/>
                <w:sz w:val="28"/>
                <w:szCs w:val="28"/>
                <w:lang w:val="en-AU"/>
              </w:rPr>
              <w:t xml:space="preserve">More men and women </w:t>
            </w:r>
            <w:r w:rsidR="00EE104B">
              <w:rPr>
                <w:rFonts w:ascii="Calibri" w:eastAsia="Times New Roman" w:hAnsi="Calibri" w:cs="Times New Roman"/>
                <w:color w:val="000000"/>
                <w:sz w:val="28"/>
                <w:szCs w:val="28"/>
                <w:lang w:val="en-AU"/>
              </w:rPr>
              <w:t>can</w:t>
            </w:r>
            <w:r w:rsidRPr="00DB5FD9">
              <w:rPr>
                <w:rFonts w:ascii="Calibri" w:eastAsia="Times New Roman" w:hAnsi="Calibri" w:cs="Times New Roman"/>
                <w:color w:val="000000"/>
                <w:sz w:val="28"/>
                <w:szCs w:val="28"/>
                <w:lang w:val="en-AU"/>
              </w:rPr>
              <w:t xml:space="preserve"> earn a cash income</w:t>
            </w:r>
          </w:p>
        </w:tc>
        <w:tc>
          <w:tcPr>
            <w:tcW w:w="438" w:type="pct"/>
            <w:tcBorders>
              <w:top w:val="nil"/>
              <w:left w:val="nil"/>
              <w:bottom w:val="nil"/>
              <w:right w:val="nil"/>
            </w:tcBorders>
            <w:shd w:val="clear" w:color="auto" w:fill="auto"/>
            <w:vAlign w:val="center"/>
            <w:hideMark/>
          </w:tcPr>
          <w:p w14:paraId="3711DDB3" w14:textId="77777777" w:rsidR="00DB5FD9" w:rsidRPr="00DB5FD9" w:rsidRDefault="00DB5FD9" w:rsidP="00BD56C0">
            <w:pPr>
              <w:suppressAutoHyphens w:val="0"/>
              <w:spacing w:before="0" w:after="0" w:line="240" w:lineRule="auto"/>
              <w:jc w:val="center"/>
              <w:rPr>
                <w:rFonts w:ascii="Calibri" w:eastAsia="Times New Roman" w:hAnsi="Calibri" w:cs="Times New Roman"/>
                <w:color w:val="000000"/>
                <w:sz w:val="28"/>
                <w:szCs w:val="28"/>
                <w:lang w:val="en-AU"/>
              </w:rPr>
            </w:pPr>
          </w:p>
        </w:tc>
        <w:tc>
          <w:tcPr>
            <w:tcW w:w="1349" w:type="pct"/>
            <w:vMerge w:val="restart"/>
            <w:tcBorders>
              <w:top w:val="nil"/>
              <w:left w:val="single" w:sz="8" w:space="0" w:color="auto"/>
              <w:bottom w:val="single" w:sz="8" w:space="0" w:color="000000"/>
              <w:right w:val="single" w:sz="8" w:space="0" w:color="auto"/>
            </w:tcBorders>
            <w:shd w:val="clear" w:color="000000" w:fill="FFFFCC"/>
            <w:hideMark/>
          </w:tcPr>
          <w:p w14:paraId="4372E71B" w14:textId="77777777" w:rsidR="00DB5FD9" w:rsidRPr="00DB5FD9" w:rsidRDefault="00EE104B" w:rsidP="00DB5FD9">
            <w:pPr>
              <w:numPr>
                <w:ilvl w:val="0"/>
                <w:numId w:val="45"/>
              </w:numPr>
              <w:suppressAutoHyphens w:val="0"/>
              <w:spacing w:before="0" w:after="0" w:line="240" w:lineRule="auto"/>
              <w:contextualSpacing/>
              <w:rPr>
                <w:rFonts w:ascii="Calibri" w:eastAsia="Times New Roman" w:hAnsi="Calibri" w:cs="Times New Roman"/>
                <w:color w:val="000000"/>
                <w:sz w:val="28"/>
                <w:szCs w:val="28"/>
                <w:lang w:val="en-AU"/>
              </w:rPr>
            </w:pPr>
            <w:r>
              <w:rPr>
                <w:rFonts w:ascii="Calibri" w:eastAsia="Times New Roman" w:hAnsi="Calibri" w:cs="Times New Roman"/>
                <w:color w:val="000000"/>
                <w:sz w:val="28"/>
                <w:szCs w:val="28"/>
                <w:lang w:val="en-AU"/>
              </w:rPr>
              <w:t>Solomon Islanders have increasing access to quality health and education</w:t>
            </w:r>
            <w:r w:rsidR="008515DB">
              <w:rPr>
                <w:rFonts w:ascii="Calibri" w:eastAsia="Times New Roman" w:hAnsi="Calibri" w:cs="Times New Roman"/>
                <w:color w:val="000000"/>
                <w:sz w:val="28"/>
                <w:szCs w:val="28"/>
                <w:lang w:val="en-AU"/>
              </w:rPr>
              <w:t xml:space="preserve"> services</w:t>
            </w:r>
          </w:p>
        </w:tc>
      </w:tr>
      <w:tr w:rsidR="00DB5FD9" w:rsidRPr="00DB5FD9" w14:paraId="72BA9CB2" w14:textId="77777777" w:rsidTr="00DB5FD9">
        <w:trPr>
          <w:gridAfter w:val="1"/>
          <w:wAfter w:w="64" w:type="pct"/>
          <w:trHeight w:val="1392"/>
        </w:trPr>
        <w:tc>
          <w:tcPr>
            <w:tcW w:w="1391" w:type="pct"/>
            <w:vMerge/>
            <w:tcBorders>
              <w:top w:val="nil"/>
              <w:left w:val="single" w:sz="8" w:space="0" w:color="auto"/>
              <w:bottom w:val="single" w:sz="8" w:space="0" w:color="000000"/>
              <w:right w:val="single" w:sz="8" w:space="0" w:color="auto"/>
            </w:tcBorders>
            <w:vAlign w:val="center"/>
            <w:hideMark/>
          </w:tcPr>
          <w:p w14:paraId="150F01B9" w14:textId="77777777" w:rsidR="00DB5FD9" w:rsidRPr="00DB5FD9" w:rsidRDefault="00DB5FD9" w:rsidP="00DB5FD9">
            <w:pPr>
              <w:suppressAutoHyphens w:val="0"/>
              <w:spacing w:before="0" w:after="0" w:line="240" w:lineRule="auto"/>
              <w:rPr>
                <w:rFonts w:ascii="Calibri" w:eastAsia="Times New Roman" w:hAnsi="Calibri" w:cs="Times New Roman"/>
                <w:color w:val="000000"/>
                <w:sz w:val="28"/>
                <w:szCs w:val="28"/>
                <w:lang w:val="en-AU"/>
              </w:rPr>
            </w:pPr>
          </w:p>
        </w:tc>
        <w:tc>
          <w:tcPr>
            <w:tcW w:w="384" w:type="pct"/>
            <w:tcBorders>
              <w:top w:val="nil"/>
              <w:left w:val="nil"/>
              <w:bottom w:val="nil"/>
              <w:right w:val="nil"/>
            </w:tcBorders>
            <w:shd w:val="clear" w:color="auto" w:fill="auto"/>
            <w:vAlign w:val="center"/>
            <w:hideMark/>
          </w:tcPr>
          <w:p w14:paraId="7BC1C0FD" w14:textId="77777777" w:rsidR="00DB5FD9" w:rsidRPr="00DB5FD9" w:rsidRDefault="00DB5FD9" w:rsidP="00BD56C0">
            <w:pPr>
              <w:suppressAutoHyphens w:val="0"/>
              <w:spacing w:before="0" w:after="0" w:line="240" w:lineRule="auto"/>
              <w:jc w:val="center"/>
              <w:rPr>
                <w:rFonts w:ascii="Calibri" w:eastAsia="Times New Roman" w:hAnsi="Calibri" w:cs="Times New Roman"/>
                <w:color w:val="000000"/>
                <w:sz w:val="28"/>
                <w:szCs w:val="28"/>
                <w:lang w:val="en-AU"/>
              </w:rPr>
            </w:pPr>
          </w:p>
        </w:tc>
        <w:tc>
          <w:tcPr>
            <w:tcW w:w="1374" w:type="pct"/>
            <w:gridSpan w:val="2"/>
            <w:vMerge/>
            <w:tcBorders>
              <w:top w:val="nil"/>
              <w:left w:val="single" w:sz="8" w:space="0" w:color="auto"/>
              <w:bottom w:val="single" w:sz="8" w:space="0" w:color="000000"/>
              <w:right w:val="single" w:sz="8" w:space="0" w:color="auto"/>
            </w:tcBorders>
            <w:vAlign w:val="center"/>
            <w:hideMark/>
          </w:tcPr>
          <w:p w14:paraId="53159F3F" w14:textId="77777777" w:rsidR="00DB5FD9" w:rsidRPr="00DB5FD9" w:rsidRDefault="00DB5FD9" w:rsidP="00DB5FD9">
            <w:pPr>
              <w:suppressAutoHyphens w:val="0"/>
              <w:spacing w:before="0" w:after="0" w:line="240" w:lineRule="auto"/>
              <w:rPr>
                <w:rFonts w:ascii="Calibri" w:eastAsia="Times New Roman" w:hAnsi="Calibri" w:cs="Times New Roman"/>
                <w:color w:val="000000"/>
                <w:sz w:val="28"/>
                <w:szCs w:val="28"/>
                <w:lang w:val="en-AU"/>
              </w:rPr>
            </w:pPr>
          </w:p>
        </w:tc>
        <w:tc>
          <w:tcPr>
            <w:tcW w:w="438" w:type="pct"/>
            <w:tcBorders>
              <w:top w:val="nil"/>
              <w:left w:val="nil"/>
              <w:bottom w:val="nil"/>
              <w:right w:val="nil"/>
            </w:tcBorders>
            <w:shd w:val="clear" w:color="auto" w:fill="auto"/>
            <w:vAlign w:val="center"/>
            <w:hideMark/>
          </w:tcPr>
          <w:p w14:paraId="7F8B1F1B" w14:textId="77777777" w:rsidR="00DB5FD9" w:rsidRPr="00DB5FD9" w:rsidRDefault="00DB5FD9" w:rsidP="00BD56C0">
            <w:pPr>
              <w:suppressAutoHyphens w:val="0"/>
              <w:spacing w:before="0" w:after="0" w:line="240" w:lineRule="auto"/>
              <w:jc w:val="center"/>
              <w:rPr>
                <w:rFonts w:ascii="Calibri" w:eastAsia="Times New Roman" w:hAnsi="Calibri" w:cs="Times New Roman"/>
                <w:color w:val="000000"/>
                <w:sz w:val="28"/>
                <w:szCs w:val="28"/>
                <w:lang w:val="en-AU"/>
              </w:rPr>
            </w:pPr>
          </w:p>
        </w:tc>
        <w:tc>
          <w:tcPr>
            <w:tcW w:w="1349" w:type="pct"/>
            <w:vMerge/>
            <w:tcBorders>
              <w:top w:val="nil"/>
              <w:left w:val="single" w:sz="8" w:space="0" w:color="auto"/>
              <w:bottom w:val="single" w:sz="8" w:space="0" w:color="000000"/>
              <w:right w:val="single" w:sz="8" w:space="0" w:color="auto"/>
            </w:tcBorders>
            <w:vAlign w:val="center"/>
            <w:hideMark/>
          </w:tcPr>
          <w:p w14:paraId="17354C3E" w14:textId="77777777" w:rsidR="00DB5FD9" w:rsidRPr="00DB5FD9" w:rsidRDefault="00DB5FD9" w:rsidP="00DB5FD9">
            <w:pPr>
              <w:suppressAutoHyphens w:val="0"/>
              <w:spacing w:before="0" w:after="0" w:line="240" w:lineRule="auto"/>
              <w:rPr>
                <w:rFonts w:ascii="Calibri" w:eastAsia="Times New Roman" w:hAnsi="Calibri" w:cs="Times New Roman"/>
                <w:color w:val="000000"/>
                <w:sz w:val="28"/>
                <w:szCs w:val="28"/>
                <w:lang w:val="en-AU"/>
              </w:rPr>
            </w:pPr>
          </w:p>
        </w:tc>
      </w:tr>
      <w:tr w:rsidR="00DB5FD9" w:rsidRPr="00DB5FD9" w14:paraId="15F05B17" w14:textId="77777777" w:rsidTr="00DB5FD9">
        <w:trPr>
          <w:gridAfter w:val="1"/>
          <w:wAfter w:w="64" w:type="pct"/>
          <w:trHeight w:val="512"/>
        </w:trPr>
        <w:tc>
          <w:tcPr>
            <w:tcW w:w="4936" w:type="pct"/>
            <w:gridSpan w:val="6"/>
            <w:tcBorders>
              <w:top w:val="nil"/>
              <w:left w:val="nil"/>
              <w:bottom w:val="nil"/>
              <w:right w:val="nil"/>
            </w:tcBorders>
            <w:shd w:val="clear" w:color="auto" w:fill="auto"/>
            <w:vAlign w:val="center"/>
            <w:hideMark/>
          </w:tcPr>
          <w:p w14:paraId="7C1A3F03"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r>
      <w:tr w:rsidR="00DB5FD9" w:rsidRPr="00DB5FD9" w14:paraId="69D005A2" w14:textId="77777777" w:rsidTr="00DB5FD9">
        <w:trPr>
          <w:gridAfter w:val="1"/>
          <w:wAfter w:w="64" w:type="pct"/>
          <w:trHeight w:val="1084"/>
        </w:trPr>
        <w:tc>
          <w:tcPr>
            <w:tcW w:w="4936" w:type="pct"/>
            <w:gridSpan w:val="6"/>
            <w:tcBorders>
              <w:top w:val="single" w:sz="8" w:space="0" w:color="auto"/>
              <w:left w:val="single" w:sz="8" w:space="0" w:color="auto"/>
              <w:bottom w:val="single" w:sz="8" w:space="0" w:color="auto"/>
              <w:right w:val="single" w:sz="8" w:space="0" w:color="000000"/>
            </w:tcBorders>
            <w:shd w:val="clear" w:color="000000" w:fill="EBF1DE"/>
            <w:vAlign w:val="center"/>
            <w:hideMark/>
          </w:tcPr>
          <w:p w14:paraId="40E344B7" w14:textId="77777777" w:rsidR="00DB5FD9" w:rsidRPr="00DB5FD9" w:rsidRDefault="00DB5FD9" w:rsidP="00DB5FD9">
            <w:pPr>
              <w:suppressAutoHyphens w:val="0"/>
              <w:spacing w:before="0" w:after="0" w:line="240" w:lineRule="auto"/>
              <w:ind w:firstLineChars="100" w:firstLine="280"/>
              <w:jc w:val="center"/>
              <w:rPr>
                <w:rFonts w:ascii="Calibri" w:eastAsia="Times New Roman" w:hAnsi="Calibri" w:cs="Times New Roman"/>
                <w:color w:val="000000"/>
                <w:sz w:val="28"/>
                <w:szCs w:val="28"/>
                <w:lang w:val="en-AU"/>
              </w:rPr>
            </w:pPr>
            <w:r w:rsidRPr="00DB5FD9">
              <w:rPr>
                <w:rFonts w:ascii="Calibri" w:eastAsia="Times New Roman" w:hAnsi="Calibri" w:cs="Times New Roman"/>
                <w:b/>
                <w:bCs/>
                <w:color w:val="000000"/>
                <w:sz w:val="28"/>
                <w:szCs w:val="28"/>
                <w:lang w:val="en-AU"/>
              </w:rPr>
              <w:t>Program enabling outcomes</w:t>
            </w:r>
            <w:r w:rsidRPr="00DB5FD9">
              <w:rPr>
                <w:rFonts w:ascii="Calibri" w:eastAsia="Times New Roman" w:hAnsi="Calibri" w:cs="Times New Roman"/>
                <w:color w:val="000000"/>
                <w:sz w:val="28"/>
                <w:szCs w:val="28"/>
                <w:lang w:val="en-AU"/>
              </w:rPr>
              <w:br/>
              <w:t>(</w:t>
            </w:r>
            <w:r w:rsidRPr="00DB5FD9">
              <w:rPr>
                <w:rFonts w:ascii="Calibri" w:eastAsia="Times New Roman" w:hAnsi="Calibri" w:cs="Times New Roman"/>
                <w:i/>
                <w:iCs/>
                <w:color w:val="000000"/>
                <w:sz w:val="28"/>
                <w:szCs w:val="28"/>
                <w:lang w:val="en-AU"/>
              </w:rPr>
              <w:t>Bring together commitments to ways of managing the program)</w:t>
            </w:r>
          </w:p>
        </w:tc>
      </w:tr>
      <w:tr w:rsidR="00DB5FD9" w:rsidRPr="00DB5FD9" w14:paraId="5EA516BF" w14:textId="77777777" w:rsidTr="00DB5FD9">
        <w:trPr>
          <w:gridAfter w:val="1"/>
          <w:wAfter w:w="64" w:type="pct"/>
          <w:trHeight w:val="435"/>
        </w:trPr>
        <w:tc>
          <w:tcPr>
            <w:tcW w:w="4936" w:type="pct"/>
            <w:gridSpan w:val="6"/>
            <w:tcBorders>
              <w:top w:val="nil"/>
              <w:left w:val="nil"/>
              <w:bottom w:val="nil"/>
              <w:right w:val="nil"/>
            </w:tcBorders>
            <w:shd w:val="clear" w:color="auto" w:fill="auto"/>
            <w:noWrap/>
            <w:vAlign w:val="center"/>
            <w:hideMark/>
          </w:tcPr>
          <w:p w14:paraId="6C74F9EE" w14:textId="77777777" w:rsidR="00DB5FD9" w:rsidRPr="00DB5FD9" w:rsidRDefault="00DB5FD9" w:rsidP="00DB5FD9">
            <w:pPr>
              <w:suppressAutoHyphens w:val="0"/>
              <w:spacing w:before="0" w:after="0" w:line="240" w:lineRule="auto"/>
              <w:jc w:val="center"/>
              <w:rPr>
                <w:rFonts w:ascii="Calibri" w:eastAsia="Times New Roman" w:hAnsi="Calibri" w:cs="Times New Roman"/>
                <w:color w:val="000000"/>
                <w:sz w:val="28"/>
                <w:szCs w:val="28"/>
                <w:lang w:val="en-AU"/>
              </w:rPr>
            </w:pPr>
          </w:p>
        </w:tc>
      </w:tr>
      <w:tr w:rsidR="00DB5FD9" w:rsidRPr="00DB5FD9" w14:paraId="3CF5B25D" w14:textId="77777777" w:rsidTr="00DB5FD9">
        <w:trPr>
          <w:gridAfter w:val="1"/>
          <w:wAfter w:w="64" w:type="pct"/>
          <w:trHeight w:val="1096"/>
        </w:trPr>
        <w:tc>
          <w:tcPr>
            <w:tcW w:w="4936" w:type="pct"/>
            <w:gridSpan w:val="6"/>
            <w:tcBorders>
              <w:top w:val="single" w:sz="8" w:space="0" w:color="auto"/>
              <w:left w:val="single" w:sz="8" w:space="0" w:color="auto"/>
              <w:bottom w:val="single" w:sz="4" w:space="0" w:color="auto"/>
              <w:right w:val="single" w:sz="8" w:space="0" w:color="000000"/>
            </w:tcBorders>
            <w:shd w:val="clear" w:color="000000" w:fill="DAEEF3"/>
            <w:vAlign w:val="center"/>
            <w:hideMark/>
          </w:tcPr>
          <w:p w14:paraId="7E667DD1" w14:textId="77777777" w:rsidR="00DB5FD9" w:rsidRPr="00DB5FD9" w:rsidRDefault="00DB5FD9" w:rsidP="00DB5FD9">
            <w:pPr>
              <w:suppressAutoHyphens w:val="0"/>
              <w:spacing w:before="0" w:after="0" w:line="240" w:lineRule="auto"/>
              <w:ind w:firstLineChars="100" w:firstLine="280"/>
              <w:jc w:val="center"/>
              <w:rPr>
                <w:rFonts w:ascii="Calibri" w:eastAsia="Times New Roman" w:hAnsi="Calibri" w:cs="Times New Roman"/>
                <w:color w:val="000000"/>
                <w:sz w:val="28"/>
                <w:szCs w:val="28"/>
                <w:lang w:val="en-AU"/>
              </w:rPr>
            </w:pPr>
            <w:r w:rsidRPr="00DB5FD9">
              <w:rPr>
                <w:rFonts w:ascii="Calibri" w:eastAsia="Times New Roman" w:hAnsi="Calibri" w:cs="Times New Roman"/>
                <w:b/>
                <w:bCs/>
                <w:color w:val="000000"/>
                <w:sz w:val="28"/>
                <w:szCs w:val="28"/>
                <w:lang w:val="en-AU"/>
              </w:rPr>
              <w:t>Gender performance framework</w:t>
            </w:r>
            <w:r w:rsidRPr="00DB5FD9">
              <w:rPr>
                <w:rFonts w:ascii="Calibri" w:eastAsia="Times New Roman" w:hAnsi="Calibri" w:cs="Times New Roman"/>
                <w:color w:val="000000"/>
                <w:sz w:val="28"/>
                <w:szCs w:val="28"/>
                <w:lang w:val="en-AU"/>
              </w:rPr>
              <w:br/>
              <w:t>(</w:t>
            </w:r>
            <w:r w:rsidRPr="00DB5FD9">
              <w:rPr>
                <w:rFonts w:ascii="Calibri" w:eastAsia="Times New Roman" w:hAnsi="Calibri" w:cs="Times New Roman"/>
                <w:i/>
                <w:iCs/>
                <w:color w:val="000000"/>
                <w:sz w:val="28"/>
                <w:szCs w:val="28"/>
                <w:lang w:val="en-AU"/>
              </w:rPr>
              <w:t>Brings together gender specific investments and gender related aspects of the wider program)</w:t>
            </w:r>
          </w:p>
        </w:tc>
      </w:tr>
      <w:tr w:rsidR="00DB5FD9" w:rsidRPr="00DB5FD9" w14:paraId="7A623151" w14:textId="77777777" w:rsidTr="00DB5FD9">
        <w:trPr>
          <w:trHeight w:val="340"/>
          <w:tblHeader/>
        </w:trPr>
        <w:tc>
          <w:tcPr>
            <w:tcW w:w="5000" w:type="pct"/>
            <w:gridSpan w:val="7"/>
            <w:tcBorders>
              <w:top w:val="single" w:sz="4" w:space="0" w:color="auto"/>
              <w:left w:val="single" w:sz="4" w:space="0" w:color="auto"/>
              <w:bottom w:val="single" w:sz="4" w:space="0" w:color="auto"/>
              <w:right w:val="single" w:sz="4" w:space="0" w:color="auto"/>
            </w:tcBorders>
            <w:shd w:val="clear" w:color="000000" w:fill="E6B8B7"/>
            <w:vAlign w:val="center"/>
            <w:hideMark/>
          </w:tcPr>
          <w:p w14:paraId="38C861F1"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lastRenderedPageBreak/>
              <w:t>Australia's aid objective</w:t>
            </w:r>
          </w:p>
        </w:tc>
      </w:tr>
      <w:tr w:rsidR="00DB5FD9" w:rsidRPr="00DB5FD9" w14:paraId="4A3C691C" w14:textId="77777777" w:rsidTr="00DB5FD9">
        <w:trPr>
          <w:trHeight w:val="340"/>
          <w:tblHeader/>
        </w:trPr>
        <w:tc>
          <w:tcPr>
            <w:tcW w:w="1805" w:type="pct"/>
            <w:gridSpan w:val="3"/>
            <w:tcBorders>
              <w:top w:val="single" w:sz="4" w:space="0" w:color="auto"/>
              <w:left w:val="single" w:sz="4" w:space="0" w:color="auto"/>
              <w:bottom w:val="single" w:sz="4" w:space="0" w:color="auto"/>
              <w:right w:val="nil"/>
            </w:tcBorders>
            <w:shd w:val="clear" w:color="000000" w:fill="E6B8B7"/>
            <w:vAlign w:val="center"/>
            <w:hideMark/>
          </w:tcPr>
          <w:p w14:paraId="240AD74E"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w:t>
            </w:r>
          </w:p>
        </w:tc>
        <w:tc>
          <w:tcPr>
            <w:tcW w:w="3195" w:type="pct"/>
            <w:gridSpan w:val="4"/>
            <w:tcBorders>
              <w:top w:val="single" w:sz="4" w:space="0" w:color="auto"/>
              <w:left w:val="single" w:sz="4" w:space="0" w:color="auto"/>
              <w:bottom w:val="single" w:sz="4" w:space="0" w:color="auto"/>
              <w:right w:val="single" w:sz="4" w:space="0" w:color="auto"/>
            </w:tcBorders>
            <w:shd w:val="clear" w:color="000000" w:fill="E6B8B7"/>
            <w:vAlign w:val="center"/>
            <w:hideMark/>
          </w:tcPr>
          <w:p w14:paraId="4EF28DF2"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 indicators</w:t>
            </w:r>
          </w:p>
        </w:tc>
      </w:tr>
      <w:tr w:rsidR="00DB5FD9" w:rsidRPr="00DB5FD9" w14:paraId="223D770D" w14:textId="77777777" w:rsidTr="00DB5FD9">
        <w:trPr>
          <w:trHeight w:val="340"/>
          <w:tblHeader/>
        </w:trPr>
        <w:tc>
          <w:tcPr>
            <w:tcW w:w="1805" w:type="pct"/>
            <w:gridSpan w:val="3"/>
            <w:vMerge w:val="restart"/>
            <w:tcBorders>
              <w:top w:val="single" w:sz="4" w:space="0" w:color="auto"/>
              <w:left w:val="single" w:sz="4" w:space="0" w:color="auto"/>
              <w:right w:val="nil"/>
            </w:tcBorders>
            <w:shd w:val="clear" w:color="000000" w:fill="E6B8B7"/>
            <w:vAlign w:val="center"/>
            <w:hideMark/>
          </w:tcPr>
          <w:p w14:paraId="0A993C1B" w14:textId="77777777" w:rsidR="00DB5FD9" w:rsidRPr="00DB5FD9" w:rsidRDefault="0068605E" w:rsidP="00DB5FD9">
            <w:pPr>
              <w:numPr>
                <w:ilvl w:val="0"/>
                <w:numId w:val="48"/>
              </w:numPr>
              <w:suppressAutoHyphens w:val="0"/>
              <w:spacing w:before="0" w:after="0" w:line="240" w:lineRule="auto"/>
              <w:contextualSpacing/>
              <w:rPr>
                <w:rFonts w:ascii="Calibri" w:eastAsia="Times New Roman" w:hAnsi="Calibri" w:cs="Times New Roman"/>
                <w:color w:val="000000"/>
                <w:lang w:val="en-AU"/>
              </w:rPr>
            </w:pPr>
            <w:r w:rsidRPr="0068605E">
              <w:rPr>
                <w:rFonts w:ascii="Calibri" w:eastAsia="Times New Roman" w:hAnsi="Calibri" w:cs="Times New Roman"/>
                <w:color w:val="000000"/>
                <w:lang w:val="en-AU"/>
              </w:rPr>
              <w:t>Solomon Islanders increasingly benefit from a functioning, economically stable state and a</w:t>
            </w:r>
            <w:r w:rsidRPr="0068605E">
              <w:rPr>
                <w:rFonts w:ascii="Calibri" w:eastAsia="Times New Roman" w:hAnsi="Calibri" w:cs="Times New Roman"/>
                <w:color w:val="000000"/>
                <w:sz w:val="28"/>
                <w:szCs w:val="28"/>
                <w:lang w:val="en-AU"/>
              </w:rPr>
              <w:t xml:space="preserve"> </w:t>
            </w:r>
            <w:r w:rsidRPr="0068605E">
              <w:rPr>
                <w:rFonts w:ascii="Calibri" w:eastAsia="Times New Roman" w:hAnsi="Calibri" w:cs="Times New Roman"/>
                <w:color w:val="000000"/>
                <w:lang w:val="en-AU"/>
              </w:rPr>
              <w:t>secure environment</w:t>
            </w:r>
          </w:p>
        </w:tc>
        <w:tc>
          <w:tcPr>
            <w:tcW w:w="3195" w:type="pct"/>
            <w:gridSpan w:val="4"/>
            <w:tcBorders>
              <w:top w:val="single" w:sz="4" w:space="0" w:color="auto"/>
              <w:left w:val="single" w:sz="4" w:space="0" w:color="auto"/>
              <w:bottom w:val="single" w:sz="4" w:space="0" w:color="auto"/>
              <w:right w:val="single" w:sz="4" w:space="0" w:color="auto"/>
            </w:tcBorders>
            <w:shd w:val="clear" w:color="000000" w:fill="F2DCDB"/>
            <w:vAlign w:val="center"/>
            <w:hideMark/>
          </w:tcPr>
          <w:p w14:paraId="33A37E9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Free and fair national elections held in 2018/19</w:t>
            </w:r>
          </w:p>
        </w:tc>
      </w:tr>
      <w:tr w:rsidR="00DB5FD9" w:rsidRPr="00DB5FD9" w14:paraId="1B5536F0" w14:textId="77777777" w:rsidTr="00DB5FD9">
        <w:trPr>
          <w:trHeight w:val="340"/>
          <w:tblHeader/>
        </w:trPr>
        <w:tc>
          <w:tcPr>
            <w:tcW w:w="1805" w:type="pct"/>
            <w:gridSpan w:val="3"/>
            <w:vMerge/>
            <w:tcBorders>
              <w:left w:val="single" w:sz="4" w:space="0" w:color="auto"/>
              <w:right w:val="nil"/>
            </w:tcBorders>
            <w:shd w:val="clear" w:color="000000" w:fill="E6B8B7"/>
            <w:vAlign w:val="center"/>
            <w:hideMark/>
          </w:tcPr>
          <w:p w14:paraId="2B0CE6A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single" w:sz="4" w:space="0" w:color="auto"/>
              <w:bottom w:val="single" w:sz="4" w:space="0" w:color="auto"/>
              <w:right w:val="single" w:sz="4" w:space="0" w:color="auto"/>
            </w:tcBorders>
            <w:shd w:val="clear" w:color="000000" w:fill="F2DCDB"/>
            <w:vAlign w:val="center"/>
            <w:hideMark/>
          </w:tcPr>
          <w:p w14:paraId="28FA09C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Confidence in the police</w:t>
            </w:r>
          </w:p>
        </w:tc>
      </w:tr>
      <w:tr w:rsidR="00DB5FD9" w:rsidRPr="00DB5FD9" w14:paraId="567CF963" w14:textId="77777777" w:rsidTr="00DB5FD9">
        <w:trPr>
          <w:trHeight w:val="340"/>
          <w:tblHeader/>
        </w:trPr>
        <w:tc>
          <w:tcPr>
            <w:tcW w:w="1805" w:type="pct"/>
            <w:gridSpan w:val="3"/>
            <w:vMerge/>
            <w:tcBorders>
              <w:left w:val="single" w:sz="4" w:space="0" w:color="auto"/>
              <w:right w:val="nil"/>
            </w:tcBorders>
            <w:shd w:val="clear" w:color="000000" w:fill="E6B8B7"/>
            <w:vAlign w:val="center"/>
            <w:hideMark/>
          </w:tcPr>
          <w:p w14:paraId="2F29586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single" w:sz="4" w:space="0" w:color="auto"/>
              <w:bottom w:val="single" w:sz="4" w:space="0" w:color="auto"/>
              <w:right w:val="single" w:sz="4" w:space="0" w:color="auto"/>
            </w:tcBorders>
            <w:shd w:val="clear" w:color="000000" w:fill="F2DCDB"/>
            <w:vAlign w:val="center"/>
            <w:hideMark/>
          </w:tcPr>
          <w:p w14:paraId="6031184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Debt and fiscal balance levels</w:t>
            </w:r>
          </w:p>
        </w:tc>
      </w:tr>
      <w:tr w:rsidR="00DB5FD9" w:rsidRPr="00DB5FD9" w14:paraId="495FF4BD" w14:textId="77777777" w:rsidTr="00DB5FD9">
        <w:trPr>
          <w:trHeight w:val="340"/>
          <w:tblHeader/>
        </w:trPr>
        <w:tc>
          <w:tcPr>
            <w:tcW w:w="1805" w:type="pct"/>
            <w:gridSpan w:val="3"/>
            <w:vMerge/>
            <w:tcBorders>
              <w:left w:val="single" w:sz="4" w:space="0" w:color="auto"/>
              <w:bottom w:val="single" w:sz="4" w:space="0" w:color="auto"/>
              <w:right w:val="nil"/>
            </w:tcBorders>
            <w:shd w:val="clear" w:color="000000" w:fill="E6B8B7"/>
            <w:vAlign w:val="center"/>
            <w:hideMark/>
          </w:tcPr>
          <w:p w14:paraId="1378418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single" w:sz="4" w:space="0" w:color="auto"/>
              <w:bottom w:val="single" w:sz="4" w:space="0" w:color="auto"/>
              <w:right w:val="single" w:sz="4" w:space="0" w:color="auto"/>
            </w:tcBorders>
            <w:shd w:val="clear" w:color="000000" w:fill="F2DCDB"/>
            <w:vAlign w:val="center"/>
            <w:hideMark/>
          </w:tcPr>
          <w:p w14:paraId="0775B2F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Positive changes in attitudes towards family violence</w:t>
            </w:r>
          </w:p>
        </w:tc>
      </w:tr>
      <w:tr w:rsidR="00DB5FD9" w:rsidRPr="00DB5FD9" w14:paraId="179B7335" w14:textId="77777777" w:rsidTr="00DB5FD9">
        <w:trPr>
          <w:trHeight w:val="340"/>
          <w:tblHeader/>
        </w:trPr>
        <w:tc>
          <w:tcPr>
            <w:tcW w:w="5000" w:type="pct"/>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013CE14A"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Australia's aid objective</w:t>
            </w:r>
          </w:p>
        </w:tc>
      </w:tr>
      <w:tr w:rsidR="00DB5FD9" w:rsidRPr="00DB5FD9" w14:paraId="3953B5F7" w14:textId="77777777" w:rsidTr="00DB5FD9">
        <w:trPr>
          <w:trHeight w:val="340"/>
          <w:tblHeader/>
        </w:trPr>
        <w:tc>
          <w:tcPr>
            <w:tcW w:w="1805" w:type="pct"/>
            <w:gridSpan w:val="3"/>
            <w:tcBorders>
              <w:top w:val="single" w:sz="4" w:space="0" w:color="auto"/>
              <w:left w:val="single" w:sz="4" w:space="0" w:color="auto"/>
              <w:bottom w:val="single" w:sz="4" w:space="0" w:color="auto"/>
              <w:right w:val="nil"/>
            </w:tcBorders>
            <w:shd w:val="clear" w:color="000000" w:fill="FCD5B4"/>
            <w:vAlign w:val="center"/>
            <w:hideMark/>
          </w:tcPr>
          <w:p w14:paraId="419F68E2"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w:t>
            </w:r>
          </w:p>
        </w:tc>
        <w:tc>
          <w:tcPr>
            <w:tcW w:w="3195" w:type="pct"/>
            <w:gridSpan w:val="4"/>
            <w:tcBorders>
              <w:top w:val="single" w:sz="4" w:space="0" w:color="auto"/>
              <w:left w:val="single" w:sz="4" w:space="0" w:color="auto"/>
              <w:bottom w:val="single" w:sz="4" w:space="0" w:color="auto"/>
              <w:right w:val="single" w:sz="4" w:space="0" w:color="auto"/>
            </w:tcBorders>
            <w:shd w:val="clear" w:color="000000" w:fill="FCD5B4"/>
            <w:vAlign w:val="center"/>
            <w:hideMark/>
          </w:tcPr>
          <w:p w14:paraId="1B878706"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 indicators</w:t>
            </w:r>
          </w:p>
        </w:tc>
      </w:tr>
      <w:tr w:rsidR="00DB5FD9" w:rsidRPr="00DB5FD9" w14:paraId="5DC711B8" w14:textId="77777777" w:rsidTr="00DB5FD9">
        <w:trPr>
          <w:trHeight w:val="340"/>
          <w:tblHeader/>
        </w:trPr>
        <w:tc>
          <w:tcPr>
            <w:tcW w:w="1805" w:type="pct"/>
            <w:gridSpan w:val="3"/>
            <w:vMerge w:val="restart"/>
            <w:tcBorders>
              <w:top w:val="single" w:sz="4" w:space="0" w:color="auto"/>
              <w:left w:val="single" w:sz="4" w:space="0" w:color="auto"/>
              <w:right w:val="nil"/>
            </w:tcBorders>
            <w:shd w:val="clear" w:color="000000" w:fill="FCD5B4"/>
            <w:vAlign w:val="center"/>
            <w:hideMark/>
          </w:tcPr>
          <w:p w14:paraId="5B7894D4" w14:textId="77777777" w:rsidR="00DB5FD9" w:rsidRPr="00DB5FD9" w:rsidRDefault="00DB5FD9" w:rsidP="00913963">
            <w:pPr>
              <w:numPr>
                <w:ilvl w:val="0"/>
                <w:numId w:val="48"/>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A</w:t>
            </w:r>
            <w:r w:rsidR="00A262EE">
              <w:rPr>
                <w:rFonts w:ascii="Calibri" w:eastAsia="Times New Roman" w:hAnsi="Calibri" w:cs="Times New Roman"/>
                <w:color w:val="000000"/>
                <w:lang w:val="en-AU"/>
              </w:rPr>
              <w:t xml:space="preserve">. </w:t>
            </w:r>
            <w:r w:rsidR="00913963" w:rsidRPr="00913963">
              <w:rPr>
                <w:rFonts w:ascii="Calibri" w:eastAsia="Times New Roman" w:hAnsi="Calibri" w:cs="Times New Roman"/>
                <w:color w:val="000000"/>
                <w:lang w:val="en-AU"/>
              </w:rPr>
              <w:t>Solomon Islands' enabling environment is more attractive to business</w:t>
            </w:r>
          </w:p>
        </w:tc>
        <w:tc>
          <w:tcPr>
            <w:tcW w:w="3195" w:type="pct"/>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14:paraId="3BF2698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Improvement in cost of doing business index rating</w:t>
            </w:r>
          </w:p>
        </w:tc>
      </w:tr>
      <w:tr w:rsidR="00DB5FD9" w:rsidRPr="00DB5FD9" w14:paraId="35C80055" w14:textId="77777777" w:rsidTr="00DB5FD9">
        <w:trPr>
          <w:trHeight w:val="340"/>
          <w:tblHeader/>
        </w:trPr>
        <w:tc>
          <w:tcPr>
            <w:tcW w:w="1805" w:type="pct"/>
            <w:gridSpan w:val="3"/>
            <w:vMerge/>
            <w:tcBorders>
              <w:left w:val="single" w:sz="4" w:space="0" w:color="auto"/>
              <w:right w:val="nil"/>
            </w:tcBorders>
            <w:shd w:val="clear" w:color="000000" w:fill="FCD5B4"/>
            <w:vAlign w:val="center"/>
            <w:hideMark/>
          </w:tcPr>
          <w:p w14:paraId="38FFAA1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14:paraId="432D23E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 in number of registered businesses</w:t>
            </w:r>
          </w:p>
        </w:tc>
      </w:tr>
      <w:tr w:rsidR="00DB5FD9" w:rsidRPr="00DB5FD9" w14:paraId="2A46FC87" w14:textId="77777777" w:rsidTr="00DB5FD9">
        <w:trPr>
          <w:trHeight w:val="340"/>
          <w:tblHeader/>
        </w:trPr>
        <w:tc>
          <w:tcPr>
            <w:tcW w:w="1805" w:type="pct"/>
            <w:gridSpan w:val="3"/>
            <w:vMerge/>
            <w:tcBorders>
              <w:left w:val="single" w:sz="4" w:space="0" w:color="auto"/>
              <w:right w:val="nil"/>
            </w:tcBorders>
            <w:shd w:val="clear" w:color="000000" w:fill="FCD5B4"/>
            <w:vAlign w:val="center"/>
            <w:hideMark/>
          </w:tcPr>
          <w:p w14:paraId="54C1906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14:paraId="20CE6D62"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 in availability of private sector credit</w:t>
            </w:r>
          </w:p>
        </w:tc>
      </w:tr>
      <w:tr w:rsidR="00DB5FD9" w:rsidRPr="00DB5FD9" w14:paraId="66C5A935" w14:textId="77777777" w:rsidTr="00DB5FD9">
        <w:trPr>
          <w:trHeight w:val="340"/>
          <w:tblHeader/>
        </w:trPr>
        <w:tc>
          <w:tcPr>
            <w:tcW w:w="1805" w:type="pct"/>
            <w:gridSpan w:val="3"/>
            <w:vMerge/>
            <w:tcBorders>
              <w:left w:val="single" w:sz="4" w:space="0" w:color="auto"/>
              <w:bottom w:val="single" w:sz="4" w:space="0" w:color="auto"/>
              <w:right w:val="nil"/>
            </w:tcBorders>
            <w:shd w:val="clear" w:color="000000" w:fill="FCD5B4"/>
            <w:vAlign w:val="center"/>
            <w:hideMark/>
          </w:tcPr>
          <w:p w14:paraId="00529C2A"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14:paraId="7C3DB7E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Transport infrastructure rehabilitated/ maintained (km of roads, as well as number of wharves and bridges)</w:t>
            </w:r>
          </w:p>
        </w:tc>
      </w:tr>
      <w:tr w:rsidR="00DB5FD9" w:rsidRPr="00DB5FD9" w14:paraId="40577C21" w14:textId="77777777" w:rsidTr="00DB5FD9">
        <w:trPr>
          <w:trHeight w:val="340"/>
          <w:tblHeader/>
        </w:trPr>
        <w:tc>
          <w:tcPr>
            <w:tcW w:w="5000" w:type="pct"/>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47F941A0"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Australia's aid objective</w:t>
            </w:r>
          </w:p>
        </w:tc>
      </w:tr>
      <w:tr w:rsidR="00DB5FD9" w:rsidRPr="00DB5FD9" w14:paraId="032316CA" w14:textId="77777777" w:rsidTr="00DB5FD9">
        <w:trPr>
          <w:trHeight w:val="340"/>
          <w:tblHeader/>
        </w:trPr>
        <w:tc>
          <w:tcPr>
            <w:tcW w:w="1805" w:type="pct"/>
            <w:gridSpan w:val="3"/>
            <w:tcBorders>
              <w:top w:val="single" w:sz="4" w:space="0" w:color="auto"/>
              <w:left w:val="single" w:sz="4" w:space="0" w:color="auto"/>
              <w:bottom w:val="single" w:sz="4" w:space="0" w:color="auto"/>
              <w:right w:val="nil"/>
            </w:tcBorders>
            <w:shd w:val="clear" w:color="000000" w:fill="FCD5B4"/>
            <w:vAlign w:val="center"/>
            <w:hideMark/>
          </w:tcPr>
          <w:p w14:paraId="7741D221"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w:t>
            </w:r>
          </w:p>
        </w:tc>
        <w:tc>
          <w:tcPr>
            <w:tcW w:w="3195" w:type="pct"/>
            <w:gridSpan w:val="4"/>
            <w:tcBorders>
              <w:top w:val="single" w:sz="4" w:space="0" w:color="auto"/>
              <w:left w:val="single" w:sz="4" w:space="0" w:color="auto"/>
              <w:bottom w:val="single" w:sz="4" w:space="0" w:color="auto"/>
              <w:right w:val="single" w:sz="4" w:space="0" w:color="auto"/>
            </w:tcBorders>
            <w:shd w:val="clear" w:color="000000" w:fill="FCD5B4"/>
            <w:vAlign w:val="center"/>
            <w:hideMark/>
          </w:tcPr>
          <w:p w14:paraId="33273B84"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 indicators</w:t>
            </w:r>
          </w:p>
        </w:tc>
      </w:tr>
      <w:tr w:rsidR="00DB5FD9" w:rsidRPr="00DB5FD9" w14:paraId="2E254ECA" w14:textId="77777777" w:rsidTr="00DB5FD9">
        <w:trPr>
          <w:trHeight w:val="340"/>
          <w:tblHeader/>
        </w:trPr>
        <w:tc>
          <w:tcPr>
            <w:tcW w:w="1805" w:type="pct"/>
            <w:gridSpan w:val="3"/>
            <w:vMerge w:val="restart"/>
            <w:tcBorders>
              <w:top w:val="single" w:sz="4" w:space="0" w:color="auto"/>
              <w:left w:val="single" w:sz="4" w:space="0" w:color="auto"/>
              <w:right w:val="single" w:sz="4" w:space="0" w:color="auto"/>
            </w:tcBorders>
            <w:shd w:val="clear" w:color="000000" w:fill="FCD5B4"/>
            <w:vAlign w:val="center"/>
            <w:hideMark/>
          </w:tcPr>
          <w:p w14:paraId="742E0312" w14:textId="77777777" w:rsidR="00DB5FD9" w:rsidRPr="00DB5FD9" w:rsidRDefault="00DB5FD9" w:rsidP="00913963">
            <w:pPr>
              <w:numPr>
                <w:ilvl w:val="0"/>
                <w:numId w:val="49"/>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 xml:space="preserve">B. More men and women </w:t>
            </w:r>
            <w:r w:rsidR="00913963">
              <w:rPr>
                <w:rFonts w:ascii="Calibri" w:eastAsia="Times New Roman" w:hAnsi="Calibri" w:cs="Times New Roman"/>
                <w:color w:val="000000"/>
                <w:lang w:val="en-AU"/>
              </w:rPr>
              <w:t>can</w:t>
            </w:r>
            <w:r w:rsidRPr="00DB5FD9">
              <w:rPr>
                <w:rFonts w:ascii="Calibri" w:eastAsia="Times New Roman" w:hAnsi="Calibri" w:cs="Times New Roman"/>
                <w:color w:val="000000"/>
                <w:lang w:val="en-AU"/>
              </w:rPr>
              <w:t xml:space="preserve"> earn a cash income</w:t>
            </w:r>
          </w:p>
        </w:tc>
        <w:tc>
          <w:tcPr>
            <w:tcW w:w="3195" w:type="pct"/>
            <w:gridSpan w:val="4"/>
            <w:tcBorders>
              <w:top w:val="single" w:sz="4" w:space="0" w:color="auto"/>
              <w:left w:val="nil"/>
              <w:bottom w:val="single" w:sz="4" w:space="0" w:color="auto"/>
              <w:right w:val="single" w:sz="4" w:space="0" w:color="auto"/>
            </w:tcBorders>
            <w:shd w:val="clear" w:color="000000" w:fill="FDE9D9"/>
            <w:vAlign w:val="center"/>
            <w:hideMark/>
          </w:tcPr>
          <w:p w14:paraId="2438B28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Active membership of National Provident Fund</w:t>
            </w:r>
          </w:p>
        </w:tc>
      </w:tr>
      <w:tr w:rsidR="00DB5FD9" w:rsidRPr="00DB5FD9" w14:paraId="605BD6AD" w14:textId="77777777" w:rsidTr="00DB5FD9">
        <w:trPr>
          <w:trHeight w:val="340"/>
          <w:tblHeader/>
        </w:trPr>
        <w:tc>
          <w:tcPr>
            <w:tcW w:w="1805" w:type="pct"/>
            <w:gridSpan w:val="3"/>
            <w:vMerge/>
            <w:tcBorders>
              <w:left w:val="single" w:sz="4" w:space="0" w:color="auto"/>
              <w:bottom w:val="single" w:sz="4" w:space="0" w:color="auto"/>
              <w:right w:val="single" w:sz="4" w:space="0" w:color="auto"/>
            </w:tcBorders>
            <w:shd w:val="clear" w:color="000000" w:fill="FCD5B4"/>
            <w:vAlign w:val="center"/>
            <w:hideMark/>
          </w:tcPr>
          <w:p w14:paraId="684C773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DE9D9"/>
            <w:vAlign w:val="center"/>
            <w:hideMark/>
          </w:tcPr>
          <w:p w14:paraId="588779E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Numbers of men and women with new skills for income generation</w:t>
            </w:r>
          </w:p>
        </w:tc>
      </w:tr>
      <w:tr w:rsidR="00DB5FD9" w:rsidRPr="00DB5FD9" w14:paraId="5880A832" w14:textId="77777777" w:rsidTr="00DB5FD9">
        <w:trPr>
          <w:trHeight w:val="340"/>
          <w:tblHead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CC"/>
            <w:vAlign w:val="center"/>
            <w:hideMark/>
          </w:tcPr>
          <w:p w14:paraId="3E478330"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b/>
                <w:bCs/>
                <w:color w:val="000000"/>
                <w:lang w:val="en-AU"/>
              </w:rPr>
              <w:t>Australia's aid objective</w:t>
            </w:r>
          </w:p>
        </w:tc>
      </w:tr>
      <w:tr w:rsidR="00DB5FD9" w:rsidRPr="00DB5FD9" w14:paraId="28899F02" w14:textId="77777777" w:rsidTr="005646A9">
        <w:trPr>
          <w:trHeight w:val="340"/>
          <w:tblHeader/>
        </w:trPr>
        <w:tc>
          <w:tcPr>
            <w:tcW w:w="1805" w:type="pct"/>
            <w:gridSpan w:val="3"/>
            <w:tcBorders>
              <w:top w:val="single" w:sz="4" w:space="0" w:color="auto"/>
              <w:left w:val="single" w:sz="4" w:space="0" w:color="auto"/>
              <w:bottom w:val="single" w:sz="4" w:space="0" w:color="auto"/>
              <w:right w:val="nil"/>
            </w:tcBorders>
            <w:shd w:val="clear" w:color="000000" w:fill="FFFFCC"/>
            <w:vAlign w:val="center"/>
            <w:hideMark/>
          </w:tcPr>
          <w:p w14:paraId="5AC1653F"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w:t>
            </w:r>
          </w:p>
        </w:tc>
        <w:tc>
          <w:tcPr>
            <w:tcW w:w="3195" w:type="pct"/>
            <w:gridSpan w:val="4"/>
            <w:tcBorders>
              <w:top w:val="single" w:sz="4" w:space="0" w:color="auto"/>
              <w:left w:val="single" w:sz="4" w:space="0" w:color="auto"/>
              <w:bottom w:val="single" w:sz="4" w:space="0" w:color="auto"/>
              <w:right w:val="single" w:sz="4" w:space="0" w:color="auto"/>
            </w:tcBorders>
            <w:shd w:val="clear" w:color="000000" w:fill="FFFFCC"/>
            <w:vAlign w:val="center"/>
            <w:hideMark/>
          </w:tcPr>
          <w:p w14:paraId="48560EFB"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 indicators</w:t>
            </w:r>
          </w:p>
        </w:tc>
      </w:tr>
      <w:tr w:rsidR="00DB5FD9" w:rsidRPr="00DB5FD9" w14:paraId="3286DD62" w14:textId="77777777" w:rsidTr="00DB5FD9">
        <w:trPr>
          <w:trHeight w:val="340"/>
          <w:tblHeader/>
        </w:trPr>
        <w:tc>
          <w:tcPr>
            <w:tcW w:w="1805" w:type="pct"/>
            <w:gridSpan w:val="3"/>
            <w:vMerge w:val="restart"/>
            <w:tcBorders>
              <w:top w:val="single" w:sz="4" w:space="0" w:color="auto"/>
              <w:left w:val="single" w:sz="4" w:space="0" w:color="auto"/>
              <w:right w:val="single" w:sz="4" w:space="0" w:color="auto"/>
            </w:tcBorders>
            <w:shd w:val="clear" w:color="000000" w:fill="FFFF99"/>
            <w:vAlign w:val="center"/>
            <w:hideMark/>
          </w:tcPr>
          <w:p w14:paraId="42A5D1D0" w14:textId="77777777" w:rsidR="00DB5FD9" w:rsidRPr="00DB5FD9" w:rsidRDefault="00913963" w:rsidP="00913963">
            <w:pPr>
              <w:numPr>
                <w:ilvl w:val="0"/>
                <w:numId w:val="48"/>
              </w:numPr>
              <w:suppressAutoHyphens w:val="0"/>
              <w:spacing w:before="0" w:after="0" w:line="240" w:lineRule="auto"/>
              <w:contextualSpacing/>
              <w:rPr>
                <w:rFonts w:ascii="Calibri" w:eastAsia="Times New Roman" w:hAnsi="Calibri" w:cs="Times New Roman"/>
                <w:color w:val="000000"/>
                <w:lang w:val="en-AU"/>
              </w:rPr>
            </w:pPr>
            <w:r w:rsidRPr="00913963">
              <w:rPr>
                <w:rFonts w:ascii="Calibri" w:eastAsia="Times New Roman" w:hAnsi="Calibri" w:cs="Times New Roman"/>
                <w:color w:val="000000"/>
                <w:lang w:val="en-AU"/>
              </w:rPr>
              <w:t>Solomon Islanders have increasing access to quality health and education</w:t>
            </w:r>
            <w:r w:rsidR="00D976B4">
              <w:rPr>
                <w:rFonts w:ascii="Calibri" w:eastAsia="Times New Roman" w:hAnsi="Calibri" w:cs="Times New Roman"/>
                <w:color w:val="000000"/>
                <w:lang w:val="en-AU"/>
              </w:rPr>
              <w:t xml:space="preserve"> services</w:t>
            </w: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6E6EFA5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Resources reaching front line</w:t>
            </w:r>
          </w:p>
        </w:tc>
      </w:tr>
      <w:tr w:rsidR="00DB5FD9" w:rsidRPr="00DB5FD9" w14:paraId="5368D30D" w14:textId="77777777" w:rsidTr="00DB5FD9">
        <w:trPr>
          <w:trHeight w:val="340"/>
          <w:tblHeader/>
        </w:trPr>
        <w:tc>
          <w:tcPr>
            <w:tcW w:w="1805" w:type="pct"/>
            <w:gridSpan w:val="3"/>
            <w:vMerge/>
            <w:tcBorders>
              <w:left w:val="single" w:sz="4" w:space="0" w:color="auto"/>
              <w:right w:val="single" w:sz="4" w:space="0" w:color="auto"/>
            </w:tcBorders>
            <w:shd w:val="clear" w:color="000000" w:fill="FFFF99"/>
            <w:vAlign w:val="center"/>
            <w:hideMark/>
          </w:tcPr>
          <w:p w14:paraId="7AE7C32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2836A51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Skill levels of staff and observance of guidelines</w:t>
            </w:r>
          </w:p>
        </w:tc>
      </w:tr>
      <w:tr w:rsidR="00DB5FD9" w:rsidRPr="00DB5FD9" w14:paraId="736E132F" w14:textId="77777777" w:rsidTr="00DB5FD9">
        <w:trPr>
          <w:trHeight w:val="340"/>
          <w:tblHeader/>
        </w:trPr>
        <w:tc>
          <w:tcPr>
            <w:tcW w:w="1805" w:type="pct"/>
            <w:gridSpan w:val="3"/>
            <w:vMerge/>
            <w:tcBorders>
              <w:left w:val="single" w:sz="4" w:space="0" w:color="auto"/>
              <w:right w:val="single" w:sz="4" w:space="0" w:color="auto"/>
            </w:tcBorders>
            <w:shd w:val="clear" w:color="000000" w:fill="FFFF99"/>
            <w:vAlign w:val="center"/>
            <w:hideMark/>
          </w:tcPr>
          <w:p w14:paraId="7775762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7043C87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Maternal and child mortality rates</w:t>
            </w:r>
          </w:p>
        </w:tc>
      </w:tr>
      <w:tr w:rsidR="00DB5FD9" w:rsidRPr="00DB5FD9" w14:paraId="29667102" w14:textId="77777777" w:rsidTr="00DB5FD9">
        <w:trPr>
          <w:trHeight w:val="340"/>
          <w:tblHeader/>
        </w:trPr>
        <w:tc>
          <w:tcPr>
            <w:tcW w:w="1805" w:type="pct"/>
            <w:gridSpan w:val="3"/>
            <w:vMerge/>
            <w:tcBorders>
              <w:left w:val="single" w:sz="4" w:space="0" w:color="auto"/>
              <w:right w:val="single" w:sz="4" w:space="0" w:color="auto"/>
            </w:tcBorders>
            <w:shd w:val="clear" w:color="000000" w:fill="FFFF99"/>
            <w:vAlign w:val="center"/>
            <w:hideMark/>
          </w:tcPr>
          <w:p w14:paraId="60E2D474"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78FD5302"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Contraceptive use</w:t>
            </w:r>
          </w:p>
        </w:tc>
      </w:tr>
      <w:tr w:rsidR="00DB5FD9" w:rsidRPr="00DB5FD9" w14:paraId="64493757" w14:textId="77777777" w:rsidTr="00DB5FD9">
        <w:trPr>
          <w:trHeight w:val="340"/>
          <w:tblHeader/>
        </w:trPr>
        <w:tc>
          <w:tcPr>
            <w:tcW w:w="1805" w:type="pct"/>
            <w:gridSpan w:val="3"/>
            <w:vMerge/>
            <w:tcBorders>
              <w:left w:val="single" w:sz="4" w:space="0" w:color="auto"/>
              <w:right w:val="single" w:sz="4" w:space="0" w:color="auto"/>
            </w:tcBorders>
            <w:shd w:val="clear" w:color="000000" w:fill="FFFF99"/>
            <w:vAlign w:val="center"/>
            <w:hideMark/>
          </w:tcPr>
          <w:p w14:paraId="5A0A282D"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52B4270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schools with access to improved water source and sanitation</w:t>
            </w:r>
          </w:p>
        </w:tc>
      </w:tr>
      <w:tr w:rsidR="00DB5FD9" w:rsidRPr="00DB5FD9" w14:paraId="17827477" w14:textId="77777777" w:rsidTr="00DB5FD9">
        <w:trPr>
          <w:trHeight w:val="340"/>
          <w:tblHeader/>
        </w:trPr>
        <w:tc>
          <w:tcPr>
            <w:tcW w:w="1805" w:type="pct"/>
            <w:gridSpan w:val="3"/>
            <w:vMerge/>
            <w:tcBorders>
              <w:left w:val="single" w:sz="4" w:space="0" w:color="auto"/>
              <w:right w:val="single" w:sz="4" w:space="0" w:color="auto"/>
            </w:tcBorders>
            <w:shd w:val="clear" w:color="000000" w:fill="FFFF99"/>
            <w:vAlign w:val="center"/>
            <w:hideMark/>
          </w:tcPr>
          <w:p w14:paraId="67DCE69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2087DEF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Girls and boys reaching national literacy and numeracy standards in Year 4 and Year 6</w:t>
            </w:r>
          </w:p>
        </w:tc>
      </w:tr>
      <w:tr w:rsidR="00DB5FD9" w:rsidRPr="00DB5FD9" w14:paraId="2F381959" w14:textId="77777777" w:rsidTr="005646A9">
        <w:trPr>
          <w:trHeight w:val="340"/>
          <w:tblHeader/>
        </w:trPr>
        <w:tc>
          <w:tcPr>
            <w:tcW w:w="1805" w:type="pct"/>
            <w:gridSpan w:val="3"/>
            <w:vMerge/>
            <w:tcBorders>
              <w:left w:val="single" w:sz="4" w:space="0" w:color="auto"/>
              <w:bottom w:val="single" w:sz="4" w:space="0" w:color="auto"/>
              <w:right w:val="single" w:sz="4" w:space="0" w:color="auto"/>
            </w:tcBorders>
            <w:shd w:val="clear" w:color="000000" w:fill="FFFF99"/>
            <w:vAlign w:val="center"/>
            <w:hideMark/>
          </w:tcPr>
          <w:p w14:paraId="02BAC9E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52E17AFD"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Girls and boys completing basic education</w:t>
            </w:r>
          </w:p>
        </w:tc>
      </w:tr>
      <w:tr w:rsidR="00DB5FD9" w:rsidRPr="00DB5FD9" w14:paraId="5D43AE84" w14:textId="77777777" w:rsidTr="005646A9">
        <w:trPr>
          <w:trHeight w:val="340"/>
          <w:tblHeader/>
        </w:trPr>
        <w:tc>
          <w:tcPr>
            <w:tcW w:w="1805" w:type="pct"/>
            <w:gridSpan w:val="3"/>
            <w:vMerge/>
            <w:tcBorders>
              <w:top w:val="single" w:sz="4" w:space="0" w:color="auto"/>
              <w:left w:val="single" w:sz="4" w:space="0" w:color="auto"/>
              <w:right w:val="single" w:sz="4" w:space="0" w:color="auto"/>
            </w:tcBorders>
            <w:shd w:val="clear" w:color="000000" w:fill="FFFF99"/>
            <w:vAlign w:val="center"/>
            <w:hideMark/>
          </w:tcPr>
          <w:p w14:paraId="1631493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7BD2B3A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Gender parity at junior secondary level</w:t>
            </w:r>
          </w:p>
        </w:tc>
      </w:tr>
      <w:tr w:rsidR="00DB5FD9" w:rsidRPr="00DB5FD9" w14:paraId="7B85D593" w14:textId="77777777" w:rsidTr="005646A9">
        <w:trPr>
          <w:trHeight w:val="340"/>
          <w:tblHeader/>
        </w:trPr>
        <w:tc>
          <w:tcPr>
            <w:tcW w:w="1805" w:type="pct"/>
            <w:gridSpan w:val="3"/>
            <w:vMerge/>
            <w:tcBorders>
              <w:left w:val="single" w:sz="4" w:space="0" w:color="auto"/>
              <w:right w:val="single" w:sz="4" w:space="0" w:color="auto"/>
            </w:tcBorders>
            <w:shd w:val="clear" w:color="000000" w:fill="FFFF99"/>
            <w:vAlign w:val="center"/>
            <w:hideMark/>
          </w:tcPr>
          <w:p w14:paraId="088AE07D"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FFFCC"/>
            <w:vAlign w:val="center"/>
            <w:hideMark/>
          </w:tcPr>
          <w:p w14:paraId="52D2C96A"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Levels of satisfaction with service delivery</w:t>
            </w:r>
          </w:p>
        </w:tc>
      </w:tr>
      <w:tr w:rsidR="00DB5FD9" w:rsidRPr="00DB5FD9" w14:paraId="5E42BF3B" w14:textId="77777777" w:rsidTr="00DB5FD9">
        <w:trPr>
          <w:trHeight w:val="34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F621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b/>
                <w:bCs/>
                <w:color w:val="000000"/>
                <w:lang w:val="en-AU"/>
              </w:rPr>
              <w:t>Australia's aid objective</w:t>
            </w:r>
          </w:p>
        </w:tc>
      </w:tr>
      <w:tr w:rsidR="00DB5FD9" w:rsidRPr="00DB5FD9" w14:paraId="5185E123" w14:textId="77777777" w:rsidTr="00DB5FD9">
        <w:trPr>
          <w:trHeight w:val="340"/>
          <w:tblHeader/>
        </w:trPr>
        <w:tc>
          <w:tcPr>
            <w:tcW w:w="1805" w:type="pct"/>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1AF2116"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w:t>
            </w:r>
          </w:p>
        </w:tc>
        <w:tc>
          <w:tcPr>
            <w:tcW w:w="3195"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951CFC"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Plan outcome indicators</w:t>
            </w:r>
          </w:p>
        </w:tc>
      </w:tr>
      <w:tr w:rsidR="00DB5FD9" w:rsidRPr="00DB5FD9" w14:paraId="2937D2D0" w14:textId="77777777" w:rsidTr="00DB5FD9">
        <w:trPr>
          <w:trHeight w:val="340"/>
          <w:tblHeader/>
        </w:trPr>
        <w:tc>
          <w:tcPr>
            <w:tcW w:w="180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81AE3A5" w14:textId="77777777" w:rsidR="00DB5FD9" w:rsidRPr="00DB5FD9" w:rsidRDefault="00DB5FD9" w:rsidP="00DB5FD9">
            <w:pPr>
              <w:numPr>
                <w:ilvl w:val="0"/>
                <w:numId w:val="47"/>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The proportion of the program linked to Solomon Islands' performance increases</w:t>
            </w: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5A9BE1F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Proportion of PLA in total annual expenditure</w:t>
            </w:r>
          </w:p>
        </w:tc>
      </w:tr>
      <w:tr w:rsidR="00DB5FD9" w:rsidRPr="00DB5FD9" w14:paraId="42A513E0" w14:textId="77777777" w:rsidTr="00DB5FD9">
        <w:trPr>
          <w:trHeight w:val="340"/>
          <w:tblHeader/>
        </w:trPr>
        <w:tc>
          <w:tcPr>
            <w:tcW w:w="180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D9F3D7E" w14:textId="77777777" w:rsidR="00DB5FD9" w:rsidRPr="00DB5FD9" w:rsidRDefault="00DB5FD9" w:rsidP="00DB5FD9">
            <w:pPr>
              <w:numPr>
                <w:ilvl w:val="0"/>
                <w:numId w:val="47"/>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An increasingly consolidated program</w:t>
            </w: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4106F300"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Number o</w:t>
            </w:r>
            <w:r w:rsidR="00BD56C0">
              <w:rPr>
                <w:rFonts w:ascii="Calibri" w:eastAsia="Times New Roman" w:hAnsi="Calibri" w:cs="Times New Roman"/>
                <w:color w:val="000000"/>
                <w:lang w:val="en-AU"/>
              </w:rPr>
              <w:t>f individual initiatives in AidW</w:t>
            </w:r>
            <w:r w:rsidRPr="00DB5FD9">
              <w:rPr>
                <w:rFonts w:ascii="Calibri" w:eastAsia="Times New Roman" w:hAnsi="Calibri" w:cs="Times New Roman"/>
                <w:color w:val="000000"/>
                <w:lang w:val="en-AU"/>
              </w:rPr>
              <w:t>orks</w:t>
            </w:r>
          </w:p>
        </w:tc>
      </w:tr>
      <w:tr w:rsidR="00DB5FD9" w:rsidRPr="00DB5FD9" w14:paraId="0FB1A4B9" w14:textId="77777777" w:rsidTr="00DB5FD9">
        <w:trPr>
          <w:trHeight w:val="340"/>
          <w:tblHeader/>
        </w:trPr>
        <w:tc>
          <w:tcPr>
            <w:tcW w:w="180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1F86026" w14:textId="77777777" w:rsidR="00DB5FD9" w:rsidRPr="00DB5FD9" w:rsidRDefault="00DB5FD9" w:rsidP="00DB5FD9">
            <w:pPr>
              <w:numPr>
                <w:ilvl w:val="0"/>
                <w:numId w:val="47"/>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80% of initiatives marked satisfactory or above for gender in AQCs</w:t>
            </w: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408D819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Ratio of satisfactory markings to total</w:t>
            </w:r>
          </w:p>
        </w:tc>
      </w:tr>
      <w:tr w:rsidR="00DB5FD9" w:rsidRPr="00DB5FD9" w14:paraId="0F4F1286" w14:textId="77777777" w:rsidTr="00DB5FD9">
        <w:trPr>
          <w:trHeight w:val="340"/>
          <w:tblHeader/>
        </w:trPr>
        <w:tc>
          <w:tcPr>
            <w:tcW w:w="180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D091464" w14:textId="77777777" w:rsidR="00DB5FD9" w:rsidRPr="00DB5FD9" w:rsidRDefault="00DB5FD9" w:rsidP="00DB5FD9">
            <w:pPr>
              <w:numPr>
                <w:ilvl w:val="0"/>
                <w:numId w:val="47"/>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All partnerships with multilateral and key donors meet partnerships objectives and are assessed as adding value to DFAT funding</w:t>
            </w: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5060093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partnerships rated satisfactory or above in PPAs or similar assessment</w:t>
            </w:r>
          </w:p>
        </w:tc>
      </w:tr>
      <w:tr w:rsidR="00DB5FD9" w:rsidRPr="00DB5FD9" w14:paraId="7232D768" w14:textId="77777777" w:rsidTr="00DB5FD9">
        <w:trPr>
          <w:trHeight w:val="340"/>
          <w:tblHeader/>
        </w:trPr>
        <w:tc>
          <w:tcPr>
            <w:tcW w:w="180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7865C58" w14:textId="77777777" w:rsidR="00DB5FD9" w:rsidRPr="00DB5FD9" w:rsidRDefault="00DB5FD9" w:rsidP="00DB5FD9">
            <w:pPr>
              <w:numPr>
                <w:ilvl w:val="0"/>
                <w:numId w:val="47"/>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Scholarships program directed to priority areas and achieving targets for successful course completion</w:t>
            </w: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2891889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Scholarship completion rate</w:t>
            </w:r>
          </w:p>
        </w:tc>
      </w:tr>
      <w:tr w:rsidR="00DB5FD9" w:rsidRPr="00DB5FD9" w14:paraId="4E8EEF50" w14:textId="77777777" w:rsidTr="00DB5FD9">
        <w:trPr>
          <w:trHeight w:val="340"/>
          <w:tblHeader/>
        </w:trPr>
        <w:tc>
          <w:tcPr>
            <w:tcW w:w="180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37EB1F6" w14:textId="77777777" w:rsidR="00DB5FD9" w:rsidRPr="00DB5FD9" w:rsidRDefault="00DB5FD9" w:rsidP="00DB5FD9">
            <w:pPr>
              <w:numPr>
                <w:ilvl w:val="0"/>
                <w:numId w:val="47"/>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The program increasingly identities and targets the needs of people with disability</w:t>
            </w: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4E7DE38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Evidence of intentional efforts to address barriers to inclusion for people with disability at key points in the program cycle</w:t>
            </w:r>
          </w:p>
        </w:tc>
      </w:tr>
      <w:tr w:rsidR="00DB5FD9" w:rsidRPr="00DB5FD9" w14:paraId="15F8D2DE" w14:textId="77777777" w:rsidTr="00DB5FD9">
        <w:trPr>
          <w:trHeight w:val="340"/>
          <w:tblHeader/>
        </w:trPr>
        <w:tc>
          <w:tcPr>
            <w:tcW w:w="1805" w:type="pct"/>
            <w:gridSpan w:val="3"/>
            <w:vMerge w:val="restart"/>
            <w:tcBorders>
              <w:top w:val="single" w:sz="4" w:space="0" w:color="auto"/>
              <w:left w:val="single" w:sz="4" w:space="0" w:color="auto"/>
              <w:right w:val="single" w:sz="4" w:space="0" w:color="auto"/>
            </w:tcBorders>
            <w:shd w:val="clear" w:color="000000" w:fill="D9D9D9"/>
            <w:vAlign w:val="center"/>
            <w:hideMark/>
          </w:tcPr>
          <w:p w14:paraId="5C7FA328" w14:textId="77777777" w:rsidR="00DB5FD9" w:rsidRPr="00DB5FD9" w:rsidRDefault="00DB5FD9" w:rsidP="00DB5FD9">
            <w:pPr>
              <w:numPr>
                <w:ilvl w:val="0"/>
                <w:numId w:val="47"/>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The program is able to identify and deal with cases of fraudulent use of aid funds</w:t>
            </w: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27A3203B" w14:textId="77777777" w:rsidR="00FF13BC"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Evidence of Quarterly Risk Reviews</w:t>
            </w:r>
          </w:p>
          <w:p w14:paraId="38184416" w14:textId="77777777" w:rsidR="00DB5FD9" w:rsidRPr="00DB5FD9"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fraud cases per quarter # of cases closed per quarter</w:t>
            </w:r>
          </w:p>
        </w:tc>
      </w:tr>
      <w:tr w:rsidR="00DB5FD9" w:rsidRPr="00DB5FD9" w14:paraId="020DC1E8" w14:textId="77777777" w:rsidTr="00DB5FD9">
        <w:trPr>
          <w:trHeight w:val="340"/>
          <w:tblHeader/>
        </w:trPr>
        <w:tc>
          <w:tcPr>
            <w:tcW w:w="1805" w:type="pct"/>
            <w:gridSpan w:val="3"/>
            <w:vMerge/>
            <w:tcBorders>
              <w:left w:val="single" w:sz="4" w:space="0" w:color="auto"/>
              <w:bottom w:val="single" w:sz="4" w:space="0" w:color="auto"/>
              <w:right w:val="single" w:sz="4" w:space="0" w:color="auto"/>
            </w:tcBorders>
            <w:shd w:val="clear" w:color="000000" w:fill="D9D9D9"/>
            <w:vAlign w:val="center"/>
            <w:hideMark/>
          </w:tcPr>
          <w:p w14:paraId="05BE3E1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tcBorders>
              <w:top w:val="single" w:sz="4" w:space="0" w:color="auto"/>
              <w:left w:val="nil"/>
              <w:bottom w:val="single" w:sz="4" w:space="0" w:color="auto"/>
              <w:right w:val="single" w:sz="4" w:space="0" w:color="auto"/>
            </w:tcBorders>
            <w:shd w:val="clear" w:color="000000" w:fill="F2F2F2"/>
            <w:vAlign w:val="center"/>
            <w:hideMark/>
          </w:tcPr>
          <w:p w14:paraId="6E605E4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Assessment of National Systems management responses tracked and implemented</w:t>
            </w:r>
          </w:p>
        </w:tc>
      </w:tr>
      <w:tr w:rsidR="00DB5FD9" w:rsidRPr="00DB5FD9" w14:paraId="21831094"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shd w:val="clear" w:color="auto" w:fill="F2DBDA"/>
            <w:vAlign w:val="center"/>
            <w:hideMark/>
          </w:tcPr>
          <w:p w14:paraId="64D49B59"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Australia's aid objective</w:t>
            </w:r>
          </w:p>
        </w:tc>
        <w:tc>
          <w:tcPr>
            <w:tcW w:w="3195" w:type="pct"/>
            <w:gridSpan w:val="4"/>
            <w:shd w:val="clear" w:color="auto" w:fill="F2DBDA"/>
            <w:vAlign w:val="center"/>
            <w:hideMark/>
          </w:tcPr>
          <w:p w14:paraId="4B589CC5"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 xml:space="preserve">Supporting Stability Plan outcome - </w:t>
            </w:r>
            <w:r w:rsidR="005C0B67" w:rsidRPr="005C0B67">
              <w:rPr>
                <w:rFonts w:ascii="Calibri" w:eastAsia="Times New Roman" w:hAnsi="Calibri" w:cs="Times New Roman"/>
                <w:b/>
                <w:color w:val="000000"/>
                <w:lang w:val="en-AU"/>
              </w:rPr>
              <w:t>Solomon Islanders increasingly benefit from a functioning, economically stable state and a</w:t>
            </w:r>
            <w:r w:rsidR="005C0B67" w:rsidRPr="005C0B67">
              <w:rPr>
                <w:rFonts w:ascii="Calibri" w:eastAsia="Times New Roman" w:hAnsi="Calibri" w:cs="Times New Roman"/>
                <w:b/>
                <w:color w:val="000000"/>
                <w:sz w:val="28"/>
                <w:szCs w:val="28"/>
                <w:lang w:val="en-AU"/>
              </w:rPr>
              <w:t xml:space="preserve"> </w:t>
            </w:r>
            <w:r w:rsidR="005C0B67" w:rsidRPr="005C0B67">
              <w:rPr>
                <w:rFonts w:ascii="Calibri" w:eastAsia="Times New Roman" w:hAnsi="Calibri" w:cs="Times New Roman"/>
                <w:b/>
                <w:color w:val="000000"/>
                <w:lang w:val="en-AU"/>
              </w:rPr>
              <w:t>secure environment</w:t>
            </w:r>
          </w:p>
        </w:tc>
      </w:tr>
      <w:tr w:rsidR="00DB5FD9" w:rsidRPr="00DB5FD9" w14:paraId="08EF52A0"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shd w:val="clear" w:color="auto" w:fill="F2DBDA"/>
            <w:vAlign w:val="center"/>
            <w:hideMark/>
          </w:tcPr>
          <w:p w14:paraId="3C1FBD88"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w:t>
            </w:r>
          </w:p>
        </w:tc>
        <w:tc>
          <w:tcPr>
            <w:tcW w:w="3195" w:type="pct"/>
            <w:gridSpan w:val="4"/>
            <w:shd w:val="clear" w:color="000000" w:fill="F2DCDB"/>
            <w:vAlign w:val="center"/>
            <w:hideMark/>
          </w:tcPr>
          <w:p w14:paraId="28B6D3FD"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 indicators</w:t>
            </w:r>
          </w:p>
        </w:tc>
      </w:tr>
      <w:tr w:rsidR="00DB5FD9" w:rsidRPr="00DB5FD9" w14:paraId="6483700F"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val="restart"/>
            <w:shd w:val="clear" w:color="000000" w:fill="E6B8B7"/>
            <w:vAlign w:val="center"/>
            <w:hideMark/>
          </w:tcPr>
          <w:p w14:paraId="60418310"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Strengthened electoral administration</w:t>
            </w:r>
          </w:p>
        </w:tc>
        <w:tc>
          <w:tcPr>
            <w:tcW w:w="3195" w:type="pct"/>
            <w:gridSpan w:val="4"/>
            <w:shd w:val="clear" w:color="000000" w:fill="F2DCDB"/>
            <w:vAlign w:val="center"/>
            <w:hideMark/>
          </w:tcPr>
          <w:p w14:paraId="4C4DECD4"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Sustainable and inclusive voter registration system adopted</w:t>
            </w:r>
          </w:p>
        </w:tc>
      </w:tr>
      <w:tr w:rsidR="00DB5FD9" w:rsidRPr="00DB5FD9" w14:paraId="3796C343"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shd w:val="clear" w:color="000000" w:fill="E6B8B7"/>
            <w:vAlign w:val="center"/>
            <w:hideMark/>
          </w:tcPr>
          <w:p w14:paraId="216ED0A2"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shd w:val="clear" w:color="000000" w:fill="F2DCDB"/>
            <w:vAlign w:val="center"/>
            <w:hideMark/>
          </w:tcPr>
          <w:p w14:paraId="3346A0E2"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Electoral and legal reforms contributing to a strengthene</w:t>
            </w:r>
            <w:r w:rsidR="00FF13BC">
              <w:rPr>
                <w:rFonts w:ascii="Calibri" w:eastAsia="Times New Roman" w:hAnsi="Calibri" w:cs="Times New Roman"/>
                <w:color w:val="000000"/>
                <w:lang w:val="en-AU"/>
              </w:rPr>
              <w:t>d electoral system implemented</w:t>
            </w:r>
          </w:p>
        </w:tc>
      </w:tr>
      <w:tr w:rsidR="00DB5FD9" w:rsidRPr="00DB5FD9" w14:paraId="1C945F9D"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shd w:val="clear" w:color="000000" w:fill="E6B8B7"/>
            <w:vAlign w:val="center"/>
            <w:hideMark/>
          </w:tcPr>
          <w:p w14:paraId="2DCDADE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Courts are more accessible and communities are effectively resolving disputes</w:t>
            </w:r>
          </w:p>
        </w:tc>
        <w:tc>
          <w:tcPr>
            <w:tcW w:w="3195" w:type="pct"/>
            <w:gridSpan w:val="4"/>
            <w:shd w:val="clear" w:color="000000" w:fill="F2DCDB"/>
            <w:vAlign w:val="center"/>
            <w:hideMark/>
          </w:tcPr>
          <w:p w14:paraId="4695DC46" w14:textId="77777777" w:rsidR="00FF13BC"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cases disposed of, by pr</w:t>
            </w:r>
            <w:r w:rsidR="00FF13BC">
              <w:rPr>
                <w:rFonts w:ascii="Calibri" w:eastAsia="Times New Roman" w:hAnsi="Calibri" w:cs="Times New Roman"/>
                <w:color w:val="000000"/>
                <w:lang w:val="en-AU"/>
              </w:rPr>
              <w:t>ovince</w:t>
            </w:r>
          </w:p>
          <w:p w14:paraId="7E304357" w14:textId="77777777" w:rsidR="00DB5FD9" w:rsidRPr="00DB5FD9" w:rsidRDefault="00FF13BC" w:rsidP="00FF13BC">
            <w:pPr>
              <w:suppressAutoHyphens w:val="0"/>
              <w:spacing w:before="0" w:after="0" w:line="240" w:lineRule="auto"/>
              <w:rPr>
                <w:rFonts w:ascii="Calibri" w:eastAsia="Times New Roman" w:hAnsi="Calibri" w:cs="Times New Roman"/>
                <w:color w:val="000000"/>
                <w:lang w:val="en-AU"/>
              </w:rPr>
            </w:pPr>
            <w:r>
              <w:rPr>
                <w:rFonts w:ascii="Calibri" w:eastAsia="Times New Roman" w:hAnsi="Calibri" w:cs="Times New Roman"/>
                <w:color w:val="000000"/>
                <w:lang w:val="en-AU"/>
              </w:rPr>
              <w:t>% people feeling safe</w:t>
            </w:r>
          </w:p>
        </w:tc>
      </w:tr>
      <w:tr w:rsidR="00DB5FD9" w:rsidRPr="00DB5FD9" w14:paraId="08D33E4C"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val="restart"/>
            <w:shd w:val="clear" w:color="000000" w:fill="E6B8B7"/>
            <w:vAlign w:val="center"/>
            <w:hideMark/>
          </w:tcPr>
          <w:p w14:paraId="0324B905" w14:textId="77777777" w:rsidR="00DB5FD9" w:rsidRPr="00DB5FD9" w:rsidRDefault="00DB5FD9" w:rsidP="00DB5FD9">
            <w:pPr>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Credible fiscal strategy</w:t>
            </w:r>
          </w:p>
        </w:tc>
        <w:tc>
          <w:tcPr>
            <w:tcW w:w="3195" w:type="pct"/>
            <w:gridSpan w:val="4"/>
            <w:shd w:val="clear" w:color="000000" w:fill="F2DCDB"/>
            <w:vAlign w:val="center"/>
            <w:hideMark/>
          </w:tcPr>
          <w:p w14:paraId="32DAA40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Perceptions of accessibility and performance of community grievance systems</w:t>
            </w:r>
          </w:p>
        </w:tc>
      </w:tr>
      <w:tr w:rsidR="00DB5FD9" w:rsidRPr="00DB5FD9" w14:paraId="1A0EE955"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shd w:val="clear" w:color="000000" w:fill="E6B8B7"/>
            <w:vAlign w:val="center"/>
            <w:hideMark/>
          </w:tcPr>
          <w:p w14:paraId="2B0991F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shd w:val="clear" w:color="000000" w:fill="F2DCDB"/>
            <w:vAlign w:val="center"/>
            <w:hideMark/>
          </w:tcPr>
          <w:p w14:paraId="2932B9CE" w14:textId="77777777" w:rsidR="00DB5FD9" w:rsidRPr="00DB5FD9" w:rsidRDefault="00FF13BC" w:rsidP="00DB5FD9">
            <w:pPr>
              <w:suppressAutoHyphens w:val="0"/>
              <w:spacing w:before="0" w:after="0" w:line="240" w:lineRule="auto"/>
              <w:rPr>
                <w:rFonts w:ascii="Calibri" w:eastAsia="Times New Roman" w:hAnsi="Calibri" w:cs="Times New Roman"/>
                <w:color w:val="000000"/>
                <w:lang w:val="en-AU"/>
              </w:rPr>
            </w:pPr>
            <w:r>
              <w:rPr>
                <w:rFonts w:ascii="Calibri" w:eastAsia="Times New Roman" w:hAnsi="Calibri" w:cs="Times New Roman"/>
                <w:color w:val="000000"/>
                <w:lang w:val="en-AU"/>
              </w:rPr>
              <w:t>2016 revenue estimated</w:t>
            </w:r>
          </w:p>
        </w:tc>
      </w:tr>
      <w:tr w:rsidR="00DB5FD9" w:rsidRPr="00DB5FD9" w14:paraId="4473DC38"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vAlign w:val="center"/>
            <w:hideMark/>
          </w:tcPr>
          <w:p w14:paraId="491A1F0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shd w:val="clear" w:color="000000" w:fill="F2DCDB"/>
            <w:vAlign w:val="center"/>
            <w:hideMark/>
          </w:tcPr>
          <w:p w14:paraId="0A24E50D" w14:textId="77777777" w:rsidR="00DB5FD9" w:rsidRPr="00DB5FD9" w:rsidRDefault="00FF13BC" w:rsidP="00DB5FD9">
            <w:pPr>
              <w:suppressAutoHyphens w:val="0"/>
              <w:spacing w:before="0" w:after="0" w:line="240" w:lineRule="auto"/>
              <w:rPr>
                <w:rFonts w:ascii="Calibri" w:eastAsia="Times New Roman" w:hAnsi="Calibri" w:cs="Times New Roman"/>
                <w:color w:val="000000"/>
                <w:lang w:val="en-AU"/>
              </w:rPr>
            </w:pPr>
            <w:r>
              <w:rPr>
                <w:rFonts w:ascii="Calibri" w:eastAsia="Times New Roman" w:hAnsi="Calibri" w:cs="Times New Roman"/>
                <w:color w:val="000000"/>
                <w:lang w:val="en-AU"/>
              </w:rPr>
              <w:t>Reduction in budget deficit</w:t>
            </w:r>
          </w:p>
        </w:tc>
      </w:tr>
      <w:tr w:rsidR="00DB5FD9" w:rsidRPr="00DB5FD9" w14:paraId="4C92452E"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val="restart"/>
            <w:shd w:val="clear" w:color="000000" w:fill="E6B8B7"/>
            <w:vAlign w:val="center"/>
            <w:hideMark/>
          </w:tcPr>
          <w:p w14:paraId="2BD4288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Improved transparency &amp; accountability on the budget process</w:t>
            </w:r>
          </w:p>
        </w:tc>
        <w:tc>
          <w:tcPr>
            <w:tcW w:w="3195" w:type="pct"/>
            <w:gridSpan w:val="4"/>
            <w:shd w:val="clear" w:color="000000" w:fill="F2DCDB"/>
            <w:vAlign w:val="center"/>
            <w:hideMark/>
          </w:tcPr>
          <w:p w14:paraId="0523E19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Budget outcome statement released publicly</w:t>
            </w:r>
          </w:p>
        </w:tc>
      </w:tr>
      <w:tr w:rsidR="00DB5FD9" w:rsidRPr="00DB5FD9" w14:paraId="21E9C694"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vAlign w:val="center"/>
            <w:hideMark/>
          </w:tcPr>
          <w:p w14:paraId="2274E20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shd w:val="clear" w:color="000000" w:fill="F2DCDB"/>
            <w:vAlign w:val="center"/>
            <w:hideMark/>
          </w:tcPr>
          <w:p w14:paraId="791125F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Report of the Public Accounts Committee inquiry in the annual budget and supplementary budget    published</w:t>
            </w:r>
          </w:p>
        </w:tc>
      </w:tr>
      <w:tr w:rsidR="00DB5FD9" w:rsidRPr="00DB5FD9" w14:paraId="456C346E"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shd w:val="clear" w:color="000000" w:fill="E6B8B7"/>
            <w:vAlign w:val="center"/>
            <w:hideMark/>
          </w:tcPr>
          <w:p w14:paraId="2073D37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SIG increases funding to RSIPF</w:t>
            </w:r>
          </w:p>
        </w:tc>
        <w:tc>
          <w:tcPr>
            <w:tcW w:w="3195" w:type="pct"/>
            <w:gridSpan w:val="4"/>
            <w:shd w:val="clear" w:color="000000" w:fill="F2DCDB"/>
            <w:vAlign w:val="center"/>
            <w:hideMark/>
          </w:tcPr>
          <w:p w14:paraId="168347F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Increase in SIG budget for RSIPF</w:t>
            </w:r>
          </w:p>
        </w:tc>
      </w:tr>
      <w:tr w:rsidR="00DB5FD9" w:rsidRPr="00DB5FD9" w14:paraId="6546FC29"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shd w:val="clear" w:color="000000" w:fill="E6B8B7"/>
            <w:vAlign w:val="center"/>
            <w:hideMark/>
          </w:tcPr>
          <w:p w14:paraId="6324432A"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Procurement improvements accelerating service delivery and providing value for money</w:t>
            </w:r>
          </w:p>
        </w:tc>
        <w:tc>
          <w:tcPr>
            <w:tcW w:w="3195" w:type="pct"/>
            <w:gridSpan w:val="4"/>
            <w:shd w:val="clear" w:color="000000" w:fill="F2DCDB"/>
            <w:vAlign w:val="center"/>
            <w:hideMark/>
          </w:tcPr>
          <w:p w14:paraId="01318EF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xml:space="preserve"> % procurements planned versus executed through SIG systems for health, education, transport</w:t>
            </w:r>
          </w:p>
        </w:tc>
      </w:tr>
      <w:tr w:rsidR="00DB5FD9" w:rsidRPr="00DB5FD9" w14:paraId="72547B61"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val="restart"/>
            <w:shd w:val="clear" w:color="000000" w:fill="E6B8B7"/>
            <w:vAlign w:val="center"/>
            <w:hideMark/>
          </w:tcPr>
          <w:p w14:paraId="6F44ADF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Quality of Australian dialogue with SI over the effectiveness and stability of the state and progress of the economy maintained</w:t>
            </w:r>
          </w:p>
        </w:tc>
        <w:tc>
          <w:tcPr>
            <w:tcW w:w="3195" w:type="pct"/>
            <w:gridSpan w:val="4"/>
            <w:shd w:val="clear" w:color="000000" w:fill="F2DCDB"/>
            <w:vAlign w:val="center"/>
            <w:hideMark/>
          </w:tcPr>
          <w:p w14:paraId="38D22EA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HLCs held and dialogue high quality</w:t>
            </w:r>
          </w:p>
        </w:tc>
      </w:tr>
      <w:tr w:rsidR="00DB5FD9" w:rsidRPr="00DB5FD9" w14:paraId="22A652BD"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vMerge/>
            <w:shd w:val="clear" w:color="000000" w:fill="E6B8B7"/>
            <w:vAlign w:val="center"/>
            <w:hideMark/>
          </w:tcPr>
          <w:p w14:paraId="2E0E39B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gridSpan w:val="4"/>
            <w:shd w:val="clear" w:color="000000" w:fill="F2DCDB"/>
            <w:vAlign w:val="center"/>
            <w:hideMark/>
          </w:tcPr>
          <w:p w14:paraId="72C8F68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Functioning Core Economic Working Group</w:t>
            </w:r>
          </w:p>
        </w:tc>
      </w:tr>
      <w:tr w:rsidR="00DB5FD9" w:rsidRPr="00DB5FD9" w14:paraId="4AC0BE50"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shd w:val="clear" w:color="000000" w:fill="E6B8B7"/>
            <w:vAlign w:val="center"/>
            <w:hideMark/>
          </w:tcPr>
          <w:p w14:paraId="61C0F16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Increased awareness and protection of women's rights</w:t>
            </w:r>
          </w:p>
        </w:tc>
        <w:tc>
          <w:tcPr>
            <w:tcW w:w="3195" w:type="pct"/>
            <w:gridSpan w:val="4"/>
            <w:shd w:val="clear" w:color="000000" w:fill="F2DCDB"/>
            <w:vAlign w:val="center"/>
            <w:hideMark/>
          </w:tcPr>
          <w:p w14:paraId="41F9E6F7" w14:textId="77777777" w:rsidR="00FF13BC"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Family Violence 100 reports lodged</w:t>
            </w:r>
          </w:p>
          <w:p w14:paraId="2B1E76CF" w14:textId="77777777" w:rsidR="00DB5FD9" w:rsidRPr="00DB5FD9"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Men and women demonstrate attitude change and decreased acceptance of violence</w:t>
            </w:r>
          </w:p>
        </w:tc>
      </w:tr>
      <w:tr w:rsidR="00DB5FD9" w:rsidRPr="00DB5FD9" w14:paraId="3AABF723"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05" w:type="pct"/>
            <w:gridSpan w:val="3"/>
            <w:shd w:val="clear" w:color="000000" w:fill="E6B8B7"/>
            <w:vAlign w:val="center"/>
            <w:hideMark/>
          </w:tcPr>
          <w:p w14:paraId="5F51D81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Increased numbers of women in public service leadership positions</w:t>
            </w:r>
          </w:p>
        </w:tc>
        <w:tc>
          <w:tcPr>
            <w:tcW w:w="3195" w:type="pct"/>
            <w:gridSpan w:val="4"/>
            <w:shd w:val="clear" w:color="000000" w:fill="F2DCDB"/>
            <w:vAlign w:val="center"/>
            <w:hideMark/>
          </w:tcPr>
          <w:p w14:paraId="61DC63DD" w14:textId="77777777" w:rsidR="00FF13BC"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women in decision-making role (SS1 to SS5) – This will primarily capture number of women in senior management roles (i.e. Permanent S</w:t>
            </w:r>
            <w:r w:rsidR="00FF13BC">
              <w:rPr>
                <w:rFonts w:ascii="Calibri" w:eastAsia="Times New Roman" w:hAnsi="Calibri" w:cs="Times New Roman"/>
                <w:color w:val="000000"/>
                <w:lang w:val="en-AU"/>
              </w:rPr>
              <w:t>ecretaries &amp; Under Secretaries)</w:t>
            </w:r>
          </w:p>
          <w:p w14:paraId="5EF0103E" w14:textId="77777777" w:rsidR="00DB5FD9" w:rsidRPr="00DB5FD9"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women in feeder grades (Level 10-13) – This will primarily capture number of women in middle management</w:t>
            </w:r>
            <w:r w:rsidR="00FF13BC">
              <w:rPr>
                <w:rFonts w:ascii="Calibri" w:eastAsia="Times New Roman" w:hAnsi="Calibri" w:cs="Times New Roman"/>
                <w:color w:val="000000"/>
                <w:lang w:val="en-AU"/>
              </w:rPr>
              <w:t xml:space="preserve"> (Directors &amp; Deputy Directors)</w:t>
            </w:r>
          </w:p>
        </w:tc>
      </w:tr>
      <w:tr w:rsidR="00DB5FD9" w:rsidRPr="00DB5FD9" w14:paraId="6CD060D8"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00" w:type="pct"/>
            <w:gridSpan w:val="7"/>
            <w:shd w:val="clear" w:color="000000" w:fill="D9D9D9"/>
            <w:noWrap/>
            <w:vAlign w:val="center"/>
            <w:hideMark/>
          </w:tcPr>
          <w:p w14:paraId="7234C0AB" w14:textId="77777777" w:rsidR="00DB5FD9" w:rsidRPr="00DB5FD9" w:rsidRDefault="00DB5FD9" w:rsidP="00DB5FD9">
            <w:pPr>
              <w:suppressAutoHyphens w:val="0"/>
              <w:spacing w:before="0" w:after="0" w:line="240" w:lineRule="auto"/>
              <w:rPr>
                <w:rFonts w:ascii="Calibri" w:eastAsia="Times New Roman" w:hAnsi="Calibri" w:cs="Times New Roman"/>
                <w:b/>
                <w:color w:val="000000"/>
                <w:lang w:val="en-AU"/>
              </w:rPr>
            </w:pPr>
            <w:r w:rsidRPr="00DB5FD9">
              <w:rPr>
                <w:rFonts w:ascii="Calibri" w:eastAsia="Times New Roman" w:hAnsi="Calibri" w:cs="Times New Roman"/>
                <w:b/>
                <w:color w:val="000000"/>
                <w:lang w:val="en-AU"/>
              </w:rPr>
              <w:t>Variables in the development environment</w:t>
            </w:r>
          </w:p>
        </w:tc>
      </w:tr>
      <w:tr w:rsidR="00DB5FD9" w:rsidRPr="00DB5FD9" w14:paraId="65897D4D" w14:textId="77777777" w:rsidTr="00DB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00" w:type="pct"/>
            <w:gridSpan w:val="7"/>
            <w:shd w:val="clear" w:color="000000" w:fill="F2F2F2"/>
            <w:vAlign w:val="center"/>
            <w:hideMark/>
          </w:tcPr>
          <w:p w14:paraId="11204112" w14:textId="77777777" w:rsidR="00DB5FD9" w:rsidRPr="00DB5FD9" w:rsidRDefault="00DB5FD9" w:rsidP="00DB5FD9">
            <w:pPr>
              <w:numPr>
                <w:ilvl w:val="0"/>
                <w:numId w:val="46"/>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increased understanding of citizen's rights</w:t>
            </w:r>
          </w:p>
          <w:p w14:paraId="1D6D1A18" w14:textId="77777777" w:rsidR="00DB5FD9" w:rsidRPr="00DB5FD9" w:rsidRDefault="00DB5FD9" w:rsidP="00DB5FD9">
            <w:pPr>
              <w:numPr>
                <w:ilvl w:val="0"/>
                <w:numId w:val="46"/>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risks of exclusion (provincial, rural/urban, age-related) understood and contained</w:t>
            </w:r>
          </w:p>
          <w:p w14:paraId="7D8EDA4A" w14:textId="77777777" w:rsidR="00DB5FD9" w:rsidRPr="00DB5FD9" w:rsidRDefault="00DB5FD9" w:rsidP="00DB5FD9">
            <w:pPr>
              <w:numPr>
                <w:ilvl w:val="0"/>
                <w:numId w:val="46"/>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reduced opportunities for corruption</w:t>
            </w:r>
          </w:p>
          <w:p w14:paraId="6C594556" w14:textId="77777777" w:rsidR="00DB5FD9" w:rsidRPr="00DB5FD9" w:rsidRDefault="00DB5FD9" w:rsidP="00DB5FD9">
            <w:pPr>
              <w:numPr>
                <w:ilvl w:val="0"/>
                <w:numId w:val="46"/>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shifting community perception of the role of women</w:t>
            </w:r>
          </w:p>
          <w:p w14:paraId="37C5E935" w14:textId="77777777" w:rsidR="00DB5FD9" w:rsidRPr="00DB5FD9" w:rsidRDefault="00DB5FD9" w:rsidP="00DB5FD9">
            <w:pPr>
              <w:numPr>
                <w:ilvl w:val="0"/>
                <w:numId w:val="46"/>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no increase in political volatility</w:t>
            </w:r>
          </w:p>
          <w:p w14:paraId="3E905E8F" w14:textId="77777777" w:rsidR="00DB5FD9" w:rsidRPr="00DB5FD9" w:rsidRDefault="00DB5FD9" w:rsidP="00DB5FD9">
            <w:pPr>
              <w:numPr>
                <w:ilvl w:val="0"/>
                <w:numId w:val="46"/>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economic, political and environmental shocks not destabilising</w:t>
            </w:r>
          </w:p>
          <w:p w14:paraId="438878A7" w14:textId="77777777" w:rsidR="00DB5FD9" w:rsidRPr="00DB5FD9" w:rsidRDefault="00DB5FD9" w:rsidP="00DB5FD9">
            <w:pPr>
              <w:numPr>
                <w:ilvl w:val="0"/>
                <w:numId w:val="46"/>
              </w:numPr>
              <w:suppressAutoHyphens w:val="0"/>
              <w:spacing w:before="0" w:after="0" w:line="240" w:lineRule="auto"/>
              <w:contextualSpacing/>
              <w:rPr>
                <w:rFonts w:ascii="Calibri" w:eastAsia="Times New Roman" w:hAnsi="Calibri" w:cs="Times New Roman"/>
                <w:color w:val="000000"/>
                <w:lang w:val="en-AU"/>
              </w:rPr>
            </w:pPr>
            <w:r w:rsidRPr="00DB5FD9">
              <w:rPr>
                <w:rFonts w:ascii="Calibri" w:eastAsia="Times New Roman" w:hAnsi="Calibri" w:cs="Times New Roman"/>
                <w:color w:val="000000"/>
                <w:lang w:val="en-AU"/>
              </w:rPr>
              <w:t>SIG leadership on land reform</w:t>
            </w:r>
          </w:p>
        </w:tc>
      </w:tr>
    </w:tbl>
    <w:p w14:paraId="6698DC9F" w14:textId="77777777" w:rsidR="00DB5FD9" w:rsidRPr="00DB5FD9" w:rsidRDefault="00DB5FD9" w:rsidP="00DB5FD9">
      <w:pPr>
        <w:suppressAutoHyphens w:val="0"/>
        <w:spacing w:before="0" w:after="0" w:line="240" w:lineRule="auto"/>
        <w:rPr>
          <w:rFonts w:ascii="Times New Roman" w:eastAsia="Times New Roman" w:hAnsi="Times New Roman" w:cs="Times New Roman"/>
          <w:color w:val="auto"/>
          <w:sz w:val="24"/>
          <w:szCs w:val="24"/>
          <w:lang w:val="en-AU"/>
        </w:rPr>
      </w:pPr>
      <w:r w:rsidRPr="00DB5FD9">
        <w:rPr>
          <w:rFonts w:ascii="Times New Roman" w:eastAsia="Times New Roman" w:hAnsi="Times New Roman" w:cs="Times New Roman"/>
          <w:color w:val="auto"/>
          <w:sz w:val="24"/>
          <w:szCs w:val="24"/>
          <w:lang w:val="en-AU"/>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9235"/>
      </w:tblGrid>
      <w:tr w:rsidR="00DB5FD9" w:rsidRPr="00DB5FD9" w14:paraId="7E81D671" w14:textId="77777777" w:rsidTr="00CC4579">
        <w:trPr>
          <w:trHeight w:val="340"/>
        </w:trPr>
        <w:tc>
          <w:tcPr>
            <w:tcW w:w="1805" w:type="pct"/>
            <w:shd w:val="clear" w:color="000000" w:fill="FDE9D9"/>
            <w:vAlign w:val="center"/>
          </w:tcPr>
          <w:p w14:paraId="11549DF3" w14:textId="77777777" w:rsidR="00DB5FD9" w:rsidRPr="00DB5FD9" w:rsidRDefault="00DB5FD9" w:rsidP="00CC4579">
            <w:pPr>
              <w:suppressAutoHyphens w:val="0"/>
              <w:spacing w:before="0" w:after="0" w:line="240" w:lineRule="auto"/>
              <w:rPr>
                <w:rFonts w:ascii="Calibri" w:eastAsia="Times New Roman" w:hAnsi="Calibri" w:cs="Times New Roman"/>
                <w:b/>
                <w:bCs/>
                <w:color w:val="000000"/>
                <w:lang w:val="en-AU"/>
              </w:rPr>
            </w:pPr>
            <w:r w:rsidRPr="00DB5FD9">
              <w:rPr>
                <w:rFonts w:ascii="Times New Roman" w:eastAsia="Times New Roman" w:hAnsi="Times New Roman" w:cs="Times New Roman"/>
                <w:color w:val="auto"/>
                <w:sz w:val="24"/>
                <w:szCs w:val="24"/>
                <w:lang w:val="en-AU"/>
              </w:rPr>
              <w:lastRenderedPageBreak/>
              <w:br w:type="page"/>
            </w:r>
            <w:r w:rsidRPr="00DB5FD9">
              <w:rPr>
                <w:rFonts w:ascii="Calibri" w:eastAsia="Times New Roman" w:hAnsi="Calibri" w:cs="Times New Roman"/>
                <w:b/>
                <w:bCs/>
                <w:color w:val="000000"/>
                <w:lang w:val="en-AU"/>
              </w:rPr>
              <w:t>Australia's aid objective</w:t>
            </w:r>
          </w:p>
        </w:tc>
        <w:tc>
          <w:tcPr>
            <w:tcW w:w="3195" w:type="pct"/>
            <w:shd w:val="clear" w:color="000000" w:fill="FDE9D9"/>
            <w:vAlign w:val="center"/>
          </w:tcPr>
          <w:p w14:paraId="763C331D" w14:textId="77777777" w:rsidR="00DB5FD9" w:rsidRPr="00DB5FD9" w:rsidRDefault="00DB5FD9" w:rsidP="00CC457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 xml:space="preserve">Enabling Economic Growth Plan outcome 2A </w:t>
            </w:r>
            <w:r w:rsidR="005C0B67" w:rsidRPr="005C0B67">
              <w:rPr>
                <w:rFonts w:ascii="Calibri" w:eastAsia="Times New Roman" w:hAnsi="Calibri" w:cs="Times New Roman"/>
                <w:b/>
                <w:color w:val="000000"/>
                <w:lang w:val="en-AU"/>
              </w:rPr>
              <w:t>Solomon Islands' enabling environment is more attractive to business</w:t>
            </w:r>
          </w:p>
        </w:tc>
      </w:tr>
      <w:tr w:rsidR="00DB5FD9" w:rsidRPr="00DB5FD9" w14:paraId="5F9BB2E9" w14:textId="77777777" w:rsidTr="00CC4579">
        <w:trPr>
          <w:trHeight w:val="340"/>
        </w:trPr>
        <w:tc>
          <w:tcPr>
            <w:tcW w:w="1805" w:type="pct"/>
            <w:shd w:val="clear" w:color="000000" w:fill="FDE9D9"/>
            <w:vAlign w:val="center"/>
            <w:hideMark/>
          </w:tcPr>
          <w:p w14:paraId="560CB771"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w:t>
            </w:r>
          </w:p>
        </w:tc>
        <w:tc>
          <w:tcPr>
            <w:tcW w:w="3195" w:type="pct"/>
            <w:shd w:val="clear" w:color="000000" w:fill="FDE9D9"/>
            <w:vAlign w:val="center"/>
            <w:hideMark/>
          </w:tcPr>
          <w:p w14:paraId="40E656C6"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 indicators</w:t>
            </w:r>
          </w:p>
        </w:tc>
      </w:tr>
      <w:tr w:rsidR="00DB5FD9" w:rsidRPr="00DB5FD9" w14:paraId="167678D4" w14:textId="77777777" w:rsidTr="00CC4579">
        <w:trPr>
          <w:trHeight w:val="340"/>
        </w:trPr>
        <w:tc>
          <w:tcPr>
            <w:tcW w:w="1805" w:type="pct"/>
            <w:shd w:val="clear" w:color="000000" w:fill="FCD5B4"/>
            <w:vAlign w:val="center"/>
            <w:hideMark/>
          </w:tcPr>
          <w:p w14:paraId="732B6B5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Selected constraints to growth addressed</w:t>
            </w:r>
          </w:p>
        </w:tc>
        <w:tc>
          <w:tcPr>
            <w:tcW w:w="3195" w:type="pct"/>
            <w:shd w:val="clear" w:color="000000" w:fill="FDE9D9"/>
            <w:vAlign w:val="center"/>
            <w:hideMark/>
          </w:tcPr>
          <w:p w14:paraId="63C1A22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Evidence of progress in addressing infrastructure gaps and high utility costs</w:t>
            </w:r>
          </w:p>
        </w:tc>
      </w:tr>
      <w:tr w:rsidR="00DB5FD9" w:rsidRPr="00DB5FD9" w14:paraId="153553BC" w14:textId="77777777" w:rsidTr="00CC4579">
        <w:trPr>
          <w:trHeight w:val="340"/>
        </w:trPr>
        <w:tc>
          <w:tcPr>
            <w:tcW w:w="1805" w:type="pct"/>
            <w:shd w:val="clear" w:color="000000" w:fill="FCD5B4"/>
            <w:vAlign w:val="center"/>
            <w:hideMark/>
          </w:tcPr>
          <w:p w14:paraId="5A061B8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Australia catalyses one, new, large, credible investment</w:t>
            </w:r>
          </w:p>
        </w:tc>
        <w:tc>
          <w:tcPr>
            <w:tcW w:w="3195" w:type="pct"/>
            <w:shd w:val="clear" w:color="000000" w:fill="FDE9D9"/>
            <w:vAlign w:val="center"/>
            <w:hideMark/>
          </w:tcPr>
          <w:p w14:paraId="375A106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Evidence of annual progress towards an identified investment</w:t>
            </w:r>
          </w:p>
        </w:tc>
      </w:tr>
      <w:tr w:rsidR="00DB5FD9" w:rsidRPr="00DB5FD9" w14:paraId="6F722CE6" w14:textId="77777777" w:rsidTr="00CC4579">
        <w:trPr>
          <w:trHeight w:val="340"/>
        </w:trPr>
        <w:tc>
          <w:tcPr>
            <w:tcW w:w="1805" w:type="pct"/>
            <w:vMerge w:val="restart"/>
            <w:shd w:val="clear" w:color="000000" w:fill="FCD5B4"/>
            <w:vAlign w:val="center"/>
            <w:hideMark/>
          </w:tcPr>
          <w:p w14:paraId="39DA0BD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xml:space="preserve">Public procurement rules are increasingly transparent, efficient, equitable and consistently applied </w:t>
            </w:r>
            <w:r w:rsidRPr="00DB5FD9">
              <w:rPr>
                <w:rFonts w:ascii="Calibri" w:eastAsia="Times New Roman" w:hAnsi="Calibri" w:cs="Times New Roman"/>
                <w:i/>
                <w:iCs/>
                <w:color w:val="000000"/>
                <w:lang w:val="en-AU"/>
              </w:rPr>
              <w:t>[ease of procurement for business]</w:t>
            </w:r>
          </w:p>
        </w:tc>
        <w:tc>
          <w:tcPr>
            <w:tcW w:w="3195" w:type="pct"/>
            <w:shd w:val="clear" w:color="000000" w:fill="FDE9D9"/>
            <w:vAlign w:val="center"/>
            <w:hideMark/>
          </w:tcPr>
          <w:p w14:paraId="7D0622C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xml:space="preserve">Timely submission of tenders awarded by CTB are  advertised on the SIG </w:t>
            </w:r>
            <w:proofErr w:type="spellStart"/>
            <w:r w:rsidRPr="00DB5FD9">
              <w:rPr>
                <w:rFonts w:ascii="Calibri" w:eastAsia="Times New Roman" w:hAnsi="Calibri" w:cs="Times New Roman"/>
                <w:color w:val="000000"/>
                <w:lang w:val="en-AU"/>
              </w:rPr>
              <w:t>MoFT</w:t>
            </w:r>
            <w:proofErr w:type="spellEnd"/>
            <w:r w:rsidRPr="00DB5FD9">
              <w:rPr>
                <w:rFonts w:ascii="Calibri" w:eastAsia="Times New Roman" w:hAnsi="Calibri" w:cs="Times New Roman"/>
                <w:color w:val="000000"/>
                <w:lang w:val="en-AU"/>
              </w:rPr>
              <w:t xml:space="preserve"> website quarterly</w:t>
            </w:r>
          </w:p>
        </w:tc>
      </w:tr>
      <w:tr w:rsidR="00DB5FD9" w:rsidRPr="00DB5FD9" w14:paraId="1334B1B6" w14:textId="77777777" w:rsidTr="00CC4579">
        <w:trPr>
          <w:trHeight w:val="340"/>
        </w:trPr>
        <w:tc>
          <w:tcPr>
            <w:tcW w:w="1805" w:type="pct"/>
            <w:vMerge/>
            <w:shd w:val="clear" w:color="000000" w:fill="FCD5B4"/>
            <w:vAlign w:val="center"/>
            <w:hideMark/>
          </w:tcPr>
          <w:p w14:paraId="0A315B5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DE9D9"/>
            <w:vAlign w:val="center"/>
            <w:hideMark/>
          </w:tcPr>
          <w:p w14:paraId="2289956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xml:space="preserve">% of NTF procurements passing MID and </w:t>
            </w:r>
            <w:proofErr w:type="spellStart"/>
            <w:r w:rsidRPr="00DB5FD9">
              <w:rPr>
                <w:rFonts w:ascii="Calibri" w:eastAsia="Times New Roman" w:hAnsi="Calibri" w:cs="Times New Roman"/>
                <w:color w:val="000000"/>
                <w:lang w:val="en-AU"/>
              </w:rPr>
              <w:t>MoFT</w:t>
            </w:r>
            <w:proofErr w:type="spellEnd"/>
            <w:r w:rsidRPr="00DB5FD9">
              <w:rPr>
                <w:rFonts w:ascii="Calibri" w:eastAsia="Times New Roman" w:hAnsi="Calibri" w:cs="Times New Roman"/>
                <w:color w:val="000000"/>
                <w:lang w:val="en-AU"/>
              </w:rPr>
              <w:t xml:space="preserve"> compliance checks first time around</w:t>
            </w:r>
          </w:p>
        </w:tc>
      </w:tr>
      <w:tr w:rsidR="00DB5FD9" w:rsidRPr="00DB5FD9" w14:paraId="4AD8F56A" w14:textId="77777777" w:rsidTr="00CC4579">
        <w:trPr>
          <w:trHeight w:val="340"/>
        </w:trPr>
        <w:tc>
          <w:tcPr>
            <w:tcW w:w="1805" w:type="pct"/>
            <w:shd w:val="clear" w:color="000000" w:fill="FCD5B4"/>
            <w:vAlign w:val="center"/>
            <w:hideMark/>
          </w:tcPr>
          <w:p w14:paraId="6792562D"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Effective structures for private sector and investor dialogue with government (advocacy)</w:t>
            </w:r>
          </w:p>
        </w:tc>
        <w:tc>
          <w:tcPr>
            <w:tcW w:w="3195" w:type="pct"/>
            <w:shd w:val="clear" w:color="000000" w:fill="FDE9D9"/>
            <w:vAlign w:val="center"/>
            <w:hideMark/>
          </w:tcPr>
          <w:p w14:paraId="7400EBFD" w14:textId="77777777" w:rsidR="00FF13BC"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Evidence of regular engagement between SIWIBA and Ministry of Commerce a</w:t>
            </w:r>
            <w:r w:rsidR="00FF13BC">
              <w:rPr>
                <w:rFonts w:ascii="Calibri" w:eastAsia="Times New Roman" w:hAnsi="Calibri" w:cs="Times New Roman"/>
                <w:color w:val="000000"/>
                <w:lang w:val="en-AU"/>
              </w:rPr>
              <w:t>nd SIWIBA and Ministry of Women</w:t>
            </w:r>
          </w:p>
          <w:p w14:paraId="626A3B79" w14:textId="77777777" w:rsidR="00FF13BC"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Formal dialogue between SICCI and SIG established</w:t>
            </w:r>
          </w:p>
          <w:p w14:paraId="207886D2" w14:textId="77777777" w:rsidR="00DB5FD9" w:rsidRPr="00DB5FD9"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National Trade Development Council has regular formal engagement (led by MFAET) with the private sector on national trade policy issues</w:t>
            </w:r>
          </w:p>
        </w:tc>
      </w:tr>
      <w:tr w:rsidR="00DB5FD9" w:rsidRPr="00DB5FD9" w14:paraId="24163741" w14:textId="77777777" w:rsidTr="00CC4579">
        <w:trPr>
          <w:trHeight w:val="340"/>
        </w:trPr>
        <w:tc>
          <w:tcPr>
            <w:tcW w:w="1805" w:type="pct"/>
            <w:vMerge w:val="restart"/>
            <w:shd w:val="clear" w:color="000000" w:fill="FCD5B4"/>
            <w:vAlign w:val="center"/>
            <w:hideMark/>
          </w:tcPr>
          <w:p w14:paraId="004BB62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Transport maintenance and rehabilitation is managed through an efficient, transparent, effective and collaborative mechanism</w:t>
            </w:r>
          </w:p>
        </w:tc>
        <w:tc>
          <w:tcPr>
            <w:tcW w:w="3195" w:type="pct"/>
            <w:shd w:val="clear" w:color="000000" w:fill="FDE9D9"/>
            <w:vAlign w:val="center"/>
            <w:hideMark/>
          </w:tcPr>
          <w:p w14:paraId="7397DD6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and % of SIG transport infrastructure expenditure going through the National Transport Fund (NTF)</w:t>
            </w:r>
          </w:p>
        </w:tc>
      </w:tr>
      <w:tr w:rsidR="00DB5FD9" w:rsidRPr="00DB5FD9" w14:paraId="0AC25A49" w14:textId="77777777" w:rsidTr="00CC4579">
        <w:trPr>
          <w:trHeight w:val="340"/>
        </w:trPr>
        <w:tc>
          <w:tcPr>
            <w:tcW w:w="1805" w:type="pct"/>
            <w:vMerge/>
            <w:shd w:val="clear" w:color="000000" w:fill="FCD5B4"/>
            <w:vAlign w:val="center"/>
            <w:hideMark/>
          </w:tcPr>
          <w:p w14:paraId="0352715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DE9D9"/>
            <w:vAlign w:val="center"/>
            <w:hideMark/>
          </w:tcPr>
          <w:p w14:paraId="0CD2B6FA"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and value of NTF procurements</w:t>
            </w:r>
          </w:p>
        </w:tc>
      </w:tr>
      <w:tr w:rsidR="00DB5FD9" w:rsidRPr="00DB5FD9" w14:paraId="434B64F5" w14:textId="77777777" w:rsidTr="00CC4579">
        <w:trPr>
          <w:trHeight w:val="340"/>
        </w:trPr>
        <w:tc>
          <w:tcPr>
            <w:tcW w:w="1805" w:type="pct"/>
            <w:shd w:val="clear" w:color="000000" w:fill="FCD5B4"/>
            <w:vAlign w:val="center"/>
            <w:hideMark/>
          </w:tcPr>
          <w:p w14:paraId="5D0E553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Infrastructure development prioritised to meet needs of productive sectors</w:t>
            </w:r>
          </w:p>
        </w:tc>
        <w:tc>
          <w:tcPr>
            <w:tcW w:w="3195" w:type="pct"/>
            <w:shd w:val="clear" w:color="000000" w:fill="FDE9D9"/>
            <w:vAlign w:val="center"/>
            <w:hideMark/>
          </w:tcPr>
          <w:p w14:paraId="09E8CE9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Progress on Solomon Islands National Infrastructure Investment Plan</w:t>
            </w:r>
          </w:p>
        </w:tc>
      </w:tr>
      <w:tr w:rsidR="00DB5FD9" w:rsidRPr="00DB5FD9" w14:paraId="1078FAAE" w14:textId="77777777" w:rsidTr="00CC4579">
        <w:trPr>
          <w:trHeight w:val="340"/>
        </w:trPr>
        <w:tc>
          <w:tcPr>
            <w:tcW w:w="1805" w:type="pct"/>
            <w:shd w:val="clear" w:color="000000" w:fill="FDE9D9"/>
            <w:vAlign w:val="center"/>
          </w:tcPr>
          <w:p w14:paraId="3E6CD183" w14:textId="77777777" w:rsidR="00DB5FD9" w:rsidRPr="00DB5FD9" w:rsidRDefault="00DB5FD9" w:rsidP="00CC457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Australia's aid objective</w:t>
            </w:r>
          </w:p>
        </w:tc>
        <w:tc>
          <w:tcPr>
            <w:tcW w:w="3195" w:type="pct"/>
            <w:shd w:val="clear" w:color="000000" w:fill="FDE9D9"/>
            <w:vAlign w:val="center"/>
          </w:tcPr>
          <w:p w14:paraId="6FAE6581" w14:textId="77777777" w:rsidR="00DB5FD9" w:rsidRPr="00DB5FD9" w:rsidRDefault="00DB5FD9" w:rsidP="00CC457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 xml:space="preserve">Enabling Economic Growth - Plan outcome 2B </w:t>
            </w:r>
            <w:r w:rsidR="005C0B67" w:rsidRPr="005C0B67">
              <w:rPr>
                <w:rFonts w:ascii="Calibri" w:eastAsia="Times New Roman" w:hAnsi="Calibri" w:cs="Times New Roman"/>
                <w:b/>
                <w:bCs/>
                <w:color w:val="000000"/>
                <w:lang w:val="en-AU"/>
              </w:rPr>
              <w:t>More men and women can earn a cash income</w:t>
            </w:r>
          </w:p>
        </w:tc>
      </w:tr>
      <w:tr w:rsidR="00DB5FD9" w:rsidRPr="00DB5FD9" w14:paraId="7A416D00" w14:textId="77777777" w:rsidTr="00CC4579">
        <w:trPr>
          <w:trHeight w:val="340"/>
        </w:trPr>
        <w:tc>
          <w:tcPr>
            <w:tcW w:w="1805" w:type="pct"/>
            <w:shd w:val="clear" w:color="000000" w:fill="FDE9D9"/>
            <w:vAlign w:val="center"/>
            <w:hideMark/>
          </w:tcPr>
          <w:p w14:paraId="0C359F95"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w:t>
            </w:r>
          </w:p>
        </w:tc>
        <w:tc>
          <w:tcPr>
            <w:tcW w:w="3195" w:type="pct"/>
            <w:shd w:val="clear" w:color="000000" w:fill="FDE9D9"/>
            <w:vAlign w:val="center"/>
            <w:hideMark/>
          </w:tcPr>
          <w:p w14:paraId="0037DDB7"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 indicators</w:t>
            </w:r>
          </w:p>
        </w:tc>
      </w:tr>
      <w:tr w:rsidR="00DB5FD9" w:rsidRPr="00DB5FD9" w14:paraId="05A38282" w14:textId="77777777" w:rsidTr="00CC4579">
        <w:trPr>
          <w:trHeight w:val="340"/>
        </w:trPr>
        <w:tc>
          <w:tcPr>
            <w:tcW w:w="1805" w:type="pct"/>
            <w:shd w:val="clear" w:color="000000" w:fill="FCD5B4"/>
            <w:vAlign w:val="center"/>
            <w:hideMark/>
          </w:tcPr>
          <w:p w14:paraId="3AFF89B2"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Increased private sector participation in service delivery</w:t>
            </w:r>
          </w:p>
        </w:tc>
        <w:tc>
          <w:tcPr>
            <w:tcW w:w="3195" w:type="pct"/>
            <w:shd w:val="clear" w:color="000000" w:fill="FDE9D9"/>
            <w:vAlign w:val="center"/>
            <w:hideMark/>
          </w:tcPr>
          <w:p w14:paraId="78523AB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amount of procurement pipeline in education, health and NTF con</w:t>
            </w:r>
            <w:r w:rsidR="00FF13BC">
              <w:rPr>
                <w:rFonts w:ascii="Calibri" w:eastAsia="Times New Roman" w:hAnsi="Calibri" w:cs="Times New Roman"/>
                <w:color w:val="000000"/>
                <w:lang w:val="en-AU"/>
              </w:rPr>
              <w:t>tracted to the private sector</w:t>
            </w:r>
          </w:p>
        </w:tc>
      </w:tr>
      <w:tr w:rsidR="00DB5FD9" w:rsidRPr="00DB5FD9" w14:paraId="50553B4A" w14:textId="77777777" w:rsidTr="00CC4579">
        <w:trPr>
          <w:trHeight w:val="340"/>
        </w:trPr>
        <w:tc>
          <w:tcPr>
            <w:tcW w:w="1805" w:type="pct"/>
            <w:shd w:val="clear" w:color="000000" w:fill="FCD5B4"/>
            <w:vAlign w:val="center"/>
            <w:hideMark/>
          </w:tcPr>
          <w:p w14:paraId="6CD26AC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Barriers to trade are reduced</w:t>
            </w:r>
          </w:p>
        </w:tc>
        <w:tc>
          <w:tcPr>
            <w:tcW w:w="3195" w:type="pct"/>
            <w:shd w:val="clear" w:color="000000" w:fill="FDE9D9"/>
            <w:vAlign w:val="center"/>
            <w:hideMark/>
          </w:tcPr>
          <w:p w14:paraId="5F580F7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Customs clearance times</w:t>
            </w:r>
          </w:p>
        </w:tc>
      </w:tr>
      <w:tr w:rsidR="00DB5FD9" w:rsidRPr="00DB5FD9" w14:paraId="712B0581" w14:textId="77777777" w:rsidTr="00CC4579">
        <w:trPr>
          <w:trHeight w:val="340"/>
        </w:trPr>
        <w:tc>
          <w:tcPr>
            <w:tcW w:w="1805" w:type="pct"/>
            <w:shd w:val="clear" w:color="000000" w:fill="FCD5B4"/>
            <w:vAlign w:val="center"/>
            <w:hideMark/>
          </w:tcPr>
          <w:p w14:paraId="70D06C8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Men and women farmers use enhanced practices</w:t>
            </w:r>
          </w:p>
        </w:tc>
        <w:tc>
          <w:tcPr>
            <w:tcW w:w="3195" w:type="pct"/>
            <w:shd w:val="clear" w:color="000000" w:fill="FDE9D9"/>
            <w:vAlign w:val="center"/>
            <w:hideMark/>
          </w:tcPr>
          <w:p w14:paraId="06E097C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men and women farmers trained in farming practices to improve yields/ values of produce</w:t>
            </w:r>
          </w:p>
        </w:tc>
      </w:tr>
      <w:tr w:rsidR="00DB5FD9" w:rsidRPr="00DB5FD9" w14:paraId="3CE9707B" w14:textId="77777777" w:rsidTr="00CC4579">
        <w:trPr>
          <w:trHeight w:val="340"/>
        </w:trPr>
        <w:tc>
          <w:tcPr>
            <w:tcW w:w="1805" w:type="pct"/>
            <w:shd w:val="clear" w:color="000000" w:fill="FCD5B4"/>
            <w:vAlign w:val="center"/>
            <w:hideMark/>
          </w:tcPr>
          <w:p w14:paraId="1A7F14C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Rural men and women linked to markets</w:t>
            </w:r>
          </w:p>
        </w:tc>
        <w:tc>
          <w:tcPr>
            <w:tcW w:w="3195" w:type="pct"/>
            <w:shd w:val="clear" w:color="000000" w:fill="FDE9D9"/>
            <w:vAlign w:val="center"/>
            <w:hideMark/>
          </w:tcPr>
          <w:p w14:paraId="184C29BA"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Exports of cocoa, timber, fish and coconut products</w:t>
            </w:r>
          </w:p>
        </w:tc>
      </w:tr>
      <w:tr w:rsidR="00DB5FD9" w:rsidRPr="00DB5FD9" w14:paraId="214E4F5B" w14:textId="77777777" w:rsidTr="00CC4579">
        <w:trPr>
          <w:trHeight w:val="340"/>
        </w:trPr>
        <w:tc>
          <w:tcPr>
            <w:tcW w:w="1805" w:type="pct"/>
            <w:vMerge w:val="restart"/>
            <w:shd w:val="clear" w:color="000000" w:fill="FCD5B4"/>
            <w:vAlign w:val="center"/>
            <w:hideMark/>
          </w:tcPr>
          <w:p w14:paraId="628CE31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Men and women have access to Australian funded business and vocational skills training</w:t>
            </w:r>
          </w:p>
        </w:tc>
        <w:tc>
          <w:tcPr>
            <w:tcW w:w="3195" w:type="pct"/>
            <w:shd w:val="clear" w:color="000000" w:fill="FDE9D9"/>
            <w:vAlign w:val="center"/>
            <w:hideMark/>
          </w:tcPr>
          <w:p w14:paraId="51F0E35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women trained under SIWIBA support</w:t>
            </w:r>
          </w:p>
        </w:tc>
      </w:tr>
      <w:tr w:rsidR="00DB5FD9" w:rsidRPr="00DB5FD9" w14:paraId="2F35B1D2" w14:textId="77777777" w:rsidTr="00CC4579">
        <w:trPr>
          <w:trHeight w:val="340"/>
        </w:trPr>
        <w:tc>
          <w:tcPr>
            <w:tcW w:w="1805" w:type="pct"/>
            <w:vMerge/>
            <w:shd w:val="clear" w:color="000000" w:fill="FCD5B4"/>
            <w:vAlign w:val="center"/>
            <w:hideMark/>
          </w:tcPr>
          <w:p w14:paraId="54472C3A"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DE9D9"/>
            <w:vAlign w:val="center"/>
            <w:hideMark/>
          </w:tcPr>
          <w:p w14:paraId="49788290"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Number of men and women trained through APTC, Skills for Economic Growth and Youth at Work, Scholarships and Fellowships</w:t>
            </w:r>
          </w:p>
        </w:tc>
      </w:tr>
      <w:tr w:rsidR="00DB5FD9" w:rsidRPr="00DB5FD9" w14:paraId="43316685" w14:textId="77777777" w:rsidTr="00CC4579">
        <w:trPr>
          <w:trHeight w:val="340"/>
        </w:trPr>
        <w:tc>
          <w:tcPr>
            <w:tcW w:w="1805" w:type="pct"/>
            <w:shd w:val="clear" w:color="000000" w:fill="FCD5B4"/>
            <w:vAlign w:val="center"/>
            <w:hideMark/>
          </w:tcPr>
          <w:p w14:paraId="39F3812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Numbers of men and women using international income earning opportunities</w:t>
            </w:r>
          </w:p>
        </w:tc>
        <w:tc>
          <w:tcPr>
            <w:tcW w:w="3195" w:type="pct"/>
            <w:shd w:val="clear" w:color="000000" w:fill="FDE9D9"/>
            <w:vAlign w:val="center"/>
            <w:hideMark/>
          </w:tcPr>
          <w:p w14:paraId="4DAEBA64"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participants in labour mobility scheme</w:t>
            </w:r>
          </w:p>
        </w:tc>
      </w:tr>
      <w:tr w:rsidR="00DB5FD9" w:rsidRPr="00DB5FD9" w14:paraId="5667F7FA" w14:textId="77777777" w:rsidTr="00CC4579">
        <w:trPr>
          <w:trHeight w:val="340"/>
        </w:trPr>
        <w:tc>
          <w:tcPr>
            <w:tcW w:w="1805" w:type="pct"/>
            <w:shd w:val="clear" w:color="000000" w:fill="FCD5B4"/>
            <w:vAlign w:val="center"/>
            <w:hideMark/>
          </w:tcPr>
          <w:p w14:paraId="5936CE2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lastRenderedPageBreak/>
              <w:t>Barriers to women's participation in the working environment and strategies to address them are identified</w:t>
            </w:r>
          </w:p>
        </w:tc>
        <w:tc>
          <w:tcPr>
            <w:tcW w:w="3195" w:type="pct"/>
            <w:shd w:val="clear" w:color="000000" w:fill="FDE9D9"/>
            <w:vAlign w:val="center"/>
            <w:hideMark/>
          </w:tcPr>
          <w:p w14:paraId="268EFC0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Data from IFC "Empowering Women</w:t>
            </w:r>
            <w:r w:rsidR="00FF13BC">
              <w:rPr>
                <w:rFonts w:ascii="Calibri" w:eastAsia="Times New Roman" w:hAnsi="Calibri" w:cs="Times New Roman"/>
                <w:color w:val="000000"/>
                <w:lang w:val="en-AU"/>
              </w:rPr>
              <w:t xml:space="preserve"> in the Private Sector" program</w:t>
            </w:r>
          </w:p>
        </w:tc>
      </w:tr>
      <w:tr w:rsidR="00DB5FD9" w:rsidRPr="00DB5FD9" w14:paraId="2ED7A10C" w14:textId="77777777" w:rsidTr="00CC4579">
        <w:trPr>
          <w:trHeight w:val="340"/>
        </w:trPr>
        <w:tc>
          <w:tcPr>
            <w:tcW w:w="1805" w:type="pct"/>
            <w:shd w:val="clear" w:color="000000" w:fill="FFFFCC"/>
            <w:vAlign w:val="center"/>
            <w:hideMark/>
          </w:tcPr>
          <w:p w14:paraId="6DA124AF"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Australia's aid objective</w:t>
            </w:r>
          </w:p>
        </w:tc>
        <w:tc>
          <w:tcPr>
            <w:tcW w:w="3195" w:type="pct"/>
            <w:shd w:val="clear" w:color="000000" w:fill="FFFFCC"/>
            <w:vAlign w:val="center"/>
            <w:hideMark/>
          </w:tcPr>
          <w:p w14:paraId="5A0938DF" w14:textId="77777777" w:rsidR="00DB5FD9" w:rsidRPr="00DB5FD9" w:rsidRDefault="00DB5FD9" w:rsidP="00FF13BC">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 xml:space="preserve">Enhancing Human Development </w:t>
            </w:r>
            <w:r w:rsidR="00FF13BC">
              <w:rPr>
                <w:rFonts w:ascii="Calibri" w:eastAsia="Times New Roman" w:hAnsi="Calibri" w:cs="Times New Roman"/>
                <w:b/>
                <w:bCs/>
                <w:color w:val="000000"/>
                <w:lang w:val="en-AU"/>
              </w:rPr>
              <w:t>–</w:t>
            </w:r>
            <w:r w:rsidRPr="00DB5FD9">
              <w:rPr>
                <w:rFonts w:ascii="Calibri" w:eastAsia="Times New Roman" w:hAnsi="Calibri" w:cs="Times New Roman"/>
                <w:b/>
                <w:bCs/>
                <w:color w:val="000000"/>
                <w:lang w:val="en-AU"/>
              </w:rPr>
              <w:t xml:space="preserve"> Plan</w:t>
            </w:r>
            <w:r w:rsidR="00FF13BC">
              <w:rPr>
                <w:rFonts w:ascii="Calibri" w:eastAsia="Times New Roman" w:hAnsi="Calibri" w:cs="Times New Roman"/>
                <w:b/>
                <w:bCs/>
                <w:color w:val="000000"/>
                <w:lang w:val="en-AU"/>
              </w:rPr>
              <w:t xml:space="preserve"> </w:t>
            </w:r>
            <w:r w:rsidRPr="00DB5FD9">
              <w:rPr>
                <w:rFonts w:ascii="Calibri" w:eastAsia="Times New Roman" w:hAnsi="Calibri" w:cs="Times New Roman"/>
                <w:b/>
                <w:bCs/>
                <w:color w:val="000000"/>
                <w:lang w:val="en-AU"/>
              </w:rPr>
              <w:t xml:space="preserve">outcome 3 - </w:t>
            </w:r>
            <w:r w:rsidR="005C0B67" w:rsidRPr="005C0B67">
              <w:rPr>
                <w:rFonts w:ascii="Calibri" w:eastAsia="Times New Roman" w:hAnsi="Calibri" w:cs="Times New Roman"/>
                <w:b/>
                <w:bCs/>
                <w:color w:val="000000"/>
                <w:lang w:val="en-AU"/>
              </w:rPr>
              <w:t>More men and women can earn a cash income</w:t>
            </w:r>
          </w:p>
        </w:tc>
      </w:tr>
      <w:tr w:rsidR="00DB5FD9" w:rsidRPr="00DB5FD9" w14:paraId="6B4D2736" w14:textId="77777777" w:rsidTr="00CC4579">
        <w:trPr>
          <w:trHeight w:val="340"/>
        </w:trPr>
        <w:tc>
          <w:tcPr>
            <w:tcW w:w="1805" w:type="pct"/>
            <w:shd w:val="clear" w:color="000000" w:fill="FFFFCC"/>
            <w:vAlign w:val="center"/>
            <w:hideMark/>
          </w:tcPr>
          <w:p w14:paraId="214A21A1"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w:t>
            </w:r>
          </w:p>
        </w:tc>
        <w:tc>
          <w:tcPr>
            <w:tcW w:w="3195" w:type="pct"/>
            <w:shd w:val="clear" w:color="000000" w:fill="FFFFCC"/>
            <w:vAlign w:val="center"/>
            <w:hideMark/>
          </w:tcPr>
          <w:p w14:paraId="33F8CFEB" w14:textId="77777777" w:rsidR="00DB5FD9" w:rsidRPr="00DB5FD9" w:rsidRDefault="00DB5FD9"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 indicators</w:t>
            </w:r>
          </w:p>
        </w:tc>
      </w:tr>
      <w:tr w:rsidR="00DB5FD9" w:rsidRPr="00DB5FD9" w14:paraId="1021620F" w14:textId="77777777" w:rsidTr="00CC4579">
        <w:trPr>
          <w:trHeight w:val="340"/>
        </w:trPr>
        <w:tc>
          <w:tcPr>
            <w:tcW w:w="1805" w:type="pct"/>
            <w:vMerge w:val="restart"/>
            <w:shd w:val="clear" w:color="000000" w:fill="FFFF99"/>
            <w:vAlign w:val="center"/>
            <w:hideMark/>
          </w:tcPr>
          <w:p w14:paraId="09E62F5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SIG protects budgets for basic service delivery</w:t>
            </w:r>
          </w:p>
        </w:tc>
        <w:tc>
          <w:tcPr>
            <w:tcW w:w="3195" w:type="pct"/>
            <w:shd w:val="clear" w:color="000000" w:fill="FFFFCC"/>
            <w:vAlign w:val="center"/>
            <w:hideMark/>
          </w:tcPr>
          <w:p w14:paraId="5EB2E5A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SIG's % t</w:t>
            </w:r>
            <w:r w:rsidR="00FF13BC">
              <w:rPr>
                <w:rFonts w:ascii="Calibri" w:eastAsia="Times New Roman" w:hAnsi="Calibri" w:cs="Times New Roman"/>
                <w:color w:val="000000"/>
                <w:lang w:val="en-AU"/>
              </w:rPr>
              <w:t>otal budget allocated to health</w:t>
            </w:r>
          </w:p>
        </w:tc>
      </w:tr>
      <w:tr w:rsidR="00DB5FD9" w:rsidRPr="00DB5FD9" w14:paraId="5C1AED1D" w14:textId="77777777" w:rsidTr="00CC4579">
        <w:trPr>
          <w:trHeight w:val="340"/>
        </w:trPr>
        <w:tc>
          <w:tcPr>
            <w:tcW w:w="1805" w:type="pct"/>
            <w:vMerge/>
            <w:shd w:val="clear" w:color="000000" w:fill="FFFF99"/>
            <w:vAlign w:val="center"/>
            <w:hideMark/>
          </w:tcPr>
          <w:p w14:paraId="6BBB8ED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1564EE6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SIG's % tota</w:t>
            </w:r>
            <w:r w:rsidR="00FF13BC">
              <w:rPr>
                <w:rFonts w:ascii="Calibri" w:eastAsia="Times New Roman" w:hAnsi="Calibri" w:cs="Times New Roman"/>
                <w:color w:val="000000"/>
                <w:lang w:val="en-AU"/>
              </w:rPr>
              <w:t>l budget allocated to education</w:t>
            </w:r>
          </w:p>
        </w:tc>
      </w:tr>
      <w:tr w:rsidR="00DB5FD9" w:rsidRPr="00DB5FD9" w14:paraId="25F443FC" w14:textId="77777777" w:rsidTr="00CC4579">
        <w:trPr>
          <w:trHeight w:val="340"/>
        </w:trPr>
        <w:tc>
          <w:tcPr>
            <w:tcW w:w="1805" w:type="pct"/>
            <w:vMerge/>
            <w:shd w:val="clear" w:color="000000" w:fill="FFFF99"/>
            <w:vAlign w:val="center"/>
            <w:hideMark/>
          </w:tcPr>
          <w:p w14:paraId="1007498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029B96C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health recurrent budgets allocated to basic service delivery for primary health care through funding to provinces</w:t>
            </w:r>
          </w:p>
        </w:tc>
      </w:tr>
      <w:tr w:rsidR="00DB5FD9" w:rsidRPr="00DB5FD9" w14:paraId="1C2D2C85" w14:textId="77777777" w:rsidTr="00CC4579">
        <w:trPr>
          <w:trHeight w:val="340"/>
        </w:trPr>
        <w:tc>
          <w:tcPr>
            <w:tcW w:w="1805" w:type="pct"/>
            <w:vMerge/>
            <w:shd w:val="clear" w:color="000000" w:fill="FFFF99"/>
            <w:vAlign w:val="center"/>
            <w:hideMark/>
          </w:tcPr>
          <w:p w14:paraId="26E0DF6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1BE786DA"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education recurrent budget allocated to basic service delivery basic education</w:t>
            </w:r>
          </w:p>
        </w:tc>
      </w:tr>
      <w:tr w:rsidR="00DB5FD9" w:rsidRPr="00DB5FD9" w14:paraId="106A0123" w14:textId="77777777" w:rsidTr="00CC4579">
        <w:trPr>
          <w:trHeight w:val="340"/>
        </w:trPr>
        <w:tc>
          <w:tcPr>
            <w:tcW w:w="1805" w:type="pct"/>
            <w:vMerge w:val="restart"/>
            <w:shd w:val="clear" w:color="000000" w:fill="FFFF99"/>
            <w:vAlign w:val="center"/>
            <w:hideMark/>
          </w:tcPr>
          <w:p w14:paraId="0C119D32"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Procurement improvements accelerating service delivery and providing value for money [</w:t>
            </w:r>
            <w:r w:rsidRPr="00DB5FD9">
              <w:rPr>
                <w:rFonts w:ascii="Calibri" w:eastAsia="Times New Roman" w:hAnsi="Calibri" w:cs="Times New Roman"/>
                <w:i/>
                <w:iCs/>
                <w:color w:val="000000"/>
                <w:lang w:val="en-AU"/>
              </w:rPr>
              <w:t>capacity of procurement system</w:t>
            </w:r>
            <w:r w:rsidR="00FF13BC">
              <w:rPr>
                <w:rFonts w:ascii="Calibri" w:eastAsia="Times New Roman" w:hAnsi="Calibri" w:cs="Times New Roman"/>
                <w:color w:val="000000"/>
                <w:lang w:val="en-AU"/>
              </w:rPr>
              <w:t>]</w:t>
            </w:r>
          </w:p>
        </w:tc>
        <w:tc>
          <w:tcPr>
            <w:tcW w:w="3195" w:type="pct"/>
            <w:shd w:val="clear" w:color="000000" w:fill="FFFFCC"/>
            <w:vAlign w:val="center"/>
            <w:hideMark/>
          </w:tcPr>
          <w:p w14:paraId="1AC8477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essential medicine available at second level medical stores, and at rural health centres</w:t>
            </w:r>
          </w:p>
        </w:tc>
      </w:tr>
      <w:tr w:rsidR="00DB5FD9" w:rsidRPr="00DB5FD9" w14:paraId="015406B1" w14:textId="77777777" w:rsidTr="00CC4579">
        <w:trPr>
          <w:trHeight w:val="340"/>
        </w:trPr>
        <w:tc>
          <w:tcPr>
            <w:tcW w:w="1805" w:type="pct"/>
            <w:vMerge/>
            <w:vAlign w:val="center"/>
            <w:hideMark/>
          </w:tcPr>
          <w:p w14:paraId="4DBA66F1"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030C137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Number of books and curriculum materials distributed</w:t>
            </w:r>
          </w:p>
        </w:tc>
      </w:tr>
      <w:tr w:rsidR="00DB5FD9" w:rsidRPr="00DB5FD9" w14:paraId="13605985" w14:textId="77777777" w:rsidTr="00CC4579">
        <w:trPr>
          <w:trHeight w:val="340"/>
        </w:trPr>
        <w:tc>
          <w:tcPr>
            <w:tcW w:w="1805" w:type="pct"/>
            <w:vMerge/>
            <w:vAlign w:val="center"/>
            <w:hideMark/>
          </w:tcPr>
          <w:p w14:paraId="0F915FD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571673A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Number of new classrooms built and classrooms repaired</w:t>
            </w:r>
          </w:p>
        </w:tc>
      </w:tr>
      <w:tr w:rsidR="00DB5FD9" w:rsidRPr="00DB5FD9" w14:paraId="3115F97C" w14:textId="77777777" w:rsidTr="00CC4579">
        <w:trPr>
          <w:trHeight w:val="340"/>
        </w:trPr>
        <w:tc>
          <w:tcPr>
            <w:tcW w:w="1805" w:type="pct"/>
            <w:vMerge/>
            <w:vAlign w:val="center"/>
            <w:hideMark/>
          </w:tcPr>
          <w:p w14:paraId="72570CA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108DF5A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items addressed in PFM road map in health</w:t>
            </w:r>
          </w:p>
        </w:tc>
      </w:tr>
      <w:tr w:rsidR="00DB5FD9" w:rsidRPr="00DB5FD9" w14:paraId="79527405" w14:textId="77777777" w:rsidTr="00CC4579">
        <w:trPr>
          <w:trHeight w:val="340"/>
        </w:trPr>
        <w:tc>
          <w:tcPr>
            <w:tcW w:w="1805" w:type="pct"/>
            <w:vMerge/>
            <w:shd w:val="clear" w:color="000000" w:fill="FFFF99"/>
            <w:vAlign w:val="center"/>
            <w:hideMark/>
          </w:tcPr>
          <w:p w14:paraId="3310E084"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2981F2F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items addressed in PFM road map in education</w:t>
            </w:r>
          </w:p>
        </w:tc>
      </w:tr>
      <w:tr w:rsidR="00DB5FD9" w:rsidRPr="00DB5FD9" w14:paraId="58ACBF50" w14:textId="77777777" w:rsidTr="00CC4579">
        <w:trPr>
          <w:trHeight w:val="340"/>
        </w:trPr>
        <w:tc>
          <w:tcPr>
            <w:tcW w:w="1805" w:type="pct"/>
            <w:vMerge/>
            <w:shd w:val="clear" w:color="000000" w:fill="FFFF99"/>
            <w:vAlign w:val="center"/>
            <w:hideMark/>
          </w:tcPr>
          <w:p w14:paraId="6B39EDE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2868D47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schools upgraded</w:t>
            </w:r>
          </w:p>
        </w:tc>
      </w:tr>
      <w:tr w:rsidR="00DB5FD9" w:rsidRPr="00DB5FD9" w14:paraId="447560EE" w14:textId="77777777" w:rsidTr="00CC4579">
        <w:trPr>
          <w:trHeight w:val="340"/>
        </w:trPr>
        <w:tc>
          <w:tcPr>
            <w:tcW w:w="1805" w:type="pct"/>
            <w:vMerge w:val="restart"/>
            <w:shd w:val="clear" w:color="000000" w:fill="FFFF99"/>
            <w:vAlign w:val="center"/>
            <w:hideMark/>
          </w:tcPr>
          <w:p w14:paraId="76343C3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TVET courses of improved quality are delivered within a revised national qualifications framework</w:t>
            </w:r>
          </w:p>
        </w:tc>
        <w:tc>
          <w:tcPr>
            <w:tcW w:w="3195" w:type="pct"/>
            <w:shd w:val="clear" w:color="000000" w:fill="FFFFCC"/>
            <w:vAlign w:val="center"/>
            <w:hideMark/>
          </w:tcPr>
          <w:p w14:paraId="4CF7409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National Qualifications Framework in place and evidence of its use and institutionalisation</w:t>
            </w:r>
          </w:p>
        </w:tc>
      </w:tr>
      <w:tr w:rsidR="00DB5FD9" w:rsidRPr="00DB5FD9" w14:paraId="6FEB9E29" w14:textId="77777777" w:rsidTr="00CC4579">
        <w:trPr>
          <w:trHeight w:val="340"/>
        </w:trPr>
        <w:tc>
          <w:tcPr>
            <w:tcW w:w="1805" w:type="pct"/>
            <w:vMerge/>
            <w:vAlign w:val="center"/>
            <w:hideMark/>
          </w:tcPr>
          <w:p w14:paraId="66146B44"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3864039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people trained in TVET courses that meet national or international standards</w:t>
            </w:r>
          </w:p>
        </w:tc>
      </w:tr>
      <w:tr w:rsidR="00DB5FD9" w:rsidRPr="00DB5FD9" w14:paraId="5E648A75" w14:textId="77777777" w:rsidTr="00CC4579">
        <w:trPr>
          <w:trHeight w:val="340"/>
        </w:trPr>
        <w:tc>
          <w:tcPr>
            <w:tcW w:w="1805" w:type="pct"/>
            <w:vMerge w:val="restart"/>
            <w:shd w:val="clear" w:color="000000" w:fill="FFFF99"/>
            <w:vAlign w:val="center"/>
            <w:hideMark/>
          </w:tcPr>
          <w:p w14:paraId="3D1F7BF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Service delivery staff are trained</w:t>
            </w:r>
          </w:p>
        </w:tc>
        <w:tc>
          <w:tcPr>
            <w:tcW w:w="3195" w:type="pct"/>
            <w:shd w:val="clear" w:color="000000" w:fill="FFFFCC"/>
            <w:vAlign w:val="center"/>
            <w:hideMark/>
          </w:tcPr>
          <w:p w14:paraId="7BE369F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medical graduates who successfully complete internships in-country</w:t>
            </w:r>
          </w:p>
        </w:tc>
      </w:tr>
      <w:tr w:rsidR="00DB5FD9" w:rsidRPr="00DB5FD9" w14:paraId="67A4236A" w14:textId="77777777" w:rsidTr="00CC4579">
        <w:trPr>
          <w:trHeight w:val="340"/>
        </w:trPr>
        <w:tc>
          <w:tcPr>
            <w:tcW w:w="1805" w:type="pct"/>
            <w:vMerge/>
            <w:vAlign w:val="center"/>
            <w:hideMark/>
          </w:tcPr>
          <w:p w14:paraId="52209C0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480E4CC6"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doctors and nurses trained</w:t>
            </w:r>
          </w:p>
        </w:tc>
      </w:tr>
      <w:tr w:rsidR="00DB5FD9" w:rsidRPr="00DB5FD9" w14:paraId="70B1B0E8" w14:textId="77777777" w:rsidTr="00CC4579">
        <w:trPr>
          <w:trHeight w:val="340"/>
        </w:trPr>
        <w:tc>
          <w:tcPr>
            <w:tcW w:w="1805" w:type="pct"/>
            <w:vMerge/>
            <w:vAlign w:val="center"/>
            <w:hideMark/>
          </w:tcPr>
          <w:p w14:paraId="1EEF916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67A99B24"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teachers trained</w:t>
            </w:r>
          </w:p>
        </w:tc>
      </w:tr>
      <w:tr w:rsidR="00DB5FD9" w:rsidRPr="00DB5FD9" w14:paraId="416EC7D4" w14:textId="77777777" w:rsidTr="00CC4579">
        <w:trPr>
          <w:trHeight w:val="340"/>
        </w:trPr>
        <w:tc>
          <w:tcPr>
            <w:tcW w:w="1805" w:type="pct"/>
            <w:vMerge w:val="restart"/>
            <w:shd w:val="clear" w:color="000000" w:fill="FFFF99"/>
            <w:vAlign w:val="center"/>
            <w:hideMark/>
          </w:tcPr>
          <w:p w14:paraId="6BDCA5A5"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Services are targeted at priority needs for men and women, boys and girls</w:t>
            </w:r>
          </w:p>
        </w:tc>
        <w:tc>
          <w:tcPr>
            <w:tcW w:w="3195" w:type="pct"/>
            <w:shd w:val="clear" w:color="000000" w:fill="FFFFCC"/>
            <w:vAlign w:val="center"/>
            <w:hideMark/>
          </w:tcPr>
          <w:p w14:paraId="0ACBA467" w14:textId="77777777" w:rsidR="00DB5FD9" w:rsidRPr="00DB5FD9" w:rsidRDefault="00DB5FD9" w:rsidP="00FF13BC">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xml:space="preserve">Contraceptive use </w:t>
            </w:r>
            <w:r w:rsidR="00FF13BC">
              <w:rPr>
                <w:rFonts w:ascii="Calibri" w:eastAsia="Times New Roman" w:hAnsi="Calibri" w:cs="Times New Roman"/>
                <w:color w:val="000000"/>
                <w:lang w:val="en-AU"/>
              </w:rPr>
              <w:t>–</w:t>
            </w:r>
            <w:r w:rsidRPr="00DB5FD9">
              <w:rPr>
                <w:rFonts w:ascii="Calibri" w:eastAsia="Times New Roman" w:hAnsi="Calibri" w:cs="Times New Roman"/>
                <w:color w:val="000000"/>
                <w:lang w:val="en-AU"/>
              </w:rPr>
              <w:t xml:space="preserve"> number</w:t>
            </w:r>
            <w:r w:rsidR="00FF13BC">
              <w:rPr>
                <w:rFonts w:ascii="Calibri" w:eastAsia="Times New Roman" w:hAnsi="Calibri" w:cs="Times New Roman"/>
                <w:color w:val="000000"/>
                <w:lang w:val="en-AU"/>
              </w:rPr>
              <w:t xml:space="preserve"> </w:t>
            </w:r>
            <w:r w:rsidRPr="00DB5FD9">
              <w:rPr>
                <w:rFonts w:ascii="Calibri" w:eastAsia="Times New Roman" w:hAnsi="Calibri" w:cs="Times New Roman"/>
                <w:color w:val="000000"/>
                <w:lang w:val="en-AU"/>
              </w:rPr>
              <w:t>of contraceptive contacts</w:t>
            </w:r>
          </w:p>
        </w:tc>
      </w:tr>
      <w:tr w:rsidR="00DB5FD9" w:rsidRPr="00DB5FD9" w14:paraId="005783E7" w14:textId="77777777" w:rsidTr="00CC4579">
        <w:trPr>
          <w:trHeight w:val="340"/>
        </w:trPr>
        <w:tc>
          <w:tcPr>
            <w:tcW w:w="1805" w:type="pct"/>
            <w:vMerge/>
            <w:vAlign w:val="center"/>
            <w:hideMark/>
          </w:tcPr>
          <w:p w14:paraId="51F4E3A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3ACDB2F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Proportion of malnourished and stunted children</w:t>
            </w:r>
          </w:p>
        </w:tc>
      </w:tr>
      <w:tr w:rsidR="00DB5FD9" w:rsidRPr="00DB5FD9" w14:paraId="2D87A5E7" w14:textId="77777777" w:rsidTr="00CC4579">
        <w:trPr>
          <w:trHeight w:val="340"/>
        </w:trPr>
        <w:tc>
          <w:tcPr>
            <w:tcW w:w="1805" w:type="pct"/>
            <w:vMerge/>
            <w:vAlign w:val="center"/>
            <w:hideMark/>
          </w:tcPr>
          <w:p w14:paraId="386BE40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1E1883D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girls receiving HPV vaccination</w:t>
            </w:r>
          </w:p>
        </w:tc>
      </w:tr>
      <w:tr w:rsidR="00DB5FD9" w:rsidRPr="00DB5FD9" w14:paraId="03A344DF" w14:textId="77777777" w:rsidTr="00CC4579">
        <w:trPr>
          <w:trHeight w:val="340"/>
        </w:trPr>
        <w:tc>
          <w:tcPr>
            <w:tcW w:w="1805" w:type="pct"/>
            <w:vMerge/>
            <w:vAlign w:val="center"/>
            <w:hideMark/>
          </w:tcPr>
          <w:p w14:paraId="47F468F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066C4BC4"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Mortality rates for women, children under 5, and infants all improve incrementally in years without significant outbreaks</w:t>
            </w:r>
          </w:p>
        </w:tc>
      </w:tr>
      <w:tr w:rsidR="00DB5FD9" w:rsidRPr="00DB5FD9" w14:paraId="469E3153" w14:textId="77777777" w:rsidTr="00CC4579">
        <w:trPr>
          <w:trHeight w:val="340"/>
        </w:trPr>
        <w:tc>
          <w:tcPr>
            <w:tcW w:w="1805" w:type="pct"/>
            <w:vMerge/>
            <w:vAlign w:val="center"/>
            <w:hideMark/>
          </w:tcPr>
          <w:p w14:paraId="2995C800"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7226692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Malaria a</w:t>
            </w:r>
            <w:r w:rsidR="00FF13BC">
              <w:rPr>
                <w:rFonts w:ascii="Calibri" w:eastAsia="Times New Roman" w:hAnsi="Calibri" w:cs="Times New Roman"/>
                <w:color w:val="000000"/>
                <w:lang w:val="en-AU"/>
              </w:rPr>
              <w:t>nnual parasitic incidence rates</w:t>
            </w:r>
          </w:p>
        </w:tc>
      </w:tr>
      <w:tr w:rsidR="00DB5FD9" w:rsidRPr="00DB5FD9" w14:paraId="07F371B8" w14:textId="77777777" w:rsidTr="00CC4579">
        <w:trPr>
          <w:trHeight w:val="340"/>
        </w:trPr>
        <w:tc>
          <w:tcPr>
            <w:tcW w:w="1805" w:type="pct"/>
            <w:vMerge/>
            <w:vAlign w:val="center"/>
            <w:hideMark/>
          </w:tcPr>
          <w:p w14:paraId="3DD723BB"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018289F7"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SISTA results show an increase in literacy, numeracy and writing</w:t>
            </w:r>
          </w:p>
        </w:tc>
      </w:tr>
      <w:tr w:rsidR="00DB5FD9" w:rsidRPr="00DB5FD9" w14:paraId="46A47065" w14:textId="77777777" w:rsidTr="00CC4579">
        <w:trPr>
          <w:trHeight w:val="340"/>
        </w:trPr>
        <w:tc>
          <w:tcPr>
            <w:tcW w:w="1805" w:type="pct"/>
            <w:vMerge/>
            <w:vAlign w:val="center"/>
            <w:hideMark/>
          </w:tcPr>
          <w:p w14:paraId="215E6109"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3CBD564C"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Net Enrolment Rate – Primary and Junior Secondary</w:t>
            </w:r>
          </w:p>
        </w:tc>
      </w:tr>
      <w:tr w:rsidR="00DB5FD9" w:rsidRPr="00DB5FD9" w14:paraId="7E0311FD" w14:textId="77777777" w:rsidTr="00CC4579">
        <w:trPr>
          <w:trHeight w:val="340"/>
        </w:trPr>
        <w:tc>
          <w:tcPr>
            <w:tcW w:w="1805" w:type="pct"/>
            <w:vMerge/>
            <w:vAlign w:val="center"/>
            <w:hideMark/>
          </w:tcPr>
          <w:p w14:paraId="2D78BF7D"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0C56EE5D"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Wheat and rice fortified to S</w:t>
            </w:r>
            <w:r w:rsidR="00FF13BC">
              <w:rPr>
                <w:rFonts w:ascii="Calibri" w:eastAsia="Times New Roman" w:hAnsi="Calibri" w:cs="Times New Roman"/>
                <w:color w:val="000000"/>
                <w:lang w:val="en-AU"/>
              </w:rPr>
              <w:t>IG national and WHO standards</w:t>
            </w:r>
          </w:p>
        </w:tc>
      </w:tr>
      <w:tr w:rsidR="00DB5FD9" w:rsidRPr="00DB5FD9" w14:paraId="6E4A8E1C" w14:textId="77777777" w:rsidTr="00CC4579">
        <w:trPr>
          <w:trHeight w:val="340"/>
        </w:trPr>
        <w:tc>
          <w:tcPr>
            <w:tcW w:w="1805" w:type="pct"/>
            <w:vMerge w:val="restart"/>
            <w:shd w:val="clear" w:color="000000" w:fill="FFFF99"/>
            <w:vAlign w:val="center"/>
            <w:hideMark/>
          </w:tcPr>
          <w:p w14:paraId="56D61D8E"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Service delivery meets needs of women and girls</w:t>
            </w:r>
          </w:p>
        </w:tc>
        <w:tc>
          <w:tcPr>
            <w:tcW w:w="3195" w:type="pct"/>
            <w:shd w:val="clear" w:color="000000" w:fill="FFFFCC"/>
            <w:vAlign w:val="center"/>
            <w:hideMark/>
          </w:tcPr>
          <w:p w14:paraId="6F38BA28"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births attended by a skilled birth attendant</w:t>
            </w:r>
          </w:p>
        </w:tc>
      </w:tr>
      <w:tr w:rsidR="00DB5FD9" w:rsidRPr="00DB5FD9" w14:paraId="663CD80B" w14:textId="77777777" w:rsidTr="00CC4579">
        <w:trPr>
          <w:trHeight w:val="340"/>
        </w:trPr>
        <w:tc>
          <w:tcPr>
            <w:tcW w:w="1805" w:type="pct"/>
            <w:vMerge/>
            <w:vAlign w:val="center"/>
            <w:hideMark/>
          </w:tcPr>
          <w:p w14:paraId="3D3AB27F"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p>
        </w:tc>
        <w:tc>
          <w:tcPr>
            <w:tcW w:w="3195" w:type="pct"/>
            <w:shd w:val="clear" w:color="000000" w:fill="FFFFCC"/>
            <w:vAlign w:val="center"/>
            <w:hideMark/>
          </w:tcPr>
          <w:p w14:paraId="0FDE8263" w14:textId="77777777" w:rsidR="00DB5FD9" w:rsidRPr="00DB5FD9" w:rsidRDefault="00DB5FD9"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schools without adequate water and sanitation</w:t>
            </w:r>
          </w:p>
        </w:tc>
      </w:tr>
    </w:tbl>
    <w:p w14:paraId="47391428" w14:textId="77777777" w:rsidR="00E05D80" w:rsidRDefault="00E05D80" w:rsidP="00DB5FD9">
      <w:pPr>
        <w:suppressAutoHyphens w:val="0"/>
        <w:spacing w:before="0" w:after="0" w:line="240" w:lineRule="auto"/>
        <w:rPr>
          <w:rFonts w:eastAsia="Times New Roman" w:cs="Times New Roman"/>
          <w:color w:val="auto"/>
          <w:sz w:val="24"/>
          <w:szCs w:val="24"/>
          <w:lang w:val="en-AU"/>
        </w:rPr>
      </w:pPr>
      <w:bookmarkStart w:id="2" w:name="RANGE!A1:D21"/>
    </w:p>
    <w:p w14:paraId="73C72D87" w14:textId="77777777" w:rsidR="00DB5FD9" w:rsidRPr="00E05D80" w:rsidRDefault="00E05D80" w:rsidP="00DB5FD9">
      <w:pPr>
        <w:suppressAutoHyphens w:val="0"/>
        <w:spacing w:before="0" w:after="0" w:line="240" w:lineRule="auto"/>
        <w:rPr>
          <w:rFonts w:eastAsia="Times New Roman" w:cs="Times New Roman"/>
          <w:color w:val="auto"/>
          <w:sz w:val="24"/>
          <w:szCs w:val="24"/>
          <w:lang w:val="en-AU"/>
        </w:rPr>
      </w:pPr>
      <w:r w:rsidRPr="00E05D80">
        <w:rPr>
          <w:rFonts w:eastAsia="Times New Roman" w:cs="Times New Roman"/>
          <w:color w:val="auto"/>
          <w:sz w:val="24"/>
          <w:szCs w:val="24"/>
          <w:lang w:val="en-AU"/>
        </w:rPr>
        <w:t>Gender Performance Assessment Framework</w:t>
      </w:r>
    </w:p>
    <w:tbl>
      <w:tblPr>
        <w:tblW w:w="5000" w:type="pct"/>
        <w:tblLayout w:type="fixed"/>
        <w:tblLook w:val="04A0" w:firstRow="1" w:lastRow="0" w:firstColumn="1" w:lastColumn="0" w:noHBand="0" w:noVBand="1"/>
      </w:tblPr>
      <w:tblGrid>
        <w:gridCol w:w="2588"/>
        <w:gridCol w:w="4648"/>
        <w:gridCol w:w="7214"/>
      </w:tblGrid>
      <w:tr w:rsidR="00E05D80" w:rsidRPr="00DB5FD9" w14:paraId="41D3C2A6" w14:textId="77777777" w:rsidTr="00E05D80">
        <w:trPr>
          <w:trHeight w:val="340"/>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3B2A7C92" w14:textId="77777777" w:rsidR="00E05D80" w:rsidRPr="00DB5FD9" w:rsidRDefault="00E05D80"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Long-term Outcome /Impact</w:t>
            </w:r>
          </w:p>
        </w:tc>
        <w:tc>
          <w:tcPr>
            <w:tcW w:w="1608" w:type="pct"/>
            <w:tcBorders>
              <w:top w:val="single" w:sz="4" w:space="0" w:color="auto"/>
              <w:left w:val="nil"/>
              <w:bottom w:val="single" w:sz="4" w:space="0" w:color="auto"/>
              <w:right w:val="single" w:sz="4" w:space="0" w:color="auto"/>
            </w:tcBorders>
            <w:shd w:val="clear" w:color="auto" w:fill="auto"/>
            <w:vAlign w:val="center"/>
            <w:hideMark/>
          </w:tcPr>
          <w:p w14:paraId="67F9AF80" w14:textId="77777777" w:rsidR="00E05D80" w:rsidRPr="00DB5FD9" w:rsidRDefault="00E05D80"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 xml:space="preserve">Intermediate Outcomes </w:t>
            </w:r>
            <w:r w:rsidRPr="00DB5FD9">
              <w:rPr>
                <w:rFonts w:ascii="Calibri" w:eastAsia="Times New Roman" w:hAnsi="Calibri" w:cs="Times New Roman"/>
                <w:b/>
                <w:bCs/>
                <w:color w:val="000000"/>
                <w:lang w:val="en-AU"/>
              </w:rPr>
              <w:br/>
              <w:t>(2017)</w:t>
            </w:r>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70CE9FC2" w14:textId="77777777" w:rsidR="00E05D80" w:rsidRPr="00DB5FD9" w:rsidRDefault="00E05D80" w:rsidP="00DB5FD9">
            <w:pPr>
              <w:suppressAutoHyphens w:val="0"/>
              <w:spacing w:before="0" w:after="0" w:line="240" w:lineRule="auto"/>
              <w:rPr>
                <w:rFonts w:ascii="Calibri" w:eastAsia="Times New Roman" w:hAnsi="Calibri" w:cs="Times New Roman"/>
                <w:b/>
                <w:bCs/>
                <w:color w:val="000000"/>
                <w:lang w:val="en-AU"/>
              </w:rPr>
            </w:pPr>
            <w:r w:rsidRPr="00DB5FD9">
              <w:rPr>
                <w:rFonts w:ascii="Calibri" w:eastAsia="Times New Roman" w:hAnsi="Calibri" w:cs="Times New Roman"/>
                <w:b/>
                <w:bCs/>
                <w:color w:val="000000"/>
                <w:lang w:val="en-AU"/>
              </w:rPr>
              <w:t>Intermediate outcome Indicators</w:t>
            </w:r>
          </w:p>
        </w:tc>
      </w:tr>
      <w:tr w:rsidR="00E05D80" w:rsidRPr="00DB5FD9" w14:paraId="0C55E1EA" w14:textId="77777777" w:rsidTr="00E05D80">
        <w:trPr>
          <w:trHeight w:val="340"/>
        </w:trPr>
        <w:tc>
          <w:tcPr>
            <w:tcW w:w="895" w:type="pct"/>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3DF26CE"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Reduced Family Violence</w:t>
            </w:r>
          </w:p>
        </w:tc>
        <w:tc>
          <w:tcPr>
            <w:tcW w:w="1608" w:type="pct"/>
            <w:tcBorders>
              <w:top w:val="single" w:sz="4" w:space="0" w:color="auto"/>
              <w:left w:val="nil"/>
              <w:bottom w:val="single" w:sz="4" w:space="0" w:color="auto"/>
              <w:right w:val="single" w:sz="4" w:space="0" w:color="auto"/>
            </w:tcBorders>
            <w:shd w:val="clear" w:color="000000" w:fill="99CCFF"/>
            <w:vAlign w:val="center"/>
            <w:hideMark/>
          </w:tcPr>
          <w:p w14:paraId="52E09822"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More communities perceive GBV as unacceptable</w:t>
            </w:r>
          </w:p>
        </w:tc>
        <w:tc>
          <w:tcPr>
            <w:tcW w:w="2496" w:type="pct"/>
            <w:tcBorders>
              <w:top w:val="single" w:sz="4" w:space="0" w:color="auto"/>
              <w:left w:val="nil"/>
              <w:bottom w:val="single" w:sz="4" w:space="0" w:color="auto"/>
              <w:right w:val="single" w:sz="4" w:space="0" w:color="auto"/>
            </w:tcBorders>
            <w:shd w:val="clear" w:color="000000" w:fill="CCECFF"/>
            <w:vAlign w:val="center"/>
            <w:hideMark/>
          </w:tcPr>
          <w:p w14:paraId="0D392E6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Increased proportion of men &amp; women who consider fam</w:t>
            </w:r>
            <w:r w:rsidR="00FF13BC">
              <w:rPr>
                <w:rFonts w:ascii="Calibri" w:eastAsia="Times New Roman" w:hAnsi="Calibri" w:cs="Times New Roman"/>
                <w:color w:val="000000"/>
                <w:lang w:val="en-AU"/>
              </w:rPr>
              <w:t>ily violence to be unacceptable</w:t>
            </w:r>
          </w:p>
          <w:p w14:paraId="65B5643A"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p w14:paraId="7AD30438"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Proportion of people in selected communities who believe there is a problem with family violence in their community</w:t>
            </w:r>
          </w:p>
        </w:tc>
      </w:tr>
      <w:tr w:rsidR="00E05D80" w:rsidRPr="00DB5FD9" w14:paraId="7093961E"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55C8945D"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val="restart"/>
            <w:tcBorders>
              <w:top w:val="single" w:sz="4" w:space="0" w:color="auto"/>
              <w:left w:val="nil"/>
              <w:bottom w:val="single" w:sz="4" w:space="0" w:color="auto"/>
              <w:right w:val="single" w:sz="4" w:space="0" w:color="auto"/>
            </w:tcBorders>
            <w:shd w:val="clear" w:color="000000" w:fill="99CCFF"/>
            <w:vAlign w:val="center"/>
            <w:hideMark/>
          </w:tcPr>
          <w:p w14:paraId="0AF0A322"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Increasing reporting of family violence</w:t>
            </w:r>
          </w:p>
        </w:tc>
        <w:tc>
          <w:tcPr>
            <w:tcW w:w="2496" w:type="pct"/>
            <w:tcBorders>
              <w:top w:val="single" w:sz="4" w:space="0" w:color="auto"/>
              <w:left w:val="nil"/>
              <w:bottom w:val="single" w:sz="4" w:space="0" w:color="auto"/>
              <w:right w:val="single" w:sz="4" w:space="0" w:color="auto"/>
            </w:tcBorders>
            <w:shd w:val="clear" w:color="000000" w:fill="CCECFF"/>
            <w:vAlign w:val="center"/>
            <w:hideMark/>
          </w:tcPr>
          <w:p w14:paraId="4CAEFFAE"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Family Violence 100 reports lodged</w:t>
            </w:r>
          </w:p>
        </w:tc>
      </w:tr>
      <w:tr w:rsidR="00E05D80" w:rsidRPr="00DB5FD9" w14:paraId="2F0CB317"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68F2E9E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nil"/>
              <w:bottom w:val="single" w:sz="4" w:space="0" w:color="auto"/>
              <w:right w:val="single" w:sz="4" w:space="0" w:color="auto"/>
            </w:tcBorders>
            <w:shd w:val="clear" w:color="000000" w:fill="99CCFF"/>
            <w:noWrap/>
            <w:vAlign w:val="center"/>
            <w:hideMark/>
          </w:tcPr>
          <w:p w14:paraId="4A04C14D"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tcBorders>
              <w:top w:val="single" w:sz="4" w:space="0" w:color="auto"/>
              <w:left w:val="nil"/>
              <w:bottom w:val="single" w:sz="4" w:space="0" w:color="auto"/>
              <w:right w:val="single" w:sz="4" w:space="0" w:color="auto"/>
            </w:tcBorders>
            <w:shd w:val="clear" w:color="000000" w:fill="CCECFF"/>
            <w:vAlign w:val="center"/>
            <w:hideMark/>
          </w:tcPr>
          <w:p w14:paraId="33787426"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police safety notices, interim and final protection orders issued</w:t>
            </w:r>
          </w:p>
        </w:tc>
      </w:tr>
      <w:tr w:rsidR="00E05D80" w:rsidRPr="00DB5FD9" w14:paraId="1461CA62"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153F58A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tcBorders>
              <w:top w:val="single" w:sz="4" w:space="0" w:color="auto"/>
              <w:left w:val="nil"/>
              <w:bottom w:val="single" w:sz="4" w:space="0" w:color="auto"/>
              <w:right w:val="single" w:sz="4" w:space="0" w:color="auto"/>
            </w:tcBorders>
            <w:shd w:val="clear" w:color="000000" w:fill="99CCFF"/>
            <w:vAlign w:val="center"/>
            <w:hideMark/>
          </w:tcPr>
          <w:p w14:paraId="3A394D65"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Improved quality of services for survivors of GBV</w:t>
            </w:r>
          </w:p>
        </w:tc>
        <w:tc>
          <w:tcPr>
            <w:tcW w:w="2496" w:type="pct"/>
            <w:tcBorders>
              <w:top w:val="single" w:sz="4" w:space="0" w:color="auto"/>
              <w:left w:val="nil"/>
              <w:bottom w:val="single" w:sz="4" w:space="0" w:color="auto"/>
              <w:right w:val="single" w:sz="4" w:space="0" w:color="auto"/>
            </w:tcBorders>
            <w:shd w:val="clear" w:color="000000" w:fill="CCECFF"/>
            <w:vAlign w:val="center"/>
            <w:hideMark/>
          </w:tcPr>
          <w:p w14:paraId="435AFB26"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services reporting increased ability to provide services for survivors of GBV</w:t>
            </w:r>
          </w:p>
        </w:tc>
      </w:tr>
      <w:tr w:rsidR="00E05D80" w:rsidRPr="00DB5FD9" w14:paraId="2546BE0C"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069DC275"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tcBorders>
              <w:top w:val="single" w:sz="4" w:space="0" w:color="auto"/>
              <w:left w:val="nil"/>
              <w:bottom w:val="single" w:sz="4" w:space="0" w:color="auto"/>
              <w:right w:val="single" w:sz="4" w:space="0" w:color="auto"/>
            </w:tcBorders>
            <w:shd w:val="clear" w:color="000000" w:fill="99CCFF"/>
            <w:vAlign w:val="center"/>
            <w:hideMark/>
          </w:tcPr>
          <w:p w14:paraId="6D39C676"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Increased government funding for addressing family violence</w:t>
            </w:r>
          </w:p>
        </w:tc>
        <w:tc>
          <w:tcPr>
            <w:tcW w:w="2496" w:type="pct"/>
            <w:tcBorders>
              <w:top w:val="single" w:sz="4" w:space="0" w:color="auto"/>
              <w:left w:val="nil"/>
              <w:bottom w:val="single" w:sz="4" w:space="0" w:color="auto"/>
              <w:right w:val="single" w:sz="4" w:space="0" w:color="auto"/>
            </w:tcBorders>
            <w:shd w:val="clear" w:color="000000" w:fill="CCECFF"/>
            <w:vAlign w:val="center"/>
            <w:hideMark/>
          </w:tcPr>
          <w:p w14:paraId="5C7F9367"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Funding for implementation of Family Protection Act appropriated in annual budget</w:t>
            </w:r>
          </w:p>
        </w:tc>
      </w:tr>
      <w:tr w:rsidR="00E05D80" w:rsidRPr="00DB5FD9" w14:paraId="1CCF8E7A"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25F58DD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tcBorders>
              <w:top w:val="single" w:sz="4" w:space="0" w:color="auto"/>
              <w:left w:val="nil"/>
              <w:bottom w:val="single" w:sz="4" w:space="0" w:color="auto"/>
              <w:right w:val="single" w:sz="4" w:space="0" w:color="auto"/>
            </w:tcBorders>
            <w:shd w:val="clear" w:color="000000" w:fill="99CCFF"/>
            <w:vAlign w:val="center"/>
            <w:hideMark/>
          </w:tcPr>
          <w:p w14:paraId="584FC693"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Business case for action by businesses to add</w:t>
            </w:r>
            <w:r w:rsidR="00FF13BC">
              <w:rPr>
                <w:rFonts w:ascii="Calibri" w:eastAsia="Times New Roman" w:hAnsi="Calibri" w:cs="Times New Roman"/>
                <w:color w:val="000000"/>
                <w:lang w:val="en-AU"/>
              </w:rPr>
              <w:t>ress GBV developed and accepted</w:t>
            </w:r>
          </w:p>
        </w:tc>
        <w:tc>
          <w:tcPr>
            <w:tcW w:w="2496" w:type="pct"/>
            <w:tcBorders>
              <w:top w:val="single" w:sz="4" w:space="0" w:color="auto"/>
              <w:left w:val="nil"/>
              <w:bottom w:val="single" w:sz="4" w:space="0" w:color="auto"/>
              <w:right w:val="single" w:sz="4" w:space="0" w:color="auto"/>
            </w:tcBorders>
            <w:shd w:val="clear" w:color="000000" w:fill="CCECFF"/>
            <w:vAlign w:val="center"/>
            <w:hideMark/>
          </w:tcPr>
          <w:p w14:paraId="0781E23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Evidence of changes in policies or practices to address family violence in the workplace</w:t>
            </w:r>
          </w:p>
        </w:tc>
      </w:tr>
      <w:tr w:rsidR="00E05D80" w:rsidRPr="00DB5FD9" w14:paraId="4BEE78BB" w14:textId="77777777" w:rsidTr="00E05D80">
        <w:trPr>
          <w:trHeight w:val="340"/>
        </w:trPr>
        <w:tc>
          <w:tcPr>
            <w:tcW w:w="895" w:type="pct"/>
            <w:vMerge w:val="restart"/>
            <w:tcBorders>
              <w:top w:val="single" w:sz="4" w:space="0" w:color="auto"/>
              <w:left w:val="single" w:sz="4" w:space="0" w:color="auto"/>
              <w:bottom w:val="single" w:sz="4" w:space="0" w:color="auto"/>
              <w:right w:val="single" w:sz="4" w:space="0" w:color="auto"/>
            </w:tcBorders>
            <w:shd w:val="clear" w:color="000000" w:fill="FF99CC"/>
            <w:noWrap/>
            <w:vAlign w:val="center"/>
            <w:hideMark/>
          </w:tcPr>
          <w:p w14:paraId="6199B0E4" w14:textId="77777777" w:rsidR="00E05D80" w:rsidRPr="00DB5FD9" w:rsidRDefault="00FF13BC" w:rsidP="00DB5FD9">
            <w:pPr>
              <w:suppressAutoHyphens w:val="0"/>
              <w:spacing w:before="0" w:after="0" w:line="240" w:lineRule="auto"/>
              <w:rPr>
                <w:rFonts w:ascii="Calibri" w:eastAsia="Times New Roman" w:hAnsi="Calibri" w:cs="Times New Roman"/>
                <w:color w:val="000000"/>
                <w:lang w:val="en-AU"/>
              </w:rPr>
            </w:pPr>
            <w:r>
              <w:rPr>
                <w:rFonts w:ascii="Calibri" w:eastAsia="Times New Roman" w:hAnsi="Calibri" w:cs="Times New Roman"/>
                <w:color w:val="000000"/>
                <w:lang w:val="en-AU"/>
              </w:rPr>
              <w:t>Economic Empowerment of Women</w:t>
            </w:r>
          </w:p>
        </w:tc>
        <w:tc>
          <w:tcPr>
            <w:tcW w:w="1608" w:type="pct"/>
            <w:vMerge w:val="restart"/>
            <w:tcBorders>
              <w:top w:val="single" w:sz="4" w:space="0" w:color="auto"/>
              <w:left w:val="single" w:sz="4" w:space="0" w:color="auto"/>
              <w:bottom w:val="single" w:sz="4" w:space="0" w:color="auto"/>
              <w:right w:val="single" w:sz="4" w:space="0" w:color="auto"/>
            </w:tcBorders>
            <w:shd w:val="clear" w:color="000000" w:fill="FF99CC"/>
            <w:vAlign w:val="center"/>
            <w:hideMark/>
          </w:tcPr>
          <w:p w14:paraId="6023FB1C"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Improved access to formal employment and financial services for women</w:t>
            </w:r>
          </w:p>
        </w:tc>
        <w:tc>
          <w:tcPr>
            <w:tcW w:w="2496" w:type="pct"/>
            <w:tcBorders>
              <w:top w:val="single" w:sz="4" w:space="0" w:color="auto"/>
              <w:left w:val="nil"/>
              <w:bottom w:val="single" w:sz="4" w:space="0" w:color="auto"/>
              <w:right w:val="single" w:sz="4" w:space="0" w:color="auto"/>
            </w:tcBorders>
            <w:shd w:val="clear" w:color="000000" w:fill="FFCCFF"/>
            <w:vAlign w:val="center"/>
            <w:hideMark/>
          </w:tcPr>
          <w:p w14:paraId="5F654AA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Number of poor women who increase their access to financial services (Aggregate Development Result)</w:t>
            </w:r>
          </w:p>
        </w:tc>
      </w:tr>
      <w:tr w:rsidR="00E05D80" w:rsidRPr="00DB5FD9" w14:paraId="7FF06A39"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169A8C61"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4208350A"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tcBorders>
              <w:top w:val="single" w:sz="4" w:space="0" w:color="auto"/>
              <w:left w:val="nil"/>
              <w:bottom w:val="single" w:sz="4" w:space="0" w:color="auto"/>
              <w:right w:val="single" w:sz="4" w:space="0" w:color="auto"/>
            </w:tcBorders>
            <w:shd w:val="clear" w:color="000000" w:fill="FFCCFF"/>
            <w:vAlign w:val="center"/>
            <w:hideMark/>
          </w:tcPr>
          <w:p w14:paraId="4FE7854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people employed by contractors for labour-based road works that are women</w:t>
            </w:r>
          </w:p>
        </w:tc>
      </w:tr>
      <w:tr w:rsidR="00E05D80" w:rsidRPr="00DB5FD9" w14:paraId="76F5B048"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45281BD2"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2EC01EB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tcBorders>
              <w:top w:val="single" w:sz="4" w:space="0" w:color="auto"/>
              <w:left w:val="nil"/>
              <w:bottom w:val="single" w:sz="4" w:space="0" w:color="auto"/>
              <w:right w:val="single" w:sz="4" w:space="0" w:color="auto"/>
            </w:tcBorders>
            <w:shd w:val="clear" w:color="000000" w:fill="FFCCFF"/>
            <w:vAlign w:val="center"/>
            <w:hideMark/>
          </w:tcPr>
          <w:p w14:paraId="1B67C4CD"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women with National Provident Fund membership</w:t>
            </w:r>
          </w:p>
        </w:tc>
      </w:tr>
      <w:tr w:rsidR="00E05D80" w:rsidRPr="00DB5FD9" w14:paraId="770E0F86"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4A78A2C1"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val="restart"/>
            <w:tcBorders>
              <w:top w:val="single" w:sz="4" w:space="0" w:color="auto"/>
              <w:left w:val="single" w:sz="4" w:space="0" w:color="auto"/>
              <w:bottom w:val="single" w:sz="4" w:space="0" w:color="auto"/>
              <w:right w:val="single" w:sz="4" w:space="0" w:color="auto"/>
            </w:tcBorders>
            <w:shd w:val="clear" w:color="000000" w:fill="FF99CC"/>
            <w:vAlign w:val="center"/>
            <w:hideMark/>
          </w:tcPr>
          <w:p w14:paraId="1108B5D6"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Women accessing business development and vocational skills training to increase their income earning potential</w:t>
            </w:r>
          </w:p>
        </w:tc>
        <w:tc>
          <w:tcPr>
            <w:tcW w:w="2496" w:type="pct"/>
            <w:tcBorders>
              <w:top w:val="single" w:sz="4" w:space="0" w:color="auto"/>
              <w:left w:val="nil"/>
              <w:bottom w:val="single" w:sz="4" w:space="0" w:color="auto"/>
              <w:right w:val="single" w:sz="4" w:space="0" w:color="auto"/>
            </w:tcBorders>
            <w:shd w:val="clear" w:color="000000" w:fill="FFCCFF"/>
            <w:vAlign w:val="center"/>
            <w:hideMark/>
          </w:tcPr>
          <w:p w14:paraId="16347F8D"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women received busines</w:t>
            </w:r>
            <w:r w:rsidR="00FF13BC">
              <w:rPr>
                <w:rFonts w:ascii="Calibri" w:eastAsia="Times New Roman" w:hAnsi="Calibri" w:cs="Times New Roman"/>
                <w:color w:val="000000"/>
                <w:lang w:val="en-AU"/>
              </w:rPr>
              <w:t>s or income generating training</w:t>
            </w:r>
          </w:p>
        </w:tc>
      </w:tr>
      <w:tr w:rsidR="00E05D80" w:rsidRPr="00DB5FD9" w14:paraId="4512F40C"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71767692"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68AFB8A5"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tcBorders>
              <w:top w:val="single" w:sz="4" w:space="0" w:color="auto"/>
              <w:left w:val="nil"/>
              <w:bottom w:val="single" w:sz="4" w:space="0" w:color="auto"/>
              <w:right w:val="nil"/>
            </w:tcBorders>
            <w:shd w:val="clear" w:color="000000" w:fill="FFCCFF"/>
            <w:vAlign w:val="center"/>
            <w:hideMark/>
          </w:tcPr>
          <w:p w14:paraId="384B8AA7"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female trainees repor</w:t>
            </w:r>
            <w:r w:rsidR="00FF13BC">
              <w:rPr>
                <w:rFonts w:ascii="Calibri" w:eastAsia="Times New Roman" w:hAnsi="Calibri" w:cs="Times New Roman"/>
                <w:color w:val="000000"/>
                <w:lang w:val="en-AU"/>
              </w:rPr>
              <w:t>ting increased skills/knowledge</w:t>
            </w:r>
          </w:p>
        </w:tc>
      </w:tr>
      <w:tr w:rsidR="00E05D80" w:rsidRPr="00DB5FD9" w14:paraId="6CD9619D"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03293FDD"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6083AA0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tcBorders>
              <w:top w:val="single" w:sz="4" w:space="0" w:color="auto"/>
              <w:left w:val="nil"/>
              <w:bottom w:val="single" w:sz="4" w:space="0" w:color="auto"/>
              <w:right w:val="single" w:sz="4" w:space="0" w:color="auto"/>
            </w:tcBorders>
            <w:shd w:val="clear" w:color="000000" w:fill="FFCCFF"/>
            <w:vAlign w:val="center"/>
            <w:hideMark/>
          </w:tcPr>
          <w:p w14:paraId="361F6102"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women trained through APTC, Skills for Economic Growth and Youth at Work</w:t>
            </w:r>
          </w:p>
        </w:tc>
      </w:tr>
      <w:tr w:rsidR="00E05D80" w:rsidRPr="00DB5FD9" w14:paraId="1B280F7C"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6A82C6B5"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tcBorders>
              <w:top w:val="single" w:sz="4" w:space="0" w:color="auto"/>
              <w:left w:val="nil"/>
              <w:bottom w:val="single" w:sz="4" w:space="0" w:color="auto"/>
              <w:right w:val="single" w:sz="4" w:space="0" w:color="auto"/>
            </w:tcBorders>
            <w:shd w:val="clear" w:color="000000" w:fill="FF99CC"/>
            <w:vAlign w:val="center"/>
            <w:hideMark/>
          </w:tcPr>
          <w:p w14:paraId="360E0591"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Women joining business networks within Solomon Islands</w:t>
            </w:r>
          </w:p>
        </w:tc>
        <w:tc>
          <w:tcPr>
            <w:tcW w:w="2496" w:type="pct"/>
            <w:tcBorders>
              <w:top w:val="single" w:sz="4" w:space="0" w:color="auto"/>
              <w:left w:val="nil"/>
              <w:bottom w:val="single" w:sz="4" w:space="0" w:color="auto"/>
              <w:right w:val="single" w:sz="4" w:space="0" w:color="auto"/>
            </w:tcBorders>
            <w:shd w:val="clear" w:color="000000" w:fill="FFCCFF"/>
            <w:vAlign w:val="center"/>
            <w:hideMark/>
          </w:tcPr>
          <w:p w14:paraId="52F85029"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female memb</w:t>
            </w:r>
            <w:r w:rsidR="00FF13BC">
              <w:rPr>
                <w:rFonts w:ascii="Calibri" w:eastAsia="Times New Roman" w:hAnsi="Calibri" w:cs="Times New Roman"/>
                <w:color w:val="000000"/>
                <w:lang w:val="en-AU"/>
              </w:rPr>
              <w:t>ership of business associations</w:t>
            </w:r>
          </w:p>
        </w:tc>
      </w:tr>
      <w:tr w:rsidR="00E05D80" w:rsidRPr="00DB5FD9" w14:paraId="01C143BF"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6AE6D2AC"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tcBorders>
              <w:top w:val="single" w:sz="4" w:space="0" w:color="auto"/>
              <w:left w:val="nil"/>
              <w:bottom w:val="single" w:sz="4" w:space="0" w:color="auto"/>
              <w:right w:val="single" w:sz="4" w:space="0" w:color="auto"/>
            </w:tcBorders>
            <w:shd w:val="clear" w:color="000000" w:fill="FF99CC"/>
            <w:vAlign w:val="center"/>
            <w:hideMark/>
          </w:tcPr>
          <w:p w14:paraId="342D0D6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Women-led groups successfully winning contracts</w:t>
            </w:r>
          </w:p>
        </w:tc>
        <w:tc>
          <w:tcPr>
            <w:tcW w:w="2496" w:type="pct"/>
            <w:tcBorders>
              <w:top w:val="single" w:sz="4" w:space="0" w:color="auto"/>
              <w:left w:val="nil"/>
              <w:bottom w:val="single" w:sz="4" w:space="0" w:color="auto"/>
              <w:right w:val="single" w:sz="4" w:space="0" w:color="auto"/>
            </w:tcBorders>
            <w:shd w:val="clear" w:color="000000" w:fill="FFCCFF"/>
            <w:vAlign w:val="center"/>
            <w:hideMark/>
          </w:tcPr>
          <w:p w14:paraId="3F678760"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 of labour-based road works contracts awarded to women-led groups</w:t>
            </w:r>
          </w:p>
        </w:tc>
      </w:tr>
      <w:tr w:rsidR="00E05D80" w:rsidRPr="00DB5FD9" w14:paraId="71833DB5" w14:textId="77777777" w:rsidTr="00E05D80">
        <w:trPr>
          <w:trHeight w:val="340"/>
        </w:trPr>
        <w:tc>
          <w:tcPr>
            <w:tcW w:w="895" w:type="pct"/>
            <w:vMerge w:val="restart"/>
            <w:tcBorders>
              <w:top w:val="single" w:sz="4" w:space="0" w:color="auto"/>
              <w:left w:val="single" w:sz="4" w:space="0" w:color="auto"/>
              <w:bottom w:val="single" w:sz="4" w:space="0" w:color="auto"/>
              <w:right w:val="single" w:sz="4" w:space="0" w:color="auto"/>
            </w:tcBorders>
            <w:shd w:val="clear" w:color="000000" w:fill="99FF99"/>
            <w:noWrap/>
            <w:vAlign w:val="center"/>
            <w:hideMark/>
          </w:tcPr>
          <w:p w14:paraId="6E50B001"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Women in Leadership</w:t>
            </w:r>
          </w:p>
        </w:tc>
        <w:tc>
          <w:tcPr>
            <w:tcW w:w="1608" w:type="pct"/>
            <w:vMerge w:val="restart"/>
            <w:tcBorders>
              <w:top w:val="single" w:sz="4" w:space="0" w:color="auto"/>
              <w:left w:val="single" w:sz="4" w:space="0" w:color="auto"/>
              <w:bottom w:val="single" w:sz="4" w:space="0" w:color="auto"/>
              <w:right w:val="single" w:sz="4" w:space="0" w:color="auto"/>
            </w:tcBorders>
            <w:shd w:val="clear" w:color="000000" w:fill="99FF99"/>
            <w:vAlign w:val="center"/>
            <w:hideMark/>
          </w:tcPr>
          <w:p w14:paraId="287D0A5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Interventions to improve women's participation and progression in public service being implemented</w:t>
            </w:r>
          </w:p>
        </w:tc>
        <w:tc>
          <w:tcPr>
            <w:tcW w:w="2496"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60031681"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Evidence of barriers to women's participation &amp; progression in the public service being identified and addressed</w:t>
            </w:r>
          </w:p>
        </w:tc>
      </w:tr>
      <w:tr w:rsidR="00E05D80" w:rsidRPr="00DB5FD9" w14:paraId="32CD9C4E"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52E349B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748F6F7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vMerge/>
            <w:tcBorders>
              <w:top w:val="single" w:sz="4" w:space="0" w:color="auto"/>
              <w:left w:val="single" w:sz="4" w:space="0" w:color="auto"/>
              <w:bottom w:val="single" w:sz="4" w:space="0" w:color="auto"/>
              <w:right w:val="single" w:sz="4" w:space="0" w:color="auto"/>
            </w:tcBorders>
            <w:vAlign w:val="center"/>
            <w:hideMark/>
          </w:tcPr>
          <w:p w14:paraId="3DB3B90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r>
      <w:tr w:rsidR="00E05D80" w:rsidRPr="00DB5FD9" w14:paraId="6B4A45E3" w14:textId="77777777" w:rsidTr="00E05D80">
        <w:trPr>
          <w:trHeight w:val="340"/>
        </w:trPr>
        <w:tc>
          <w:tcPr>
            <w:tcW w:w="895" w:type="pct"/>
            <w:vMerge w:val="restart"/>
            <w:tcBorders>
              <w:top w:val="single" w:sz="4" w:space="0" w:color="auto"/>
              <w:left w:val="single" w:sz="4" w:space="0" w:color="auto"/>
              <w:bottom w:val="single" w:sz="4" w:space="0" w:color="auto"/>
              <w:right w:val="single" w:sz="4" w:space="0" w:color="auto"/>
            </w:tcBorders>
            <w:shd w:val="clear" w:color="000000" w:fill="6699FF"/>
            <w:vAlign w:val="center"/>
            <w:hideMark/>
          </w:tcPr>
          <w:p w14:paraId="14F22B9D"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Australia is recognised for its promotion of gender equality in its aid program in Solomon Islands</w:t>
            </w:r>
          </w:p>
        </w:tc>
        <w:tc>
          <w:tcPr>
            <w:tcW w:w="1608" w:type="pct"/>
            <w:vMerge w:val="restart"/>
            <w:tcBorders>
              <w:top w:val="single" w:sz="4" w:space="0" w:color="auto"/>
              <w:left w:val="single" w:sz="4" w:space="0" w:color="auto"/>
              <w:bottom w:val="single" w:sz="4" w:space="0" w:color="auto"/>
              <w:right w:val="single" w:sz="4" w:space="0" w:color="auto"/>
            </w:tcBorders>
            <w:shd w:val="clear" w:color="000000" w:fill="6699FF"/>
            <w:vAlign w:val="center"/>
            <w:hideMark/>
          </w:tcPr>
          <w:p w14:paraId="297FE042"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80% of Australian Aid Investments in Solomon Islands effectively mainstream gender equality</w:t>
            </w:r>
          </w:p>
        </w:tc>
        <w:tc>
          <w:tcPr>
            <w:tcW w:w="2496" w:type="pct"/>
            <w:tcBorders>
              <w:top w:val="single" w:sz="4" w:space="0" w:color="auto"/>
              <w:left w:val="nil"/>
              <w:bottom w:val="single" w:sz="4" w:space="0" w:color="auto"/>
              <w:right w:val="single" w:sz="4" w:space="0" w:color="auto"/>
            </w:tcBorders>
            <w:shd w:val="clear" w:color="000000" w:fill="99CCFF"/>
            <w:vAlign w:val="center"/>
            <w:hideMark/>
          </w:tcPr>
          <w:p w14:paraId="29CAFCA0"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All future aid investment designs &amp; evaluations to include gender/social inclusion team member</w:t>
            </w:r>
          </w:p>
        </w:tc>
      </w:tr>
      <w:tr w:rsidR="00E05D80" w:rsidRPr="00DB5FD9" w14:paraId="20F117B9"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1B680569"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00A44F03"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tcBorders>
              <w:top w:val="single" w:sz="4" w:space="0" w:color="auto"/>
              <w:left w:val="nil"/>
              <w:bottom w:val="single" w:sz="4" w:space="0" w:color="auto"/>
              <w:right w:val="single" w:sz="4" w:space="0" w:color="auto"/>
            </w:tcBorders>
            <w:shd w:val="clear" w:color="000000" w:fill="99CCFF"/>
            <w:vAlign w:val="center"/>
            <w:hideMark/>
          </w:tcPr>
          <w:p w14:paraId="3A77CC9B"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Sex-disaggregated data is collected and used in planning, budgeting and monitoring</w:t>
            </w:r>
          </w:p>
        </w:tc>
      </w:tr>
      <w:tr w:rsidR="00E05D80" w:rsidRPr="00DB5FD9" w14:paraId="3F259474" w14:textId="77777777" w:rsidTr="00E05D80">
        <w:trPr>
          <w:trHeight w:val="340"/>
        </w:trPr>
        <w:tc>
          <w:tcPr>
            <w:tcW w:w="895" w:type="pct"/>
            <w:vMerge/>
            <w:tcBorders>
              <w:top w:val="single" w:sz="4" w:space="0" w:color="auto"/>
              <w:left w:val="single" w:sz="4" w:space="0" w:color="auto"/>
              <w:bottom w:val="single" w:sz="4" w:space="0" w:color="auto"/>
              <w:right w:val="single" w:sz="4" w:space="0" w:color="auto"/>
            </w:tcBorders>
            <w:vAlign w:val="center"/>
            <w:hideMark/>
          </w:tcPr>
          <w:p w14:paraId="5C27E919"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02265C92"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p>
        </w:tc>
        <w:tc>
          <w:tcPr>
            <w:tcW w:w="2496" w:type="pct"/>
            <w:tcBorders>
              <w:top w:val="single" w:sz="4" w:space="0" w:color="auto"/>
              <w:left w:val="nil"/>
              <w:bottom w:val="single" w:sz="4" w:space="0" w:color="auto"/>
              <w:right w:val="single" w:sz="4" w:space="0" w:color="auto"/>
            </w:tcBorders>
            <w:shd w:val="clear" w:color="000000" w:fill="99CCFF"/>
            <w:vAlign w:val="center"/>
            <w:hideMark/>
          </w:tcPr>
          <w:p w14:paraId="14BA0384" w14:textId="77777777" w:rsidR="00E05D80" w:rsidRPr="00DB5FD9" w:rsidRDefault="00E05D80" w:rsidP="00DB5FD9">
            <w:pPr>
              <w:suppressAutoHyphens w:val="0"/>
              <w:spacing w:before="0" w:after="0" w:line="240" w:lineRule="auto"/>
              <w:rPr>
                <w:rFonts w:ascii="Calibri" w:eastAsia="Times New Roman" w:hAnsi="Calibri" w:cs="Times New Roman"/>
                <w:color w:val="000000"/>
                <w:lang w:val="en-AU"/>
              </w:rPr>
            </w:pPr>
            <w:r w:rsidRPr="00DB5FD9">
              <w:rPr>
                <w:rFonts w:ascii="Calibri" w:eastAsia="Times New Roman" w:hAnsi="Calibri" w:cs="Times New Roman"/>
                <w:color w:val="000000"/>
                <w:lang w:val="en-AU"/>
              </w:rPr>
              <w:t>80% of investments marked satisfactory or above for gender in AQCs</w:t>
            </w:r>
          </w:p>
        </w:tc>
      </w:tr>
    </w:tbl>
    <w:p w14:paraId="1FBD0B25" w14:textId="77777777" w:rsidR="00DB5FD9" w:rsidRPr="00DB5FD9" w:rsidRDefault="00DB5FD9" w:rsidP="00DB5FD9">
      <w:pPr>
        <w:suppressAutoHyphens w:val="0"/>
        <w:spacing w:before="0" w:after="0" w:line="240" w:lineRule="auto"/>
        <w:rPr>
          <w:rFonts w:ascii="Times New Roman" w:eastAsia="Times New Roman" w:hAnsi="Times New Roman" w:cs="Times New Roman"/>
          <w:color w:val="auto"/>
          <w:sz w:val="24"/>
          <w:szCs w:val="24"/>
          <w:lang w:val="en-AU"/>
        </w:rPr>
      </w:pPr>
    </w:p>
    <w:sectPr w:rsidR="00DB5FD9" w:rsidRPr="00DB5FD9" w:rsidSect="00784031">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F21B" w14:textId="77777777" w:rsidR="00EA4023" w:rsidRDefault="00EA4023" w:rsidP="00EF4574">
      <w:pPr>
        <w:spacing w:before="0" w:after="0" w:line="240" w:lineRule="auto"/>
      </w:pPr>
      <w:r>
        <w:separator/>
      </w:r>
    </w:p>
  </w:endnote>
  <w:endnote w:type="continuationSeparator" w:id="0">
    <w:p w14:paraId="7DA8808F" w14:textId="77777777" w:rsidR="00EA4023" w:rsidRDefault="00EA4023"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FFD0" w14:textId="77777777" w:rsidR="00C15D42" w:rsidRPr="00CD0E4B" w:rsidRDefault="00C15D42" w:rsidP="00784031">
    <w:pPr>
      <w:pStyle w:val="Footer"/>
    </w:pPr>
    <w:r w:rsidRPr="00CD0E4B">
      <w:rPr>
        <w:noProof/>
        <w:lang w:val="en-AU" w:eastAsia="en-AU"/>
      </w:rPr>
      <w:drawing>
        <wp:inline distT="0" distB="0" distL="0" distR="0" wp14:anchorId="34C8E916" wp14:editId="1AA2B062">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778BAD5" w14:textId="77777777" w:rsidR="00C15D42" w:rsidRPr="00CD0E4B" w:rsidRDefault="00C15D42"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F21" w14:textId="77777777" w:rsidR="00EA4023" w:rsidRPr="008C5A0E" w:rsidRDefault="00EA4023" w:rsidP="001D663E">
      <w:pPr>
        <w:pStyle w:val="Footer"/>
        <w:pBdr>
          <w:top w:val="single" w:sz="4" w:space="1" w:color="495965" w:themeColor="text2"/>
        </w:pBdr>
      </w:pPr>
    </w:p>
  </w:footnote>
  <w:footnote w:type="continuationSeparator" w:id="0">
    <w:p w14:paraId="0A0334CD" w14:textId="77777777" w:rsidR="00EA4023" w:rsidRDefault="00EA4023" w:rsidP="00EF4574">
      <w:pPr>
        <w:spacing w:before="0" w:after="0" w:line="240" w:lineRule="auto"/>
      </w:pPr>
      <w:r>
        <w:continuationSeparator/>
      </w:r>
    </w:p>
  </w:footnote>
  <w:footnote w:id="1">
    <w:p w14:paraId="27260230" w14:textId="77777777" w:rsidR="00C15D42" w:rsidRPr="00053F20" w:rsidRDefault="00C15D42" w:rsidP="00053F20">
      <w:pPr>
        <w:spacing w:before="0" w:after="0" w:line="240" w:lineRule="auto"/>
        <w:contextualSpacing/>
        <w:rPr>
          <w:sz w:val="12"/>
          <w:szCs w:val="12"/>
          <w:lang w:val="en-AU"/>
        </w:rPr>
      </w:pPr>
      <w:r w:rsidRPr="00053F20">
        <w:rPr>
          <w:rStyle w:val="FootnoteReference"/>
          <w:sz w:val="12"/>
          <w:szCs w:val="12"/>
        </w:rPr>
        <w:footnoteRef/>
      </w:r>
      <w:r>
        <w:rPr>
          <w:color w:val="auto"/>
          <w:sz w:val="12"/>
          <w:szCs w:val="12"/>
          <w:lang w:val="en-AU"/>
        </w:rPr>
        <w:t xml:space="preserve"> </w:t>
      </w:r>
      <w:r w:rsidRPr="00053F20">
        <w:rPr>
          <w:color w:val="auto"/>
          <w:sz w:val="12"/>
          <w:szCs w:val="12"/>
          <w:lang w:val="en-AU"/>
        </w:rPr>
        <w:t xml:space="preserve">Central Bank of Solomon Islands </w:t>
      </w:r>
      <w:r w:rsidRPr="00053F20">
        <w:rPr>
          <w:color w:val="auto"/>
          <w:sz w:val="12"/>
          <w:szCs w:val="12"/>
        </w:rPr>
        <w:t xml:space="preserve">Central Bank of Solomon Islands, Quarterly Economic Review, December 2015. </w:t>
      </w:r>
      <w:hyperlink r:id="rId1" w:history="1">
        <w:r w:rsidRPr="003E4854">
          <w:rPr>
            <w:rStyle w:val="Hyperlink"/>
            <w:sz w:val="12"/>
            <w:szCs w:val="12"/>
          </w:rPr>
          <w:t>http://www.cbsi.com.sb/publications/quarterly-reviews</w:t>
        </w:r>
      </w:hyperlink>
      <w:r>
        <w:rPr>
          <w:rFonts w:cs="MuseoSans-500"/>
          <w:sz w:val="12"/>
          <w:szCs w:val="12"/>
          <w:u w:color="0070C0"/>
        </w:rPr>
        <w:t xml:space="preserve">. </w:t>
      </w:r>
    </w:p>
  </w:footnote>
  <w:footnote w:id="2">
    <w:p w14:paraId="782EA055" w14:textId="77777777" w:rsidR="00C15D42" w:rsidRPr="00053F20" w:rsidRDefault="00C15D42" w:rsidP="00053F20">
      <w:pPr>
        <w:pStyle w:val="FootnoteText"/>
        <w:spacing w:before="0" w:line="240" w:lineRule="auto"/>
        <w:contextualSpacing/>
        <w:rPr>
          <w:szCs w:val="12"/>
          <w:lang w:val="en-AU"/>
        </w:rPr>
      </w:pPr>
      <w:r w:rsidRPr="00053F20">
        <w:rPr>
          <w:rStyle w:val="FootnoteReference"/>
          <w:szCs w:val="12"/>
        </w:rPr>
        <w:footnoteRef/>
      </w:r>
      <w:r w:rsidRPr="00053F20">
        <w:rPr>
          <w:szCs w:val="12"/>
        </w:rPr>
        <w:t xml:space="preserve"> </w:t>
      </w:r>
      <w:r w:rsidRPr="00B616E4">
        <w:rPr>
          <w:rStyle w:val="Hyperlink"/>
          <w:szCs w:val="12"/>
        </w:rPr>
        <w:t>http://www.doingbusiness.org/data/e</w:t>
      </w:r>
      <w:r>
        <w:rPr>
          <w:rStyle w:val="Hyperlink"/>
          <w:szCs w:val="12"/>
        </w:rPr>
        <w:t xml:space="preserve">xploreeconomies/solomon-islands. </w:t>
      </w:r>
    </w:p>
  </w:footnote>
  <w:footnote w:id="3">
    <w:p w14:paraId="2FC9E639" w14:textId="77777777" w:rsidR="00C15D42" w:rsidRPr="00053F20" w:rsidRDefault="00C15D42" w:rsidP="00053F20">
      <w:pPr>
        <w:pStyle w:val="FootnoteText"/>
        <w:spacing w:before="0" w:line="240" w:lineRule="auto"/>
        <w:contextualSpacing/>
        <w:rPr>
          <w:color w:val="auto"/>
          <w:szCs w:val="12"/>
          <w:lang w:val="en-AU"/>
        </w:rPr>
      </w:pPr>
      <w:r w:rsidRPr="00053F20">
        <w:rPr>
          <w:rStyle w:val="FootnoteReference"/>
          <w:szCs w:val="12"/>
        </w:rPr>
        <w:footnoteRef/>
      </w:r>
      <w:r w:rsidRPr="00053F20">
        <w:rPr>
          <w:rStyle w:val="FootnoteReference"/>
          <w:szCs w:val="12"/>
        </w:rPr>
        <w:t xml:space="preserve"> </w:t>
      </w:r>
      <w:r w:rsidRPr="00053F20">
        <w:rPr>
          <w:color w:val="auto"/>
          <w:szCs w:val="12"/>
          <w:lang w:val="en-AU"/>
        </w:rPr>
        <w:t>Solomon Islands census, 2009</w:t>
      </w:r>
      <w:r>
        <w:rPr>
          <w:color w:val="auto"/>
          <w:szCs w:val="12"/>
          <w:lang w:val="en-AU"/>
        </w:rPr>
        <w:t>.</w:t>
      </w:r>
    </w:p>
  </w:footnote>
  <w:footnote w:id="4">
    <w:p w14:paraId="6F91F098" w14:textId="77777777" w:rsidR="00C15D42" w:rsidRPr="00053F20" w:rsidRDefault="00C15D42" w:rsidP="00053F20">
      <w:pPr>
        <w:pStyle w:val="FootnoteText"/>
        <w:spacing w:before="0" w:line="240" w:lineRule="auto"/>
        <w:contextualSpacing/>
        <w:rPr>
          <w:color w:val="auto"/>
          <w:szCs w:val="12"/>
          <w:lang w:val="en-AU"/>
        </w:rPr>
      </w:pPr>
      <w:r w:rsidRPr="00053F20">
        <w:rPr>
          <w:rStyle w:val="FootnoteReference"/>
          <w:szCs w:val="12"/>
        </w:rPr>
        <w:footnoteRef/>
      </w:r>
      <w:r w:rsidRPr="00053F20">
        <w:rPr>
          <w:rStyle w:val="FootnoteReference"/>
          <w:szCs w:val="12"/>
        </w:rPr>
        <w:t xml:space="preserve"> </w:t>
      </w:r>
      <w:r w:rsidRPr="00053F20">
        <w:rPr>
          <w:color w:val="auto"/>
          <w:szCs w:val="12"/>
          <w:lang w:val="en-AU"/>
        </w:rPr>
        <w:t>Household Income and Expenditure Survey, 2015</w:t>
      </w:r>
      <w:r>
        <w:rPr>
          <w:color w:val="auto"/>
          <w:szCs w:val="12"/>
          <w:lang w:val="en-AU"/>
        </w:rPr>
        <w:t>.</w:t>
      </w:r>
    </w:p>
  </w:footnote>
  <w:footnote w:id="5">
    <w:p w14:paraId="4CC7F9E5" w14:textId="77777777" w:rsidR="00C15D42" w:rsidRPr="00053F20" w:rsidRDefault="00C15D42" w:rsidP="00053F20">
      <w:pPr>
        <w:pStyle w:val="FootnoteText"/>
        <w:spacing w:before="0" w:line="240" w:lineRule="auto"/>
        <w:contextualSpacing/>
        <w:rPr>
          <w:szCs w:val="12"/>
          <w:lang w:val="en-AU"/>
        </w:rPr>
      </w:pPr>
      <w:r w:rsidRPr="00053F20">
        <w:rPr>
          <w:rStyle w:val="FootnoteReference"/>
          <w:szCs w:val="12"/>
        </w:rPr>
        <w:footnoteRef/>
      </w:r>
      <w:r>
        <w:rPr>
          <w:color w:val="auto"/>
          <w:szCs w:val="12"/>
        </w:rPr>
        <w:t xml:space="preserve"> </w:t>
      </w:r>
      <w:r w:rsidRPr="00053F20">
        <w:rPr>
          <w:color w:val="auto"/>
          <w:szCs w:val="12"/>
        </w:rPr>
        <w:t>PIFS, MDG Progress Reports - Asia and the Pacific, 2015, 86-9</w:t>
      </w:r>
      <w:r>
        <w:rPr>
          <w:color w:val="auto"/>
          <w:szCs w:val="12"/>
        </w:rPr>
        <w:t>.</w:t>
      </w:r>
    </w:p>
  </w:footnote>
  <w:footnote w:id="6">
    <w:p w14:paraId="2ECA97A4" w14:textId="77777777" w:rsidR="00C15D42" w:rsidRPr="00D74D42" w:rsidRDefault="00C15D42" w:rsidP="00053F20">
      <w:pPr>
        <w:spacing w:before="0" w:after="0" w:line="240" w:lineRule="auto"/>
        <w:contextualSpacing/>
        <w:rPr>
          <w:lang w:val="en-AU"/>
        </w:rPr>
      </w:pPr>
      <w:r w:rsidRPr="00053F20">
        <w:rPr>
          <w:rStyle w:val="FootnoteReference"/>
          <w:sz w:val="12"/>
          <w:szCs w:val="12"/>
        </w:rPr>
        <w:footnoteRef/>
      </w:r>
      <w:r>
        <w:rPr>
          <w:color w:val="auto"/>
          <w:sz w:val="12"/>
          <w:szCs w:val="12"/>
          <w:lang w:val="en-AU"/>
        </w:rPr>
        <w:t xml:space="preserve"> </w:t>
      </w:r>
      <w:r w:rsidRPr="00053F20">
        <w:rPr>
          <w:color w:val="auto"/>
          <w:sz w:val="12"/>
          <w:szCs w:val="12"/>
          <w:lang w:val="en-AU"/>
        </w:rPr>
        <w:t>Family Health and Safety Study: A study on violence against women and children 2009 Secretariat of the Pacific Community</w:t>
      </w:r>
      <w:r>
        <w:rPr>
          <w:color w:val="auto"/>
          <w:sz w:val="12"/>
          <w:szCs w:val="12"/>
          <w:lang w:val="en-AU"/>
        </w:rPr>
        <w:t>.</w:t>
      </w:r>
    </w:p>
  </w:footnote>
  <w:footnote w:id="7">
    <w:p w14:paraId="2D283310" w14:textId="43D9A555" w:rsidR="00C15D42" w:rsidRPr="00B34E04" w:rsidRDefault="00C15D42" w:rsidP="00B34E04">
      <w:pPr>
        <w:pStyle w:val="FootnoteText"/>
        <w:spacing w:before="0" w:line="240" w:lineRule="auto"/>
        <w:rPr>
          <w:rStyle w:val="FootnoteReference"/>
          <w:rFonts w:ascii="Verdana" w:hAnsi="Verdana"/>
        </w:rPr>
      </w:pPr>
      <w:r w:rsidRPr="00B34E04">
        <w:rPr>
          <w:rStyle w:val="FootnoteReference"/>
          <w:rFonts w:ascii="Verdana" w:hAnsi="Verdana"/>
        </w:rPr>
        <w:footnoteRef/>
      </w:r>
      <w:r w:rsidRPr="00B34E04">
        <w:rPr>
          <w:rStyle w:val="FootnoteReference"/>
          <w:rFonts w:ascii="Verdana" w:hAnsi="Verdana"/>
        </w:rPr>
        <w:t xml:space="preserve"> </w:t>
      </w:r>
      <w:r w:rsidR="00B34E04" w:rsidRPr="00B34E04">
        <w:rPr>
          <w:rFonts w:ascii="Verdana" w:hAnsi="Verdana"/>
        </w:rPr>
        <w:t xml:space="preserve">  </w:t>
      </w:r>
      <w:r w:rsidRPr="00B34E04">
        <w:rPr>
          <w:rStyle w:val="FootnoteReference"/>
          <w:rFonts w:ascii="Verdana" w:hAnsi="Verdana"/>
        </w:rPr>
        <w:t>Ministry of Development Planning and aid coordination, 2016.</w:t>
      </w:r>
    </w:p>
  </w:footnote>
  <w:footnote w:id="8">
    <w:p w14:paraId="7A3BC766" w14:textId="1533266B" w:rsidR="00C15D42" w:rsidRPr="00B34E04" w:rsidRDefault="00C15D42" w:rsidP="00B34E04">
      <w:pPr>
        <w:pStyle w:val="FootnoteText"/>
        <w:spacing w:before="0" w:line="240" w:lineRule="auto"/>
        <w:ind w:left="142" w:hanging="142"/>
        <w:rPr>
          <w:rFonts w:ascii="Verdana" w:hAnsi="Verdana"/>
        </w:rPr>
      </w:pPr>
      <w:r w:rsidRPr="00B34E04">
        <w:rPr>
          <w:rStyle w:val="FootnoteReference"/>
          <w:rFonts w:ascii="Verdana" w:hAnsi="Verdana"/>
        </w:rPr>
        <w:footnoteRef/>
      </w:r>
      <w:r w:rsidRPr="00B34E04">
        <w:rPr>
          <w:rStyle w:val="FootnoteReference"/>
          <w:rFonts w:ascii="Verdana" w:hAnsi="Verdana"/>
        </w:rPr>
        <w:t xml:space="preserve"> </w:t>
      </w:r>
      <w:r w:rsidR="00B34E04" w:rsidRPr="00B34E04">
        <w:rPr>
          <w:rFonts w:ascii="Verdana" w:hAnsi="Verdana"/>
        </w:rPr>
        <w:t xml:space="preserve"> </w:t>
      </w:r>
      <w:r w:rsidR="00B34E04">
        <w:rPr>
          <w:rFonts w:ascii="Verdana" w:hAnsi="Verdana"/>
        </w:rPr>
        <w:t xml:space="preserve"> </w:t>
      </w:r>
      <w:r w:rsidRPr="00B34E04">
        <w:rPr>
          <w:rStyle w:val="FootnoteReference"/>
          <w:rFonts w:ascii="Verdana" w:hAnsi="Verdana"/>
        </w:rPr>
        <w:t>ADB Private Sector Development Initiative (PSDI)“Private Sector Assessment of Solomon Islands 2016”. Solomon Islands GDP in calendar 2015 was approximately AUD$1,527,000,000 using an exchange rate of A$1.32 = US$1. ODA assistance by Australia in 2015/2016 was AUD$172,000,000. Therefore assistance amounted to the equivalent of 11per cent of GDP.</w:t>
      </w:r>
    </w:p>
    <w:p w14:paraId="3CCB885D" w14:textId="673B2209" w:rsidR="00B34E04" w:rsidRDefault="00B34E04" w:rsidP="00B34E04">
      <w:pPr>
        <w:pStyle w:val="FootnoteText"/>
        <w:spacing w:before="0" w:line="240" w:lineRule="auto"/>
      </w:pPr>
    </w:p>
    <w:p w14:paraId="6295B3B2" w14:textId="77777777" w:rsidR="00B34E04" w:rsidRPr="000265D4" w:rsidRDefault="00B34E04" w:rsidP="00B34E04">
      <w:pPr>
        <w:pStyle w:val="FootnoteText"/>
        <w:spacing w:before="0" w:line="240" w:lineRule="auto"/>
        <w:rPr>
          <w:lang w:val="en-AU"/>
        </w:rPr>
      </w:pPr>
    </w:p>
  </w:footnote>
  <w:footnote w:id="9">
    <w:p w14:paraId="625D850B" w14:textId="77777777" w:rsidR="00C15D42" w:rsidRPr="00053F20" w:rsidRDefault="00C15D42" w:rsidP="00D15A87">
      <w:pPr>
        <w:pStyle w:val="FootnoteText"/>
        <w:rPr>
          <w:szCs w:val="12"/>
          <w:lang w:val="en-AU"/>
        </w:rPr>
      </w:pPr>
      <w:r w:rsidRPr="00053F20">
        <w:rPr>
          <w:rStyle w:val="FootnoteReference"/>
          <w:szCs w:val="12"/>
        </w:rPr>
        <w:footnoteRef/>
      </w:r>
      <w:r w:rsidRPr="001D39A3">
        <w:rPr>
          <w:rStyle w:val="FootnoteReference"/>
          <w:szCs w:val="12"/>
        </w:rPr>
        <w:t xml:space="preserve"> </w:t>
      </w:r>
      <w:r w:rsidRPr="00053F20">
        <w:rPr>
          <w:szCs w:val="12"/>
        </w:rPr>
        <w:t xml:space="preserve">Solomon Islands Public Service Commission, Solomon Islands Public Sector Satisfaction Survey 2016. </w:t>
      </w:r>
      <w:hyperlink r:id="rId2" w:history="1">
        <w:r w:rsidRPr="003E4854">
          <w:rPr>
            <w:rStyle w:val="Hyperlink"/>
            <w:rFonts w:cstheme="minorBidi"/>
            <w:szCs w:val="12"/>
          </w:rPr>
          <w:t>http://espace.library.uq.edu.au/view/UQ:376530</w:t>
        </w:r>
      </w:hyperlink>
    </w:p>
  </w:footnote>
  <w:footnote w:id="10">
    <w:p w14:paraId="38C5F3E7" w14:textId="5EA7ABAC" w:rsidR="00C15D42" w:rsidRDefault="00C15D42" w:rsidP="00D15A87">
      <w:pPr>
        <w:pStyle w:val="FootnoteText"/>
        <w:rPr>
          <w:rStyle w:val="Hyperlink"/>
          <w:rFonts w:cstheme="minorBidi"/>
          <w:szCs w:val="12"/>
        </w:rPr>
      </w:pPr>
      <w:r w:rsidRPr="00053F20">
        <w:rPr>
          <w:rStyle w:val="FootnoteReference"/>
          <w:szCs w:val="12"/>
        </w:rPr>
        <w:footnoteRef/>
      </w:r>
      <w:r w:rsidRPr="001D39A3">
        <w:rPr>
          <w:rStyle w:val="FootnoteReference"/>
          <w:szCs w:val="12"/>
        </w:rPr>
        <w:t xml:space="preserve"> </w:t>
      </w:r>
      <w:r w:rsidRPr="00053F20">
        <w:rPr>
          <w:szCs w:val="12"/>
        </w:rPr>
        <w:t xml:space="preserve">Solomon Islands Public Service Commission, Solomon Islands Public Sector Satisfaction Survey 2016. </w:t>
      </w:r>
      <w:hyperlink r:id="rId3" w:history="1">
        <w:r w:rsidRPr="003E4854">
          <w:rPr>
            <w:rStyle w:val="Hyperlink"/>
            <w:rFonts w:cstheme="minorBidi"/>
            <w:szCs w:val="12"/>
          </w:rPr>
          <w:t>http://espace.library.uq.edu.au/view/UQ:376530</w:t>
        </w:r>
      </w:hyperlink>
    </w:p>
    <w:p w14:paraId="6171D4C0" w14:textId="66FBBFD6" w:rsidR="00B34E04" w:rsidRDefault="00B34E04" w:rsidP="00D15A87">
      <w:pPr>
        <w:pStyle w:val="FootnoteText"/>
        <w:rPr>
          <w:rStyle w:val="Hyperlink"/>
          <w:rFonts w:cstheme="minorBidi"/>
          <w:szCs w:val="12"/>
        </w:rPr>
      </w:pPr>
    </w:p>
    <w:p w14:paraId="62FB58C5" w14:textId="77777777" w:rsidR="00B34E04" w:rsidRPr="00BA5727" w:rsidRDefault="00B34E04" w:rsidP="00D15A8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0252" w14:textId="77777777" w:rsidR="00C15D42" w:rsidRPr="00333501" w:rsidRDefault="00C15D42" w:rsidP="008F56A8">
    <w:pPr>
      <w:pStyle w:val="Header"/>
      <w:jc w:val="left"/>
    </w:pPr>
    <w:r>
      <w:rPr>
        <w:noProof/>
        <w:lang w:val="en-AU" w:eastAsia="en-AU"/>
      </w:rPr>
      <w:drawing>
        <wp:anchor distT="0" distB="0" distL="114300" distR="114300" simplePos="0" relativeHeight="251681792" behindDoc="1" locked="1" layoutInCell="1" allowOverlap="1" wp14:anchorId="4148353C" wp14:editId="0A2F2082">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35D1" w14:textId="77777777" w:rsidR="00C15D42" w:rsidRDefault="00C15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B99C" w14:textId="77777777" w:rsidR="00C15D42" w:rsidRPr="00333501" w:rsidRDefault="00C15D42" w:rsidP="008F56A8">
    <w:pPr>
      <w:pStyle w:val="Header"/>
      <w:jc w:val="left"/>
    </w:pPr>
    <w:r>
      <w:rPr>
        <w:noProof/>
        <w:lang w:val="en-AU" w:eastAsia="en-AU"/>
      </w:rPr>
      <w:drawing>
        <wp:anchor distT="0" distB="0" distL="114300" distR="114300" simplePos="0" relativeHeight="251697152" behindDoc="1" locked="1" layoutInCell="1" allowOverlap="1" wp14:anchorId="4CFEC94F" wp14:editId="657DAA5F">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29A5" w14:textId="77777777" w:rsidR="00C15D42" w:rsidRPr="003D352D" w:rsidRDefault="00C15D42" w:rsidP="003D352D">
    <w:pPr>
      <w:pStyle w:val="Header"/>
      <w:jc w:val="left"/>
    </w:pPr>
    <w:r>
      <w:rPr>
        <w:noProof/>
        <w:lang w:val="en-AU" w:eastAsia="en-AU"/>
      </w:rPr>
      <w:drawing>
        <wp:anchor distT="0" distB="0" distL="114300" distR="114300" simplePos="0" relativeHeight="251695104" behindDoc="1" locked="1" layoutInCell="1" allowOverlap="1" wp14:anchorId="20FDF414" wp14:editId="49895684">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91DA" w14:textId="77777777" w:rsidR="00C15D42" w:rsidRPr="00333501" w:rsidRDefault="00C15D42" w:rsidP="008F56A8">
    <w:pPr>
      <w:pStyle w:val="Header"/>
      <w:jc w:val="left"/>
    </w:pPr>
    <w:r>
      <w:rPr>
        <w:noProof/>
        <w:lang w:val="en-AU" w:eastAsia="en-AU"/>
      </w:rPr>
      <w:drawing>
        <wp:anchor distT="0" distB="0" distL="114300" distR="114300" simplePos="0" relativeHeight="251683840" behindDoc="1" locked="1" layoutInCell="1" allowOverlap="1" wp14:anchorId="6E556CB3" wp14:editId="5E380BB5">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01D96"/>
    <w:multiLevelType w:val="hybridMultilevel"/>
    <w:tmpl w:val="CFAE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993163"/>
    <w:multiLevelType w:val="hybridMultilevel"/>
    <w:tmpl w:val="BB369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7D0954"/>
    <w:multiLevelType w:val="hybridMultilevel"/>
    <w:tmpl w:val="F58239F6"/>
    <w:lvl w:ilvl="0" w:tplc="0E5A05A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CB3036"/>
    <w:multiLevelType w:val="hybridMultilevel"/>
    <w:tmpl w:val="A8E60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9D0228"/>
    <w:multiLevelType w:val="hybridMultilevel"/>
    <w:tmpl w:val="AE3E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5335E94"/>
    <w:multiLevelType w:val="hybridMultilevel"/>
    <w:tmpl w:val="3B84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E70672"/>
    <w:multiLevelType w:val="hybridMultilevel"/>
    <w:tmpl w:val="F4A2AF40"/>
    <w:lvl w:ilvl="0" w:tplc="33EC71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A7DA4"/>
    <w:multiLevelType w:val="hybridMultilevel"/>
    <w:tmpl w:val="216A36B8"/>
    <w:lvl w:ilvl="0" w:tplc="AA68E08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CB13D7"/>
    <w:multiLevelType w:val="hybridMultilevel"/>
    <w:tmpl w:val="2DBE5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9961A1"/>
    <w:multiLevelType w:val="hybridMultilevel"/>
    <w:tmpl w:val="3FB6A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8387F09"/>
    <w:multiLevelType w:val="hybridMultilevel"/>
    <w:tmpl w:val="A5926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AE20ED"/>
    <w:multiLevelType w:val="hybridMultilevel"/>
    <w:tmpl w:val="5816D158"/>
    <w:lvl w:ilvl="0" w:tplc="FCCE055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956880"/>
    <w:multiLevelType w:val="hybridMultilevel"/>
    <w:tmpl w:val="A2D08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891C2A"/>
    <w:multiLevelType w:val="hybridMultilevel"/>
    <w:tmpl w:val="73C6E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9"/>
  </w:num>
  <w:num w:numId="23">
    <w:abstractNumId w:val="19"/>
  </w:num>
  <w:num w:numId="24">
    <w:abstractNumId w:val="28"/>
  </w:num>
  <w:num w:numId="25">
    <w:abstractNumId w:val="28"/>
  </w:num>
  <w:num w:numId="26">
    <w:abstractNumId w:val="28"/>
  </w:num>
  <w:num w:numId="27">
    <w:abstractNumId w:val="27"/>
  </w:num>
  <w:num w:numId="28">
    <w:abstractNumId w:val="12"/>
  </w:num>
  <w:num w:numId="29">
    <w:abstractNumId w:val="12"/>
  </w:num>
  <w:num w:numId="30">
    <w:abstractNumId w:val="12"/>
  </w:num>
  <w:num w:numId="31">
    <w:abstractNumId w:val="20"/>
  </w:num>
  <w:num w:numId="32">
    <w:abstractNumId w:val="25"/>
  </w:num>
  <w:num w:numId="33">
    <w:abstractNumId w:val="34"/>
  </w:num>
  <w:num w:numId="34">
    <w:abstractNumId w:val="22"/>
  </w:num>
  <w:num w:numId="35">
    <w:abstractNumId w:val="17"/>
  </w:num>
  <w:num w:numId="36">
    <w:abstractNumId w:val="18"/>
  </w:num>
  <w:num w:numId="37">
    <w:abstractNumId w:val="10"/>
  </w:num>
  <w:num w:numId="38">
    <w:abstractNumId w:val="15"/>
  </w:num>
  <w:num w:numId="39">
    <w:abstractNumId w:val="35"/>
  </w:num>
  <w:num w:numId="40">
    <w:abstractNumId w:val="16"/>
  </w:num>
  <w:num w:numId="41">
    <w:abstractNumId w:val="32"/>
  </w:num>
  <w:num w:numId="42">
    <w:abstractNumId w:val="23"/>
  </w:num>
  <w:num w:numId="43">
    <w:abstractNumId w:val="26"/>
  </w:num>
  <w:num w:numId="44">
    <w:abstractNumId w:val="30"/>
  </w:num>
  <w:num w:numId="45">
    <w:abstractNumId w:val="24"/>
  </w:num>
  <w:num w:numId="46">
    <w:abstractNumId w:val="11"/>
  </w:num>
  <w:num w:numId="47">
    <w:abstractNumId w:val="14"/>
  </w:num>
  <w:num w:numId="48">
    <w:abstractNumId w:val="21"/>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04D"/>
    <w:rsid w:val="00000FF5"/>
    <w:rsid w:val="00001DA8"/>
    <w:rsid w:val="0000354B"/>
    <w:rsid w:val="00004FBB"/>
    <w:rsid w:val="000055D8"/>
    <w:rsid w:val="000142B9"/>
    <w:rsid w:val="00015316"/>
    <w:rsid w:val="00016ED9"/>
    <w:rsid w:val="0002080A"/>
    <w:rsid w:val="000217A2"/>
    <w:rsid w:val="00024ADA"/>
    <w:rsid w:val="000265D4"/>
    <w:rsid w:val="00026F8E"/>
    <w:rsid w:val="0002782F"/>
    <w:rsid w:val="00027A30"/>
    <w:rsid w:val="00031512"/>
    <w:rsid w:val="00031536"/>
    <w:rsid w:val="000319C0"/>
    <w:rsid w:val="00036506"/>
    <w:rsid w:val="00037E2C"/>
    <w:rsid w:val="000441D9"/>
    <w:rsid w:val="0004547C"/>
    <w:rsid w:val="00045544"/>
    <w:rsid w:val="000470A8"/>
    <w:rsid w:val="000532E0"/>
    <w:rsid w:val="00053B19"/>
    <w:rsid w:val="00053F20"/>
    <w:rsid w:val="000540D3"/>
    <w:rsid w:val="00054E4D"/>
    <w:rsid w:val="00060073"/>
    <w:rsid w:val="00060268"/>
    <w:rsid w:val="00060BAA"/>
    <w:rsid w:val="00060FD4"/>
    <w:rsid w:val="00062F30"/>
    <w:rsid w:val="00063491"/>
    <w:rsid w:val="000634C8"/>
    <w:rsid w:val="00063B2A"/>
    <w:rsid w:val="00063B30"/>
    <w:rsid w:val="00064423"/>
    <w:rsid w:val="00064762"/>
    <w:rsid w:val="000656ED"/>
    <w:rsid w:val="00065998"/>
    <w:rsid w:val="00070263"/>
    <w:rsid w:val="00070361"/>
    <w:rsid w:val="00070D0C"/>
    <w:rsid w:val="00074526"/>
    <w:rsid w:val="000775B7"/>
    <w:rsid w:val="00084483"/>
    <w:rsid w:val="00085157"/>
    <w:rsid w:val="00085545"/>
    <w:rsid w:val="00085BE3"/>
    <w:rsid w:val="00090E4F"/>
    <w:rsid w:val="0009633B"/>
    <w:rsid w:val="00096D60"/>
    <w:rsid w:val="000A2A43"/>
    <w:rsid w:val="000A4ABA"/>
    <w:rsid w:val="000A55B7"/>
    <w:rsid w:val="000A5BB3"/>
    <w:rsid w:val="000B7C62"/>
    <w:rsid w:val="000C14EE"/>
    <w:rsid w:val="000C17A6"/>
    <w:rsid w:val="000D0DEC"/>
    <w:rsid w:val="000D1FFE"/>
    <w:rsid w:val="000D53DB"/>
    <w:rsid w:val="000D66D6"/>
    <w:rsid w:val="000E314A"/>
    <w:rsid w:val="000E5078"/>
    <w:rsid w:val="000E5412"/>
    <w:rsid w:val="000E7AA7"/>
    <w:rsid w:val="000F090D"/>
    <w:rsid w:val="000F77A4"/>
    <w:rsid w:val="00101819"/>
    <w:rsid w:val="00105666"/>
    <w:rsid w:val="00107D59"/>
    <w:rsid w:val="00122FAD"/>
    <w:rsid w:val="001267BD"/>
    <w:rsid w:val="00130261"/>
    <w:rsid w:val="00131528"/>
    <w:rsid w:val="001315A1"/>
    <w:rsid w:val="001342B2"/>
    <w:rsid w:val="001351AD"/>
    <w:rsid w:val="00137860"/>
    <w:rsid w:val="00137F75"/>
    <w:rsid w:val="00143E7A"/>
    <w:rsid w:val="00150900"/>
    <w:rsid w:val="00151BC8"/>
    <w:rsid w:val="00153DC6"/>
    <w:rsid w:val="001541EA"/>
    <w:rsid w:val="00163AEE"/>
    <w:rsid w:val="00164DFC"/>
    <w:rsid w:val="0016553D"/>
    <w:rsid w:val="00167455"/>
    <w:rsid w:val="00170BA6"/>
    <w:rsid w:val="0017419F"/>
    <w:rsid w:val="001749DE"/>
    <w:rsid w:val="00185D0E"/>
    <w:rsid w:val="0019125F"/>
    <w:rsid w:val="00193BFD"/>
    <w:rsid w:val="001A1BC4"/>
    <w:rsid w:val="001A6E1E"/>
    <w:rsid w:val="001B1C9B"/>
    <w:rsid w:val="001B2A2E"/>
    <w:rsid w:val="001B4B84"/>
    <w:rsid w:val="001B5373"/>
    <w:rsid w:val="001B75CF"/>
    <w:rsid w:val="001C294C"/>
    <w:rsid w:val="001C35C1"/>
    <w:rsid w:val="001C3D30"/>
    <w:rsid w:val="001C67AF"/>
    <w:rsid w:val="001C6C22"/>
    <w:rsid w:val="001D39A3"/>
    <w:rsid w:val="001D663E"/>
    <w:rsid w:val="001D75DB"/>
    <w:rsid w:val="001E1DC0"/>
    <w:rsid w:val="001F21E4"/>
    <w:rsid w:val="001F51EC"/>
    <w:rsid w:val="001F5876"/>
    <w:rsid w:val="001F6B15"/>
    <w:rsid w:val="001F744D"/>
    <w:rsid w:val="00200A77"/>
    <w:rsid w:val="00201173"/>
    <w:rsid w:val="00205D52"/>
    <w:rsid w:val="0021551A"/>
    <w:rsid w:val="00216770"/>
    <w:rsid w:val="002224FF"/>
    <w:rsid w:val="002233CD"/>
    <w:rsid w:val="0023096B"/>
    <w:rsid w:val="00234423"/>
    <w:rsid w:val="00234557"/>
    <w:rsid w:val="00234AE7"/>
    <w:rsid w:val="0023574D"/>
    <w:rsid w:val="00235E7B"/>
    <w:rsid w:val="00236A53"/>
    <w:rsid w:val="00247248"/>
    <w:rsid w:val="00251C1A"/>
    <w:rsid w:val="00252A24"/>
    <w:rsid w:val="002531CC"/>
    <w:rsid w:val="00256E08"/>
    <w:rsid w:val="0026365F"/>
    <w:rsid w:val="00265068"/>
    <w:rsid w:val="00273EDA"/>
    <w:rsid w:val="00275162"/>
    <w:rsid w:val="00275DB7"/>
    <w:rsid w:val="002765AF"/>
    <w:rsid w:val="00276C66"/>
    <w:rsid w:val="00277A65"/>
    <w:rsid w:val="0028036E"/>
    <w:rsid w:val="002821D0"/>
    <w:rsid w:val="002848CA"/>
    <w:rsid w:val="00284957"/>
    <w:rsid w:val="00284A18"/>
    <w:rsid w:val="00284BFA"/>
    <w:rsid w:val="0028505D"/>
    <w:rsid w:val="0028602A"/>
    <w:rsid w:val="00286302"/>
    <w:rsid w:val="00286867"/>
    <w:rsid w:val="00291786"/>
    <w:rsid w:val="00293742"/>
    <w:rsid w:val="00296E90"/>
    <w:rsid w:val="002A40C3"/>
    <w:rsid w:val="002A44CF"/>
    <w:rsid w:val="002A51CA"/>
    <w:rsid w:val="002A530B"/>
    <w:rsid w:val="002A5B67"/>
    <w:rsid w:val="002A5F09"/>
    <w:rsid w:val="002A78DA"/>
    <w:rsid w:val="002B1746"/>
    <w:rsid w:val="002B1D16"/>
    <w:rsid w:val="002B2BE0"/>
    <w:rsid w:val="002B3E95"/>
    <w:rsid w:val="002B5E10"/>
    <w:rsid w:val="002B68EA"/>
    <w:rsid w:val="002C079A"/>
    <w:rsid w:val="002C1B62"/>
    <w:rsid w:val="002C1E44"/>
    <w:rsid w:val="002C209E"/>
    <w:rsid w:val="002C260C"/>
    <w:rsid w:val="002C5FB1"/>
    <w:rsid w:val="002D750D"/>
    <w:rsid w:val="002F22EE"/>
    <w:rsid w:val="002F4B23"/>
    <w:rsid w:val="002F4D18"/>
    <w:rsid w:val="002F55A2"/>
    <w:rsid w:val="002F6A63"/>
    <w:rsid w:val="002F7584"/>
    <w:rsid w:val="003002C0"/>
    <w:rsid w:val="00300E2E"/>
    <w:rsid w:val="00301144"/>
    <w:rsid w:val="003026EA"/>
    <w:rsid w:val="0030308F"/>
    <w:rsid w:val="003031E7"/>
    <w:rsid w:val="003053F4"/>
    <w:rsid w:val="0030570F"/>
    <w:rsid w:val="00311CD9"/>
    <w:rsid w:val="003148B7"/>
    <w:rsid w:val="003158C3"/>
    <w:rsid w:val="00320F65"/>
    <w:rsid w:val="003247B4"/>
    <w:rsid w:val="003268B2"/>
    <w:rsid w:val="003274CD"/>
    <w:rsid w:val="003319E8"/>
    <w:rsid w:val="00331D19"/>
    <w:rsid w:val="00332246"/>
    <w:rsid w:val="0033254E"/>
    <w:rsid w:val="00333501"/>
    <w:rsid w:val="00333BF2"/>
    <w:rsid w:val="0033580B"/>
    <w:rsid w:val="00335968"/>
    <w:rsid w:val="0033678E"/>
    <w:rsid w:val="00344595"/>
    <w:rsid w:val="003457C4"/>
    <w:rsid w:val="0035119D"/>
    <w:rsid w:val="0035150B"/>
    <w:rsid w:val="00355BF1"/>
    <w:rsid w:val="0035690E"/>
    <w:rsid w:val="00361C64"/>
    <w:rsid w:val="00363CDB"/>
    <w:rsid w:val="00364008"/>
    <w:rsid w:val="00364401"/>
    <w:rsid w:val="00366428"/>
    <w:rsid w:val="00372C9F"/>
    <w:rsid w:val="0037374D"/>
    <w:rsid w:val="003808E0"/>
    <w:rsid w:val="00380C21"/>
    <w:rsid w:val="00381504"/>
    <w:rsid w:val="0039020E"/>
    <w:rsid w:val="003915A2"/>
    <w:rsid w:val="00393392"/>
    <w:rsid w:val="003940A9"/>
    <w:rsid w:val="00395E7A"/>
    <w:rsid w:val="003A053B"/>
    <w:rsid w:val="003A57B0"/>
    <w:rsid w:val="003A6ED4"/>
    <w:rsid w:val="003B0793"/>
    <w:rsid w:val="003B2D5F"/>
    <w:rsid w:val="003B4171"/>
    <w:rsid w:val="003B4F12"/>
    <w:rsid w:val="003C0FBA"/>
    <w:rsid w:val="003C1123"/>
    <w:rsid w:val="003C595A"/>
    <w:rsid w:val="003D0641"/>
    <w:rsid w:val="003D0ECF"/>
    <w:rsid w:val="003D2E1B"/>
    <w:rsid w:val="003D352D"/>
    <w:rsid w:val="003D6060"/>
    <w:rsid w:val="003D6BFE"/>
    <w:rsid w:val="003D7143"/>
    <w:rsid w:val="003D78B9"/>
    <w:rsid w:val="003E0637"/>
    <w:rsid w:val="003E6710"/>
    <w:rsid w:val="003F199A"/>
    <w:rsid w:val="003F5FE2"/>
    <w:rsid w:val="00400B0F"/>
    <w:rsid w:val="00402ACC"/>
    <w:rsid w:val="00402F1D"/>
    <w:rsid w:val="004044AC"/>
    <w:rsid w:val="00404544"/>
    <w:rsid w:val="0040641E"/>
    <w:rsid w:val="004069C6"/>
    <w:rsid w:val="004071D5"/>
    <w:rsid w:val="00411C0A"/>
    <w:rsid w:val="00411DC1"/>
    <w:rsid w:val="004120EC"/>
    <w:rsid w:val="00414A4D"/>
    <w:rsid w:val="00415A28"/>
    <w:rsid w:val="00417489"/>
    <w:rsid w:val="00421BF3"/>
    <w:rsid w:val="00422112"/>
    <w:rsid w:val="00423F31"/>
    <w:rsid w:val="00431760"/>
    <w:rsid w:val="00431899"/>
    <w:rsid w:val="0044241C"/>
    <w:rsid w:val="00447D3B"/>
    <w:rsid w:val="00450223"/>
    <w:rsid w:val="0045399D"/>
    <w:rsid w:val="004571B5"/>
    <w:rsid w:val="00457FD7"/>
    <w:rsid w:val="00461295"/>
    <w:rsid w:val="00463137"/>
    <w:rsid w:val="004634F9"/>
    <w:rsid w:val="00465172"/>
    <w:rsid w:val="00474565"/>
    <w:rsid w:val="00475425"/>
    <w:rsid w:val="00477BA4"/>
    <w:rsid w:val="0048348F"/>
    <w:rsid w:val="00486804"/>
    <w:rsid w:val="00486CAE"/>
    <w:rsid w:val="00487156"/>
    <w:rsid w:val="00487C2A"/>
    <w:rsid w:val="00491AA2"/>
    <w:rsid w:val="00496C5D"/>
    <w:rsid w:val="00496EE9"/>
    <w:rsid w:val="004977A1"/>
    <w:rsid w:val="004979D7"/>
    <w:rsid w:val="004A2314"/>
    <w:rsid w:val="004A2B04"/>
    <w:rsid w:val="004A4FDA"/>
    <w:rsid w:val="004A7494"/>
    <w:rsid w:val="004B07FF"/>
    <w:rsid w:val="004B22AD"/>
    <w:rsid w:val="004B3775"/>
    <w:rsid w:val="004B3AD1"/>
    <w:rsid w:val="004B553C"/>
    <w:rsid w:val="004B66AF"/>
    <w:rsid w:val="004B7150"/>
    <w:rsid w:val="004C5811"/>
    <w:rsid w:val="004D0BA0"/>
    <w:rsid w:val="004D2617"/>
    <w:rsid w:val="004D4740"/>
    <w:rsid w:val="004D709F"/>
    <w:rsid w:val="004E0264"/>
    <w:rsid w:val="004E058F"/>
    <w:rsid w:val="004E099E"/>
    <w:rsid w:val="004E1632"/>
    <w:rsid w:val="004E194F"/>
    <w:rsid w:val="004E3731"/>
    <w:rsid w:val="004E3B87"/>
    <w:rsid w:val="004F410B"/>
    <w:rsid w:val="004F6E55"/>
    <w:rsid w:val="00500DEB"/>
    <w:rsid w:val="0050372C"/>
    <w:rsid w:val="00503828"/>
    <w:rsid w:val="00510921"/>
    <w:rsid w:val="00510AD3"/>
    <w:rsid w:val="0051212B"/>
    <w:rsid w:val="00513348"/>
    <w:rsid w:val="0052092A"/>
    <w:rsid w:val="00520AAB"/>
    <w:rsid w:val="00520C03"/>
    <w:rsid w:val="00522521"/>
    <w:rsid w:val="0052380A"/>
    <w:rsid w:val="005247F7"/>
    <w:rsid w:val="005266E6"/>
    <w:rsid w:val="00526A3B"/>
    <w:rsid w:val="00531942"/>
    <w:rsid w:val="00532E9C"/>
    <w:rsid w:val="00533B5D"/>
    <w:rsid w:val="0053424A"/>
    <w:rsid w:val="0053502B"/>
    <w:rsid w:val="00537875"/>
    <w:rsid w:val="00540281"/>
    <w:rsid w:val="00541F31"/>
    <w:rsid w:val="00544F69"/>
    <w:rsid w:val="00547517"/>
    <w:rsid w:val="005511BF"/>
    <w:rsid w:val="00555DA8"/>
    <w:rsid w:val="00556E45"/>
    <w:rsid w:val="00563B30"/>
    <w:rsid w:val="005646A9"/>
    <w:rsid w:val="005652D6"/>
    <w:rsid w:val="0057429F"/>
    <w:rsid w:val="005742F7"/>
    <w:rsid w:val="0057736F"/>
    <w:rsid w:val="00584D90"/>
    <w:rsid w:val="00590BE8"/>
    <w:rsid w:val="00591069"/>
    <w:rsid w:val="0059146A"/>
    <w:rsid w:val="005932E6"/>
    <w:rsid w:val="00594119"/>
    <w:rsid w:val="005955F6"/>
    <w:rsid w:val="005A1A01"/>
    <w:rsid w:val="005A2DD0"/>
    <w:rsid w:val="005A5650"/>
    <w:rsid w:val="005A5AB9"/>
    <w:rsid w:val="005A7A08"/>
    <w:rsid w:val="005B2E07"/>
    <w:rsid w:val="005B5769"/>
    <w:rsid w:val="005B7B53"/>
    <w:rsid w:val="005B7F03"/>
    <w:rsid w:val="005C0B67"/>
    <w:rsid w:val="005C1C83"/>
    <w:rsid w:val="005C436B"/>
    <w:rsid w:val="005C5FFB"/>
    <w:rsid w:val="005C7C84"/>
    <w:rsid w:val="005D3655"/>
    <w:rsid w:val="005D7323"/>
    <w:rsid w:val="005E036E"/>
    <w:rsid w:val="005E3028"/>
    <w:rsid w:val="005E606B"/>
    <w:rsid w:val="005F1651"/>
    <w:rsid w:val="005F41DD"/>
    <w:rsid w:val="005F5FEE"/>
    <w:rsid w:val="0060141E"/>
    <w:rsid w:val="00604DF0"/>
    <w:rsid w:val="00607987"/>
    <w:rsid w:val="0061211E"/>
    <w:rsid w:val="00613396"/>
    <w:rsid w:val="00613BD3"/>
    <w:rsid w:val="00615A5B"/>
    <w:rsid w:val="00622D83"/>
    <w:rsid w:val="006232D5"/>
    <w:rsid w:val="00623BA1"/>
    <w:rsid w:val="00627161"/>
    <w:rsid w:val="0063018B"/>
    <w:rsid w:val="00633956"/>
    <w:rsid w:val="006346BC"/>
    <w:rsid w:val="006401EB"/>
    <w:rsid w:val="006429CA"/>
    <w:rsid w:val="0064627C"/>
    <w:rsid w:val="00650C03"/>
    <w:rsid w:val="006549A6"/>
    <w:rsid w:val="006552FA"/>
    <w:rsid w:val="00662F4A"/>
    <w:rsid w:val="00663A87"/>
    <w:rsid w:val="006653F2"/>
    <w:rsid w:val="006656FC"/>
    <w:rsid w:val="006659DB"/>
    <w:rsid w:val="0066652A"/>
    <w:rsid w:val="00671920"/>
    <w:rsid w:val="006722E1"/>
    <w:rsid w:val="006730D7"/>
    <w:rsid w:val="00673BD5"/>
    <w:rsid w:val="006742FF"/>
    <w:rsid w:val="006754EE"/>
    <w:rsid w:val="00675DD7"/>
    <w:rsid w:val="00677B67"/>
    <w:rsid w:val="00680522"/>
    <w:rsid w:val="0068199C"/>
    <w:rsid w:val="00681F08"/>
    <w:rsid w:val="00682167"/>
    <w:rsid w:val="0068359D"/>
    <w:rsid w:val="00683FA7"/>
    <w:rsid w:val="006842CD"/>
    <w:rsid w:val="00685F52"/>
    <w:rsid w:val="0068605E"/>
    <w:rsid w:val="00686EFD"/>
    <w:rsid w:val="00687D4A"/>
    <w:rsid w:val="00696037"/>
    <w:rsid w:val="006A281D"/>
    <w:rsid w:val="006A3649"/>
    <w:rsid w:val="006A710F"/>
    <w:rsid w:val="006A7382"/>
    <w:rsid w:val="006B40BD"/>
    <w:rsid w:val="006B58B1"/>
    <w:rsid w:val="006B7EC8"/>
    <w:rsid w:val="006C2E33"/>
    <w:rsid w:val="006C3174"/>
    <w:rsid w:val="006C42AF"/>
    <w:rsid w:val="006C468A"/>
    <w:rsid w:val="006C6FAE"/>
    <w:rsid w:val="006D0F38"/>
    <w:rsid w:val="006D11E4"/>
    <w:rsid w:val="006D143B"/>
    <w:rsid w:val="006D1CAA"/>
    <w:rsid w:val="006D1FD5"/>
    <w:rsid w:val="006D3352"/>
    <w:rsid w:val="006E0317"/>
    <w:rsid w:val="006E0AF7"/>
    <w:rsid w:val="006E497C"/>
    <w:rsid w:val="006E512F"/>
    <w:rsid w:val="006E5AEB"/>
    <w:rsid w:val="006E7DCD"/>
    <w:rsid w:val="006F05B7"/>
    <w:rsid w:val="006F27B1"/>
    <w:rsid w:val="006F2E98"/>
    <w:rsid w:val="006F674E"/>
    <w:rsid w:val="006F743F"/>
    <w:rsid w:val="00701CDE"/>
    <w:rsid w:val="00705401"/>
    <w:rsid w:val="007076A8"/>
    <w:rsid w:val="00711D8E"/>
    <w:rsid w:val="00712672"/>
    <w:rsid w:val="007166BD"/>
    <w:rsid w:val="00720250"/>
    <w:rsid w:val="0072074B"/>
    <w:rsid w:val="007215AA"/>
    <w:rsid w:val="00722364"/>
    <w:rsid w:val="007252FF"/>
    <w:rsid w:val="00726369"/>
    <w:rsid w:val="00726C09"/>
    <w:rsid w:val="007314C3"/>
    <w:rsid w:val="007316C6"/>
    <w:rsid w:val="00731B5B"/>
    <w:rsid w:val="00734E3F"/>
    <w:rsid w:val="007365A3"/>
    <w:rsid w:val="00736985"/>
    <w:rsid w:val="00740354"/>
    <w:rsid w:val="007426F6"/>
    <w:rsid w:val="00744A6A"/>
    <w:rsid w:val="00745DF5"/>
    <w:rsid w:val="0074698B"/>
    <w:rsid w:val="00746BB5"/>
    <w:rsid w:val="00746CEB"/>
    <w:rsid w:val="00747D51"/>
    <w:rsid w:val="007565AD"/>
    <w:rsid w:val="00756706"/>
    <w:rsid w:val="007574FD"/>
    <w:rsid w:val="0076019A"/>
    <w:rsid w:val="0076250F"/>
    <w:rsid w:val="00764249"/>
    <w:rsid w:val="0076426B"/>
    <w:rsid w:val="00764F57"/>
    <w:rsid w:val="00771137"/>
    <w:rsid w:val="00771B53"/>
    <w:rsid w:val="00772E60"/>
    <w:rsid w:val="007743B9"/>
    <w:rsid w:val="007744F0"/>
    <w:rsid w:val="00774B22"/>
    <w:rsid w:val="007766F1"/>
    <w:rsid w:val="00776DB0"/>
    <w:rsid w:val="00776E22"/>
    <w:rsid w:val="00784031"/>
    <w:rsid w:val="007840A2"/>
    <w:rsid w:val="00784A3E"/>
    <w:rsid w:val="0078696C"/>
    <w:rsid w:val="00790AA9"/>
    <w:rsid w:val="00791E1B"/>
    <w:rsid w:val="00792124"/>
    <w:rsid w:val="00794B7D"/>
    <w:rsid w:val="007A1FA1"/>
    <w:rsid w:val="007A421D"/>
    <w:rsid w:val="007A45C9"/>
    <w:rsid w:val="007B48FF"/>
    <w:rsid w:val="007B6200"/>
    <w:rsid w:val="007C553C"/>
    <w:rsid w:val="007C7BBA"/>
    <w:rsid w:val="007D22FC"/>
    <w:rsid w:val="007D2627"/>
    <w:rsid w:val="007D27CE"/>
    <w:rsid w:val="007D5768"/>
    <w:rsid w:val="007D6B66"/>
    <w:rsid w:val="007F168C"/>
    <w:rsid w:val="007F2B13"/>
    <w:rsid w:val="007F3395"/>
    <w:rsid w:val="007F5EE7"/>
    <w:rsid w:val="007F73A7"/>
    <w:rsid w:val="007F7892"/>
    <w:rsid w:val="007F7F8A"/>
    <w:rsid w:val="00801AED"/>
    <w:rsid w:val="00801B9F"/>
    <w:rsid w:val="00803743"/>
    <w:rsid w:val="00803E37"/>
    <w:rsid w:val="008048B5"/>
    <w:rsid w:val="008057FD"/>
    <w:rsid w:val="00807827"/>
    <w:rsid w:val="00810F28"/>
    <w:rsid w:val="0081294E"/>
    <w:rsid w:val="00820A15"/>
    <w:rsid w:val="00821247"/>
    <w:rsid w:val="00822750"/>
    <w:rsid w:val="00823159"/>
    <w:rsid w:val="00824810"/>
    <w:rsid w:val="00824F04"/>
    <w:rsid w:val="00826AFF"/>
    <w:rsid w:val="00827AC5"/>
    <w:rsid w:val="00836F18"/>
    <w:rsid w:val="00837CDD"/>
    <w:rsid w:val="00844408"/>
    <w:rsid w:val="00846CEC"/>
    <w:rsid w:val="00847323"/>
    <w:rsid w:val="008475F0"/>
    <w:rsid w:val="00850453"/>
    <w:rsid w:val="00850946"/>
    <w:rsid w:val="008515DB"/>
    <w:rsid w:val="00852F22"/>
    <w:rsid w:val="008562E5"/>
    <w:rsid w:val="008567C0"/>
    <w:rsid w:val="00861504"/>
    <w:rsid w:val="00861D6B"/>
    <w:rsid w:val="00864210"/>
    <w:rsid w:val="00866B4C"/>
    <w:rsid w:val="00866DD9"/>
    <w:rsid w:val="00867434"/>
    <w:rsid w:val="00870626"/>
    <w:rsid w:val="008747E6"/>
    <w:rsid w:val="00874F0D"/>
    <w:rsid w:val="00874F18"/>
    <w:rsid w:val="0087531C"/>
    <w:rsid w:val="008802F2"/>
    <w:rsid w:val="00886BDA"/>
    <w:rsid w:val="0088758D"/>
    <w:rsid w:val="008906C9"/>
    <w:rsid w:val="00891719"/>
    <w:rsid w:val="00891E58"/>
    <w:rsid w:val="00893AE1"/>
    <w:rsid w:val="00893F48"/>
    <w:rsid w:val="008A0DB4"/>
    <w:rsid w:val="008A3BCB"/>
    <w:rsid w:val="008A5AFE"/>
    <w:rsid w:val="008A7347"/>
    <w:rsid w:val="008A740E"/>
    <w:rsid w:val="008B003F"/>
    <w:rsid w:val="008B0498"/>
    <w:rsid w:val="008B08AA"/>
    <w:rsid w:val="008B3BA8"/>
    <w:rsid w:val="008B68D7"/>
    <w:rsid w:val="008B6FC5"/>
    <w:rsid w:val="008C1709"/>
    <w:rsid w:val="008C26E5"/>
    <w:rsid w:val="008C2EBB"/>
    <w:rsid w:val="008C2F58"/>
    <w:rsid w:val="008C5A0E"/>
    <w:rsid w:val="008D0EFA"/>
    <w:rsid w:val="008D1339"/>
    <w:rsid w:val="008D2FEB"/>
    <w:rsid w:val="008D607D"/>
    <w:rsid w:val="008E7684"/>
    <w:rsid w:val="008F52FC"/>
    <w:rsid w:val="008F56A8"/>
    <w:rsid w:val="00901824"/>
    <w:rsid w:val="009034D5"/>
    <w:rsid w:val="009060AE"/>
    <w:rsid w:val="00913963"/>
    <w:rsid w:val="009227DE"/>
    <w:rsid w:val="00925F4F"/>
    <w:rsid w:val="009260DE"/>
    <w:rsid w:val="00926ADC"/>
    <w:rsid w:val="00930221"/>
    <w:rsid w:val="00934206"/>
    <w:rsid w:val="009348C3"/>
    <w:rsid w:val="00941EE0"/>
    <w:rsid w:val="009428F2"/>
    <w:rsid w:val="00942AED"/>
    <w:rsid w:val="00951329"/>
    <w:rsid w:val="00952C1A"/>
    <w:rsid w:val="00953170"/>
    <w:rsid w:val="009556C4"/>
    <w:rsid w:val="0095588C"/>
    <w:rsid w:val="0095630A"/>
    <w:rsid w:val="0095660D"/>
    <w:rsid w:val="00962FD3"/>
    <w:rsid w:val="009668AB"/>
    <w:rsid w:val="009679FF"/>
    <w:rsid w:val="00975062"/>
    <w:rsid w:val="0097799A"/>
    <w:rsid w:val="00980657"/>
    <w:rsid w:val="0098067D"/>
    <w:rsid w:val="0098148F"/>
    <w:rsid w:val="00983CF0"/>
    <w:rsid w:val="00986789"/>
    <w:rsid w:val="009903F3"/>
    <w:rsid w:val="00990FF4"/>
    <w:rsid w:val="00991333"/>
    <w:rsid w:val="00992C76"/>
    <w:rsid w:val="009A2FE1"/>
    <w:rsid w:val="009A38CC"/>
    <w:rsid w:val="009A4EF6"/>
    <w:rsid w:val="009B02E4"/>
    <w:rsid w:val="009B0C9E"/>
    <w:rsid w:val="009B2A58"/>
    <w:rsid w:val="009B4D3B"/>
    <w:rsid w:val="009C0BC0"/>
    <w:rsid w:val="009C3630"/>
    <w:rsid w:val="009C6458"/>
    <w:rsid w:val="009C6911"/>
    <w:rsid w:val="009C6D1D"/>
    <w:rsid w:val="009D2810"/>
    <w:rsid w:val="009D6432"/>
    <w:rsid w:val="009D6836"/>
    <w:rsid w:val="009D6CA2"/>
    <w:rsid w:val="009D7407"/>
    <w:rsid w:val="009E02FA"/>
    <w:rsid w:val="009E041C"/>
    <w:rsid w:val="009E0866"/>
    <w:rsid w:val="009E4948"/>
    <w:rsid w:val="009F0635"/>
    <w:rsid w:val="009F24ED"/>
    <w:rsid w:val="009F5488"/>
    <w:rsid w:val="009F6423"/>
    <w:rsid w:val="00A00097"/>
    <w:rsid w:val="00A000C7"/>
    <w:rsid w:val="00A02ABA"/>
    <w:rsid w:val="00A1134A"/>
    <w:rsid w:val="00A1142A"/>
    <w:rsid w:val="00A159A5"/>
    <w:rsid w:val="00A20569"/>
    <w:rsid w:val="00A21EE8"/>
    <w:rsid w:val="00A23783"/>
    <w:rsid w:val="00A24A62"/>
    <w:rsid w:val="00A262EE"/>
    <w:rsid w:val="00A302C3"/>
    <w:rsid w:val="00A31C9F"/>
    <w:rsid w:val="00A32FAC"/>
    <w:rsid w:val="00A35427"/>
    <w:rsid w:val="00A400A9"/>
    <w:rsid w:val="00A40423"/>
    <w:rsid w:val="00A4144F"/>
    <w:rsid w:val="00A427C6"/>
    <w:rsid w:val="00A50302"/>
    <w:rsid w:val="00A5053D"/>
    <w:rsid w:val="00A5166F"/>
    <w:rsid w:val="00A543F4"/>
    <w:rsid w:val="00A548FE"/>
    <w:rsid w:val="00A55E47"/>
    <w:rsid w:val="00A56F14"/>
    <w:rsid w:val="00A641CE"/>
    <w:rsid w:val="00A70057"/>
    <w:rsid w:val="00A73F3C"/>
    <w:rsid w:val="00A7720E"/>
    <w:rsid w:val="00A774A1"/>
    <w:rsid w:val="00A80F95"/>
    <w:rsid w:val="00A81256"/>
    <w:rsid w:val="00A8197B"/>
    <w:rsid w:val="00A83D5C"/>
    <w:rsid w:val="00A83E26"/>
    <w:rsid w:val="00A85B47"/>
    <w:rsid w:val="00A8659C"/>
    <w:rsid w:val="00A900E0"/>
    <w:rsid w:val="00AA2E09"/>
    <w:rsid w:val="00AA5232"/>
    <w:rsid w:val="00AA6188"/>
    <w:rsid w:val="00AA7BE3"/>
    <w:rsid w:val="00AB5B23"/>
    <w:rsid w:val="00AC066F"/>
    <w:rsid w:val="00AC164A"/>
    <w:rsid w:val="00AE18A4"/>
    <w:rsid w:val="00AE3F89"/>
    <w:rsid w:val="00AE6BB9"/>
    <w:rsid w:val="00AF0EB9"/>
    <w:rsid w:val="00AF1450"/>
    <w:rsid w:val="00AF1B85"/>
    <w:rsid w:val="00AF2050"/>
    <w:rsid w:val="00AF32C4"/>
    <w:rsid w:val="00AF6149"/>
    <w:rsid w:val="00AF6FE4"/>
    <w:rsid w:val="00B0244B"/>
    <w:rsid w:val="00B03CA8"/>
    <w:rsid w:val="00B05C32"/>
    <w:rsid w:val="00B1078C"/>
    <w:rsid w:val="00B11008"/>
    <w:rsid w:val="00B11D17"/>
    <w:rsid w:val="00B133D6"/>
    <w:rsid w:val="00B136AA"/>
    <w:rsid w:val="00B13D00"/>
    <w:rsid w:val="00B26FE1"/>
    <w:rsid w:val="00B331DC"/>
    <w:rsid w:val="00B33BF5"/>
    <w:rsid w:val="00B34E04"/>
    <w:rsid w:val="00B421B1"/>
    <w:rsid w:val="00B438D3"/>
    <w:rsid w:val="00B43D04"/>
    <w:rsid w:val="00B44E77"/>
    <w:rsid w:val="00B4736B"/>
    <w:rsid w:val="00B4751D"/>
    <w:rsid w:val="00B47DCF"/>
    <w:rsid w:val="00B51AF2"/>
    <w:rsid w:val="00B527B3"/>
    <w:rsid w:val="00B55E19"/>
    <w:rsid w:val="00B57B9C"/>
    <w:rsid w:val="00B60588"/>
    <w:rsid w:val="00B616E4"/>
    <w:rsid w:val="00B649E5"/>
    <w:rsid w:val="00B6539B"/>
    <w:rsid w:val="00B70663"/>
    <w:rsid w:val="00B820F8"/>
    <w:rsid w:val="00B84F29"/>
    <w:rsid w:val="00B86742"/>
    <w:rsid w:val="00B90B41"/>
    <w:rsid w:val="00B92744"/>
    <w:rsid w:val="00B93556"/>
    <w:rsid w:val="00BA0BD2"/>
    <w:rsid w:val="00BA3A43"/>
    <w:rsid w:val="00BA3AB6"/>
    <w:rsid w:val="00BA4B6D"/>
    <w:rsid w:val="00BA4FF3"/>
    <w:rsid w:val="00BB0265"/>
    <w:rsid w:val="00BB0B68"/>
    <w:rsid w:val="00BB26C5"/>
    <w:rsid w:val="00BB6332"/>
    <w:rsid w:val="00BC2F03"/>
    <w:rsid w:val="00BD44D9"/>
    <w:rsid w:val="00BD4930"/>
    <w:rsid w:val="00BD5252"/>
    <w:rsid w:val="00BD56C0"/>
    <w:rsid w:val="00BD58D1"/>
    <w:rsid w:val="00BE0AE5"/>
    <w:rsid w:val="00BE4C22"/>
    <w:rsid w:val="00BE7134"/>
    <w:rsid w:val="00BF4DE6"/>
    <w:rsid w:val="00C01248"/>
    <w:rsid w:val="00C035D7"/>
    <w:rsid w:val="00C04838"/>
    <w:rsid w:val="00C04B05"/>
    <w:rsid w:val="00C04FC8"/>
    <w:rsid w:val="00C050ED"/>
    <w:rsid w:val="00C06126"/>
    <w:rsid w:val="00C06869"/>
    <w:rsid w:val="00C104B4"/>
    <w:rsid w:val="00C10674"/>
    <w:rsid w:val="00C155FB"/>
    <w:rsid w:val="00C15D42"/>
    <w:rsid w:val="00C178DC"/>
    <w:rsid w:val="00C20F57"/>
    <w:rsid w:val="00C22760"/>
    <w:rsid w:val="00C27506"/>
    <w:rsid w:val="00C2750F"/>
    <w:rsid w:val="00C30312"/>
    <w:rsid w:val="00C30F55"/>
    <w:rsid w:val="00C32257"/>
    <w:rsid w:val="00C337CC"/>
    <w:rsid w:val="00C40EC6"/>
    <w:rsid w:val="00C42CDE"/>
    <w:rsid w:val="00C450EE"/>
    <w:rsid w:val="00C462D7"/>
    <w:rsid w:val="00C50AC8"/>
    <w:rsid w:val="00C5182A"/>
    <w:rsid w:val="00C57B71"/>
    <w:rsid w:val="00C61457"/>
    <w:rsid w:val="00C62968"/>
    <w:rsid w:val="00C63C94"/>
    <w:rsid w:val="00C63EE9"/>
    <w:rsid w:val="00C6626C"/>
    <w:rsid w:val="00C66579"/>
    <w:rsid w:val="00C67E82"/>
    <w:rsid w:val="00C67FD9"/>
    <w:rsid w:val="00C709D2"/>
    <w:rsid w:val="00C71A58"/>
    <w:rsid w:val="00C80735"/>
    <w:rsid w:val="00C826FE"/>
    <w:rsid w:val="00C90A57"/>
    <w:rsid w:val="00C979C4"/>
    <w:rsid w:val="00CA1FF5"/>
    <w:rsid w:val="00CA2381"/>
    <w:rsid w:val="00CA37B1"/>
    <w:rsid w:val="00CB1136"/>
    <w:rsid w:val="00CB15FF"/>
    <w:rsid w:val="00CB1959"/>
    <w:rsid w:val="00CB1FBF"/>
    <w:rsid w:val="00CB4D46"/>
    <w:rsid w:val="00CB5D3F"/>
    <w:rsid w:val="00CB61C4"/>
    <w:rsid w:val="00CB70DA"/>
    <w:rsid w:val="00CC2534"/>
    <w:rsid w:val="00CC2A0A"/>
    <w:rsid w:val="00CC4579"/>
    <w:rsid w:val="00CD01E0"/>
    <w:rsid w:val="00CD0E4B"/>
    <w:rsid w:val="00CD31ED"/>
    <w:rsid w:val="00CD5145"/>
    <w:rsid w:val="00CE0155"/>
    <w:rsid w:val="00CE1B95"/>
    <w:rsid w:val="00CE20E3"/>
    <w:rsid w:val="00CE3C22"/>
    <w:rsid w:val="00CE3E7C"/>
    <w:rsid w:val="00CE67CC"/>
    <w:rsid w:val="00CF593F"/>
    <w:rsid w:val="00D00802"/>
    <w:rsid w:val="00D01A9E"/>
    <w:rsid w:val="00D01F16"/>
    <w:rsid w:val="00D0296C"/>
    <w:rsid w:val="00D048AB"/>
    <w:rsid w:val="00D11C12"/>
    <w:rsid w:val="00D146A2"/>
    <w:rsid w:val="00D15A00"/>
    <w:rsid w:val="00D15A87"/>
    <w:rsid w:val="00D16042"/>
    <w:rsid w:val="00D21001"/>
    <w:rsid w:val="00D23706"/>
    <w:rsid w:val="00D33972"/>
    <w:rsid w:val="00D40151"/>
    <w:rsid w:val="00D406A2"/>
    <w:rsid w:val="00D44A2E"/>
    <w:rsid w:val="00D45309"/>
    <w:rsid w:val="00D52419"/>
    <w:rsid w:val="00D6260D"/>
    <w:rsid w:val="00D64BD1"/>
    <w:rsid w:val="00D67CB4"/>
    <w:rsid w:val="00D71C2D"/>
    <w:rsid w:val="00D72760"/>
    <w:rsid w:val="00D74D42"/>
    <w:rsid w:val="00D75056"/>
    <w:rsid w:val="00D754ED"/>
    <w:rsid w:val="00D75E3F"/>
    <w:rsid w:val="00D77512"/>
    <w:rsid w:val="00D80F10"/>
    <w:rsid w:val="00D819BB"/>
    <w:rsid w:val="00D83936"/>
    <w:rsid w:val="00D8714E"/>
    <w:rsid w:val="00D87D26"/>
    <w:rsid w:val="00D95F41"/>
    <w:rsid w:val="00D976B4"/>
    <w:rsid w:val="00D97AD3"/>
    <w:rsid w:val="00DA0F9C"/>
    <w:rsid w:val="00DA1E63"/>
    <w:rsid w:val="00DA2C86"/>
    <w:rsid w:val="00DB39E2"/>
    <w:rsid w:val="00DB5FD9"/>
    <w:rsid w:val="00DC189B"/>
    <w:rsid w:val="00DC5A35"/>
    <w:rsid w:val="00DC5EE6"/>
    <w:rsid w:val="00DC6E2B"/>
    <w:rsid w:val="00DC72AB"/>
    <w:rsid w:val="00DC765F"/>
    <w:rsid w:val="00DD04C3"/>
    <w:rsid w:val="00DD1986"/>
    <w:rsid w:val="00DD75E9"/>
    <w:rsid w:val="00DE084C"/>
    <w:rsid w:val="00DE65E7"/>
    <w:rsid w:val="00DF09A3"/>
    <w:rsid w:val="00DF27B9"/>
    <w:rsid w:val="00DF442A"/>
    <w:rsid w:val="00DF475A"/>
    <w:rsid w:val="00DF4902"/>
    <w:rsid w:val="00E00F70"/>
    <w:rsid w:val="00E02D93"/>
    <w:rsid w:val="00E05D80"/>
    <w:rsid w:val="00E125B3"/>
    <w:rsid w:val="00E26ADC"/>
    <w:rsid w:val="00E3216C"/>
    <w:rsid w:val="00E357B7"/>
    <w:rsid w:val="00E37593"/>
    <w:rsid w:val="00E40630"/>
    <w:rsid w:val="00E41505"/>
    <w:rsid w:val="00E432F5"/>
    <w:rsid w:val="00E44C39"/>
    <w:rsid w:val="00E459B4"/>
    <w:rsid w:val="00E46F9B"/>
    <w:rsid w:val="00E53800"/>
    <w:rsid w:val="00E5424E"/>
    <w:rsid w:val="00E57D2F"/>
    <w:rsid w:val="00E6081F"/>
    <w:rsid w:val="00E64F4A"/>
    <w:rsid w:val="00E65A21"/>
    <w:rsid w:val="00E718D7"/>
    <w:rsid w:val="00E72569"/>
    <w:rsid w:val="00E750D2"/>
    <w:rsid w:val="00E76D1C"/>
    <w:rsid w:val="00E832FA"/>
    <w:rsid w:val="00E8455C"/>
    <w:rsid w:val="00E8584D"/>
    <w:rsid w:val="00E86697"/>
    <w:rsid w:val="00E86791"/>
    <w:rsid w:val="00E90EDD"/>
    <w:rsid w:val="00E9262C"/>
    <w:rsid w:val="00E96A35"/>
    <w:rsid w:val="00EA04B2"/>
    <w:rsid w:val="00EA0F21"/>
    <w:rsid w:val="00EA20F3"/>
    <w:rsid w:val="00EA3756"/>
    <w:rsid w:val="00EA4023"/>
    <w:rsid w:val="00EB18CF"/>
    <w:rsid w:val="00EB3CA8"/>
    <w:rsid w:val="00EB6338"/>
    <w:rsid w:val="00EC22CC"/>
    <w:rsid w:val="00EC631A"/>
    <w:rsid w:val="00ED2759"/>
    <w:rsid w:val="00ED2831"/>
    <w:rsid w:val="00ED2C7A"/>
    <w:rsid w:val="00ED43B6"/>
    <w:rsid w:val="00ED43D1"/>
    <w:rsid w:val="00ED4BB3"/>
    <w:rsid w:val="00ED739A"/>
    <w:rsid w:val="00EE03DB"/>
    <w:rsid w:val="00EE0E2B"/>
    <w:rsid w:val="00EE104B"/>
    <w:rsid w:val="00EE4EE1"/>
    <w:rsid w:val="00EE62FB"/>
    <w:rsid w:val="00EE676D"/>
    <w:rsid w:val="00EF4574"/>
    <w:rsid w:val="00EF53E8"/>
    <w:rsid w:val="00EF7ADA"/>
    <w:rsid w:val="00F01767"/>
    <w:rsid w:val="00F069A2"/>
    <w:rsid w:val="00F10FC7"/>
    <w:rsid w:val="00F13459"/>
    <w:rsid w:val="00F1408E"/>
    <w:rsid w:val="00F15618"/>
    <w:rsid w:val="00F156AE"/>
    <w:rsid w:val="00F201D2"/>
    <w:rsid w:val="00F22F5E"/>
    <w:rsid w:val="00F2684E"/>
    <w:rsid w:val="00F331C5"/>
    <w:rsid w:val="00F333D2"/>
    <w:rsid w:val="00F357A3"/>
    <w:rsid w:val="00F369DB"/>
    <w:rsid w:val="00F37DCF"/>
    <w:rsid w:val="00F42009"/>
    <w:rsid w:val="00F42D02"/>
    <w:rsid w:val="00F44987"/>
    <w:rsid w:val="00F44FCD"/>
    <w:rsid w:val="00F44FDE"/>
    <w:rsid w:val="00F50BEF"/>
    <w:rsid w:val="00F50D00"/>
    <w:rsid w:val="00F5404C"/>
    <w:rsid w:val="00F6155B"/>
    <w:rsid w:val="00F6214B"/>
    <w:rsid w:val="00F62A05"/>
    <w:rsid w:val="00F65487"/>
    <w:rsid w:val="00F65970"/>
    <w:rsid w:val="00F729EF"/>
    <w:rsid w:val="00F75A5C"/>
    <w:rsid w:val="00F77CAE"/>
    <w:rsid w:val="00F80D43"/>
    <w:rsid w:val="00F80F0E"/>
    <w:rsid w:val="00F8175C"/>
    <w:rsid w:val="00F82271"/>
    <w:rsid w:val="00F83428"/>
    <w:rsid w:val="00F83E52"/>
    <w:rsid w:val="00F85090"/>
    <w:rsid w:val="00F90381"/>
    <w:rsid w:val="00F93A06"/>
    <w:rsid w:val="00F9405A"/>
    <w:rsid w:val="00F95B13"/>
    <w:rsid w:val="00F96BB9"/>
    <w:rsid w:val="00F970E0"/>
    <w:rsid w:val="00F97381"/>
    <w:rsid w:val="00F97993"/>
    <w:rsid w:val="00FA0D13"/>
    <w:rsid w:val="00FA1EB7"/>
    <w:rsid w:val="00FA32EF"/>
    <w:rsid w:val="00FA3458"/>
    <w:rsid w:val="00FA4D8E"/>
    <w:rsid w:val="00FB385D"/>
    <w:rsid w:val="00FB7514"/>
    <w:rsid w:val="00FB7B75"/>
    <w:rsid w:val="00FC1482"/>
    <w:rsid w:val="00FC1862"/>
    <w:rsid w:val="00FC4C71"/>
    <w:rsid w:val="00FD0B76"/>
    <w:rsid w:val="00FD1BDF"/>
    <w:rsid w:val="00FD5F66"/>
    <w:rsid w:val="00FD719A"/>
    <w:rsid w:val="00FD7251"/>
    <w:rsid w:val="00FD774C"/>
    <w:rsid w:val="00FE2392"/>
    <w:rsid w:val="00FE431E"/>
    <w:rsid w:val="00FE58EE"/>
    <w:rsid w:val="00FE6314"/>
    <w:rsid w:val="00FE6824"/>
    <w:rsid w:val="00FE6D51"/>
    <w:rsid w:val="00FF03E4"/>
    <w:rsid w:val="00FF09F3"/>
    <w:rsid w:val="00FF13BC"/>
    <w:rsid w:val="00FF3F30"/>
    <w:rsid w:val="00FF6B8B"/>
    <w:rsid w:val="00FF7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4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customStyle="1" w:styleId="Default">
    <w:name w:val="Default"/>
    <w:rsid w:val="003E6710"/>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unhideWhenUsed/>
    <w:rsid w:val="009C6D1D"/>
    <w:rPr>
      <w:sz w:val="16"/>
      <w:szCs w:val="16"/>
    </w:rPr>
  </w:style>
  <w:style w:type="paragraph" w:styleId="CommentText">
    <w:name w:val="annotation text"/>
    <w:basedOn w:val="Normal"/>
    <w:link w:val="CommentTextChar"/>
    <w:uiPriority w:val="99"/>
    <w:unhideWhenUsed/>
    <w:rsid w:val="009C6D1D"/>
    <w:pPr>
      <w:spacing w:line="240" w:lineRule="auto"/>
    </w:pPr>
    <w:rPr>
      <w:sz w:val="20"/>
      <w:szCs w:val="20"/>
    </w:rPr>
  </w:style>
  <w:style w:type="character" w:customStyle="1" w:styleId="CommentTextChar">
    <w:name w:val="Comment Text Char"/>
    <w:basedOn w:val="DefaultParagraphFont"/>
    <w:link w:val="CommentText"/>
    <w:uiPriority w:val="99"/>
    <w:rsid w:val="009C6D1D"/>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9C6D1D"/>
    <w:rPr>
      <w:b/>
      <w:bCs/>
    </w:rPr>
  </w:style>
  <w:style w:type="character" w:customStyle="1" w:styleId="CommentSubjectChar">
    <w:name w:val="Comment Subject Char"/>
    <w:basedOn w:val="CommentTextChar"/>
    <w:link w:val="CommentSubject"/>
    <w:uiPriority w:val="99"/>
    <w:semiHidden/>
    <w:rsid w:val="009C6D1D"/>
    <w:rPr>
      <w:b/>
      <w:bCs/>
      <w:color w:val="495965" w:themeColor="text2"/>
      <w:sz w:val="20"/>
      <w:szCs w:val="20"/>
      <w:lang w:val="en-GB"/>
    </w:rPr>
  </w:style>
  <w:style w:type="paragraph" w:styleId="ListParagraph">
    <w:name w:val="List Paragraph"/>
    <w:basedOn w:val="Normal"/>
    <w:uiPriority w:val="34"/>
    <w:qFormat/>
    <w:rsid w:val="000634C8"/>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paragraph" w:styleId="EndnoteText">
    <w:name w:val="endnote text"/>
    <w:basedOn w:val="Normal"/>
    <w:link w:val="EndnoteTextChar"/>
    <w:uiPriority w:val="99"/>
    <w:semiHidden/>
    <w:unhideWhenUsed/>
    <w:rsid w:val="00F6548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65487"/>
    <w:rPr>
      <w:color w:val="495965" w:themeColor="text2"/>
      <w:sz w:val="20"/>
      <w:szCs w:val="20"/>
      <w:lang w:val="en-GB"/>
    </w:rPr>
  </w:style>
  <w:style w:type="character" w:styleId="EndnoteReference">
    <w:name w:val="endnote reference"/>
    <w:rsid w:val="00F65487"/>
    <w:rPr>
      <w:rFonts w:ascii="Franklin Gothic Book" w:hAnsi="Franklin Gothic Book"/>
      <w:sz w:val="21"/>
      <w:vertAlign w:val="superscript"/>
    </w:rPr>
  </w:style>
  <w:style w:type="table" w:customStyle="1" w:styleId="DFATTable10">
    <w:name w:val="DFAT Table1"/>
    <w:basedOn w:val="TableNormal"/>
    <w:uiPriority w:val="99"/>
    <w:rsid w:val="00F65487"/>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APPR1">
    <w:name w:val="APPR1"/>
    <w:basedOn w:val="TableNormal"/>
    <w:uiPriority w:val="99"/>
    <w:rsid w:val="00F65487"/>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F65487"/>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A23783"/>
    <w:pPr>
      <w:spacing w:after="0" w:line="240" w:lineRule="auto"/>
    </w:pPr>
    <w:rPr>
      <w:color w:val="495965" w:themeColor="text2"/>
      <w:lang w:val="en-GB"/>
    </w:rPr>
  </w:style>
  <w:style w:type="character" w:customStyle="1" w:styleId="A5">
    <w:name w:val="A5"/>
    <w:uiPriority w:val="99"/>
    <w:rsid w:val="0060141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039">
      <w:bodyDiv w:val="1"/>
      <w:marLeft w:val="0"/>
      <w:marRight w:val="0"/>
      <w:marTop w:val="0"/>
      <w:marBottom w:val="0"/>
      <w:divBdr>
        <w:top w:val="none" w:sz="0" w:space="0" w:color="auto"/>
        <w:left w:val="none" w:sz="0" w:space="0" w:color="auto"/>
        <w:bottom w:val="none" w:sz="0" w:space="0" w:color="auto"/>
        <w:right w:val="none" w:sz="0" w:space="0" w:color="auto"/>
      </w:divBdr>
    </w:div>
    <w:div w:id="116801442">
      <w:bodyDiv w:val="1"/>
      <w:marLeft w:val="0"/>
      <w:marRight w:val="0"/>
      <w:marTop w:val="0"/>
      <w:marBottom w:val="0"/>
      <w:divBdr>
        <w:top w:val="none" w:sz="0" w:space="0" w:color="auto"/>
        <w:left w:val="none" w:sz="0" w:space="0" w:color="auto"/>
        <w:bottom w:val="none" w:sz="0" w:space="0" w:color="auto"/>
        <w:right w:val="none" w:sz="0" w:space="0" w:color="auto"/>
      </w:divBdr>
    </w:div>
    <w:div w:id="123932549">
      <w:bodyDiv w:val="1"/>
      <w:marLeft w:val="0"/>
      <w:marRight w:val="0"/>
      <w:marTop w:val="0"/>
      <w:marBottom w:val="0"/>
      <w:divBdr>
        <w:top w:val="none" w:sz="0" w:space="0" w:color="auto"/>
        <w:left w:val="none" w:sz="0" w:space="0" w:color="auto"/>
        <w:bottom w:val="none" w:sz="0" w:space="0" w:color="auto"/>
        <w:right w:val="none" w:sz="0" w:space="0" w:color="auto"/>
      </w:divBdr>
    </w:div>
    <w:div w:id="142893313">
      <w:bodyDiv w:val="1"/>
      <w:marLeft w:val="0"/>
      <w:marRight w:val="0"/>
      <w:marTop w:val="0"/>
      <w:marBottom w:val="0"/>
      <w:divBdr>
        <w:top w:val="none" w:sz="0" w:space="0" w:color="auto"/>
        <w:left w:val="none" w:sz="0" w:space="0" w:color="auto"/>
        <w:bottom w:val="none" w:sz="0" w:space="0" w:color="auto"/>
        <w:right w:val="none" w:sz="0" w:space="0" w:color="auto"/>
      </w:divBdr>
    </w:div>
    <w:div w:id="167404564">
      <w:bodyDiv w:val="1"/>
      <w:marLeft w:val="0"/>
      <w:marRight w:val="0"/>
      <w:marTop w:val="0"/>
      <w:marBottom w:val="0"/>
      <w:divBdr>
        <w:top w:val="none" w:sz="0" w:space="0" w:color="auto"/>
        <w:left w:val="none" w:sz="0" w:space="0" w:color="auto"/>
        <w:bottom w:val="none" w:sz="0" w:space="0" w:color="auto"/>
        <w:right w:val="none" w:sz="0" w:space="0" w:color="auto"/>
      </w:divBdr>
    </w:div>
    <w:div w:id="338166585">
      <w:bodyDiv w:val="1"/>
      <w:marLeft w:val="0"/>
      <w:marRight w:val="0"/>
      <w:marTop w:val="0"/>
      <w:marBottom w:val="0"/>
      <w:divBdr>
        <w:top w:val="none" w:sz="0" w:space="0" w:color="auto"/>
        <w:left w:val="none" w:sz="0" w:space="0" w:color="auto"/>
        <w:bottom w:val="none" w:sz="0" w:space="0" w:color="auto"/>
        <w:right w:val="none" w:sz="0" w:space="0" w:color="auto"/>
      </w:divBdr>
    </w:div>
    <w:div w:id="365104548">
      <w:bodyDiv w:val="1"/>
      <w:marLeft w:val="0"/>
      <w:marRight w:val="0"/>
      <w:marTop w:val="0"/>
      <w:marBottom w:val="0"/>
      <w:divBdr>
        <w:top w:val="none" w:sz="0" w:space="0" w:color="auto"/>
        <w:left w:val="none" w:sz="0" w:space="0" w:color="auto"/>
        <w:bottom w:val="none" w:sz="0" w:space="0" w:color="auto"/>
        <w:right w:val="none" w:sz="0" w:space="0" w:color="auto"/>
      </w:divBdr>
    </w:div>
    <w:div w:id="385224617">
      <w:bodyDiv w:val="1"/>
      <w:marLeft w:val="0"/>
      <w:marRight w:val="0"/>
      <w:marTop w:val="0"/>
      <w:marBottom w:val="0"/>
      <w:divBdr>
        <w:top w:val="none" w:sz="0" w:space="0" w:color="auto"/>
        <w:left w:val="none" w:sz="0" w:space="0" w:color="auto"/>
        <w:bottom w:val="none" w:sz="0" w:space="0" w:color="auto"/>
        <w:right w:val="none" w:sz="0" w:space="0" w:color="auto"/>
      </w:divBdr>
    </w:div>
    <w:div w:id="431320234">
      <w:bodyDiv w:val="1"/>
      <w:marLeft w:val="0"/>
      <w:marRight w:val="0"/>
      <w:marTop w:val="0"/>
      <w:marBottom w:val="0"/>
      <w:divBdr>
        <w:top w:val="none" w:sz="0" w:space="0" w:color="auto"/>
        <w:left w:val="none" w:sz="0" w:space="0" w:color="auto"/>
        <w:bottom w:val="none" w:sz="0" w:space="0" w:color="auto"/>
        <w:right w:val="none" w:sz="0" w:space="0" w:color="auto"/>
      </w:divBdr>
    </w:div>
    <w:div w:id="439759755">
      <w:bodyDiv w:val="1"/>
      <w:marLeft w:val="0"/>
      <w:marRight w:val="0"/>
      <w:marTop w:val="0"/>
      <w:marBottom w:val="0"/>
      <w:divBdr>
        <w:top w:val="none" w:sz="0" w:space="0" w:color="auto"/>
        <w:left w:val="none" w:sz="0" w:space="0" w:color="auto"/>
        <w:bottom w:val="none" w:sz="0" w:space="0" w:color="auto"/>
        <w:right w:val="none" w:sz="0" w:space="0" w:color="auto"/>
      </w:divBdr>
    </w:div>
    <w:div w:id="544604294">
      <w:bodyDiv w:val="1"/>
      <w:marLeft w:val="0"/>
      <w:marRight w:val="0"/>
      <w:marTop w:val="0"/>
      <w:marBottom w:val="0"/>
      <w:divBdr>
        <w:top w:val="none" w:sz="0" w:space="0" w:color="auto"/>
        <w:left w:val="none" w:sz="0" w:space="0" w:color="auto"/>
        <w:bottom w:val="none" w:sz="0" w:space="0" w:color="auto"/>
        <w:right w:val="none" w:sz="0" w:space="0" w:color="auto"/>
      </w:divBdr>
    </w:div>
    <w:div w:id="560671663">
      <w:bodyDiv w:val="1"/>
      <w:marLeft w:val="0"/>
      <w:marRight w:val="0"/>
      <w:marTop w:val="0"/>
      <w:marBottom w:val="0"/>
      <w:divBdr>
        <w:top w:val="none" w:sz="0" w:space="0" w:color="auto"/>
        <w:left w:val="none" w:sz="0" w:space="0" w:color="auto"/>
        <w:bottom w:val="none" w:sz="0" w:space="0" w:color="auto"/>
        <w:right w:val="none" w:sz="0" w:space="0" w:color="auto"/>
      </w:divBdr>
    </w:div>
    <w:div w:id="811405879">
      <w:bodyDiv w:val="1"/>
      <w:marLeft w:val="0"/>
      <w:marRight w:val="0"/>
      <w:marTop w:val="0"/>
      <w:marBottom w:val="0"/>
      <w:divBdr>
        <w:top w:val="none" w:sz="0" w:space="0" w:color="auto"/>
        <w:left w:val="none" w:sz="0" w:space="0" w:color="auto"/>
        <w:bottom w:val="none" w:sz="0" w:space="0" w:color="auto"/>
        <w:right w:val="none" w:sz="0" w:space="0" w:color="auto"/>
      </w:divBdr>
    </w:div>
    <w:div w:id="818426996">
      <w:bodyDiv w:val="1"/>
      <w:marLeft w:val="0"/>
      <w:marRight w:val="0"/>
      <w:marTop w:val="0"/>
      <w:marBottom w:val="0"/>
      <w:divBdr>
        <w:top w:val="none" w:sz="0" w:space="0" w:color="auto"/>
        <w:left w:val="none" w:sz="0" w:space="0" w:color="auto"/>
        <w:bottom w:val="none" w:sz="0" w:space="0" w:color="auto"/>
        <w:right w:val="none" w:sz="0" w:space="0" w:color="auto"/>
      </w:divBdr>
    </w:div>
    <w:div w:id="842936827">
      <w:bodyDiv w:val="1"/>
      <w:marLeft w:val="0"/>
      <w:marRight w:val="0"/>
      <w:marTop w:val="0"/>
      <w:marBottom w:val="0"/>
      <w:divBdr>
        <w:top w:val="none" w:sz="0" w:space="0" w:color="auto"/>
        <w:left w:val="none" w:sz="0" w:space="0" w:color="auto"/>
        <w:bottom w:val="none" w:sz="0" w:space="0" w:color="auto"/>
        <w:right w:val="none" w:sz="0" w:space="0" w:color="auto"/>
      </w:divBdr>
    </w:div>
    <w:div w:id="873806742">
      <w:bodyDiv w:val="1"/>
      <w:marLeft w:val="0"/>
      <w:marRight w:val="0"/>
      <w:marTop w:val="0"/>
      <w:marBottom w:val="0"/>
      <w:divBdr>
        <w:top w:val="none" w:sz="0" w:space="0" w:color="auto"/>
        <w:left w:val="none" w:sz="0" w:space="0" w:color="auto"/>
        <w:bottom w:val="none" w:sz="0" w:space="0" w:color="auto"/>
        <w:right w:val="none" w:sz="0" w:space="0" w:color="auto"/>
      </w:divBdr>
    </w:div>
    <w:div w:id="924724571">
      <w:bodyDiv w:val="1"/>
      <w:marLeft w:val="0"/>
      <w:marRight w:val="0"/>
      <w:marTop w:val="0"/>
      <w:marBottom w:val="0"/>
      <w:divBdr>
        <w:top w:val="none" w:sz="0" w:space="0" w:color="auto"/>
        <w:left w:val="none" w:sz="0" w:space="0" w:color="auto"/>
        <w:bottom w:val="none" w:sz="0" w:space="0" w:color="auto"/>
        <w:right w:val="none" w:sz="0" w:space="0" w:color="auto"/>
      </w:divBdr>
    </w:div>
    <w:div w:id="954671649">
      <w:bodyDiv w:val="1"/>
      <w:marLeft w:val="0"/>
      <w:marRight w:val="0"/>
      <w:marTop w:val="0"/>
      <w:marBottom w:val="0"/>
      <w:divBdr>
        <w:top w:val="none" w:sz="0" w:space="0" w:color="auto"/>
        <w:left w:val="none" w:sz="0" w:space="0" w:color="auto"/>
        <w:bottom w:val="none" w:sz="0" w:space="0" w:color="auto"/>
        <w:right w:val="none" w:sz="0" w:space="0" w:color="auto"/>
      </w:divBdr>
    </w:div>
    <w:div w:id="1101295864">
      <w:bodyDiv w:val="1"/>
      <w:marLeft w:val="0"/>
      <w:marRight w:val="0"/>
      <w:marTop w:val="0"/>
      <w:marBottom w:val="0"/>
      <w:divBdr>
        <w:top w:val="none" w:sz="0" w:space="0" w:color="auto"/>
        <w:left w:val="none" w:sz="0" w:space="0" w:color="auto"/>
        <w:bottom w:val="none" w:sz="0" w:space="0" w:color="auto"/>
        <w:right w:val="none" w:sz="0" w:space="0" w:color="auto"/>
      </w:divBdr>
    </w:div>
    <w:div w:id="1124153759">
      <w:bodyDiv w:val="1"/>
      <w:marLeft w:val="0"/>
      <w:marRight w:val="0"/>
      <w:marTop w:val="0"/>
      <w:marBottom w:val="0"/>
      <w:divBdr>
        <w:top w:val="none" w:sz="0" w:space="0" w:color="auto"/>
        <w:left w:val="none" w:sz="0" w:space="0" w:color="auto"/>
        <w:bottom w:val="none" w:sz="0" w:space="0" w:color="auto"/>
        <w:right w:val="none" w:sz="0" w:space="0" w:color="auto"/>
      </w:divBdr>
    </w:div>
    <w:div w:id="1154298845">
      <w:bodyDiv w:val="1"/>
      <w:marLeft w:val="0"/>
      <w:marRight w:val="0"/>
      <w:marTop w:val="0"/>
      <w:marBottom w:val="0"/>
      <w:divBdr>
        <w:top w:val="none" w:sz="0" w:space="0" w:color="auto"/>
        <w:left w:val="none" w:sz="0" w:space="0" w:color="auto"/>
        <w:bottom w:val="none" w:sz="0" w:space="0" w:color="auto"/>
        <w:right w:val="none" w:sz="0" w:space="0" w:color="auto"/>
      </w:divBdr>
    </w:div>
    <w:div w:id="1155072801">
      <w:bodyDiv w:val="1"/>
      <w:marLeft w:val="0"/>
      <w:marRight w:val="0"/>
      <w:marTop w:val="0"/>
      <w:marBottom w:val="0"/>
      <w:divBdr>
        <w:top w:val="none" w:sz="0" w:space="0" w:color="auto"/>
        <w:left w:val="none" w:sz="0" w:space="0" w:color="auto"/>
        <w:bottom w:val="none" w:sz="0" w:space="0" w:color="auto"/>
        <w:right w:val="none" w:sz="0" w:space="0" w:color="auto"/>
      </w:divBdr>
    </w:div>
    <w:div w:id="1161772841">
      <w:bodyDiv w:val="1"/>
      <w:marLeft w:val="0"/>
      <w:marRight w:val="0"/>
      <w:marTop w:val="0"/>
      <w:marBottom w:val="0"/>
      <w:divBdr>
        <w:top w:val="none" w:sz="0" w:space="0" w:color="auto"/>
        <w:left w:val="none" w:sz="0" w:space="0" w:color="auto"/>
        <w:bottom w:val="none" w:sz="0" w:space="0" w:color="auto"/>
        <w:right w:val="none" w:sz="0" w:space="0" w:color="auto"/>
      </w:divBdr>
    </w:div>
    <w:div w:id="1229224392">
      <w:bodyDiv w:val="1"/>
      <w:marLeft w:val="0"/>
      <w:marRight w:val="0"/>
      <w:marTop w:val="0"/>
      <w:marBottom w:val="0"/>
      <w:divBdr>
        <w:top w:val="none" w:sz="0" w:space="0" w:color="auto"/>
        <w:left w:val="none" w:sz="0" w:space="0" w:color="auto"/>
        <w:bottom w:val="none" w:sz="0" w:space="0" w:color="auto"/>
        <w:right w:val="none" w:sz="0" w:space="0" w:color="auto"/>
      </w:divBdr>
    </w:div>
    <w:div w:id="1256986202">
      <w:bodyDiv w:val="1"/>
      <w:marLeft w:val="0"/>
      <w:marRight w:val="0"/>
      <w:marTop w:val="0"/>
      <w:marBottom w:val="0"/>
      <w:divBdr>
        <w:top w:val="none" w:sz="0" w:space="0" w:color="auto"/>
        <w:left w:val="none" w:sz="0" w:space="0" w:color="auto"/>
        <w:bottom w:val="none" w:sz="0" w:space="0" w:color="auto"/>
        <w:right w:val="none" w:sz="0" w:space="0" w:color="auto"/>
      </w:divBdr>
    </w:div>
    <w:div w:id="1358307752">
      <w:bodyDiv w:val="1"/>
      <w:marLeft w:val="0"/>
      <w:marRight w:val="0"/>
      <w:marTop w:val="0"/>
      <w:marBottom w:val="0"/>
      <w:divBdr>
        <w:top w:val="none" w:sz="0" w:space="0" w:color="auto"/>
        <w:left w:val="none" w:sz="0" w:space="0" w:color="auto"/>
        <w:bottom w:val="none" w:sz="0" w:space="0" w:color="auto"/>
        <w:right w:val="none" w:sz="0" w:space="0" w:color="auto"/>
      </w:divBdr>
    </w:div>
    <w:div w:id="1378777287">
      <w:bodyDiv w:val="1"/>
      <w:marLeft w:val="0"/>
      <w:marRight w:val="0"/>
      <w:marTop w:val="0"/>
      <w:marBottom w:val="0"/>
      <w:divBdr>
        <w:top w:val="none" w:sz="0" w:space="0" w:color="auto"/>
        <w:left w:val="none" w:sz="0" w:space="0" w:color="auto"/>
        <w:bottom w:val="none" w:sz="0" w:space="0" w:color="auto"/>
        <w:right w:val="none" w:sz="0" w:space="0" w:color="auto"/>
      </w:divBdr>
    </w:div>
    <w:div w:id="1555463613">
      <w:bodyDiv w:val="1"/>
      <w:marLeft w:val="0"/>
      <w:marRight w:val="0"/>
      <w:marTop w:val="0"/>
      <w:marBottom w:val="0"/>
      <w:divBdr>
        <w:top w:val="none" w:sz="0" w:space="0" w:color="auto"/>
        <w:left w:val="none" w:sz="0" w:space="0" w:color="auto"/>
        <w:bottom w:val="none" w:sz="0" w:space="0" w:color="auto"/>
        <w:right w:val="none" w:sz="0" w:space="0" w:color="auto"/>
      </w:divBdr>
    </w:div>
    <w:div w:id="1574898819">
      <w:bodyDiv w:val="1"/>
      <w:marLeft w:val="0"/>
      <w:marRight w:val="0"/>
      <w:marTop w:val="0"/>
      <w:marBottom w:val="0"/>
      <w:divBdr>
        <w:top w:val="none" w:sz="0" w:space="0" w:color="auto"/>
        <w:left w:val="none" w:sz="0" w:space="0" w:color="auto"/>
        <w:bottom w:val="none" w:sz="0" w:space="0" w:color="auto"/>
        <w:right w:val="none" w:sz="0" w:space="0" w:color="auto"/>
      </w:divBdr>
    </w:div>
    <w:div w:id="1626888383">
      <w:bodyDiv w:val="1"/>
      <w:marLeft w:val="0"/>
      <w:marRight w:val="0"/>
      <w:marTop w:val="0"/>
      <w:marBottom w:val="0"/>
      <w:divBdr>
        <w:top w:val="none" w:sz="0" w:space="0" w:color="auto"/>
        <w:left w:val="none" w:sz="0" w:space="0" w:color="auto"/>
        <w:bottom w:val="none" w:sz="0" w:space="0" w:color="auto"/>
        <w:right w:val="none" w:sz="0" w:space="0" w:color="auto"/>
      </w:divBdr>
    </w:div>
    <w:div w:id="1670063417">
      <w:bodyDiv w:val="1"/>
      <w:marLeft w:val="0"/>
      <w:marRight w:val="0"/>
      <w:marTop w:val="0"/>
      <w:marBottom w:val="0"/>
      <w:divBdr>
        <w:top w:val="none" w:sz="0" w:space="0" w:color="auto"/>
        <w:left w:val="none" w:sz="0" w:space="0" w:color="auto"/>
        <w:bottom w:val="none" w:sz="0" w:space="0" w:color="auto"/>
        <w:right w:val="none" w:sz="0" w:space="0" w:color="auto"/>
      </w:divBdr>
    </w:div>
    <w:div w:id="1892883977">
      <w:bodyDiv w:val="1"/>
      <w:marLeft w:val="0"/>
      <w:marRight w:val="0"/>
      <w:marTop w:val="0"/>
      <w:marBottom w:val="0"/>
      <w:divBdr>
        <w:top w:val="none" w:sz="0" w:space="0" w:color="auto"/>
        <w:left w:val="none" w:sz="0" w:space="0" w:color="auto"/>
        <w:bottom w:val="none" w:sz="0" w:space="0" w:color="auto"/>
        <w:right w:val="none" w:sz="0" w:space="0" w:color="auto"/>
      </w:divBdr>
    </w:div>
    <w:div w:id="19082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espace.library.uq.edu.au/view/UQ:376530" TargetMode="External"/><Relationship Id="rId2" Type="http://schemas.openxmlformats.org/officeDocument/2006/relationships/hyperlink" Target="http://espace.library.uq.edu.au/view/UQ:376530" TargetMode="External"/><Relationship Id="rId1" Type="http://schemas.openxmlformats.org/officeDocument/2006/relationships/hyperlink" Target="http://www.cbsi.com.sb/publications/quarterly-revi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100" b="1" i="0" u="none" strike="noStrike" baseline="0">
                <a:effectLst/>
              </a:rPr>
              <a:t>2015-16 Expenditure against AIP o</a:t>
            </a:r>
            <a:r>
              <a:rPr lang="en-GB" sz="1100" b="1">
                <a:effectLst/>
              </a:rPr>
              <a:t>bjectives (percentage of total ODA)</a:t>
            </a:r>
            <a:endParaRPr lang="en-AU" sz="1100"/>
          </a:p>
        </c:rich>
      </c:tx>
      <c:layout/>
      <c:overlay val="0"/>
    </c:title>
    <c:autoTitleDeleted val="0"/>
    <c:plotArea>
      <c:layout/>
      <c:pieChart>
        <c:varyColors val="1"/>
        <c:ser>
          <c:idx val="0"/>
          <c:order val="0"/>
          <c:tx>
            <c:strRef>
              <c:f>Sheet1!$B$1</c:f>
              <c:strCache>
                <c:ptCount val="1"/>
                <c:pt idx="0">
                  <c:v>Column1</c:v>
                </c:pt>
              </c:strCache>
            </c:strRef>
          </c:tx>
          <c:dLbls>
            <c:dLbl>
              <c:idx val="0"/>
              <c:layout>
                <c:manualLayout>
                  <c:x val="-0.14117476905479934"/>
                  <c:y val="0.1034695614453221"/>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4637-4597-84A8-47D3A4F249B6}"/>
                </c:ext>
              </c:extLst>
            </c:dLbl>
            <c:dLbl>
              <c:idx val="1"/>
              <c:layout>
                <c:manualLayout>
                  <c:x val="-8.200031112126116E-2"/>
                  <c:y val="-0.16189916558937595"/>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637-4597-84A8-47D3A4F249B6}"/>
                </c:ext>
              </c:extLst>
            </c:dLbl>
            <c:dLbl>
              <c:idx val="2"/>
              <c:layout>
                <c:manualLayout>
                  <c:x val="0.16715693153325373"/>
                  <c:y val="3.156549620889116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4637-4597-84A8-47D3A4F249B6}"/>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Economic Growth</c:v>
                </c:pt>
                <c:pt idx="1">
                  <c:v>Stability (excluding Policing)</c:v>
                </c:pt>
                <c:pt idx="2">
                  <c:v>Human Development</c:v>
                </c:pt>
              </c:strCache>
            </c:strRef>
          </c:cat>
          <c:val>
            <c:numRef>
              <c:f>Sheet1!$B$2:$B$4</c:f>
              <c:numCache>
                <c:formatCode>General</c:formatCode>
                <c:ptCount val="3"/>
                <c:pt idx="0">
                  <c:v>27.9</c:v>
                </c:pt>
                <c:pt idx="1">
                  <c:v>25.3</c:v>
                </c:pt>
                <c:pt idx="2">
                  <c:v>38</c:v>
                </c:pt>
              </c:numCache>
            </c:numRef>
          </c:val>
          <c:extLst>
            <c:ext xmlns:c16="http://schemas.microsoft.com/office/drawing/2014/chart" uri="{C3380CC4-5D6E-409C-BE32-E72D297353CC}">
              <c16:uniqueId val="{00000003-4637-4597-84A8-47D3A4F249B6}"/>
            </c:ext>
          </c:extLst>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AFD4C-F9D7-49AA-A3B1-F38BFED85B8A}"/>
</file>

<file path=customXml/itemProps2.xml><?xml version="1.0" encoding="utf-8"?>
<ds:datastoreItem xmlns:ds="http://schemas.openxmlformats.org/officeDocument/2006/customXml" ds:itemID="{A4C4D06E-2FCB-490C-8911-F0526F8ED441}"/>
</file>

<file path=customXml/itemProps3.xml><?xml version="1.0" encoding="utf-8"?>
<ds:datastoreItem xmlns:ds="http://schemas.openxmlformats.org/officeDocument/2006/customXml" ds:itemID="{0920FDEB-B3DC-4088-9651-9C244EF8C303}"/>
</file>

<file path=customXml/itemProps4.xml><?xml version="1.0" encoding="utf-8"?>
<ds:datastoreItem xmlns:ds="http://schemas.openxmlformats.org/officeDocument/2006/customXml" ds:itemID="{B8597CCD-BC22-40DD-B7A5-86F03D3143F7}"/>
</file>

<file path=docProps/app.xml><?xml version="1.0" encoding="utf-8"?>
<Properties xmlns="http://schemas.openxmlformats.org/officeDocument/2006/extended-properties" xmlns:vt="http://schemas.openxmlformats.org/officeDocument/2006/docPropsVTypes">
  <Template>Normal.dotm</Template>
  <TotalTime>0</TotalTime>
  <Pages>33</Pages>
  <Words>12559</Words>
  <Characters>71590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2017-01-20T02:08:00Z</dcterms:created>
  <dcterms:modified xsi:type="dcterms:W3CDTF">2017-02-14T02:44:00Z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93a2a624-e356-47ee-a9fe-f1a1394bf994</vt:lpwstr>
  </property>
  <property fmtid="{D5CDD505-2E9C-101B-9397-08002B2CF9AE}" pid="3" name="ContentTypeId">
    <vt:lpwstr>0x01010050F19AC2165D2E47A5E6B7F563E4CF00</vt:lpwstr>
  </property>
  <property fmtid="{D5CDD505-2E9C-101B-9397-08002B2CF9AE}" pid="4" name="Order">
    <vt:r8>1055500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