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366CE" w14:textId="77777777" w:rsidR="00C06D82" w:rsidRPr="00C17942" w:rsidRDefault="00C06D82" w:rsidP="002041A4">
      <w:pPr>
        <w:pStyle w:val="Heading1"/>
        <w:numPr>
          <w:ilvl w:val="0"/>
          <w:numId w:val="0"/>
        </w:numPr>
        <w:rPr>
          <w:rFonts w:cs="Arial"/>
          <w:sz w:val="32"/>
        </w:rPr>
      </w:pPr>
      <w:bookmarkStart w:id="0" w:name="_Toc291849533"/>
      <w:bookmarkStart w:id="1" w:name="_Toc285214467"/>
      <w:bookmarkStart w:id="2" w:name="_Toc285215192"/>
      <w:bookmarkStart w:id="3" w:name="_Toc285215375"/>
      <w:r w:rsidRPr="00C17942">
        <w:rPr>
          <w:rFonts w:cs="Arial"/>
          <w:sz w:val="32"/>
        </w:rPr>
        <w:t>Guidance note</w:t>
      </w:r>
      <w:bookmarkEnd w:id="0"/>
    </w:p>
    <w:p w14:paraId="0AFBDC08" w14:textId="77777777" w:rsidR="00C06D82" w:rsidRPr="00C17942" w:rsidRDefault="00C06D82" w:rsidP="002041A4">
      <w:pPr>
        <w:pStyle w:val="Heading1"/>
        <w:numPr>
          <w:ilvl w:val="0"/>
          <w:numId w:val="0"/>
        </w:numPr>
        <w:rPr>
          <w:rFonts w:cs="Arial"/>
        </w:rPr>
      </w:pPr>
      <w:bookmarkStart w:id="4" w:name="_Toc291849534"/>
      <w:r w:rsidRPr="00C17942">
        <w:rPr>
          <w:rFonts w:cs="Arial"/>
        </w:rPr>
        <w:t>Social protection and nutrition</w:t>
      </w:r>
      <w:bookmarkEnd w:id="4"/>
      <w:r w:rsidRPr="00C17942">
        <w:rPr>
          <w:rFonts w:cs="Arial"/>
        </w:rPr>
        <w:t xml:space="preserve"> </w:t>
      </w:r>
      <w:bookmarkEnd w:id="1"/>
      <w:bookmarkEnd w:id="2"/>
      <w:bookmarkEnd w:id="3"/>
    </w:p>
    <w:p w14:paraId="7B34E7A9" w14:textId="77777777" w:rsidR="00C06D82" w:rsidRPr="00C17942" w:rsidRDefault="00C06D82" w:rsidP="002041A4">
      <w:pPr>
        <w:pStyle w:val="BodyText"/>
        <w:rPr>
          <w:rFonts w:cs="Arial"/>
          <w:sz w:val="36"/>
          <w:szCs w:val="36"/>
        </w:rPr>
      </w:pPr>
      <w:r w:rsidRPr="00C17942">
        <w:rPr>
          <w:rFonts w:cs="Arial"/>
        </w:rPr>
        <w:t>Nicholas</w:t>
      </w:r>
      <w:r w:rsidRPr="00C17942">
        <w:rPr>
          <w:rFonts w:cs="Arial"/>
          <w:spacing w:val="8"/>
        </w:rPr>
        <w:t xml:space="preserve"> </w:t>
      </w:r>
      <w:r w:rsidR="002041A4" w:rsidRPr="00C17942">
        <w:rPr>
          <w:rFonts w:cs="Arial"/>
        </w:rPr>
        <w:t>Freeland</w:t>
      </w:r>
      <w:r w:rsidRPr="00C17942">
        <w:rPr>
          <w:rFonts w:cs="Arial"/>
          <w:spacing w:val="8"/>
        </w:rPr>
        <w:t xml:space="preserve"> </w:t>
      </w:r>
      <w:r w:rsidRPr="00C17942">
        <w:rPr>
          <w:rFonts w:cs="Arial"/>
        </w:rPr>
        <w:t>and</w:t>
      </w:r>
      <w:r w:rsidRPr="00C17942">
        <w:rPr>
          <w:rFonts w:cs="Arial"/>
          <w:spacing w:val="-7"/>
        </w:rPr>
        <w:t xml:space="preserve"> </w:t>
      </w:r>
      <w:r w:rsidR="002041A4" w:rsidRPr="00C17942">
        <w:rPr>
          <w:rFonts w:cs="Arial"/>
        </w:rPr>
        <w:t xml:space="preserve">Cécile </w:t>
      </w:r>
      <w:proofErr w:type="spellStart"/>
      <w:r w:rsidR="002041A4" w:rsidRPr="00C17942">
        <w:rPr>
          <w:rFonts w:cs="Arial"/>
        </w:rPr>
        <w:t>Cherrier</w:t>
      </w:r>
      <w:proofErr w:type="spellEnd"/>
      <w:r w:rsidR="002041A4" w:rsidRPr="00C17942">
        <w:rPr>
          <w:rFonts w:cs="Arial"/>
        </w:rPr>
        <w:t>*</w:t>
      </w:r>
      <w:r w:rsidRPr="00C17942">
        <w:rPr>
          <w:rFonts w:cs="Arial"/>
          <w:sz w:val="36"/>
          <w:szCs w:val="36"/>
        </w:rPr>
        <w:t xml:space="preserve"> </w:t>
      </w:r>
    </w:p>
    <w:p w14:paraId="37A8268C" w14:textId="77777777" w:rsidR="002041A4" w:rsidRPr="00C17942" w:rsidRDefault="002041A4" w:rsidP="00224CD0">
      <w:pPr>
        <w:pStyle w:val="BodyText"/>
        <w:spacing w:before="10000"/>
        <w:rPr>
          <w:rStyle w:val="Hyperlink"/>
          <w:rFonts w:cs="Arial"/>
        </w:rPr>
      </w:pPr>
      <w:r w:rsidRPr="00C17942">
        <w:rPr>
          <w:rFonts w:cs="Arial"/>
          <w:sz w:val="20"/>
          <w:szCs w:val="20"/>
        </w:rPr>
        <w:t>*</w:t>
      </w:r>
      <w:r w:rsidRPr="00C17942">
        <w:rPr>
          <w:rStyle w:val="Hyperlink"/>
          <w:rFonts w:cs="Arial"/>
          <w:color w:val="auto"/>
          <w:sz w:val="20"/>
          <w:szCs w:val="20"/>
          <w:u w:val="none"/>
        </w:rPr>
        <w:t xml:space="preserve"> This Guidance Note draws on previous work by the authors for the Advisory Service in Social Transfers (</w:t>
      </w:r>
      <w:proofErr w:type="spellStart"/>
      <w:r w:rsidRPr="00C17942">
        <w:rPr>
          <w:rStyle w:val="Hyperlink"/>
          <w:rFonts w:cs="Arial"/>
          <w:color w:val="auto"/>
          <w:sz w:val="20"/>
          <w:szCs w:val="20"/>
          <w:u w:val="none"/>
        </w:rPr>
        <w:t>ASiST</w:t>
      </w:r>
      <w:proofErr w:type="spellEnd"/>
      <w:r w:rsidRPr="00C17942">
        <w:rPr>
          <w:rStyle w:val="Hyperlink"/>
          <w:rFonts w:cs="Arial"/>
          <w:color w:val="auto"/>
          <w:sz w:val="20"/>
          <w:szCs w:val="20"/>
          <w:u w:val="none"/>
        </w:rPr>
        <w:t xml:space="preserve">) of the European Commission </w:t>
      </w:r>
    </w:p>
    <w:p w14:paraId="48DB8EEB" w14:textId="77777777" w:rsidR="002041A4" w:rsidRPr="00C17942" w:rsidRDefault="002041A4" w:rsidP="002041A4">
      <w:pPr>
        <w:pStyle w:val="BodyText"/>
        <w:ind w:right="-574"/>
        <w:rPr>
          <w:rFonts w:cs="Arial"/>
        </w:rPr>
      </w:pPr>
      <w:r w:rsidRPr="00C17942">
        <w:rPr>
          <w:rFonts w:cs="Arial"/>
        </w:rPr>
        <w:t>April</w:t>
      </w:r>
      <w:r w:rsidRPr="00C17942">
        <w:rPr>
          <w:rFonts w:cs="Arial"/>
          <w:spacing w:val="19"/>
        </w:rPr>
        <w:t xml:space="preserve"> </w:t>
      </w:r>
      <w:r w:rsidRPr="00C17942">
        <w:rPr>
          <w:rFonts w:cs="Arial"/>
        </w:rPr>
        <w:t>2015</w:t>
      </w:r>
    </w:p>
    <w:p w14:paraId="2A06A0D8" w14:textId="77777777" w:rsidR="00224CD0" w:rsidRPr="00C17942" w:rsidRDefault="00224CD0">
      <w:pPr>
        <w:rPr>
          <w:rFonts w:ascii="Arial" w:eastAsiaTheme="majorEastAsia" w:hAnsi="Arial" w:cs="Arial"/>
          <w:b/>
          <w:bCs/>
          <w:sz w:val="44"/>
          <w:szCs w:val="32"/>
        </w:rPr>
      </w:pPr>
      <w:bookmarkStart w:id="5" w:name="_Toc291849535"/>
      <w:r w:rsidRPr="00C17942">
        <w:rPr>
          <w:rFonts w:ascii="Arial" w:hAnsi="Arial" w:cs="Arial"/>
        </w:rPr>
        <w:br w:type="page"/>
      </w:r>
    </w:p>
    <w:p w14:paraId="5B553F48" w14:textId="77777777" w:rsidR="002041A4" w:rsidRPr="00C17942" w:rsidRDefault="002041A4" w:rsidP="002041A4">
      <w:pPr>
        <w:pStyle w:val="Heading1"/>
        <w:numPr>
          <w:ilvl w:val="0"/>
          <w:numId w:val="0"/>
        </w:numPr>
        <w:rPr>
          <w:rFonts w:cs="Arial"/>
        </w:rPr>
      </w:pPr>
      <w:r w:rsidRPr="00C17942">
        <w:rPr>
          <w:rFonts w:cs="Arial"/>
        </w:rPr>
        <w:lastRenderedPageBreak/>
        <w:t>Contents</w:t>
      </w:r>
      <w:bookmarkEnd w:id="5"/>
    </w:p>
    <w:p w14:paraId="70698B90" w14:textId="77777777" w:rsidR="009A1DA1" w:rsidRPr="00C17942" w:rsidRDefault="00B32C9C" w:rsidP="00E439FE">
      <w:pPr>
        <w:pStyle w:val="TOC1"/>
        <w:tabs>
          <w:tab w:val="right" w:leader="dot" w:pos="8540"/>
        </w:tabs>
        <w:spacing w:after="120"/>
        <w:ind w:left="425" w:hanging="425"/>
        <w:rPr>
          <w:rFonts w:ascii="Arial" w:hAnsi="Arial" w:cs="Arial"/>
          <w:b w:val="0"/>
          <w:noProof/>
          <w:sz w:val="22"/>
          <w:szCs w:val="22"/>
          <w:lang w:eastAsia="ja-JP"/>
        </w:rPr>
      </w:pPr>
      <w:r w:rsidRPr="00C17942">
        <w:rPr>
          <w:rFonts w:ascii="Arial" w:hAnsi="Arial" w:cs="Arial"/>
        </w:rPr>
        <w:fldChar w:fldCharType="begin"/>
      </w:r>
      <w:r w:rsidR="009A1DA1" w:rsidRPr="00C17942">
        <w:rPr>
          <w:rFonts w:ascii="Arial" w:hAnsi="Arial" w:cs="Arial"/>
        </w:rPr>
        <w:instrText xml:space="preserve"> TOC \o "1-3" </w:instrText>
      </w:r>
      <w:r w:rsidRPr="00C17942">
        <w:rPr>
          <w:rFonts w:ascii="Arial" w:hAnsi="Arial" w:cs="Arial"/>
        </w:rPr>
        <w:fldChar w:fldCharType="separate"/>
      </w:r>
      <w:r w:rsidR="009A1DA1" w:rsidRPr="00C17942">
        <w:rPr>
          <w:rFonts w:ascii="Arial" w:hAnsi="Arial" w:cs="Arial"/>
          <w:b w:val="0"/>
          <w:noProof/>
          <w:sz w:val="22"/>
          <w:szCs w:val="22"/>
        </w:rPr>
        <w:t>Abbreviations</w:t>
      </w:r>
      <w:r w:rsidR="009A1DA1" w:rsidRPr="00C17942">
        <w:rPr>
          <w:rFonts w:ascii="Arial" w:hAnsi="Arial" w:cs="Arial"/>
          <w:b w:val="0"/>
          <w:noProof/>
          <w:sz w:val="22"/>
          <w:szCs w:val="22"/>
        </w:rPr>
        <w:tab/>
      </w:r>
      <w:r w:rsidRPr="00C17942">
        <w:rPr>
          <w:rFonts w:ascii="Arial" w:hAnsi="Arial" w:cs="Arial"/>
          <w:b w:val="0"/>
          <w:noProof/>
          <w:sz w:val="22"/>
          <w:szCs w:val="22"/>
        </w:rPr>
        <w:fldChar w:fldCharType="begin"/>
      </w:r>
      <w:r w:rsidR="009A1DA1" w:rsidRPr="00C17942">
        <w:rPr>
          <w:rFonts w:ascii="Arial" w:hAnsi="Arial" w:cs="Arial"/>
          <w:b w:val="0"/>
          <w:noProof/>
          <w:sz w:val="22"/>
          <w:szCs w:val="22"/>
        </w:rPr>
        <w:instrText xml:space="preserve"> PAGEREF _Toc291849536 \h </w:instrText>
      </w:r>
      <w:r w:rsidRPr="00C17942">
        <w:rPr>
          <w:rFonts w:ascii="Arial" w:hAnsi="Arial" w:cs="Arial"/>
          <w:b w:val="0"/>
          <w:noProof/>
          <w:sz w:val="22"/>
          <w:szCs w:val="22"/>
        </w:rPr>
      </w:r>
      <w:r w:rsidRPr="00C17942">
        <w:rPr>
          <w:rFonts w:ascii="Arial" w:hAnsi="Arial" w:cs="Arial"/>
          <w:b w:val="0"/>
          <w:noProof/>
          <w:sz w:val="22"/>
          <w:szCs w:val="22"/>
        </w:rPr>
        <w:fldChar w:fldCharType="separate"/>
      </w:r>
      <w:r w:rsidR="00224CD0" w:rsidRPr="00C17942">
        <w:rPr>
          <w:rFonts w:ascii="Arial" w:hAnsi="Arial" w:cs="Arial"/>
          <w:b w:val="0"/>
          <w:noProof/>
          <w:sz w:val="22"/>
          <w:szCs w:val="22"/>
        </w:rPr>
        <w:t>3</w:t>
      </w:r>
      <w:r w:rsidRPr="00C17942">
        <w:rPr>
          <w:rFonts w:ascii="Arial" w:hAnsi="Arial" w:cs="Arial"/>
          <w:b w:val="0"/>
          <w:noProof/>
          <w:sz w:val="22"/>
          <w:szCs w:val="22"/>
        </w:rPr>
        <w:fldChar w:fldCharType="end"/>
      </w:r>
    </w:p>
    <w:p w14:paraId="1C1C0E6C" w14:textId="77777777" w:rsidR="009A1DA1" w:rsidRPr="00C17942" w:rsidRDefault="009A1DA1" w:rsidP="00E439FE">
      <w:pPr>
        <w:pStyle w:val="TOC1"/>
        <w:tabs>
          <w:tab w:val="left" w:pos="438"/>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1.</w:t>
      </w:r>
      <w:r w:rsidRPr="00C17942">
        <w:rPr>
          <w:rFonts w:ascii="Arial" w:hAnsi="Arial" w:cs="Arial"/>
          <w:b w:val="0"/>
          <w:noProof/>
          <w:sz w:val="22"/>
          <w:szCs w:val="22"/>
          <w:lang w:eastAsia="ja-JP"/>
        </w:rPr>
        <w:tab/>
      </w:r>
      <w:r w:rsidRPr="00C17942">
        <w:rPr>
          <w:rFonts w:ascii="Arial" w:hAnsi="Arial" w:cs="Arial"/>
          <w:b w:val="0"/>
          <w:noProof/>
          <w:sz w:val="22"/>
          <w:szCs w:val="22"/>
        </w:rPr>
        <w:t>Introduction</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_Toc291849537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4</w:t>
      </w:r>
      <w:r w:rsidR="00B32C9C" w:rsidRPr="00C17942">
        <w:rPr>
          <w:rFonts w:ascii="Arial" w:hAnsi="Arial" w:cs="Arial"/>
          <w:b w:val="0"/>
          <w:noProof/>
          <w:sz w:val="22"/>
          <w:szCs w:val="22"/>
        </w:rPr>
        <w:fldChar w:fldCharType="end"/>
      </w:r>
    </w:p>
    <w:p w14:paraId="7B62097E"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What is malnutrition?</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_Toc291849538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4</w:t>
      </w:r>
      <w:r w:rsidR="00B32C9C" w:rsidRPr="00C17942">
        <w:rPr>
          <w:rFonts w:ascii="Arial" w:hAnsi="Arial" w:cs="Arial"/>
          <w:b w:val="0"/>
          <w:noProof/>
        </w:rPr>
        <w:fldChar w:fldCharType="end"/>
      </w:r>
    </w:p>
    <w:p w14:paraId="7B1312D1"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How can malnutrition be tackled?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_Toc291849540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6</w:t>
      </w:r>
      <w:r w:rsidR="00B32C9C" w:rsidRPr="00C17942">
        <w:rPr>
          <w:rFonts w:ascii="Arial" w:hAnsi="Arial" w:cs="Arial"/>
          <w:b w:val="0"/>
          <w:noProof/>
        </w:rPr>
        <w:fldChar w:fldCharType="end"/>
      </w:r>
    </w:p>
    <w:p w14:paraId="25C5D96F"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How can social protection help to tackle nutrition?</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_Toc291849541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8</w:t>
      </w:r>
      <w:r w:rsidR="00B32C9C" w:rsidRPr="00C17942">
        <w:rPr>
          <w:rFonts w:ascii="Arial" w:hAnsi="Arial" w:cs="Arial"/>
          <w:b w:val="0"/>
          <w:noProof/>
        </w:rPr>
        <w:fldChar w:fldCharType="end"/>
      </w:r>
    </w:p>
    <w:p w14:paraId="32333464" w14:textId="77777777" w:rsidR="009A1DA1" w:rsidRPr="00C17942" w:rsidRDefault="009A1DA1" w:rsidP="00E439FE">
      <w:pPr>
        <w:pStyle w:val="TOC1"/>
        <w:tabs>
          <w:tab w:val="left" w:pos="438"/>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2.</w:t>
      </w:r>
      <w:r w:rsidRPr="00C17942">
        <w:rPr>
          <w:rFonts w:ascii="Arial" w:hAnsi="Arial" w:cs="Arial"/>
          <w:b w:val="0"/>
          <w:noProof/>
          <w:sz w:val="22"/>
          <w:szCs w:val="22"/>
          <w:lang w:eastAsia="ja-JP"/>
        </w:rPr>
        <w:tab/>
      </w:r>
      <w:r w:rsidRPr="00C17942">
        <w:rPr>
          <w:rFonts w:ascii="Arial" w:hAnsi="Arial" w:cs="Arial"/>
          <w:b w:val="0"/>
          <w:noProof/>
          <w:sz w:val="22"/>
          <w:szCs w:val="22"/>
        </w:rPr>
        <w:t>Program identification</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_Toc291849542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10</w:t>
      </w:r>
      <w:r w:rsidR="00B32C9C" w:rsidRPr="00C17942">
        <w:rPr>
          <w:rFonts w:ascii="Arial" w:hAnsi="Arial" w:cs="Arial"/>
          <w:b w:val="0"/>
          <w:noProof/>
          <w:sz w:val="22"/>
          <w:szCs w:val="22"/>
        </w:rPr>
        <w:fldChar w:fldCharType="end"/>
      </w:r>
    </w:p>
    <w:p w14:paraId="716DBB97"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Has a nutrition situation analysis been conducted?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_Toc291849543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10</w:t>
      </w:r>
      <w:r w:rsidR="00B32C9C" w:rsidRPr="00C17942">
        <w:rPr>
          <w:rFonts w:ascii="Arial" w:hAnsi="Arial" w:cs="Arial"/>
          <w:b w:val="0"/>
          <w:noProof/>
        </w:rPr>
        <w:fldChar w:fldCharType="end"/>
      </w:r>
    </w:p>
    <w:p w14:paraId="19C272D7"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Is social protection an appropriate response?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_Toc291849544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10</w:t>
      </w:r>
      <w:r w:rsidR="00B32C9C" w:rsidRPr="00C17942">
        <w:rPr>
          <w:rFonts w:ascii="Arial" w:hAnsi="Arial" w:cs="Arial"/>
          <w:b w:val="0"/>
          <w:noProof/>
        </w:rPr>
        <w:fldChar w:fldCharType="end"/>
      </w:r>
    </w:p>
    <w:p w14:paraId="53BC53A2"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What is the nutrition policy context?</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_Toc291849545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10</w:t>
      </w:r>
      <w:r w:rsidR="00B32C9C" w:rsidRPr="00C17942">
        <w:rPr>
          <w:rFonts w:ascii="Arial" w:hAnsi="Arial" w:cs="Arial"/>
          <w:b w:val="0"/>
          <w:noProof/>
        </w:rPr>
        <w:fldChar w:fldCharType="end"/>
      </w:r>
    </w:p>
    <w:p w14:paraId="7AE14A29"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What is the institutional context?</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_Toc291849546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11</w:t>
      </w:r>
      <w:r w:rsidR="00B32C9C" w:rsidRPr="00C17942">
        <w:rPr>
          <w:rFonts w:ascii="Arial" w:hAnsi="Arial" w:cs="Arial"/>
          <w:b w:val="0"/>
          <w:noProof/>
        </w:rPr>
        <w:fldChar w:fldCharType="end"/>
      </w:r>
    </w:p>
    <w:p w14:paraId="2FE6FEB5"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What are the expected nutritional impacts?</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_Toc291849547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11</w:t>
      </w:r>
      <w:r w:rsidR="00B32C9C" w:rsidRPr="00C17942">
        <w:rPr>
          <w:rFonts w:ascii="Arial" w:hAnsi="Arial" w:cs="Arial"/>
          <w:b w:val="0"/>
          <w:noProof/>
        </w:rPr>
        <w:fldChar w:fldCharType="end"/>
      </w:r>
    </w:p>
    <w:p w14:paraId="4BC62A50" w14:textId="77777777" w:rsidR="009A1DA1" w:rsidRPr="00C17942" w:rsidRDefault="009A1DA1" w:rsidP="00E439FE">
      <w:pPr>
        <w:pStyle w:val="TOC1"/>
        <w:tabs>
          <w:tab w:val="left" w:pos="467"/>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3.</w:t>
      </w:r>
      <w:r w:rsidRPr="00C17942">
        <w:rPr>
          <w:rFonts w:ascii="Arial" w:hAnsi="Arial" w:cs="Arial"/>
          <w:b w:val="0"/>
          <w:noProof/>
          <w:sz w:val="22"/>
          <w:szCs w:val="22"/>
          <w:lang w:eastAsia="ja-JP"/>
        </w:rPr>
        <w:tab/>
      </w:r>
      <w:r w:rsidRPr="00C17942">
        <w:rPr>
          <w:rFonts w:ascii="Arial" w:hAnsi="Arial" w:cs="Arial"/>
          <w:b w:val="0"/>
          <w:noProof/>
          <w:sz w:val="22"/>
          <w:szCs w:val="22"/>
        </w:rPr>
        <w:t>Program design and redesign</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_Toc291849549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13</w:t>
      </w:r>
      <w:r w:rsidR="00B32C9C" w:rsidRPr="00C17942">
        <w:rPr>
          <w:rFonts w:ascii="Arial" w:hAnsi="Arial" w:cs="Arial"/>
          <w:b w:val="0"/>
          <w:noProof/>
          <w:sz w:val="22"/>
          <w:szCs w:val="22"/>
        </w:rPr>
        <w:fldChar w:fldCharType="end"/>
      </w:r>
    </w:p>
    <w:p w14:paraId="0C52209F"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What are the nutritional objectives?</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_Toc291849550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13</w:t>
      </w:r>
      <w:r w:rsidR="00B32C9C" w:rsidRPr="00C17942">
        <w:rPr>
          <w:rFonts w:ascii="Arial" w:hAnsi="Arial" w:cs="Arial"/>
          <w:b w:val="0"/>
          <w:noProof/>
        </w:rPr>
        <w:fldChar w:fldCharType="end"/>
      </w:r>
    </w:p>
    <w:p w14:paraId="45BA3A45"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Who will be eligible?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_Toc291849552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14</w:t>
      </w:r>
      <w:r w:rsidR="00B32C9C" w:rsidRPr="00C17942">
        <w:rPr>
          <w:rFonts w:ascii="Arial" w:hAnsi="Arial" w:cs="Arial"/>
          <w:b w:val="0"/>
          <w:noProof/>
        </w:rPr>
        <w:fldChar w:fldCharType="end"/>
      </w:r>
    </w:p>
    <w:p w14:paraId="145A3FFC"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Is the government appropriately engaged?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_Toc291849553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14</w:t>
      </w:r>
      <w:r w:rsidR="00B32C9C" w:rsidRPr="00C17942">
        <w:rPr>
          <w:rFonts w:ascii="Arial" w:hAnsi="Arial" w:cs="Arial"/>
          <w:b w:val="0"/>
          <w:noProof/>
        </w:rPr>
        <w:fldChar w:fldCharType="end"/>
      </w:r>
    </w:p>
    <w:p w14:paraId="655574FF"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Is the budget realistic?</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_Toc291849554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14</w:t>
      </w:r>
      <w:r w:rsidR="00B32C9C" w:rsidRPr="00C17942">
        <w:rPr>
          <w:rFonts w:ascii="Arial" w:hAnsi="Arial" w:cs="Arial"/>
          <w:b w:val="0"/>
          <w:noProof/>
        </w:rPr>
        <w:fldChar w:fldCharType="end"/>
      </w:r>
    </w:p>
    <w:p w14:paraId="1A763B4C" w14:textId="77777777" w:rsidR="009A1DA1" w:rsidRPr="00C17942" w:rsidRDefault="009A1DA1" w:rsidP="00E439FE">
      <w:pPr>
        <w:pStyle w:val="TOC1"/>
        <w:tabs>
          <w:tab w:val="left" w:pos="438"/>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4.</w:t>
      </w:r>
      <w:r w:rsidRPr="00C17942">
        <w:rPr>
          <w:rFonts w:ascii="Arial" w:hAnsi="Arial" w:cs="Arial"/>
          <w:b w:val="0"/>
          <w:noProof/>
          <w:sz w:val="22"/>
          <w:szCs w:val="22"/>
          <w:lang w:eastAsia="ja-JP"/>
        </w:rPr>
        <w:tab/>
      </w:r>
      <w:r w:rsidRPr="00C17942">
        <w:rPr>
          <w:rFonts w:ascii="Arial" w:hAnsi="Arial" w:cs="Arial"/>
          <w:b w:val="0"/>
          <w:noProof/>
          <w:sz w:val="22"/>
          <w:szCs w:val="22"/>
        </w:rPr>
        <w:t>Program implementation and review</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_Toc291849555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15</w:t>
      </w:r>
      <w:r w:rsidR="00B32C9C" w:rsidRPr="00C17942">
        <w:rPr>
          <w:rFonts w:ascii="Arial" w:hAnsi="Arial" w:cs="Arial"/>
          <w:b w:val="0"/>
          <w:noProof/>
          <w:sz w:val="22"/>
          <w:szCs w:val="22"/>
        </w:rPr>
        <w:fldChar w:fldCharType="end"/>
      </w:r>
    </w:p>
    <w:p w14:paraId="44CD9239"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spacing w:val="2"/>
        </w:rPr>
        <w:tab/>
      </w:r>
      <w:r w:rsidR="009A1DA1" w:rsidRPr="00C17942">
        <w:rPr>
          <w:rFonts w:ascii="Arial" w:hAnsi="Arial" w:cs="Arial"/>
          <w:b w:val="0"/>
          <w:noProof/>
          <w:spacing w:val="2"/>
        </w:rPr>
        <w:t xml:space="preserve">How will </w:t>
      </w:r>
      <w:r w:rsidR="009A1DA1" w:rsidRPr="00C17942">
        <w:rPr>
          <w:rFonts w:ascii="Arial" w:hAnsi="Arial" w:cs="Arial"/>
          <w:b w:val="0"/>
          <w:noProof/>
        </w:rPr>
        <w:t>nutritional messages be conveyed</w:t>
      </w:r>
      <w:r w:rsidR="009A1DA1" w:rsidRPr="00C17942">
        <w:rPr>
          <w:rFonts w:ascii="Arial" w:hAnsi="Arial" w:cs="Arial"/>
          <w:b w:val="0"/>
          <w:noProof/>
          <w:spacing w:val="2"/>
        </w:rPr>
        <w:t>?</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_Toc291849556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15</w:t>
      </w:r>
      <w:r w:rsidR="00B32C9C" w:rsidRPr="00C17942">
        <w:rPr>
          <w:rFonts w:ascii="Arial" w:hAnsi="Arial" w:cs="Arial"/>
          <w:b w:val="0"/>
          <w:noProof/>
        </w:rPr>
        <w:fldChar w:fldCharType="end"/>
      </w:r>
    </w:p>
    <w:p w14:paraId="1D6F76B7"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Is any work requirement nutrition-sensitive?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_Toc291849557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15</w:t>
      </w:r>
      <w:r w:rsidR="00B32C9C" w:rsidRPr="00C17942">
        <w:rPr>
          <w:rFonts w:ascii="Arial" w:hAnsi="Arial" w:cs="Arial"/>
          <w:b w:val="0"/>
          <w:noProof/>
        </w:rPr>
        <w:fldChar w:fldCharType="end"/>
      </w:r>
    </w:p>
    <w:p w14:paraId="582A146F"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Are the type and value of the transfer nutrition-sensitive?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_Toc291849558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15</w:t>
      </w:r>
      <w:r w:rsidR="00B32C9C" w:rsidRPr="00C17942">
        <w:rPr>
          <w:rFonts w:ascii="Arial" w:hAnsi="Arial" w:cs="Arial"/>
          <w:b w:val="0"/>
          <w:noProof/>
        </w:rPr>
        <w:fldChar w:fldCharType="end"/>
      </w:r>
    </w:p>
    <w:p w14:paraId="615ECAE0"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Are delivery mechanisms and frequency nutrition-sensitive?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_Toc291849559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16</w:t>
      </w:r>
      <w:r w:rsidR="00B32C9C" w:rsidRPr="00C17942">
        <w:rPr>
          <w:rFonts w:ascii="Arial" w:hAnsi="Arial" w:cs="Arial"/>
          <w:b w:val="0"/>
          <w:noProof/>
        </w:rPr>
        <w:fldChar w:fldCharType="end"/>
      </w:r>
    </w:p>
    <w:p w14:paraId="0C99EA71"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Are conditions desirable?</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_Toc291849560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16</w:t>
      </w:r>
      <w:r w:rsidR="00B32C9C" w:rsidRPr="00C17942">
        <w:rPr>
          <w:rFonts w:ascii="Arial" w:hAnsi="Arial" w:cs="Arial"/>
          <w:b w:val="0"/>
          <w:noProof/>
        </w:rPr>
        <w:fldChar w:fldCharType="end"/>
      </w:r>
    </w:p>
    <w:p w14:paraId="07C39638" w14:textId="77777777" w:rsidR="009A1DA1" w:rsidRPr="00C17942" w:rsidRDefault="009A1DA1" w:rsidP="00E439FE">
      <w:pPr>
        <w:pStyle w:val="TOC1"/>
        <w:tabs>
          <w:tab w:val="left" w:pos="438"/>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5.</w:t>
      </w:r>
      <w:r w:rsidRPr="00C17942">
        <w:rPr>
          <w:rFonts w:ascii="Arial" w:hAnsi="Arial" w:cs="Arial"/>
          <w:b w:val="0"/>
          <w:noProof/>
          <w:sz w:val="22"/>
          <w:szCs w:val="22"/>
          <w:lang w:eastAsia="ja-JP"/>
        </w:rPr>
        <w:tab/>
      </w:r>
      <w:r w:rsidRPr="00C17942">
        <w:rPr>
          <w:rFonts w:ascii="Arial" w:hAnsi="Arial" w:cs="Arial"/>
          <w:b w:val="0"/>
          <w:noProof/>
          <w:sz w:val="22"/>
          <w:szCs w:val="22"/>
        </w:rPr>
        <w:t>Program monitoring and evaluation</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_Toc291849561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17</w:t>
      </w:r>
      <w:r w:rsidR="00B32C9C" w:rsidRPr="00C17942">
        <w:rPr>
          <w:rFonts w:ascii="Arial" w:hAnsi="Arial" w:cs="Arial"/>
          <w:b w:val="0"/>
          <w:noProof/>
          <w:sz w:val="22"/>
          <w:szCs w:val="22"/>
        </w:rPr>
        <w:fldChar w:fldCharType="end"/>
      </w:r>
    </w:p>
    <w:p w14:paraId="7566996A"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Are nutrition indicators included?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_Toc291849562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17</w:t>
      </w:r>
      <w:r w:rsidR="00B32C9C" w:rsidRPr="00C17942">
        <w:rPr>
          <w:rFonts w:ascii="Arial" w:hAnsi="Arial" w:cs="Arial"/>
          <w:b w:val="0"/>
          <w:noProof/>
        </w:rPr>
        <w:fldChar w:fldCharType="end"/>
      </w:r>
    </w:p>
    <w:p w14:paraId="7C1864C0"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How will data for monitoring be collected?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_Toc291849563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17</w:t>
      </w:r>
      <w:r w:rsidR="00B32C9C" w:rsidRPr="00C17942">
        <w:rPr>
          <w:rFonts w:ascii="Arial" w:hAnsi="Arial" w:cs="Arial"/>
          <w:b w:val="0"/>
          <w:noProof/>
        </w:rPr>
        <w:fldChar w:fldCharType="end"/>
      </w:r>
    </w:p>
    <w:p w14:paraId="4EDE13A8" w14:textId="77777777" w:rsidR="009A1DA1" w:rsidRPr="00C17942" w:rsidRDefault="00E439FE" w:rsidP="00E439FE">
      <w:pPr>
        <w:pStyle w:val="TOC2"/>
        <w:tabs>
          <w:tab w:val="right" w:leader="dot" w:pos="8540"/>
        </w:tabs>
        <w:spacing w:before="120" w:after="120"/>
        <w:ind w:left="425" w:hanging="425"/>
        <w:rPr>
          <w:rFonts w:ascii="Arial" w:hAnsi="Arial" w:cs="Arial"/>
          <w:b w:val="0"/>
          <w:noProof/>
          <w:lang w:eastAsia="ja-JP"/>
        </w:rPr>
      </w:pPr>
      <w:r w:rsidRPr="00C17942">
        <w:rPr>
          <w:rFonts w:ascii="Arial" w:hAnsi="Arial" w:cs="Arial"/>
          <w:b w:val="0"/>
          <w:noProof/>
        </w:rPr>
        <w:tab/>
      </w:r>
      <w:r w:rsidR="009A1DA1" w:rsidRPr="00C17942">
        <w:rPr>
          <w:rFonts w:ascii="Arial" w:hAnsi="Arial" w:cs="Arial"/>
          <w:b w:val="0"/>
          <w:noProof/>
        </w:rPr>
        <w:t>How will nutrition-related impacts be captured?</w:t>
      </w:r>
      <w:r w:rsidR="009A1DA1" w:rsidRPr="00C17942">
        <w:rPr>
          <w:rFonts w:ascii="Arial" w:hAnsi="Arial" w:cs="Arial"/>
          <w:b w:val="0"/>
          <w:noProof/>
        </w:rPr>
        <w:tab/>
      </w:r>
      <w:r w:rsidR="00B32C9C" w:rsidRPr="00C17942">
        <w:rPr>
          <w:rFonts w:ascii="Arial" w:hAnsi="Arial" w:cs="Arial"/>
          <w:b w:val="0"/>
          <w:noProof/>
        </w:rPr>
        <w:fldChar w:fldCharType="begin"/>
      </w:r>
      <w:r w:rsidR="009A1DA1" w:rsidRPr="00C17942">
        <w:rPr>
          <w:rFonts w:ascii="Arial" w:hAnsi="Arial" w:cs="Arial"/>
          <w:b w:val="0"/>
          <w:noProof/>
        </w:rPr>
        <w:instrText xml:space="preserve"> PAGEREF _Toc291849564 \h </w:instrText>
      </w:r>
      <w:r w:rsidR="00B32C9C" w:rsidRPr="00C17942">
        <w:rPr>
          <w:rFonts w:ascii="Arial" w:hAnsi="Arial" w:cs="Arial"/>
          <w:b w:val="0"/>
          <w:noProof/>
        </w:rPr>
      </w:r>
      <w:r w:rsidR="00B32C9C" w:rsidRPr="00C17942">
        <w:rPr>
          <w:rFonts w:ascii="Arial" w:hAnsi="Arial" w:cs="Arial"/>
          <w:b w:val="0"/>
          <w:noProof/>
        </w:rPr>
        <w:fldChar w:fldCharType="separate"/>
      </w:r>
      <w:r w:rsidR="00224CD0" w:rsidRPr="00C17942">
        <w:rPr>
          <w:rFonts w:ascii="Arial" w:hAnsi="Arial" w:cs="Arial"/>
          <w:b w:val="0"/>
          <w:noProof/>
        </w:rPr>
        <w:t>17</w:t>
      </w:r>
      <w:r w:rsidR="00B32C9C" w:rsidRPr="00C17942">
        <w:rPr>
          <w:rFonts w:ascii="Arial" w:hAnsi="Arial" w:cs="Arial"/>
          <w:b w:val="0"/>
          <w:noProof/>
        </w:rPr>
        <w:fldChar w:fldCharType="end"/>
      </w:r>
    </w:p>
    <w:p w14:paraId="38A50240" w14:textId="77777777" w:rsidR="009A1DA1" w:rsidRPr="00C17942" w:rsidRDefault="009A1DA1" w:rsidP="00E439FE">
      <w:pPr>
        <w:pStyle w:val="TOC1"/>
        <w:tabs>
          <w:tab w:val="left" w:pos="438"/>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6.</w:t>
      </w:r>
      <w:r w:rsidRPr="00C17942">
        <w:rPr>
          <w:rFonts w:ascii="Arial" w:hAnsi="Arial" w:cs="Arial"/>
          <w:b w:val="0"/>
          <w:noProof/>
          <w:sz w:val="22"/>
          <w:szCs w:val="22"/>
          <w:lang w:eastAsia="ja-JP"/>
        </w:rPr>
        <w:tab/>
      </w:r>
      <w:r w:rsidRPr="00C17942">
        <w:rPr>
          <w:rFonts w:ascii="Arial" w:hAnsi="Arial" w:cs="Arial"/>
          <w:b w:val="0"/>
          <w:noProof/>
          <w:sz w:val="22"/>
          <w:szCs w:val="22"/>
        </w:rPr>
        <w:t>Conclusion</w:t>
      </w:r>
      <w:r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Pr="00C17942">
        <w:rPr>
          <w:rFonts w:ascii="Arial" w:hAnsi="Arial" w:cs="Arial"/>
          <w:b w:val="0"/>
          <w:noProof/>
          <w:sz w:val="22"/>
          <w:szCs w:val="22"/>
        </w:rPr>
        <w:instrText xml:space="preserve"> PAGEREF _Toc291849565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18</w:t>
      </w:r>
      <w:r w:rsidR="00B32C9C" w:rsidRPr="00C17942">
        <w:rPr>
          <w:rFonts w:ascii="Arial" w:hAnsi="Arial" w:cs="Arial"/>
          <w:b w:val="0"/>
          <w:noProof/>
          <w:sz w:val="22"/>
          <w:szCs w:val="22"/>
        </w:rPr>
        <w:fldChar w:fldCharType="end"/>
      </w:r>
    </w:p>
    <w:p w14:paraId="2D543282" w14:textId="77777777" w:rsidR="009A1DA1" w:rsidRPr="00C17942" w:rsidRDefault="00E439FE" w:rsidP="00E439FE">
      <w:pPr>
        <w:pStyle w:val="TOC1"/>
        <w:tabs>
          <w:tab w:val="right" w:leader="dot" w:pos="8540"/>
        </w:tabs>
        <w:spacing w:after="120"/>
        <w:ind w:left="425" w:hanging="425"/>
        <w:rPr>
          <w:rFonts w:ascii="Arial" w:hAnsi="Arial" w:cs="Arial"/>
          <w:b w:val="0"/>
          <w:noProof/>
          <w:sz w:val="22"/>
          <w:szCs w:val="22"/>
          <w:lang w:eastAsia="ja-JP"/>
        </w:rPr>
      </w:pPr>
      <w:r w:rsidRPr="00C17942">
        <w:rPr>
          <w:rFonts w:ascii="Arial" w:hAnsi="Arial" w:cs="Arial"/>
          <w:b w:val="0"/>
          <w:noProof/>
          <w:sz w:val="22"/>
          <w:szCs w:val="22"/>
        </w:rPr>
        <w:tab/>
      </w:r>
      <w:r w:rsidR="009A1DA1" w:rsidRPr="00C17942">
        <w:rPr>
          <w:rFonts w:ascii="Arial" w:hAnsi="Arial" w:cs="Arial"/>
          <w:b w:val="0"/>
          <w:noProof/>
          <w:sz w:val="22"/>
          <w:szCs w:val="22"/>
        </w:rPr>
        <w:t>References</w:t>
      </w:r>
      <w:r w:rsidR="009A1DA1" w:rsidRPr="00C17942">
        <w:rPr>
          <w:rFonts w:ascii="Arial" w:hAnsi="Arial" w:cs="Arial"/>
          <w:b w:val="0"/>
          <w:noProof/>
          <w:sz w:val="22"/>
          <w:szCs w:val="22"/>
        </w:rPr>
        <w:tab/>
      </w:r>
      <w:r w:rsidR="00B32C9C" w:rsidRPr="00C17942">
        <w:rPr>
          <w:rFonts w:ascii="Arial" w:hAnsi="Arial" w:cs="Arial"/>
          <w:b w:val="0"/>
          <w:noProof/>
          <w:sz w:val="22"/>
          <w:szCs w:val="22"/>
        </w:rPr>
        <w:fldChar w:fldCharType="begin"/>
      </w:r>
      <w:r w:rsidR="009A1DA1" w:rsidRPr="00C17942">
        <w:rPr>
          <w:rFonts w:ascii="Arial" w:hAnsi="Arial" w:cs="Arial"/>
          <w:b w:val="0"/>
          <w:noProof/>
          <w:sz w:val="22"/>
          <w:szCs w:val="22"/>
        </w:rPr>
        <w:instrText xml:space="preserve"> PAGEREF _Toc291849566 \h </w:instrText>
      </w:r>
      <w:r w:rsidR="00B32C9C" w:rsidRPr="00C17942">
        <w:rPr>
          <w:rFonts w:ascii="Arial" w:hAnsi="Arial" w:cs="Arial"/>
          <w:b w:val="0"/>
          <w:noProof/>
          <w:sz w:val="22"/>
          <w:szCs w:val="22"/>
        </w:rPr>
      </w:r>
      <w:r w:rsidR="00B32C9C" w:rsidRPr="00C17942">
        <w:rPr>
          <w:rFonts w:ascii="Arial" w:hAnsi="Arial" w:cs="Arial"/>
          <w:b w:val="0"/>
          <w:noProof/>
          <w:sz w:val="22"/>
          <w:szCs w:val="22"/>
        </w:rPr>
        <w:fldChar w:fldCharType="separate"/>
      </w:r>
      <w:r w:rsidR="00224CD0" w:rsidRPr="00C17942">
        <w:rPr>
          <w:rFonts w:ascii="Arial" w:hAnsi="Arial" w:cs="Arial"/>
          <w:b w:val="0"/>
          <w:noProof/>
          <w:sz w:val="22"/>
          <w:szCs w:val="22"/>
        </w:rPr>
        <w:t>19</w:t>
      </w:r>
      <w:r w:rsidR="00B32C9C" w:rsidRPr="00C17942">
        <w:rPr>
          <w:rFonts w:ascii="Arial" w:hAnsi="Arial" w:cs="Arial"/>
          <w:b w:val="0"/>
          <w:noProof/>
          <w:sz w:val="22"/>
          <w:szCs w:val="22"/>
        </w:rPr>
        <w:fldChar w:fldCharType="end"/>
      </w:r>
    </w:p>
    <w:p w14:paraId="1222763A" w14:textId="77777777" w:rsidR="002041A4" w:rsidRPr="00C17942" w:rsidRDefault="00B32C9C" w:rsidP="00224CD0">
      <w:pPr>
        <w:pStyle w:val="Heading1"/>
        <w:numPr>
          <w:ilvl w:val="0"/>
          <w:numId w:val="0"/>
        </w:numPr>
        <w:ind w:left="426" w:hanging="426"/>
        <w:rPr>
          <w:rFonts w:cs="Arial"/>
          <w:b w:val="0"/>
          <w:bCs w:val="0"/>
        </w:rPr>
      </w:pPr>
      <w:r w:rsidRPr="00C17942">
        <w:rPr>
          <w:rFonts w:cs="Arial"/>
        </w:rPr>
        <w:fldChar w:fldCharType="end"/>
      </w:r>
      <w:r w:rsidR="002041A4" w:rsidRPr="00C17942">
        <w:rPr>
          <w:rFonts w:cs="Arial"/>
        </w:rPr>
        <w:br w:type="page"/>
      </w:r>
    </w:p>
    <w:p w14:paraId="4F1E501C" w14:textId="77777777" w:rsidR="00C06D82" w:rsidRPr="00C17942" w:rsidRDefault="00C06D82" w:rsidP="002041A4">
      <w:pPr>
        <w:pStyle w:val="Heading1"/>
        <w:numPr>
          <w:ilvl w:val="0"/>
          <w:numId w:val="0"/>
        </w:numPr>
        <w:rPr>
          <w:rFonts w:cs="Arial"/>
        </w:rPr>
      </w:pPr>
      <w:bookmarkStart w:id="6" w:name="_Toc291849536"/>
      <w:r w:rsidRPr="00C17942">
        <w:rPr>
          <w:rFonts w:cs="Arial"/>
        </w:rPr>
        <w:t>Abbreviations</w:t>
      </w:r>
      <w:bookmarkEnd w:id="6"/>
    </w:p>
    <w:p w14:paraId="58F40F1F" w14:textId="77777777" w:rsidR="00C06D82" w:rsidRPr="00C17942" w:rsidRDefault="00C06D82" w:rsidP="00C06D82">
      <w:pPr>
        <w:pStyle w:val="BodyText"/>
        <w:rPr>
          <w:rFonts w:cs="Arial"/>
          <w:lang w:val="en-GB"/>
        </w:rPr>
      </w:pPr>
      <w:r w:rsidRPr="00C17942">
        <w:rPr>
          <w:rFonts w:cs="Arial"/>
          <w:lang w:val="en-GB"/>
        </w:rPr>
        <w:t>CCT</w:t>
      </w:r>
      <w:r w:rsidRPr="00C17942">
        <w:rPr>
          <w:rFonts w:cs="Arial"/>
          <w:lang w:val="en-GB"/>
        </w:rPr>
        <w:tab/>
      </w:r>
      <w:r w:rsidRPr="00C17942">
        <w:rPr>
          <w:rFonts w:cs="Arial"/>
          <w:lang w:val="en-GB"/>
        </w:rPr>
        <w:tab/>
        <w:t>Conditional Cash Transfer</w:t>
      </w:r>
    </w:p>
    <w:p w14:paraId="25F50702" w14:textId="77777777" w:rsidR="00C06D82" w:rsidRPr="00C17942" w:rsidRDefault="00C06D82" w:rsidP="00C06D82">
      <w:pPr>
        <w:pStyle w:val="BodyText"/>
        <w:rPr>
          <w:rFonts w:cs="Arial"/>
          <w:lang w:val="en-GB"/>
        </w:rPr>
      </w:pPr>
      <w:r w:rsidRPr="00C17942">
        <w:rPr>
          <w:rFonts w:cs="Arial"/>
          <w:lang w:val="en-GB"/>
        </w:rPr>
        <w:t>DFAT</w:t>
      </w:r>
      <w:r w:rsidRPr="00C17942">
        <w:rPr>
          <w:rFonts w:cs="Arial"/>
          <w:lang w:val="en-GB"/>
        </w:rPr>
        <w:tab/>
      </w:r>
      <w:r w:rsidRPr="00C17942">
        <w:rPr>
          <w:rFonts w:cs="Arial"/>
          <w:lang w:val="en-GB"/>
        </w:rPr>
        <w:tab/>
        <w:t>Department of Foreign Affairs and Trade</w:t>
      </w:r>
    </w:p>
    <w:p w14:paraId="441A9D09" w14:textId="77777777" w:rsidR="00C06D82" w:rsidRPr="00C17942" w:rsidRDefault="00C06D82" w:rsidP="00C06D82">
      <w:pPr>
        <w:pStyle w:val="BodyText"/>
        <w:rPr>
          <w:rFonts w:cs="Arial"/>
          <w:lang w:val="en-GB"/>
        </w:rPr>
      </w:pPr>
      <w:r w:rsidRPr="00C17942">
        <w:rPr>
          <w:rFonts w:cs="Arial"/>
          <w:lang w:val="en-GB"/>
        </w:rPr>
        <w:t>DHS</w:t>
      </w:r>
      <w:r w:rsidRPr="00C17942">
        <w:rPr>
          <w:rFonts w:cs="Arial"/>
          <w:lang w:val="en-GB"/>
        </w:rPr>
        <w:tab/>
      </w:r>
      <w:r w:rsidRPr="00C17942">
        <w:rPr>
          <w:rFonts w:cs="Arial"/>
          <w:lang w:val="en-GB"/>
        </w:rPr>
        <w:tab/>
        <w:t>Demographic &amp; Health Survey</w:t>
      </w:r>
    </w:p>
    <w:p w14:paraId="4C073CC8" w14:textId="77777777" w:rsidR="00C06D82" w:rsidRPr="00C17942" w:rsidRDefault="00C06D82" w:rsidP="00C06D82">
      <w:pPr>
        <w:pStyle w:val="BodyText"/>
        <w:rPr>
          <w:rFonts w:cs="Arial"/>
          <w:lang w:val="en-GB"/>
        </w:rPr>
      </w:pPr>
      <w:r w:rsidRPr="00C17942">
        <w:rPr>
          <w:rFonts w:cs="Arial"/>
          <w:lang w:val="en-GB"/>
        </w:rPr>
        <w:t>HBS</w:t>
      </w:r>
      <w:r w:rsidRPr="00C17942">
        <w:rPr>
          <w:rFonts w:cs="Arial"/>
          <w:lang w:val="en-GB"/>
        </w:rPr>
        <w:tab/>
      </w:r>
      <w:r w:rsidRPr="00C17942">
        <w:rPr>
          <w:rFonts w:cs="Arial"/>
          <w:lang w:val="en-GB"/>
        </w:rPr>
        <w:tab/>
        <w:t>Household Budget Survey</w:t>
      </w:r>
    </w:p>
    <w:p w14:paraId="4CB3AEAE" w14:textId="77777777" w:rsidR="00C06D82" w:rsidRPr="00C17942" w:rsidRDefault="00C06D82" w:rsidP="00C06D82">
      <w:pPr>
        <w:pStyle w:val="BodyText"/>
        <w:rPr>
          <w:rFonts w:cs="Arial"/>
          <w:lang w:val="en-GB"/>
        </w:rPr>
      </w:pPr>
      <w:r w:rsidRPr="00C17942">
        <w:rPr>
          <w:rFonts w:cs="Arial"/>
          <w:lang w:val="en-GB"/>
        </w:rPr>
        <w:t xml:space="preserve">HIES </w:t>
      </w:r>
      <w:r w:rsidRPr="00C17942">
        <w:rPr>
          <w:rFonts w:cs="Arial"/>
          <w:lang w:val="en-GB"/>
        </w:rPr>
        <w:tab/>
      </w:r>
      <w:r w:rsidRPr="00C17942">
        <w:rPr>
          <w:rFonts w:cs="Arial"/>
          <w:lang w:val="en-GB"/>
        </w:rPr>
        <w:tab/>
        <w:t>Household Income and Expenditure Survey</w:t>
      </w:r>
    </w:p>
    <w:p w14:paraId="244123E0" w14:textId="77777777" w:rsidR="00C06D82" w:rsidRPr="00C17942" w:rsidRDefault="00C06D82" w:rsidP="00C06D82">
      <w:pPr>
        <w:pStyle w:val="BodyText"/>
        <w:rPr>
          <w:rFonts w:cs="Arial"/>
          <w:lang w:val="en-GB"/>
        </w:rPr>
      </w:pPr>
      <w:r w:rsidRPr="00C17942">
        <w:rPr>
          <w:rFonts w:cs="Arial"/>
          <w:lang w:val="en-GB"/>
        </w:rPr>
        <w:t>IFA</w:t>
      </w:r>
      <w:r w:rsidRPr="00C17942">
        <w:rPr>
          <w:rFonts w:cs="Arial"/>
          <w:lang w:val="en-GB"/>
        </w:rPr>
        <w:tab/>
      </w:r>
      <w:r w:rsidRPr="00C17942">
        <w:rPr>
          <w:rFonts w:cs="Arial"/>
          <w:lang w:val="en-GB"/>
        </w:rPr>
        <w:tab/>
        <w:t>Iron and Folic Acid</w:t>
      </w:r>
    </w:p>
    <w:p w14:paraId="720A19F8" w14:textId="77777777" w:rsidR="00C06D82" w:rsidRPr="00C17942" w:rsidRDefault="00C06D82" w:rsidP="00C06D82">
      <w:pPr>
        <w:pStyle w:val="BodyText"/>
        <w:rPr>
          <w:rFonts w:cs="Arial"/>
          <w:lang w:val="en-GB"/>
        </w:rPr>
      </w:pPr>
      <w:r w:rsidRPr="00C17942">
        <w:rPr>
          <w:rFonts w:cs="Arial"/>
          <w:lang w:val="en-GB"/>
        </w:rPr>
        <w:t>M&amp;E</w:t>
      </w:r>
      <w:r w:rsidRPr="00C17942">
        <w:rPr>
          <w:rFonts w:cs="Arial"/>
          <w:lang w:val="en-GB"/>
        </w:rPr>
        <w:tab/>
      </w:r>
      <w:r w:rsidRPr="00C17942">
        <w:rPr>
          <w:rFonts w:cs="Arial"/>
          <w:lang w:val="en-GB"/>
        </w:rPr>
        <w:tab/>
        <w:t>Monitoring and Evaluation</w:t>
      </w:r>
    </w:p>
    <w:p w14:paraId="089337E2" w14:textId="77777777" w:rsidR="00C06D82" w:rsidRPr="00C17942" w:rsidRDefault="00C06D82" w:rsidP="00C06D82">
      <w:pPr>
        <w:pStyle w:val="BodyText"/>
        <w:rPr>
          <w:rFonts w:cs="Arial"/>
          <w:lang w:val="en-GB"/>
        </w:rPr>
      </w:pPr>
      <w:r w:rsidRPr="00C17942">
        <w:rPr>
          <w:rFonts w:cs="Arial"/>
          <w:lang w:val="en-GB"/>
        </w:rPr>
        <w:t>MDG</w:t>
      </w:r>
      <w:r w:rsidRPr="00C17942">
        <w:rPr>
          <w:rFonts w:cs="Arial"/>
          <w:lang w:val="en-GB"/>
        </w:rPr>
        <w:tab/>
      </w:r>
      <w:r w:rsidRPr="00C17942">
        <w:rPr>
          <w:rFonts w:cs="Arial"/>
          <w:lang w:val="en-GB"/>
        </w:rPr>
        <w:tab/>
        <w:t>Millennium Development Goal</w:t>
      </w:r>
    </w:p>
    <w:p w14:paraId="12D38516" w14:textId="77777777" w:rsidR="00C06D82" w:rsidRPr="00C17942" w:rsidRDefault="00C06D82" w:rsidP="00C06D82">
      <w:pPr>
        <w:pStyle w:val="BodyText"/>
        <w:rPr>
          <w:rFonts w:cs="Arial"/>
          <w:lang w:val="en-GB"/>
        </w:rPr>
      </w:pPr>
      <w:r w:rsidRPr="00C17942">
        <w:rPr>
          <w:rFonts w:cs="Arial"/>
          <w:lang w:val="en-GB"/>
        </w:rPr>
        <w:t xml:space="preserve">NGO </w:t>
      </w:r>
      <w:r w:rsidRPr="00C17942">
        <w:rPr>
          <w:rFonts w:cs="Arial"/>
          <w:lang w:val="en-GB"/>
        </w:rPr>
        <w:tab/>
      </w:r>
      <w:r w:rsidRPr="00C17942">
        <w:rPr>
          <w:rFonts w:cs="Arial"/>
          <w:lang w:val="en-GB"/>
        </w:rPr>
        <w:tab/>
        <w:t>Non-Government Organization</w:t>
      </w:r>
    </w:p>
    <w:p w14:paraId="57A5685E" w14:textId="77777777" w:rsidR="00C06D82" w:rsidRPr="00C17942" w:rsidRDefault="00C06D82" w:rsidP="00C06D82">
      <w:pPr>
        <w:pStyle w:val="BodyText"/>
        <w:rPr>
          <w:rFonts w:cs="Arial"/>
          <w:lang w:val="en-GB"/>
        </w:rPr>
      </w:pPr>
      <w:r w:rsidRPr="00C17942">
        <w:rPr>
          <w:rFonts w:cs="Arial"/>
          <w:lang w:val="en-GB"/>
        </w:rPr>
        <w:t>REACH</w:t>
      </w:r>
      <w:r w:rsidRPr="00C17942">
        <w:rPr>
          <w:rFonts w:cs="Arial"/>
          <w:lang w:val="en-GB"/>
        </w:rPr>
        <w:tab/>
        <w:t xml:space="preserve">Renewed Efforts Against Child Hunger (and </w:t>
      </w:r>
      <w:proofErr w:type="spellStart"/>
      <w:r w:rsidRPr="00C17942">
        <w:rPr>
          <w:rFonts w:cs="Arial"/>
          <w:lang w:val="en-GB"/>
        </w:rPr>
        <w:t>Undernutrition</w:t>
      </w:r>
      <w:proofErr w:type="spellEnd"/>
      <w:r w:rsidRPr="00C17942">
        <w:rPr>
          <w:rFonts w:cs="Arial"/>
          <w:lang w:val="en-GB"/>
        </w:rPr>
        <w:t>)</w:t>
      </w:r>
    </w:p>
    <w:p w14:paraId="7FA1D402" w14:textId="77777777" w:rsidR="00C06D82" w:rsidRPr="00C17942" w:rsidRDefault="00C06D82" w:rsidP="00C06D82">
      <w:pPr>
        <w:pStyle w:val="BodyText"/>
        <w:rPr>
          <w:rFonts w:cs="Arial"/>
          <w:lang w:val="en-GB"/>
        </w:rPr>
      </w:pPr>
      <w:r w:rsidRPr="00C17942">
        <w:rPr>
          <w:rFonts w:cs="Arial"/>
          <w:lang w:val="en-GB"/>
        </w:rPr>
        <w:t>SMART</w:t>
      </w:r>
      <w:r w:rsidRPr="00C17942">
        <w:rPr>
          <w:rFonts w:cs="Arial"/>
          <w:lang w:val="en-GB"/>
        </w:rPr>
        <w:tab/>
        <w:t>Specific, Measurable, Achievable, Relevant and Time-bound</w:t>
      </w:r>
    </w:p>
    <w:p w14:paraId="7E4F4636" w14:textId="77777777" w:rsidR="00C06D82" w:rsidRPr="00C17942" w:rsidRDefault="00C06D82" w:rsidP="00C06D82">
      <w:pPr>
        <w:pStyle w:val="BodyText"/>
        <w:rPr>
          <w:rFonts w:cs="Arial"/>
          <w:lang w:val="en-GB"/>
        </w:rPr>
      </w:pPr>
      <w:r w:rsidRPr="00C17942">
        <w:rPr>
          <w:rFonts w:cs="Arial"/>
          <w:lang w:val="en-GB"/>
        </w:rPr>
        <w:t>SUN</w:t>
      </w:r>
      <w:r w:rsidRPr="00C17942">
        <w:rPr>
          <w:rFonts w:cs="Arial"/>
          <w:lang w:val="en-GB"/>
        </w:rPr>
        <w:tab/>
      </w:r>
      <w:r w:rsidRPr="00C17942">
        <w:rPr>
          <w:rFonts w:cs="Arial"/>
          <w:lang w:val="en-GB"/>
        </w:rPr>
        <w:tab/>
        <w:t>Scaling Up Nutrition</w:t>
      </w:r>
    </w:p>
    <w:p w14:paraId="42457EA0" w14:textId="77777777" w:rsidR="00C06D82" w:rsidRPr="00C17942" w:rsidRDefault="00C06D82" w:rsidP="00C06D82">
      <w:pPr>
        <w:pStyle w:val="BodyText"/>
        <w:rPr>
          <w:rFonts w:cs="Arial"/>
          <w:lang w:val="en-GB"/>
        </w:rPr>
      </w:pPr>
      <w:proofErr w:type="spellStart"/>
      <w:r w:rsidRPr="00C17942">
        <w:rPr>
          <w:rFonts w:cs="Arial"/>
          <w:lang w:val="en-GB"/>
        </w:rPr>
        <w:t>VfM</w:t>
      </w:r>
      <w:proofErr w:type="spellEnd"/>
      <w:r w:rsidRPr="00C17942">
        <w:rPr>
          <w:rFonts w:cs="Arial"/>
          <w:lang w:val="en-GB"/>
        </w:rPr>
        <w:tab/>
      </w:r>
      <w:r w:rsidRPr="00C17942">
        <w:rPr>
          <w:rFonts w:cs="Arial"/>
          <w:lang w:val="en-GB"/>
        </w:rPr>
        <w:tab/>
        <w:t>Value-for-Money</w:t>
      </w:r>
    </w:p>
    <w:p w14:paraId="7F17A773" w14:textId="77777777" w:rsidR="00C06D82" w:rsidRPr="00C17942" w:rsidRDefault="00C06D82" w:rsidP="00224CD0">
      <w:pPr>
        <w:pStyle w:val="BodyText"/>
        <w:rPr>
          <w:rFonts w:cs="Arial"/>
          <w:lang w:val="en-GB"/>
        </w:rPr>
      </w:pPr>
      <w:r w:rsidRPr="00C17942">
        <w:rPr>
          <w:rFonts w:cs="Arial"/>
          <w:lang w:val="en-GB"/>
        </w:rPr>
        <w:t>WASH</w:t>
      </w:r>
      <w:r w:rsidRPr="00C17942">
        <w:rPr>
          <w:rFonts w:cs="Arial"/>
          <w:lang w:val="en-GB"/>
        </w:rPr>
        <w:tab/>
      </w:r>
      <w:r w:rsidRPr="00C17942">
        <w:rPr>
          <w:rFonts w:cs="Arial"/>
          <w:lang w:val="en-GB"/>
        </w:rPr>
        <w:tab/>
        <w:t>Water, Sanitation and Hygiene</w:t>
      </w:r>
    </w:p>
    <w:p w14:paraId="497FD320" w14:textId="77777777" w:rsidR="00C06D82" w:rsidRPr="00C17942" w:rsidRDefault="00C06D82">
      <w:pPr>
        <w:rPr>
          <w:rFonts w:ascii="Arial" w:hAnsi="Arial" w:cs="Arial"/>
          <w:sz w:val="36"/>
          <w:szCs w:val="36"/>
        </w:rPr>
      </w:pPr>
      <w:r w:rsidRPr="00C17942">
        <w:rPr>
          <w:rFonts w:ascii="Arial" w:hAnsi="Arial" w:cs="Arial"/>
          <w:sz w:val="36"/>
          <w:szCs w:val="36"/>
        </w:rPr>
        <w:br w:type="page"/>
      </w:r>
    </w:p>
    <w:p w14:paraId="47D33F47" w14:textId="77777777" w:rsidR="00C06D82" w:rsidRPr="00C17942" w:rsidRDefault="00C06D82" w:rsidP="002041A4">
      <w:pPr>
        <w:pStyle w:val="Heading1"/>
        <w:rPr>
          <w:rFonts w:cs="Arial"/>
        </w:rPr>
      </w:pPr>
      <w:bookmarkStart w:id="7" w:name="_Toc291849537"/>
      <w:r w:rsidRPr="00C17942">
        <w:rPr>
          <w:rFonts w:cs="Arial"/>
        </w:rPr>
        <w:t>Introduction</w:t>
      </w:r>
      <w:bookmarkEnd w:id="7"/>
    </w:p>
    <w:p w14:paraId="0E2F59AB" w14:textId="77777777" w:rsidR="00C06D82" w:rsidRPr="00C17942" w:rsidRDefault="00C06D82" w:rsidP="002041A4">
      <w:pPr>
        <w:pStyle w:val="BodyText"/>
        <w:rPr>
          <w:rFonts w:cs="Arial"/>
          <w:lang w:val="en-GB"/>
        </w:rPr>
      </w:pPr>
      <w:r w:rsidRPr="00C17942">
        <w:rPr>
          <w:rFonts w:cs="Arial"/>
          <w:lang w:val="en-GB"/>
        </w:rPr>
        <w:t xml:space="preserve">Social protection and nutrition have both risen fast up the development agenda over the past few years. The recent and recurrent global food, fuel and financial crises have pushed many national, regional and international bodies increasingly to consider the use of social protection instruments in poverty alleviation strategies — a push largely motivated by the positive results delivered by conditional cash transfer (CCT) schemes launched in several Latin American countries in the late 1990s. </w:t>
      </w:r>
    </w:p>
    <w:p w14:paraId="498FA48D" w14:textId="77777777" w:rsidR="00C06D82" w:rsidRPr="00C17942" w:rsidRDefault="00C06D82" w:rsidP="002041A4">
      <w:pPr>
        <w:pStyle w:val="BodyText"/>
        <w:rPr>
          <w:rFonts w:cs="Arial"/>
          <w:lang w:val="en-GB"/>
        </w:rPr>
      </w:pPr>
      <w:r w:rsidRPr="00C17942">
        <w:rPr>
          <w:rFonts w:cs="Arial"/>
          <w:lang w:val="en-GB"/>
        </w:rPr>
        <w:t>Greater attention is also increasingly being paid to the issue of malnutrition, which remains a serious brake on development. Within strategies to improve nutrition, social protection has been promoted as a key instrument to reach those most in need and to address underlying causes of malnutrition. Yet, while social protection does present a real potential to help tackle malnutrition, evidence to date on its nutritional impact has been mixed. This calls for a review of past experience to understand better the factors influencing nutritional impact, and to improve the design and implementation of future social protection initiatives for a greater contribution towards achieving nutrition security.</w:t>
      </w:r>
    </w:p>
    <w:p w14:paraId="26A88E3D" w14:textId="2393BE25" w:rsidR="00C06D82" w:rsidRPr="00C17942" w:rsidRDefault="00C06D82" w:rsidP="002041A4">
      <w:pPr>
        <w:pStyle w:val="BodyText"/>
        <w:rPr>
          <w:rFonts w:cs="Arial"/>
          <w:lang w:val="en-GB"/>
        </w:rPr>
      </w:pPr>
      <w:r w:rsidRPr="00C17942">
        <w:rPr>
          <w:rFonts w:cs="Arial"/>
          <w:lang w:val="en-GB"/>
        </w:rPr>
        <w:t>This Guidance Note aims to equip aid administrators and practitioners working on social protection programs and familiar with the policy context</w:t>
      </w:r>
      <w:r w:rsidR="00241C56" w:rsidRPr="00C17942">
        <w:rPr>
          <w:rStyle w:val="FootnoteReference"/>
          <w:rFonts w:ascii="Arial" w:hAnsi="Arial" w:cs="Arial"/>
          <w:lang w:val="en-GB"/>
        </w:rPr>
        <w:footnoteReference w:id="1"/>
      </w:r>
      <w:r w:rsidRPr="00C17942">
        <w:rPr>
          <w:rFonts w:cs="Arial"/>
          <w:lang w:val="en-GB"/>
        </w:rPr>
        <w:t xml:space="preserve"> to understand the challenges and potential of social protection to improve nutrition. It presents the theoretical case for using social protection in the fight against malnutrition and sets out a series of questions that should be considered, at each stage of the program cycle, to help to maximise the nutritional impact of social protection interventions. </w:t>
      </w:r>
    </w:p>
    <w:p w14:paraId="2B658BE9" w14:textId="77777777" w:rsidR="00C06D82" w:rsidRPr="00C17942" w:rsidRDefault="00C06D82" w:rsidP="002041A4">
      <w:pPr>
        <w:pStyle w:val="BodyText"/>
        <w:rPr>
          <w:rFonts w:cs="Arial"/>
          <w:lang w:val="en-GB"/>
        </w:rPr>
      </w:pPr>
      <w:r w:rsidRPr="00C17942">
        <w:rPr>
          <w:rFonts w:cs="Arial"/>
          <w:lang w:val="en-GB"/>
        </w:rPr>
        <w:t>When reading this guidance, staff should use the following structure to assist them:</w:t>
      </w:r>
    </w:p>
    <w:p w14:paraId="71B523A3" w14:textId="77777777" w:rsidR="00C06D82" w:rsidRPr="00C17942" w:rsidRDefault="00C06D82" w:rsidP="002041A4">
      <w:pPr>
        <w:pStyle w:val="ListBullet"/>
        <w:rPr>
          <w:rFonts w:cs="Arial"/>
        </w:rPr>
      </w:pPr>
      <w:r w:rsidRPr="00C17942">
        <w:rPr>
          <w:rFonts w:cs="Arial"/>
        </w:rPr>
        <w:t>An overview of malnutrition and how social protection can assist (pp. 4–9)</w:t>
      </w:r>
    </w:p>
    <w:p w14:paraId="4D2514AF" w14:textId="77777777" w:rsidR="00C06D82" w:rsidRPr="00C17942" w:rsidRDefault="00C06D82" w:rsidP="002041A4">
      <w:pPr>
        <w:pStyle w:val="ListBullet"/>
        <w:rPr>
          <w:rFonts w:cs="Arial"/>
          <w:spacing w:val="-6"/>
        </w:rPr>
      </w:pPr>
      <w:r w:rsidRPr="00C17942">
        <w:rPr>
          <w:rFonts w:cs="Arial"/>
          <w:spacing w:val="-6"/>
        </w:rPr>
        <w:t>How to design and implement a new social protection program investing in nutrition (p.10 onwards)</w:t>
      </w:r>
    </w:p>
    <w:p w14:paraId="229749C7" w14:textId="77777777" w:rsidR="00C06D82" w:rsidRPr="00C17942" w:rsidRDefault="00C06D82" w:rsidP="002041A4">
      <w:pPr>
        <w:pStyle w:val="ListBullet"/>
        <w:rPr>
          <w:rFonts w:cs="Arial"/>
        </w:rPr>
      </w:pPr>
      <w:r w:rsidRPr="00C17942">
        <w:rPr>
          <w:rFonts w:cs="Arial"/>
          <w:spacing w:val="-6"/>
        </w:rPr>
        <w:t>How to improve an existing social protection program so it is more nutrition sensitive (p.13 onwards</w:t>
      </w:r>
      <w:r w:rsidRPr="00C17942">
        <w:rPr>
          <w:rFonts w:cs="Arial"/>
          <w:spacing w:val="-7"/>
        </w:rPr>
        <w:t>)</w:t>
      </w:r>
    </w:p>
    <w:p w14:paraId="20F626B8" w14:textId="77777777" w:rsidR="00C06D82" w:rsidRPr="00C17942" w:rsidRDefault="00C06D82" w:rsidP="002041A4">
      <w:pPr>
        <w:pStyle w:val="Heading2"/>
        <w:rPr>
          <w:rFonts w:cs="Arial"/>
        </w:rPr>
      </w:pPr>
      <w:bookmarkStart w:id="8" w:name="_Toc291849538"/>
      <w:r w:rsidRPr="00C17942">
        <w:rPr>
          <w:rFonts w:cs="Arial"/>
        </w:rPr>
        <w:t>What is malnutrition?</w:t>
      </w:r>
      <w:bookmarkEnd w:id="8"/>
    </w:p>
    <w:p w14:paraId="1E382901" w14:textId="77777777" w:rsidR="00C06D82" w:rsidRPr="00C17942" w:rsidRDefault="00C06D82" w:rsidP="002041A4">
      <w:pPr>
        <w:pStyle w:val="BodyText"/>
        <w:rPr>
          <w:rFonts w:cs="Arial"/>
          <w:lang w:val="en-GB"/>
        </w:rPr>
      </w:pPr>
      <w:r w:rsidRPr="00C17942">
        <w:rPr>
          <w:rFonts w:cs="Arial"/>
          <w:lang w:val="en-GB"/>
        </w:rPr>
        <w:t>Malnutrition takes a number of very different forms (Box 1) and can affect all ages. The crucial period during which malnutrition has the severest consequences, most of which cannot be reversed, is from conception until the age of two years, often referred to as the first “1000 days”. But the health and nutrition status of adolescent girls prior to conception is also very important, and is further incorporated in the concept of the “1000 days plus” — see Figure 1.</w:t>
      </w:r>
    </w:p>
    <w:p w14:paraId="6B89BBC4" w14:textId="77777777" w:rsidR="008E0A48" w:rsidRPr="00C17942" w:rsidRDefault="008E0A48">
      <w:pPr>
        <w:rPr>
          <w:rFonts w:ascii="Arial" w:eastAsiaTheme="majorEastAsia" w:hAnsi="Arial" w:cs="Arial"/>
          <w:b/>
          <w:bCs/>
          <w:iCs/>
          <w:kern w:val="1"/>
          <w:sz w:val="22"/>
        </w:rPr>
      </w:pPr>
      <w:r w:rsidRPr="00C17942">
        <w:rPr>
          <w:rFonts w:ascii="Arial" w:hAnsi="Arial" w:cs="Arial"/>
        </w:rPr>
        <w:br w:type="page"/>
      </w:r>
    </w:p>
    <w:p w14:paraId="1DF53515" w14:textId="77777777" w:rsidR="00C06D82" w:rsidRPr="00C17942" w:rsidRDefault="00C06D82" w:rsidP="002041A4">
      <w:pPr>
        <w:pStyle w:val="Tablehead"/>
        <w:rPr>
          <w:rFonts w:cs="Arial"/>
        </w:rPr>
      </w:pPr>
      <w:r w:rsidRPr="00C17942">
        <w:rPr>
          <w:rFonts w:cs="Arial"/>
        </w:rPr>
        <w:t>Figure 1 The “1000 days plus”</w:t>
      </w:r>
    </w:p>
    <w:p w14:paraId="6302293D" w14:textId="77777777" w:rsidR="008E0A48" w:rsidRDefault="008E0A48" w:rsidP="002041A4">
      <w:pPr>
        <w:pStyle w:val="Tablehead"/>
        <w:rPr>
          <w:rFonts w:cs="Arial"/>
        </w:rPr>
      </w:pPr>
      <w:r w:rsidRPr="00C17942">
        <w:rPr>
          <w:rFonts w:cs="Arial"/>
          <w:noProof/>
        </w:rPr>
        <w:drawing>
          <wp:inline distT="0" distB="0" distL="0" distR="0" wp14:anchorId="21C10E66" wp14:editId="065224D1">
            <wp:extent cx="4433570" cy="1722755"/>
            <wp:effectExtent l="0" t="0" r="11430" b="4445"/>
            <wp:docPr id="4" name="Picture 1" descr="This figure shows the first thousand days plus of a child’s life. From pre-pregnancy to conception, to birth and then to 2 years of age. Nutrients are in high demand during this period  and once these systems are compromised, repair and catch up are very diffic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570" cy="1722755"/>
                    </a:xfrm>
                    <a:prstGeom prst="rect">
                      <a:avLst/>
                    </a:prstGeom>
                    <a:noFill/>
                    <a:ln>
                      <a:noFill/>
                    </a:ln>
                  </pic:spPr>
                </pic:pic>
              </a:graphicData>
            </a:graphic>
          </wp:inline>
        </w:drawing>
      </w:r>
    </w:p>
    <w:p w14:paraId="652B0060" w14:textId="25FD5C17" w:rsidR="003255F8" w:rsidRPr="003255F8" w:rsidRDefault="00290036" w:rsidP="002041A4">
      <w:pPr>
        <w:pStyle w:val="Tablehead"/>
        <w:rPr>
          <w:rFonts w:cs="Arial"/>
          <w:b w:val="0"/>
          <w:sz w:val="14"/>
          <w:szCs w:val="14"/>
        </w:rPr>
      </w:pPr>
      <w:r>
        <w:rPr>
          <w:rFonts w:cs="Arial"/>
          <w:b w:val="0"/>
          <w:sz w:val="14"/>
          <w:szCs w:val="14"/>
        </w:rPr>
        <w:t>Adapted from</w:t>
      </w:r>
      <w:r w:rsidR="003255F8" w:rsidRPr="003255F8">
        <w:rPr>
          <w:rFonts w:cs="Arial"/>
          <w:b w:val="0"/>
          <w:sz w:val="14"/>
          <w:szCs w:val="14"/>
        </w:rPr>
        <w:t xml:space="preserve">: </w:t>
      </w:r>
      <w:proofErr w:type="spellStart"/>
      <w:r w:rsidR="003255F8" w:rsidRPr="003255F8">
        <w:rPr>
          <w:rFonts w:cs="Arial"/>
          <w:b w:val="0"/>
          <w:sz w:val="14"/>
          <w:szCs w:val="14"/>
        </w:rPr>
        <w:t>Menzies</w:t>
      </w:r>
      <w:proofErr w:type="spellEnd"/>
      <w:r w:rsidR="003255F8" w:rsidRPr="003255F8">
        <w:rPr>
          <w:rFonts w:cs="Arial"/>
          <w:b w:val="0"/>
          <w:sz w:val="14"/>
          <w:szCs w:val="14"/>
        </w:rPr>
        <w:t xml:space="preserve"> School of Health Research</w:t>
      </w:r>
      <w:r>
        <w:rPr>
          <w:rFonts w:cs="Arial"/>
          <w:b w:val="0"/>
          <w:sz w:val="14"/>
          <w:szCs w:val="14"/>
        </w:rPr>
        <w:t xml:space="preserve"> (2012)</w:t>
      </w:r>
    </w:p>
    <w:tbl>
      <w:tblPr>
        <w:tblW w:w="0" w:type="auto"/>
        <w:tblInd w:w="170" w:type="dxa"/>
        <w:tblBorders>
          <w:top w:val="single" w:sz="6" w:space="0" w:color="000000"/>
          <w:left w:val="single" w:sz="6" w:space="0" w:color="000000"/>
          <w:bottom w:val="single" w:sz="6" w:space="0" w:color="000000"/>
          <w:right w:val="single" w:sz="6" w:space="0" w:color="000000"/>
        </w:tblBorders>
        <w:shd w:val="clear" w:color="196E9C" w:fill="auto"/>
        <w:tblLayout w:type="fixed"/>
        <w:tblCellMar>
          <w:left w:w="0" w:type="dxa"/>
          <w:right w:w="0" w:type="dxa"/>
        </w:tblCellMar>
        <w:tblLook w:val="0000" w:firstRow="0" w:lastRow="0" w:firstColumn="0" w:lastColumn="0" w:noHBand="0" w:noVBand="0"/>
      </w:tblPr>
      <w:tblGrid>
        <w:gridCol w:w="8505"/>
      </w:tblGrid>
      <w:tr w:rsidR="00C06D82" w:rsidRPr="00C17942" w14:paraId="32D3DC27" w14:textId="77777777">
        <w:trPr>
          <w:trHeight w:val="60"/>
        </w:trPr>
        <w:tc>
          <w:tcPr>
            <w:tcW w:w="8505" w:type="dxa"/>
            <w:shd w:val="clear" w:color="196E9C" w:fill="auto"/>
            <w:tcMar>
              <w:top w:w="170" w:type="dxa"/>
              <w:left w:w="170" w:type="dxa"/>
              <w:bottom w:w="170" w:type="dxa"/>
              <w:right w:w="170" w:type="dxa"/>
            </w:tcMar>
          </w:tcPr>
          <w:p w14:paraId="64F4F55B" w14:textId="77777777" w:rsidR="00C06D82" w:rsidRPr="00C17942" w:rsidRDefault="00C06D82" w:rsidP="002041A4">
            <w:pPr>
              <w:pStyle w:val="Boxhead1"/>
              <w:rPr>
                <w:rFonts w:cs="Arial"/>
              </w:rPr>
            </w:pPr>
            <w:bookmarkStart w:id="9" w:name="_Toc291849539"/>
            <w:r w:rsidRPr="00C17942">
              <w:rPr>
                <w:rFonts w:cs="Arial"/>
              </w:rPr>
              <w:t>Box 1: Common forms of malnutrition</w:t>
            </w:r>
            <w:bookmarkEnd w:id="9"/>
          </w:p>
          <w:p w14:paraId="247588FD" w14:textId="77777777" w:rsidR="00C06D82" w:rsidRPr="00C17942" w:rsidRDefault="00C06D82" w:rsidP="002041A4">
            <w:pPr>
              <w:pStyle w:val="BodyText"/>
              <w:rPr>
                <w:rFonts w:cs="Arial"/>
              </w:rPr>
            </w:pPr>
            <w:r w:rsidRPr="00C17942">
              <w:rPr>
                <w:rFonts w:cs="Arial"/>
              </w:rPr>
              <w:t xml:space="preserve">Malnutrition is a physical condition related to the body’s use of macronutrients (fats, carbohydrates and proteins) and micronutrients (minerals, vitamins). </w:t>
            </w:r>
            <w:proofErr w:type="spellStart"/>
            <w:r w:rsidRPr="00C17942">
              <w:rPr>
                <w:rFonts w:cs="Arial"/>
              </w:rPr>
              <w:t>Undernutrition</w:t>
            </w:r>
            <w:proofErr w:type="spellEnd"/>
            <w:r w:rsidRPr="00C17942">
              <w:rPr>
                <w:rFonts w:cs="Arial"/>
              </w:rPr>
              <w:t xml:space="preserve"> and </w:t>
            </w:r>
            <w:proofErr w:type="spellStart"/>
            <w:r w:rsidRPr="00C17942">
              <w:rPr>
                <w:rFonts w:cs="Arial"/>
              </w:rPr>
              <w:t>overnutrition</w:t>
            </w:r>
            <w:proofErr w:type="spellEnd"/>
            <w:r w:rsidRPr="00C17942">
              <w:rPr>
                <w:rFonts w:cs="Arial"/>
              </w:rPr>
              <w:t xml:space="preserve"> are the two categories of malnutrition. Both are associated with increased morbidity and mortality rates.</w:t>
            </w:r>
          </w:p>
          <w:p w14:paraId="4C151F16" w14:textId="77777777" w:rsidR="00C06D82" w:rsidRPr="00C17942" w:rsidRDefault="00C06D82" w:rsidP="002041A4">
            <w:pPr>
              <w:pStyle w:val="BodyText"/>
              <w:rPr>
                <w:rFonts w:cs="Arial"/>
              </w:rPr>
            </w:pPr>
            <w:proofErr w:type="spellStart"/>
            <w:r w:rsidRPr="00C17942">
              <w:rPr>
                <w:rFonts w:cs="Arial"/>
              </w:rPr>
              <w:t>Undernutrition</w:t>
            </w:r>
            <w:proofErr w:type="spellEnd"/>
            <w:r w:rsidRPr="00C17942">
              <w:rPr>
                <w:rFonts w:cs="Arial"/>
              </w:rPr>
              <w:t xml:space="preserve"> is the physical outcome of a deficit in the energy, protein and/or micronutrients provided by the diet. The deficit may be caused by poor quality or insufficient quantity of nutrient intake (described as ‘hunger’), or excess loss of nutrients consumed or extra needs for nutrients (associated with ‘morbidity’). It includes:</w:t>
            </w:r>
          </w:p>
          <w:p w14:paraId="61566C47" w14:textId="77777777" w:rsidR="00C06D82" w:rsidRPr="00C17942" w:rsidRDefault="00C06D82" w:rsidP="002041A4">
            <w:pPr>
              <w:pStyle w:val="BodyText"/>
              <w:rPr>
                <w:rFonts w:cs="Arial"/>
                <w:lang w:val="en-GB"/>
              </w:rPr>
            </w:pPr>
            <w:proofErr w:type="spellStart"/>
            <w:r w:rsidRPr="00C17942">
              <w:rPr>
                <w:rFonts w:cs="Arial"/>
                <w:lang w:val="en-GB"/>
              </w:rPr>
              <w:t>Undernutrition</w:t>
            </w:r>
            <w:proofErr w:type="spellEnd"/>
            <w:r w:rsidRPr="00C17942">
              <w:rPr>
                <w:rFonts w:cs="Arial"/>
                <w:lang w:val="en-GB"/>
              </w:rPr>
              <w:t xml:space="preserve"> resulting from deficiencies in several nutrients:</w:t>
            </w:r>
          </w:p>
          <w:p w14:paraId="4B84BF1A" w14:textId="77777777" w:rsidR="00C06D82" w:rsidRPr="00C17942" w:rsidRDefault="00C06D82" w:rsidP="006F758D">
            <w:pPr>
              <w:pStyle w:val="ListNumber"/>
              <w:numPr>
                <w:ilvl w:val="0"/>
                <w:numId w:val="22"/>
              </w:numPr>
              <w:rPr>
                <w:rFonts w:cs="Arial"/>
              </w:rPr>
            </w:pPr>
            <w:r w:rsidRPr="00C17942">
              <w:rPr>
                <w:rFonts w:cs="Arial"/>
              </w:rPr>
              <w:t>Low birth weight, mainly due to intrauterine growth restriction (usually due to low maternal nutrition status or maternal illness before and during pregnancy);</w:t>
            </w:r>
          </w:p>
          <w:p w14:paraId="3EA42415" w14:textId="77777777" w:rsidR="00C06D82" w:rsidRPr="00C17942" w:rsidRDefault="00C06D82" w:rsidP="006F758D">
            <w:pPr>
              <w:pStyle w:val="ListNumber"/>
              <w:numPr>
                <w:ilvl w:val="0"/>
                <w:numId w:val="22"/>
              </w:numPr>
              <w:rPr>
                <w:rFonts w:cs="Arial"/>
              </w:rPr>
            </w:pPr>
            <w:r w:rsidRPr="00C17942">
              <w:rPr>
                <w:rFonts w:cs="Arial"/>
              </w:rPr>
              <w:t xml:space="preserve">Being too short for one’s age (‘stunting’, which denotes chronic </w:t>
            </w:r>
            <w:proofErr w:type="spellStart"/>
            <w:r w:rsidRPr="00C17942">
              <w:rPr>
                <w:rFonts w:cs="Arial"/>
              </w:rPr>
              <w:t>undernutrition</w:t>
            </w:r>
            <w:proofErr w:type="spellEnd"/>
            <w:r w:rsidRPr="00C17942">
              <w:rPr>
                <w:rFonts w:cs="Arial"/>
              </w:rPr>
              <w:t>);</w:t>
            </w:r>
          </w:p>
          <w:p w14:paraId="3A091917" w14:textId="77777777" w:rsidR="00C06D82" w:rsidRPr="00C17942" w:rsidRDefault="00C06D82" w:rsidP="006F758D">
            <w:pPr>
              <w:pStyle w:val="ListNumber"/>
              <w:numPr>
                <w:ilvl w:val="0"/>
                <w:numId w:val="22"/>
              </w:numPr>
              <w:rPr>
                <w:rFonts w:cs="Arial"/>
              </w:rPr>
            </w:pPr>
            <w:r w:rsidRPr="00C17942">
              <w:rPr>
                <w:rFonts w:cs="Arial"/>
              </w:rPr>
              <w:t xml:space="preserve">Being too thin for one’s height (‘wasting’, which denotes acute </w:t>
            </w:r>
            <w:proofErr w:type="spellStart"/>
            <w:r w:rsidRPr="00C17942">
              <w:rPr>
                <w:rFonts w:cs="Arial"/>
              </w:rPr>
              <w:t>undernutrition</w:t>
            </w:r>
            <w:proofErr w:type="spellEnd"/>
            <w:r w:rsidRPr="00C17942">
              <w:rPr>
                <w:rFonts w:cs="Arial"/>
              </w:rPr>
              <w:t>);</w:t>
            </w:r>
          </w:p>
          <w:p w14:paraId="0A144A92" w14:textId="77777777" w:rsidR="00C06D82" w:rsidRPr="00C17942" w:rsidRDefault="00C06D82" w:rsidP="006F758D">
            <w:pPr>
              <w:pStyle w:val="ListNumber"/>
              <w:numPr>
                <w:ilvl w:val="0"/>
                <w:numId w:val="22"/>
              </w:numPr>
              <w:rPr>
                <w:rFonts w:cs="Arial"/>
              </w:rPr>
            </w:pPr>
            <w:proofErr w:type="spellStart"/>
            <w:r w:rsidRPr="00C17942">
              <w:rPr>
                <w:rFonts w:cs="Arial"/>
              </w:rPr>
              <w:t>Undernutrition</w:t>
            </w:r>
            <w:proofErr w:type="spellEnd"/>
            <w:r w:rsidRPr="00C17942">
              <w:rPr>
                <w:rFonts w:cs="Arial"/>
              </w:rPr>
              <w:t xml:space="preserve"> resulting from a deficiency of specific micronutrients (referred to as ‘hidden hunger’): these ‘micronutrient deficiencies’ affect growth, immunity and intellectual development. Some cause specific clinical conditions such as </w:t>
            </w:r>
            <w:proofErr w:type="spellStart"/>
            <w:r w:rsidRPr="00C17942">
              <w:rPr>
                <w:rFonts w:cs="Arial"/>
              </w:rPr>
              <w:t>anaemia</w:t>
            </w:r>
            <w:proofErr w:type="spellEnd"/>
            <w:r w:rsidRPr="00C17942">
              <w:rPr>
                <w:rFonts w:cs="Arial"/>
              </w:rPr>
              <w:t xml:space="preserve"> (iron deficiency), hypothyroidism (iodine deficiency) or </w:t>
            </w:r>
            <w:proofErr w:type="spellStart"/>
            <w:r w:rsidRPr="00C17942">
              <w:rPr>
                <w:rFonts w:cs="Arial"/>
              </w:rPr>
              <w:t>xerophthalmia</w:t>
            </w:r>
            <w:proofErr w:type="spellEnd"/>
            <w:r w:rsidRPr="00C17942">
              <w:rPr>
                <w:rFonts w:cs="Arial"/>
              </w:rPr>
              <w:t xml:space="preserve"> (vitamin A deficiency).</w:t>
            </w:r>
          </w:p>
          <w:p w14:paraId="477D73E4" w14:textId="77777777" w:rsidR="00C06D82" w:rsidRPr="00C17942" w:rsidRDefault="00C06D82" w:rsidP="006F758D">
            <w:pPr>
              <w:pStyle w:val="ListNumber"/>
              <w:numPr>
                <w:ilvl w:val="0"/>
                <w:numId w:val="22"/>
              </w:numPr>
              <w:rPr>
                <w:rFonts w:cs="Arial"/>
              </w:rPr>
            </w:pPr>
            <w:proofErr w:type="spellStart"/>
            <w:r w:rsidRPr="00C17942">
              <w:rPr>
                <w:rFonts w:cs="Arial"/>
              </w:rPr>
              <w:t>Overnutrition</w:t>
            </w:r>
            <w:proofErr w:type="spellEnd"/>
            <w:r w:rsidRPr="00C17942">
              <w:rPr>
                <w:rFonts w:cs="Arial"/>
              </w:rPr>
              <w:t xml:space="preserve"> mainly results from an overconsumption of nutrients over time and lack of physical activity. The most common form relates to excess intake of calories notably coming from sugar and fats, which leads to obesity. Obese people are more prone to diabetes, cardiovascular irregularities and hypertension, often referred to as ‘lifestyle’ or ‘non-communicable’ diseases, and to other forms of disability in later life. </w:t>
            </w:r>
          </w:p>
        </w:tc>
      </w:tr>
    </w:tbl>
    <w:p w14:paraId="04B19458" w14:textId="77777777" w:rsidR="00C06D82" w:rsidRPr="00C17942" w:rsidRDefault="00C06D82" w:rsidP="00224CD0">
      <w:pPr>
        <w:pStyle w:val="BodyText"/>
        <w:spacing w:before="240"/>
        <w:rPr>
          <w:rFonts w:cs="Arial"/>
          <w:lang w:val="en-GB"/>
        </w:rPr>
      </w:pPr>
      <w:proofErr w:type="spellStart"/>
      <w:r w:rsidRPr="00C17942">
        <w:rPr>
          <w:rFonts w:cs="Arial"/>
          <w:lang w:val="en-GB"/>
        </w:rPr>
        <w:t>Undernutrition</w:t>
      </w:r>
      <w:proofErr w:type="spellEnd"/>
      <w:r w:rsidRPr="00C17942">
        <w:rPr>
          <w:rFonts w:cs="Arial"/>
          <w:lang w:val="en-GB"/>
        </w:rPr>
        <w:t xml:space="preserve"> kills more than three million children every year: about one every ten seconds. For those who survive, it can have irreversible consequences on their physical growth and mental development. This in turn undermines virtually every aspect of economic and human development. </w:t>
      </w:r>
      <w:proofErr w:type="spellStart"/>
      <w:r w:rsidRPr="00C17942">
        <w:rPr>
          <w:rFonts w:cs="Arial"/>
          <w:lang w:val="en-GB"/>
        </w:rPr>
        <w:t>Undernutrition</w:t>
      </w:r>
      <w:proofErr w:type="spellEnd"/>
      <w:r w:rsidRPr="00C17942">
        <w:rPr>
          <w:rFonts w:cs="Arial"/>
          <w:lang w:val="en-GB"/>
        </w:rPr>
        <w:t xml:space="preserve"> reduces a nation’s economic advancement by at least 8 per cent because of direct productivity losses, losses via poorer cognition, and losses via reduced schooling.  Developing countries are those predominantly faced with </w:t>
      </w:r>
      <w:proofErr w:type="spellStart"/>
      <w:r w:rsidRPr="00C17942">
        <w:rPr>
          <w:rFonts w:cs="Arial"/>
          <w:lang w:val="en-GB"/>
        </w:rPr>
        <w:t>undernutrition</w:t>
      </w:r>
      <w:proofErr w:type="spellEnd"/>
      <w:r w:rsidRPr="00C17942">
        <w:rPr>
          <w:rFonts w:cs="Arial"/>
          <w:lang w:val="en-GB"/>
        </w:rPr>
        <w:t>, with South-Central Asia and Sub-Saharan Africa being the most affected regions.  While Asia showed a dramatic decrease in childhood stunting prevalence (from 49 per cent in 1990 to 28 per cent in 2010, nearly halving the number of stunted children), Africa has stagnated since 1990 at about 40 per cent. Today, stunting affects about 167 million children aged 0-5 years (29.2 per cent) in developing countries.  Wasting is estimated to affect about 52 million children aged 0-5 years (8 per cent) in the developing world, and its prevalence has not showed any major improvement since 1990 — with the Africa region even showing an upward trend. Micronutrient deficiencies, although less visible (often called ‘hidden hunger’) are no less widespread or severe. Iron deficiency alone affects about a quarter of the world’s population, especially young children and women.</w:t>
      </w:r>
    </w:p>
    <w:p w14:paraId="2B94B515" w14:textId="77777777" w:rsidR="00C06D82" w:rsidRPr="00C17942" w:rsidRDefault="00C06D82" w:rsidP="006F758D">
      <w:pPr>
        <w:pStyle w:val="BodyText"/>
        <w:rPr>
          <w:rFonts w:cs="Arial"/>
          <w:lang w:val="en-GB"/>
        </w:rPr>
      </w:pPr>
      <w:r w:rsidRPr="00C17942">
        <w:rPr>
          <w:rFonts w:cs="Arial"/>
          <w:lang w:val="en-GB"/>
        </w:rPr>
        <w:t xml:space="preserve">If </w:t>
      </w:r>
      <w:proofErr w:type="spellStart"/>
      <w:r w:rsidRPr="00C17942">
        <w:rPr>
          <w:rFonts w:cs="Arial"/>
          <w:lang w:val="en-GB"/>
        </w:rPr>
        <w:t>undernutrition</w:t>
      </w:r>
      <w:proofErr w:type="spellEnd"/>
      <w:r w:rsidRPr="00C17942">
        <w:rPr>
          <w:rFonts w:cs="Arial"/>
          <w:lang w:val="en-GB"/>
        </w:rPr>
        <w:t xml:space="preserve"> remains the most frequent form of malnutrition in developing countries, overweight has now become common in a number of them. Roughly half of the 1.46 billion overweight adults, including 500 million obese people, actually live in developing countries.  More threatening, overweight and obesity were estimated to affect 6.7 per cent of children aged 0-5 years in the developing world in 2010, and are expected to affect 9.1 per cent by 2020. This rising prevalence of overweight and obesity is pushing an increasing number of countries explicitly to engage in the combat against the double burden of malnutrition.</w:t>
      </w:r>
    </w:p>
    <w:p w14:paraId="02F3BA8D" w14:textId="77777777" w:rsidR="00C06D82" w:rsidRPr="00C17942" w:rsidRDefault="00C06D82" w:rsidP="006F758D">
      <w:pPr>
        <w:pStyle w:val="Heading2"/>
        <w:rPr>
          <w:rFonts w:cs="Arial"/>
        </w:rPr>
      </w:pPr>
      <w:bookmarkStart w:id="10" w:name="_Toc291849540"/>
      <w:r w:rsidRPr="00C17942">
        <w:rPr>
          <w:rFonts w:cs="Arial"/>
        </w:rPr>
        <w:t>How can malnutrition be tackled?</w:t>
      </w:r>
      <w:bookmarkEnd w:id="10"/>
    </w:p>
    <w:p w14:paraId="5B48777B" w14:textId="77777777" w:rsidR="00C06D82" w:rsidRPr="00C17942" w:rsidRDefault="00C06D82" w:rsidP="006F758D">
      <w:pPr>
        <w:pStyle w:val="BodyText"/>
        <w:rPr>
          <w:rFonts w:cs="Arial"/>
          <w:lang w:val="en-GB"/>
        </w:rPr>
      </w:pPr>
      <w:r w:rsidRPr="00C17942">
        <w:rPr>
          <w:rFonts w:cs="Arial"/>
          <w:lang w:val="en-GB"/>
        </w:rPr>
        <w:t>The causes of malnutrition are multiple, deep and complex. The conceptual framework developed by UNICEF in the late 1980s, further endorsed by the International Conference on Nutrition, is widely accepted internationally (Box 2). According to this framework, malnutrition occurs when dietary intake is inadequate and/or health is unsatisfactory. Meals may be low in quantity, nutrient density or variety, or eaten infrequently. Infants may get insufficient breast milk. Infectious diseases, such as diarrheal diseases and acute respiratory diseases, are responsible for most nutrition-related health problems in the developing world. HIV/AIDS, measles and gut parasites are other important causes of malnutrition.</w:t>
      </w:r>
      <w:r w:rsidRPr="00C17942">
        <w:rPr>
          <w:rFonts w:cs="Arial"/>
          <w:sz w:val="16"/>
          <w:szCs w:val="16"/>
          <w:lang w:val="en-GB"/>
        </w:rPr>
        <w:t xml:space="preserve"> </w:t>
      </w:r>
    </w:p>
    <w:p w14:paraId="061C95BD" w14:textId="77777777" w:rsidR="00C06D82" w:rsidRPr="00C17942" w:rsidRDefault="00C06D82" w:rsidP="006F758D">
      <w:pPr>
        <w:pStyle w:val="BodyText"/>
        <w:rPr>
          <w:rFonts w:cs="Arial"/>
          <w:lang w:val="en-GB"/>
        </w:rPr>
      </w:pPr>
      <w:r w:rsidRPr="00C17942">
        <w:rPr>
          <w:rFonts w:cs="Arial"/>
          <w:lang w:val="en-GB"/>
        </w:rPr>
        <w:t>This framework is useful to draw attention to the deep and multiple roots of malnutrition. While the immediate causes relate to individuals, the underlying causes relate to households, and the basic causes to the community and the nation state. Malnutrition can therefore only be tackled effectively if action is taken in all relevant sectors to address those causes that they can influence.</w:t>
      </w:r>
    </w:p>
    <w:p w14:paraId="11A914EE" w14:textId="77777777" w:rsidR="00C06D82" w:rsidRPr="00C17942" w:rsidRDefault="00C06D82" w:rsidP="006F758D">
      <w:pPr>
        <w:pStyle w:val="BodyText"/>
        <w:rPr>
          <w:rFonts w:cs="Arial"/>
          <w:lang w:val="en-GB"/>
        </w:rPr>
      </w:pPr>
      <w:r w:rsidRPr="00C17942">
        <w:rPr>
          <w:rFonts w:cs="Arial"/>
          <w:lang w:val="en-GB"/>
        </w:rPr>
        <w:t xml:space="preserve">This recognition leads to a distinction between “nutrition-specific” interventions that directly tackle nutrition, and “nutrition-sensitive” interventions that address nutrition indirectly through other </w:t>
      </w:r>
      <w:proofErr w:type="spellStart"/>
      <w:r w:rsidRPr="00C17942">
        <w:rPr>
          <w:rFonts w:cs="Arial"/>
          <w:lang w:val="en-GB"/>
        </w:rPr>
        <w:t>sectoral</w:t>
      </w:r>
      <w:proofErr w:type="spellEnd"/>
      <w:r w:rsidRPr="00C17942">
        <w:rPr>
          <w:rFonts w:cs="Arial"/>
          <w:lang w:val="en-GB"/>
        </w:rPr>
        <w:t xml:space="preserve"> policies…including social protection. The former include a set of ten interventions through the </w:t>
      </w:r>
      <w:proofErr w:type="spellStart"/>
      <w:r w:rsidRPr="00C17942">
        <w:rPr>
          <w:rFonts w:cs="Arial"/>
          <w:lang w:val="en-GB"/>
        </w:rPr>
        <w:t>lifecourse</w:t>
      </w:r>
      <w:proofErr w:type="spellEnd"/>
      <w:r w:rsidRPr="00C17942">
        <w:rPr>
          <w:rFonts w:cs="Arial"/>
          <w:lang w:val="en-GB"/>
        </w:rPr>
        <w:t xml:space="preserve"> — prioritised, modelled and </w:t>
      </w:r>
      <w:proofErr w:type="spellStart"/>
      <w:r w:rsidRPr="00C17942">
        <w:rPr>
          <w:rFonts w:cs="Arial"/>
          <w:lang w:val="en-GB"/>
        </w:rPr>
        <w:t>costed</w:t>
      </w:r>
      <w:proofErr w:type="spellEnd"/>
      <w:r w:rsidRPr="00C17942">
        <w:rPr>
          <w:rFonts w:cs="Arial"/>
          <w:lang w:val="en-GB"/>
        </w:rPr>
        <w:t xml:space="preserve"> by the Lancet series of 2013 — to address </w:t>
      </w:r>
      <w:proofErr w:type="spellStart"/>
      <w:r w:rsidRPr="00C17942">
        <w:rPr>
          <w:rFonts w:cs="Arial"/>
          <w:lang w:val="en-GB"/>
        </w:rPr>
        <w:t>undernutrition</w:t>
      </w:r>
      <w:proofErr w:type="spellEnd"/>
      <w:r w:rsidRPr="00C17942">
        <w:rPr>
          <w:rFonts w:cs="Arial"/>
          <w:lang w:val="en-GB"/>
        </w:rPr>
        <w:t xml:space="preserve"> and micronutrient deficiencies in women of reproductive age, pregnant women, neonates, infants, and children. These are:  </w:t>
      </w:r>
    </w:p>
    <w:p w14:paraId="1E94BAD1" w14:textId="77777777" w:rsidR="00C06D82" w:rsidRPr="00C17942" w:rsidRDefault="00C06D82" w:rsidP="006F758D">
      <w:pPr>
        <w:pStyle w:val="ListNumber"/>
        <w:numPr>
          <w:ilvl w:val="0"/>
          <w:numId w:val="24"/>
        </w:numPr>
        <w:rPr>
          <w:rFonts w:cs="Arial"/>
          <w:lang w:val="en-GB"/>
        </w:rPr>
      </w:pPr>
      <w:proofErr w:type="spellStart"/>
      <w:proofErr w:type="gramStart"/>
      <w:r w:rsidRPr="00C17942">
        <w:rPr>
          <w:rFonts w:cs="Arial"/>
          <w:lang w:val="en-GB"/>
        </w:rPr>
        <w:t>periconceptual</w:t>
      </w:r>
      <w:proofErr w:type="spellEnd"/>
      <w:proofErr w:type="gramEnd"/>
      <w:r w:rsidRPr="00C17942">
        <w:rPr>
          <w:rFonts w:cs="Arial"/>
          <w:lang w:val="en-GB"/>
        </w:rPr>
        <w:t xml:space="preserve"> folic acid supplementation</w:t>
      </w:r>
    </w:p>
    <w:p w14:paraId="4ACF9AEC"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maternal</w:t>
      </w:r>
      <w:proofErr w:type="gramEnd"/>
      <w:r w:rsidRPr="00C17942">
        <w:rPr>
          <w:rFonts w:cs="Arial"/>
          <w:lang w:val="en-GB"/>
        </w:rPr>
        <w:t xml:space="preserve"> balanced energy protein supplementation</w:t>
      </w:r>
    </w:p>
    <w:p w14:paraId="19773604"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maternal</w:t>
      </w:r>
      <w:proofErr w:type="gramEnd"/>
      <w:r w:rsidRPr="00C17942">
        <w:rPr>
          <w:rFonts w:cs="Arial"/>
          <w:lang w:val="en-GB"/>
        </w:rPr>
        <w:t xml:space="preserve"> calcium supplementation</w:t>
      </w:r>
    </w:p>
    <w:p w14:paraId="0D5FE89C"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multiple</w:t>
      </w:r>
      <w:proofErr w:type="gramEnd"/>
      <w:r w:rsidRPr="00C17942">
        <w:rPr>
          <w:rFonts w:cs="Arial"/>
          <w:lang w:val="en-GB"/>
        </w:rPr>
        <w:t xml:space="preserve"> micronutrient supplementation in pregnancy</w:t>
      </w:r>
    </w:p>
    <w:p w14:paraId="336B6225"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promotion</w:t>
      </w:r>
      <w:proofErr w:type="gramEnd"/>
      <w:r w:rsidRPr="00C17942">
        <w:rPr>
          <w:rFonts w:cs="Arial"/>
          <w:lang w:val="en-GB"/>
        </w:rPr>
        <w:t xml:space="preserve"> of breastfeeding</w:t>
      </w:r>
    </w:p>
    <w:p w14:paraId="39A0E522"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appropriate</w:t>
      </w:r>
      <w:proofErr w:type="gramEnd"/>
      <w:r w:rsidRPr="00C17942">
        <w:rPr>
          <w:rFonts w:cs="Arial"/>
          <w:lang w:val="en-GB"/>
        </w:rPr>
        <w:t xml:space="preserve"> complementary feeding</w:t>
      </w:r>
    </w:p>
    <w:p w14:paraId="6C830BF6"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vitamin</w:t>
      </w:r>
      <w:proofErr w:type="gramEnd"/>
      <w:r w:rsidRPr="00C17942">
        <w:rPr>
          <w:rFonts w:cs="Arial"/>
          <w:lang w:val="en-GB"/>
        </w:rPr>
        <w:t xml:space="preserve"> A administration in children aged 6-59 months</w:t>
      </w:r>
    </w:p>
    <w:p w14:paraId="7A6EC88F"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preventive</w:t>
      </w:r>
      <w:proofErr w:type="gramEnd"/>
      <w:r w:rsidRPr="00C17942">
        <w:rPr>
          <w:rFonts w:cs="Arial"/>
          <w:lang w:val="en-GB"/>
        </w:rPr>
        <w:t xml:space="preserve"> zinc supplementation in children aged 6-59 months</w:t>
      </w:r>
    </w:p>
    <w:p w14:paraId="0711213F"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management</w:t>
      </w:r>
      <w:proofErr w:type="gramEnd"/>
      <w:r w:rsidRPr="00C17942">
        <w:rPr>
          <w:rFonts w:cs="Arial"/>
          <w:lang w:val="en-GB"/>
        </w:rPr>
        <w:t xml:space="preserve"> of severe acute malnutrition</w:t>
      </w:r>
    </w:p>
    <w:p w14:paraId="373514C6" w14:textId="77777777" w:rsidR="00C06D82" w:rsidRPr="00C17942" w:rsidRDefault="00C06D82" w:rsidP="006F758D">
      <w:pPr>
        <w:pStyle w:val="ListNumber"/>
        <w:numPr>
          <w:ilvl w:val="0"/>
          <w:numId w:val="24"/>
        </w:numPr>
        <w:rPr>
          <w:rFonts w:cs="Arial"/>
          <w:lang w:val="en-GB"/>
        </w:rPr>
      </w:pPr>
      <w:proofErr w:type="gramStart"/>
      <w:r w:rsidRPr="00C17942">
        <w:rPr>
          <w:rFonts w:cs="Arial"/>
          <w:lang w:val="en-GB"/>
        </w:rPr>
        <w:t>management</w:t>
      </w:r>
      <w:proofErr w:type="gramEnd"/>
      <w:r w:rsidRPr="00C17942">
        <w:rPr>
          <w:rFonts w:cs="Arial"/>
          <w:lang w:val="en-GB"/>
        </w:rPr>
        <w:t xml:space="preserve"> of moderate acute malnutrition.</w:t>
      </w:r>
    </w:p>
    <w:p w14:paraId="0A6AD430" w14:textId="77777777" w:rsidR="00C06D82" w:rsidRPr="00C17942" w:rsidRDefault="008E0A48" w:rsidP="006F758D">
      <w:pPr>
        <w:pStyle w:val="BodyText"/>
        <w:rPr>
          <w:rFonts w:cs="Arial"/>
          <w:lang w:val="en-GB"/>
        </w:rPr>
      </w:pPr>
      <w:r w:rsidRPr="00C17942">
        <w:rPr>
          <w:rFonts w:cs="Arial"/>
          <w:noProof/>
        </w:rPr>
        <w:drawing>
          <wp:anchor distT="0" distB="0" distL="114300" distR="612140" simplePos="0" relativeHeight="251659264" behindDoc="0" locked="0" layoutInCell="1" allowOverlap="1" wp14:anchorId="185B1D86" wp14:editId="7A886EF9">
            <wp:simplePos x="0" y="0"/>
            <wp:positionH relativeFrom="margin">
              <wp:align>inside</wp:align>
            </wp:positionH>
            <wp:positionV relativeFrom="paragraph">
              <wp:posOffset>0</wp:posOffset>
            </wp:positionV>
            <wp:extent cx="4890770" cy="6167120"/>
            <wp:effectExtent l="0" t="0" r="11430" b="5080"/>
            <wp:wrapTight wrapText="bothSides">
              <wp:wrapPolygon edited="0">
                <wp:start x="0" y="0"/>
                <wp:lineTo x="0" y="21529"/>
                <wp:lineTo x="21538" y="21529"/>
                <wp:lineTo x="21538" y="0"/>
                <wp:lineTo x="0" y="0"/>
              </wp:wrapPolygon>
            </wp:wrapTight>
            <wp:docPr id="6" name="Picture 3" descr="This figure shows the causal framework of maternal and child malnutrition. It starts by describing the basic causes such as the social, economic and political context of the household and their lack of access to capital. The basic causes then contribute to the underlying causes. This includes income poverty, household food insecurity, inadequate care and an unhealthy household environment. The basic causes contribute to the immediate causes. This includes inadequate dietary intake and disease. Ultimately, all three levels contribute to the short term and long term consequences of maternal and child under nutrition. The short term consequences are mortality, morbidity and disability. The long term consequences are adult size, intellectual ability, economic productivity, reproductive performance, metabolic and cardiovascular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770" cy="6167120"/>
                    </a:xfrm>
                    <a:prstGeom prst="rect">
                      <a:avLst/>
                    </a:prstGeom>
                    <a:noFill/>
                    <a:ln>
                      <a:noFill/>
                    </a:ln>
                  </pic:spPr>
                </pic:pic>
              </a:graphicData>
            </a:graphic>
          </wp:anchor>
        </w:drawing>
      </w:r>
      <w:r w:rsidR="00C06D82" w:rsidRPr="00C17942">
        <w:rPr>
          <w:rFonts w:cs="Arial"/>
          <w:lang w:val="en-GB"/>
        </w:rPr>
        <w:t>The cost of scaling up this package of ten essential nutrition-specific interventions to 90 per cent coverage in 34 high nutrition-burden countries (where 90 per cent of the world’s stunted children live) is US$9.6 billion per year. However, even this package would reduce the incidence of stunting only by 20 per cent, and of severe wasting by 60 per cent. This would reduce the number of children with stunted growth and development by 33 million, and save an estimated 900,000 lives. But millions more would still die, or remain stunted, malnourished or underweight. This is why the focus is turning towards indirect nutrition-sensitive interventions, which aim to influence the way other sectors function so that nutrition outcomes are improved. Social protection is a key sector in this context.</w:t>
      </w:r>
    </w:p>
    <w:p w14:paraId="3F5AEA43" w14:textId="77777777" w:rsidR="00C06D82" w:rsidRPr="00C17942" w:rsidRDefault="00C06D82" w:rsidP="006F758D">
      <w:pPr>
        <w:pStyle w:val="Heading2"/>
        <w:rPr>
          <w:rFonts w:cs="Arial"/>
        </w:rPr>
      </w:pPr>
      <w:bookmarkStart w:id="11" w:name="_Toc291849541"/>
      <w:r w:rsidRPr="00C17942">
        <w:rPr>
          <w:rFonts w:cs="Arial"/>
        </w:rPr>
        <w:t>How can social protection help to tackle nutrition?</w:t>
      </w:r>
      <w:bookmarkEnd w:id="11"/>
    </w:p>
    <w:p w14:paraId="1DD9E85B" w14:textId="77777777" w:rsidR="00C06D82" w:rsidRPr="00C17942" w:rsidRDefault="00C06D82" w:rsidP="006F758D">
      <w:pPr>
        <w:pStyle w:val="BodyText"/>
        <w:rPr>
          <w:rFonts w:cs="Arial"/>
          <w:lang w:val="en-GB"/>
        </w:rPr>
      </w:pPr>
      <w:r w:rsidRPr="00C17942">
        <w:rPr>
          <w:rFonts w:cs="Arial"/>
          <w:lang w:val="en-GB"/>
        </w:rPr>
        <w:t xml:space="preserve">There is a wide diversity of definitions of social protection. Some are broad to the point of being unhelpful, encompassing everything that might be considered as social development. DFAT recognises this, and has itself adopted a fairly narrow definition of social protection as “publicly funded initiatives that provide regular and predictable cash or in-kind transfers to individuals, families and households to reduce poverty and vulnerability and foster resilience and empowerment”. This definition encompasses a range of different types of transfer, which may be categorised both by their objectives and by the form they take, as shown in Figure 2. As also indicated in Figure 2, social protection can impact nutrition through different pathways, which operate at progressively different causal levels.  </w:t>
      </w:r>
    </w:p>
    <w:p w14:paraId="4BB3A0A2" w14:textId="77777777" w:rsidR="006F758D" w:rsidRPr="00C17942" w:rsidRDefault="001B7C21" w:rsidP="001B7C21">
      <w:pPr>
        <w:pStyle w:val="Tablehead"/>
        <w:rPr>
          <w:rFonts w:cs="Arial"/>
          <w:lang w:val="en-GB"/>
        </w:rPr>
      </w:pPr>
      <w:r w:rsidRPr="00C17942">
        <w:rPr>
          <w:rFonts w:cs="Arial"/>
          <w:noProof/>
        </w:rPr>
        <w:drawing>
          <wp:anchor distT="0" distB="0" distL="114300" distR="114300" simplePos="0" relativeHeight="251661312" behindDoc="0" locked="0" layoutInCell="1" allowOverlap="1" wp14:anchorId="5F1649BB" wp14:editId="75176DC3">
            <wp:simplePos x="0" y="0"/>
            <wp:positionH relativeFrom="column">
              <wp:posOffset>0</wp:posOffset>
            </wp:positionH>
            <wp:positionV relativeFrom="paragraph">
              <wp:posOffset>252730</wp:posOffset>
            </wp:positionV>
            <wp:extent cx="4944110" cy="3002280"/>
            <wp:effectExtent l="0" t="0" r="8890" b="0"/>
            <wp:wrapTight wrapText="bothSides">
              <wp:wrapPolygon edited="1">
                <wp:start x="0" y="0"/>
                <wp:lineTo x="0" y="2092"/>
                <wp:lineTo x="8101" y="3138"/>
                <wp:lineTo x="333" y="3487"/>
                <wp:lineTo x="0" y="20223"/>
                <wp:lineTo x="222" y="21269"/>
                <wp:lineTo x="1665" y="21443"/>
                <wp:lineTo x="22970" y="21260"/>
                <wp:lineTo x="22970" y="2432"/>
                <wp:lineTo x="22970" y="863"/>
                <wp:lineTo x="16312" y="0"/>
                <wp:lineTo x="0" y="0"/>
              </wp:wrapPolygon>
            </wp:wrapTight>
            <wp:docPr id="1" name="Picture 1" descr="This figure shows how in-kind, near cash and cash transfers can address the immediate, underlying and basic causes of malnutr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073" b="-6202"/>
                    <a:stretch/>
                  </pic:blipFill>
                  <pic:spPr bwMode="auto">
                    <a:xfrm>
                      <a:off x="0" y="0"/>
                      <a:ext cx="4944110" cy="30022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Pr="00C17942">
        <w:rPr>
          <w:rFonts w:cs="Arial"/>
          <w:lang w:val="en-GB"/>
        </w:rPr>
        <w:t>Figure 2: Types of social transfer and their impact on nutrition</w:t>
      </w:r>
    </w:p>
    <w:p w14:paraId="45263BD2" w14:textId="77777777" w:rsidR="00C06D82" w:rsidRPr="00C17942" w:rsidRDefault="00C06D82" w:rsidP="009372B8">
      <w:pPr>
        <w:pStyle w:val="BodyText"/>
        <w:spacing w:line="220" w:lineRule="exact"/>
        <w:rPr>
          <w:rFonts w:cs="Arial"/>
          <w:sz w:val="18"/>
          <w:szCs w:val="18"/>
          <w:lang w:val="en-GB"/>
        </w:rPr>
      </w:pPr>
      <w:r w:rsidRPr="00C17942">
        <w:rPr>
          <w:rFonts w:cs="Arial"/>
          <w:sz w:val="18"/>
          <w:szCs w:val="18"/>
          <w:lang w:val="en-GB"/>
        </w:rPr>
        <w:t>Note: Supplementary feeding, in the form of micronutrient supplementation, is not considered here as a social transfer.</w:t>
      </w:r>
    </w:p>
    <w:p w14:paraId="66D1C060" w14:textId="77777777" w:rsidR="00C06D82" w:rsidRPr="00C17942" w:rsidRDefault="00C06D82" w:rsidP="009372B8">
      <w:pPr>
        <w:pStyle w:val="BodyText"/>
        <w:spacing w:line="220" w:lineRule="exact"/>
        <w:rPr>
          <w:rFonts w:cs="Arial"/>
          <w:sz w:val="18"/>
          <w:szCs w:val="18"/>
          <w:lang w:val="en-GB"/>
        </w:rPr>
      </w:pPr>
      <w:r w:rsidRPr="00C17942">
        <w:rPr>
          <w:rFonts w:cs="Arial"/>
          <w:sz w:val="18"/>
          <w:szCs w:val="18"/>
          <w:lang w:val="en-GB"/>
        </w:rPr>
        <w:t>(*)</w:t>
      </w:r>
      <w:r w:rsidRPr="00C17942">
        <w:rPr>
          <w:rFonts w:cs="Arial"/>
          <w:sz w:val="18"/>
          <w:szCs w:val="18"/>
          <w:lang w:val="en-GB"/>
        </w:rPr>
        <w:tab/>
        <w:t>These refer to the provision of in-kind commodities through the market, allowing beneficiaries to redeem vouchers for instance at a local retailer to retrieve their food entitlement or at a seed fair to access agricultural inputs.</w:t>
      </w:r>
    </w:p>
    <w:p w14:paraId="17CE21F5" w14:textId="77777777" w:rsidR="00C06D82" w:rsidRPr="00C17942" w:rsidRDefault="00C06D82" w:rsidP="009372B8">
      <w:pPr>
        <w:pStyle w:val="BodyText"/>
        <w:spacing w:line="220" w:lineRule="exact"/>
        <w:rPr>
          <w:rFonts w:cs="Arial"/>
          <w:sz w:val="18"/>
          <w:szCs w:val="18"/>
          <w:lang w:val="en-GB"/>
        </w:rPr>
      </w:pPr>
      <w:r w:rsidRPr="00C17942">
        <w:rPr>
          <w:rFonts w:cs="Arial"/>
          <w:sz w:val="18"/>
          <w:szCs w:val="18"/>
          <w:lang w:val="en-GB"/>
        </w:rPr>
        <w:t>(**)</w:t>
      </w:r>
      <w:r w:rsidRPr="00C17942">
        <w:rPr>
          <w:rFonts w:cs="Arial"/>
          <w:sz w:val="18"/>
          <w:szCs w:val="18"/>
          <w:lang w:val="en-GB"/>
        </w:rPr>
        <w:tab/>
        <w:t>These types of social transfers may aim to immediately provide food or income, but another important objective (sometimes primary) is to support livelihood in the medium term through the creation of productive assets, acquisition of new skills through training, etc.</w:t>
      </w:r>
    </w:p>
    <w:p w14:paraId="59F969E0" w14:textId="77777777" w:rsidR="00C06D82" w:rsidRPr="00C17942" w:rsidRDefault="00C06D82" w:rsidP="00C06D82">
      <w:pPr>
        <w:widowControl w:val="0"/>
        <w:tabs>
          <w:tab w:val="left" w:pos="283"/>
          <w:tab w:val="left" w:pos="567"/>
        </w:tabs>
        <w:suppressAutoHyphens/>
        <w:autoSpaceDE w:val="0"/>
        <w:autoSpaceDN w:val="0"/>
        <w:adjustRightInd w:val="0"/>
        <w:spacing w:line="200" w:lineRule="atLeast"/>
        <w:ind w:left="1134" w:hanging="283"/>
        <w:textAlignment w:val="center"/>
        <w:rPr>
          <w:rFonts w:ascii="Arial" w:hAnsi="Arial" w:cs="Arial"/>
          <w:sz w:val="16"/>
          <w:szCs w:val="16"/>
          <w:lang w:val="en-GB"/>
        </w:rPr>
      </w:pPr>
    </w:p>
    <w:p w14:paraId="505FA737" w14:textId="77777777" w:rsidR="00C06D82" w:rsidRPr="00C17942" w:rsidRDefault="00C06D82" w:rsidP="006F758D">
      <w:pPr>
        <w:pStyle w:val="BodyText"/>
        <w:rPr>
          <w:rFonts w:cs="Arial"/>
          <w:lang w:val="en-GB"/>
        </w:rPr>
      </w:pPr>
      <w:r w:rsidRPr="00C17942">
        <w:rPr>
          <w:rFonts w:cs="Arial"/>
          <w:lang w:val="en-GB"/>
        </w:rPr>
        <w:t xml:space="preserve">The theory of change behind the use of social protection to tackle malnutrition is straightforward. Some social transfers — like school meals and food supplements — act directly on individual dietary intake to improve quantity and/or quality, thus tackling the immediate causes of malnutrition, those of inadequate diet and disease. </w:t>
      </w:r>
    </w:p>
    <w:p w14:paraId="009ED7F4" w14:textId="77777777" w:rsidR="00C06D82" w:rsidRPr="00C17942" w:rsidRDefault="00C06D82" w:rsidP="006F758D">
      <w:pPr>
        <w:pStyle w:val="BodyText"/>
        <w:rPr>
          <w:rFonts w:cs="Arial"/>
          <w:lang w:val="en-GB"/>
        </w:rPr>
      </w:pPr>
      <w:r w:rsidRPr="00C17942">
        <w:rPr>
          <w:rFonts w:cs="Arial"/>
          <w:lang w:val="en-GB"/>
        </w:rPr>
        <w:t>But it is primarily the underlying causes of malnutrition that social protection has the potential to address — in particular those of household food insecurity and income poverty. Social transfers can enhance household food access by providing food directly (through traditional food distributions or using vouchers redeemable at a local retailer) or by helping households increase their food crop/livestock production (through agricultural inputs/livestock transfers) or by increasing household purchasing power, either directly (through cash transfers) or indirectly (through lump sum grants to support livelihoods). Regular social protection also helps recipients to smooth consumption, and enhances their ability to afford healthcare without having to sell assets or take on debts.</w:t>
      </w:r>
    </w:p>
    <w:p w14:paraId="68CF5F7D" w14:textId="77777777" w:rsidR="00C06D82" w:rsidRPr="00C17942" w:rsidRDefault="00C06D82" w:rsidP="006F758D">
      <w:pPr>
        <w:pStyle w:val="BodyText"/>
        <w:rPr>
          <w:rFonts w:cs="Arial"/>
          <w:lang w:val="en-GB"/>
        </w:rPr>
      </w:pPr>
      <w:r w:rsidRPr="00C17942">
        <w:rPr>
          <w:rFonts w:cs="Arial"/>
          <w:lang w:val="en-GB"/>
        </w:rPr>
        <w:t>Depending on context, social protection may address some of the basic causes of malnutrition, specifically those related to the acquisition of financial, human</w:t>
      </w:r>
      <w:r w:rsidR="005E35A4" w:rsidRPr="00C17942">
        <w:rPr>
          <w:rFonts w:cs="Arial"/>
          <w:lang w:val="en-GB"/>
        </w:rPr>
        <w:t xml:space="preserve"> and </w:t>
      </w:r>
      <w:r w:rsidRPr="00C17942">
        <w:rPr>
          <w:rFonts w:cs="Arial"/>
          <w:lang w:val="en-GB"/>
        </w:rPr>
        <w:t>social capital. Social protection has considerable potential to break the intergenerational transmission of poverty, hunger and malnutrition. There is well-established evidence that educated mothers have better nourished children, and school bursaries and educational stipends can effectively support girls’ access to education, in the same way that health-fee waivers can generate improved health outcomes. In general, social transfers invested in infants and women of reproductive age (nutrition, health and education) can yield high returns over the long term by triggering a virtuous dynamic: better nourished children have improved cognitive development and educational outcomes; educated farmers produce higher yields; better nourished girls have a greater chance to later give birth to healthy babies; educated adults earning more money are in a better position to have healthy, well-nourished children themselves.</w:t>
      </w:r>
    </w:p>
    <w:p w14:paraId="768F32EC" w14:textId="77777777" w:rsidR="00C06D82" w:rsidRPr="00C17942" w:rsidRDefault="00C06D82" w:rsidP="006F758D">
      <w:pPr>
        <w:pStyle w:val="BodyText"/>
        <w:rPr>
          <w:rFonts w:cs="Arial"/>
          <w:lang w:val="en-GB"/>
        </w:rPr>
      </w:pPr>
      <w:r w:rsidRPr="00C17942">
        <w:rPr>
          <w:rFonts w:cs="Arial"/>
          <w:lang w:val="en-GB"/>
        </w:rPr>
        <w:t>Cash transfers can boost local markets and increase economic opportunities. They can also generate an increased demand for health care, which may, under certain circumstances, encourage health system actors to provide higher-quality services. Social transfers supporting food production may help increase the availability and affordability of nutritious food on the market. At an even deeper level, social protection can contribute to improving the national social and political environment by transforming relationships within society, and between citizens and the state.</w:t>
      </w:r>
    </w:p>
    <w:p w14:paraId="6EA17E58" w14:textId="77777777" w:rsidR="00C06D82" w:rsidRPr="00C17942" w:rsidRDefault="00C06D82" w:rsidP="006F758D">
      <w:pPr>
        <w:pStyle w:val="BodyText"/>
        <w:rPr>
          <w:rFonts w:cs="Arial"/>
          <w:lang w:val="en-GB"/>
        </w:rPr>
      </w:pPr>
      <w:r w:rsidRPr="00C17942">
        <w:rPr>
          <w:rFonts w:cs="Arial"/>
          <w:lang w:val="en-GB"/>
        </w:rPr>
        <w:t>Finally, social protection programs can offer an excellent opportunity to provide greater awareness and education on important nutritional issues. Traditionally, this has often been achieved through the convening power of delivering food or cash transfers at a fixed location and time, where beneficiaries are “pulled” together and can be targeted with key health and nutrition messages. With a move towards “push” mechanisms of delivery (e.g. paying transfers through bank accounts or mobile phones), this physical congregation of beneficiaries has been replaced by an ability to use more innovative communications technologies to relay information, messaging and advice.</w:t>
      </w:r>
    </w:p>
    <w:p w14:paraId="4478E47D" w14:textId="77777777" w:rsidR="006F758D" w:rsidRPr="00C17942" w:rsidRDefault="006F758D" w:rsidP="006F758D">
      <w:pPr>
        <w:rPr>
          <w:rFonts w:ascii="Arial" w:hAnsi="Arial" w:cs="Arial"/>
          <w:sz w:val="36"/>
          <w:szCs w:val="36"/>
        </w:rPr>
      </w:pPr>
      <w:r w:rsidRPr="00C17942">
        <w:rPr>
          <w:rFonts w:ascii="Arial" w:hAnsi="Arial" w:cs="Arial"/>
          <w:sz w:val="36"/>
          <w:szCs w:val="36"/>
        </w:rPr>
        <w:br w:type="page"/>
      </w:r>
    </w:p>
    <w:p w14:paraId="6CE26640" w14:textId="77777777" w:rsidR="006F758D" w:rsidRPr="00C17942" w:rsidRDefault="009372B8" w:rsidP="006F758D">
      <w:pPr>
        <w:pStyle w:val="Heading1"/>
        <w:rPr>
          <w:rFonts w:cs="Arial"/>
        </w:rPr>
      </w:pPr>
      <w:r w:rsidRPr="00C17942">
        <w:rPr>
          <w:rFonts w:cs="Arial"/>
        </w:rPr>
        <w:t xml:space="preserve"> </w:t>
      </w:r>
      <w:bookmarkStart w:id="12" w:name="_Toc291849542"/>
      <w:r w:rsidR="00C06D82" w:rsidRPr="00C17942">
        <w:rPr>
          <w:rFonts w:cs="Arial"/>
        </w:rPr>
        <w:t>Program identification</w:t>
      </w:r>
      <w:bookmarkEnd w:id="12"/>
    </w:p>
    <w:p w14:paraId="44799318" w14:textId="77777777" w:rsidR="00C06D82" w:rsidRPr="00C17942" w:rsidRDefault="00C06D82" w:rsidP="006F758D">
      <w:pPr>
        <w:pStyle w:val="BodyText"/>
        <w:rPr>
          <w:rFonts w:cs="Arial"/>
          <w:lang w:val="en-GB"/>
        </w:rPr>
      </w:pPr>
      <w:r w:rsidRPr="00C17942">
        <w:rPr>
          <w:rFonts w:cs="Arial"/>
          <w:lang w:val="en-GB"/>
        </w:rPr>
        <w:t>Maximising the nutritional impact of social protection programs therefore requires careful and deliberate attention at all stages of the program cycle. This is presented in the sections that follow under the headings program identification (this section), program design and redesign (section 3), program implementation and review (section 4) and program monitoring and evaluation (section 5). Each section is structured around a set of key questions that needs to be asked at that stage of the program cycle, with guidance under each key question on what are the essential data-sources, analyses and considerations that need to be taken into account in order to answer the question.</w:t>
      </w:r>
    </w:p>
    <w:p w14:paraId="070CE4A7" w14:textId="77777777" w:rsidR="00C06D82" w:rsidRPr="00C17942" w:rsidRDefault="00C06D82" w:rsidP="006F758D">
      <w:pPr>
        <w:pStyle w:val="Heading2"/>
        <w:rPr>
          <w:rFonts w:cs="Arial"/>
        </w:rPr>
      </w:pPr>
      <w:bookmarkStart w:id="13" w:name="_Toc291849543"/>
      <w:r w:rsidRPr="00C17942">
        <w:rPr>
          <w:rFonts w:cs="Arial"/>
        </w:rPr>
        <w:t>Has a nutrition situation analysis been conducted?</w:t>
      </w:r>
      <w:bookmarkEnd w:id="13"/>
    </w:p>
    <w:p w14:paraId="14AC817C" w14:textId="77777777" w:rsidR="00C06D82" w:rsidRPr="00C17942" w:rsidRDefault="00C06D82" w:rsidP="006F758D">
      <w:pPr>
        <w:pStyle w:val="BodyText"/>
        <w:rPr>
          <w:rFonts w:cs="Arial"/>
          <w:lang w:val="en-GB"/>
        </w:rPr>
      </w:pPr>
      <w:r w:rsidRPr="00C17942">
        <w:rPr>
          <w:rFonts w:cs="Arial"/>
          <w:lang w:val="en-GB"/>
        </w:rPr>
        <w:t>A situation analysis needs to consider whether nutrition is a pr</w:t>
      </w:r>
      <w:r w:rsidR="006F758D" w:rsidRPr="00C17942">
        <w:rPr>
          <w:rFonts w:cs="Arial"/>
          <w:lang w:val="en-GB"/>
        </w:rPr>
        <w:t xml:space="preserve">iority national concern; and — </w:t>
      </w:r>
      <w:r w:rsidRPr="00C17942">
        <w:rPr>
          <w:rFonts w:cs="Arial"/>
          <w:lang w:val="en-GB"/>
        </w:rPr>
        <w:t xml:space="preserve">if not — whether it should be. Nutrition data should be sought and extracted from any national nutrition surveys (e.g. Demographic Health Survey), or nutritional modules of other household surveys (e.g. Household Income and Expenditure Survey, Household Budget Survey). Analysis should include not just the incidence and prevalence of key nutritional indicators (e.g. stunting, wasting, underweight, overweight, obese), but also their disaggregation by sex and age. It should further analyse their distribution both geographically — to see if some regions are worse affected than others — and across the wealth distribution — to understand whether poor nutrition is closely correlated with poverty. </w:t>
      </w:r>
    </w:p>
    <w:p w14:paraId="38F028F8" w14:textId="77777777" w:rsidR="00C06D82" w:rsidRPr="00C17942" w:rsidRDefault="00C06D82" w:rsidP="006F758D">
      <w:pPr>
        <w:pStyle w:val="Heading2"/>
        <w:rPr>
          <w:rFonts w:cs="Arial"/>
        </w:rPr>
      </w:pPr>
      <w:bookmarkStart w:id="14" w:name="_Toc291849544"/>
      <w:r w:rsidRPr="00C17942">
        <w:rPr>
          <w:rFonts w:cs="Arial"/>
        </w:rPr>
        <w:t>Is social protection an appropriate response?</w:t>
      </w:r>
      <w:bookmarkEnd w:id="14"/>
    </w:p>
    <w:p w14:paraId="70609166" w14:textId="77777777" w:rsidR="00C06D82" w:rsidRPr="00C17942" w:rsidRDefault="00C06D82" w:rsidP="006F758D">
      <w:pPr>
        <w:pStyle w:val="BodyText"/>
        <w:rPr>
          <w:rFonts w:cs="Arial"/>
          <w:lang w:val="en-GB"/>
        </w:rPr>
      </w:pPr>
      <w:r w:rsidRPr="00C17942">
        <w:rPr>
          <w:rFonts w:cs="Arial"/>
          <w:lang w:val="en-GB"/>
        </w:rPr>
        <w:t xml:space="preserve">The situation analysis should review the local nutritional context, its evolution over time, and the likely causes and drivers of malnutrition, in order to ensure that this informs the program identification. It is likely that social protection will be a potentially powerful response to malnutrition where one of two conditions is met. The first is where social protection is directly aimed at improved nutritional outcomes — for example a child grant that targets pregnant mothers and infants under the age of two — in which case the social transfer component can provide the platform for other complementary nutrition interventions, such as micronutrient supplements or nutrition education. The second is where malnutrition is substantially the product of demand-side constraints (i.e. as opposed to being the result of a lack of knowledge, cultural impediments or supply-side deficiencies), in which case the injection of additional income into households — in the form of social transfers or fee-waivers — will in itself overcome some of the constraints to better nutrition, by allowing people to travel to health centres or obtain access to nutrition professionals.  </w:t>
      </w:r>
    </w:p>
    <w:p w14:paraId="43B6F80E" w14:textId="77777777" w:rsidR="00C06D82" w:rsidRPr="00C17942" w:rsidRDefault="00C06D82" w:rsidP="006F758D">
      <w:pPr>
        <w:pStyle w:val="Heading2"/>
        <w:rPr>
          <w:rFonts w:cs="Arial"/>
        </w:rPr>
      </w:pPr>
      <w:bookmarkStart w:id="15" w:name="_Toc291849545"/>
      <w:r w:rsidRPr="00C17942">
        <w:rPr>
          <w:rFonts w:cs="Arial"/>
        </w:rPr>
        <w:t>What is the nutrition policy context?</w:t>
      </w:r>
      <w:bookmarkEnd w:id="15"/>
    </w:p>
    <w:p w14:paraId="5D57109E" w14:textId="77777777" w:rsidR="00C06D82" w:rsidRPr="00C17942" w:rsidRDefault="00C06D82" w:rsidP="006F758D">
      <w:pPr>
        <w:pStyle w:val="BodyText"/>
        <w:rPr>
          <w:rFonts w:cs="Arial"/>
          <w:lang w:val="en-GB"/>
        </w:rPr>
      </w:pPr>
      <w:r w:rsidRPr="00C17942">
        <w:rPr>
          <w:rFonts w:cs="Arial"/>
          <w:lang w:val="en-GB"/>
        </w:rPr>
        <w:t>This needs to consider whether the program aligns with government nutrition policies. For example, the government may have a set of nutritional targets, either of its own formulation or based on (or adapted from) the targets for 2025 established by the World Health Assembly: namely (</w:t>
      </w:r>
      <w:proofErr w:type="spellStart"/>
      <w:r w:rsidRPr="00C17942">
        <w:rPr>
          <w:rFonts w:cs="Arial"/>
          <w:lang w:val="en-GB"/>
        </w:rPr>
        <w:t>i</w:t>
      </w:r>
      <w:proofErr w:type="spellEnd"/>
      <w:r w:rsidRPr="00C17942">
        <w:rPr>
          <w:rFonts w:cs="Arial"/>
          <w:lang w:val="en-GB"/>
        </w:rPr>
        <w:t>) a 40 per cent reduction in the number of children under five who are stunted; (ii) a 50 per cent reduction of anaemia in women of reproductive age; (iii) a 30 per cent reduction in low birth-weight; (iv) no increase in childhood overweight; (v) a 50 per cent increase in the rate of exclusive breastfeeding in the first 6 months; and (vi) a reduction of childhood wasting to less than 5 per cent. These targets would often be spelt out in a National Nutrition Policy, Strategy or Action Plan. It is important to consider the extent to which the program will contribute to meeting any such targets. Such a document may also identify clear roles and responsibilities for the nutrition sector, and the existence (or not) of multi-</w:t>
      </w:r>
      <w:proofErr w:type="spellStart"/>
      <w:r w:rsidRPr="00C17942">
        <w:rPr>
          <w:rFonts w:cs="Arial"/>
          <w:lang w:val="en-GB"/>
        </w:rPr>
        <w:t>sectoral</w:t>
      </w:r>
      <w:proofErr w:type="spellEnd"/>
      <w:r w:rsidRPr="00C17942">
        <w:rPr>
          <w:rFonts w:cs="Arial"/>
          <w:lang w:val="en-GB"/>
        </w:rPr>
        <w:t xml:space="preserve"> nutrition analysis, programming and nutrition monitoring systems, which might provide the basis for collaboration over program implementation.</w:t>
      </w:r>
    </w:p>
    <w:p w14:paraId="70256DF0" w14:textId="77777777" w:rsidR="00C06D82" w:rsidRPr="00C17942" w:rsidRDefault="00C06D82" w:rsidP="006F758D">
      <w:pPr>
        <w:pStyle w:val="Heading2"/>
        <w:rPr>
          <w:rFonts w:cs="Arial"/>
        </w:rPr>
      </w:pPr>
      <w:bookmarkStart w:id="16" w:name="_Toc291849546"/>
      <w:r w:rsidRPr="00C17942">
        <w:rPr>
          <w:rFonts w:cs="Arial"/>
        </w:rPr>
        <w:t>What is the institutional context?</w:t>
      </w:r>
      <w:bookmarkEnd w:id="16"/>
    </w:p>
    <w:p w14:paraId="66F789A5" w14:textId="205182E2" w:rsidR="00C06D82" w:rsidRPr="00C17942" w:rsidRDefault="00C06D82" w:rsidP="006F758D">
      <w:pPr>
        <w:pStyle w:val="BodyText"/>
        <w:rPr>
          <w:rFonts w:cs="Arial"/>
          <w:lang w:val="en-GB"/>
        </w:rPr>
      </w:pPr>
      <w:r w:rsidRPr="00C17942">
        <w:rPr>
          <w:rFonts w:cs="Arial"/>
          <w:lang w:val="en-GB"/>
        </w:rPr>
        <w:t xml:space="preserve">Here there is a need to consider whether there </w:t>
      </w:r>
      <w:proofErr w:type="gramStart"/>
      <w:r w:rsidRPr="00C17942">
        <w:rPr>
          <w:rFonts w:cs="Arial"/>
          <w:lang w:val="en-GB"/>
        </w:rPr>
        <w:t>are existing</w:t>
      </w:r>
      <w:proofErr w:type="gramEnd"/>
      <w:r w:rsidRPr="00C17942">
        <w:rPr>
          <w:rFonts w:cs="Arial"/>
          <w:lang w:val="en-GB"/>
        </w:rPr>
        <w:t xml:space="preserve"> mechanisms for inter-</w:t>
      </w:r>
      <w:proofErr w:type="spellStart"/>
      <w:r w:rsidRPr="00C17942">
        <w:rPr>
          <w:rFonts w:cs="Arial"/>
          <w:lang w:val="en-GB"/>
        </w:rPr>
        <w:t>sectoral</w:t>
      </w:r>
      <w:proofErr w:type="spellEnd"/>
      <w:r w:rsidRPr="00C17942">
        <w:rPr>
          <w:rFonts w:cs="Arial"/>
          <w:lang w:val="en-GB"/>
        </w:rPr>
        <w:t xml:space="preserve"> nutrition coordination at government level and amongst stakeholders. The government may have signed up to the Scaling Up Nutrition</w:t>
      </w:r>
      <w:r w:rsidR="00241C56" w:rsidRPr="00C17942">
        <w:rPr>
          <w:rStyle w:val="FootnoteReference"/>
          <w:rFonts w:ascii="Arial" w:hAnsi="Arial" w:cs="Arial"/>
          <w:lang w:val="en-GB"/>
        </w:rPr>
        <w:footnoteReference w:id="2"/>
      </w:r>
      <w:r w:rsidRPr="00C17942">
        <w:rPr>
          <w:rFonts w:cs="Arial"/>
          <w:lang w:val="en-GB"/>
        </w:rPr>
        <w:t xml:space="preserve"> (SUN) movement; or UN agencies may have agreed to collaborate through a Renewed Efforts Against Child Hunger</w:t>
      </w:r>
      <w:r w:rsidR="00241C56" w:rsidRPr="00C17942">
        <w:rPr>
          <w:rStyle w:val="FootnoteReference"/>
          <w:rFonts w:ascii="Arial" w:hAnsi="Arial" w:cs="Arial"/>
          <w:lang w:val="en-GB"/>
        </w:rPr>
        <w:footnoteReference w:id="3"/>
      </w:r>
      <w:r w:rsidRPr="00C17942">
        <w:rPr>
          <w:rFonts w:cs="Arial"/>
          <w:lang w:val="en-GB"/>
        </w:rPr>
        <w:t xml:space="preserve"> (REACH) initiative. As a result, there may </w:t>
      </w:r>
      <w:proofErr w:type="gramStart"/>
      <w:r w:rsidRPr="00C17942">
        <w:rPr>
          <w:rFonts w:cs="Arial"/>
          <w:lang w:val="en-GB"/>
        </w:rPr>
        <w:t>be existing</w:t>
      </w:r>
      <w:proofErr w:type="gramEnd"/>
      <w:r w:rsidRPr="00C17942">
        <w:rPr>
          <w:rFonts w:cs="Arial"/>
          <w:lang w:val="en-GB"/>
        </w:rPr>
        <w:t xml:space="preserve"> coordinating committees or platforms, with common, shared analysis of the problem and good formal coordination between government and donors, providing opportunities for joint programming. Considerations about the institutional context should include that expectations of available capacity are realistic, both in terms of government and of the DFAT Post; that potential partners have proven skills and experience in nutrition; and that existing opportunities and constraints are properly recognised.</w:t>
      </w:r>
    </w:p>
    <w:p w14:paraId="416869B7" w14:textId="77777777" w:rsidR="00C06D82" w:rsidRPr="00C17942" w:rsidRDefault="00C06D82" w:rsidP="006F758D">
      <w:pPr>
        <w:pStyle w:val="Heading2"/>
        <w:rPr>
          <w:rFonts w:cs="Arial"/>
        </w:rPr>
      </w:pPr>
      <w:bookmarkStart w:id="17" w:name="_Toc291849547"/>
      <w:r w:rsidRPr="00C17942">
        <w:rPr>
          <w:rFonts w:cs="Arial"/>
        </w:rPr>
        <w:t>What are the expected nutritional impacts?</w:t>
      </w:r>
      <w:bookmarkEnd w:id="17"/>
    </w:p>
    <w:p w14:paraId="5DAC6519" w14:textId="77777777" w:rsidR="00C06D82" w:rsidRPr="00C17942" w:rsidRDefault="00C06D82" w:rsidP="006F758D">
      <w:pPr>
        <w:pStyle w:val="BodyText"/>
        <w:rPr>
          <w:rFonts w:cs="Arial"/>
          <w:lang w:val="en-GB"/>
        </w:rPr>
      </w:pPr>
      <w:r w:rsidRPr="00C17942">
        <w:rPr>
          <w:rFonts w:cs="Arial"/>
          <w:lang w:val="en-GB"/>
        </w:rPr>
        <w:t xml:space="preserve">It is important that clear and specific nutritional objectives are established for the program (see Box 3 for the example of the 4Ps program in the Philippines). This would include a detailed assessment of the underlying theory of change, and of whether it is realistic in the context of the country. Normally, there should be a significant focus on the critical window of the “1000 days” or “1000 days plus”. And it is important that expected impacts are aligned with the intended design, for example, to ensure that the value of any social transfer reflects the local cost of a healthy diet. Finally, any potential negative impacts on nutrition (such as, for example, the labour requirement on public works programs) should be explicitly recognised, and mitigating measures properly formulated to eliminate (or at least minimise) these. Paying attention to these crucial aspects permits appropriate adjustments to be made to the social transfer component itself, considering nutrition-focused complementary measures, and integrating the program into a broader food and </w:t>
      </w:r>
      <w:proofErr w:type="spellStart"/>
      <w:r w:rsidRPr="00C17942">
        <w:rPr>
          <w:rFonts w:cs="Arial"/>
          <w:lang w:val="en-GB"/>
        </w:rPr>
        <w:t>and</w:t>
      </w:r>
      <w:proofErr w:type="spellEnd"/>
      <w:r w:rsidRPr="00C17942">
        <w:rPr>
          <w:rFonts w:cs="Arial"/>
          <w:lang w:val="en-GB"/>
        </w:rPr>
        <w:t xml:space="preserve"> nutrition security strategy.</w:t>
      </w:r>
    </w:p>
    <w:tbl>
      <w:tblPr>
        <w:tblW w:w="0" w:type="auto"/>
        <w:tblInd w:w="170" w:type="dxa"/>
        <w:tblBorders>
          <w:top w:val="single" w:sz="6" w:space="0" w:color="000000"/>
          <w:left w:val="single" w:sz="6" w:space="0" w:color="000000"/>
          <w:bottom w:val="single" w:sz="6" w:space="0" w:color="000000"/>
          <w:right w:val="single" w:sz="6" w:space="0" w:color="000000"/>
        </w:tblBorders>
        <w:shd w:val="clear" w:color="196E9C" w:fill="auto"/>
        <w:tblLayout w:type="fixed"/>
        <w:tblCellMar>
          <w:left w:w="0" w:type="dxa"/>
          <w:right w:w="0" w:type="dxa"/>
        </w:tblCellMar>
        <w:tblLook w:val="0000" w:firstRow="0" w:lastRow="0" w:firstColumn="0" w:lastColumn="0" w:noHBand="0" w:noVBand="0"/>
      </w:tblPr>
      <w:tblGrid>
        <w:gridCol w:w="8548"/>
      </w:tblGrid>
      <w:tr w:rsidR="00C06D82" w:rsidRPr="00C17942" w14:paraId="1ABBD670" w14:textId="77777777">
        <w:trPr>
          <w:trHeight w:val="60"/>
        </w:trPr>
        <w:tc>
          <w:tcPr>
            <w:tcW w:w="8548" w:type="dxa"/>
            <w:shd w:val="clear" w:color="196E9C" w:fill="auto"/>
            <w:tcMar>
              <w:top w:w="170" w:type="dxa"/>
              <w:left w:w="170" w:type="dxa"/>
              <w:bottom w:w="170" w:type="dxa"/>
              <w:right w:w="170" w:type="dxa"/>
            </w:tcMar>
          </w:tcPr>
          <w:p w14:paraId="39AF6532" w14:textId="77777777" w:rsidR="00C06D82" w:rsidRPr="00C17942" w:rsidRDefault="00C06D82" w:rsidP="0058530A">
            <w:pPr>
              <w:pStyle w:val="Boxhead1"/>
              <w:spacing w:before="120"/>
              <w:rPr>
                <w:rFonts w:cs="Arial"/>
              </w:rPr>
            </w:pPr>
            <w:bookmarkStart w:id="18" w:name="_Toc291849548"/>
            <w:r w:rsidRPr="00C17942">
              <w:rPr>
                <w:rFonts w:cs="Arial"/>
              </w:rPr>
              <w:t xml:space="preserve">Box 3: </w:t>
            </w:r>
            <w:proofErr w:type="spellStart"/>
            <w:r w:rsidRPr="00C17942">
              <w:rPr>
                <w:rFonts w:cs="Arial"/>
              </w:rPr>
              <w:t>Pantawid</w:t>
            </w:r>
            <w:proofErr w:type="spellEnd"/>
            <w:r w:rsidRPr="00C17942">
              <w:rPr>
                <w:rFonts w:cs="Arial"/>
              </w:rPr>
              <w:t xml:space="preserve"> </w:t>
            </w:r>
            <w:proofErr w:type="spellStart"/>
            <w:r w:rsidRPr="00C17942">
              <w:rPr>
                <w:rFonts w:cs="Arial"/>
              </w:rPr>
              <w:t>Pamiliyang</w:t>
            </w:r>
            <w:proofErr w:type="spellEnd"/>
            <w:r w:rsidRPr="00C17942">
              <w:rPr>
                <w:rFonts w:cs="Arial"/>
              </w:rPr>
              <w:t xml:space="preserve"> Pilipino Program (4Ps) in the Philippines</w:t>
            </w:r>
            <w:bookmarkEnd w:id="18"/>
          </w:p>
          <w:p w14:paraId="18CA0556" w14:textId="77777777" w:rsidR="00C06D82" w:rsidRPr="00C17942" w:rsidRDefault="00C06D82" w:rsidP="0058530A">
            <w:pPr>
              <w:pStyle w:val="BodyText"/>
              <w:spacing w:line="240" w:lineRule="auto"/>
              <w:rPr>
                <w:rFonts w:cs="Arial"/>
                <w:lang w:val="en-GB"/>
              </w:rPr>
            </w:pPr>
            <w:r w:rsidRPr="00C17942">
              <w:rPr>
                <w:rFonts w:cs="Arial"/>
                <w:lang w:val="en-GB"/>
              </w:rPr>
              <w:t xml:space="preserve">DFAT has supported the </w:t>
            </w:r>
            <w:proofErr w:type="spellStart"/>
            <w:r w:rsidRPr="00C17942">
              <w:rPr>
                <w:rFonts w:cs="Arial"/>
                <w:lang w:val="en-GB"/>
              </w:rPr>
              <w:t>Pantawid</w:t>
            </w:r>
            <w:proofErr w:type="spellEnd"/>
            <w:r w:rsidRPr="00C17942">
              <w:rPr>
                <w:rFonts w:cs="Arial"/>
                <w:lang w:val="en-GB"/>
              </w:rPr>
              <w:t xml:space="preserve"> </w:t>
            </w:r>
            <w:proofErr w:type="spellStart"/>
            <w:r w:rsidRPr="00C17942">
              <w:rPr>
                <w:rFonts w:cs="Arial"/>
                <w:lang w:val="en-GB"/>
              </w:rPr>
              <w:t>Pamiliyang</w:t>
            </w:r>
            <w:proofErr w:type="spellEnd"/>
            <w:r w:rsidRPr="00C17942">
              <w:rPr>
                <w:rFonts w:cs="Arial"/>
                <w:lang w:val="en-GB"/>
              </w:rPr>
              <w:t xml:space="preserve"> Pilipino Program (4Ps) in the Philippines since 2009. The program provides cash transfers to the poorest households, conditional upon investments in education and health, such as monthly Family Development Sessions for pregnant women and in-school deworming for children, both of which affect nutritional status and subsequent progress in education and health. A second wave impact evaluation of the program (conducted in November 2014), found that beneficiaries (children and mothers) of the program:</w:t>
            </w:r>
          </w:p>
          <w:p w14:paraId="193B6360" w14:textId="77777777" w:rsidR="00C06D82" w:rsidRPr="00C17942" w:rsidRDefault="00C06D82" w:rsidP="0058530A">
            <w:pPr>
              <w:pStyle w:val="ListBullet"/>
              <w:spacing w:line="240" w:lineRule="auto"/>
              <w:rPr>
                <w:rFonts w:cs="Arial"/>
                <w:lang w:val="en-GB"/>
              </w:rPr>
            </w:pPr>
            <w:r w:rsidRPr="00C17942">
              <w:rPr>
                <w:rFonts w:cs="Arial"/>
                <w:lang w:val="en-GB"/>
              </w:rPr>
              <w:t xml:space="preserve">Had greater access to basic health services such as vitamin and mineral supplementation and immunisation compared with non-beneficiaries: 86% of beneficiaries between the ages of six months and six years received Vitamin A supplementation compared with 74% of non-beneficiaries, and 35% of beneficiaries received iron supplementation compared with 23% of non-beneficiaries. </w:t>
            </w:r>
          </w:p>
          <w:p w14:paraId="16601705" w14:textId="77777777" w:rsidR="00C06D82" w:rsidRPr="00C17942" w:rsidRDefault="00C06D82" w:rsidP="0058530A">
            <w:pPr>
              <w:pStyle w:val="ListBullet"/>
              <w:spacing w:line="240" w:lineRule="auto"/>
              <w:rPr>
                <w:rFonts w:cs="Arial"/>
                <w:lang w:val="en-GB"/>
              </w:rPr>
            </w:pPr>
            <w:r w:rsidRPr="00C17942">
              <w:rPr>
                <w:rFonts w:cs="Arial"/>
                <w:lang w:val="en-GB"/>
              </w:rPr>
              <w:t>Utilised preventive services in public health facilities more than non-beneficiarie</w:t>
            </w:r>
            <w:r w:rsidR="009372B8" w:rsidRPr="00C17942">
              <w:rPr>
                <w:rFonts w:cs="Arial"/>
                <w:lang w:val="en-GB"/>
              </w:rPr>
              <w:t xml:space="preserve">s: </w:t>
            </w:r>
            <w:r w:rsidRPr="00C17942">
              <w:rPr>
                <w:rFonts w:cs="Arial"/>
                <w:lang w:val="en-GB"/>
              </w:rPr>
              <w:t xml:space="preserve">19% of beneficiaries aged 0-2 years visited health centres on a monthly basis (for weight monitoring) compared with only 12% of non-beneficiaries; and, among beneficiaries aged 2-5 years, 49% visited health centres for bi-monthly weight monitoring compared with only 25% of non-beneficiaries. </w:t>
            </w:r>
          </w:p>
          <w:p w14:paraId="7F5FD6AE" w14:textId="77777777" w:rsidR="00C06D82" w:rsidRPr="00C17942" w:rsidRDefault="00C06D82" w:rsidP="0058530A">
            <w:pPr>
              <w:pStyle w:val="ListBullet"/>
              <w:spacing w:line="240" w:lineRule="auto"/>
              <w:rPr>
                <w:rFonts w:cs="Arial"/>
                <w:lang w:val="en-GB"/>
              </w:rPr>
            </w:pPr>
            <w:r w:rsidRPr="00C17942">
              <w:rPr>
                <w:rFonts w:cs="Arial"/>
                <w:lang w:val="en-GB"/>
              </w:rPr>
              <w:t xml:space="preserve">Gave birth in health facilities more commonly than non-beneficiaries: 7 in 10 live births in the past five years by beneficiaries were delivered in a health facility, compared with 5.5 in 10 live births among non-beneficiary mothers.  </w:t>
            </w:r>
          </w:p>
        </w:tc>
      </w:tr>
    </w:tbl>
    <w:p w14:paraId="331E38AA" w14:textId="77777777" w:rsidR="00C06D82" w:rsidRPr="00C17942" w:rsidRDefault="00C06D82" w:rsidP="006F758D">
      <w:pPr>
        <w:pStyle w:val="BodyText"/>
        <w:rPr>
          <w:rFonts w:cs="Arial"/>
          <w:lang w:val="en-GB"/>
        </w:rPr>
      </w:pPr>
    </w:p>
    <w:p w14:paraId="2970B185" w14:textId="77777777" w:rsidR="00C06D82" w:rsidRPr="00C17942" w:rsidRDefault="007E458D" w:rsidP="007E458D">
      <w:pPr>
        <w:pStyle w:val="Heading1"/>
        <w:rPr>
          <w:rFonts w:cs="Arial"/>
          <w:sz w:val="36"/>
          <w:szCs w:val="36"/>
        </w:rPr>
      </w:pPr>
      <w:r w:rsidRPr="00C17942">
        <w:rPr>
          <w:rFonts w:cs="Arial"/>
          <w:sz w:val="36"/>
          <w:szCs w:val="36"/>
        </w:rPr>
        <w:br w:type="page"/>
      </w:r>
      <w:bookmarkStart w:id="19" w:name="_Toc291849549"/>
      <w:r w:rsidR="00C06D82" w:rsidRPr="00C17942">
        <w:rPr>
          <w:rFonts w:cs="Arial"/>
        </w:rPr>
        <w:t>Program design and redesign</w:t>
      </w:r>
      <w:bookmarkEnd w:id="19"/>
    </w:p>
    <w:p w14:paraId="6356F409" w14:textId="77777777" w:rsidR="00C06D82" w:rsidRPr="00C17942" w:rsidRDefault="00C06D82" w:rsidP="006F758D">
      <w:pPr>
        <w:pStyle w:val="BodyText"/>
        <w:rPr>
          <w:rFonts w:cs="Arial"/>
          <w:lang w:val="en-GB"/>
        </w:rPr>
      </w:pPr>
      <w:r w:rsidRPr="00C17942">
        <w:rPr>
          <w:rFonts w:cs="Arial"/>
          <w:lang w:val="en-GB"/>
        </w:rPr>
        <w:t xml:space="preserve">Listed below are questions that, while critical to the design and implementation of new programs, are equally relevant for staff reviewing existing programs in order to make sure they are nutritionally sensitive. </w:t>
      </w:r>
    </w:p>
    <w:p w14:paraId="19DCEA5E" w14:textId="77777777" w:rsidR="00C06D82" w:rsidRPr="00C17942" w:rsidRDefault="00C06D82" w:rsidP="007E458D">
      <w:pPr>
        <w:pStyle w:val="Heading2"/>
        <w:rPr>
          <w:rFonts w:cs="Arial"/>
        </w:rPr>
      </w:pPr>
      <w:bookmarkStart w:id="20" w:name="_Toc291849550"/>
      <w:r w:rsidRPr="00C17942">
        <w:rPr>
          <w:rFonts w:cs="Arial"/>
        </w:rPr>
        <w:t>What are the nutritional objectives?</w:t>
      </w:r>
      <w:bookmarkEnd w:id="20"/>
    </w:p>
    <w:p w14:paraId="4B17DD9B" w14:textId="77777777" w:rsidR="00C06D82" w:rsidRPr="00C17942" w:rsidRDefault="00C06D82" w:rsidP="006F758D">
      <w:pPr>
        <w:pStyle w:val="BodyText"/>
        <w:rPr>
          <w:rFonts w:cs="Arial"/>
          <w:lang w:val="en-GB"/>
        </w:rPr>
      </w:pPr>
      <w:r w:rsidRPr="00C17942">
        <w:rPr>
          <w:rFonts w:cs="Arial"/>
          <w:lang w:val="en-GB"/>
        </w:rPr>
        <w:t>It is essential that clear nutritional objectives and outcomes should be integrated in the program design and reflected in its logical framework. They should be directly associated with nutrition indicators that are SMART (specific, measurable, achievable, relevant and time-bound); and ideally these should capture impacts on both maternal and child nutrition (disaggregated by sex and age for the latter). Furthermore, if the program includes any lesson-learning objectives (e.g. in the case of a pilot), these should be clearly stated, and should correspond with the envisaged methods of monitoring and evaluation. For existing programs, the review process (e.g. annual review, mid-term review) may offer opportunities to modify logical frameworks, adjust objectives, or introduce new indicators that will better reflect a greater emphasis on improved nutrition (see Box 4 for an example of how this was achieved on the DFAT-supported Chars Livelihood Programme in Bangladesh).</w:t>
      </w:r>
    </w:p>
    <w:tbl>
      <w:tblPr>
        <w:tblW w:w="0" w:type="auto"/>
        <w:tblInd w:w="170" w:type="dxa"/>
        <w:tblBorders>
          <w:top w:val="single" w:sz="6" w:space="0" w:color="000000"/>
          <w:left w:val="single" w:sz="6" w:space="0" w:color="000000"/>
          <w:bottom w:val="single" w:sz="6" w:space="0" w:color="000000"/>
          <w:right w:val="single" w:sz="6" w:space="0" w:color="000000"/>
        </w:tblBorders>
        <w:shd w:val="clear" w:color="196E9C" w:fill="auto"/>
        <w:tblLayout w:type="fixed"/>
        <w:tblCellMar>
          <w:top w:w="28" w:type="dxa"/>
          <w:left w:w="0" w:type="dxa"/>
          <w:right w:w="0" w:type="dxa"/>
        </w:tblCellMar>
        <w:tblLook w:val="0000" w:firstRow="0" w:lastRow="0" w:firstColumn="0" w:lastColumn="0" w:noHBand="0" w:noVBand="0"/>
      </w:tblPr>
      <w:tblGrid>
        <w:gridCol w:w="8505"/>
      </w:tblGrid>
      <w:tr w:rsidR="00C06D82" w:rsidRPr="00C17942" w14:paraId="7434F053" w14:textId="77777777">
        <w:trPr>
          <w:trHeight w:val="60"/>
        </w:trPr>
        <w:tc>
          <w:tcPr>
            <w:tcW w:w="8505" w:type="dxa"/>
            <w:shd w:val="clear" w:color="196E9C" w:fill="auto"/>
            <w:tcMar>
              <w:top w:w="170" w:type="dxa"/>
              <w:left w:w="170" w:type="dxa"/>
              <w:bottom w:w="170" w:type="dxa"/>
              <w:right w:w="170" w:type="dxa"/>
            </w:tcMar>
          </w:tcPr>
          <w:p w14:paraId="6D9D6BC2" w14:textId="77777777" w:rsidR="00C06D82" w:rsidRPr="00C17942" w:rsidRDefault="00C06D82" w:rsidP="001B7C21">
            <w:pPr>
              <w:pStyle w:val="Boxhead1"/>
              <w:spacing w:before="120"/>
              <w:rPr>
                <w:rFonts w:cs="Arial"/>
              </w:rPr>
            </w:pPr>
            <w:bookmarkStart w:id="21" w:name="_Toc291849551"/>
            <w:r w:rsidRPr="00C17942">
              <w:rPr>
                <w:rFonts w:cs="Arial"/>
              </w:rPr>
              <w:t xml:space="preserve">Box 4: Chars Livelihoods </w:t>
            </w:r>
            <w:proofErr w:type="spellStart"/>
            <w:r w:rsidRPr="00C17942">
              <w:rPr>
                <w:rFonts w:cs="Arial"/>
              </w:rPr>
              <w:t>Programme</w:t>
            </w:r>
            <w:proofErr w:type="spellEnd"/>
            <w:r w:rsidRPr="00C17942">
              <w:rPr>
                <w:rFonts w:cs="Arial"/>
              </w:rPr>
              <w:t xml:space="preserve"> (CLP) in Bangladesh</w:t>
            </w:r>
            <w:bookmarkEnd w:id="21"/>
          </w:p>
          <w:p w14:paraId="4B3BD342" w14:textId="77777777" w:rsidR="00C06D82" w:rsidRPr="00C17942" w:rsidRDefault="00C06D82" w:rsidP="006F758D">
            <w:pPr>
              <w:pStyle w:val="BodyText"/>
              <w:rPr>
                <w:rFonts w:cs="Arial"/>
                <w:lang w:val="en-GB"/>
              </w:rPr>
            </w:pPr>
            <w:r w:rsidRPr="00C17942">
              <w:rPr>
                <w:rFonts w:cs="Arial"/>
                <w:lang w:val="en-GB"/>
              </w:rPr>
              <w:t>DFAT has supported the Chars Livelihoods Programme (CLP) in Bangladesh since 2009. CLP has always had indirect components aimed at improving the health and nutrition of its beneficiaries. This has included access to improved water and adequate sanitation; providing training on nutrition, water, sanitation and hygiene; and promoting homestead gardening as a way to increase nutritional status. But impact studies on CLP showed mixed results in terms of nutritional outcomes. So, in 2013, CLP introduced a range of direct nutrition interventions, specifically targeting the improvement of the nutritional status of core participant households, especially for pregnant women, breastfeeding women, children under two, and adolescent girls. Activities include one-on-one counselling on Infant and Young Child Feeding (IYCF) and hygiene promotion, providing iron and folic acid tablets to pregnant and lactating mothers and adolescent girls and providing deworming tablets for all family members. At the same time, the Programme modified its logical framework to introduce explicit nutrition targets, as follows:</w:t>
            </w:r>
          </w:p>
          <w:p w14:paraId="51246677" w14:textId="77777777" w:rsidR="00C06D82" w:rsidRPr="00C17942" w:rsidRDefault="00C06D82" w:rsidP="007E458D">
            <w:pPr>
              <w:pStyle w:val="ListBullet"/>
              <w:rPr>
                <w:rFonts w:cs="Arial"/>
                <w:lang w:val="en-GB"/>
              </w:rPr>
            </w:pPr>
            <w:r w:rsidRPr="00C17942">
              <w:rPr>
                <w:rFonts w:cs="Arial"/>
                <w:lang w:val="en-GB"/>
              </w:rPr>
              <w:t xml:space="preserve">% </w:t>
            </w:r>
            <w:proofErr w:type="gramStart"/>
            <w:r w:rsidRPr="00C17942">
              <w:rPr>
                <w:rFonts w:cs="Arial"/>
                <w:lang w:val="en-GB"/>
              </w:rPr>
              <w:t>of</w:t>
            </w:r>
            <w:proofErr w:type="gramEnd"/>
            <w:r w:rsidRPr="00C17942">
              <w:rPr>
                <w:rFonts w:cs="Arial"/>
                <w:lang w:val="en-GB"/>
              </w:rPr>
              <w:t xml:space="preserve"> targeted lactating mothers of infants 0 - 6 months exclusively breastfeeding (as per WHO definition)</w:t>
            </w:r>
          </w:p>
          <w:p w14:paraId="7C7BB4C0" w14:textId="77777777" w:rsidR="00C06D82" w:rsidRPr="00C17942" w:rsidRDefault="00C06D82" w:rsidP="007E458D">
            <w:pPr>
              <w:pStyle w:val="ListBullet"/>
              <w:rPr>
                <w:rFonts w:cs="Arial"/>
                <w:lang w:val="en-GB"/>
              </w:rPr>
            </w:pPr>
            <w:r w:rsidRPr="00C17942">
              <w:rPr>
                <w:rFonts w:cs="Arial"/>
                <w:lang w:val="en-GB"/>
              </w:rPr>
              <w:t xml:space="preserve">% </w:t>
            </w:r>
            <w:proofErr w:type="gramStart"/>
            <w:r w:rsidRPr="00C17942">
              <w:rPr>
                <w:rFonts w:cs="Arial"/>
                <w:lang w:val="en-GB"/>
              </w:rPr>
              <w:t>of</w:t>
            </w:r>
            <w:proofErr w:type="gramEnd"/>
            <w:r w:rsidRPr="00C17942">
              <w:rPr>
                <w:rFonts w:cs="Arial"/>
                <w:lang w:val="en-GB"/>
              </w:rPr>
              <w:t xml:space="preserve"> targeted lactating mothers of children 7-23 practicing appropriate complementary feeding (as per WHO definition)</w:t>
            </w:r>
          </w:p>
          <w:p w14:paraId="30D21B91" w14:textId="77777777" w:rsidR="00C06D82" w:rsidRPr="00C17942" w:rsidRDefault="00C06D82" w:rsidP="007E458D">
            <w:pPr>
              <w:pStyle w:val="ListBullet"/>
              <w:rPr>
                <w:rFonts w:cs="Arial"/>
                <w:lang w:val="en-GB"/>
              </w:rPr>
            </w:pPr>
            <w:r w:rsidRPr="00C17942">
              <w:rPr>
                <w:rFonts w:cs="Arial"/>
                <w:lang w:val="en-GB"/>
              </w:rPr>
              <w:t xml:space="preserve">% </w:t>
            </w:r>
            <w:proofErr w:type="gramStart"/>
            <w:r w:rsidRPr="00C17942">
              <w:rPr>
                <w:rFonts w:cs="Arial"/>
                <w:lang w:val="en-GB"/>
              </w:rPr>
              <w:t>of</w:t>
            </w:r>
            <w:proofErr w:type="gramEnd"/>
            <w:r w:rsidRPr="00C17942">
              <w:rPr>
                <w:rFonts w:cs="Arial"/>
                <w:lang w:val="en-GB"/>
              </w:rPr>
              <w:t xml:space="preserve"> targeted children (7-24m) consuming micronutrient powders</w:t>
            </w:r>
          </w:p>
          <w:p w14:paraId="07786039" w14:textId="77777777" w:rsidR="00C06D82" w:rsidRPr="00C17942" w:rsidRDefault="00C06D82" w:rsidP="007E458D">
            <w:pPr>
              <w:pStyle w:val="ListBullet"/>
              <w:rPr>
                <w:rFonts w:cs="Arial"/>
                <w:lang w:val="en-GB"/>
              </w:rPr>
            </w:pPr>
            <w:r w:rsidRPr="00C17942">
              <w:rPr>
                <w:rFonts w:cs="Arial"/>
                <w:lang w:val="en-GB"/>
              </w:rPr>
              <w:t xml:space="preserve">% </w:t>
            </w:r>
            <w:proofErr w:type="gramStart"/>
            <w:r w:rsidRPr="00C17942">
              <w:rPr>
                <w:rFonts w:cs="Arial"/>
                <w:lang w:val="en-GB"/>
              </w:rPr>
              <w:t>of</w:t>
            </w:r>
            <w:proofErr w:type="gramEnd"/>
            <w:r w:rsidRPr="00C17942">
              <w:rPr>
                <w:rFonts w:cs="Arial"/>
                <w:lang w:val="en-GB"/>
              </w:rPr>
              <w:t xml:space="preserve"> targeted mothers and adolescent girls consuming iron and folic acid (IFA)</w:t>
            </w:r>
          </w:p>
          <w:p w14:paraId="30101651" w14:textId="77777777" w:rsidR="00C06D82" w:rsidRPr="00C17942" w:rsidRDefault="00C06D82" w:rsidP="007E458D">
            <w:pPr>
              <w:pStyle w:val="ListBullet"/>
              <w:rPr>
                <w:rFonts w:cs="Arial"/>
                <w:sz w:val="19"/>
                <w:szCs w:val="19"/>
                <w:lang w:val="en-GB"/>
              </w:rPr>
            </w:pPr>
            <w:r w:rsidRPr="00C17942">
              <w:rPr>
                <w:rFonts w:cs="Arial"/>
                <w:lang w:val="en-GB"/>
              </w:rPr>
              <w:t xml:space="preserve">% </w:t>
            </w:r>
            <w:proofErr w:type="gramStart"/>
            <w:r w:rsidRPr="00C17942">
              <w:rPr>
                <w:rFonts w:cs="Arial"/>
                <w:lang w:val="en-GB"/>
              </w:rPr>
              <w:t>of</w:t>
            </w:r>
            <w:proofErr w:type="gramEnd"/>
            <w:r w:rsidRPr="00C17942">
              <w:rPr>
                <w:rFonts w:cs="Arial"/>
                <w:lang w:val="en-GB"/>
              </w:rPr>
              <w:t xml:space="preserve"> targeted members consuming </w:t>
            </w:r>
            <w:proofErr w:type="spellStart"/>
            <w:r w:rsidRPr="00C17942">
              <w:rPr>
                <w:rFonts w:cs="Arial"/>
                <w:lang w:val="en-GB"/>
              </w:rPr>
              <w:t>anthelmintics</w:t>
            </w:r>
            <w:proofErr w:type="spellEnd"/>
            <w:r w:rsidRPr="00C17942">
              <w:rPr>
                <w:rFonts w:cs="Arial"/>
                <w:lang w:val="en-GB"/>
              </w:rPr>
              <w:t>.</w:t>
            </w:r>
          </w:p>
        </w:tc>
      </w:tr>
    </w:tbl>
    <w:p w14:paraId="2DF48442" w14:textId="77777777" w:rsidR="00C06D82" w:rsidRPr="00C17942" w:rsidRDefault="00C06D82" w:rsidP="006F758D">
      <w:pPr>
        <w:pStyle w:val="BodyText"/>
        <w:rPr>
          <w:rFonts w:cs="Arial"/>
          <w:lang w:val="en-GB"/>
        </w:rPr>
      </w:pPr>
    </w:p>
    <w:p w14:paraId="1882A53B" w14:textId="77777777" w:rsidR="00C06D82" w:rsidRPr="00C17942" w:rsidRDefault="00C06D82" w:rsidP="007E458D">
      <w:pPr>
        <w:pStyle w:val="Heading2"/>
        <w:rPr>
          <w:rFonts w:cs="Arial"/>
        </w:rPr>
      </w:pPr>
      <w:bookmarkStart w:id="22" w:name="_Toc291849552"/>
      <w:r w:rsidRPr="00C17942">
        <w:rPr>
          <w:rFonts w:cs="Arial"/>
        </w:rPr>
        <w:t>Who will be eligible?</w:t>
      </w:r>
      <w:bookmarkEnd w:id="22"/>
    </w:p>
    <w:p w14:paraId="67098653" w14:textId="77777777" w:rsidR="00C06D82" w:rsidRPr="00C17942" w:rsidRDefault="00C06D82" w:rsidP="007E458D">
      <w:pPr>
        <w:pStyle w:val="BodyText"/>
        <w:rPr>
          <w:rFonts w:cs="Arial"/>
          <w:lang w:val="en-GB"/>
        </w:rPr>
      </w:pPr>
      <w:r w:rsidRPr="00C17942">
        <w:rPr>
          <w:rFonts w:cs="Arial"/>
          <w:lang w:val="en-GB"/>
        </w:rPr>
        <w:t xml:space="preserve">It is important that the targeting strategy of the proposed program represents the best way to help the </w:t>
      </w:r>
      <w:proofErr w:type="gramStart"/>
      <w:r w:rsidRPr="00C17942">
        <w:rPr>
          <w:rFonts w:cs="Arial"/>
          <w:lang w:val="en-GB"/>
        </w:rPr>
        <w:t>groups which</w:t>
      </w:r>
      <w:proofErr w:type="gramEnd"/>
      <w:r w:rsidRPr="00C17942">
        <w:rPr>
          <w:rFonts w:cs="Arial"/>
          <w:lang w:val="en-GB"/>
        </w:rPr>
        <w:t xml:space="preserve"> are most vulnerable to food and nutrition insecurity. This might in some cases imply an exclusive focus on the “1000 days plus”, or an explicit target group of children, women and adolescent girls. And it might involve targeting only the poorest households. But the political economy of targeting, and the profile of malnutrition in the country also need to be carefully considered. In some countries malnutrition is high across the wealth distribution, so targeting the poorest in such cases makes little sense from a nutrition perspective: here a better solution might be nutritional education campaigns linked to more universal social transfers. And it is generally recognised that more universal programs have greater social acceptability and poli</w:t>
      </w:r>
      <w:r w:rsidRPr="00C17942">
        <w:rPr>
          <w:rFonts w:cs="Arial"/>
          <w:spacing w:val="-2"/>
          <w:lang w:val="en-GB"/>
        </w:rPr>
        <w:t xml:space="preserve">tical appeal, which is why many </w:t>
      </w:r>
      <w:proofErr w:type="gramStart"/>
      <w:r w:rsidRPr="00C17942">
        <w:rPr>
          <w:rFonts w:cs="Arial"/>
          <w:spacing w:val="-2"/>
          <w:lang w:val="en-GB"/>
        </w:rPr>
        <w:t>nutritionally-oriented</w:t>
      </w:r>
      <w:proofErr w:type="gramEnd"/>
      <w:r w:rsidRPr="00C17942">
        <w:rPr>
          <w:rFonts w:cs="Arial"/>
          <w:spacing w:val="-2"/>
          <w:lang w:val="en-GB"/>
        </w:rPr>
        <w:t xml:space="preserve"> programs adopt a more inclusive targeting approach. An interesting illustration would be South Africa, where the near-universal old age pension had significant impacts on the nutrition of children in beneficiary households, with girls in particular being 3.5 cm taller than in non-recipient households. Finally, there needs to be an appropriate balance between the costs of targeting to the program implementer, the costs of targeting to the target groups (travel expenses, opportunity costs, social stigma, etc.) and the effectiveness of the targeting. Again these are aspects of existing programs that need to be critically assessed, and if necessary adjusted, at regular stages in the </w:t>
      </w:r>
      <w:proofErr w:type="spellStart"/>
      <w:r w:rsidRPr="00C17942">
        <w:rPr>
          <w:rFonts w:cs="Arial"/>
          <w:spacing w:val="-2"/>
          <w:lang w:val="en-GB"/>
        </w:rPr>
        <w:t>ongoing</w:t>
      </w:r>
      <w:proofErr w:type="spellEnd"/>
      <w:r w:rsidRPr="00C17942">
        <w:rPr>
          <w:rFonts w:cs="Arial"/>
          <w:spacing w:val="-2"/>
          <w:lang w:val="en-GB"/>
        </w:rPr>
        <w:t xml:space="preserve"> review process.</w:t>
      </w:r>
    </w:p>
    <w:p w14:paraId="7372F956" w14:textId="77777777" w:rsidR="00C06D82" w:rsidRPr="00C17942" w:rsidRDefault="00C06D82" w:rsidP="007E458D">
      <w:pPr>
        <w:pStyle w:val="Heading2"/>
        <w:rPr>
          <w:rFonts w:cs="Arial"/>
        </w:rPr>
      </w:pPr>
      <w:bookmarkStart w:id="23" w:name="_Toc291849553"/>
      <w:r w:rsidRPr="00C17942">
        <w:rPr>
          <w:rFonts w:cs="Arial"/>
        </w:rPr>
        <w:t>Is the government appropriately engaged?</w:t>
      </w:r>
      <w:bookmarkEnd w:id="23"/>
    </w:p>
    <w:p w14:paraId="1CD45A9F" w14:textId="77777777" w:rsidR="00C06D82" w:rsidRPr="00C17942" w:rsidRDefault="00C06D82" w:rsidP="006F758D">
      <w:pPr>
        <w:pStyle w:val="BodyText"/>
        <w:rPr>
          <w:rFonts w:cs="Arial"/>
          <w:lang w:val="en-GB"/>
        </w:rPr>
      </w:pPr>
      <w:r w:rsidRPr="00C17942">
        <w:rPr>
          <w:rFonts w:cs="Arial"/>
          <w:lang w:val="en-GB"/>
        </w:rPr>
        <w:t>The government should be closely involved in program design, and the design should fully recognise government constraints. This would argue for keeping the design of the program as simple as possible, with a burden of proof — founded on convincing evidence — that any added complexities (e.g. conditions, identification requirements, reporting systems) add incremental value overall. In particular, additional demands on often-overstretched health facilities and nutrition staff should be kept to an absolute minimum; and should be offset by capacity building and support at all necessary levels. There should be a clear division of responsibilities between institutions, ensuring that each has the mandate, capacity and comparative advantage to fulfil its respective role. Coordinating mechanisms should be developed (or existing ones used) to ensure links with other government departments relevant to nutrition.</w:t>
      </w:r>
    </w:p>
    <w:p w14:paraId="19A53B57" w14:textId="77777777" w:rsidR="00C06D82" w:rsidRPr="00C17942" w:rsidRDefault="00C06D82" w:rsidP="007E458D">
      <w:pPr>
        <w:pStyle w:val="Heading2"/>
        <w:rPr>
          <w:rFonts w:cs="Arial"/>
        </w:rPr>
      </w:pPr>
      <w:bookmarkStart w:id="24" w:name="_Toc291849554"/>
      <w:r w:rsidRPr="00C17942">
        <w:rPr>
          <w:rFonts w:cs="Arial"/>
        </w:rPr>
        <w:t>Is the budget realistic?</w:t>
      </w:r>
      <w:bookmarkEnd w:id="24"/>
    </w:p>
    <w:p w14:paraId="72E22735" w14:textId="77777777" w:rsidR="00C06D82" w:rsidRPr="00C17942" w:rsidRDefault="00C06D82" w:rsidP="007E458D">
      <w:pPr>
        <w:pStyle w:val="BodyText"/>
        <w:rPr>
          <w:rFonts w:cs="Arial"/>
          <w:lang w:val="en-GB"/>
        </w:rPr>
      </w:pPr>
      <w:r w:rsidRPr="00C17942">
        <w:rPr>
          <w:rFonts w:cs="Arial"/>
          <w:lang w:val="en-GB"/>
        </w:rPr>
        <w:t xml:space="preserve">Careful consideration should be given to whether the budget for the program has been properly calculated. This should include a specific assessment of the costs and benefits of alternate approaches to achieving the selected nutritional objectives. There should also be provision for indexing any transfers to maintain their value over time, otherwise there is a danger that nutritional outcomes will be compromised as the value of the transfer becomes eroded. </w:t>
      </w:r>
    </w:p>
    <w:p w14:paraId="69071BB4" w14:textId="77777777" w:rsidR="007E458D" w:rsidRPr="00C17942" w:rsidRDefault="007E458D">
      <w:pPr>
        <w:rPr>
          <w:rFonts w:ascii="Arial" w:hAnsi="Arial" w:cs="Arial"/>
          <w:sz w:val="36"/>
          <w:szCs w:val="36"/>
        </w:rPr>
      </w:pPr>
      <w:r w:rsidRPr="00C17942">
        <w:rPr>
          <w:rFonts w:ascii="Arial" w:hAnsi="Arial" w:cs="Arial"/>
          <w:sz w:val="36"/>
          <w:szCs w:val="36"/>
        </w:rPr>
        <w:br w:type="page"/>
      </w:r>
    </w:p>
    <w:p w14:paraId="50BEC78B" w14:textId="77777777" w:rsidR="00C06D82" w:rsidRPr="00C17942" w:rsidRDefault="00C06D82" w:rsidP="00B60C3C">
      <w:pPr>
        <w:pStyle w:val="Heading1"/>
        <w:rPr>
          <w:rFonts w:cs="Arial"/>
        </w:rPr>
      </w:pPr>
      <w:bookmarkStart w:id="25" w:name="_Toc291849555"/>
      <w:r w:rsidRPr="00C17942">
        <w:rPr>
          <w:rFonts w:cs="Arial"/>
        </w:rPr>
        <w:t>Program implementation and review</w:t>
      </w:r>
      <w:bookmarkEnd w:id="25"/>
    </w:p>
    <w:p w14:paraId="41FA02B4" w14:textId="77777777" w:rsidR="00C06D82" w:rsidRPr="00C17942" w:rsidRDefault="00C06D82" w:rsidP="00B60C3C">
      <w:pPr>
        <w:pStyle w:val="Heading2"/>
        <w:rPr>
          <w:rFonts w:cs="Arial"/>
          <w:spacing w:val="2"/>
        </w:rPr>
      </w:pPr>
      <w:bookmarkStart w:id="26" w:name="_Toc291849556"/>
      <w:r w:rsidRPr="00C17942">
        <w:rPr>
          <w:rFonts w:cs="Arial"/>
          <w:spacing w:val="2"/>
        </w:rPr>
        <w:t xml:space="preserve">How will </w:t>
      </w:r>
      <w:r w:rsidRPr="00C17942">
        <w:rPr>
          <w:rFonts w:cs="Arial"/>
        </w:rPr>
        <w:t>nutritional messages be conveyed</w:t>
      </w:r>
      <w:r w:rsidRPr="00C17942">
        <w:rPr>
          <w:rFonts w:cs="Arial"/>
          <w:spacing w:val="2"/>
        </w:rPr>
        <w:t>?</w:t>
      </w:r>
      <w:bookmarkEnd w:id="26"/>
    </w:p>
    <w:p w14:paraId="2F4679C0" w14:textId="77777777" w:rsidR="00C06D82" w:rsidRPr="00C17942" w:rsidRDefault="00C06D82" w:rsidP="006F758D">
      <w:pPr>
        <w:pStyle w:val="BodyText"/>
        <w:rPr>
          <w:rFonts w:cs="Arial"/>
          <w:lang w:val="en-GB"/>
        </w:rPr>
      </w:pPr>
      <w:r w:rsidRPr="00C17942">
        <w:rPr>
          <w:rFonts w:cs="Arial"/>
          <w:lang w:val="en-GB"/>
        </w:rPr>
        <w:t>Every opportunity should be exploited to convey important messages about nutrition through the program. The way this is achieved will depend upon program design, and in particular on the payment mechanism selected. For social transfer programs operating on a “pull” payment basis (i.e. where beneficiaries have to come to a particular point at a particular time), there may be opportunities for delivering awareness and training in optimal nutrition practices direct to the assembled groups; whereas for programs operating on a “push” basis (i.e. delivering transfers to bank accounts or by mobile phones), there may be scope for personalised individual messaging, counselling and guidance. In all cases, mechanisms should be in place for maximising synergy and complementarity with other nutrition initiatives (education, safe delivery, training schemes, health centres, nutrition surveillance, early childhood care and development, etc.) thus maximising value-for-money. Finally, there will be the need for a comprehensive publicity campaign (covering program objectives, eligibility criteria, appeals procedures, value of transfers, etc.).</w:t>
      </w:r>
    </w:p>
    <w:p w14:paraId="3DB983BB" w14:textId="77777777" w:rsidR="00C06D82" w:rsidRPr="00C17942" w:rsidRDefault="00C06D82" w:rsidP="00B60C3C">
      <w:pPr>
        <w:pStyle w:val="Heading2"/>
        <w:rPr>
          <w:rFonts w:cs="Arial"/>
        </w:rPr>
      </w:pPr>
      <w:bookmarkStart w:id="27" w:name="_Toc291849557"/>
      <w:r w:rsidRPr="00C17942">
        <w:rPr>
          <w:rFonts w:cs="Arial"/>
        </w:rPr>
        <w:t>Is any work requirement nutrition-sensitive?</w:t>
      </w:r>
      <w:bookmarkEnd w:id="27"/>
    </w:p>
    <w:p w14:paraId="10FF73A1" w14:textId="77777777" w:rsidR="00C06D82" w:rsidRPr="00C17942" w:rsidRDefault="00C06D82" w:rsidP="006F758D">
      <w:pPr>
        <w:pStyle w:val="BodyText"/>
        <w:rPr>
          <w:rFonts w:cs="Arial"/>
          <w:lang w:val="en-GB"/>
        </w:rPr>
      </w:pPr>
      <w:r w:rsidRPr="00C17942">
        <w:rPr>
          <w:rFonts w:cs="Arial"/>
          <w:lang w:val="en-GB"/>
        </w:rPr>
        <w:t>Programs with a work requirement call for particular sensitivity from a nutritional perspective. It is essential that any such work requirements are compatible with the agricultural labour calendar and with the objectives of improved nutrition. At a minimum, this would include measures for adaptation or exemption for certain categories of recipient (e.g. pregnant or lactating women). In addition, community childcare centres should be organised for under-fives whose mothers participate in public works. There is also a risk either that children themselves will participate in the works, or that their domestic workload (at home or in the fields) will increase because a parent is busy on the public work programme, and that their nutrition, health or education might thereby be negatively impacted as a result. And there is a more general risk that the proposed assets created through public works might have negative impacts either on nutrition (by increasing the risk of water or livestock related illnesses, by reducing the quality of care given to children, by impacting on breastfeeding practices, etc.), or on food security (by reducing production diversity, encouraging soil degradation, etc.). If such risks do exist, measures are needed to reduce or eliminate them. An alternative to public works programs that should be considered, and one which may have better impacts on nutrition, is to support own production, by providing input/asset transfers to support home gardening (e.g. to grow orange-flesh sweet potato or legumes) or household animal production (e.g. poultry rearing, fish farming, cattle or goat dairy production).</w:t>
      </w:r>
    </w:p>
    <w:p w14:paraId="3303A109" w14:textId="77777777" w:rsidR="00C06D82" w:rsidRPr="00C17942" w:rsidRDefault="00C06D82" w:rsidP="00B60C3C">
      <w:pPr>
        <w:pStyle w:val="Heading2"/>
        <w:rPr>
          <w:rFonts w:cs="Arial"/>
        </w:rPr>
      </w:pPr>
      <w:bookmarkStart w:id="28" w:name="_Toc291849558"/>
      <w:r w:rsidRPr="00C17942">
        <w:rPr>
          <w:rFonts w:cs="Arial"/>
        </w:rPr>
        <w:t>Are the type and value of the transfer nutrition-sensitive?</w:t>
      </w:r>
      <w:bookmarkEnd w:id="28"/>
    </w:p>
    <w:p w14:paraId="2D459CEE" w14:textId="77777777" w:rsidR="00C06D82" w:rsidRPr="00C17942" w:rsidRDefault="00C06D82" w:rsidP="006F758D">
      <w:pPr>
        <w:pStyle w:val="BodyText"/>
        <w:rPr>
          <w:rFonts w:cs="Arial"/>
          <w:lang w:val="en-GB"/>
        </w:rPr>
      </w:pPr>
      <w:r w:rsidRPr="00C17942">
        <w:rPr>
          <w:rFonts w:cs="Arial"/>
          <w:lang w:val="en-GB"/>
        </w:rPr>
        <w:t xml:space="preserve">The value of the transfer should be sufficient to achieve the stated nutritional objectives (ensuring a nutritious diet, improving dietary diversity, etc.). If the transfer is in cash, mechanisms should be envisioned to adjust its value both to the size of the household, and for inflation, e.g. based on the contents of a </w:t>
      </w:r>
      <w:proofErr w:type="gramStart"/>
      <w:r w:rsidRPr="00C17942">
        <w:rPr>
          <w:rFonts w:cs="Arial"/>
          <w:lang w:val="en-GB"/>
        </w:rPr>
        <w:t>nutritionally-adequate</w:t>
      </w:r>
      <w:proofErr w:type="gramEnd"/>
      <w:r w:rsidRPr="00C17942">
        <w:rPr>
          <w:rFonts w:cs="Arial"/>
          <w:lang w:val="en-GB"/>
        </w:rPr>
        <w:t xml:space="preserve"> food basket per adult equivalent in the household. If it is an in-kind transfer of food, it needs to take account of the specific needs and dietary preferences of individual beneficiaries. Understanding the capacity, potential and limitations of markets (for goods and services) is also crucial to appropriate transfer selection: where markets can supply the required essential goods and services, cash-based transfers would provide beneficiaries with the purchasing power to access basic commodities and hence let them participate as consumers and express their choice in existing markets. And the proposed transfer type (food, cash, inputs, voucher) should be designed to maximise the nutrition potential of the program (e.g. through supporting local markets, supporting local production of nutritious foods). Even where the predominant form of social transfer might be cash, there would be a case to consider, for example, complementary food supplements to pregnant and lactating women and under-twos to prevent or treat any prevailing micronutrient deficiencies.</w:t>
      </w:r>
    </w:p>
    <w:p w14:paraId="62A214F3" w14:textId="77777777" w:rsidR="00C06D82" w:rsidRPr="00C17942" w:rsidRDefault="00C06D82" w:rsidP="00B60C3C">
      <w:pPr>
        <w:pStyle w:val="Heading2"/>
        <w:rPr>
          <w:rFonts w:cs="Arial"/>
        </w:rPr>
      </w:pPr>
      <w:bookmarkStart w:id="29" w:name="_Toc291849559"/>
      <w:r w:rsidRPr="00C17942">
        <w:rPr>
          <w:rFonts w:cs="Arial"/>
        </w:rPr>
        <w:t>Are delivery mechanisms and frequency nutrition-sensitive?</w:t>
      </w:r>
      <w:bookmarkEnd w:id="29"/>
    </w:p>
    <w:p w14:paraId="7F0A9AD8" w14:textId="77777777" w:rsidR="00C06D82" w:rsidRPr="00C17942" w:rsidRDefault="00C06D82" w:rsidP="006F758D">
      <w:pPr>
        <w:pStyle w:val="BodyText"/>
        <w:rPr>
          <w:rFonts w:cs="Arial"/>
          <w:lang w:val="en-GB"/>
        </w:rPr>
      </w:pPr>
      <w:r w:rsidRPr="00C17942">
        <w:rPr>
          <w:rFonts w:cs="Arial"/>
          <w:lang w:val="en-GB"/>
        </w:rPr>
        <w:t>The delivery mechanism and frequency of the transfer should match the needs (dietary, productive or cash-based) of beneficiaries, while reducing to a minimum the costs borne by beneficiaries in collecting the transfer (opportunity, transport, stigma, etc.). Again, the proposed delivery mechanism should maximise the program’s nutrition potential (e.g. through support to local markets, access to financial services, access to agricultural information, greater gender equity, etc.). And, again, all possible opportunities should be exploited to deliver awareness, education and key messages on health and nutrition issues to beneficiaries and non-beneficiaries alike. Nutritional education and deworming are important complementary activities to improve the nutritional impact of social protection. In addition, emotional stimulation of children can be incorporated in the treatment and prevention of malnutrition. There is considerable potential for community-based nutrition delivery platforms to reach poor and remote populations.</w:t>
      </w:r>
    </w:p>
    <w:p w14:paraId="54E3583D" w14:textId="77777777" w:rsidR="00C06D82" w:rsidRPr="00C17942" w:rsidRDefault="00C06D82" w:rsidP="00B60C3C">
      <w:pPr>
        <w:pStyle w:val="Heading2"/>
        <w:rPr>
          <w:rFonts w:cs="Arial"/>
        </w:rPr>
      </w:pPr>
      <w:bookmarkStart w:id="30" w:name="_Toc291849560"/>
      <w:r w:rsidRPr="00C17942">
        <w:rPr>
          <w:rFonts w:cs="Arial"/>
        </w:rPr>
        <w:t>Are conditions desirable?</w:t>
      </w:r>
      <w:bookmarkEnd w:id="30"/>
    </w:p>
    <w:p w14:paraId="30BCFB18" w14:textId="77777777" w:rsidR="00C06D82" w:rsidRPr="00C17942" w:rsidRDefault="00C06D82" w:rsidP="006F758D">
      <w:pPr>
        <w:pStyle w:val="BodyText"/>
        <w:rPr>
          <w:rFonts w:cs="Arial"/>
          <w:lang w:val="en-GB"/>
        </w:rPr>
      </w:pPr>
      <w:r w:rsidRPr="00C17942">
        <w:rPr>
          <w:rFonts w:cs="Arial"/>
          <w:lang w:val="en-GB"/>
        </w:rPr>
        <w:t xml:space="preserve">The justification for including any conditions must be based on a thorough analysis of the socio-economic barriers to accessing goods and basic services, and to achieving better nutrition: if the reasons for malnutrition are associated with poor knowledge, then an educational campaign might have more impact; or if they are more due to remoteness, then increasing the accessibility of services might be the better solution. And it is important that the additional costs associated with monitoring and enforcing the conditionality </w:t>
      </w:r>
      <w:proofErr w:type="gramStart"/>
      <w:r w:rsidRPr="00C17942">
        <w:rPr>
          <w:rFonts w:cs="Arial"/>
          <w:lang w:val="en-GB"/>
        </w:rPr>
        <w:t>remain</w:t>
      </w:r>
      <w:proofErr w:type="gramEnd"/>
      <w:r w:rsidRPr="00C17942">
        <w:rPr>
          <w:rFonts w:cs="Arial"/>
          <w:lang w:val="en-GB"/>
        </w:rPr>
        <w:t xml:space="preserve"> lower than the expected incremental gains. There is also a danger that the condition may introduce perverse nutrition incentives (e.g. keeping a child underweight to ensure continued eligibility, or over-feeding the child immediately before a health visit to demonstrate results) or that it may have negative impacts such as overcrowding health services resulting in a lower quality of care, or requiring frequent tiring trips to remote health centres by pregnant women or mothers of young children. So the burden of proof should be to demonstrate that there is genuinely no better way than conditions to raise beneficiaries’ awareness of, and access to, health, education and nutrition (e.g. through incentives or nudges, or supply-side interventions).</w:t>
      </w:r>
    </w:p>
    <w:p w14:paraId="5CF9A6E0" w14:textId="77777777" w:rsidR="00B60C3C" w:rsidRPr="00C17942" w:rsidRDefault="00B60C3C">
      <w:pPr>
        <w:rPr>
          <w:rFonts w:ascii="Arial" w:hAnsi="Arial" w:cs="Arial"/>
          <w:sz w:val="36"/>
          <w:szCs w:val="36"/>
        </w:rPr>
      </w:pPr>
      <w:r w:rsidRPr="00C17942">
        <w:rPr>
          <w:rFonts w:ascii="Arial" w:hAnsi="Arial" w:cs="Arial"/>
          <w:sz w:val="36"/>
          <w:szCs w:val="36"/>
        </w:rPr>
        <w:br w:type="page"/>
      </w:r>
    </w:p>
    <w:p w14:paraId="7083D370" w14:textId="77777777" w:rsidR="00C06D82" w:rsidRPr="00C17942" w:rsidRDefault="00C06D82" w:rsidP="00B60C3C">
      <w:pPr>
        <w:pStyle w:val="Heading1"/>
        <w:rPr>
          <w:rFonts w:cs="Arial"/>
        </w:rPr>
      </w:pPr>
      <w:bookmarkStart w:id="31" w:name="_Toc291849561"/>
      <w:r w:rsidRPr="00C17942">
        <w:rPr>
          <w:rFonts w:cs="Arial"/>
        </w:rPr>
        <w:t>Program monitoring and evaluation</w:t>
      </w:r>
      <w:bookmarkEnd w:id="31"/>
    </w:p>
    <w:p w14:paraId="0C535764" w14:textId="77777777" w:rsidR="00C06D82" w:rsidRPr="00C17942" w:rsidRDefault="00C06D82" w:rsidP="00B60C3C">
      <w:pPr>
        <w:pStyle w:val="Heading2"/>
        <w:rPr>
          <w:rFonts w:cs="Arial"/>
        </w:rPr>
      </w:pPr>
      <w:bookmarkStart w:id="32" w:name="_Toc291849562"/>
      <w:r w:rsidRPr="00C17942">
        <w:rPr>
          <w:rFonts w:cs="Arial"/>
        </w:rPr>
        <w:t>Are nutrition indicators included?</w:t>
      </w:r>
      <w:bookmarkEnd w:id="32"/>
    </w:p>
    <w:p w14:paraId="744C59C9" w14:textId="77777777" w:rsidR="00C06D82" w:rsidRPr="00C17942" w:rsidRDefault="00C06D82" w:rsidP="006F758D">
      <w:pPr>
        <w:pStyle w:val="BodyText"/>
        <w:rPr>
          <w:rFonts w:cs="Arial"/>
          <w:lang w:val="en-GB"/>
        </w:rPr>
      </w:pPr>
      <w:r w:rsidRPr="00C17942">
        <w:rPr>
          <w:rFonts w:cs="Arial"/>
          <w:lang w:val="en-GB"/>
        </w:rPr>
        <w:t>It is important that “SMART” nutrition indicators are included within the M&amp;E framework. These will depend on the objectives and design of the program, but they might include, for example, (a</w:t>
      </w:r>
      <w:proofErr w:type="gramStart"/>
      <w:r w:rsidRPr="00C17942">
        <w:rPr>
          <w:rFonts w:cs="Arial"/>
          <w:lang w:val="en-GB"/>
        </w:rPr>
        <w:t>)  quantitative</w:t>
      </w:r>
      <w:proofErr w:type="gramEnd"/>
      <w:r w:rsidRPr="00C17942">
        <w:rPr>
          <w:rFonts w:cs="Arial"/>
          <w:lang w:val="en-GB"/>
        </w:rPr>
        <w:t xml:space="preserve"> indicators, such as duration of breastfeeding, dietary diversity (e.g. using a dietary diversity score), anthropometry (e.g. </w:t>
      </w:r>
      <w:proofErr w:type="spellStart"/>
      <w:r w:rsidRPr="00C17942">
        <w:rPr>
          <w:rFonts w:cs="Arial"/>
          <w:lang w:val="en-GB"/>
        </w:rPr>
        <w:t>birthweight</w:t>
      </w:r>
      <w:proofErr w:type="spellEnd"/>
      <w:r w:rsidRPr="00C17942">
        <w:rPr>
          <w:rFonts w:cs="Arial"/>
          <w:lang w:val="en-GB"/>
        </w:rPr>
        <w:t>, height-for-age, middle upper arm circumference), micronutrient status, and (b) more qualitative indicators such as nutrient intake, nutritional and hygiene practices, intra-household sharing patterns, women’s workload (and time for self-care and child care), caregivers’ basic knowledge, water quality and sanitary conditions, as well as physical, economic and social access to health care (and its quality). It is also important to include indicators that will measure possible negative impacts, and to disaggregate indicators in such a way that it is possible to monitor heterogeneity of impact (for example, are female-headed households or child-headed households impacted differently in any way?). To capture these properly is likely to require a mix of survey approaches.</w:t>
      </w:r>
    </w:p>
    <w:p w14:paraId="301D78A5" w14:textId="77777777" w:rsidR="00C06D82" w:rsidRPr="00C17942" w:rsidRDefault="00C06D82" w:rsidP="00B60C3C">
      <w:pPr>
        <w:pStyle w:val="Heading2"/>
        <w:rPr>
          <w:rFonts w:cs="Arial"/>
        </w:rPr>
      </w:pPr>
      <w:bookmarkStart w:id="33" w:name="_Toc291849563"/>
      <w:r w:rsidRPr="00C17942">
        <w:rPr>
          <w:rFonts w:cs="Arial"/>
        </w:rPr>
        <w:t>How will data for monitoring be collected?</w:t>
      </w:r>
      <w:bookmarkEnd w:id="33"/>
    </w:p>
    <w:p w14:paraId="75AA18E5" w14:textId="77777777" w:rsidR="00C06D82" w:rsidRPr="00C17942" w:rsidRDefault="00C06D82" w:rsidP="006F758D">
      <w:pPr>
        <w:pStyle w:val="BodyText"/>
        <w:rPr>
          <w:rFonts w:cs="Arial"/>
          <w:lang w:val="en-GB"/>
        </w:rPr>
      </w:pPr>
      <w:r w:rsidRPr="00C17942">
        <w:rPr>
          <w:rFonts w:cs="Arial"/>
          <w:lang w:val="en-GB"/>
        </w:rPr>
        <w:t>Ideally, as much nutritional monitoring data as possible will be derived from the existing management reporting systems of the government or other stakeholders (e.g. health centres, clinics). In this case, mechanisms may be required to ensure that these are reinforced and improved. But it is likely that other data collection will need to be programmed, either through the inclusion of more detailed nutrition modules in existing national health and income/expenditure surveys; or through the implementation of specific questionnaires, focus group discussions and key informant interviews having a nutrition lens.</w:t>
      </w:r>
    </w:p>
    <w:p w14:paraId="198A09EC" w14:textId="77777777" w:rsidR="00C06D82" w:rsidRPr="00C17942" w:rsidRDefault="00C06D82" w:rsidP="00B60C3C">
      <w:pPr>
        <w:pStyle w:val="Heading2"/>
        <w:rPr>
          <w:rFonts w:cs="Arial"/>
        </w:rPr>
      </w:pPr>
      <w:bookmarkStart w:id="34" w:name="_Toc291849564"/>
      <w:r w:rsidRPr="00C17942">
        <w:rPr>
          <w:rFonts w:cs="Arial"/>
        </w:rPr>
        <w:t>How will nutrition-related impacts be captured?</w:t>
      </w:r>
      <w:bookmarkEnd w:id="34"/>
    </w:p>
    <w:p w14:paraId="5FAB589B" w14:textId="77777777" w:rsidR="00C06D82" w:rsidRPr="00C17942" w:rsidRDefault="00C06D82" w:rsidP="006F758D">
      <w:pPr>
        <w:pStyle w:val="BodyText"/>
        <w:rPr>
          <w:rFonts w:cs="Arial"/>
          <w:lang w:val="en-GB"/>
        </w:rPr>
      </w:pPr>
      <w:r w:rsidRPr="00C17942">
        <w:rPr>
          <w:rFonts w:cs="Arial"/>
          <w:lang w:val="en-GB"/>
        </w:rPr>
        <w:t xml:space="preserve">There has been a dearth of rigorous evaluations on the impacts of social protection on nutrition. It will be important to capture nutrition-related outcomes and impacts, in line with the objectives and indicators selected for the program. This may involve comparison with a stable and valid control group, against which the impact on beneficiaries will be compared. There may also be a danger that the program has negative impacts on nutrition: in this case it is important that the evaluation is flexible enough to detect these, and independent enough to publicise them in order to correct any such deficiencies. There may also be ethical issues with the evaluation that need to be considered (e.g. excluding the control group from receiving benefits; interviewing children and adolescents; creating intra-household tensions by focussing health and nutrition related questions on the mother). Other under-researched areas include: cost-effectiveness, the value of nutritional education, value chains for nutrition, </w:t>
      </w:r>
      <w:proofErr w:type="spellStart"/>
      <w:r w:rsidRPr="00C17942">
        <w:rPr>
          <w:rFonts w:cs="Arial"/>
          <w:lang w:val="en-GB"/>
        </w:rPr>
        <w:t>spillover</w:t>
      </w:r>
      <w:proofErr w:type="spellEnd"/>
      <w:r w:rsidRPr="00C17942">
        <w:rPr>
          <w:rFonts w:cs="Arial"/>
          <w:lang w:val="en-GB"/>
        </w:rPr>
        <w:t xml:space="preserve"> effects (on women’s empowerment, local markets, food production, local governance, etc.), and sustained, intergenerational impact. Ultimately, evaluation research findings should help policymakers to better adapt social transfer design and implementation arrangements to the local context for greater positive impact on maternal and child nutrition.</w:t>
      </w:r>
    </w:p>
    <w:p w14:paraId="4B732326" w14:textId="77777777" w:rsidR="00B60C3C" w:rsidRPr="00C17942" w:rsidRDefault="00B60C3C">
      <w:pPr>
        <w:rPr>
          <w:rFonts w:ascii="Arial" w:hAnsi="Arial" w:cs="Arial"/>
          <w:sz w:val="36"/>
          <w:szCs w:val="36"/>
        </w:rPr>
      </w:pPr>
      <w:r w:rsidRPr="00C17942">
        <w:rPr>
          <w:rFonts w:ascii="Arial" w:hAnsi="Arial" w:cs="Arial"/>
          <w:sz w:val="36"/>
          <w:szCs w:val="36"/>
        </w:rPr>
        <w:br w:type="page"/>
      </w:r>
    </w:p>
    <w:p w14:paraId="1B1857C7" w14:textId="77777777" w:rsidR="00C06D82" w:rsidRPr="00C17942" w:rsidRDefault="00C06D82" w:rsidP="00B60C3C">
      <w:pPr>
        <w:pStyle w:val="Heading1"/>
        <w:rPr>
          <w:rFonts w:cs="Arial"/>
        </w:rPr>
      </w:pPr>
      <w:bookmarkStart w:id="35" w:name="_Toc291849565"/>
      <w:r w:rsidRPr="00C17942">
        <w:rPr>
          <w:rFonts w:cs="Arial"/>
        </w:rPr>
        <w:t>Conclusion</w:t>
      </w:r>
      <w:bookmarkEnd w:id="35"/>
    </w:p>
    <w:p w14:paraId="0FEC2126" w14:textId="77777777" w:rsidR="00C06D82" w:rsidRPr="00C17942" w:rsidRDefault="00C06D82" w:rsidP="00B60C3C">
      <w:pPr>
        <w:pStyle w:val="BodyText"/>
        <w:rPr>
          <w:rFonts w:cs="Arial"/>
          <w:lang w:val="en-GB"/>
        </w:rPr>
      </w:pPr>
      <w:r w:rsidRPr="00C17942">
        <w:rPr>
          <w:rFonts w:cs="Arial"/>
          <w:lang w:val="en-GB"/>
        </w:rPr>
        <w:t xml:space="preserve">Social protection has significant, though as yet under-exploited, </w:t>
      </w:r>
      <w:proofErr w:type="gramStart"/>
      <w:r w:rsidRPr="00C17942">
        <w:rPr>
          <w:rFonts w:cs="Arial"/>
          <w:lang w:val="en-GB"/>
        </w:rPr>
        <w:t>potential</w:t>
      </w:r>
      <w:proofErr w:type="gramEnd"/>
      <w:r w:rsidRPr="00C17942">
        <w:rPr>
          <w:rFonts w:cs="Arial"/>
          <w:lang w:val="en-GB"/>
        </w:rPr>
        <w:t xml:space="preserve"> to help to reduce malnutrition. To optimise program effectiveness, it is essential to consider carefully, at each stage of the program cycle, the possible interactions between social transfers and nutrition, both positive and negative. Only by asking, and responding to, the key questions set out above, will it be possible to maximise the beneficial impact of social transfers on nutritional outcomes.  </w:t>
      </w:r>
    </w:p>
    <w:p w14:paraId="70C05697" w14:textId="77777777" w:rsidR="00C06D82" w:rsidRPr="00C17942" w:rsidRDefault="00C06D82" w:rsidP="00C06D82">
      <w:pPr>
        <w:widowControl w:val="0"/>
        <w:suppressAutoHyphens/>
        <w:autoSpaceDE w:val="0"/>
        <w:autoSpaceDN w:val="0"/>
        <w:adjustRightInd w:val="0"/>
        <w:spacing w:line="288" w:lineRule="auto"/>
        <w:ind w:left="1134"/>
        <w:jc w:val="both"/>
        <w:textAlignment w:val="center"/>
        <w:rPr>
          <w:rFonts w:ascii="Arial" w:hAnsi="Arial" w:cs="Arial"/>
          <w:sz w:val="2"/>
          <w:szCs w:val="2"/>
          <w:lang w:val="en-GB"/>
        </w:rPr>
      </w:pPr>
    </w:p>
    <w:p w14:paraId="1DC6CA01" w14:textId="77777777" w:rsidR="00B60C3C" w:rsidRPr="00C17942" w:rsidRDefault="00B60C3C">
      <w:pPr>
        <w:rPr>
          <w:rFonts w:ascii="Arial" w:hAnsi="Arial" w:cs="Arial"/>
          <w:sz w:val="36"/>
          <w:szCs w:val="36"/>
        </w:rPr>
      </w:pPr>
      <w:r w:rsidRPr="00C17942">
        <w:rPr>
          <w:rFonts w:ascii="Arial" w:hAnsi="Arial" w:cs="Arial"/>
          <w:sz w:val="36"/>
          <w:szCs w:val="36"/>
        </w:rPr>
        <w:br w:type="page"/>
      </w:r>
    </w:p>
    <w:p w14:paraId="6E40589C" w14:textId="77777777" w:rsidR="00C06D82" w:rsidRPr="00C17942" w:rsidRDefault="00C06D82" w:rsidP="00B60C3C">
      <w:pPr>
        <w:pStyle w:val="Heading1"/>
        <w:numPr>
          <w:ilvl w:val="0"/>
          <w:numId w:val="0"/>
        </w:numPr>
        <w:rPr>
          <w:rFonts w:cs="Arial"/>
        </w:rPr>
      </w:pPr>
      <w:bookmarkStart w:id="36" w:name="_Toc291849566"/>
      <w:r w:rsidRPr="00C17942">
        <w:rPr>
          <w:rFonts w:cs="Arial"/>
        </w:rPr>
        <w:t>References</w:t>
      </w:r>
      <w:bookmarkEnd w:id="36"/>
    </w:p>
    <w:p w14:paraId="3594471E" w14:textId="77777777" w:rsidR="00C06D82" w:rsidRPr="00C17942" w:rsidRDefault="00C06D82" w:rsidP="006F758D">
      <w:pPr>
        <w:pStyle w:val="BodyText"/>
        <w:rPr>
          <w:rFonts w:cs="Arial"/>
          <w:lang w:val="en-GB"/>
        </w:rPr>
      </w:pPr>
      <w:proofErr w:type="gramStart"/>
      <w:r w:rsidRPr="00C17942">
        <w:rPr>
          <w:rFonts w:cs="Arial"/>
          <w:lang w:val="en-GB"/>
        </w:rPr>
        <w:t xml:space="preserve">ACF (Action </w:t>
      </w:r>
      <w:proofErr w:type="spellStart"/>
      <w:r w:rsidRPr="00C17942">
        <w:rPr>
          <w:rFonts w:cs="Arial"/>
          <w:lang w:val="en-GB"/>
        </w:rPr>
        <w:t>Contre</w:t>
      </w:r>
      <w:proofErr w:type="spellEnd"/>
      <w:r w:rsidRPr="00C17942">
        <w:rPr>
          <w:rFonts w:cs="Arial"/>
          <w:lang w:val="en-GB"/>
        </w:rPr>
        <w:t xml:space="preserve"> la </w:t>
      </w:r>
      <w:proofErr w:type="spellStart"/>
      <w:r w:rsidRPr="00C17942">
        <w:rPr>
          <w:rFonts w:cs="Arial"/>
          <w:lang w:val="en-GB"/>
        </w:rPr>
        <w:t>Faim</w:t>
      </w:r>
      <w:proofErr w:type="spellEnd"/>
      <w:r w:rsidRPr="00C17942">
        <w:rPr>
          <w:rFonts w:cs="Arial"/>
          <w:lang w:val="en-GB"/>
        </w:rPr>
        <w:t>) 2011.</w:t>
      </w:r>
      <w:proofErr w:type="gramEnd"/>
      <w:r w:rsidRPr="00C17942">
        <w:rPr>
          <w:rFonts w:cs="Arial"/>
          <w:lang w:val="en-GB"/>
        </w:rPr>
        <w:t xml:space="preserve"> Maximizing the Nutritional Impact of Food Security and Livelihoods Interventions: A Manual for Field Workers. ACF International (http://www.actionagainsthunger.org/publication/2011/07/maximising-nutritional-impactfood-security-and-livelihoods-interventions)</w:t>
      </w:r>
    </w:p>
    <w:p w14:paraId="147919DA" w14:textId="77777777" w:rsidR="00C06D82" w:rsidRPr="00C17942" w:rsidRDefault="00C06D82" w:rsidP="006F758D">
      <w:pPr>
        <w:pStyle w:val="BodyText"/>
        <w:rPr>
          <w:rFonts w:cs="Arial"/>
          <w:lang w:val="en-GB"/>
        </w:rPr>
      </w:pPr>
      <w:proofErr w:type="gramStart"/>
      <w:r w:rsidRPr="00C17942">
        <w:rPr>
          <w:rFonts w:cs="Arial"/>
          <w:lang w:val="en-GB"/>
        </w:rPr>
        <w:t xml:space="preserve">ACF (Action </w:t>
      </w:r>
      <w:proofErr w:type="spellStart"/>
      <w:r w:rsidRPr="00C17942">
        <w:rPr>
          <w:rFonts w:cs="Arial"/>
          <w:lang w:val="en-GB"/>
        </w:rPr>
        <w:t>Contre</w:t>
      </w:r>
      <w:proofErr w:type="spellEnd"/>
      <w:r w:rsidRPr="00C17942">
        <w:rPr>
          <w:rFonts w:cs="Arial"/>
          <w:lang w:val="en-GB"/>
        </w:rPr>
        <w:t xml:space="preserve"> la </w:t>
      </w:r>
      <w:proofErr w:type="spellStart"/>
      <w:r w:rsidRPr="00C17942">
        <w:rPr>
          <w:rFonts w:cs="Arial"/>
          <w:lang w:val="en-GB"/>
        </w:rPr>
        <w:t>Faim</w:t>
      </w:r>
      <w:proofErr w:type="spellEnd"/>
      <w:r w:rsidRPr="00C17942">
        <w:rPr>
          <w:rFonts w:cs="Arial"/>
          <w:lang w:val="en-GB"/>
        </w:rPr>
        <w:t>) 2013.</w:t>
      </w:r>
      <w:proofErr w:type="gramEnd"/>
      <w:r w:rsidRPr="00C17942">
        <w:rPr>
          <w:rFonts w:cs="Arial"/>
          <w:lang w:val="en-GB"/>
        </w:rPr>
        <w:t xml:space="preserve"> Aid for Nutrition: Maximising the impact of nutrition-sensitive interventions</w:t>
      </w:r>
    </w:p>
    <w:p w14:paraId="04E16C68" w14:textId="77777777" w:rsidR="00C06D82" w:rsidRPr="00C17942" w:rsidRDefault="00C06D82" w:rsidP="006F758D">
      <w:pPr>
        <w:pStyle w:val="BodyText"/>
        <w:rPr>
          <w:rFonts w:cs="Arial"/>
          <w:lang w:val="en-GB"/>
        </w:rPr>
      </w:pPr>
      <w:proofErr w:type="spellStart"/>
      <w:proofErr w:type="gramStart"/>
      <w:r w:rsidRPr="00C17942">
        <w:rPr>
          <w:rFonts w:cs="Arial"/>
          <w:lang w:val="en-GB"/>
        </w:rPr>
        <w:t>Aguero</w:t>
      </w:r>
      <w:proofErr w:type="spellEnd"/>
      <w:r w:rsidRPr="00C17942">
        <w:rPr>
          <w:rFonts w:cs="Arial"/>
          <w:lang w:val="en-GB"/>
        </w:rPr>
        <w:t xml:space="preserve">, J., Carter, M., </w:t>
      </w:r>
      <w:proofErr w:type="spellStart"/>
      <w:r w:rsidRPr="00C17942">
        <w:rPr>
          <w:rFonts w:cs="Arial"/>
          <w:lang w:val="en-GB"/>
        </w:rPr>
        <w:t>Woolard</w:t>
      </w:r>
      <w:proofErr w:type="spellEnd"/>
      <w:r w:rsidRPr="00C17942">
        <w:rPr>
          <w:rFonts w:cs="Arial"/>
          <w:lang w:val="en-GB"/>
        </w:rPr>
        <w:t>, I. 2007.</w:t>
      </w:r>
      <w:proofErr w:type="gramEnd"/>
      <w:r w:rsidRPr="00C17942">
        <w:rPr>
          <w:rFonts w:cs="Arial"/>
          <w:lang w:val="en-GB"/>
        </w:rPr>
        <w:t xml:space="preserve"> ‘The impact of unconditional cash transfers on nutrition: the South African Child Support Grant’, Working Paper, No 39, International Poverty Research Centre, Brasilia.</w:t>
      </w:r>
    </w:p>
    <w:p w14:paraId="57088BB3" w14:textId="77777777" w:rsidR="00C06D82" w:rsidRPr="00C17942" w:rsidRDefault="00C06D82" w:rsidP="006F758D">
      <w:pPr>
        <w:pStyle w:val="BodyText"/>
        <w:rPr>
          <w:rFonts w:cs="Arial"/>
          <w:lang w:val="en-GB"/>
        </w:rPr>
      </w:pPr>
      <w:proofErr w:type="spellStart"/>
      <w:r w:rsidRPr="00C17942">
        <w:rPr>
          <w:rFonts w:cs="Arial"/>
          <w:lang w:val="en-GB"/>
        </w:rPr>
        <w:t>Chastre</w:t>
      </w:r>
      <w:proofErr w:type="spellEnd"/>
      <w:r w:rsidRPr="00C17942">
        <w:rPr>
          <w:rFonts w:cs="Arial"/>
          <w:lang w:val="en-GB"/>
        </w:rPr>
        <w:t xml:space="preserve">, C., Duffield, A., Kindness, H., </w:t>
      </w:r>
      <w:proofErr w:type="spellStart"/>
      <w:r w:rsidRPr="00C17942">
        <w:rPr>
          <w:rFonts w:cs="Arial"/>
          <w:lang w:val="en-GB"/>
        </w:rPr>
        <w:t>LeJeune</w:t>
      </w:r>
      <w:proofErr w:type="spellEnd"/>
      <w:r w:rsidRPr="00C17942">
        <w:rPr>
          <w:rFonts w:cs="Arial"/>
          <w:lang w:val="en-GB"/>
        </w:rPr>
        <w:t xml:space="preserve">, S., Taylor, A. (2009), The Minimum Cost of a Healthy Diet  </w:t>
      </w:r>
      <w:proofErr w:type="gramStart"/>
      <w:r w:rsidRPr="00C17942">
        <w:rPr>
          <w:rFonts w:cs="Arial"/>
          <w:lang w:val="en-GB"/>
        </w:rPr>
        <w:t>—  Findings</w:t>
      </w:r>
      <w:proofErr w:type="gramEnd"/>
      <w:r w:rsidRPr="00C17942">
        <w:rPr>
          <w:rFonts w:cs="Arial"/>
          <w:lang w:val="en-GB"/>
        </w:rPr>
        <w:t xml:space="preserve"> from piloting a new methodology in four study locations, Originally produced 2007, corrected in January 2009, Save the Children, London (http://www.savethechildren.org.uk/en/54_8355.htm).</w:t>
      </w:r>
    </w:p>
    <w:p w14:paraId="7DE43B86" w14:textId="77777777" w:rsidR="00C06D82" w:rsidRPr="00C17942" w:rsidRDefault="00C06D82" w:rsidP="006F758D">
      <w:pPr>
        <w:pStyle w:val="BodyText"/>
        <w:rPr>
          <w:rFonts w:cs="Arial"/>
          <w:lang w:val="en-GB"/>
        </w:rPr>
      </w:pPr>
      <w:proofErr w:type="gramStart"/>
      <w:r w:rsidRPr="00C17942">
        <w:rPr>
          <w:rFonts w:cs="Arial"/>
          <w:lang w:val="en-GB"/>
        </w:rPr>
        <w:t>DFID (United Kingdom’s Department for International Development) 2010.</w:t>
      </w:r>
      <w:proofErr w:type="gramEnd"/>
      <w:r w:rsidRPr="00C17942">
        <w:rPr>
          <w:rFonts w:cs="Arial"/>
          <w:lang w:val="en-GB"/>
        </w:rPr>
        <w:t xml:space="preserve"> The neglected crisis of </w:t>
      </w:r>
      <w:proofErr w:type="spellStart"/>
      <w:r w:rsidRPr="00C17942">
        <w:rPr>
          <w:rFonts w:cs="Arial"/>
          <w:lang w:val="en-GB"/>
        </w:rPr>
        <w:t>undernutrition</w:t>
      </w:r>
      <w:proofErr w:type="spellEnd"/>
      <w:r w:rsidRPr="00C17942">
        <w:rPr>
          <w:rFonts w:cs="Arial"/>
          <w:lang w:val="en-GB"/>
        </w:rPr>
        <w:t>: DFID’s Strategy, DFID, London (http://www.prpzim.info/resources/DFID %20nutrition-strategy.pdf)</w:t>
      </w:r>
    </w:p>
    <w:p w14:paraId="37CC7A4B" w14:textId="77777777" w:rsidR="00C06D82" w:rsidRPr="00C17942" w:rsidRDefault="00C06D82" w:rsidP="006F758D">
      <w:pPr>
        <w:pStyle w:val="BodyText"/>
        <w:rPr>
          <w:rFonts w:cs="Arial"/>
          <w:lang w:val="en-GB"/>
        </w:rPr>
      </w:pPr>
      <w:proofErr w:type="gramStart"/>
      <w:r w:rsidRPr="00C17942">
        <w:rPr>
          <w:rFonts w:cs="Arial"/>
          <w:lang w:val="en-GB"/>
        </w:rPr>
        <w:t>DFID (United Kingdom’s Department for International Development) 2011.</w:t>
      </w:r>
      <w:proofErr w:type="gramEnd"/>
      <w:r w:rsidRPr="00C17942">
        <w:rPr>
          <w:rFonts w:cs="Arial"/>
          <w:lang w:val="en-GB"/>
        </w:rPr>
        <w:t xml:space="preserve"> Cash Transfers  </w:t>
      </w:r>
      <w:proofErr w:type="gramStart"/>
      <w:r w:rsidRPr="00C17942">
        <w:rPr>
          <w:rFonts w:cs="Arial"/>
          <w:lang w:val="en-GB"/>
        </w:rPr>
        <w:t>—  Evidence</w:t>
      </w:r>
      <w:proofErr w:type="gramEnd"/>
      <w:r w:rsidRPr="00C17942">
        <w:rPr>
          <w:rFonts w:cs="Arial"/>
          <w:lang w:val="en-GB"/>
        </w:rPr>
        <w:t xml:space="preserve"> Paper, April 2011, Policy Division 2011, DFID, London (http://www.dfid.gov.uk/Documents/publications1/cash-transfers-evidencepaper. </w:t>
      </w:r>
      <w:proofErr w:type="spellStart"/>
      <w:r w:rsidRPr="00C17942">
        <w:rPr>
          <w:rFonts w:cs="Arial"/>
          <w:lang w:val="en-GB"/>
        </w:rPr>
        <w:t>pdf</w:t>
      </w:r>
      <w:proofErr w:type="spellEnd"/>
      <w:r w:rsidRPr="00C17942">
        <w:rPr>
          <w:rFonts w:cs="Arial"/>
          <w:lang w:val="en-GB"/>
        </w:rPr>
        <w:t>)</w:t>
      </w:r>
    </w:p>
    <w:p w14:paraId="3A7C5767" w14:textId="77777777" w:rsidR="00C06D82" w:rsidRPr="00C17942" w:rsidRDefault="00C06D82" w:rsidP="006F758D">
      <w:pPr>
        <w:pStyle w:val="BodyText"/>
        <w:rPr>
          <w:rFonts w:cs="Arial"/>
          <w:lang w:val="en-GB"/>
        </w:rPr>
      </w:pPr>
      <w:proofErr w:type="gramStart"/>
      <w:r w:rsidRPr="00C17942">
        <w:rPr>
          <w:rFonts w:cs="Arial"/>
          <w:lang w:val="en-GB"/>
        </w:rPr>
        <w:t>EPRI (Economic Policy Research Institute) 2006.</w:t>
      </w:r>
      <w:proofErr w:type="gramEnd"/>
      <w:r w:rsidRPr="00C17942">
        <w:rPr>
          <w:rFonts w:cs="Arial"/>
          <w:lang w:val="en-GB"/>
        </w:rPr>
        <w:t xml:space="preserve"> </w:t>
      </w:r>
      <w:proofErr w:type="gramStart"/>
      <w:r w:rsidRPr="00C17942">
        <w:rPr>
          <w:rFonts w:cs="Arial"/>
          <w:lang w:val="en-GB"/>
        </w:rPr>
        <w:t>Designing and implementing social transfer programmes.</w:t>
      </w:r>
      <w:proofErr w:type="gramEnd"/>
      <w:r w:rsidRPr="00C17942">
        <w:rPr>
          <w:rFonts w:cs="Arial"/>
          <w:lang w:val="en-GB"/>
        </w:rPr>
        <w:t xml:space="preserve"> Cape Town: EPRI Press.</w:t>
      </w:r>
    </w:p>
    <w:p w14:paraId="4F31E12F" w14:textId="77777777" w:rsidR="00C06D82" w:rsidRPr="00C17942" w:rsidRDefault="00C06D82" w:rsidP="006F758D">
      <w:pPr>
        <w:pStyle w:val="BodyText"/>
        <w:rPr>
          <w:rFonts w:cs="Arial"/>
          <w:lang w:val="en-GB"/>
        </w:rPr>
      </w:pPr>
      <w:r w:rsidRPr="00C17942">
        <w:rPr>
          <w:rFonts w:cs="Arial"/>
          <w:lang w:val="en-GB"/>
        </w:rPr>
        <w:t>EPRI (Economic Policy Research Institute), Social Transfers Evidence Base (http://socialtransfersevidence.org)</w:t>
      </w:r>
    </w:p>
    <w:p w14:paraId="4798AEF3" w14:textId="77777777" w:rsidR="00C06D82" w:rsidRPr="00C17942" w:rsidRDefault="00C06D82" w:rsidP="006F758D">
      <w:pPr>
        <w:pStyle w:val="BodyText"/>
        <w:rPr>
          <w:rFonts w:cs="Arial"/>
          <w:lang w:val="en-GB"/>
        </w:rPr>
      </w:pPr>
      <w:proofErr w:type="gramStart"/>
      <w:r w:rsidRPr="00C17942">
        <w:rPr>
          <w:rFonts w:cs="Arial"/>
          <w:lang w:val="en-GB"/>
        </w:rPr>
        <w:t>IFPRI (International Food Policy Research Institute) 2014.</w:t>
      </w:r>
      <w:proofErr w:type="gramEnd"/>
      <w:r w:rsidRPr="00C17942">
        <w:rPr>
          <w:rFonts w:cs="Arial"/>
          <w:lang w:val="en-GB"/>
        </w:rPr>
        <w:t xml:space="preserve"> The Productive Safety Net Programme and the nutritional status of pre-school children in Ethiopia (Preliminary Draft), International Food Policy Research Institute, Washington, DC</w:t>
      </w:r>
    </w:p>
    <w:p w14:paraId="477C892D" w14:textId="77777777" w:rsidR="00C06D82" w:rsidRPr="00C17942" w:rsidRDefault="00C06D82" w:rsidP="006F758D">
      <w:pPr>
        <w:pStyle w:val="BodyText"/>
        <w:rPr>
          <w:rFonts w:cs="Arial"/>
          <w:lang w:val="en-GB"/>
        </w:rPr>
      </w:pPr>
      <w:proofErr w:type="gramStart"/>
      <w:r w:rsidRPr="00C17942">
        <w:rPr>
          <w:rFonts w:cs="Arial"/>
          <w:lang w:val="en-GB"/>
        </w:rPr>
        <w:t xml:space="preserve">Hodges, A., White, P. and </w:t>
      </w:r>
      <w:proofErr w:type="spellStart"/>
      <w:r w:rsidRPr="00C17942">
        <w:rPr>
          <w:rFonts w:cs="Arial"/>
          <w:lang w:val="en-GB"/>
        </w:rPr>
        <w:t>Greenslade</w:t>
      </w:r>
      <w:proofErr w:type="spellEnd"/>
      <w:r w:rsidRPr="00C17942">
        <w:rPr>
          <w:rFonts w:cs="Arial"/>
          <w:lang w:val="en-GB"/>
        </w:rPr>
        <w:t>, M. 2012.</w:t>
      </w:r>
      <w:proofErr w:type="gramEnd"/>
      <w:r w:rsidRPr="00C17942">
        <w:rPr>
          <w:rFonts w:cs="Arial"/>
          <w:lang w:val="en-GB"/>
        </w:rPr>
        <w:t xml:space="preserve"> </w:t>
      </w:r>
      <w:proofErr w:type="gramStart"/>
      <w:r w:rsidRPr="00C17942">
        <w:rPr>
          <w:rFonts w:cs="Arial"/>
          <w:lang w:val="en-GB"/>
        </w:rPr>
        <w:t>Guidance for DFID country offices on measuring and maximising value for money in cash transfer programmes.</w:t>
      </w:r>
      <w:proofErr w:type="gramEnd"/>
      <w:r w:rsidRPr="00C17942">
        <w:rPr>
          <w:rFonts w:cs="Arial"/>
          <w:lang w:val="en-GB"/>
        </w:rPr>
        <w:t xml:space="preserve"> London: DFID</w:t>
      </w:r>
    </w:p>
    <w:p w14:paraId="0FA76894" w14:textId="77777777" w:rsidR="00C06D82" w:rsidRPr="00C17942" w:rsidRDefault="00C06D82" w:rsidP="006F758D">
      <w:pPr>
        <w:pStyle w:val="BodyText"/>
        <w:rPr>
          <w:rFonts w:cs="Arial"/>
          <w:lang w:val="en-GB"/>
        </w:rPr>
      </w:pPr>
      <w:r w:rsidRPr="00C17942">
        <w:rPr>
          <w:rFonts w:cs="Arial"/>
          <w:lang w:val="en-GB"/>
        </w:rPr>
        <w:t xml:space="preserve">Manley J, </w:t>
      </w:r>
      <w:proofErr w:type="spellStart"/>
      <w:r w:rsidRPr="00C17942">
        <w:rPr>
          <w:rFonts w:cs="Arial"/>
          <w:lang w:val="en-GB"/>
        </w:rPr>
        <w:t>Gitter</w:t>
      </w:r>
      <w:proofErr w:type="spellEnd"/>
      <w:r w:rsidRPr="00C17942">
        <w:rPr>
          <w:rFonts w:cs="Arial"/>
          <w:lang w:val="en-GB"/>
        </w:rPr>
        <w:t xml:space="preserve"> S, </w:t>
      </w:r>
      <w:proofErr w:type="spellStart"/>
      <w:r w:rsidRPr="00C17942">
        <w:rPr>
          <w:rFonts w:cs="Arial"/>
          <w:lang w:val="en-GB"/>
        </w:rPr>
        <w:t>Slavchevska</w:t>
      </w:r>
      <w:proofErr w:type="spellEnd"/>
      <w:r w:rsidRPr="00C17942">
        <w:rPr>
          <w:rFonts w:cs="Arial"/>
          <w:lang w:val="en-GB"/>
        </w:rPr>
        <w:t xml:space="preserve"> V 2012. How </w:t>
      </w:r>
      <w:proofErr w:type="gramStart"/>
      <w:r w:rsidRPr="00C17942">
        <w:rPr>
          <w:rFonts w:cs="Arial"/>
          <w:lang w:val="en-GB"/>
        </w:rPr>
        <w:t>Effective</w:t>
      </w:r>
      <w:proofErr w:type="gramEnd"/>
      <w:r w:rsidRPr="00C17942">
        <w:rPr>
          <w:rFonts w:cs="Arial"/>
          <w:lang w:val="en-GB"/>
        </w:rPr>
        <w:t xml:space="preserve"> are Cash Transfer Programmes at Improving Nutritional Status? </w:t>
      </w:r>
      <w:proofErr w:type="gramStart"/>
      <w:r w:rsidRPr="00C17942">
        <w:rPr>
          <w:rFonts w:cs="Arial"/>
          <w:lang w:val="en-GB"/>
        </w:rPr>
        <w:t>A Rapid Evidence Assessment of Programmes’ Effects on Anthropometric Outcomes.</w:t>
      </w:r>
      <w:proofErr w:type="gramEnd"/>
      <w:r w:rsidRPr="00C17942">
        <w:rPr>
          <w:rFonts w:cs="Arial"/>
          <w:lang w:val="en-GB"/>
        </w:rPr>
        <w:t xml:space="preserve"> London: EPPI-Centre, Social Science Research Unit, Institute of Education, </w:t>
      </w:r>
      <w:proofErr w:type="gramStart"/>
      <w:r w:rsidRPr="00C17942">
        <w:rPr>
          <w:rFonts w:cs="Arial"/>
          <w:lang w:val="en-GB"/>
        </w:rPr>
        <w:t>University</w:t>
      </w:r>
      <w:proofErr w:type="gramEnd"/>
      <w:r w:rsidRPr="00C17942">
        <w:rPr>
          <w:rFonts w:cs="Arial"/>
          <w:lang w:val="en-GB"/>
        </w:rPr>
        <w:t xml:space="preserve"> of London</w:t>
      </w:r>
    </w:p>
    <w:p w14:paraId="2463B874" w14:textId="77777777" w:rsidR="00C06D82" w:rsidRDefault="00C06D82" w:rsidP="006F758D">
      <w:pPr>
        <w:pStyle w:val="BodyText"/>
        <w:rPr>
          <w:rFonts w:cs="Arial"/>
          <w:lang w:val="en-GB"/>
        </w:rPr>
      </w:pPr>
      <w:proofErr w:type="spellStart"/>
      <w:proofErr w:type="gramStart"/>
      <w:r w:rsidRPr="00C17942">
        <w:rPr>
          <w:rFonts w:cs="Arial"/>
          <w:lang w:val="en-GB"/>
        </w:rPr>
        <w:t>Mascie</w:t>
      </w:r>
      <w:proofErr w:type="spellEnd"/>
      <w:r w:rsidRPr="00C17942">
        <w:rPr>
          <w:rFonts w:cs="Arial"/>
          <w:lang w:val="en-GB"/>
        </w:rPr>
        <w:t xml:space="preserve">-Taylor, N., Marks, K., </w:t>
      </w:r>
      <w:proofErr w:type="spellStart"/>
      <w:r w:rsidRPr="00C17942">
        <w:rPr>
          <w:rFonts w:cs="Arial"/>
          <w:lang w:val="en-GB"/>
        </w:rPr>
        <w:t>Goto</w:t>
      </w:r>
      <w:proofErr w:type="spellEnd"/>
      <w:r w:rsidRPr="00C17942">
        <w:rPr>
          <w:rFonts w:cs="Arial"/>
          <w:lang w:val="en-GB"/>
        </w:rPr>
        <w:t>, R. 2010.</w:t>
      </w:r>
      <w:proofErr w:type="gramEnd"/>
      <w:r w:rsidRPr="00C17942">
        <w:rPr>
          <w:rFonts w:cs="Arial"/>
          <w:lang w:val="en-GB"/>
        </w:rPr>
        <w:t xml:space="preserve"> A short-term cash-for-work programme improved nutritional status, food expenditure and consumption of CLP dwellers in the </w:t>
      </w:r>
      <w:proofErr w:type="spellStart"/>
      <w:r w:rsidRPr="00C17942">
        <w:rPr>
          <w:rFonts w:cs="Arial"/>
          <w:lang w:val="en-GB"/>
        </w:rPr>
        <w:t>Monga</w:t>
      </w:r>
      <w:proofErr w:type="spellEnd"/>
      <w:r w:rsidRPr="00C17942">
        <w:rPr>
          <w:rFonts w:cs="Arial"/>
          <w:lang w:val="en-GB"/>
        </w:rPr>
        <w:t xml:space="preserve"> (hungry) season 2007, Chars Livelihoods Programme, Dhaka.</w:t>
      </w:r>
    </w:p>
    <w:p w14:paraId="4B4245BD" w14:textId="487A48F7" w:rsidR="00B01080" w:rsidRPr="00C17942" w:rsidRDefault="00B01080" w:rsidP="00B01080">
      <w:pPr>
        <w:pStyle w:val="BodyText"/>
        <w:rPr>
          <w:rFonts w:cs="Arial"/>
          <w:lang w:val="en-GB"/>
        </w:rPr>
      </w:pPr>
      <w:proofErr w:type="spellStart"/>
      <w:r>
        <w:t>Menzies</w:t>
      </w:r>
      <w:proofErr w:type="spellEnd"/>
      <w:r>
        <w:t xml:space="preserve"> School of Health Research, 2012. ‘Nutrition and Food Security – Approaches to improving the health of women and children’, Course Report: Nutrition for adolescent girls and women throughout the lifecycle. </w:t>
      </w:r>
      <w:proofErr w:type="spellStart"/>
      <w:r>
        <w:t>Menzies</w:t>
      </w:r>
      <w:proofErr w:type="spellEnd"/>
      <w:r>
        <w:t xml:space="preserve"> School of Health Research, Darwin.</w:t>
      </w:r>
    </w:p>
    <w:p w14:paraId="20A806F2" w14:textId="77777777" w:rsidR="00C06D82" w:rsidRPr="00C17942" w:rsidRDefault="00C06D82" w:rsidP="004D2741">
      <w:pPr>
        <w:pStyle w:val="BodyText"/>
        <w:rPr>
          <w:rFonts w:cs="Arial"/>
          <w:lang w:val="en-GB"/>
        </w:rPr>
      </w:pPr>
      <w:r w:rsidRPr="00C17942">
        <w:rPr>
          <w:rFonts w:cs="Arial"/>
          <w:lang w:val="en-GB"/>
        </w:rPr>
        <w:t>Save the Children 2009. Hungry for Change: an eight-step plan of action to tackle global child hunger, The Save the Children Fund, London (http://www.savethechildren.org.uk/en/54_9544.htm)</w:t>
      </w:r>
      <w:bookmarkStart w:id="37" w:name="_GoBack"/>
      <w:bookmarkEnd w:id="37"/>
    </w:p>
    <w:p w14:paraId="691F2C5B" w14:textId="77777777" w:rsidR="00C06D82" w:rsidRPr="00C17942" w:rsidRDefault="00C06D82" w:rsidP="006F758D">
      <w:pPr>
        <w:pStyle w:val="BodyText"/>
        <w:rPr>
          <w:rFonts w:cs="Arial"/>
          <w:lang w:val="en-GB"/>
        </w:rPr>
      </w:pPr>
      <w:proofErr w:type="gramStart"/>
      <w:r w:rsidRPr="00C17942">
        <w:rPr>
          <w:rFonts w:cs="Arial"/>
          <w:lang w:val="en-GB"/>
        </w:rPr>
        <w:t>World Bank 2006.</w:t>
      </w:r>
      <w:proofErr w:type="gramEnd"/>
      <w:r w:rsidRPr="00C17942">
        <w:rPr>
          <w:rFonts w:cs="Arial"/>
          <w:lang w:val="en-GB"/>
        </w:rPr>
        <w:t xml:space="preserve"> Repositioning Nutrition as Central to Development  </w:t>
      </w:r>
      <w:proofErr w:type="gramStart"/>
      <w:r w:rsidRPr="00C17942">
        <w:rPr>
          <w:rFonts w:cs="Arial"/>
          <w:lang w:val="en-GB"/>
        </w:rPr>
        <w:t>—  A</w:t>
      </w:r>
      <w:proofErr w:type="gramEnd"/>
      <w:r w:rsidRPr="00C17942">
        <w:rPr>
          <w:rFonts w:cs="Arial"/>
          <w:lang w:val="en-GB"/>
        </w:rPr>
        <w:t xml:space="preserve"> Strategy for Large-Scale Act</w:t>
      </w:r>
      <w:r w:rsidR="001B7C21" w:rsidRPr="00C17942">
        <w:rPr>
          <w:rFonts w:cs="Arial"/>
          <w:lang w:val="en-GB"/>
        </w:rPr>
        <w:t xml:space="preserve">ion, World Bank, Washington, DC </w:t>
      </w:r>
      <w:r w:rsidRPr="00C17942">
        <w:rPr>
          <w:rFonts w:cs="Arial"/>
          <w:lang w:val="en-GB"/>
        </w:rPr>
        <w:t>(http://siteresources.worldbank.org/NUTRITION/Resources/281846-131636806329/NutritionStrategy.pdf)</w:t>
      </w:r>
    </w:p>
    <w:p w14:paraId="6BF592F8" w14:textId="77777777" w:rsidR="00C06D82" w:rsidRPr="00C17942" w:rsidRDefault="00C06D82" w:rsidP="006F758D">
      <w:pPr>
        <w:pStyle w:val="BodyText"/>
        <w:rPr>
          <w:rFonts w:cs="Arial"/>
          <w:lang w:val="en-GB"/>
        </w:rPr>
      </w:pPr>
      <w:proofErr w:type="gramStart"/>
      <w:r w:rsidRPr="00C17942">
        <w:rPr>
          <w:rFonts w:cs="Arial"/>
          <w:lang w:val="en-GB"/>
        </w:rPr>
        <w:t>World Bank 2010.</w:t>
      </w:r>
      <w:proofErr w:type="gramEnd"/>
      <w:r w:rsidRPr="00C17942">
        <w:rPr>
          <w:rFonts w:cs="Arial"/>
          <w:lang w:val="en-GB"/>
        </w:rPr>
        <w:t xml:space="preserve"> Scaling Up Nutrition: What Will It Cost</w:t>
      </w:r>
      <w:proofErr w:type="gramStart"/>
      <w:r w:rsidRPr="00C17942">
        <w:rPr>
          <w:rFonts w:cs="Arial"/>
          <w:lang w:val="en-GB"/>
        </w:rPr>
        <w:t>?,</w:t>
      </w:r>
      <w:proofErr w:type="gramEnd"/>
      <w:r w:rsidRPr="00C17942">
        <w:rPr>
          <w:rFonts w:cs="Arial"/>
          <w:lang w:val="en-GB"/>
        </w:rPr>
        <w:t xml:space="preserve"> World Bank, </w:t>
      </w:r>
      <w:proofErr w:type="spellStart"/>
      <w:r w:rsidRPr="00C17942">
        <w:rPr>
          <w:rFonts w:cs="Arial"/>
          <w:lang w:val="en-GB"/>
        </w:rPr>
        <w:t>Washington,DC</w:t>
      </w:r>
      <w:proofErr w:type="spellEnd"/>
    </w:p>
    <w:p w14:paraId="47143439" w14:textId="77777777" w:rsidR="00C06D82" w:rsidRPr="00C17942" w:rsidRDefault="00C06D82" w:rsidP="006F758D">
      <w:pPr>
        <w:pStyle w:val="BodyText"/>
        <w:rPr>
          <w:rFonts w:cs="Arial"/>
          <w:lang w:val="en-GB"/>
        </w:rPr>
      </w:pPr>
      <w:proofErr w:type="spellStart"/>
      <w:proofErr w:type="gramStart"/>
      <w:r w:rsidRPr="00C17942">
        <w:rPr>
          <w:rFonts w:cs="Arial"/>
          <w:lang w:val="en-GB"/>
        </w:rPr>
        <w:t>Yablonski</w:t>
      </w:r>
      <w:proofErr w:type="spellEnd"/>
      <w:r w:rsidRPr="00C17942">
        <w:rPr>
          <w:rFonts w:cs="Arial"/>
          <w:lang w:val="en-GB"/>
        </w:rPr>
        <w:t xml:space="preserve">, J., </w:t>
      </w:r>
      <w:proofErr w:type="spellStart"/>
      <w:r w:rsidRPr="00C17942">
        <w:rPr>
          <w:rFonts w:cs="Arial"/>
          <w:lang w:val="en-GB"/>
        </w:rPr>
        <w:t>Woldehanna</w:t>
      </w:r>
      <w:proofErr w:type="spellEnd"/>
      <w:r w:rsidRPr="00C17942">
        <w:rPr>
          <w:rFonts w:cs="Arial"/>
          <w:lang w:val="en-GB"/>
        </w:rPr>
        <w:t>, T. 2008.</w:t>
      </w:r>
      <w:proofErr w:type="gramEnd"/>
      <w:r w:rsidRPr="00C17942">
        <w:rPr>
          <w:rFonts w:cs="Arial"/>
          <w:lang w:val="en-GB"/>
        </w:rPr>
        <w:t xml:space="preserve"> Impact of Social Protection Programmes in Ethiopia on Child Work and Education, Young Lives Policy Brief 6, September 2008, Young Lives, Oxford (http://www.younglives.org.uk/our-publications/policy-papers/impacts-of-social-protection-programmes-in-ethiopia-on-child-work-and-education</w:t>
      </w:r>
    </w:p>
    <w:p w14:paraId="6D24398F" w14:textId="77777777" w:rsidR="00D65857" w:rsidRPr="00C17942" w:rsidRDefault="00D65857" w:rsidP="00C06D82">
      <w:pPr>
        <w:ind w:left="1134"/>
        <w:rPr>
          <w:rFonts w:ascii="Arial" w:hAnsi="Arial" w:cs="Arial"/>
        </w:rPr>
      </w:pPr>
    </w:p>
    <w:sectPr w:rsidR="00D65857" w:rsidRPr="00C17942" w:rsidSect="000265D2">
      <w:footerReference w:type="even" r:id="rId12"/>
      <w:footerReference w:type="default" r:id="rId13"/>
      <w:pgSz w:w="11906" w:h="16838"/>
      <w:pgMar w:top="1559" w:right="1678" w:bottom="1418" w:left="1678"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1A57D" w14:textId="77777777" w:rsidR="00315481" w:rsidRDefault="00315481" w:rsidP="00315481">
      <w:r>
        <w:separator/>
      </w:r>
    </w:p>
  </w:endnote>
  <w:endnote w:type="continuationSeparator" w:id="0">
    <w:p w14:paraId="061A203D" w14:textId="77777777" w:rsidR="00315481" w:rsidRDefault="00315481" w:rsidP="0031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istaSans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Bold">
    <w:altName w:val="Helvetica Neue Bol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F0BFF" w14:textId="77777777" w:rsidR="00315481" w:rsidRDefault="00B32C9C" w:rsidP="00291524">
    <w:pPr>
      <w:pStyle w:val="Footer"/>
      <w:framePr w:wrap="around" w:vAnchor="text" w:hAnchor="margin" w:xAlign="right" w:y="1"/>
      <w:rPr>
        <w:rStyle w:val="PageNumber"/>
        <w:rFonts w:eastAsiaTheme="minorEastAsia"/>
      </w:rPr>
    </w:pPr>
    <w:r>
      <w:rPr>
        <w:rStyle w:val="PageNumber"/>
      </w:rPr>
      <w:fldChar w:fldCharType="begin"/>
    </w:r>
    <w:r w:rsidR="00315481">
      <w:rPr>
        <w:rStyle w:val="PageNumber"/>
      </w:rPr>
      <w:instrText xml:space="preserve">PAGE  </w:instrText>
    </w:r>
    <w:r>
      <w:rPr>
        <w:rStyle w:val="PageNumber"/>
      </w:rPr>
      <w:fldChar w:fldCharType="end"/>
    </w:r>
  </w:p>
  <w:p w14:paraId="64CBEA29" w14:textId="77777777" w:rsidR="00315481" w:rsidRDefault="00B01080" w:rsidP="00315481">
    <w:pPr>
      <w:pStyle w:val="Footer"/>
      <w:ind w:right="360"/>
    </w:pPr>
    <w:sdt>
      <w:sdtPr>
        <w:id w:val="969400743"/>
        <w:placeholder>
          <w:docPart w:val="CFD80AFBFC5A0147885E795AA9A2CA92"/>
        </w:placeholder>
        <w:temporary/>
        <w:showingPlcHdr/>
      </w:sdtPr>
      <w:sdtEndPr/>
      <w:sdtContent>
        <w:r w:rsidR="00315481">
          <w:t>[Type text]</w:t>
        </w:r>
      </w:sdtContent>
    </w:sdt>
    <w:r w:rsidR="00315481">
      <w:ptab w:relativeTo="margin" w:alignment="center" w:leader="none"/>
    </w:r>
    <w:sdt>
      <w:sdtPr>
        <w:id w:val="969400748"/>
        <w:placeholder>
          <w:docPart w:val="413C77B03DDBAC4E9E3338522D834684"/>
        </w:placeholder>
        <w:temporary/>
        <w:showingPlcHdr/>
      </w:sdtPr>
      <w:sdtEndPr/>
      <w:sdtContent>
        <w:r w:rsidR="00315481">
          <w:t>[Type text]</w:t>
        </w:r>
      </w:sdtContent>
    </w:sdt>
    <w:r w:rsidR="00315481">
      <w:ptab w:relativeTo="margin" w:alignment="right" w:leader="none"/>
    </w:r>
    <w:sdt>
      <w:sdtPr>
        <w:id w:val="969400753"/>
        <w:placeholder>
          <w:docPart w:val="CEB7197EC95D1144B9991890984962C2"/>
        </w:placeholder>
        <w:temporary/>
        <w:showingPlcHdr/>
      </w:sdtPr>
      <w:sdtEndPr/>
      <w:sdtContent>
        <w:r w:rsidR="00315481">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5C81E" w14:textId="77777777" w:rsidR="00315481" w:rsidRPr="00315481" w:rsidRDefault="00B32C9C" w:rsidP="00291524">
    <w:pPr>
      <w:pStyle w:val="Footer"/>
      <w:framePr w:wrap="around" w:vAnchor="text" w:hAnchor="margin" w:xAlign="right" w:y="1"/>
      <w:rPr>
        <w:rStyle w:val="PageNumber"/>
        <w:rFonts w:eastAsiaTheme="minorEastAsia"/>
      </w:rPr>
    </w:pPr>
    <w:r w:rsidRPr="00315481">
      <w:rPr>
        <w:rStyle w:val="PageNumber"/>
        <w:rFonts w:ascii="Arial" w:hAnsi="Arial"/>
        <w:sz w:val="18"/>
        <w:szCs w:val="18"/>
      </w:rPr>
      <w:fldChar w:fldCharType="begin"/>
    </w:r>
    <w:r w:rsidR="00315481" w:rsidRPr="00315481">
      <w:rPr>
        <w:rStyle w:val="PageNumber"/>
        <w:rFonts w:ascii="Arial" w:hAnsi="Arial"/>
        <w:sz w:val="18"/>
        <w:szCs w:val="18"/>
      </w:rPr>
      <w:instrText xml:space="preserve">PAGE  </w:instrText>
    </w:r>
    <w:r w:rsidRPr="00315481">
      <w:rPr>
        <w:rStyle w:val="PageNumber"/>
        <w:rFonts w:ascii="Arial" w:hAnsi="Arial"/>
        <w:sz w:val="18"/>
        <w:szCs w:val="18"/>
      </w:rPr>
      <w:fldChar w:fldCharType="separate"/>
    </w:r>
    <w:r w:rsidR="00B01080">
      <w:rPr>
        <w:rStyle w:val="PageNumber"/>
        <w:rFonts w:ascii="Arial" w:hAnsi="Arial"/>
        <w:noProof/>
        <w:sz w:val="18"/>
        <w:szCs w:val="18"/>
      </w:rPr>
      <w:t>20</w:t>
    </w:r>
    <w:r w:rsidRPr="00315481">
      <w:rPr>
        <w:rStyle w:val="PageNumber"/>
        <w:rFonts w:ascii="Arial" w:hAnsi="Arial"/>
        <w:sz w:val="18"/>
        <w:szCs w:val="18"/>
      </w:rPr>
      <w:fldChar w:fldCharType="end"/>
    </w:r>
  </w:p>
  <w:p w14:paraId="495AD414" w14:textId="77777777" w:rsidR="00315481" w:rsidRPr="00315481" w:rsidRDefault="00315481" w:rsidP="00315481">
    <w:pPr>
      <w:tabs>
        <w:tab w:val="left" w:pos="880"/>
      </w:tabs>
      <w:spacing w:line="200" w:lineRule="exact"/>
      <w:ind w:right="360"/>
      <w:rPr>
        <w:rFonts w:ascii="Arial" w:hAnsi="Arial" w:cs="Arial"/>
        <w:sz w:val="18"/>
        <w:szCs w:val="18"/>
      </w:rPr>
    </w:pPr>
    <w:r>
      <w:rPr>
        <w:rFonts w:ascii="Arial" w:hAnsi="Arial" w:cs="Arial"/>
        <w:sz w:val="18"/>
        <w:szCs w:val="18"/>
      </w:rPr>
      <w:t>Social protection and nutrition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AC216" w14:textId="77777777" w:rsidR="00315481" w:rsidRDefault="00315481" w:rsidP="00315481">
      <w:r>
        <w:separator/>
      </w:r>
    </w:p>
  </w:footnote>
  <w:footnote w:type="continuationSeparator" w:id="0">
    <w:p w14:paraId="495A3B8A" w14:textId="77777777" w:rsidR="00315481" w:rsidRDefault="00315481" w:rsidP="00315481">
      <w:r>
        <w:continuationSeparator/>
      </w:r>
    </w:p>
  </w:footnote>
  <w:footnote w:id="1">
    <w:p w14:paraId="0AD2ABE3" w14:textId="3C57163F" w:rsidR="00241C56" w:rsidRPr="00241C56" w:rsidRDefault="00241C56" w:rsidP="00241C56">
      <w:pPr>
        <w:pStyle w:val="Footnote"/>
        <w:rPr>
          <w:rFonts w:eastAsiaTheme="minorEastAsia"/>
        </w:rPr>
      </w:pPr>
      <w:r>
        <w:rPr>
          <w:rStyle w:val="FootnoteReference"/>
        </w:rPr>
        <w:footnoteRef/>
      </w:r>
      <w:r>
        <w:tab/>
      </w:r>
      <w:r w:rsidRPr="00241C56">
        <w:t>This Guidance Note assumes that readers have a basic level of knowledge and understanding about key social protection concepts and instruments – if that is not the case, please contact the Poverty and Social Transfers Section (</w:t>
      </w:r>
      <w:proofErr w:type="spellStart"/>
      <w:r w:rsidRPr="00241C56">
        <w:t>Paba</w:t>
      </w:r>
      <w:proofErr w:type="spellEnd"/>
      <w:r w:rsidRPr="00241C56">
        <w:t xml:space="preserve"> Griffin, ext. 6029</w:t>
      </w:r>
      <w:r w:rsidRPr="00241C56">
        <w:rPr>
          <w:rFonts w:eastAsiaTheme="minorEastAsia"/>
        </w:rPr>
        <w:t>).</w:t>
      </w:r>
    </w:p>
    <w:p w14:paraId="75F25C97" w14:textId="6F2DDDFB" w:rsidR="00241C56" w:rsidRDefault="00241C56">
      <w:pPr>
        <w:pStyle w:val="FootnoteText"/>
      </w:pPr>
    </w:p>
  </w:footnote>
  <w:footnote w:id="2">
    <w:p w14:paraId="2C3C34F5" w14:textId="057BB279" w:rsidR="00241C56" w:rsidRPr="00241C56" w:rsidRDefault="00241C56" w:rsidP="00241C56">
      <w:pPr>
        <w:pStyle w:val="Footnote"/>
      </w:pPr>
      <w:r>
        <w:rPr>
          <w:rStyle w:val="FootnoteReference"/>
        </w:rPr>
        <w:footnoteRef/>
      </w:r>
      <w:r>
        <w:t xml:space="preserve"> </w:t>
      </w:r>
      <w:r>
        <w:tab/>
      </w:r>
      <w:r w:rsidRPr="00241C56">
        <w:t>Scaling Up Nutrition, or SUN, is a movement founded in 2010 on the principle that all people have a right to food and good nutrition. It unites people—from governments, civil society, the United Nations, donors, businesses and researchers—in a collective effort to improve nutrition. Within the SUN movement, countries are putting nutrition policies in place, collaborating with partners to implement programmes with shared nutrition goals, and mobilising resources to effectively scale up nutrition, with a core focus on empowering women. As of August 2014, 53 countries have signed up to SUN.</w:t>
      </w:r>
    </w:p>
    <w:p w14:paraId="254E3EEB" w14:textId="6B23C85E" w:rsidR="00241C56" w:rsidRDefault="00241C56" w:rsidP="00241C56">
      <w:pPr>
        <w:pStyle w:val="Footnote"/>
        <w:ind w:left="0" w:firstLine="0"/>
      </w:pPr>
    </w:p>
  </w:footnote>
  <w:footnote w:id="3">
    <w:p w14:paraId="126AFF15" w14:textId="7A491688" w:rsidR="00241C56" w:rsidRPr="00241C56" w:rsidRDefault="00241C56" w:rsidP="00241C56">
      <w:pPr>
        <w:pStyle w:val="Footnote"/>
      </w:pPr>
      <w:r>
        <w:rPr>
          <w:rStyle w:val="FootnoteReference"/>
        </w:rPr>
        <w:footnoteRef/>
      </w:r>
      <w:r>
        <w:t xml:space="preserve"> </w:t>
      </w:r>
      <w:r>
        <w:tab/>
      </w:r>
      <w:r w:rsidRPr="00241C56">
        <w:t xml:space="preserve">REACH is a UN partnership established in 2008 between FAO, UNICEF, WFP, WHO and IFAD, with an objective to assist governments of countries with a high burden of child and maternal </w:t>
      </w:r>
      <w:proofErr w:type="spellStart"/>
      <w:r w:rsidRPr="00241C56">
        <w:t>undernutrition</w:t>
      </w:r>
      <w:proofErr w:type="spellEnd"/>
      <w:r w:rsidRPr="00241C56">
        <w:t xml:space="preserve"> to accelerate the scale-up of food and nutrition actions. As of August 2014, it is active in 12 such countries.</w:t>
      </w:r>
    </w:p>
    <w:p w14:paraId="7216E1D4" w14:textId="1CC85646" w:rsidR="00241C56" w:rsidRDefault="00241C56">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11A08F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7508134A"/>
    <w:lvl w:ilvl="0">
      <w:start w:val="1"/>
      <w:numFmt w:val="decimal"/>
      <w:pStyle w:val="ListNumber"/>
      <w:lvlText w:val="%1."/>
      <w:lvlJc w:val="left"/>
      <w:pPr>
        <w:tabs>
          <w:tab w:val="num" w:pos="360"/>
        </w:tabs>
        <w:ind w:left="360" w:hanging="360"/>
      </w:pPr>
    </w:lvl>
  </w:abstractNum>
  <w:abstractNum w:abstractNumId="2">
    <w:nsid w:val="FFFFFF89"/>
    <w:multiLevelType w:val="singleLevel"/>
    <w:tmpl w:val="377295C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7F62955"/>
    <w:multiLevelType w:val="multilevel"/>
    <w:tmpl w:val="5EB01F08"/>
    <w:lvl w:ilvl="0">
      <w:start w:val="1"/>
      <w:numFmt w:val="decimal"/>
      <w:lvlText w:val="%1."/>
      <w:lvlJc w:val="left"/>
      <w:pPr>
        <w:ind w:left="266" w:hanging="266"/>
      </w:pPr>
      <w:rPr>
        <w:rFonts w:ascii="Arial Bold" w:hAnsi="Arial Bold" w:hint="default"/>
        <w:b/>
        <w:i w:val="0"/>
        <w:color w:val="auto"/>
        <w:sz w:val="44"/>
      </w:rPr>
    </w:lvl>
    <w:lvl w:ilvl="1">
      <w:start w:val="1"/>
      <w:numFmt w:val="decimal"/>
      <w:lvlText w:val="%1.%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rPr>
    </w:lvl>
    <w:lvl w:ilvl="6">
      <w:start w:val="1"/>
      <w:numFmt w:val="none"/>
      <w:lvlRestart w:val="0"/>
      <w:lvlText w:val=""/>
      <w:lvlJc w:val="left"/>
      <w:pPr>
        <w:tabs>
          <w:tab w:val="num" w:pos="0"/>
        </w:tabs>
        <w:ind w:left="0" w:firstLine="0"/>
      </w:pPr>
      <w:rPr>
        <w:rFonts w:hint="default"/>
        <w:caps/>
        <w:sz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4">
    <w:nsid w:val="1E416D53"/>
    <w:multiLevelType w:val="multilevel"/>
    <w:tmpl w:val="55E48E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5C6626"/>
    <w:multiLevelType w:val="multilevel"/>
    <w:tmpl w:val="55E48E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E983446"/>
    <w:multiLevelType w:val="hybridMultilevel"/>
    <w:tmpl w:val="2D1E4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19D730F"/>
    <w:multiLevelType w:val="hybridMultilevel"/>
    <w:tmpl w:val="D324B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406630"/>
    <w:multiLevelType w:val="multilevel"/>
    <w:tmpl w:val="5EB01F08"/>
    <w:lvl w:ilvl="0">
      <w:start w:val="1"/>
      <w:numFmt w:val="decimal"/>
      <w:lvlText w:val="%1."/>
      <w:lvlJc w:val="left"/>
      <w:pPr>
        <w:ind w:left="266" w:hanging="266"/>
      </w:pPr>
      <w:rPr>
        <w:rFonts w:ascii="Arial Bold" w:hAnsi="Arial Bold" w:hint="default"/>
        <w:b/>
        <w:i w:val="0"/>
        <w:color w:val="auto"/>
        <w:sz w:val="44"/>
      </w:rPr>
    </w:lvl>
    <w:lvl w:ilvl="1">
      <w:start w:val="1"/>
      <w:numFmt w:val="decimal"/>
      <w:lvlText w:val="%1.%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rPr>
    </w:lvl>
    <w:lvl w:ilvl="6">
      <w:start w:val="1"/>
      <w:numFmt w:val="none"/>
      <w:lvlRestart w:val="0"/>
      <w:lvlText w:val=""/>
      <w:lvlJc w:val="left"/>
      <w:pPr>
        <w:tabs>
          <w:tab w:val="num" w:pos="0"/>
        </w:tabs>
        <w:ind w:left="0" w:firstLine="0"/>
      </w:pPr>
      <w:rPr>
        <w:rFonts w:hint="default"/>
        <w:caps/>
        <w:sz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9">
    <w:nsid w:val="4BFE103D"/>
    <w:multiLevelType w:val="multilevel"/>
    <w:tmpl w:val="2DD49E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2747779"/>
    <w:multiLevelType w:val="multilevel"/>
    <w:tmpl w:val="55E48E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5A002C0"/>
    <w:multiLevelType w:val="multilevel"/>
    <w:tmpl w:val="5EB01F08"/>
    <w:lvl w:ilvl="0">
      <w:start w:val="1"/>
      <w:numFmt w:val="decimal"/>
      <w:lvlText w:val="%1."/>
      <w:lvlJc w:val="left"/>
      <w:pPr>
        <w:ind w:left="266" w:hanging="266"/>
      </w:pPr>
      <w:rPr>
        <w:rFonts w:ascii="Arial Bold" w:hAnsi="Arial Bold" w:hint="default"/>
        <w:b/>
        <w:i w:val="0"/>
        <w:color w:val="auto"/>
        <w:sz w:val="44"/>
      </w:rPr>
    </w:lvl>
    <w:lvl w:ilvl="1">
      <w:start w:val="1"/>
      <w:numFmt w:val="decimal"/>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rPr>
    </w:lvl>
    <w:lvl w:ilvl="6">
      <w:start w:val="1"/>
      <w:numFmt w:val="none"/>
      <w:lvlRestart w:val="0"/>
      <w:lvlText w:val=""/>
      <w:lvlJc w:val="left"/>
      <w:pPr>
        <w:tabs>
          <w:tab w:val="num" w:pos="0"/>
        </w:tabs>
        <w:ind w:left="0" w:firstLine="0"/>
      </w:pPr>
      <w:rPr>
        <w:rFonts w:hint="default"/>
        <w:caps/>
        <w:sz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12">
    <w:nsid w:val="78FB0D67"/>
    <w:multiLevelType w:val="multilevel"/>
    <w:tmpl w:val="2DD49E7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
  </w:num>
  <w:num w:numId="12">
    <w:abstractNumId w:val="2"/>
  </w:num>
  <w:num w:numId="13">
    <w:abstractNumId w:val="0"/>
  </w:num>
  <w:num w:numId="14">
    <w:abstractNumId w:val="0"/>
  </w:num>
  <w:num w:numId="15">
    <w:abstractNumId w:val="1"/>
  </w:num>
  <w:num w:numId="16">
    <w:abstractNumId w:val="1"/>
  </w:num>
  <w:num w:numId="17">
    <w:abstractNumId w:val="8"/>
  </w:num>
  <w:num w:numId="18">
    <w:abstractNumId w:val="12"/>
  </w:num>
  <w:num w:numId="19">
    <w:abstractNumId w:val="4"/>
  </w:num>
  <w:num w:numId="20">
    <w:abstractNumId w:val="5"/>
  </w:num>
  <w:num w:numId="21">
    <w:abstractNumId w:val="10"/>
  </w:num>
  <w:num w:numId="22">
    <w:abstractNumId w:val="7"/>
  </w:num>
  <w:num w:numId="23">
    <w:abstractNumId w:val="3"/>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C06D82"/>
    <w:rsid w:val="000265D2"/>
    <w:rsid w:val="000C41D6"/>
    <w:rsid w:val="000E2A92"/>
    <w:rsid w:val="001B7C21"/>
    <w:rsid w:val="002041A4"/>
    <w:rsid w:val="00224CD0"/>
    <w:rsid w:val="00241C56"/>
    <w:rsid w:val="00290036"/>
    <w:rsid w:val="00315481"/>
    <w:rsid w:val="003255F8"/>
    <w:rsid w:val="00443035"/>
    <w:rsid w:val="004A2A92"/>
    <w:rsid w:val="004D2741"/>
    <w:rsid w:val="0058530A"/>
    <w:rsid w:val="005E35A4"/>
    <w:rsid w:val="006F758D"/>
    <w:rsid w:val="007E458D"/>
    <w:rsid w:val="00802E17"/>
    <w:rsid w:val="008E0A48"/>
    <w:rsid w:val="009372B8"/>
    <w:rsid w:val="00965A35"/>
    <w:rsid w:val="009A1DA1"/>
    <w:rsid w:val="00A65897"/>
    <w:rsid w:val="00B01080"/>
    <w:rsid w:val="00B32C9C"/>
    <w:rsid w:val="00B368D4"/>
    <w:rsid w:val="00B60C3C"/>
    <w:rsid w:val="00C06D82"/>
    <w:rsid w:val="00C17942"/>
    <w:rsid w:val="00D65857"/>
    <w:rsid w:val="00E439FE"/>
    <w:rsid w:val="00E45AFE"/>
    <w:rsid w:val="00F628D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96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C9C"/>
  </w:style>
  <w:style w:type="paragraph" w:styleId="Heading1">
    <w:name w:val="heading 1"/>
    <w:basedOn w:val="Normal"/>
    <w:next w:val="Normal"/>
    <w:link w:val="Heading1Char"/>
    <w:uiPriority w:val="9"/>
    <w:qFormat/>
    <w:rsid w:val="002041A4"/>
    <w:pPr>
      <w:keepNext/>
      <w:keepLines/>
      <w:numPr>
        <w:numId w:val="18"/>
      </w:numPr>
      <w:spacing w:before="240" w:after="480"/>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6F758D"/>
    <w:pPr>
      <w:keepNext/>
      <w:keepLines/>
      <w:spacing w:before="480" w:after="12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C06D82"/>
    <w:pPr>
      <w:keepNext/>
      <w:keepLines/>
      <w:numPr>
        <w:ilvl w:val="2"/>
        <w:numId w:val="10"/>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C06D82"/>
    <w:pPr>
      <w:keepNext/>
      <w:keepLines/>
      <w:numPr>
        <w:ilvl w:val="3"/>
        <w:numId w:val="10"/>
      </w:numPr>
      <w:spacing w:before="200"/>
      <w:outlineLvl w:val="3"/>
    </w:pPr>
    <w:rPr>
      <w:rFonts w:ascii="Arial" w:eastAsiaTheme="majorEastAsia" w:hAnsi="Arial" w:cstheme="majorBidi"/>
      <w:b/>
      <w:bCs/>
      <w:i/>
      <w:iCs/>
      <w:sz w:val="22"/>
    </w:rPr>
  </w:style>
  <w:style w:type="paragraph" w:styleId="Heading5">
    <w:name w:val="heading 5"/>
    <w:basedOn w:val="Normal"/>
    <w:next w:val="Normal"/>
    <w:link w:val="Heading5Char"/>
    <w:rsid w:val="00C06D82"/>
    <w:pPr>
      <w:keepNext/>
      <w:keepLines/>
      <w:numPr>
        <w:ilvl w:val="4"/>
        <w:numId w:val="10"/>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C06D82"/>
    <w:pPr>
      <w:keepNext/>
      <w:keepLines/>
      <w:numPr>
        <w:ilvl w:val="5"/>
        <w:numId w:val="10"/>
      </w:numPr>
      <w:spacing w:before="200"/>
      <w:outlineLvl w:val="5"/>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rsid w:val="00C06D82"/>
    <w:pPr>
      <w:keepNext/>
      <w:keepLines/>
      <w:numPr>
        <w:ilvl w:val="7"/>
        <w:numId w:val="10"/>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C06D82"/>
    <w:pPr>
      <w:keepNext/>
      <w:keepLines/>
      <w:numPr>
        <w:ilvl w:val="8"/>
        <w:numId w:val="10"/>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C06D82"/>
    <w:pPr>
      <w:widowControl w:val="0"/>
      <w:tabs>
        <w:tab w:val="left" w:pos="283"/>
      </w:tabs>
      <w:suppressAutoHyphens/>
      <w:autoSpaceDE w:val="0"/>
      <w:autoSpaceDN w:val="0"/>
      <w:adjustRightInd w:val="0"/>
      <w:spacing w:after="113" w:line="240" w:lineRule="atLeast"/>
      <w:ind w:left="567" w:hanging="567"/>
      <w:textAlignment w:val="center"/>
    </w:pPr>
    <w:rPr>
      <w:rFonts w:ascii="Arial" w:eastAsiaTheme="minorHAnsi" w:hAnsi="Arial" w:cs="VistaSansBold"/>
      <w:b/>
      <w:bCs/>
      <w:color w:val="000000"/>
      <w:spacing w:val="-2"/>
      <w:szCs w:val="22"/>
      <w:lang w:val="en-GB"/>
    </w:rPr>
  </w:style>
  <w:style w:type="paragraph" w:customStyle="1" w:styleId="NoParagraphStyle">
    <w:name w:val="[No Paragraph Style]"/>
    <w:rsid w:val="00C06D8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C06D82"/>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styleId="TOC1">
    <w:name w:val="toc 1"/>
    <w:basedOn w:val="Normal"/>
    <w:next w:val="Normal"/>
    <w:autoRedefine/>
    <w:uiPriority w:val="39"/>
    <w:rsid w:val="00C06D82"/>
    <w:pPr>
      <w:spacing w:before="120"/>
    </w:pPr>
    <w:rPr>
      <w:b/>
    </w:rPr>
  </w:style>
  <w:style w:type="paragraph" w:styleId="TOC2">
    <w:name w:val="toc 2"/>
    <w:basedOn w:val="Normal"/>
    <w:next w:val="Normal"/>
    <w:autoRedefine/>
    <w:uiPriority w:val="39"/>
    <w:rsid w:val="00C06D82"/>
    <w:pPr>
      <w:ind w:left="240"/>
    </w:pPr>
    <w:rPr>
      <w:b/>
      <w:sz w:val="22"/>
      <w:szCs w:val="22"/>
    </w:rPr>
  </w:style>
  <w:style w:type="paragraph" w:customStyle="1" w:styleId="body">
    <w:name w:val="body"/>
    <w:basedOn w:val="Normal"/>
    <w:uiPriority w:val="99"/>
    <w:rsid w:val="00C06D82"/>
    <w:pPr>
      <w:widowControl w:val="0"/>
      <w:tabs>
        <w:tab w:val="left" w:pos="567"/>
      </w:tabs>
      <w:suppressAutoHyphens/>
      <w:autoSpaceDE w:val="0"/>
      <w:autoSpaceDN w:val="0"/>
      <w:adjustRightInd w:val="0"/>
      <w:spacing w:before="57" w:after="57" w:line="240" w:lineRule="atLeast"/>
      <w:textAlignment w:val="center"/>
    </w:pPr>
    <w:rPr>
      <w:rFonts w:ascii="HelveticaNeue-Light" w:eastAsiaTheme="minorHAnsi" w:hAnsi="HelveticaNeue-Light" w:cs="HelveticaNeue-Light"/>
      <w:color w:val="000000"/>
      <w:sz w:val="19"/>
      <w:szCs w:val="19"/>
      <w:lang w:val="en-GB"/>
    </w:rPr>
  </w:style>
  <w:style w:type="paragraph" w:customStyle="1" w:styleId="H10">
    <w:name w:val="H1#"/>
    <w:basedOn w:val="H1"/>
    <w:uiPriority w:val="99"/>
    <w:rsid w:val="00C06D82"/>
    <w:pPr>
      <w:ind w:left="567" w:hanging="567"/>
    </w:pPr>
  </w:style>
  <w:style w:type="paragraph" w:customStyle="1" w:styleId="bullet">
    <w:name w:val="bullet"/>
    <w:basedOn w:val="body"/>
    <w:uiPriority w:val="99"/>
    <w:rsid w:val="00C06D82"/>
    <w:pPr>
      <w:spacing w:before="0"/>
      <w:ind w:left="227" w:hanging="227"/>
    </w:pPr>
  </w:style>
  <w:style w:type="paragraph" w:customStyle="1" w:styleId="H2">
    <w:name w:val="H2"/>
    <w:basedOn w:val="NoParagraphStyle"/>
    <w:uiPriority w:val="99"/>
    <w:rsid w:val="00C06D82"/>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source">
    <w:name w:val="source"/>
    <w:basedOn w:val="body"/>
    <w:uiPriority w:val="99"/>
    <w:rsid w:val="00C06D82"/>
    <w:pPr>
      <w:spacing w:line="200" w:lineRule="atLeast"/>
    </w:pPr>
    <w:rPr>
      <w:sz w:val="16"/>
      <w:szCs w:val="16"/>
    </w:rPr>
  </w:style>
  <w:style w:type="paragraph" w:customStyle="1" w:styleId="Footnote">
    <w:name w:val="Footnote"/>
    <w:basedOn w:val="source"/>
    <w:uiPriority w:val="99"/>
    <w:rsid w:val="00241C56"/>
    <w:pPr>
      <w:tabs>
        <w:tab w:val="left" w:pos="227"/>
      </w:tabs>
      <w:ind w:left="227" w:hanging="227"/>
    </w:pPr>
    <w:rPr>
      <w:rFonts w:ascii="Arial" w:hAnsi="Arial"/>
    </w:rPr>
  </w:style>
  <w:style w:type="paragraph" w:customStyle="1" w:styleId="Reporttext">
    <w:name w:val="Report text"/>
    <w:basedOn w:val="Normal"/>
    <w:uiPriority w:val="99"/>
    <w:rsid w:val="00C06D82"/>
    <w:pPr>
      <w:widowControl w:val="0"/>
      <w:suppressAutoHyphens/>
      <w:autoSpaceDE w:val="0"/>
      <w:autoSpaceDN w:val="0"/>
      <w:adjustRightInd w:val="0"/>
      <w:spacing w:after="180" w:line="288" w:lineRule="auto"/>
      <w:jc w:val="both"/>
      <w:textAlignment w:val="center"/>
    </w:pPr>
    <w:rPr>
      <w:rFonts w:ascii="Calibri" w:hAnsi="Calibri" w:cs="Calibri"/>
      <w:color w:val="000000"/>
      <w:sz w:val="22"/>
      <w:szCs w:val="22"/>
      <w:lang w:val="en-GB"/>
    </w:rPr>
  </w:style>
  <w:style w:type="paragraph" w:customStyle="1" w:styleId="Boxhead">
    <w:name w:val="Box head"/>
    <w:basedOn w:val="Normal"/>
    <w:uiPriority w:val="99"/>
    <w:rsid w:val="00C06D82"/>
    <w:pPr>
      <w:keepNext/>
      <w:keepLines/>
      <w:widowControl w:val="0"/>
      <w:tabs>
        <w:tab w:val="left" w:pos="567"/>
      </w:tabs>
      <w:suppressAutoHyphens/>
      <w:autoSpaceDE w:val="0"/>
      <w:autoSpaceDN w:val="0"/>
      <w:adjustRightInd w:val="0"/>
      <w:spacing w:before="170" w:after="57" w:line="240" w:lineRule="atLeast"/>
      <w:textAlignment w:val="baseline"/>
    </w:pPr>
    <w:rPr>
      <w:rFonts w:ascii="HelveticaNeue-Roman" w:hAnsi="HelveticaNeue-Roman" w:cs="HelveticaNeue-Roman"/>
      <w:b/>
      <w:bCs/>
      <w:color w:val="00437B"/>
      <w:sz w:val="19"/>
      <w:szCs w:val="19"/>
    </w:rPr>
  </w:style>
  <w:style w:type="paragraph" w:customStyle="1" w:styleId="boxtext">
    <w:name w:val="box text"/>
    <w:basedOn w:val="body"/>
    <w:uiPriority w:val="99"/>
    <w:rsid w:val="00C06D82"/>
  </w:style>
  <w:style w:type="paragraph" w:customStyle="1" w:styleId="bullet2ndlevel">
    <w:name w:val="bullet: 2nd level"/>
    <w:basedOn w:val="bullet"/>
    <w:uiPriority w:val="99"/>
    <w:rsid w:val="00C06D82"/>
    <w:pPr>
      <w:ind w:left="520" w:hanging="260"/>
    </w:pPr>
  </w:style>
  <w:style w:type="paragraph" w:styleId="BodyText">
    <w:name w:val="Body Text"/>
    <w:basedOn w:val="Normal"/>
    <w:link w:val="BodyTextChar"/>
    <w:uiPriority w:val="99"/>
    <w:unhideWhenUsed/>
    <w:rsid w:val="00C06D82"/>
    <w:pPr>
      <w:spacing w:after="120" w:line="260" w:lineRule="exact"/>
    </w:pPr>
    <w:rPr>
      <w:rFonts w:ascii="Arial" w:eastAsiaTheme="minorHAnsi" w:hAnsi="Arial"/>
      <w:sz w:val="22"/>
      <w:szCs w:val="22"/>
    </w:rPr>
  </w:style>
  <w:style w:type="character" w:customStyle="1" w:styleId="BodyTextChar">
    <w:name w:val="Body Text Char"/>
    <w:basedOn w:val="DefaultParagraphFont"/>
    <w:link w:val="BodyText"/>
    <w:uiPriority w:val="99"/>
    <w:rsid w:val="00C06D82"/>
    <w:rPr>
      <w:rFonts w:ascii="Arial" w:eastAsiaTheme="minorHAnsi" w:hAnsi="Arial"/>
      <w:sz w:val="22"/>
      <w:szCs w:val="22"/>
    </w:rPr>
  </w:style>
  <w:style w:type="paragraph" w:customStyle="1" w:styleId="Bodytextindent">
    <w:name w:val="Body text indent"/>
    <w:basedOn w:val="BodyText"/>
    <w:qFormat/>
    <w:rsid w:val="00C06D82"/>
    <w:pPr>
      <w:ind w:left="426" w:right="-574"/>
    </w:pPr>
    <w:rPr>
      <w:w w:val="95"/>
      <w:sz w:val="20"/>
    </w:rPr>
  </w:style>
  <w:style w:type="character" w:customStyle="1" w:styleId="Heading3Char">
    <w:name w:val="Heading 3 Char"/>
    <w:basedOn w:val="DefaultParagraphFont"/>
    <w:link w:val="Heading3"/>
    <w:uiPriority w:val="9"/>
    <w:rsid w:val="00C06D82"/>
    <w:rPr>
      <w:rFonts w:ascii="Arial" w:eastAsiaTheme="majorEastAsia" w:hAnsi="Arial" w:cstheme="majorBidi"/>
      <w:b/>
      <w:bCs/>
    </w:rPr>
  </w:style>
  <w:style w:type="paragraph" w:customStyle="1" w:styleId="Boxhead1">
    <w:name w:val="Box head 1"/>
    <w:basedOn w:val="Heading3"/>
    <w:qFormat/>
    <w:rsid w:val="00C06D82"/>
    <w:pPr>
      <w:numPr>
        <w:ilvl w:val="0"/>
        <w:numId w:val="0"/>
      </w:numPr>
      <w:spacing w:before="240"/>
    </w:pPr>
    <w:rPr>
      <w:kern w:val="1"/>
      <w:sz w:val="28"/>
    </w:rPr>
  </w:style>
  <w:style w:type="paragraph" w:styleId="Caption">
    <w:name w:val="caption"/>
    <w:basedOn w:val="Normal"/>
    <w:next w:val="Normal"/>
    <w:qFormat/>
    <w:rsid w:val="00C06D82"/>
    <w:pPr>
      <w:spacing w:before="360" w:after="120"/>
    </w:pPr>
    <w:rPr>
      <w:rFonts w:eastAsiaTheme="minorHAnsi"/>
      <w:b/>
      <w:bCs/>
      <w:sz w:val="22"/>
      <w:szCs w:val="18"/>
    </w:rPr>
  </w:style>
  <w:style w:type="paragraph" w:customStyle="1" w:styleId="Casestudy">
    <w:name w:val="Case study"/>
    <w:basedOn w:val="Boxhead1"/>
    <w:qFormat/>
    <w:rsid w:val="00C06D82"/>
    <w:pPr>
      <w:pBdr>
        <w:top w:val="single" w:sz="4" w:space="1" w:color="auto"/>
        <w:left w:val="single" w:sz="4" w:space="4" w:color="auto"/>
        <w:bottom w:val="single" w:sz="4" w:space="1" w:color="auto"/>
        <w:right w:val="single" w:sz="4" w:space="4" w:color="auto"/>
      </w:pBdr>
    </w:pPr>
  </w:style>
  <w:style w:type="paragraph" w:styleId="Footer">
    <w:name w:val="footer"/>
    <w:basedOn w:val="Normal"/>
    <w:link w:val="FooterChar"/>
    <w:rsid w:val="00C06D82"/>
    <w:pPr>
      <w:tabs>
        <w:tab w:val="center" w:pos="4320"/>
        <w:tab w:val="right" w:pos="8640"/>
      </w:tabs>
    </w:pPr>
    <w:rPr>
      <w:rFonts w:eastAsiaTheme="minorHAnsi"/>
    </w:rPr>
  </w:style>
  <w:style w:type="character" w:customStyle="1" w:styleId="FooterChar">
    <w:name w:val="Footer Char"/>
    <w:basedOn w:val="DefaultParagraphFont"/>
    <w:link w:val="Footer"/>
    <w:rsid w:val="00C06D82"/>
    <w:rPr>
      <w:rFonts w:eastAsiaTheme="minorHAnsi"/>
    </w:rPr>
  </w:style>
  <w:style w:type="character" w:styleId="FootnoteReference">
    <w:name w:val="footnote reference"/>
    <w:basedOn w:val="DefaultParagraphFont"/>
    <w:rsid w:val="00C06D82"/>
    <w:rPr>
      <w:rFonts w:asciiTheme="minorHAnsi" w:hAnsiTheme="minorHAnsi"/>
      <w:sz w:val="20"/>
      <w:bdr w:val="none" w:sz="0" w:space="0" w:color="auto"/>
      <w:vertAlign w:val="superscript"/>
    </w:rPr>
  </w:style>
  <w:style w:type="paragraph" w:styleId="FootnoteText">
    <w:name w:val="footnote text"/>
    <w:basedOn w:val="Normal"/>
    <w:link w:val="FootnoteTextChar"/>
    <w:rsid w:val="00C06D82"/>
    <w:rPr>
      <w:rFonts w:ascii="Arial" w:eastAsiaTheme="minorHAnsi" w:hAnsi="Arial"/>
      <w:sz w:val="16"/>
    </w:rPr>
  </w:style>
  <w:style w:type="character" w:customStyle="1" w:styleId="FootnoteTextChar">
    <w:name w:val="Footnote Text Char"/>
    <w:basedOn w:val="DefaultParagraphFont"/>
    <w:link w:val="FootnoteText"/>
    <w:rsid w:val="00C06D82"/>
    <w:rPr>
      <w:rFonts w:ascii="Arial" w:eastAsiaTheme="minorHAnsi" w:hAnsi="Arial"/>
      <w:sz w:val="16"/>
    </w:rPr>
  </w:style>
  <w:style w:type="paragraph" w:styleId="Header">
    <w:name w:val="header"/>
    <w:basedOn w:val="Normal"/>
    <w:link w:val="HeaderChar"/>
    <w:rsid w:val="00C06D82"/>
    <w:pPr>
      <w:tabs>
        <w:tab w:val="center" w:pos="4320"/>
        <w:tab w:val="right" w:pos="8640"/>
      </w:tabs>
    </w:pPr>
    <w:rPr>
      <w:rFonts w:eastAsiaTheme="minorHAnsi"/>
    </w:rPr>
  </w:style>
  <w:style w:type="character" w:customStyle="1" w:styleId="HeaderChar">
    <w:name w:val="Header Char"/>
    <w:basedOn w:val="DefaultParagraphFont"/>
    <w:link w:val="Header"/>
    <w:rsid w:val="00C06D82"/>
    <w:rPr>
      <w:rFonts w:eastAsiaTheme="minorHAnsi"/>
    </w:rPr>
  </w:style>
  <w:style w:type="character" w:customStyle="1" w:styleId="Heading1Char">
    <w:name w:val="Heading 1 Char"/>
    <w:basedOn w:val="DefaultParagraphFont"/>
    <w:link w:val="Heading1"/>
    <w:uiPriority w:val="9"/>
    <w:rsid w:val="002041A4"/>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C06D82"/>
    <w:rPr>
      <w:rFonts w:ascii="Arial" w:eastAsiaTheme="majorEastAsia" w:hAnsi="Arial" w:cstheme="majorBidi"/>
      <w:b/>
      <w:bCs/>
      <w:sz w:val="28"/>
      <w:szCs w:val="26"/>
    </w:rPr>
  </w:style>
  <w:style w:type="character" w:customStyle="1" w:styleId="Heading4Char">
    <w:name w:val="Heading 4 Char"/>
    <w:basedOn w:val="DefaultParagraphFont"/>
    <w:link w:val="Heading4"/>
    <w:uiPriority w:val="9"/>
    <w:rsid w:val="00C06D82"/>
    <w:rPr>
      <w:rFonts w:ascii="Arial" w:eastAsiaTheme="majorEastAsia" w:hAnsi="Arial" w:cstheme="majorBidi"/>
      <w:b/>
      <w:bCs/>
      <w:i/>
      <w:iCs/>
      <w:sz w:val="22"/>
    </w:rPr>
  </w:style>
  <w:style w:type="character" w:customStyle="1" w:styleId="Heading5Char">
    <w:name w:val="Heading 5 Char"/>
    <w:basedOn w:val="DefaultParagraphFont"/>
    <w:link w:val="Heading5"/>
    <w:rsid w:val="00C06D82"/>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C06D82"/>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rsid w:val="00C06D82"/>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C06D82"/>
    <w:rPr>
      <w:rFonts w:asciiTheme="majorHAnsi" w:eastAsiaTheme="majorEastAsia" w:hAnsiTheme="majorHAnsi" w:cstheme="majorBidi"/>
      <w:i/>
      <w:iCs/>
      <w:color w:val="363636" w:themeColor="text1" w:themeTint="C9"/>
      <w:sz w:val="20"/>
      <w:szCs w:val="20"/>
    </w:rPr>
  </w:style>
  <w:style w:type="character" w:styleId="Hyperlink">
    <w:name w:val="Hyperlink"/>
    <w:basedOn w:val="DefaultParagraphFont"/>
    <w:rsid w:val="00C06D82"/>
    <w:rPr>
      <w:color w:val="0000FF" w:themeColor="hyperlink"/>
      <w:u w:val="single"/>
    </w:rPr>
  </w:style>
  <w:style w:type="paragraph" w:styleId="List">
    <w:name w:val="List"/>
    <w:basedOn w:val="Normal"/>
    <w:uiPriority w:val="99"/>
    <w:unhideWhenUsed/>
    <w:rsid w:val="00C06D82"/>
    <w:pPr>
      <w:ind w:left="283" w:hanging="283"/>
      <w:contextualSpacing/>
    </w:pPr>
    <w:rPr>
      <w:rFonts w:eastAsiaTheme="minorHAnsi"/>
    </w:rPr>
  </w:style>
  <w:style w:type="paragraph" w:styleId="ListBullet">
    <w:name w:val="List Bullet"/>
    <w:basedOn w:val="Normal"/>
    <w:uiPriority w:val="99"/>
    <w:unhideWhenUsed/>
    <w:rsid w:val="00C06D82"/>
    <w:pPr>
      <w:numPr>
        <w:numId w:val="12"/>
      </w:numPr>
      <w:spacing w:before="120" w:after="120" w:line="260" w:lineRule="exact"/>
      <w:contextualSpacing/>
    </w:pPr>
    <w:rPr>
      <w:rFonts w:ascii="Arial" w:eastAsiaTheme="minorHAnsi" w:hAnsi="Arial"/>
      <w:sz w:val="22"/>
    </w:rPr>
  </w:style>
  <w:style w:type="paragraph" w:styleId="ListBullet2">
    <w:name w:val="List Bullet 2"/>
    <w:basedOn w:val="Normal"/>
    <w:rsid w:val="00C06D82"/>
    <w:pPr>
      <w:numPr>
        <w:numId w:val="14"/>
      </w:numPr>
      <w:contextualSpacing/>
    </w:pPr>
    <w:rPr>
      <w:rFonts w:eastAsiaTheme="minorHAnsi"/>
    </w:rPr>
  </w:style>
  <w:style w:type="paragraph" w:styleId="ListNumber">
    <w:name w:val="List Number"/>
    <w:basedOn w:val="Normal"/>
    <w:rsid w:val="00C06D82"/>
    <w:pPr>
      <w:numPr>
        <w:numId w:val="16"/>
      </w:numPr>
      <w:spacing w:before="120" w:after="120" w:line="260" w:lineRule="exact"/>
    </w:pPr>
    <w:rPr>
      <w:rFonts w:ascii="Arial" w:eastAsiaTheme="minorHAnsi" w:hAnsi="Arial"/>
      <w:sz w:val="22"/>
    </w:rPr>
  </w:style>
  <w:style w:type="character" w:styleId="PageNumber">
    <w:name w:val="page number"/>
    <w:basedOn w:val="DefaultParagraphFont"/>
    <w:rsid w:val="00C06D82"/>
  </w:style>
  <w:style w:type="paragraph" w:customStyle="1" w:styleId="Source0">
    <w:name w:val="Source"/>
    <w:basedOn w:val="Normal"/>
    <w:qFormat/>
    <w:rsid w:val="00C06D82"/>
    <w:pPr>
      <w:widowControl w:val="0"/>
      <w:autoSpaceDE w:val="0"/>
      <w:autoSpaceDN w:val="0"/>
      <w:adjustRightInd w:val="0"/>
      <w:spacing w:before="120"/>
    </w:pPr>
    <w:rPr>
      <w:rFonts w:ascii="Arial" w:eastAsiaTheme="minorHAnsi" w:hAnsi="Arial" w:cs="Arial"/>
      <w:color w:val="000000" w:themeColor="text1"/>
      <w:kern w:val="1"/>
      <w:sz w:val="18"/>
      <w:szCs w:val="16"/>
    </w:rPr>
  </w:style>
  <w:style w:type="table" w:styleId="TableGrid">
    <w:name w:val="Table Grid"/>
    <w:basedOn w:val="TableNormal"/>
    <w:rsid w:val="00C06D82"/>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qFormat/>
    <w:rsid w:val="00C06D82"/>
    <w:pPr>
      <w:spacing w:before="240" w:after="120"/>
    </w:pPr>
    <w:rPr>
      <w:rFonts w:ascii="Arial" w:eastAsiaTheme="majorEastAsia" w:hAnsi="Arial" w:cstheme="majorBidi"/>
      <w:b/>
      <w:bCs/>
      <w:iCs/>
      <w:kern w:val="1"/>
      <w:sz w:val="22"/>
    </w:rPr>
  </w:style>
  <w:style w:type="paragraph" w:customStyle="1" w:styleId="Tableheader">
    <w:name w:val="Table header"/>
    <w:basedOn w:val="BodyText"/>
    <w:qFormat/>
    <w:rsid w:val="00C06D82"/>
    <w:rPr>
      <w:b/>
    </w:rPr>
  </w:style>
  <w:style w:type="paragraph" w:styleId="TableofFigures">
    <w:name w:val="table of figures"/>
    <w:basedOn w:val="Normal"/>
    <w:next w:val="Normal"/>
    <w:uiPriority w:val="99"/>
    <w:rsid w:val="00C06D82"/>
    <w:pPr>
      <w:ind w:left="480" w:hanging="480"/>
    </w:pPr>
    <w:rPr>
      <w:rFonts w:eastAsiaTheme="minorHAnsi"/>
    </w:rPr>
  </w:style>
  <w:style w:type="paragraph" w:customStyle="1" w:styleId="Tabletext">
    <w:name w:val="Table text"/>
    <w:basedOn w:val="BodyText"/>
    <w:qFormat/>
    <w:rsid w:val="00C06D82"/>
    <w:rPr>
      <w:b/>
      <w:kern w:val="1"/>
    </w:rPr>
  </w:style>
  <w:style w:type="paragraph" w:styleId="TOC3">
    <w:name w:val="toc 3"/>
    <w:basedOn w:val="Normal"/>
    <w:next w:val="Normal"/>
    <w:autoRedefine/>
    <w:uiPriority w:val="39"/>
    <w:rsid w:val="00C06D82"/>
    <w:pPr>
      <w:ind w:left="480"/>
    </w:pPr>
    <w:rPr>
      <w:sz w:val="22"/>
      <w:szCs w:val="22"/>
    </w:rPr>
  </w:style>
  <w:style w:type="paragraph" w:styleId="TOC4">
    <w:name w:val="toc 4"/>
    <w:basedOn w:val="Normal"/>
    <w:next w:val="Normal"/>
    <w:autoRedefine/>
    <w:uiPriority w:val="39"/>
    <w:rsid w:val="00C06D82"/>
    <w:pPr>
      <w:ind w:left="720"/>
    </w:pPr>
    <w:rPr>
      <w:sz w:val="20"/>
      <w:szCs w:val="20"/>
    </w:rPr>
  </w:style>
  <w:style w:type="paragraph" w:styleId="TOC5">
    <w:name w:val="toc 5"/>
    <w:basedOn w:val="Normal"/>
    <w:next w:val="Normal"/>
    <w:autoRedefine/>
    <w:uiPriority w:val="39"/>
    <w:rsid w:val="00C06D82"/>
    <w:pPr>
      <w:ind w:left="960"/>
    </w:pPr>
    <w:rPr>
      <w:sz w:val="20"/>
      <w:szCs w:val="20"/>
    </w:rPr>
  </w:style>
  <w:style w:type="paragraph" w:styleId="TOC6">
    <w:name w:val="toc 6"/>
    <w:basedOn w:val="Normal"/>
    <w:next w:val="Normal"/>
    <w:autoRedefine/>
    <w:uiPriority w:val="39"/>
    <w:rsid w:val="00C06D82"/>
    <w:pPr>
      <w:ind w:left="1200"/>
    </w:pPr>
    <w:rPr>
      <w:sz w:val="20"/>
      <w:szCs w:val="20"/>
    </w:rPr>
  </w:style>
  <w:style w:type="paragraph" w:styleId="TOC7">
    <w:name w:val="toc 7"/>
    <w:basedOn w:val="Normal"/>
    <w:next w:val="Normal"/>
    <w:autoRedefine/>
    <w:uiPriority w:val="39"/>
    <w:rsid w:val="00C06D82"/>
    <w:pPr>
      <w:ind w:left="1440"/>
    </w:pPr>
    <w:rPr>
      <w:sz w:val="20"/>
      <w:szCs w:val="20"/>
    </w:rPr>
  </w:style>
  <w:style w:type="paragraph" w:styleId="BalloonText">
    <w:name w:val="Balloon Text"/>
    <w:basedOn w:val="Normal"/>
    <w:link w:val="BalloonTextChar"/>
    <w:uiPriority w:val="99"/>
    <w:semiHidden/>
    <w:unhideWhenUsed/>
    <w:rsid w:val="006F75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58D"/>
    <w:rPr>
      <w:rFonts w:ascii="Lucida Grande" w:hAnsi="Lucida Grande" w:cs="Lucida Grande"/>
      <w:sz w:val="18"/>
      <w:szCs w:val="18"/>
    </w:rPr>
  </w:style>
  <w:style w:type="paragraph" w:styleId="TOC8">
    <w:name w:val="toc 8"/>
    <w:basedOn w:val="Normal"/>
    <w:next w:val="Normal"/>
    <w:autoRedefine/>
    <w:uiPriority w:val="39"/>
    <w:unhideWhenUsed/>
    <w:rsid w:val="009A1DA1"/>
    <w:pPr>
      <w:ind w:left="1680"/>
    </w:pPr>
    <w:rPr>
      <w:sz w:val="20"/>
      <w:szCs w:val="20"/>
    </w:rPr>
  </w:style>
  <w:style w:type="paragraph" w:styleId="TOC9">
    <w:name w:val="toc 9"/>
    <w:basedOn w:val="Normal"/>
    <w:next w:val="Normal"/>
    <w:autoRedefine/>
    <w:uiPriority w:val="39"/>
    <w:unhideWhenUsed/>
    <w:rsid w:val="009A1DA1"/>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41A4"/>
    <w:pPr>
      <w:keepNext/>
      <w:keepLines/>
      <w:numPr>
        <w:numId w:val="18"/>
      </w:numPr>
      <w:spacing w:before="240" w:after="480"/>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6F758D"/>
    <w:pPr>
      <w:keepNext/>
      <w:keepLines/>
      <w:spacing w:before="480" w:after="12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C06D82"/>
    <w:pPr>
      <w:keepNext/>
      <w:keepLines/>
      <w:numPr>
        <w:ilvl w:val="2"/>
        <w:numId w:val="10"/>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C06D82"/>
    <w:pPr>
      <w:keepNext/>
      <w:keepLines/>
      <w:numPr>
        <w:ilvl w:val="3"/>
        <w:numId w:val="10"/>
      </w:numPr>
      <w:spacing w:before="200"/>
      <w:outlineLvl w:val="3"/>
    </w:pPr>
    <w:rPr>
      <w:rFonts w:ascii="Arial" w:eastAsiaTheme="majorEastAsia" w:hAnsi="Arial" w:cstheme="majorBidi"/>
      <w:b/>
      <w:bCs/>
      <w:i/>
      <w:iCs/>
      <w:sz w:val="22"/>
    </w:rPr>
  </w:style>
  <w:style w:type="paragraph" w:styleId="Heading5">
    <w:name w:val="heading 5"/>
    <w:basedOn w:val="Normal"/>
    <w:next w:val="Normal"/>
    <w:link w:val="Heading5Char"/>
    <w:rsid w:val="00C06D82"/>
    <w:pPr>
      <w:keepNext/>
      <w:keepLines/>
      <w:numPr>
        <w:ilvl w:val="4"/>
        <w:numId w:val="10"/>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C06D82"/>
    <w:pPr>
      <w:keepNext/>
      <w:keepLines/>
      <w:numPr>
        <w:ilvl w:val="5"/>
        <w:numId w:val="10"/>
      </w:numPr>
      <w:spacing w:before="200"/>
      <w:outlineLvl w:val="5"/>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rsid w:val="00C06D82"/>
    <w:pPr>
      <w:keepNext/>
      <w:keepLines/>
      <w:numPr>
        <w:ilvl w:val="7"/>
        <w:numId w:val="10"/>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C06D82"/>
    <w:pPr>
      <w:keepNext/>
      <w:keepLines/>
      <w:numPr>
        <w:ilvl w:val="8"/>
        <w:numId w:val="10"/>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C06D82"/>
    <w:pPr>
      <w:widowControl w:val="0"/>
      <w:tabs>
        <w:tab w:val="left" w:pos="283"/>
      </w:tabs>
      <w:suppressAutoHyphens/>
      <w:autoSpaceDE w:val="0"/>
      <w:autoSpaceDN w:val="0"/>
      <w:adjustRightInd w:val="0"/>
      <w:spacing w:after="113" w:line="240" w:lineRule="atLeast"/>
      <w:ind w:left="567" w:hanging="567"/>
      <w:textAlignment w:val="center"/>
    </w:pPr>
    <w:rPr>
      <w:rFonts w:ascii="Arial" w:eastAsiaTheme="minorHAnsi" w:hAnsi="Arial" w:cs="VistaSansBold"/>
      <w:b/>
      <w:bCs/>
      <w:color w:val="000000"/>
      <w:spacing w:val="-2"/>
      <w:szCs w:val="22"/>
      <w:lang w:val="en-GB"/>
    </w:rPr>
  </w:style>
  <w:style w:type="paragraph" w:customStyle="1" w:styleId="NoParagraphStyle">
    <w:name w:val="[No Paragraph Style]"/>
    <w:rsid w:val="00C06D8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C06D82"/>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styleId="TOC1">
    <w:name w:val="toc 1"/>
    <w:basedOn w:val="Normal"/>
    <w:next w:val="Normal"/>
    <w:autoRedefine/>
    <w:uiPriority w:val="39"/>
    <w:rsid w:val="00C06D82"/>
    <w:pPr>
      <w:spacing w:before="120"/>
    </w:pPr>
    <w:rPr>
      <w:b/>
    </w:rPr>
  </w:style>
  <w:style w:type="paragraph" w:styleId="TOC2">
    <w:name w:val="toc 2"/>
    <w:basedOn w:val="Normal"/>
    <w:next w:val="Normal"/>
    <w:autoRedefine/>
    <w:uiPriority w:val="39"/>
    <w:rsid w:val="00C06D82"/>
    <w:pPr>
      <w:ind w:left="240"/>
    </w:pPr>
    <w:rPr>
      <w:b/>
      <w:sz w:val="22"/>
      <w:szCs w:val="22"/>
    </w:rPr>
  </w:style>
  <w:style w:type="paragraph" w:customStyle="1" w:styleId="body">
    <w:name w:val="body"/>
    <w:basedOn w:val="Normal"/>
    <w:uiPriority w:val="99"/>
    <w:rsid w:val="00C06D82"/>
    <w:pPr>
      <w:widowControl w:val="0"/>
      <w:tabs>
        <w:tab w:val="left" w:pos="567"/>
      </w:tabs>
      <w:suppressAutoHyphens/>
      <w:autoSpaceDE w:val="0"/>
      <w:autoSpaceDN w:val="0"/>
      <w:adjustRightInd w:val="0"/>
      <w:spacing w:before="57" w:after="57" w:line="240" w:lineRule="atLeast"/>
      <w:textAlignment w:val="center"/>
    </w:pPr>
    <w:rPr>
      <w:rFonts w:ascii="HelveticaNeue-Light" w:eastAsiaTheme="minorHAnsi" w:hAnsi="HelveticaNeue-Light" w:cs="HelveticaNeue-Light"/>
      <w:color w:val="000000"/>
      <w:sz w:val="19"/>
      <w:szCs w:val="19"/>
      <w:lang w:val="en-GB"/>
    </w:rPr>
  </w:style>
  <w:style w:type="paragraph" w:customStyle="1" w:styleId="H10">
    <w:name w:val="H1#"/>
    <w:basedOn w:val="H1"/>
    <w:uiPriority w:val="99"/>
    <w:rsid w:val="00C06D82"/>
    <w:pPr>
      <w:ind w:left="567" w:hanging="567"/>
    </w:pPr>
  </w:style>
  <w:style w:type="paragraph" w:customStyle="1" w:styleId="bullet">
    <w:name w:val="bullet"/>
    <w:basedOn w:val="body"/>
    <w:uiPriority w:val="99"/>
    <w:rsid w:val="00C06D82"/>
    <w:pPr>
      <w:spacing w:before="0"/>
      <w:ind w:left="227" w:hanging="227"/>
    </w:pPr>
  </w:style>
  <w:style w:type="paragraph" w:customStyle="1" w:styleId="H2">
    <w:name w:val="H2"/>
    <w:basedOn w:val="NoParagraphStyle"/>
    <w:uiPriority w:val="99"/>
    <w:rsid w:val="00C06D82"/>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source">
    <w:name w:val="source"/>
    <w:basedOn w:val="body"/>
    <w:uiPriority w:val="99"/>
    <w:rsid w:val="00C06D82"/>
    <w:pPr>
      <w:spacing w:line="200" w:lineRule="atLeast"/>
    </w:pPr>
    <w:rPr>
      <w:sz w:val="16"/>
      <w:szCs w:val="16"/>
    </w:rPr>
  </w:style>
  <w:style w:type="paragraph" w:customStyle="1" w:styleId="Footnote">
    <w:name w:val="Footnote"/>
    <w:basedOn w:val="source"/>
    <w:uiPriority w:val="99"/>
    <w:rsid w:val="00C06D82"/>
    <w:pPr>
      <w:tabs>
        <w:tab w:val="left" w:pos="227"/>
      </w:tabs>
      <w:ind w:left="227" w:hanging="227"/>
    </w:pPr>
  </w:style>
  <w:style w:type="paragraph" w:customStyle="1" w:styleId="Reporttext">
    <w:name w:val="Report text"/>
    <w:basedOn w:val="Normal"/>
    <w:uiPriority w:val="99"/>
    <w:rsid w:val="00C06D82"/>
    <w:pPr>
      <w:widowControl w:val="0"/>
      <w:suppressAutoHyphens/>
      <w:autoSpaceDE w:val="0"/>
      <w:autoSpaceDN w:val="0"/>
      <w:adjustRightInd w:val="0"/>
      <w:spacing w:after="180" w:line="288" w:lineRule="auto"/>
      <w:jc w:val="both"/>
      <w:textAlignment w:val="center"/>
    </w:pPr>
    <w:rPr>
      <w:rFonts w:ascii="Calibri" w:hAnsi="Calibri" w:cs="Calibri"/>
      <w:color w:val="000000"/>
      <w:sz w:val="22"/>
      <w:szCs w:val="22"/>
      <w:lang w:val="en-GB"/>
    </w:rPr>
  </w:style>
  <w:style w:type="paragraph" w:customStyle="1" w:styleId="Boxhead">
    <w:name w:val="Box head"/>
    <w:basedOn w:val="Normal"/>
    <w:uiPriority w:val="99"/>
    <w:rsid w:val="00C06D82"/>
    <w:pPr>
      <w:keepNext/>
      <w:keepLines/>
      <w:widowControl w:val="0"/>
      <w:tabs>
        <w:tab w:val="left" w:pos="567"/>
      </w:tabs>
      <w:suppressAutoHyphens/>
      <w:autoSpaceDE w:val="0"/>
      <w:autoSpaceDN w:val="0"/>
      <w:adjustRightInd w:val="0"/>
      <w:spacing w:before="170" w:after="57" w:line="240" w:lineRule="atLeast"/>
      <w:textAlignment w:val="baseline"/>
    </w:pPr>
    <w:rPr>
      <w:rFonts w:ascii="HelveticaNeue-Roman" w:hAnsi="HelveticaNeue-Roman" w:cs="HelveticaNeue-Roman"/>
      <w:b/>
      <w:bCs/>
      <w:color w:val="00437B"/>
      <w:sz w:val="19"/>
      <w:szCs w:val="19"/>
    </w:rPr>
  </w:style>
  <w:style w:type="paragraph" w:customStyle="1" w:styleId="boxtext">
    <w:name w:val="box text"/>
    <w:basedOn w:val="body"/>
    <w:uiPriority w:val="99"/>
    <w:rsid w:val="00C06D82"/>
  </w:style>
  <w:style w:type="paragraph" w:customStyle="1" w:styleId="bullet2ndlevel">
    <w:name w:val="bullet: 2nd level"/>
    <w:basedOn w:val="bullet"/>
    <w:uiPriority w:val="99"/>
    <w:rsid w:val="00C06D82"/>
    <w:pPr>
      <w:ind w:left="520" w:hanging="260"/>
    </w:pPr>
  </w:style>
  <w:style w:type="paragraph" w:styleId="BodyText">
    <w:name w:val="Body Text"/>
    <w:basedOn w:val="Normal"/>
    <w:link w:val="BodyTextChar"/>
    <w:uiPriority w:val="99"/>
    <w:unhideWhenUsed/>
    <w:rsid w:val="00C06D82"/>
    <w:pPr>
      <w:spacing w:after="120" w:line="260" w:lineRule="exact"/>
    </w:pPr>
    <w:rPr>
      <w:rFonts w:ascii="Arial" w:eastAsiaTheme="minorHAnsi" w:hAnsi="Arial"/>
      <w:sz w:val="22"/>
      <w:szCs w:val="22"/>
    </w:rPr>
  </w:style>
  <w:style w:type="character" w:customStyle="1" w:styleId="BodyTextChar">
    <w:name w:val="Body Text Char"/>
    <w:basedOn w:val="DefaultParagraphFont"/>
    <w:link w:val="BodyText"/>
    <w:uiPriority w:val="99"/>
    <w:rsid w:val="00C06D82"/>
    <w:rPr>
      <w:rFonts w:ascii="Arial" w:eastAsiaTheme="minorHAnsi" w:hAnsi="Arial"/>
      <w:sz w:val="22"/>
      <w:szCs w:val="22"/>
    </w:rPr>
  </w:style>
  <w:style w:type="paragraph" w:customStyle="1" w:styleId="Bodytextindent">
    <w:name w:val="Body text indent"/>
    <w:basedOn w:val="BodyText"/>
    <w:qFormat/>
    <w:rsid w:val="00C06D82"/>
    <w:pPr>
      <w:ind w:left="426" w:right="-574"/>
    </w:pPr>
    <w:rPr>
      <w:w w:val="95"/>
      <w:sz w:val="20"/>
    </w:rPr>
  </w:style>
  <w:style w:type="character" w:customStyle="1" w:styleId="Heading3Char">
    <w:name w:val="Heading 3 Char"/>
    <w:basedOn w:val="DefaultParagraphFont"/>
    <w:link w:val="Heading3"/>
    <w:uiPriority w:val="9"/>
    <w:rsid w:val="00C06D82"/>
    <w:rPr>
      <w:rFonts w:ascii="Arial" w:eastAsiaTheme="majorEastAsia" w:hAnsi="Arial" w:cstheme="majorBidi"/>
      <w:b/>
      <w:bCs/>
    </w:rPr>
  </w:style>
  <w:style w:type="paragraph" w:customStyle="1" w:styleId="Boxhead1">
    <w:name w:val="Box head 1"/>
    <w:basedOn w:val="Heading3"/>
    <w:qFormat/>
    <w:rsid w:val="00C06D82"/>
    <w:pPr>
      <w:numPr>
        <w:ilvl w:val="0"/>
        <w:numId w:val="0"/>
      </w:numPr>
      <w:spacing w:before="240"/>
    </w:pPr>
    <w:rPr>
      <w:kern w:val="1"/>
      <w:sz w:val="28"/>
    </w:rPr>
  </w:style>
  <w:style w:type="paragraph" w:styleId="Caption">
    <w:name w:val="caption"/>
    <w:basedOn w:val="Normal"/>
    <w:next w:val="Normal"/>
    <w:qFormat/>
    <w:rsid w:val="00C06D82"/>
    <w:pPr>
      <w:spacing w:before="360" w:after="120"/>
    </w:pPr>
    <w:rPr>
      <w:rFonts w:eastAsiaTheme="minorHAnsi"/>
      <w:b/>
      <w:bCs/>
      <w:sz w:val="22"/>
      <w:szCs w:val="18"/>
    </w:rPr>
  </w:style>
  <w:style w:type="paragraph" w:customStyle="1" w:styleId="Casestudy">
    <w:name w:val="Case study"/>
    <w:basedOn w:val="Boxhead1"/>
    <w:qFormat/>
    <w:rsid w:val="00C06D82"/>
    <w:pPr>
      <w:pBdr>
        <w:top w:val="single" w:sz="4" w:space="1" w:color="auto"/>
        <w:left w:val="single" w:sz="4" w:space="4" w:color="auto"/>
        <w:bottom w:val="single" w:sz="4" w:space="1" w:color="auto"/>
        <w:right w:val="single" w:sz="4" w:space="4" w:color="auto"/>
      </w:pBdr>
    </w:pPr>
  </w:style>
  <w:style w:type="paragraph" w:styleId="Footer">
    <w:name w:val="footer"/>
    <w:basedOn w:val="Normal"/>
    <w:link w:val="FooterChar"/>
    <w:rsid w:val="00C06D82"/>
    <w:pPr>
      <w:tabs>
        <w:tab w:val="center" w:pos="4320"/>
        <w:tab w:val="right" w:pos="8640"/>
      </w:tabs>
    </w:pPr>
    <w:rPr>
      <w:rFonts w:eastAsiaTheme="minorHAnsi"/>
    </w:rPr>
  </w:style>
  <w:style w:type="character" w:customStyle="1" w:styleId="FooterChar">
    <w:name w:val="Footer Char"/>
    <w:basedOn w:val="DefaultParagraphFont"/>
    <w:link w:val="Footer"/>
    <w:rsid w:val="00C06D82"/>
    <w:rPr>
      <w:rFonts w:eastAsiaTheme="minorHAnsi"/>
    </w:rPr>
  </w:style>
  <w:style w:type="character" w:styleId="FootnoteReference">
    <w:name w:val="footnote reference"/>
    <w:basedOn w:val="DefaultParagraphFont"/>
    <w:rsid w:val="00C06D82"/>
    <w:rPr>
      <w:rFonts w:asciiTheme="minorHAnsi" w:hAnsiTheme="minorHAnsi"/>
      <w:sz w:val="20"/>
      <w:bdr w:val="none" w:sz="0" w:space="0" w:color="auto"/>
      <w:vertAlign w:val="superscript"/>
    </w:rPr>
  </w:style>
  <w:style w:type="paragraph" w:styleId="FootnoteText">
    <w:name w:val="footnote text"/>
    <w:basedOn w:val="Normal"/>
    <w:link w:val="FootnoteTextChar"/>
    <w:rsid w:val="00C06D82"/>
    <w:rPr>
      <w:rFonts w:ascii="Arial" w:eastAsiaTheme="minorHAnsi" w:hAnsi="Arial"/>
      <w:sz w:val="16"/>
    </w:rPr>
  </w:style>
  <w:style w:type="character" w:customStyle="1" w:styleId="FootnoteTextChar">
    <w:name w:val="Footnote Text Char"/>
    <w:basedOn w:val="DefaultParagraphFont"/>
    <w:link w:val="FootnoteText"/>
    <w:rsid w:val="00C06D82"/>
    <w:rPr>
      <w:rFonts w:ascii="Arial" w:eastAsiaTheme="minorHAnsi" w:hAnsi="Arial"/>
      <w:sz w:val="16"/>
    </w:rPr>
  </w:style>
  <w:style w:type="paragraph" w:styleId="Header">
    <w:name w:val="header"/>
    <w:basedOn w:val="Normal"/>
    <w:link w:val="HeaderChar"/>
    <w:rsid w:val="00C06D82"/>
    <w:pPr>
      <w:tabs>
        <w:tab w:val="center" w:pos="4320"/>
        <w:tab w:val="right" w:pos="8640"/>
      </w:tabs>
    </w:pPr>
    <w:rPr>
      <w:rFonts w:eastAsiaTheme="minorHAnsi"/>
    </w:rPr>
  </w:style>
  <w:style w:type="character" w:customStyle="1" w:styleId="HeaderChar">
    <w:name w:val="Header Char"/>
    <w:basedOn w:val="DefaultParagraphFont"/>
    <w:link w:val="Header"/>
    <w:rsid w:val="00C06D82"/>
    <w:rPr>
      <w:rFonts w:eastAsiaTheme="minorHAnsi"/>
    </w:rPr>
  </w:style>
  <w:style w:type="character" w:customStyle="1" w:styleId="Heading1Char">
    <w:name w:val="Heading 1 Char"/>
    <w:basedOn w:val="DefaultParagraphFont"/>
    <w:link w:val="Heading1"/>
    <w:uiPriority w:val="9"/>
    <w:rsid w:val="002041A4"/>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C06D82"/>
    <w:rPr>
      <w:rFonts w:ascii="Arial" w:eastAsiaTheme="majorEastAsia" w:hAnsi="Arial" w:cstheme="majorBidi"/>
      <w:b/>
      <w:bCs/>
      <w:sz w:val="28"/>
      <w:szCs w:val="26"/>
    </w:rPr>
  </w:style>
  <w:style w:type="character" w:customStyle="1" w:styleId="Heading4Char">
    <w:name w:val="Heading 4 Char"/>
    <w:basedOn w:val="DefaultParagraphFont"/>
    <w:link w:val="Heading4"/>
    <w:uiPriority w:val="9"/>
    <w:rsid w:val="00C06D82"/>
    <w:rPr>
      <w:rFonts w:ascii="Arial" w:eastAsiaTheme="majorEastAsia" w:hAnsi="Arial" w:cstheme="majorBidi"/>
      <w:b/>
      <w:bCs/>
      <w:i/>
      <w:iCs/>
      <w:sz w:val="22"/>
    </w:rPr>
  </w:style>
  <w:style w:type="character" w:customStyle="1" w:styleId="Heading5Char">
    <w:name w:val="Heading 5 Char"/>
    <w:basedOn w:val="DefaultParagraphFont"/>
    <w:link w:val="Heading5"/>
    <w:rsid w:val="00C06D82"/>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C06D82"/>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rsid w:val="00C06D82"/>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C06D82"/>
    <w:rPr>
      <w:rFonts w:asciiTheme="majorHAnsi" w:eastAsiaTheme="majorEastAsia" w:hAnsiTheme="majorHAnsi" w:cstheme="majorBidi"/>
      <w:i/>
      <w:iCs/>
      <w:color w:val="363636" w:themeColor="text1" w:themeTint="C9"/>
      <w:sz w:val="20"/>
      <w:szCs w:val="20"/>
    </w:rPr>
  </w:style>
  <w:style w:type="character" w:styleId="Hyperlink">
    <w:name w:val="Hyperlink"/>
    <w:basedOn w:val="DefaultParagraphFont"/>
    <w:rsid w:val="00C06D82"/>
    <w:rPr>
      <w:color w:val="0000FF" w:themeColor="hyperlink"/>
      <w:u w:val="single"/>
    </w:rPr>
  </w:style>
  <w:style w:type="paragraph" w:styleId="List">
    <w:name w:val="List"/>
    <w:basedOn w:val="Normal"/>
    <w:uiPriority w:val="99"/>
    <w:unhideWhenUsed/>
    <w:rsid w:val="00C06D82"/>
    <w:pPr>
      <w:ind w:left="283" w:hanging="283"/>
      <w:contextualSpacing/>
    </w:pPr>
    <w:rPr>
      <w:rFonts w:eastAsiaTheme="minorHAnsi"/>
    </w:rPr>
  </w:style>
  <w:style w:type="paragraph" w:styleId="ListBullet">
    <w:name w:val="List Bullet"/>
    <w:basedOn w:val="Normal"/>
    <w:uiPriority w:val="99"/>
    <w:unhideWhenUsed/>
    <w:rsid w:val="00C06D82"/>
    <w:pPr>
      <w:numPr>
        <w:numId w:val="12"/>
      </w:numPr>
      <w:spacing w:before="120" w:after="120" w:line="260" w:lineRule="exact"/>
      <w:contextualSpacing/>
    </w:pPr>
    <w:rPr>
      <w:rFonts w:ascii="Arial" w:eastAsiaTheme="minorHAnsi" w:hAnsi="Arial"/>
      <w:sz w:val="22"/>
    </w:rPr>
  </w:style>
  <w:style w:type="paragraph" w:styleId="ListBullet2">
    <w:name w:val="List Bullet 2"/>
    <w:basedOn w:val="Normal"/>
    <w:rsid w:val="00C06D82"/>
    <w:pPr>
      <w:numPr>
        <w:numId w:val="14"/>
      </w:numPr>
      <w:contextualSpacing/>
    </w:pPr>
    <w:rPr>
      <w:rFonts w:eastAsiaTheme="minorHAnsi"/>
    </w:rPr>
  </w:style>
  <w:style w:type="paragraph" w:styleId="ListNumber">
    <w:name w:val="List Number"/>
    <w:basedOn w:val="Normal"/>
    <w:rsid w:val="00C06D82"/>
    <w:pPr>
      <w:numPr>
        <w:numId w:val="16"/>
      </w:numPr>
      <w:spacing w:before="120" w:after="120" w:line="260" w:lineRule="exact"/>
    </w:pPr>
    <w:rPr>
      <w:rFonts w:ascii="Arial" w:eastAsiaTheme="minorHAnsi" w:hAnsi="Arial"/>
      <w:sz w:val="22"/>
    </w:rPr>
  </w:style>
  <w:style w:type="character" w:styleId="PageNumber">
    <w:name w:val="page number"/>
    <w:basedOn w:val="DefaultParagraphFont"/>
    <w:rsid w:val="00C06D82"/>
  </w:style>
  <w:style w:type="paragraph" w:customStyle="1" w:styleId="Source0">
    <w:name w:val="Source"/>
    <w:basedOn w:val="Normal"/>
    <w:qFormat/>
    <w:rsid w:val="00C06D82"/>
    <w:pPr>
      <w:widowControl w:val="0"/>
      <w:autoSpaceDE w:val="0"/>
      <w:autoSpaceDN w:val="0"/>
      <w:adjustRightInd w:val="0"/>
      <w:spacing w:before="120"/>
    </w:pPr>
    <w:rPr>
      <w:rFonts w:ascii="Arial" w:eastAsiaTheme="minorHAnsi" w:hAnsi="Arial" w:cs="Arial"/>
      <w:color w:val="000000" w:themeColor="text1"/>
      <w:kern w:val="1"/>
      <w:sz w:val="18"/>
      <w:szCs w:val="16"/>
    </w:rPr>
  </w:style>
  <w:style w:type="table" w:styleId="TableGrid">
    <w:name w:val="Table Grid"/>
    <w:basedOn w:val="TableNormal"/>
    <w:rsid w:val="00C06D82"/>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qFormat/>
    <w:rsid w:val="00C06D82"/>
    <w:pPr>
      <w:spacing w:before="240" w:after="120"/>
    </w:pPr>
    <w:rPr>
      <w:rFonts w:ascii="Arial" w:eastAsiaTheme="majorEastAsia" w:hAnsi="Arial" w:cstheme="majorBidi"/>
      <w:b/>
      <w:bCs/>
      <w:iCs/>
      <w:kern w:val="1"/>
      <w:sz w:val="22"/>
    </w:rPr>
  </w:style>
  <w:style w:type="paragraph" w:customStyle="1" w:styleId="Tableheader">
    <w:name w:val="Table header"/>
    <w:basedOn w:val="BodyText"/>
    <w:qFormat/>
    <w:rsid w:val="00C06D82"/>
    <w:rPr>
      <w:b/>
    </w:rPr>
  </w:style>
  <w:style w:type="paragraph" w:styleId="TableofFigures">
    <w:name w:val="table of figures"/>
    <w:basedOn w:val="Normal"/>
    <w:next w:val="Normal"/>
    <w:uiPriority w:val="99"/>
    <w:rsid w:val="00C06D82"/>
    <w:pPr>
      <w:ind w:left="480" w:hanging="480"/>
    </w:pPr>
    <w:rPr>
      <w:rFonts w:eastAsiaTheme="minorHAnsi"/>
    </w:rPr>
  </w:style>
  <w:style w:type="paragraph" w:customStyle="1" w:styleId="Tabletext">
    <w:name w:val="Table text"/>
    <w:basedOn w:val="BodyText"/>
    <w:qFormat/>
    <w:rsid w:val="00C06D82"/>
    <w:rPr>
      <w:b/>
      <w:kern w:val="1"/>
    </w:rPr>
  </w:style>
  <w:style w:type="paragraph" w:styleId="TOC3">
    <w:name w:val="toc 3"/>
    <w:basedOn w:val="Normal"/>
    <w:next w:val="Normal"/>
    <w:autoRedefine/>
    <w:uiPriority w:val="39"/>
    <w:rsid w:val="00C06D82"/>
    <w:pPr>
      <w:ind w:left="480"/>
    </w:pPr>
    <w:rPr>
      <w:sz w:val="22"/>
      <w:szCs w:val="22"/>
    </w:rPr>
  </w:style>
  <w:style w:type="paragraph" w:styleId="TOC4">
    <w:name w:val="toc 4"/>
    <w:basedOn w:val="Normal"/>
    <w:next w:val="Normal"/>
    <w:autoRedefine/>
    <w:uiPriority w:val="39"/>
    <w:rsid w:val="00C06D82"/>
    <w:pPr>
      <w:ind w:left="720"/>
    </w:pPr>
    <w:rPr>
      <w:sz w:val="20"/>
      <w:szCs w:val="20"/>
    </w:rPr>
  </w:style>
  <w:style w:type="paragraph" w:styleId="TOC5">
    <w:name w:val="toc 5"/>
    <w:basedOn w:val="Normal"/>
    <w:next w:val="Normal"/>
    <w:autoRedefine/>
    <w:uiPriority w:val="39"/>
    <w:rsid w:val="00C06D82"/>
    <w:pPr>
      <w:ind w:left="960"/>
    </w:pPr>
    <w:rPr>
      <w:sz w:val="20"/>
      <w:szCs w:val="20"/>
    </w:rPr>
  </w:style>
  <w:style w:type="paragraph" w:styleId="TOC6">
    <w:name w:val="toc 6"/>
    <w:basedOn w:val="Normal"/>
    <w:next w:val="Normal"/>
    <w:autoRedefine/>
    <w:uiPriority w:val="39"/>
    <w:rsid w:val="00C06D82"/>
    <w:pPr>
      <w:ind w:left="1200"/>
    </w:pPr>
    <w:rPr>
      <w:sz w:val="20"/>
      <w:szCs w:val="20"/>
    </w:rPr>
  </w:style>
  <w:style w:type="paragraph" w:styleId="TOC7">
    <w:name w:val="toc 7"/>
    <w:basedOn w:val="Normal"/>
    <w:next w:val="Normal"/>
    <w:autoRedefine/>
    <w:uiPriority w:val="39"/>
    <w:rsid w:val="00C06D82"/>
    <w:pPr>
      <w:ind w:left="1440"/>
    </w:pPr>
    <w:rPr>
      <w:sz w:val="20"/>
      <w:szCs w:val="20"/>
    </w:rPr>
  </w:style>
  <w:style w:type="paragraph" w:styleId="BalloonText">
    <w:name w:val="Balloon Text"/>
    <w:basedOn w:val="Normal"/>
    <w:link w:val="BalloonTextChar"/>
    <w:uiPriority w:val="99"/>
    <w:semiHidden/>
    <w:unhideWhenUsed/>
    <w:rsid w:val="006F75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58D"/>
    <w:rPr>
      <w:rFonts w:ascii="Lucida Grande" w:hAnsi="Lucida Grande" w:cs="Lucida Grande"/>
      <w:sz w:val="18"/>
      <w:szCs w:val="18"/>
    </w:rPr>
  </w:style>
  <w:style w:type="paragraph" w:styleId="TOC8">
    <w:name w:val="toc 8"/>
    <w:basedOn w:val="Normal"/>
    <w:next w:val="Normal"/>
    <w:autoRedefine/>
    <w:uiPriority w:val="39"/>
    <w:unhideWhenUsed/>
    <w:rsid w:val="009A1DA1"/>
    <w:pPr>
      <w:ind w:left="1680"/>
    </w:pPr>
    <w:rPr>
      <w:sz w:val="20"/>
      <w:szCs w:val="20"/>
    </w:rPr>
  </w:style>
  <w:style w:type="paragraph" w:styleId="TOC9">
    <w:name w:val="toc 9"/>
    <w:basedOn w:val="Normal"/>
    <w:next w:val="Normal"/>
    <w:autoRedefine/>
    <w:uiPriority w:val="39"/>
    <w:unhideWhenUsed/>
    <w:rsid w:val="009A1DA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customXml" Target="../customXml/item4.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D80AFBFC5A0147885E795AA9A2CA92"/>
        <w:category>
          <w:name w:val="General"/>
          <w:gallery w:val="placeholder"/>
        </w:category>
        <w:types>
          <w:type w:val="bbPlcHdr"/>
        </w:types>
        <w:behaviors>
          <w:behavior w:val="content"/>
        </w:behaviors>
        <w:guid w:val="{68E866EC-7730-0E42-A9F6-F8EC69860E6F}"/>
      </w:docPartPr>
      <w:docPartBody>
        <w:p w:rsidR="00147DB6" w:rsidRDefault="004773B6" w:rsidP="004773B6">
          <w:pPr>
            <w:pStyle w:val="CFD80AFBFC5A0147885E795AA9A2CA92"/>
          </w:pPr>
          <w:r>
            <w:t>[Type text]</w:t>
          </w:r>
        </w:p>
      </w:docPartBody>
    </w:docPart>
    <w:docPart>
      <w:docPartPr>
        <w:name w:val="413C77B03DDBAC4E9E3338522D834684"/>
        <w:category>
          <w:name w:val="General"/>
          <w:gallery w:val="placeholder"/>
        </w:category>
        <w:types>
          <w:type w:val="bbPlcHdr"/>
        </w:types>
        <w:behaviors>
          <w:behavior w:val="content"/>
        </w:behaviors>
        <w:guid w:val="{A6450A4A-D737-B14D-B2D6-E8C82F39AB38}"/>
      </w:docPartPr>
      <w:docPartBody>
        <w:p w:rsidR="00147DB6" w:rsidRDefault="004773B6" w:rsidP="004773B6">
          <w:pPr>
            <w:pStyle w:val="413C77B03DDBAC4E9E3338522D834684"/>
          </w:pPr>
          <w:r>
            <w:t>[Type text]</w:t>
          </w:r>
        </w:p>
      </w:docPartBody>
    </w:docPart>
    <w:docPart>
      <w:docPartPr>
        <w:name w:val="CEB7197EC95D1144B9991890984962C2"/>
        <w:category>
          <w:name w:val="General"/>
          <w:gallery w:val="placeholder"/>
        </w:category>
        <w:types>
          <w:type w:val="bbPlcHdr"/>
        </w:types>
        <w:behaviors>
          <w:behavior w:val="content"/>
        </w:behaviors>
        <w:guid w:val="{E81224DC-BED2-0045-B683-B66423BB1D68}"/>
      </w:docPartPr>
      <w:docPartBody>
        <w:p w:rsidR="00147DB6" w:rsidRDefault="004773B6" w:rsidP="004773B6">
          <w:pPr>
            <w:pStyle w:val="CEB7197EC95D1144B9991890984962C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istaSans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Bold">
    <w:altName w:val="Helvetica Neue Bol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oNotTrackMoves/>
  <w:defaultTabStop w:val="720"/>
  <w:characterSpacingControl w:val="doNotCompress"/>
  <w:compat>
    <w:useFELayout/>
    <w:compatSetting w:name="compatibilityMode" w:uri="http://schemas.microsoft.com/office/word" w:val="12"/>
  </w:compat>
  <w:rsids>
    <w:rsidRoot w:val="004773B6"/>
    <w:rsid w:val="00147DB6"/>
    <w:rsid w:val="004773B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D80AFBFC5A0147885E795AA9A2CA92">
    <w:name w:val="CFD80AFBFC5A0147885E795AA9A2CA92"/>
    <w:rsid w:val="004773B6"/>
  </w:style>
  <w:style w:type="paragraph" w:customStyle="1" w:styleId="413C77B03DDBAC4E9E3338522D834684">
    <w:name w:val="413C77B03DDBAC4E9E3338522D834684"/>
    <w:rsid w:val="004773B6"/>
  </w:style>
  <w:style w:type="paragraph" w:customStyle="1" w:styleId="CEB7197EC95D1144B9991890984962C2">
    <w:name w:val="CEB7197EC95D1144B9991890984962C2"/>
    <w:rsid w:val="004773B6"/>
  </w:style>
  <w:style w:type="paragraph" w:customStyle="1" w:styleId="F07220D5CC92B54BA7FBD6ADC894EBD8">
    <w:name w:val="F07220D5CC92B54BA7FBD6ADC894EBD8"/>
    <w:rsid w:val="004773B6"/>
  </w:style>
  <w:style w:type="paragraph" w:customStyle="1" w:styleId="928AEF31FB55A944B1B131337C21444E">
    <w:name w:val="928AEF31FB55A944B1B131337C21444E"/>
    <w:rsid w:val="004773B6"/>
  </w:style>
  <w:style w:type="paragraph" w:customStyle="1" w:styleId="CC2A4B6D35EDBE46B9A9FC7A56298EC1">
    <w:name w:val="CC2A4B6D35EDBE46B9A9FC7A56298EC1"/>
    <w:rsid w:val="004773B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01FE9-C060-4A3D-A145-4F5DDD385C68}"/>
</file>

<file path=customXml/itemProps2.xml><?xml version="1.0" encoding="utf-8"?>
<ds:datastoreItem xmlns:ds="http://schemas.openxmlformats.org/officeDocument/2006/customXml" ds:itemID="{349B248C-1B55-4D36-8986-9AB70FE9C191}"/>
</file>

<file path=customXml/itemProps3.xml><?xml version="1.0" encoding="utf-8"?>
<ds:datastoreItem xmlns:ds="http://schemas.openxmlformats.org/officeDocument/2006/customXml" ds:itemID="{0E3871ED-B08B-6A47-A78D-888ADA4EB91B}"/>
</file>

<file path=customXml/itemProps4.xml><?xml version="1.0" encoding="utf-8"?>
<ds:datastoreItem xmlns:ds="http://schemas.openxmlformats.org/officeDocument/2006/customXml" ds:itemID="{DCF08320-12B4-4EDB-80F5-0A8C11997E05}"/>
</file>

<file path=docProps/app.xml><?xml version="1.0" encoding="utf-8"?>
<Properties xmlns="http://schemas.openxmlformats.org/officeDocument/2006/extended-properties" xmlns:vt="http://schemas.openxmlformats.org/officeDocument/2006/docPropsVTypes">
  <Template>Normal.dotm</Template>
  <TotalTime>69</TotalTime>
  <Pages>20</Pages>
  <Words>6713</Words>
  <Characters>38265</Characters>
  <Application>Microsoft Macintosh Word</Application>
  <DocSecurity>0</DocSecurity>
  <Lines>318</Lines>
  <Paragraphs>89</Paragraphs>
  <ScaleCrop>false</ScaleCrop>
  <Company>GRi.D</Company>
  <LinksUpToDate>false</LinksUpToDate>
  <CharactersWithSpaces>44889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dc:description/>
  <cp:lastModifiedBy>Kathie  Griffiths</cp:lastModifiedBy>
  <cp:revision>18</cp:revision>
  <dcterms:created xsi:type="dcterms:W3CDTF">2015-04-28T02:47:00Z</dcterms:created>
  <dcterms:modified xsi:type="dcterms:W3CDTF">2015-05-25T07:04:00Z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949700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