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F4FEE" w14:textId="6F83986B" w:rsidR="0079782B" w:rsidRPr="00812938" w:rsidRDefault="00020070" w:rsidP="00C86DFC">
      <w:pPr>
        <w:pStyle w:val="Heading1"/>
        <w:spacing w:before="0" w:after="200" w:line="276" w:lineRule="auto"/>
        <w:jc w:val="both"/>
        <w:rPr>
          <w:rFonts w:asciiTheme="minorHAnsi" w:hAnsiTheme="minorHAnsi" w:cstheme="minorHAnsi"/>
          <w:b/>
          <w:caps/>
          <w:sz w:val="28"/>
          <w:szCs w:val="28"/>
          <w:lang w:val="en-AU"/>
        </w:rPr>
      </w:pPr>
      <w:r w:rsidRPr="00812938">
        <w:rPr>
          <w:rFonts w:asciiTheme="minorHAnsi" w:hAnsiTheme="minorHAnsi" w:cstheme="minorHAnsi"/>
          <w:b/>
          <w:caps/>
          <w:sz w:val="28"/>
          <w:szCs w:val="28"/>
          <w:lang w:val="en-AU"/>
        </w:rPr>
        <w:t>chapter summary: small and medium-sized enterprises</w:t>
      </w:r>
    </w:p>
    <w:p w14:paraId="220CF3A5" w14:textId="15940E32" w:rsidR="00020070" w:rsidRPr="00E31BEC" w:rsidRDefault="00020070" w:rsidP="00C86DFC">
      <w:pPr>
        <w:spacing w:after="200" w:line="276" w:lineRule="auto"/>
        <w:jc w:val="both"/>
        <w:rPr>
          <w:rFonts w:asciiTheme="minorHAnsi" w:hAnsiTheme="minorHAnsi" w:cstheme="minorHAnsi"/>
          <w:sz w:val="22"/>
        </w:rPr>
      </w:pPr>
      <w:r w:rsidRPr="00E31BEC">
        <w:rPr>
          <w:rFonts w:asciiTheme="minorHAnsi" w:hAnsiTheme="minorHAnsi" w:cstheme="minorHAnsi"/>
          <w:sz w:val="22"/>
        </w:rPr>
        <w:t xml:space="preserve">The Small and Medium-Sized Enterprises (SMEs) Chapter aims to promote the growth and development of SMEs in TPP Parties. </w:t>
      </w:r>
    </w:p>
    <w:p w14:paraId="4FE84A09" w14:textId="7391C2DF" w:rsidR="00020070" w:rsidRPr="00C01A3E" w:rsidRDefault="00020070" w:rsidP="00C01A3E">
      <w:pPr>
        <w:spacing w:after="200" w:line="276" w:lineRule="auto"/>
        <w:jc w:val="both"/>
        <w:rPr>
          <w:rFonts w:asciiTheme="minorHAnsi" w:hAnsiTheme="minorHAnsi" w:cstheme="minorHAnsi"/>
          <w:sz w:val="22"/>
        </w:rPr>
      </w:pPr>
      <w:r w:rsidRPr="00812938">
        <w:rPr>
          <w:rFonts w:asciiTheme="minorHAnsi" w:hAnsiTheme="minorHAnsi" w:cstheme="minorHAnsi"/>
          <w:sz w:val="22"/>
          <w:lang w:val="en"/>
        </w:rPr>
        <w:t xml:space="preserve">SMEs are key contributors to Australian jobs and economic growth, and Australian goods and services exports. </w:t>
      </w:r>
      <w:r w:rsidRPr="006B67D2">
        <w:rPr>
          <w:rFonts w:asciiTheme="minorHAnsi" w:hAnsiTheme="minorHAnsi" w:cstheme="minorHAnsi"/>
          <w:sz w:val="22"/>
          <w:lang w:val="en"/>
        </w:rPr>
        <w:t xml:space="preserve">In </w:t>
      </w:r>
      <w:r w:rsidR="00B2144E" w:rsidRPr="006B67D2">
        <w:rPr>
          <w:rFonts w:asciiTheme="minorHAnsi" w:hAnsiTheme="minorHAnsi" w:cstheme="minorHAnsi"/>
          <w:sz w:val="22"/>
          <w:lang w:val="en"/>
        </w:rPr>
        <w:t>2014-15</w:t>
      </w:r>
      <w:r w:rsidR="00C01A3E" w:rsidRPr="006B67D2">
        <w:rPr>
          <w:rFonts w:asciiTheme="minorHAnsi" w:hAnsiTheme="minorHAnsi" w:cstheme="minorHAnsi"/>
          <w:sz w:val="22"/>
          <w:lang w:val="en"/>
        </w:rPr>
        <w:t xml:space="preserve">, </w:t>
      </w:r>
      <w:r w:rsidR="001003B5" w:rsidRPr="006B67D2">
        <w:rPr>
          <w:rFonts w:asciiTheme="minorHAnsi" w:hAnsiTheme="minorHAnsi" w:cstheme="minorHAnsi"/>
          <w:sz w:val="22"/>
        </w:rPr>
        <w:t xml:space="preserve">Australian small </w:t>
      </w:r>
      <w:r w:rsidRPr="006B67D2">
        <w:rPr>
          <w:rFonts w:asciiTheme="minorHAnsi" w:hAnsiTheme="minorHAnsi" w:cstheme="minorHAnsi"/>
          <w:sz w:val="22"/>
        </w:rPr>
        <w:t>businesses alone made up 97 per cent of all Australian businesses, produced over $</w:t>
      </w:r>
      <w:r w:rsidR="00EE1053" w:rsidRPr="006B67D2">
        <w:rPr>
          <w:rFonts w:asciiTheme="minorHAnsi" w:hAnsiTheme="minorHAnsi" w:cstheme="minorHAnsi"/>
          <w:sz w:val="22"/>
        </w:rPr>
        <w:t xml:space="preserve">379 </w:t>
      </w:r>
      <w:r w:rsidRPr="006B67D2">
        <w:rPr>
          <w:rFonts w:asciiTheme="minorHAnsi" w:hAnsiTheme="minorHAnsi" w:cstheme="minorHAnsi"/>
          <w:sz w:val="22"/>
        </w:rPr>
        <w:t>billion, and employed 4.7 million A</w:t>
      </w:r>
      <w:r w:rsidR="00C01A3E" w:rsidRPr="006B67D2">
        <w:rPr>
          <w:rFonts w:asciiTheme="minorHAnsi" w:hAnsiTheme="minorHAnsi" w:cstheme="minorHAnsi"/>
          <w:sz w:val="22"/>
        </w:rPr>
        <w:t>ustralians. A</w:t>
      </w:r>
      <w:r w:rsidR="001003B5" w:rsidRPr="006B67D2">
        <w:rPr>
          <w:rFonts w:asciiTheme="minorHAnsi" w:hAnsiTheme="minorHAnsi" w:cstheme="minorHAnsi"/>
          <w:sz w:val="22"/>
        </w:rPr>
        <w:t xml:space="preserve">ustralian </w:t>
      </w:r>
      <w:r w:rsidRPr="006B67D2">
        <w:rPr>
          <w:rFonts w:asciiTheme="minorHAnsi" w:hAnsiTheme="minorHAnsi" w:cstheme="minorHAnsi"/>
          <w:sz w:val="22"/>
        </w:rPr>
        <w:t xml:space="preserve">SMEs comprise </w:t>
      </w:r>
      <w:r w:rsidR="00C01A3E" w:rsidRPr="006B67D2">
        <w:rPr>
          <w:rFonts w:asciiTheme="minorHAnsi" w:hAnsiTheme="minorHAnsi" w:cstheme="minorHAnsi"/>
          <w:sz w:val="22"/>
        </w:rPr>
        <w:t>88</w:t>
      </w:r>
      <w:r w:rsidRPr="006B67D2">
        <w:rPr>
          <w:rFonts w:asciiTheme="minorHAnsi" w:hAnsiTheme="minorHAnsi" w:cstheme="minorHAnsi"/>
          <w:sz w:val="22"/>
        </w:rPr>
        <w:t xml:space="preserve"> per cent of </w:t>
      </w:r>
      <w:r w:rsidR="001003B5" w:rsidRPr="006B67D2">
        <w:rPr>
          <w:rFonts w:asciiTheme="minorHAnsi" w:hAnsiTheme="minorHAnsi" w:cstheme="minorHAnsi"/>
          <w:sz w:val="22"/>
        </w:rPr>
        <w:t xml:space="preserve">Australia’s </w:t>
      </w:r>
      <w:r w:rsidRPr="006B67D2">
        <w:rPr>
          <w:rFonts w:asciiTheme="minorHAnsi" w:hAnsiTheme="minorHAnsi" w:cstheme="minorHAnsi"/>
          <w:sz w:val="22"/>
        </w:rPr>
        <w:t xml:space="preserve">goods exporters and </w:t>
      </w:r>
      <w:bookmarkStart w:id="0" w:name="_GoBack"/>
      <w:bookmarkEnd w:id="0"/>
      <w:r w:rsidR="008932DB" w:rsidRPr="006B67D2">
        <w:rPr>
          <w:rFonts w:asciiTheme="minorHAnsi" w:hAnsiTheme="minorHAnsi" w:cstheme="minorHAnsi"/>
          <w:sz w:val="22"/>
        </w:rPr>
        <w:t xml:space="preserve">65 </w:t>
      </w:r>
      <w:r w:rsidRPr="006B67D2">
        <w:rPr>
          <w:rFonts w:asciiTheme="minorHAnsi" w:hAnsiTheme="minorHAnsi" w:cstheme="minorHAnsi"/>
          <w:sz w:val="22"/>
        </w:rPr>
        <w:t>per cent of services exporters.</w:t>
      </w:r>
    </w:p>
    <w:p w14:paraId="5D144C3A" w14:textId="21551D70" w:rsidR="00020070" w:rsidRPr="00E31BEC" w:rsidRDefault="00020070" w:rsidP="00C86DFC">
      <w:pPr>
        <w:spacing w:after="200" w:line="276" w:lineRule="auto"/>
        <w:jc w:val="both"/>
        <w:rPr>
          <w:rFonts w:asciiTheme="minorHAnsi" w:hAnsiTheme="minorHAnsi" w:cstheme="minorHAnsi"/>
          <w:b/>
          <w:sz w:val="22"/>
        </w:rPr>
      </w:pPr>
      <w:r w:rsidRPr="00E31BEC">
        <w:rPr>
          <w:rFonts w:asciiTheme="minorHAnsi" w:hAnsiTheme="minorHAnsi" w:cstheme="minorHAnsi"/>
          <w:sz w:val="22"/>
        </w:rPr>
        <w:t>The important contribution that SMEs make to the Australian economy and trading relationships will be enhanced by implementation of this Chapter.</w:t>
      </w:r>
    </w:p>
    <w:p w14:paraId="71545312" w14:textId="4A2C43AD" w:rsidR="00020070" w:rsidRPr="00E31BEC" w:rsidRDefault="00020070" w:rsidP="00C86DFC">
      <w:pPr>
        <w:pStyle w:val="Heading1"/>
        <w:spacing w:before="0" w:after="200" w:line="276" w:lineRule="auto"/>
        <w:jc w:val="both"/>
        <w:rPr>
          <w:rFonts w:asciiTheme="minorHAnsi" w:hAnsiTheme="minorHAnsi" w:cstheme="minorHAnsi"/>
          <w:b/>
          <w:caps/>
          <w:sz w:val="24"/>
          <w:szCs w:val="24"/>
          <w:lang w:val="en-AU"/>
        </w:rPr>
      </w:pPr>
      <w:r w:rsidRPr="00E31BEC">
        <w:rPr>
          <w:rFonts w:asciiTheme="minorHAnsi" w:hAnsiTheme="minorHAnsi" w:cstheme="minorHAnsi"/>
          <w:b/>
          <w:caps/>
          <w:sz w:val="24"/>
          <w:szCs w:val="24"/>
          <w:lang w:val="en-AU"/>
        </w:rPr>
        <w:t>more information on the chapter</w:t>
      </w:r>
    </w:p>
    <w:p w14:paraId="6C78C88F" w14:textId="647C531E" w:rsidR="00020070" w:rsidRPr="00E31BEC" w:rsidRDefault="00020070" w:rsidP="00C86DFC">
      <w:pPr>
        <w:spacing w:after="200" w:line="276" w:lineRule="auto"/>
        <w:jc w:val="both"/>
        <w:rPr>
          <w:rFonts w:asciiTheme="minorHAnsi" w:hAnsiTheme="minorHAnsi" w:cstheme="minorHAnsi"/>
          <w:b/>
          <w:sz w:val="22"/>
        </w:rPr>
      </w:pPr>
      <w:r w:rsidRPr="00E31BEC">
        <w:rPr>
          <w:rFonts w:asciiTheme="minorHAnsi" w:hAnsiTheme="minorHAnsi" w:cstheme="minorHAnsi"/>
          <w:sz w:val="22"/>
        </w:rPr>
        <w:t xml:space="preserve">The Chapter requires </w:t>
      </w:r>
      <w:r w:rsidR="001003B5" w:rsidRPr="00E31BEC">
        <w:rPr>
          <w:rFonts w:asciiTheme="minorHAnsi" w:hAnsiTheme="minorHAnsi" w:cstheme="minorHAnsi"/>
          <w:sz w:val="22"/>
        </w:rPr>
        <w:t xml:space="preserve">TPP </w:t>
      </w:r>
      <w:r w:rsidRPr="00E31BEC">
        <w:rPr>
          <w:rFonts w:asciiTheme="minorHAnsi" w:hAnsiTheme="minorHAnsi" w:cstheme="minorHAnsi"/>
          <w:sz w:val="22"/>
        </w:rPr>
        <w:t xml:space="preserve">Parties to establish and maintain a website containing information about the TPP, including information designed to assist SMEs </w:t>
      </w:r>
      <w:r w:rsidR="001003B5" w:rsidRPr="00E31BEC">
        <w:rPr>
          <w:rFonts w:asciiTheme="minorHAnsi" w:hAnsiTheme="minorHAnsi" w:cstheme="minorHAnsi"/>
          <w:sz w:val="22"/>
        </w:rPr>
        <w:t xml:space="preserve">to </w:t>
      </w:r>
      <w:r w:rsidRPr="00E31BEC">
        <w:rPr>
          <w:rFonts w:asciiTheme="minorHAnsi" w:hAnsiTheme="minorHAnsi" w:cstheme="minorHAnsi"/>
          <w:sz w:val="22"/>
        </w:rPr>
        <w:t xml:space="preserve">benefit from the opportunities created by the </w:t>
      </w:r>
      <w:r w:rsidR="001003B5" w:rsidRPr="00E31BEC">
        <w:rPr>
          <w:rFonts w:asciiTheme="minorHAnsi" w:hAnsiTheme="minorHAnsi" w:cstheme="minorHAnsi"/>
          <w:sz w:val="22"/>
        </w:rPr>
        <w:t>TPP</w:t>
      </w:r>
      <w:r w:rsidRPr="00E31BEC">
        <w:rPr>
          <w:rFonts w:asciiTheme="minorHAnsi" w:hAnsiTheme="minorHAnsi" w:cstheme="minorHAnsi"/>
          <w:sz w:val="22"/>
        </w:rPr>
        <w:t xml:space="preserve">.  TPP Parties’ websites will contain the text of the Agreement, including annexes, tariff schedules, and product specific rules of origin. </w:t>
      </w:r>
    </w:p>
    <w:p w14:paraId="70B3145A" w14:textId="77777777" w:rsidR="00020070" w:rsidRPr="00E31BEC" w:rsidRDefault="00020070" w:rsidP="00C86DFC">
      <w:pPr>
        <w:spacing w:after="200" w:line="276" w:lineRule="auto"/>
        <w:jc w:val="both"/>
        <w:rPr>
          <w:rFonts w:asciiTheme="minorHAnsi" w:hAnsiTheme="minorHAnsi" w:cstheme="minorHAnsi"/>
          <w:sz w:val="22"/>
        </w:rPr>
      </w:pPr>
      <w:r w:rsidRPr="00E31BEC">
        <w:rPr>
          <w:rFonts w:asciiTheme="minorHAnsi" w:hAnsiTheme="minorHAnsi" w:cstheme="minorHAnsi"/>
          <w:sz w:val="22"/>
        </w:rPr>
        <w:t xml:space="preserve">The SMEs Chapter will also require Parties to have links to the equivalent websites of all other Parties. This will ensure that SMEs in TPP Parties have access to the relevant commercial information on TPP markets that they are operating in, or planning to operate in at some point in the future.  Where possible, TPP Parties will publish information on the website in English. </w:t>
      </w:r>
    </w:p>
    <w:p w14:paraId="2120AB05" w14:textId="21DA0B45" w:rsidR="00020070" w:rsidRPr="00E31BEC" w:rsidRDefault="00020070" w:rsidP="00C86DFC">
      <w:pPr>
        <w:spacing w:after="200" w:line="276" w:lineRule="auto"/>
        <w:jc w:val="both"/>
        <w:rPr>
          <w:rFonts w:asciiTheme="minorHAnsi" w:hAnsiTheme="minorHAnsi" w:cstheme="minorHAnsi"/>
          <w:sz w:val="22"/>
        </w:rPr>
      </w:pPr>
      <w:r w:rsidRPr="00E31BEC">
        <w:rPr>
          <w:rFonts w:asciiTheme="minorHAnsi" w:hAnsiTheme="minorHAnsi" w:cstheme="minorHAnsi"/>
          <w:sz w:val="22"/>
        </w:rPr>
        <w:t xml:space="preserve">To promote the continued growth and development of SMEs in TPP Parties, a </w:t>
      </w:r>
      <w:r w:rsidRPr="00AC5EBF">
        <w:rPr>
          <w:rFonts w:asciiTheme="minorHAnsi" w:hAnsiTheme="minorHAnsi" w:cstheme="minorHAnsi"/>
          <w:sz w:val="22"/>
        </w:rPr>
        <w:t>Committee on SMEs</w:t>
      </w:r>
      <w:r w:rsidRPr="00E31BEC">
        <w:rPr>
          <w:rFonts w:asciiTheme="minorHAnsi" w:hAnsiTheme="minorHAnsi" w:cstheme="minorHAnsi"/>
          <w:sz w:val="22"/>
        </w:rPr>
        <w:t xml:space="preserve"> </w:t>
      </w:r>
      <w:r w:rsidR="001003B5" w:rsidRPr="00E31BEC">
        <w:rPr>
          <w:rFonts w:asciiTheme="minorHAnsi" w:hAnsiTheme="minorHAnsi" w:cstheme="minorHAnsi"/>
          <w:sz w:val="22"/>
        </w:rPr>
        <w:t xml:space="preserve">will be established, </w:t>
      </w:r>
      <w:r w:rsidRPr="00E31BEC">
        <w:rPr>
          <w:rFonts w:asciiTheme="minorHAnsi" w:hAnsiTheme="minorHAnsi" w:cstheme="minorHAnsi"/>
          <w:sz w:val="22"/>
        </w:rPr>
        <w:t xml:space="preserve">comprising government representatives of each TPP Party. </w:t>
      </w:r>
      <w:r w:rsidR="001003B5" w:rsidRPr="00E31BEC">
        <w:rPr>
          <w:rFonts w:asciiTheme="minorHAnsi" w:hAnsiTheme="minorHAnsi" w:cstheme="minorHAnsi"/>
          <w:sz w:val="22"/>
        </w:rPr>
        <w:t>The Committee will</w:t>
      </w:r>
      <w:r w:rsidRPr="00E31BEC">
        <w:rPr>
          <w:rFonts w:asciiTheme="minorHAnsi" w:hAnsiTheme="minorHAnsi" w:cstheme="minorHAnsi"/>
          <w:sz w:val="22"/>
        </w:rPr>
        <w:t>:</w:t>
      </w:r>
    </w:p>
    <w:p w14:paraId="7D4DAF10" w14:textId="25335E4B" w:rsidR="00020070" w:rsidRPr="00E31BEC" w:rsidRDefault="001003B5" w:rsidP="00C86DFC">
      <w:pPr>
        <w:pStyle w:val="ListParagraph"/>
        <w:numPr>
          <w:ilvl w:val="0"/>
          <w:numId w:val="6"/>
        </w:numPr>
        <w:tabs>
          <w:tab w:val="left" w:pos="714"/>
        </w:tabs>
        <w:spacing w:after="200" w:line="276" w:lineRule="auto"/>
        <w:ind w:left="568" w:hanging="284"/>
        <w:contextualSpacing w:val="0"/>
        <w:jc w:val="both"/>
        <w:rPr>
          <w:rFonts w:asciiTheme="minorHAnsi" w:hAnsiTheme="minorHAnsi" w:cstheme="minorHAnsi"/>
          <w:sz w:val="22"/>
        </w:rPr>
      </w:pPr>
      <w:r w:rsidRPr="00E31BEC">
        <w:rPr>
          <w:rFonts w:asciiTheme="minorHAnsi" w:hAnsiTheme="minorHAnsi" w:cstheme="minorHAnsi"/>
          <w:sz w:val="22"/>
        </w:rPr>
        <w:t xml:space="preserve">identify </w:t>
      </w:r>
      <w:r w:rsidR="00020070" w:rsidRPr="00E31BEC">
        <w:rPr>
          <w:rFonts w:asciiTheme="minorHAnsi" w:hAnsiTheme="minorHAnsi" w:cstheme="minorHAnsi"/>
          <w:sz w:val="22"/>
        </w:rPr>
        <w:t xml:space="preserve">ways to assist SMEs to take advantage of the </w:t>
      </w:r>
      <w:r w:rsidRPr="00E31BEC">
        <w:rPr>
          <w:rFonts w:asciiTheme="minorHAnsi" w:hAnsiTheme="minorHAnsi" w:cstheme="minorHAnsi"/>
          <w:sz w:val="22"/>
        </w:rPr>
        <w:t>TPP</w:t>
      </w:r>
      <w:r w:rsidR="00020070" w:rsidRPr="00E31BEC">
        <w:rPr>
          <w:rFonts w:asciiTheme="minorHAnsi" w:hAnsiTheme="minorHAnsi" w:cstheme="minorHAnsi"/>
          <w:sz w:val="22"/>
        </w:rPr>
        <w:t>;</w:t>
      </w:r>
    </w:p>
    <w:p w14:paraId="03519EC7" w14:textId="3EB53212" w:rsidR="00020070" w:rsidRPr="00E31BEC" w:rsidRDefault="001003B5" w:rsidP="00C86DFC">
      <w:pPr>
        <w:pStyle w:val="ListParagraph"/>
        <w:numPr>
          <w:ilvl w:val="0"/>
          <w:numId w:val="6"/>
        </w:numPr>
        <w:tabs>
          <w:tab w:val="left" w:pos="714"/>
        </w:tabs>
        <w:spacing w:after="200" w:line="276" w:lineRule="auto"/>
        <w:ind w:left="568" w:hanging="284"/>
        <w:contextualSpacing w:val="0"/>
        <w:jc w:val="both"/>
        <w:rPr>
          <w:rFonts w:asciiTheme="minorHAnsi" w:hAnsiTheme="minorHAnsi" w:cstheme="minorHAnsi"/>
          <w:sz w:val="22"/>
        </w:rPr>
      </w:pPr>
      <w:r w:rsidRPr="00E31BEC">
        <w:rPr>
          <w:rFonts w:asciiTheme="minorHAnsi" w:hAnsiTheme="minorHAnsi" w:cstheme="minorHAnsi"/>
          <w:sz w:val="22"/>
        </w:rPr>
        <w:t xml:space="preserve">exchange </w:t>
      </w:r>
      <w:r w:rsidR="00020070" w:rsidRPr="00E31BEC">
        <w:rPr>
          <w:rFonts w:asciiTheme="minorHAnsi" w:hAnsiTheme="minorHAnsi" w:cstheme="minorHAnsi"/>
          <w:sz w:val="22"/>
        </w:rPr>
        <w:t>experiences on best practices to support SME exporters;</w:t>
      </w:r>
    </w:p>
    <w:p w14:paraId="0AA7F8A1" w14:textId="484EB9AD" w:rsidR="00020070" w:rsidRPr="00E31BEC" w:rsidRDefault="001003B5" w:rsidP="00C86DFC">
      <w:pPr>
        <w:pStyle w:val="ListParagraph"/>
        <w:numPr>
          <w:ilvl w:val="0"/>
          <w:numId w:val="6"/>
        </w:numPr>
        <w:tabs>
          <w:tab w:val="left" w:pos="714"/>
        </w:tabs>
        <w:spacing w:after="200" w:line="276" w:lineRule="auto"/>
        <w:ind w:left="568" w:hanging="284"/>
        <w:contextualSpacing w:val="0"/>
        <w:jc w:val="both"/>
        <w:rPr>
          <w:rFonts w:asciiTheme="minorHAnsi" w:hAnsiTheme="minorHAnsi" w:cstheme="minorHAnsi"/>
          <w:sz w:val="22"/>
        </w:rPr>
      </w:pPr>
      <w:r w:rsidRPr="00E31BEC">
        <w:rPr>
          <w:rFonts w:asciiTheme="minorHAnsi" w:hAnsiTheme="minorHAnsi" w:cstheme="minorHAnsi"/>
          <w:sz w:val="22"/>
        </w:rPr>
        <w:t xml:space="preserve">explore </w:t>
      </w:r>
      <w:r w:rsidR="00020070" w:rsidRPr="00E31BEC">
        <w:rPr>
          <w:rFonts w:asciiTheme="minorHAnsi" w:hAnsiTheme="minorHAnsi" w:cstheme="minorHAnsi"/>
          <w:sz w:val="22"/>
        </w:rPr>
        <w:t>opportunities for capacity building opportunities to enhance SME export counselling, assistance and training programs; and</w:t>
      </w:r>
    </w:p>
    <w:p w14:paraId="56CCF52D" w14:textId="0F35F339" w:rsidR="00020070" w:rsidRPr="00E31BEC" w:rsidRDefault="001003B5" w:rsidP="00C86DFC">
      <w:pPr>
        <w:pStyle w:val="ListParagraph"/>
        <w:numPr>
          <w:ilvl w:val="0"/>
          <w:numId w:val="6"/>
        </w:numPr>
        <w:tabs>
          <w:tab w:val="left" w:pos="714"/>
        </w:tabs>
        <w:spacing w:after="200" w:line="276" w:lineRule="auto"/>
        <w:ind w:left="568" w:hanging="284"/>
        <w:contextualSpacing w:val="0"/>
        <w:jc w:val="both"/>
        <w:rPr>
          <w:rFonts w:asciiTheme="minorHAnsi" w:hAnsiTheme="minorHAnsi" w:cstheme="minorHAnsi"/>
          <w:sz w:val="22"/>
        </w:rPr>
      </w:pPr>
      <w:r w:rsidRPr="00E31BEC">
        <w:rPr>
          <w:rFonts w:asciiTheme="minorHAnsi" w:hAnsiTheme="minorHAnsi" w:cstheme="minorHAnsi"/>
          <w:sz w:val="22"/>
        </w:rPr>
        <w:t xml:space="preserve">facilitate </w:t>
      </w:r>
      <w:r w:rsidR="00020070" w:rsidRPr="00E31BEC">
        <w:rPr>
          <w:rFonts w:asciiTheme="minorHAnsi" w:hAnsiTheme="minorHAnsi" w:cstheme="minorHAnsi"/>
          <w:sz w:val="22"/>
        </w:rPr>
        <w:t>the development of programs to assist SMEs to participate in, and contribute to, global value chains.</w:t>
      </w:r>
    </w:p>
    <w:p w14:paraId="5F59E03B" w14:textId="2DFC92D8" w:rsidR="009E727B" w:rsidRPr="00E31BEC" w:rsidRDefault="00020070" w:rsidP="00C86DFC">
      <w:pPr>
        <w:spacing w:after="200" w:line="276" w:lineRule="auto"/>
        <w:jc w:val="both"/>
        <w:rPr>
          <w:rFonts w:asciiTheme="minorHAnsi" w:hAnsiTheme="minorHAnsi" w:cstheme="minorHAnsi"/>
          <w:sz w:val="22"/>
        </w:rPr>
      </w:pPr>
      <w:r w:rsidRPr="00E31BEC">
        <w:rPr>
          <w:rFonts w:asciiTheme="minorHAnsi" w:hAnsiTheme="minorHAnsi" w:cstheme="minorHAnsi"/>
          <w:sz w:val="22"/>
        </w:rPr>
        <w:t xml:space="preserve">The SMEs Chapter is not subject to the TPP </w:t>
      </w:r>
      <w:r w:rsidR="00C86DFC">
        <w:rPr>
          <w:rFonts w:asciiTheme="minorHAnsi" w:hAnsiTheme="minorHAnsi" w:cstheme="minorHAnsi"/>
          <w:sz w:val="22"/>
        </w:rPr>
        <w:t>D</w:t>
      </w:r>
      <w:r w:rsidRPr="00E31BEC">
        <w:rPr>
          <w:rFonts w:asciiTheme="minorHAnsi" w:hAnsiTheme="minorHAnsi" w:cstheme="minorHAnsi"/>
          <w:sz w:val="22"/>
        </w:rPr>
        <w:t xml:space="preserve">ispute </w:t>
      </w:r>
      <w:r w:rsidR="00C86DFC">
        <w:rPr>
          <w:rFonts w:asciiTheme="minorHAnsi" w:hAnsiTheme="minorHAnsi" w:cstheme="minorHAnsi"/>
          <w:sz w:val="22"/>
        </w:rPr>
        <w:t>S</w:t>
      </w:r>
      <w:r w:rsidRPr="00E31BEC">
        <w:rPr>
          <w:rFonts w:asciiTheme="minorHAnsi" w:hAnsiTheme="minorHAnsi" w:cstheme="minorHAnsi"/>
          <w:sz w:val="22"/>
        </w:rPr>
        <w:t xml:space="preserve">ettlement </w:t>
      </w:r>
      <w:r w:rsidR="00C86DFC">
        <w:rPr>
          <w:rFonts w:asciiTheme="minorHAnsi" w:hAnsiTheme="minorHAnsi" w:cstheme="minorHAnsi"/>
          <w:sz w:val="22"/>
        </w:rPr>
        <w:t>Chapter</w:t>
      </w:r>
      <w:r w:rsidRPr="00E31BEC">
        <w:rPr>
          <w:rFonts w:asciiTheme="minorHAnsi" w:hAnsiTheme="minorHAnsi" w:cstheme="minorHAnsi"/>
          <w:sz w:val="22"/>
        </w:rPr>
        <w:t xml:space="preserve">. </w:t>
      </w:r>
    </w:p>
    <w:sectPr w:rsidR="009E727B" w:rsidRPr="00E31BEC" w:rsidSect="00032CE3">
      <w:headerReference w:type="default" r:id="rId12"/>
      <w:footerReference w:type="even" r:id="rId13"/>
      <w:footerReference w:type="default" r:id="rId14"/>
      <w:headerReference w:type="first" r:id="rId15"/>
      <w:footerReference w:type="first" r:id="rId16"/>
      <w:pgSz w:w="11900" w:h="16840"/>
      <w:pgMar w:top="1440" w:right="851" w:bottom="1985" w:left="851" w:header="709"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161">
      <wne:acd wne:acdName="acd1"/>
    </wne:keymap>
    <wne:keymap wne:kcmPrimary="0162">
      <wne:acd wne:acdName="acd0"/>
    </wne:keymap>
  </wne:keymaps>
  <wne:toolbars>
    <wne:acdManifest>
      <wne:acdEntry wne:acdName="acd0"/>
      <wne:acdEntry wne:acdName="acd1"/>
    </wne:acdManifest>
  </wne:toolbars>
  <wne:acds>
    <wne:acd wne:argValue="AQAAAAIA" wne:acdName="acd0" wne:fciIndexBasedOn="0065"/>
    <wne:acd wne:argValue="AQAAAAE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491AE" w14:textId="77777777" w:rsidR="0009261C" w:rsidRDefault="0009261C" w:rsidP="00E8641D">
      <w:pPr>
        <w:spacing w:line="240" w:lineRule="auto"/>
      </w:pPr>
      <w:r>
        <w:separator/>
      </w:r>
    </w:p>
    <w:p w14:paraId="6A884F33" w14:textId="77777777" w:rsidR="007D2C72" w:rsidRDefault="007D2C72"/>
  </w:endnote>
  <w:endnote w:type="continuationSeparator" w:id="0">
    <w:p w14:paraId="2BBF974D" w14:textId="77777777" w:rsidR="0009261C" w:rsidRDefault="0009261C" w:rsidP="00E8641D">
      <w:pPr>
        <w:spacing w:line="240" w:lineRule="auto"/>
      </w:pPr>
      <w:r>
        <w:continuationSeparator/>
      </w:r>
    </w:p>
    <w:p w14:paraId="170CFC2E" w14:textId="77777777" w:rsidR="007D2C72" w:rsidRDefault="007D2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3D41" w14:textId="77777777" w:rsidR="0009261C" w:rsidRDefault="0009261C"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473BF" w14:textId="77777777" w:rsidR="0009261C" w:rsidRDefault="0009261C" w:rsidP="00401E7C">
    <w:pPr>
      <w:pStyle w:val="Footer"/>
      <w:ind w:right="360"/>
    </w:pPr>
  </w:p>
  <w:p w14:paraId="77A985F6" w14:textId="77777777" w:rsidR="007D2C72" w:rsidRDefault="007D2C7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0A435" w14:textId="4BC60297" w:rsidR="0009261C" w:rsidRDefault="0009261C" w:rsidP="000926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7D2">
      <w:rPr>
        <w:rStyle w:val="PageNumber"/>
        <w:noProof/>
      </w:rPr>
      <w:t>2</w:t>
    </w:r>
    <w:r>
      <w:rPr>
        <w:rStyle w:val="PageNumber"/>
      </w:rPr>
      <w:fldChar w:fldCharType="end"/>
    </w:r>
  </w:p>
  <w:p w14:paraId="05243470" w14:textId="7DF8B56C" w:rsidR="0009261C" w:rsidRDefault="00C81FC7" w:rsidP="006F4F7E">
    <w:pPr>
      <w:pStyle w:val="Footer"/>
      <w:ind w:right="360"/>
    </w:pPr>
    <w:r w:rsidRPr="00E8641D">
      <w:rPr>
        <w:lang w:val="en-AU"/>
      </w:rPr>
      <w:t xml:space="preserve">Fact sheet last update: </w:t>
    </w:r>
    <w:r>
      <w:rPr>
        <w:lang w:val="en-AU"/>
      </w:rPr>
      <w:fldChar w:fldCharType="begin"/>
    </w:r>
    <w:r>
      <w:rPr>
        <w:lang w:val="en-AU"/>
      </w:rPr>
      <w:instrText xml:space="preserve"> TIME \@ "d.MM.yyyy" </w:instrText>
    </w:r>
    <w:r>
      <w:rPr>
        <w:lang w:val="en-AU"/>
      </w:rPr>
      <w:fldChar w:fldCharType="separate"/>
    </w:r>
    <w:r w:rsidR="00E37D47">
      <w:rPr>
        <w:noProof/>
        <w:lang w:val="en-AU"/>
      </w:rPr>
      <w:t>7.12.2016</w:t>
    </w:r>
    <w:r>
      <w:rPr>
        <w:lang w:val="en-AU"/>
      </w:rPr>
      <w:fldChar w:fldCharType="end"/>
    </w:r>
    <w:r w:rsidR="006F4F7E">
      <w:rPr>
        <w:lang w:val="en-AU"/>
      </w:rPr>
      <w:br/>
    </w:r>
    <w:r w:rsidRPr="00E8641D">
      <w:rPr>
        <w:lang w:val="en-AU"/>
      </w:rPr>
      <w:t xml:space="preserve">More information on the </w:t>
    </w:r>
    <w:r>
      <w:rPr>
        <w:lang w:val="en-AU"/>
      </w:rPr>
      <w:t>Trans-Pacific Partnership</w:t>
    </w:r>
    <w:r w:rsidRPr="00E8641D">
      <w:rPr>
        <w:lang w:val="en-AU"/>
      </w:rPr>
      <w:t xml:space="preserve"> Agreement</w:t>
    </w:r>
    <w:r>
      <w:rPr>
        <w:lang w:val="en-AU"/>
      </w:rPr>
      <w:br/>
    </w:r>
    <w:r w:rsidRPr="00E8641D">
      <w:rPr>
        <w:lang w:val="en-AU"/>
      </w:rPr>
      <w:t>is available at</w:t>
    </w:r>
    <w:r>
      <w:rPr>
        <w:lang w:val="en-AU"/>
      </w:rPr>
      <w:t xml:space="preserve"> </w:t>
    </w:r>
    <w:r w:rsidRPr="004C1D59">
      <w:rPr>
        <w:color w:val="0070C0"/>
        <w:lang w:val="en-AU"/>
      </w:rPr>
      <w:t>http://dfat.gov.au/trade/agreements/tpp/</w:t>
    </w:r>
  </w:p>
  <w:p w14:paraId="3E606A37" w14:textId="77777777" w:rsidR="007D2C72" w:rsidRDefault="007D2C7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1668" w14:textId="37D6ED6D" w:rsidR="0009261C" w:rsidRDefault="00306851" w:rsidP="00032CE3">
    <w:pPr>
      <w:pStyle w:val="Footer"/>
      <w:ind w:right="360"/>
    </w:pPr>
    <w:r w:rsidRPr="00E8641D">
      <w:rPr>
        <w:lang w:val="en-AU"/>
      </w:rPr>
      <w:t xml:space="preserve">Fact sheet last update: </w:t>
    </w:r>
    <w:r>
      <w:rPr>
        <w:lang w:val="en-AU"/>
      </w:rPr>
      <w:fldChar w:fldCharType="begin"/>
    </w:r>
    <w:r>
      <w:rPr>
        <w:lang w:val="en-AU"/>
      </w:rPr>
      <w:instrText xml:space="preserve"> TIME \@ "d.MM.yyyy" </w:instrText>
    </w:r>
    <w:r>
      <w:rPr>
        <w:lang w:val="en-AU"/>
      </w:rPr>
      <w:fldChar w:fldCharType="separate"/>
    </w:r>
    <w:r w:rsidR="00E37D47">
      <w:rPr>
        <w:noProof/>
        <w:lang w:val="en-AU"/>
      </w:rPr>
      <w:t>7.12.2016</w:t>
    </w:r>
    <w:r>
      <w:rPr>
        <w:lang w:val="en-AU"/>
      </w:rPr>
      <w:fldChar w:fldCharType="end"/>
    </w:r>
    <w:r>
      <w:rPr>
        <w:lang w:val="en-AU"/>
      </w:rPr>
      <w:br/>
    </w:r>
    <w:r w:rsidRPr="00E8641D">
      <w:rPr>
        <w:lang w:val="en-AU"/>
      </w:rPr>
      <w:t xml:space="preserve">More information on the </w:t>
    </w:r>
    <w:r>
      <w:rPr>
        <w:lang w:val="en-AU"/>
      </w:rPr>
      <w:t>T</w:t>
    </w:r>
    <w:r w:rsidR="004C1D59">
      <w:rPr>
        <w:lang w:val="en-AU"/>
      </w:rPr>
      <w:t>r</w:t>
    </w:r>
    <w:r>
      <w:rPr>
        <w:lang w:val="en-AU"/>
      </w:rPr>
      <w:t>ans-Pacific Partnership</w:t>
    </w:r>
    <w:r w:rsidRPr="00E8641D">
      <w:rPr>
        <w:lang w:val="en-AU"/>
      </w:rPr>
      <w:t xml:space="preserve"> Agreement</w:t>
    </w:r>
    <w:r>
      <w:rPr>
        <w:lang w:val="en-AU"/>
      </w:rPr>
      <w:br/>
    </w:r>
    <w:r w:rsidRPr="00E8641D">
      <w:rPr>
        <w:lang w:val="en-AU"/>
      </w:rPr>
      <w:t>is available at</w:t>
    </w:r>
    <w:r w:rsidR="004C1D59">
      <w:rPr>
        <w:lang w:val="en-AU"/>
      </w:rPr>
      <w:t xml:space="preserve"> </w:t>
    </w:r>
    <w:r w:rsidR="004C1D59" w:rsidRPr="004C1D59">
      <w:rPr>
        <w:color w:val="0070C0"/>
        <w:lang w:val="en-AU"/>
      </w:rPr>
      <w:t>http://dfat.gov.au/trade/agreements/tpp/</w:t>
    </w:r>
    <w:r w:rsidRPr="004C1D59">
      <w:rPr>
        <w:color w:val="0070C0"/>
        <w:lang w:val="en-AU"/>
      </w:rPr>
      <w:t xml:space="preserve"> </w:t>
    </w:r>
    <w:r w:rsidR="0009261C">
      <w:rPr>
        <w:noProof/>
        <w:lang w:val="en-AU" w:eastAsia="en-AU"/>
      </w:rPr>
      <w:drawing>
        <wp:anchor distT="360045" distB="0" distL="114300" distR="114300" simplePos="0" relativeHeight="251659264" behindDoc="1" locked="0" layoutInCell="1" allowOverlap="1" wp14:anchorId="7C9994F8" wp14:editId="39434CB5">
          <wp:simplePos x="0" y="0"/>
          <wp:positionH relativeFrom="margin">
            <wp:align>right</wp:align>
          </wp:positionH>
          <wp:positionV relativeFrom="page">
            <wp:posOffset>9649460</wp:posOffset>
          </wp:positionV>
          <wp:extent cx="2531745" cy="781685"/>
          <wp:effectExtent l="0" t="0" r="825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OFB-CoBrand-RGB.png"/>
                  <pic:cNvPicPr/>
                </pic:nvPicPr>
                <pic:blipFill>
                  <a:blip r:embed="rId1">
                    <a:extLst>
                      <a:ext uri="{28A0092B-C50C-407E-A947-70E740481C1C}">
                        <a14:useLocalDpi xmlns:a14="http://schemas.microsoft.com/office/drawing/2010/main" val="0"/>
                      </a:ext>
                    </a:extLst>
                  </a:blip>
                  <a:stretch>
                    <a:fillRect/>
                  </a:stretch>
                </pic:blipFill>
                <pic:spPr>
                  <a:xfrm>
                    <a:off x="0" y="0"/>
                    <a:ext cx="2531745" cy="78168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B4363" w14:textId="77777777" w:rsidR="0009261C" w:rsidRDefault="0009261C" w:rsidP="00E8641D">
      <w:pPr>
        <w:spacing w:line="240" w:lineRule="auto"/>
      </w:pPr>
      <w:r>
        <w:separator/>
      </w:r>
    </w:p>
    <w:p w14:paraId="44130DB3" w14:textId="77777777" w:rsidR="007D2C72" w:rsidRDefault="007D2C72"/>
  </w:footnote>
  <w:footnote w:type="continuationSeparator" w:id="0">
    <w:p w14:paraId="7C4004C9" w14:textId="77777777" w:rsidR="0009261C" w:rsidRDefault="0009261C" w:rsidP="00E8641D">
      <w:pPr>
        <w:spacing w:line="240" w:lineRule="auto"/>
      </w:pPr>
      <w:r>
        <w:continuationSeparator/>
      </w:r>
    </w:p>
    <w:p w14:paraId="7BB5CBC2" w14:textId="77777777" w:rsidR="007D2C72" w:rsidRDefault="007D2C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F5DD" w14:textId="4EACE3E1" w:rsidR="0009261C" w:rsidRDefault="0009261C">
    <w:pPr>
      <w:pStyle w:val="Header"/>
    </w:pPr>
    <w:r>
      <w:rPr>
        <w:noProof/>
        <w:lang w:val="en-AU" w:eastAsia="en-AU"/>
      </w:rPr>
      <w:drawing>
        <wp:anchor distT="0" distB="180340" distL="114300" distR="114300" simplePos="0" relativeHeight="251660288" behindDoc="1" locked="0" layoutInCell="1" allowOverlap="1" wp14:anchorId="4111892D" wp14:editId="53790108">
          <wp:simplePos x="0" y="0"/>
          <wp:positionH relativeFrom="page">
            <wp:align>center</wp:align>
          </wp:positionH>
          <wp:positionV relativeFrom="page">
            <wp:align>top</wp:align>
          </wp:positionV>
          <wp:extent cx="7559040" cy="585216"/>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follow.jpg"/>
                  <pic:cNvPicPr/>
                </pic:nvPicPr>
                <pic:blipFill>
                  <a:blip r:embed="rId1">
                    <a:extLst>
                      <a:ext uri="{28A0092B-C50C-407E-A947-70E740481C1C}">
                        <a14:useLocalDpi xmlns:a14="http://schemas.microsoft.com/office/drawing/2010/main" val="0"/>
                      </a:ext>
                    </a:extLst>
                  </a:blip>
                  <a:stretch>
                    <a:fillRect/>
                  </a:stretch>
                </pic:blipFill>
                <pic:spPr>
                  <a:xfrm>
                    <a:off x="0" y="0"/>
                    <a:ext cx="7559040" cy="58521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EA8F3A6" w14:textId="77777777" w:rsidR="007D2C72" w:rsidRDefault="007D2C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EAFCB" w14:textId="0CB042DD" w:rsidR="0009261C" w:rsidRDefault="0009261C">
    <w:pPr>
      <w:pStyle w:val="Header"/>
    </w:pPr>
    <w:r>
      <w:rPr>
        <w:noProof/>
        <w:lang w:val="en-AU" w:eastAsia="en-AU"/>
      </w:rPr>
      <w:drawing>
        <wp:anchor distT="0" distB="180340" distL="114300" distR="114300" simplePos="0" relativeHeight="251658240" behindDoc="1" locked="0" layoutInCell="1" allowOverlap="1" wp14:anchorId="44940E1B" wp14:editId="6DBBEDC3">
          <wp:simplePos x="0" y="0"/>
          <wp:positionH relativeFrom="page">
            <wp:align>center</wp:align>
          </wp:positionH>
          <wp:positionV relativeFrom="page">
            <wp:align>top</wp:align>
          </wp:positionV>
          <wp:extent cx="7559040" cy="1798320"/>
          <wp:effectExtent l="0" t="0" r="10160" b="508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FTA-Header.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79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07E0F"/>
    <w:multiLevelType w:val="hybridMultilevel"/>
    <w:tmpl w:val="A406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C31FA"/>
    <w:multiLevelType w:val="multilevel"/>
    <w:tmpl w:val="E3F4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67244"/>
    <w:multiLevelType w:val="hybridMultilevel"/>
    <w:tmpl w:val="B6F46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812A3"/>
    <w:multiLevelType w:val="hybridMultilevel"/>
    <w:tmpl w:val="71F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71CA1"/>
    <w:multiLevelType w:val="multilevel"/>
    <w:tmpl w:val="25B87868"/>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5" w15:restartNumberingAfterBreak="0">
    <w:nsid w:val="5E1F220B"/>
    <w:multiLevelType w:val="hybridMultilevel"/>
    <w:tmpl w:val="72942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1E41A3"/>
    <w:multiLevelType w:val="hybridMultilevel"/>
    <w:tmpl w:val="48903392"/>
    <w:lvl w:ilvl="0" w:tplc="C6A8D954">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7" w15:restartNumberingAfterBreak="0">
    <w:nsid w:val="6914775D"/>
    <w:multiLevelType w:val="hybridMultilevel"/>
    <w:tmpl w:val="FCAAACFA"/>
    <w:lvl w:ilvl="0" w:tplc="9AC4EB64">
      <w:start w:val="26"/>
      <w:numFmt w:val="bullet"/>
      <w:lvlText w:val="-"/>
      <w:lvlJc w:val="left"/>
      <w:pPr>
        <w:ind w:left="927" w:hanging="360"/>
      </w:pPr>
      <w:rPr>
        <w:rFonts w:ascii="Times New Roman" w:eastAsia="Times New Roman" w:hAnsi="Times New Roman" w:cs="Times New Roman"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8" w15:restartNumberingAfterBreak="0">
    <w:nsid w:val="78174D14"/>
    <w:multiLevelType w:val="hybridMultilevel"/>
    <w:tmpl w:val="62886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6"/>
  </w:num>
  <w:num w:numId="7">
    <w:abstractNumId w:val="4"/>
  </w:num>
  <w:num w:numId="8">
    <w:abstractNumId w:val="7"/>
  </w:num>
  <w:num w:numId="9">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171"/>
    <w:rsid w:val="00020070"/>
    <w:rsid w:val="00032CE3"/>
    <w:rsid w:val="00067BBF"/>
    <w:rsid w:val="0009261C"/>
    <w:rsid w:val="001003B5"/>
    <w:rsid w:val="001C13A2"/>
    <w:rsid w:val="002E1149"/>
    <w:rsid w:val="00306851"/>
    <w:rsid w:val="003F33F0"/>
    <w:rsid w:val="00401E7C"/>
    <w:rsid w:val="00423641"/>
    <w:rsid w:val="004B2171"/>
    <w:rsid w:val="004C1D59"/>
    <w:rsid w:val="005330F6"/>
    <w:rsid w:val="00576C6B"/>
    <w:rsid w:val="00576FDA"/>
    <w:rsid w:val="00654227"/>
    <w:rsid w:val="006B67D2"/>
    <w:rsid w:val="006F4F7E"/>
    <w:rsid w:val="007041A6"/>
    <w:rsid w:val="00734E00"/>
    <w:rsid w:val="0079782B"/>
    <w:rsid w:val="007A6F6F"/>
    <w:rsid w:val="007C57D5"/>
    <w:rsid w:val="007D2C72"/>
    <w:rsid w:val="00812938"/>
    <w:rsid w:val="008932DB"/>
    <w:rsid w:val="0089567B"/>
    <w:rsid w:val="00955AEA"/>
    <w:rsid w:val="009606BB"/>
    <w:rsid w:val="00970CA5"/>
    <w:rsid w:val="009E727B"/>
    <w:rsid w:val="00A63252"/>
    <w:rsid w:val="00AC5EBF"/>
    <w:rsid w:val="00AD4C0C"/>
    <w:rsid w:val="00B2144E"/>
    <w:rsid w:val="00B4265D"/>
    <w:rsid w:val="00B84A16"/>
    <w:rsid w:val="00B95C02"/>
    <w:rsid w:val="00C01A3E"/>
    <w:rsid w:val="00C14483"/>
    <w:rsid w:val="00C276DB"/>
    <w:rsid w:val="00C81FC7"/>
    <w:rsid w:val="00C86DFC"/>
    <w:rsid w:val="00C939D5"/>
    <w:rsid w:val="00DC5B75"/>
    <w:rsid w:val="00E31BEC"/>
    <w:rsid w:val="00E34542"/>
    <w:rsid w:val="00E37D47"/>
    <w:rsid w:val="00E8641D"/>
    <w:rsid w:val="00EB4007"/>
    <w:rsid w:val="00EC62D6"/>
    <w:rsid w:val="00EE1053"/>
    <w:rsid w:val="00EE7A01"/>
    <w:rsid w:val="00F02A5B"/>
    <w:rsid w:val="00F14C62"/>
    <w:rsid w:val="00F202F2"/>
    <w:rsid w:val="00F63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4D2E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color w:val="414042"/>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CE3"/>
    <w:pPr>
      <w:spacing w:after="80" w:line="288" w:lineRule="auto"/>
    </w:pPr>
    <w:rPr>
      <w:color w:val="auto"/>
      <w:sz w:val="20"/>
    </w:rPr>
  </w:style>
  <w:style w:type="paragraph" w:styleId="Heading1">
    <w:name w:val="heading 1"/>
    <w:basedOn w:val="Normal"/>
    <w:next w:val="Normal"/>
    <w:link w:val="Heading1Char"/>
    <w:uiPriority w:val="9"/>
    <w:qFormat/>
    <w:rsid w:val="006F4F7E"/>
    <w:pPr>
      <w:keepNext/>
      <w:keepLines/>
      <w:spacing w:before="140" w:after="320" w:line="264" w:lineRule="auto"/>
      <w:outlineLvl w:val="0"/>
    </w:pPr>
    <w:rPr>
      <w:rFonts w:asciiTheme="majorHAnsi" w:eastAsiaTheme="majorEastAsia" w:hAnsiTheme="majorHAnsi" w:cstheme="majorBidi"/>
      <w:bCs/>
      <w:color w:val="41748D" w:themeColor="accent5"/>
      <w:sz w:val="36"/>
      <w:szCs w:val="32"/>
    </w:rPr>
  </w:style>
  <w:style w:type="paragraph" w:styleId="Heading2">
    <w:name w:val="heading 2"/>
    <w:basedOn w:val="Normal"/>
    <w:next w:val="Normal"/>
    <w:link w:val="Heading2Char"/>
    <w:uiPriority w:val="9"/>
    <w:unhideWhenUsed/>
    <w:qFormat/>
    <w:rsid w:val="006F4F7E"/>
    <w:pPr>
      <w:keepNext/>
      <w:keepLines/>
      <w:spacing w:before="320" w:after="120"/>
      <w:outlineLvl w:val="1"/>
    </w:pPr>
    <w:rPr>
      <w:rFonts w:asciiTheme="majorHAnsi" w:eastAsiaTheme="majorEastAsia" w:hAnsiTheme="majorHAnsi" w:cstheme="majorBidi"/>
      <w:b/>
      <w:bCs/>
      <w:color w:val="41748D" w:themeColor="accent5"/>
      <w:sz w:val="26"/>
      <w:szCs w:val="26"/>
    </w:rPr>
  </w:style>
  <w:style w:type="paragraph" w:styleId="Heading3">
    <w:name w:val="heading 3"/>
    <w:basedOn w:val="Normal"/>
    <w:next w:val="Normal"/>
    <w:link w:val="Heading3Char"/>
    <w:uiPriority w:val="9"/>
    <w:unhideWhenUsed/>
    <w:qFormat/>
    <w:rsid w:val="006F4F7E"/>
    <w:pPr>
      <w:keepNext/>
      <w:keepLines/>
      <w:spacing w:before="300"/>
      <w:outlineLvl w:val="2"/>
    </w:pPr>
    <w:rPr>
      <w:rFonts w:asciiTheme="majorHAnsi" w:eastAsiaTheme="majorEastAsia" w:hAnsiTheme="majorHAnsi" w:cstheme="majorBidi"/>
      <w:bCs/>
      <w:color w:val="41748D" w:themeColor="accent5"/>
      <w:sz w:val="22"/>
    </w:rPr>
  </w:style>
  <w:style w:type="paragraph" w:styleId="Heading4">
    <w:name w:val="heading 4"/>
    <w:basedOn w:val="Normal"/>
    <w:next w:val="Normal"/>
    <w:link w:val="Heading4Char"/>
    <w:uiPriority w:val="9"/>
    <w:unhideWhenUsed/>
    <w:qFormat/>
    <w:rsid w:val="0009261C"/>
    <w:pPr>
      <w:keepNext/>
      <w:keepLines/>
      <w:spacing w:before="30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09261C"/>
    <w:pPr>
      <w:keepNext/>
      <w:keepLines/>
      <w:spacing w:before="300"/>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rsid w:val="0009261C"/>
    <w:pPr>
      <w:keepNext/>
      <w:keepLines/>
      <w:spacing w:before="200"/>
      <w:outlineLvl w:val="5"/>
    </w:pPr>
    <w:rPr>
      <w:rFonts w:asciiTheme="majorHAnsi" w:eastAsiaTheme="majorEastAsia" w:hAnsiTheme="majorHAnsi" w:cstheme="majorBidi"/>
      <w:i/>
      <w:iCs/>
      <w:color w:val="7A41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4F7E"/>
    <w:rPr>
      <w:rFonts w:asciiTheme="majorHAnsi" w:eastAsiaTheme="majorEastAsia" w:hAnsiTheme="majorHAnsi" w:cstheme="majorBidi"/>
      <w:bCs/>
      <w:color w:val="41748D" w:themeColor="accent5"/>
      <w:sz w:val="36"/>
      <w:szCs w:val="32"/>
    </w:rPr>
  </w:style>
  <w:style w:type="character" w:customStyle="1" w:styleId="Heading2Char">
    <w:name w:val="Heading 2 Char"/>
    <w:basedOn w:val="DefaultParagraphFont"/>
    <w:link w:val="Heading2"/>
    <w:uiPriority w:val="9"/>
    <w:rsid w:val="006F4F7E"/>
    <w:rPr>
      <w:rFonts w:asciiTheme="majorHAnsi" w:eastAsiaTheme="majorEastAsia" w:hAnsiTheme="majorHAnsi" w:cstheme="majorBidi"/>
      <w:b/>
      <w:bCs/>
      <w:color w:val="41748D" w:themeColor="accent5"/>
      <w:sz w:val="26"/>
      <w:szCs w:val="26"/>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4B2171"/>
    <w:pPr>
      <w:ind w:left="720"/>
      <w:contextualSpacing/>
    </w:pPr>
  </w:style>
  <w:style w:type="paragraph" w:styleId="Header">
    <w:name w:val="header"/>
    <w:basedOn w:val="Normal"/>
    <w:link w:val="HeaderChar"/>
    <w:uiPriority w:val="99"/>
    <w:unhideWhenUsed/>
    <w:rsid w:val="00E8641D"/>
    <w:pPr>
      <w:tabs>
        <w:tab w:val="center" w:pos="4320"/>
        <w:tab w:val="right" w:pos="8640"/>
      </w:tabs>
      <w:spacing w:line="240" w:lineRule="auto"/>
    </w:pPr>
  </w:style>
  <w:style w:type="character" w:customStyle="1" w:styleId="HeaderChar">
    <w:name w:val="Header Char"/>
    <w:basedOn w:val="DefaultParagraphFont"/>
    <w:link w:val="Header"/>
    <w:uiPriority w:val="99"/>
    <w:rsid w:val="00E8641D"/>
    <w:rPr>
      <w:color w:val="3D3935" w:themeColor="text1"/>
      <w:sz w:val="18"/>
    </w:rPr>
  </w:style>
  <w:style w:type="paragraph" w:styleId="Footer">
    <w:name w:val="footer"/>
    <w:basedOn w:val="Normal"/>
    <w:link w:val="FooterChar"/>
    <w:uiPriority w:val="99"/>
    <w:unhideWhenUsed/>
    <w:rsid w:val="00032CE3"/>
    <w:pPr>
      <w:tabs>
        <w:tab w:val="center" w:pos="4320"/>
        <w:tab w:val="right" w:pos="8640"/>
      </w:tabs>
      <w:spacing w:after="0"/>
    </w:pPr>
    <w:rPr>
      <w:sz w:val="16"/>
    </w:rPr>
  </w:style>
  <w:style w:type="character" w:customStyle="1" w:styleId="FooterChar">
    <w:name w:val="Footer Char"/>
    <w:basedOn w:val="DefaultParagraphFont"/>
    <w:link w:val="Footer"/>
    <w:uiPriority w:val="99"/>
    <w:rsid w:val="00032CE3"/>
    <w:rPr>
      <w:color w:val="auto"/>
      <w:sz w:val="16"/>
    </w:rPr>
  </w:style>
  <w:style w:type="character" w:styleId="Hyperlink">
    <w:name w:val="Hyperlink"/>
    <w:basedOn w:val="DefaultParagraphFont"/>
    <w:uiPriority w:val="99"/>
    <w:unhideWhenUsed/>
    <w:rsid w:val="006F4F7E"/>
    <w:rPr>
      <w:color w:val="41748D" w:themeColor="accent5"/>
      <w:u w:val="single"/>
    </w:rPr>
  </w:style>
  <w:style w:type="paragraph" w:styleId="BalloonText">
    <w:name w:val="Balloon Text"/>
    <w:basedOn w:val="Normal"/>
    <w:link w:val="BalloonTextChar"/>
    <w:uiPriority w:val="99"/>
    <w:semiHidden/>
    <w:unhideWhenUsed/>
    <w:rsid w:val="00DC5B75"/>
    <w:pPr>
      <w:spacing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DC5B75"/>
    <w:rPr>
      <w:rFonts w:ascii="Lucida Grande" w:hAnsi="Lucida Grande" w:cs="Lucida Grande"/>
      <w:color w:val="3D3935" w:themeColor="text1"/>
      <w:sz w:val="18"/>
      <w:szCs w:val="18"/>
    </w:rPr>
  </w:style>
  <w:style w:type="character" w:styleId="PageNumber">
    <w:name w:val="page number"/>
    <w:basedOn w:val="DefaultParagraphFont"/>
    <w:uiPriority w:val="99"/>
    <w:semiHidden/>
    <w:unhideWhenUsed/>
    <w:rsid w:val="00401E7C"/>
  </w:style>
  <w:style w:type="character" w:customStyle="1" w:styleId="Heading3Char">
    <w:name w:val="Heading 3 Char"/>
    <w:basedOn w:val="DefaultParagraphFont"/>
    <w:link w:val="Heading3"/>
    <w:uiPriority w:val="9"/>
    <w:rsid w:val="006F4F7E"/>
    <w:rPr>
      <w:rFonts w:asciiTheme="majorHAnsi" w:eastAsiaTheme="majorEastAsia" w:hAnsiTheme="majorHAnsi" w:cstheme="majorBidi"/>
      <w:bCs/>
      <w:color w:val="41748D" w:themeColor="accent5"/>
    </w:rPr>
  </w:style>
  <w:style w:type="character" w:customStyle="1" w:styleId="Heading4Char">
    <w:name w:val="Heading 4 Char"/>
    <w:basedOn w:val="DefaultParagraphFont"/>
    <w:link w:val="Heading4"/>
    <w:uiPriority w:val="9"/>
    <w:rsid w:val="0009261C"/>
    <w:rPr>
      <w:rFonts w:asciiTheme="majorHAnsi" w:eastAsiaTheme="majorEastAsia" w:hAnsiTheme="majorHAnsi" w:cstheme="majorBidi"/>
      <w:b/>
      <w:bCs/>
      <w:iCs/>
      <w:color w:val="auto"/>
      <w:sz w:val="20"/>
    </w:rPr>
  </w:style>
  <w:style w:type="character" w:customStyle="1" w:styleId="Heading5Char">
    <w:name w:val="Heading 5 Char"/>
    <w:basedOn w:val="DefaultParagraphFont"/>
    <w:link w:val="Heading5"/>
    <w:uiPriority w:val="9"/>
    <w:rsid w:val="0009261C"/>
    <w:rPr>
      <w:rFonts w:asciiTheme="majorHAnsi" w:eastAsiaTheme="majorEastAsia" w:hAnsiTheme="majorHAnsi" w:cstheme="majorBidi"/>
      <w:i/>
      <w:color w:val="auto"/>
      <w:sz w:val="20"/>
    </w:rPr>
  </w:style>
  <w:style w:type="character" w:customStyle="1" w:styleId="Heading6Char">
    <w:name w:val="Heading 6 Char"/>
    <w:basedOn w:val="DefaultParagraphFont"/>
    <w:link w:val="Heading6"/>
    <w:uiPriority w:val="9"/>
    <w:semiHidden/>
    <w:rsid w:val="0009261C"/>
    <w:rPr>
      <w:rFonts w:asciiTheme="majorHAnsi" w:eastAsiaTheme="majorEastAsia" w:hAnsiTheme="majorHAnsi" w:cstheme="majorBidi"/>
      <w:i/>
      <w:iCs/>
      <w:color w:val="7A4100" w:themeColor="accent1" w:themeShade="7F"/>
      <w:sz w:val="20"/>
    </w:rPr>
  </w:style>
  <w:style w:type="paragraph" w:styleId="Quote">
    <w:name w:val="Quote"/>
    <w:basedOn w:val="Normal"/>
    <w:next w:val="Normal"/>
    <w:link w:val="QuoteChar"/>
    <w:uiPriority w:val="29"/>
    <w:qFormat/>
    <w:rsid w:val="006F4F7E"/>
    <w:pPr>
      <w:pBdr>
        <w:top w:val="single" w:sz="8" w:space="10" w:color="D5E4EB" w:themeColor="accent5" w:themeTint="33"/>
        <w:bottom w:val="single" w:sz="8" w:space="10" w:color="D5E4EB" w:themeColor="accent5" w:themeTint="33"/>
      </w:pBdr>
      <w:spacing w:before="400" w:after="400"/>
    </w:pPr>
    <w:rPr>
      <w:i/>
      <w:iCs/>
      <w:color w:val="41748D" w:themeColor="accent5"/>
    </w:rPr>
  </w:style>
  <w:style w:type="character" w:customStyle="1" w:styleId="QuoteChar">
    <w:name w:val="Quote Char"/>
    <w:basedOn w:val="DefaultParagraphFont"/>
    <w:link w:val="Quote"/>
    <w:uiPriority w:val="29"/>
    <w:rsid w:val="006F4F7E"/>
    <w:rPr>
      <w:i/>
      <w:iCs/>
      <w:color w:val="41748D" w:themeColor="accent5"/>
      <w:sz w:val="20"/>
    </w:rPr>
  </w:style>
  <w:style w:type="character" w:styleId="FollowedHyperlink">
    <w:name w:val="FollowedHyperlink"/>
    <w:basedOn w:val="DefaultParagraphFont"/>
    <w:uiPriority w:val="99"/>
    <w:semiHidden/>
    <w:unhideWhenUsed/>
    <w:rsid w:val="00306851"/>
    <w:rPr>
      <w:color w:val="41748D" w:themeColor="accent5"/>
      <w:u w:val="single"/>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locked/>
    <w:rsid w:val="00020070"/>
    <w:rPr>
      <w:color w:val="auto"/>
      <w:sz w:val="20"/>
    </w:rPr>
  </w:style>
  <w:style w:type="character" w:styleId="CommentReference">
    <w:name w:val="annotation reference"/>
    <w:basedOn w:val="DefaultParagraphFont"/>
    <w:uiPriority w:val="99"/>
    <w:semiHidden/>
    <w:unhideWhenUsed/>
    <w:rsid w:val="005330F6"/>
    <w:rPr>
      <w:sz w:val="16"/>
      <w:szCs w:val="16"/>
    </w:rPr>
  </w:style>
  <w:style w:type="paragraph" w:styleId="CommentText">
    <w:name w:val="annotation text"/>
    <w:basedOn w:val="Normal"/>
    <w:link w:val="CommentTextChar"/>
    <w:uiPriority w:val="99"/>
    <w:semiHidden/>
    <w:unhideWhenUsed/>
    <w:rsid w:val="005330F6"/>
    <w:pPr>
      <w:spacing w:line="240" w:lineRule="auto"/>
    </w:pPr>
    <w:rPr>
      <w:szCs w:val="20"/>
    </w:rPr>
  </w:style>
  <w:style w:type="character" w:customStyle="1" w:styleId="CommentTextChar">
    <w:name w:val="Comment Text Char"/>
    <w:basedOn w:val="DefaultParagraphFont"/>
    <w:link w:val="CommentText"/>
    <w:uiPriority w:val="99"/>
    <w:semiHidden/>
    <w:rsid w:val="005330F6"/>
    <w:rPr>
      <w:color w:val="auto"/>
      <w:sz w:val="20"/>
      <w:szCs w:val="20"/>
    </w:rPr>
  </w:style>
  <w:style w:type="paragraph" w:styleId="CommentSubject">
    <w:name w:val="annotation subject"/>
    <w:basedOn w:val="CommentText"/>
    <w:next w:val="CommentText"/>
    <w:link w:val="CommentSubjectChar"/>
    <w:uiPriority w:val="99"/>
    <w:semiHidden/>
    <w:unhideWhenUsed/>
    <w:rsid w:val="005330F6"/>
    <w:rPr>
      <w:b/>
      <w:bCs/>
    </w:rPr>
  </w:style>
  <w:style w:type="character" w:customStyle="1" w:styleId="CommentSubjectChar">
    <w:name w:val="Comment Subject Char"/>
    <w:basedOn w:val="CommentTextChar"/>
    <w:link w:val="CommentSubject"/>
    <w:uiPriority w:val="99"/>
    <w:semiHidden/>
    <w:rsid w:val="005330F6"/>
    <w:rPr>
      <w:b/>
      <w:bCs/>
      <w:color w:val="auto"/>
      <w:sz w:val="20"/>
      <w:szCs w:val="20"/>
    </w:rPr>
  </w:style>
  <w:style w:type="paragraph" w:styleId="Revision">
    <w:name w:val="Revision"/>
    <w:hidden/>
    <w:uiPriority w:val="99"/>
    <w:semiHidden/>
    <w:rsid w:val="00EE1053"/>
    <w:rPr>
      <w:color w:val="auto"/>
      <w:sz w:val="20"/>
    </w:rPr>
  </w:style>
  <w:style w:type="paragraph" w:styleId="FootnoteText">
    <w:name w:val="footnote text"/>
    <w:basedOn w:val="Normal"/>
    <w:link w:val="FootnoteTextChar"/>
    <w:uiPriority w:val="99"/>
    <w:semiHidden/>
    <w:unhideWhenUsed/>
    <w:rsid w:val="008932DB"/>
    <w:pPr>
      <w:spacing w:after="0" w:line="240" w:lineRule="auto"/>
    </w:pPr>
    <w:rPr>
      <w:szCs w:val="20"/>
    </w:rPr>
  </w:style>
  <w:style w:type="character" w:customStyle="1" w:styleId="FootnoteTextChar">
    <w:name w:val="Footnote Text Char"/>
    <w:basedOn w:val="DefaultParagraphFont"/>
    <w:link w:val="FootnoteText"/>
    <w:uiPriority w:val="99"/>
    <w:semiHidden/>
    <w:rsid w:val="008932DB"/>
    <w:rPr>
      <w:color w:val="auto"/>
      <w:sz w:val="20"/>
      <w:szCs w:val="20"/>
    </w:rPr>
  </w:style>
  <w:style w:type="character" w:styleId="FootnoteReference">
    <w:name w:val="footnote reference"/>
    <w:basedOn w:val="DefaultParagraphFont"/>
    <w:uiPriority w:val="99"/>
    <w:semiHidden/>
    <w:unhideWhenUsed/>
    <w:rsid w:val="00893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5704">
      <w:bodyDiv w:val="1"/>
      <w:marLeft w:val="0"/>
      <w:marRight w:val="0"/>
      <w:marTop w:val="0"/>
      <w:marBottom w:val="0"/>
      <w:divBdr>
        <w:top w:val="none" w:sz="0" w:space="0" w:color="auto"/>
        <w:left w:val="none" w:sz="0" w:space="0" w:color="auto"/>
        <w:bottom w:val="none" w:sz="0" w:space="0" w:color="auto"/>
        <w:right w:val="none" w:sz="0" w:space="0" w:color="auto"/>
      </w:divBdr>
    </w:div>
    <w:div w:id="158467015">
      <w:bodyDiv w:val="1"/>
      <w:marLeft w:val="0"/>
      <w:marRight w:val="0"/>
      <w:marTop w:val="0"/>
      <w:marBottom w:val="0"/>
      <w:divBdr>
        <w:top w:val="none" w:sz="0" w:space="0" w:color="auto"/>
        <w:left w:val="none" w:sz="0" w:space="0" w:color="auto"/>
        <w:bottom w:val="none" w:sz="0" w:space="0" w:color="auto"/>
        <w:right w:val="none" w:sz="0" w:space="0" w:color="auto"/>
      </w:divBdr>
    </w:div>
    <w:div w:id="215816624">
      <w:bodyDiv w:val="1"/>
      <w:marLeft w:val="0"/>
      <w:marRight w:val="0"/>
      <w:marTop w:val="0"/>
      <w:marBottom w:val="0"/>
      <w:divBdr>
        <w:top w:val="none" w:sz="0" w:space="0" w:color="auto"/>
        <w:left w:val="none" w:sz="0" w:space="0" w:color="auto"/>
        <w:bottom w:val="none" w:sz="0" w:space="0" w:color="auto"/>
        <w:right w:val="none" w:sz="0" w:space="0" w:color="auto"/>
      </w:divBdr>
    </w:div>
    <w:div w:id="2018117994">
      <w:bodyDiv w:val="1"/>
      <w:marLeft w:val="0"/>
      <w:marRight w:val="0"/>
      <w:marTop w:val="0"/>
      <w:marBottom w:val="0"/>
      <w:divBdr>
        <w:top w:val="none" w:sz="0" w:space="0" w:color="auto"/>
        <w:left w:val="none" w:sz="0" w:space="0" w:color="auto"/>
        <w:bottom w:val="none" w:sz="0" w:space="0" w:color="auto"/>
        <w:right w:val="none" w:sz="0" w:space="0" w:color="auto"/>
      </w:divBdr>
      <w:divsChild>
        <w:div w:id="1383284340">
          <w:marLeft w:val="0"/>
          <w:marRight w:val="0"/>
          <w:marTop w:val="0"/>
          <w:marBottom w:val="0"/>
          <w:divBdr>
            <w:top w:val="none" w:sz="0" w:space="0" w:color="auto"/>
            <w:left w:val="none" w:sz="0" w:space="0" w:color="auto"/>
            <w:bottom w:val="none" w:sz="0" w:space="0" w:color="auto"/>
            <w:right w:val="none" w:sz="0" w:space="0" w:color="auto"/>
          </w:divBdr>
          <w:divsChild>
            <w:div w:id="602686998">
              <w:marLeft w:val="0"/>
              <w:marRight w:val="0"/>
              <w:marTop w:val="0"/>
              <w:marBottom w:val="0"/>
              <w:divBdr>
                <w:top w:val="none" w:sz="0" w:space="0" w:color="auto"/>
                <w:left w:val="none" w:sz="0" w:space="0" w:color="auto"/>
                <w:bottom w:val="none" w:sz="0" w:space="0" w:color="auto"/>
                <w:right w:val="none" w:sz="0" w:space="0" w:color="auto"/>
              </w:divBdr>
              <w:divsChild>
                <w:div w:id="11634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ATC_AusUnlimited">
  <a:themeElements>
    <a:clrScheme name="Custom 1">
      <a:dk1>
        <a:srgbClr val="3D3935"/>
      </a:dk1>
      <a:lt1>
        <a:sysClr val="window" lastClr="FFFFFF"/>
      </a:lt1>
      <a:dk2>
        <a:srgbClr val="3D3935"/>
      </a:dk2>
      <a:lt2>
        <a:srgbClr val="D7D2CB"/>
      </a:lt2>
      <a:accent1>
        <a:srgbClr val="F58400"/>
      </a:accent1>
      <a:accent2>
        <a:srgbClr val="FFAB00"/>
      </a:accent2>
      <a:accent3>
        <a:srgbClr val="E35205"/>
      </a:accent3>
      <a:accent4>
        <a:srgbClr val="582D40"/>
      </a:accent4>
      <a:accent5>
        <a:srgbClr val="41748D"/>
      </a:accent5>
      <a:accent6>
        <a:srgbClr val="D7D2CB"/>
      </a:accent6>
      <a:hlink>
        <a:srgbClr val="F58400"/>
      </a:hlink>
      <a:folHlink>
        <a:srgbClr val="F584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76ED87E499D74F957EA98E38249353" ma:contentTypeVersion="1" ma:contentTypeDescription="Create a new document." ma:contentTypeScope="" ma:versionID="c7fba12bb51fc3be4f6d0de24922d2b8">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6EBE1-842F-4B23-9B2F-E3318D3B0ED5}">
  <ds:schemaRefs>
    <ds:schemaRef ds:uri="http://schemas.microsoft.com/sharepoint/v3/contenttype/forms"/>
  </ds:schemaRefs>
</ds:datastoreItem>
</file>

<file path=customXml/itemProps2.xml><?xml version="1.0" encoding="utf-8"?>
<ds:datastoreItem xmlns:ds="http://schemas.openxmlformats.org/officeDocument/2006/customXml" ds:itemID="{04FBD8CC-E60B-4ACF-BDB8-CAC2584BFEA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1567B8B-C009-4726-B6CD-E526AF2B5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CA55A-5971-41CF-8BD8-45E411CE6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2016-12-06T23:42:00Z</dcterms:created>
  <dcterms:modified xsi:type="dcterms:W3CDTF">2016-12-06T23:45:00Z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0x0101000A76ED87E499D74F957EA98E38249353</vt:lpwstr>
  </property>
  <property fmtid="{D5CDD505-2E9C-101B-9397-08002B2CF9AE}" pid="3" name="TemplateUrl">
    <vt:lpwstr/>
  </property>
  <property fmtid="{D5CDD505-2E9C-101B-9397-08002B2CF9AE}" pid="4" name="Order">
    <vt:r8>6700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itusGUID">
    <vt:lpwstr>32e58ddd-2164-4603-bc2e-ada793b3edb6</vt:lpwstr>
  </property>
  <property fmtid="{D5CDD505-2E9C-101B-9397-08002B2CF9AE}" pid="10" name="SEC">
    <vt:lpwstr>UNCLASSIFIED</vt:lpwstr>
  </property>
  <property fmtid="{D5CDD505-2E9C-101B-9397-08002B2CF9AE}" pid="11" name="DLM">
    <vt:lpwstr>No DLM</vt:lpwstr>
  </property>
</Properties>
</file>