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5A5035">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A15CC5" w:rsidRDefault="00985C65" w:rsidP="00211229">
      <w:pPr>
        <w:ind w:right="-113" w:firstLine="0"/>
      </w:pPr>
      <w:r w:rsidRPr="00A15CC5">
        <w:t>8 March 2018</w:t>
      </w:r>
    </w:p>
    <w:p w14:paraId="1F8D8370" w14:textId="77777777" w:rsidR="0027747E" w:rsidRDefault="0027747E" w:rsidP="0027747E">
      <w:pPr>
        <w:spacing w:after="0"/>
        <w:ind w:right="-113" w:firstLine="0"/>
      </w:pPr>
      <w:r>
        <w:t>His Excellency</w:t>
      </w:r>
    </w:p>
    <w:p w14:paraId="12F82659" w14:textId="77777777" w:rsidR="0027747E" w:rsidRDefault="0027747E" w:rsidP="0027747E">
      <w:pPr>
        <w:spacing w:after="0"/>
        <w:ind w:right="-113" w:firstLine="0"/>
      </w:pPr>
      <w:r>
        <w:t>Mr. Tran Tuan Anh</w:t>
      </w:r>
    </w:p>
    <w:p w14:paraId="17312F0A" w14:textId="77777777" w:rsidR="0027747E" w:rsidRDefault="0027747E" w:rsidP="0027747E">
      <w:pPr>
        <w:spacing w:after="0"/>
        <w:ind w:right="-113" w:firstLine="0"/>
      </w:pPr>
      <w:r>
        <w:t xml:space="preserve">Minister of Industry and Trade </w:t>
      </w:r>
    </w:p>
    <w:p w14:paraId="6854057A" w14:textId="54E661E8" w:rsidR="00985C65" w:rsidRPr="00A15CC5" w:rsidRDefault="0027747E" w:rsidP="005A5035">
      <w:pPr>
        <w:spacing w:after="360"/>
        <w:ind w:right="-113" w:firstLine="0"/>
      </w:pPr>
      <w:r>
        <w:t>Socialist Republic of Viet Nam</w:t>
      </w:r>
    </w:p>
    <w:p w14:paraId="7A630D75" w14:textId="77777777" w:rsidR="00985C65" w:rsidRPr="00A15CC5" w:rsidRDefault="00985C65" w:rsidP="0086284F">
      <w:pPr>
        <w:ind w:firstLine="0"/>
        <w:jc w:val="left"/>
      </w:pPr>
      <w:r w:rsidRPr="00A15CC5">
        <w:t>Dear Minister</w:t>
      </w:r>
    </w:p>
    <w:p w14:paraId="6D40E4B5" w14:textId="3C68B738" w:rsidR="00211229" w:rsidRDefault="00211229" w:rsidP="0086284F">
      <w:pPr>
        <w:ind w:firstLine="0"/>
        <w:jc w:val="left"/>
      </w:pPr>
      <w:r>
        <w:t xml:space="preserve">I </w:t>
      </w:r>
      <w:r w:rsidR="00476D5F">
        <w:t>am pleased to acknowledge your letter of 8 March 2018, which reads as follows:</w:t>
      </w:r>
    </w:p>
    <w:p w14:paraId="4100066C" w14:textId="79A8B2A2" w:rsidR="0033328A" w:rsidRDefault="00B9361B" w:rsidP="0033328A">
      <w:pPr>
        <w:ind w:left="567" w:firstLine="0"/>
        <w:jc w:val="left"/>
      </w:pPr>
      <w:r>
        <w:t>“</w:t>
      </w:r>
      <w:r w:rsidR="0033328A">
        <w:t xml:space="preserve">In connection with the signing on this date of the </w:t>
      </w:r>
      <w:r w:rsidR="0033328A" w:rsidRPr="0033328A">
        <w:rPr>
          <w:i/>
          <w:iCs/>
        </w:rPr>
        <w:t>Comprehensive and Progressive Agreement for Trans-Pacific Partnership</w:t>
      </w:r>
      <w:r w:rsidR="0033328A">
        <w:t xml:space="preserve"> (the </w:t>
      </w:r>
      <w:r>
        <w:t>“</w:t>
      </w:r>
      <w:r w:rsidR="0033328A">
        <w:t>Agreement</w:t>
      </w:r>
      <w:r>
        <w:t>”</w:t>
      </w:r>
      <w:r w:rsidR="0033328A">
        <w:t>), I have the honour to confirm the following agreement reached between the Government of the Socialist Republic of Viet Nam (</w:t>
      </w:r>
      <w:r>
        <w:t>“</w:t>
      </w:r>
      <w:r w:rsidR="0033328A">
        <w:t>Viet Nam</w:t>
      </w:r>
      <w:r>
        <w:t>”</w:t>
      </w:r>
      <w:r w:rsidR="0033328A">
        <w:t>) and the Government of Australia:</w:t>
      </w:r>
    </w:p>
    <w:p w14:paraId="4C619A31" w14:textId="59DFCD70" w:rsidR="0033328A" w:rsidRDefault="0033328A" w:rsidP="0033328A">
      <w:pPr>
        <w:ind w:left="567" w:firstLine="0"/>
        <w:jc w:val="left"/>
      </w:pPr>
      <w:r>
        <w:t>Nothing in Section D (Electronic Payment Card Services) of Annex 11-B (Specific Commitments) to Chapter 11 (Financial Services) of the Agreement restricts the right of Viet Nam to adopt or maintain measures that condition the cross-border supply of electronic payment services into Viet Nam by a service supplier of another Party on a requirement that such electronic payment services are processed through a national switching facility licensed by the State Bank of Viet Nam, and that facility is positioned between such supplier and financial institutions</w:t>
      </w:r>
      <w:r w:rsidR="005A5035">
        <w:rPr>
          <w:rStyle w:val="FootnoteReference"/>
        </w:rPr>
        <w:footnoteReference w:id="1"/>
      </w:r>
      <w:r>
        <w:t>/payment intermediaries in Viet Nam. Any such requirement shall:</w:t>
      </w:r>
    </w:p>
    <w:p w14:paraId="6128B8D0" w14:textId="77777777" w:rsidR="0033328A" w:rsidRDefault="0033328A" w:rsidP="005A5035">
      <w:pPr>
        <w:ind w:left="1134" w:hanging="425"/>
        <w:jc w:val="left"/>
      </w:pPr>
      <w:r>
        <w:t>(1)</w:t>
      </w:r>
      <w:r>
        <w:tab/>
        <w:t>not be used as a means of avoiding Viet Nam's obligations under Section D (Electronic Payment Card Services</w:t>
      </w:r>
      <w:proofErr w:type="gramStart"/>
      <w:r>
        <w:t>);</w:t>
      </w:r>
      <w:proofErr w:type="gramEnd"/>
    </w:p>
    <w:p w14:paraId="26D8E55D" w14:textId="77777777" w:rsidR="0033328A" w:rsidRDefault="0033328A" w:rsidP="005A5035">
      <w:pPr>
        <w:ind w:left="1134" w:hanging="425"/>
        <w:jc w:val="left"/>
      </w:pPr>
      <w:r>
        <w:t>(2)</w:t>
      </w:r>
      <w:r>
        <w:tab/>
        <w:t xml:space="preserve">not result in a competitive disadvantage to the service suppliers of another </w:t>
      </w:r>
      <w:proofErr w:type="gramStart"/>
      <w:r>
        <w:t>Party;</w:t>
      </w:r>
      <w:proofErr w:type="gramEnd"/>
    </w:p>
    <w:p w14:paraId="671BBFF0" w14:textId="77777777" w:rsidR="0033328A" w:rsidRDefault="0033328A" w:rsidP="005A5035">
      <w:pPr>
        <w:ind w:left="1134" w:hanging="425"/>
        <w:jc w:val="left"/>
      </w:pPr>
      <w:r>
        <w:t>(3)</w:t>
      </w:r>
      <w:r>
        <w:tab/>
        <w:t xml:space="preserve">ensure the security, </w:t>
      </w:r>
      <w:proofErr w:type="gramStart"/>
      <w:r>
        <w:t>speed</w:t>
      </w:r>
      <w:proofErr w:type="gramEnd"/>
      <w:r>
        <w:t xml:space="preserve"> or reliability of the services, and preserve the ability of service suppliers of another Party to innovate; and</w:t>
      </w:r>
    </w:p>
    <w:p w14:paraId="2E9B6B32" w14:textId="77777777" w:rsidR="0033328A" w:rsidRDefault="0033328A" w:rsidP="005A5035">
      <w:pPr>
        <w:ind w:left="1134" w:hanging="425"/>
        <w:jc w:val="left"/>
      </w:pPr>
      <w:r>
        <w:t>(4)</w:t>
      </w:r>
      <w:r>
        <w:tab/>
        <w:t>not impose unreasonable costs, directly or indirectly, on service suppliers of another Party.</w:t>
      </w:r>
    </w:p>
    <w:p w14:paraId="061E8011" w14:textId="1B889A4D" w:rsidR="00EE7049" w:rsidRPr="00A15CC5" w:rsidRDefault="0033328A" w:rsidP="0033328A">
      <w:pPr>
        <w:ind w:left="567" w:firstLine="0"/>
        <w:jc w:val="left"/>
      </w:pPr>
      <w:r>
        <w:t>If the national switching facility of Viet Nam and a supplier of another Party enter into an agreement or agreements for the processing of electronic payment transactions that set out standards for operation of that facility, compliance with the terms of the</w:t>
      </w:r>
    </w:p>
    <w:p w14:paraId="3C0AEDC3" w14:textId="29F5F468" w:rsidR="000566EF" w:rsidRDefault="0086284F" w:rsidP="000566EF">
      <w:pPr>
        <w:ind w:left="709" w:firstLine="0"/>
        <w:jc w:val="left"/>
      </w:pPr>
      <w:r>
        <w:rPr>
          <w:sz w:val="18"/>
          <w:szCs w:val="18"/>
        </w:rPr>
        <w:br w:type="page"/>
      </w:r>
      <w:r w:rsidR="000566EF">
        <w:lastRenderedPageBreak/>
        <w:t xml:space="preserve"> </w:t>
      </w:r>
    </w:p>
    <w:p w14:paraId="4BAE0958" w14:textId="77777777" w:rsidR="005A5035" w:rsidRDefault="005A5035" w:rsidP="005A5035">
      <w:pPr>
        <w:spacing w:before="840"/>
        <w:ind w:left="709" w:firstLine="0"/>
        <w:jc w:val="left"/>
      </w:pPr>
      <w:r>
        <w:t>agreement or agreements shall be deemed to satisfy Viet Nam's obligations under paragraphs (2), (3) and (4) with respect to that supplier.</w:t>
      </w:r>
    </w:p>
    <w:p w14:paraId="3CF4728D" w14:textId="5BDF7BD7" w:rsidR="005A5035" w:rsidRDefault="005A5035" w:rsidP="005A5035">
      <w:pPr>
        <w:ind w:left="709" w:firstLine="0"/>
        <w:jc w:val="left"/>
      </w:pPr>
      <w:r>
        <w:t xml:space="preserve">I have the further honour to propose that this letter and your letter of confirmation in reply shall constitute an agreement between our two Governments, which shall enter into force on the date of entry into force of the Agreement for both Viet Nam and </w:t>
      </w:r>
      <w:r w:rsidR="00ED10F5">
        <w:tab/>
      </w:r>
      <w:r>
        <w:t>Australia.</w:t>
      </w:r>
      <w:r w:rsidR="00B9361B">
        <w:t>”</w:t>
      </w:r>
    </w:p>
    <w:p w14:paraId="24863D7D" w14:textId="77777777" w:rsidR="005A5035" w:rsidRDefault="005A5035" w:rsidP="00ED10F5">
      <w:pPr>
        <w:ind w:right="-57" w:firstLine="0"/>
        <w:jc w:val="left"/>
      </w:pPr>
      <w:r>
        <w:t>I have the honour to confirm that the above reflects the agreement reached between our Governments, and that your letter and this letter in reply shall constitute an agreement between our two Governments, which shall enter into force on the date of entry into force of the Agreement for both Australia and Viet Nam.</w:t>
      </w:r>
    </w:p>
    <w:p w14:paraId="722B3BF7" w14:textId="110391C3" w:rsidR="005A5035" w:rsidRDefault="005A5035" w:rsidP="00ED10F5">
      <w:pPr>
        <w:ind w:firstLine="0"/>
        <w:jc w:val="left"/>
      </w:pPr>
      <w:r>
        <w:t>Yours sincere</w:t>
      </w:r>
      <w:r w:rsidR="00ED10F5">
        <w:t>ly</w:t>
      </w:r>
    </w:p>
    <w:p w14:paraId="0A404002" w14:textId="470ECA0C" w:rsidR="000566EF" w:rsidRDefault="000566EF" w:rsidP="00ED10F5">
      <w:pPr>
        <w:ind w:left="-1020" w:firstLine="0"/>
        <w:jc w:val="left"/>
      </w:pPr>
      <w:r>
        <w:rPr>
          <w:noProof/>
        </w:rPr>
        <w:drawing>
          <wp:inline distT="0" distB="0" distL="0" distR="0" wp14:anchorId="1D6A1ADC" wp14:editId="36F9317B">
            <wp:extent cx="3154018" cy="1264692"/>
            <wp:effectExtent l="0" t="0" r="8890" b="0"/>
            <wp:docPr id="26" name="Picture 26"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161934" cy="1267866"/>
                    </a:xfrm>
                    <a:prstGeom prst="rect">
                      <a:avLst/>
                    </a:prstGeom>
                  </pic:spPr>
                </pic:pic>
              </a:graphicData>
            </a:graphic>
          </wp:inline>
        </w:drawing>
      </w:r>
    </w:p>
    <w:p w14:paraId="05FEC781" w14:textId="3B5A1AF4" w:rsidR="000566EF" w:rsidRDefault="000566EF">
      <w:pPr>
        <w:spacing w:after="0"/>
        <w:ind w:firstLine="0"/>
        <w:jc w:val="left"/>
        <w:rPr>
          <w:sz w:val="18"/>
          <w:szCs w:val="18"/>
        </w:rPr>
      </w:pPr>
      <w:r>
        <w:rPr>
          <w:sz w:val="18"/>
          <w:szCs w:val="18"/>
        </w:rPr>
        <w:br w:type="page"/>
      </w:r>
    </w:p>
    <w:p w14:paraId="20B25DCC" w14:textId="77777777" w:rsidR="007D42B0" w:rsidRDefault="007D42B0" w:rsidP="00B74162">
      <w:pPr>
        <w:spacing w:before="240" w:after="480"/>
        <w:ind w:firstLine="0"/>
        <w:jc w:val="center"/>
        <w:rPr>
          <w:sz w:val="18"/>
          <w:szCs w:val="18"/>
        </w:rPr>
      </w:pPr>
    </w:p>
    <w:tbl>
      <w:tblPr>
        <w:tblStyle w:val="TableGrid"/>
        <w:tblW w:w="0" w:type="auto"/>
        <w:tblBorders>
          <w:top w:val="none" w:sz="0" w:space="0" w:color="auto"/>
          <w:left w:val="none" w:sz="0" w:space="0" w:color="auto"/>
          <w:bottom w:val="thinThickMediumGap" w:sz="24" w:space="0" w:color="FF0000"/>
          <w:right w:val="thinThickMediumGap" w:sz="24" w:space="0" w:color="FF0000"/>
          <w:insideH w:val="thinThickMediumGap" w:sz="24" w:space="0" w:color="FF0000"/>
          <w:insideV w:val="thinThickMediumGap" w:sz="24" w:space="0" w:color="FF0000"/>
        </w:tblBorders>
        <w:tblLook w:val="04A0" w:firstRow="1" w:lastRow="0" w:firstColumn="1" w:lastColumn="0" w:noHBand="0" w:noVBand="1"/>
      </w:tblPr>
      <w:tblGrid>
        <w:gridCol w:w="8954"/>
      </w:tblGrid>
      <w:tr w:rsidR="00043518" w14:paraId="3B23908D" w14:textId="77777777" w:rsidTr="007D42B0">
        <w:tc>
          <w:tcPr>
            <w:tcW w:w="9064" w:type="dxa"/>
            <w:tcBorders>
              <w:top w:val="thinThickMediumGap" w:sz="24" w:space="0" w:color="FF0000"/>
              <w:left w:val="thinThickMediumGap" w:sz="24" w:space="0" w:color="FF0000"/>
            </w:tcBorders>
            <w:tcMar>
              <w:top w:w="284" w:type="dxa"/>
              <w:left w:w="284" w:type="dxa"/>
              <w:bottom w:w="284" w:type="dxa"/>
              <w:right w:w="284" w:type="dxa"/>
            </w:tcMar>
          </w:tcPr>
          <w:p w14:paraId="4EFC4000" w14:textId="77777777" w:rsidR="00043518" w:rsidRPr="00ED10F5" w:rsidRDefault="00043518" w:rsidP="00ED10F5">
            <w:pPr>
              <w:spacing w:after="480"/>
              <w:ind w:firstLine="0"/>
              <w:jc w:val="right"/>
              <w:rPr>
                <w:sz w:val="21"/>
                <w:szCs w:val="21"/>
              </w:rPr>
            </w:pPr>
            <w:r w:rsidRPr="00ED10F5">
              <w:rPr>
                <w:sz w:val="21"/>
                <w:szCs w:val="21"/>
              </w:rPr>
              <w:t>8 March 2018</w:t>
            </w:r>
          </w:p>
          <w:p w14:paraId="3E302A19" w14:textId="77777777" w:rsidR="00043518" w:rsidRPr="00ED10F5" w:rsidRDefault="00043518" w:rsidP="00763E56">
            <w:pPr>
              <w:spacing w:after="0"/>
              <w:ind w:firstLine="0"/>
              <w:jc w:val="left"/>
              <w:rPr>
                <w:sz w:val="21"/>
                <w:szCs w:val="21"/>
              </w:rPr>
            </w:pPr>
            <w:r w:rsidRPr="00ED10F5">
              <w:rPr>
                <w:sz w:val="21"/>
                <w:szCs w:val="21"/>
              </w:rPr>
              <w:t xml:space="preserve">The Hon Steven </w:t>
            </w:r>
            <w:proofErr w:type="spellStart"/>
            <w:r w:rsidRPr="00ED10F5">
              <w:rPr>
                <w:sz w:val="21"/>
                <w:szCs w:val="21"/>
              </w:rPr>
              <w:t>Ciobo</w:t>
            </w:r>
            <w:proofErr w:type="spellEnd"/>
            <w:r w:rsidRPr="00ED10F5">
              <w:rPr>
                <w:sz w:val="21"/>
                <w:szCs w:val="21"/>
              </w:rPr>
              <w:t>, MP</w:t>
            </w:r>
          </w:p>
          <w:p w14:paraId="5AD4D193" w14:textId="77777777" w:rsidR="007D42B0" w:rsidRPr="00ED10F5" w:rsidRDefault="00043518" w:rsidP="00763E56">
            <w:pPr>
              <w:spacing w:after="0"/>
              <w:ind w:firstLine="0"/>
              <w:jc w:val="left"/>
              <w:rPr>
                <w:sz w:val="21"/>
                <w:szCs w:val="21"/>
              </w:rPr>
            </w:pPr>
            <w:r w:rsidRPr="00ED10F5">
              <w:rPr>
                <w:sz w:val="21"/>
                <w:szCs w:val="21"/>
              </w:rPr>
              <w:t xml:space="preserve">Minister for Trade, </w:t>
            </w:r>
            <w:proofErr w:type="gramStart"/>
            <w:r w:rsidRPr="00ED10F5">
              <w:rPr>
                <w:sz w:val="21"/>
                <w:szCs w:val="21"/>
              </w:rPr>
              <w:t>Tourism</w:t>
            </w:r>
            <w:proofErr w:type="gramEnd"/>
            <w:r w:rsidRPr="00ED10F5">
              <w:rPr>
                <w:sz w:val="21"/>
                <w:szCs w:val="21"/>
              </w:rPr>
              <w:t xml:space="preserve"> and Investment </w:t>
            </w:r>
          </w:p>
          <w:p w14:paraId="4D32B0CD" w14:textId="28C2F8F0" w:rsidR="00043518" w:rsidRPr="00ED10F5" w:rsidRDefault="00043518" w:rsidP="00211229">
            <w:pPr>
              <w:spacing w:after="360"/>
              <w:ind w:firstLine="0"/>
              <w:jc w:val="left"/>
              <w:rPr>
                <w:sz w:val="21"/>
                <w:szCs w:val="21"/>
              </w:rPr>
            </w:pPr>
            <w:r w:rsidRPr="00ED10F5">
              <w:rPr>
                <w:sz w:val="21"/>
                <w:szCs w:val="21"/>
              </w:rPr>
              <w:t>Australi</w:t>
            </w:r>
            <w:r w:rsidR="000E3D84" w:rsidRPr="00ED10F5">
              <w:rPr>
                <w:sz w:val="21"/>
                <w:szCs w:val="21"/>
              </w:rPr>
              <w:t>a</w:t>
            </w:r>
          </w:p>
          <w:p w14:paraId="51AE0B4B" w14:textId="09FD7EFA" w:rsidR="00763E56" w:rsidRPr="00ED10F5" w:rsidRDefault="00043518" w:rsidP="00211229">
            <w:pPr>
              <w:spacing w:after="360"/>
              <w:ind w:firstLine="0"/>
              <w:jc w:val="left"/>
              <w:rPr>
                <w:sz w:val="21"/>
                <w:szCs w:val="21"/>
              </w:rPr>
            </w:pPr>
            <w:r w:rsidRPr="00ED10F5">
              <w:rPr>
                <w:sz w:val="21"/>
                <w:szCs w:val="21"/>
              </w:rPr>
              <w:t>Dear Minister,</w:t>
            </w:r>
          </w:p>
          <w:p w14:paraId="34CC452D" w14:textId="471ED002" w:rsidR="00ED10F5" w:rsidRPr="00ED10F5" w:rsidRDefault="00ED10F5" w:rsidP="00ED10F5">
            <w:pPr>
              <w:ind w:firstLine="0"/>
              <w:rPr>
                <w:sz w:val="21"/>
                <w:szCs w:val="21"/>
              </w:rPr>
            </w:pPr>
            <w:r w:rsidRPr="00ED10F5">
              <w:rPr>
                <w:sz w:val="21"/>
                <w:szCs w:val="21"/>
              </w:rPr>
              <w:t xml:space="preserve">In connection with the signing on this date of the </w:t>
            </w:r>
            <w:r w:rsidRPr="00B9361B">
              <w:rPr>
                <w:i/>
                <w:iCs/>
                <w:sz w:val="21"/>
                <w:szCs w:val="21"/>
              </w:rPr>
              <w:t xml:space="preserve">Comprehensive and Progressive Agreement for Trans-Pacific </w:t>
            </w:r>
            <w:r w:rsidRPr="00ED10F5">
              <w:rPr>
                <w:sz w:val="21"/>
                <w:szCs w:val="21"/>
              </w:rPr>
              <w:t xml:space="preserve">Partnership (the </w:t>
            </w:r>
            <w:r w:rsidR="00B9361B">
              <w:rPr>
                <w:sz w:val="21"/>
                <w:szCs w:val="21"/>
              </w:rPr>
              <w:t>“</w:t>
            </w:r>
            <w:r w:rsidRPr="00ED10F5">
              <w:rPr>
                <w:sz w:val="21"/>
                <w:szCs w:val="21"/>
              </w:rPr>
              <w:t>Agreement''), I have the honour to confirm the following agreement reached between the Government of the Socialist Republic of Viet Nam (</w:t>
            </w:r>
            <w:r w:rsidR="00B9361B">
              <w:rPr>
                <w:sz w:val="21"/>
                <w:szCs w:val="21"/>
              </w:rPr>
              <w:t>“</w:t>
            </w:r>
            <w:r w:rsidRPr="00ED10F5">
              <w:rPr>
                <w:sz w:val="21"/>
                <w:szCs w:val="21"/>
              </w:rPr>
              <w:t>Viet Nam</w:t>
            </w:r>
            <w:r w:rsidR="00B9361B">
              <w:rPr>
                <w:sz w:val="21"/>
                <w:szCs w:val="21"/>
              </w:rPr>
              <w:t>”</w:t>
            </w:r>
            <w:r w:rsidRPr="00ED10F5">
              <w:rPr>
                <w:sz w:val="21"/>
                <w:szCs w:val="21"/>
              </w:rPr>
              <w:t>) and the Government of Australia:</w:t>
            </w:r>
          </w:p>
          <w:p w14:paraId="157D65FD" w14:textId="3FBD01BD" w:rsidR="00ED10F5" w:rsidRPr="00ED10F5" w:rsidRDefault="00ED10F5" w:rsidP="00B9361B">
            <w:pPr>
              <w:ind w:left="512" w:firstLine="0"/>
              <w:rPr>
                <w:sz w:val="21"/>
                <w:szCs w:val="21"/>
              </w:rPr>
            </w:pPr>
            <w:r w:rsidRPr="00ED10F5">
              <w:rPr>
                <w:sz w:val="21"/>
                <w:szCs w:val="21"/>
              </w:rPr>
              <w:t>Nothing in. Section D (Electronic Payment Card Services) of Annex 11-8 (Specific Commitments) to Chapter 11 (Financial Services) of the Agreement restricts the right of Viet Nam to adopt or maintain measures that condition the cross-border supply of electronic payment services into Viet Nam by a service supplier of another Party on a requirement that such electronic payment services are processed through a national switching facility licensed by the State Bank of Viet Nam, and that facility is positioned between such supplier and financial institutions</w:t>
            </w:r>
            <w:r w:rsidRPr="00ED10F5">
              <w:rPr>
                <w:sz w:val="21"/>
                <w:szCs w:val="21"/>
                <w:vertAlign w:val="superscript"/>
              </w:rPr>
              <w:t>1</w:t>
            </w:r>
            <w:r w:rsidRPr="00ED10F5">
              <w:rPr>
                <w:sz w:val="21"/>
                <w:szCs w:val="21"/>
              </w:rPr>
              <w:t>/payment intermediaries in Viet Nam. Any such requirement shall:</w:t>
            </w:r>
          </w:p>
          <w:p w14:paraId="4CAFAAB3" w14:textId="50F87C63" w:rsidR="00ED10F5" w:rsidRPr="00ED10F5" w:rsidRDefault="00ED10F5" w:rsidP="00B9361B">
            <w:pPr>
              <w:ind w:left="1362" w:hanging="425"/>
              <w:rPr>
                <w:sz w:val="21"/>
                <w:szCs w:val="21"/>
              </w:rPr>
            </w:pPr>
            <w:r w:rsidRPr="00ED10F5">
              <w:rPr>
                <w:sz w:val="21"/>
                <w:szCs w:val="21"/>
              </w:rPr>
              <w:t>(1)</w:t>
            </w:r>
            <w:r w:rsidRPr="00ED10F5">
              <w:rPr>
                <w:sz w:val="21"/>
                <w:szCs w:val="21"/>
              </w:rPr>
              <w:tab/>
              <w:t>not be used as a means of avoiding Viet Nam's obligations under Section D (Electronic Payment Card Services</w:t>
            </w:r>
            <w:proofErr w:type="gramStart"/>
            <w:r w:rsidRPr="00ED10F5">
              <w:rPr>
                <w:sz w:val="21"/>
                <w:szCs w:val="21"/>
              </w:rPr>
              <w:t>);</w:t>
            </w:r>
            <w:proofErr w:type="gramEnd"/>
          </w:p>
          <w:p w14:paraId="179F770F" w14:textId="67C8BBCD" w:rsidR="00ED10F5" w:rsidRPr="00ED10F5" w:rsidRDefault="00ED10F5" w:rsidP="00B9361B">
            <w:pPr>
              <w:ind w:left="1362" w:hanging="425"/>
              <w:rPr>
                <w:sz w:val="21"/>
                <w:szCs w:val="21"/>
              </w:rPr>
            </w:pPr>
            <w:r w:rsidRPr="00ED10F5">
              <w:rPr>
                <w:sz w:val="21"/>
                <w:szCs w:val="21"/>
              </w:rPr>
              <w:t>(2)</w:t>
            </w:r>
            <w:r w:rsidRPr="00ED10F5">
              <w:rPr>
                <w:sz w:val="21"/>
                <w:szCs w:val="21"/>
              </w:rPr>
              <w:tab/>
              <w:t xml:space="preserve">not result in a competitive disadvantage to the service suppliers of another </w:t>
            </w:r>
            <w:proofErr w:type="gramStart"/>
            <w:r w:rsidRPr="00ED10F5">
              <w:rPr>
                <w:sz w:val="21"/>
                <w:szCs w:val="21"/>
              </w:rPr>
              <w:t>Party;</w:t>
            </w:r>
            <w:proofErr w:type="gramEnd"/>
          </w:p>
          <w:p w14:paraId="370CD51B" w14:textId="1AD99F83" w:rsidR="00ED10F5" w:rsidRPr="00ED10F5" w:rsidRDefault="00ED10F5" w:rsidP="00B9361B">
            <w:pPr>
              <w:ind w:left="1362" w:hanging="425"/>
              <w:rPr>
                <w:sz w:val="21"/>
                <w:szCs w:val="21"/>
              </w:rPr>
            </w:pPr>
            <w:r w:rsidRPr="00ED10F5">
              <w:rPr>
                <w:sz w:val="21"/>
                <w:szCs w:val="21"/>
              </w:rPr>
              <w:t>(3)</w:t>
            </w:r>
            <w:r w:rsidRPr="00ED10F5">
              <w:rPr>
                <w:sz w:val="21"/>
                <w:szCs w:val="21"/>
              </w:rPr>
              <w:tab/>
              <w:t xml:space="preserve">ensure the security, </w:t>
            </w:r>
            <w:proofErr w:type="gramStart"/>
            <w:r w:rsidRPr="00ED10F5">
              <w:rPr>
                <w:sz w:val="21"/>
                <w:szCs w:val="21"/>
              </w:rPr>
              <w:t>speed</w:t>
            </w:r>
            <w:proofErr w:type="gramEnd"/>
            <w:r w:rsidRPr="00ED10F5">
              <w:rPr>
                <w:sz w:val="21"/>
                <w:szCs w:val="21"/>
              </w:rPr>
              <w:t xml:space="preserve"> or reliability of the services, and preserve the ability of service suppliers of another Party to innovate; and</w:t>
            </w:r>
          </w:p>
          <w:p w14:paraId="110DEF4C" w14:textId="29C9179E" w:rsidR="00ED10F5" w:rsidRPr="00ED10F5" w:rsidRDefault="00ED10F5" w:rsidP="00B9361B">
            <w:pPr>
              <w:ind w:left="1362" w:hanging="425"/>
              <w:rPr>
                <w:sz w:val="21"/>
                <w:szCs w:val="21"/>
              </w:rPr>
            </w:pPr>
            <w:r w:rsidRPr="00ED10F5">
              <w:rPr>
                <w:sz w:val="21"/>
                <w:szCs w:val="21"/>
              </w:rPr>
              <w:t>(4)</w:t>
            </w:r>
            <w:r w:rsidRPr="00ED10F5">
              <w:rPr>
                <w:sz w:val="21"/>
                <w:szCs w:val="21"/>
              </w:rPr>
              <w:tab/>
              <w:t>not impose unreasonable costs, directly or indirectly, on service suppliers of another Party.</w:t>
            </w:r>
          </w:p>
          <w:p w14:paraId="2111C51F" w14:textId="13F46DAA" w:rsidR="00ED10F5" w:rsidRPr="00ED10F5" w:rsidRDefault="00ED10F5" w:rsidP="00B9361B">
            <w:pPr>
              <w:ind w:left="512" w:firstLine="0"/>
              <w:rPr>
                <w:sz w:val="21"/>
                <w:szCs w:val="21"/>
              </w:rPr>
            </w:pPr>
            <w:r w:rsidRPr="00ED10F5">
              <w:rPr>
                <w:sz w:val="21"/>
                <w:szCs w:val="21"/>
              </w:rPr>
              <w:t xml:space="preserve">If the national switching facility of Viet Nam and a supplier of another Party enter into an agreement or agreements for the processing of electronic payment transactions that set out standards for operation of that facility, compliance with the terms of the agreement or agreements shall be deemed to satisfy Viet Nam's obligations under paragraphs (2), (3) and </w:t>
            </w:r>
            <w:r w:rsidR="00B9361B">
              <w:rPr>
                <w:sz w:val="21"/>
                <w:szCs w:val="21"/>
              </w:rPr>
              <w:br/>
            </w:r>
            <w:r w:rsidRPr="00ED10F5">
              <w:rPr>
                <w:sz w:val="21"/>
                <w:szCs w:val="21"/>
              </w:rPr>
              <w:t>(4) with respect to that supplier.</w:t>
            </w:r>
          </w:p>
          <w:p w14:paraId="02ED6221" w14:textId="77777777" w:rsidR="00ED10F5" w:rsidRPr="00ED10F5" w:rsidRDefault="00ED10F5" w:rsidP="00ED10F5">
            <w:pPr>
              <w:ind w:firstLine="0"/>
              <w:rPr>
                <w:sz w:val="21"/>
                <w:szCs w:val="21"/>
              </w:rPr>
            </w:pPr>
            <w:r w:rsidRPr="00ED10F5">
              <w:rPr>
                <w:sz w:val="21"/>
                <w:szCs w:val="21"/>
              </w:rPr>
              <w:t>I have the further honour to propose that this letter and your letter of confirmation in reply shall constitute an agreement between our two Governments, which shall enter into force on the date of entry into force of the Agreement for both Viet Nam and Australia.</w:t>
            </w:r>
          </w:p>
          <w:p w14:paraId="4E5CB0FA" w14:textId="3C8CDC54" w:rsidR="00ED10F5" w:rsidRPr="00ED10F5" w:rsidRDefault="00ED10F5" w:rsidP="00ED10F5">
            <w:pPr>
              <w:ind w:firstLine="0"/>
              <w:rPr>
                <w:sz w:val="21"/>
                <w:szCs w:val="21"/>
              </w:rPr>
            </w:pPr>
            <w:r w:rsidRPr="00ED10F5">
              <w:rPr>
                <w:sz w:val="21"/>
                <w:szCs w:val="21"/>
              </w:rPr>
              <w:t>Sincerely,</w:t>
            </w:r>
          </w:p>
          <w:p w14:paraId="022B3699" w14:textId="5134495A" w:rsidR="007D42B0" w:rsidRPr="00ED10F5" w:rsidRDefault="00B9361B" w:rsidP="00ED10F5">
            <w:pPr>
              <w:ind w:left="-476" w:firstLine="0"/>
              <w:rPr>
                <w:sz w:val="21"/>
                <w:szCs w:val="21"/>
              </w:rPr>
            </w:pPr>
            <w:r>
              <w:rPr>
                <w:noProof/>
                <w:sz w:val="21"/>
                <w:szCs w:val="21"/>
              </w:rPr>
              <w:drawing>
                <wp:inline distT="0" distB="0" distL="0" distR="0" wp14:anchorId="5DEED11E" wp14:editId="71E5B241">
                  <wp:extent cx="1962000" cy="529200"/>
                  <wp:effectExtent l="0" t="0" r="635" b="4445"/>
                  <wp:docPr id="1" name="Picture 1" descr="(Signature of Tran Tu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Tran Tuan Anh)"/>
                          <pic:cNvPicPr/>
                        </pic:nvPicPr>
                        <pic:blipFill>
                          <a:blip r:embed="rId10">
                            <a:extLst>
                              <a:ext uri="{28A0092B-C50C-407E-A947-70E740481C1C}">
                                <a14:useLocalDpi xmlns:a14="http://schemas.microsoft.com/office/drawing/2010/main" val="0"/>
                              </a:ext>
                            </a:extLst>
                          </a:blip>
                          <a:stretch>
                            <a:fillRect/>
                          </a:stretch>
                        </pic:blipFill>
                        <pic:spPr>
                          <a:xfrm>
                            <a:off x="0" y="0"/>
                            <a:ext cx="1962000" cy="529200"/>
                          </a:xfrm>
                          <a:prstGeom prst="rect">
                            <a:avLst/>
                          </a:prstGeom>
                        </pic:spPr>
                      </pic:pic>
                    </a:graphicData>
                  </a:graphic>
                </wp:inline>
              </w:drawing>
            </w:r>
          </w:p>
          <w:p w14:paraId="1831531A" w14:textId="231FC496" w:rsidR="00043518" w:rsidRDefault="00043518" w:rsidP="00763E56">
            <w:pPr>
              <w:ind w:firstLine="0"/>
              <w:jc w:val="left"/>
              <w:rPr>
                <w:sz w:val="21"/>
                <w:szCs w:val="21"/>
              </w:rPr>
            </w:pPr>
            <w:r w:rsidRPr="00ED10F5">
              <w:rPr>
                <w:sz w:val="21"/>
                <w:szCs w:val="21"/>
              </w:rPr>
              <w:t>Tran Tuan Anh</w:t>
            </w:r>
            <w:r w:rsidR="000E3D84" w:rsidRPr="00ED10F5">
              <w:rPr>
                <w:sz w:val="21"/>
                <w:szCs w:val="21"/>
              </w:rPr>
              <w:br/>
            </w:r>
            <w:r w:rsidRPr="00ED10F5">
              <w:rPr>
                <w:sz w:val="21"/>
                <w:szCs w:val="21"/>
              </w:rPr>
              <w:t>Minister of Industry and Trade</w:t>
            </w:r>
            <w:r w:rsidR="000E3D84" w:rsidRPr="00ED10F5">
              <w:rPr>
                <w:sz w:val="21"/>
                <w:szCs w:val="21"/>
              </w:rPr>
              <w:br/>
            </w:r>
            <w:r w:rsidRPr="00ED10F5">
              <w:rPr>
                <w:sz w:val="21"/>
                <w:szCs w:val="21"/>
              </w:rPr>
              <w:t>Socialist Republic of Viet Nam</w:t>
            </w:r>
          </w:p>
          <w:p w14:paraId="14C58051" w14:textId="775E8A59" w:rsidR="00B9361B" w:rsidRDefault="00B9361B" w:rsidP="00B9361B">
            <w:pPr>
              <w:spacing w:after="120"/>
              <w:ind w:firstLine="0"/>
              <w:jc w:val="left"/>
              <w:rPr>
                <w:sz w:val="21"/>
                <w:szCs w:val="21"/>
              </w:rPr>
            </w:pPr>
            <w:r>
              <w:rPr>
                <w:noProof/>
                <w:sz w:val="21"/>
                <w:szCs w:val="21"/>
              </w:rPr>
              <mc:AlternateContent>
                <mc:Choice Requires="wps">
                  <w:drawing>
                    <wp:inline distT="0" distB="0" distL="0" distR="0" wp14:anchorId="00EE747E" wp14:editId="74C4E6AF">
                      <wp:extent cx="1546412" cy="0"/>
                      <wp:effectExtent l="0" t="0" r="0" b="0"/>
                      <wp:docPr id="2" name="Straight Connector 2" descr="Black line"/>
                      <wp:cNvGraphicFramePr/>
                      <a:graphic xmlns:a="http://schemas.openxmlformats.org/drawingml/2006/main">
                        <a:graphicData uri="http://schemas.microsoft.com/office/word/2010/wordprocessingShape">
                          <wps:wsp>
                            <wps:cNvCnPr/>
                            <wps:spPr>
                              <a:xfrm>
                                <a:off x="0" y="0"/>
                                <a:ext cx="15464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3AA850" id="Straight Connector 2" o:spid="_x0000_s1026" alt="Black line" style="visibility:visible;mso-wrap-style:square;mso-left-percent:-10001;mso-top-percent:-10001;mso-position-horizontal:absolute;mso-position-horizontal-relative:char;mso-position-vertical:absolute;mso-position-vertical-relative:line;mso-left-percent:-10001;mso-top-percent:-10001" from="0,0" to="1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m/sQEAANQDAAAOAAAAZHJzL2Uyb0RvYy54bWysU01v2zAMvQ/YfxB0X2QHXT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" strokecolor="black [3213]">
                      <w10:anchorlock/>
                    </v:line>
                  </w:pict>
                </mc:Fallback>
              </mc:AlternateContent>
            </w:r>
          </w:p>
          <w:p w14:paraId="09B335CC" w14:textId="1BEC27DE" w:rsidR="00ED10F5" w:rsidRPr="00B9361B" w:rsidRDefault="00ED10F5" w:rsidP="00B9361B">
            <w:pPr>
              <w:spacing w:after="0"/>
              <w:ind w:firstLine="0"/>
              <w:jc w:val="left"/>
              <w:rPr>
                <w:sz w:val="21"/>
                <w:szCs w:val="21"/>
              </w:rPr>
            </w:pPr>
            <w:r w:rsidRPr="00B9361B">
              <w:rPr>
                <w:sz w:val="21"/>
                <w:szCs w:val="21"/>
                <w:vertAlign w:val="superscript"/>
              </w:rPr>
              <w:t>1</w:t>
            </w:r>
            <w:r w:rsidRPr="00B9361B">
              <w:rPr>
                <w:sz w:val="21"/>
                <w:szCs w:val="21"/>
              </w:rPr>
              <w:t xml:space="preserve"> For the purpose of this letter, financial institutions include foreign bank branches in Viet Nam.</w:t>
            </w:r>
          </w:p>
        </w:tc>
      </w:tr>
    </w:tbl>
    <w:p w14:paraId="7F1594FF" w14:textId="27451EAB" w:rsidR="0027747E" w:rsidRDefault="0027747E">
      <w:pPr>
        <w:spacing w:after="0"/>
        <w:ind w:firstLine="0"/>
        <w:jc w:val="left"/>
        <w:rPr>
          <w:sz w:val="18"/>
          <w:szCs w:val="18"/>
        </w:rPr>
      </w:pPr>
    </w:p>
    <w:sectPr w:rsidR="0027747E" w:rsidSect="00D113AC">
      <w:headerReference w:type="first" r:id="rId11"/>
      <w:footerReference w:type="first" r:id="rId12"/>
      <w:pgSz w:w="11910" w:h="16840" w:code="9"/>
      <w:pgMar w:top="567" w:right="1418" w:bottom="567" w:left="1418" w:header="567"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8D36" w14:textId="77777777" w:rsidR="004E16FA" w:rsidRDefault="004E16FA" w:rsidP="008343E4">
      <w:r>
        <w:separator/>
      </w:r>
    </w:p>
  </w:endnote>
  <w:endnote w:type="continuationSeparator" w:id="0">
    <w:p w14:paraId="75A356AF" w14:textId="77777777" w:rsidR="004E16FA" w:rsidRDefault="004E16FA"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78D" w14:textId="77777777" w:rsidR="005A5035" w:rsidRPr="00A15CC5" w:rsidRDefault="005A5035" w:rsidP="005A5035">
    <w:pPr>
      <w:spacing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7B9DA03D" w14:textId="0B31D7B8" w:rsidR="005A5035" w:rsidRPr="005A5035" w:rsidRDefault="005A5035" w:rsidP="005A5035">
    <w:pPr>
      <w:spacing w:after="60"/>
      <w:ind w:firstLine="0"/>
      <w:jc w:val="center"/>
      <w:rPr>
        <w:sz w:val="18"/>
        <w:szCs w:val="18"/>
      </w:rPr>
    </w:pPr>
    <w:r w:rsidRPr="00A15CC5">
      <w:rPr>
        <w:sz w:val="18"/>
        <w:szCs w:val="18"/>
      </w:rPr>
      <w:t>Telephone (02) 6277 7420   E-mail Trade.Minister@dfat.gov.au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48E7" w14:textId="77777777" w:rsidR="004E16FA" w:rsidRDefault="004E16FA" w:rsidP="009035ED">
      <w:pPr>
        <w:spacing w:after="0"/>
        <w:ind w:firstLine="0"/>
      </w:pPr>
      <w:r>
        <w:separator/>
      </w:r>
    </w:p>
  </w:footnote>
  <w:footnote w:type="continuationSeparator" w:id="0">
    <w:p w14:paraId="71FECF8D" w14:textId="77777777" w:rsidR="004E16FA" w:rsidRDefault="004E16FA" w:rsidP="008343E4">
      <w:r>
        <w:continuationSeparator/>
      </w:r>
    </w:p>
  </w:footnote>
  <w:footnote w:id="1">
    <w:p w14:paraId="79D916A7" w14:textId="25C2F76B" w:rsidR="005A5035" w:rsidRPr="005A5035" w:rsidRDefault="005A5035" w:rsidP="005A5035">
      <w:pPr>
        <w:pStyle w:val="FootnoteText"/>
        <w:ind w:firstLine="0"/>
        <w:rPr>
          <w:lang w:val="en-US"/>
        </w:rPr>
      </w:pPr>
      <w:r>
        <w:rPr>
          <w:rStyle w:val="FootnoteReference"/>
        </w:rPr>
        <w:footnoteRef/>
      </w:r>
      <w:r>
        <w:t xml:space="preserve"> </w:t>
      </w:r>
      <w:proofErr w:type="gramStart"/>
      <w:r w:rsidRPr="005A5035">
        <w:t>For the purpose of</w:t>
      </w:r>
      <w:proofErr w:type="gramEnd"/>
      <w:r w:rsidRPr="005A5035">
        <w:t xml:space="preserve"> this letter, financial institutions include foreign bank branches in Viet 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566EF"/>
    <w:rsid w:val="00096184"/>
    <w:rsid w:val="000B378E"/>
    <w:rsid w:val="000B3D3C"/>
    <w:rsid w:val="000B798A"/>
    <w:rsid w:val="000C6EAF"/>
    <w:rsid w:val="000E0519"/>
    <w:rsid w:val="000E3A06"/>
    <w:rsid w:val="000E3D84"/>
    <w:rsid w:val="001111BF"/>
    <w:rsid w:val="00116E51"/>
    <w:rsid w:val="00167D4C"/>
    <w:rsid w:val="001E0C23"/>
    <w:rsid w:val="00211229"/>
    <w:rsid w:val="00222ED2"/>
    <w:rsid w:val="002549DC"/>
    <w:rsid w:val="00254D95"/>
    <w:rsid w:val="0027747E"/>
    <w:rsid w:val="00297AD2"/>
    <w:rsid w:val="002B404D"/>
    <w:rsid w:val="002B7EF9"/>
    <w:rsid w:val="002C19F3"/>
    <w:rsid w:val="002C498A"/>
    <w:rsid w:val="002E2C0B"/>
    <w:rsid w:val="00301C65"/>
    <w:rsid w:val="00303913"/>
    <w:rsid w:val="00317354"/>
    <w:rsid w:val="0032168E"/>
    <w:rsid w:val="0033328A"/>
    <w:rsid w:val="003376AE"/>
    <w:rsid w:val="00360AC2"/>
    <w:rsid w:val="00381922"/>
    <w:rsid w:val="003A03B7"/>
    <w:rsid w:val="003A42E8"/>
    <w:rsid w:val="004016B6"/>
    <w:rsid w:val="00410445"/>
    <w:rsid w:val="0043510D"/>
    <w:rsid w:val="0045038C"/>
    <w:rsid w:val="00454E6C"/>
    <w:rsid w:val="00455C0C"/>
    <w:rsid w:val="0046437F"/>
    <w:rsid w:val="00473F0E"/>
    <w:rsid w:val="00476D5F"/>
    <w:rsid w:val="0049336A"/>
    <w:rsid w:val="004B3DE8"/>
    <w:rsid w:val="004D50F3"/>
    <w:rsid w:val="004E16FA"/>
    <w:rsid w:val="004E4CE2"/>
    <w:rsid w:val="004F47B1"/>
    <w:rsid w:val="00506E46"/>
    <w:rsid w:val="0051524E"/>
    <w:rsid w:val="00531131"/>
    <w:rsid w:val="005312F2"/>
    <w:rsid w:val="00532742"/>
    <w:rsid w:val="00542CCA"/>
    <w:rsid w:val="0055096D"/>
    <w:rsid w:val="00552D09"/>
    <w:rsid w:val="00556336"/>
    <w:rsid w:val="005A5035"/>
    <w:rsid w:val="005B7139"/>
    <w:rsid w:val="005C7056"/>
    <w:rsid w:val="005D33AB"/>
    <w:rsid w:val="005F1FCC"/>
    <w:rsid w:val="005F78C4"/>
    <w:rsid w:val="00604579"/>
    <w:rsid w:val="00625487"/>
    <w:rsid w:val="006375C4"/>
    <w:rsid w:val="0066044E"/>
    <w:rsid w:val="00665084"/>
    <w:rsid w:val="00697317"/>
    <w:rsid w:val="006A43E8"/>
    <w:rsid w:val="006C6FED"/>
    <w:rsid w:val="006D2014"/>
    <w:rsid w:val="006D4759"/>
    <w:rsid w:val="006F02C8"/>
    <w:rsid w:val="006F7160"/>
    <w:rsid w:val="00741225"/>
    <w:rsid w:val="00756ED0"/>
    <w:rsid w:val="00763E56"/>
    <w:rsid w:val="007A79DE"/>
    <w:rsid w:val="007D42B0"/>
    <w:rsid w:val="007F777F"/>
    <w:rsid w:val="0080461C"/>
    <w:rsid w:val="0081677E"/>
    <w:rsid w:val="0082720D"/>
    <w:rsid w:val="008343E4"/>
    <w:rsid w:val="00857CBA"/>
    <w:rsid w:val="00860A8C"/>
    <w:rsid w:val="0086284F"/>
    <w:rsid w:val="00874E6E"/>
    <w:rsid w:val="008D784E"/>
    <w:rsid w:val="009035ED"/>
    <w:rsid w:val="00921993"/>
    <w:rsid w:val="00933A67"/>
    <w:rsid w:val="00937AF6"/>
    <w:rsid w:val="00955A74"/>
    <w:rsid w:val="00971B8C"/>
    <w:rsid w:val="00984477"/>
    <w:rsid w:val="00985C65"/>
    <w:rsid w:val="0099387C"/>
    <w:rsid w:val="009A4584"/>
    <w:rsid w:val="009F10AB"/>
    <w:rsid w:val="00A0470C"/>
    <w:rsid w:val="00A06998"/>
    <w:rsid w:val="00A15221"/>
    <w:rsid w:val="00A15CC5"/>
    <w:rsid w:val="00A172F4"/>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5E2A"/>
    <w:rsid w:val="00B31A31"/>
    <w:rsid w:val="00B74162"/>
    <w:rsid w:val="00B9361B"/>
    <w:rsid w:val="00BB7129"/>
    <w:rsid w:val="00BD3938"/>
    <w:rsid w:val="00C02806"/>
    <w:rsid w:val="00C07241"/>
    <w:rsid w:val="00C4363E"/>
    <w:rsid w:val="00C735FD"/>
    <w:rsid w:val="00C80F37"/>
    <w:rsid w:val="00C819B9"/>
    <w:rsid w:val="00C95C81"/>
    <w:rsid w:val="00CA69D1"/>
    <w:rsid w:val="00CC2AF2"/>
    <w:rsid w:val="00CE2A8E"/>
    <w:rsid w:val="00CF798D"/>
    <w:rsid w:val="00D113AC"/>
    <w:rsid w:val="00D17244"/>
    <w:rsid w:val="00D65CFB"/>
    <w:rsid w:val="00D75F95"/>
    <w:rsid w:val="00D93FD9"/>
    <w:rsid w:val="00D96398"/>
    <w:rsid w:val="00DA5A79"/>
    <w:rsid w:val="00DA5BFA"/>
    <w:rsid w:val="00DD0C73"/>
    <w:rsid w:val="00DF50FF"/>
    <w:rsid w:val="00DF6F0F"/>
    <w:rsid w:val="00E24807"/>
    <w:rsid w:val="00E344AB"/>
    <w:rsid w:val="00E513D7"/>
    <w:rsid w:val="00E74936"/>
    <w:rsid w:val="00E8073E"/>
    <w:rsid w:val="00EB0D91"/>
    <w:rsid w:val="00ED0179"/>
    <w:rsid w:val="00ED10F5"/>
    <w:rsid w:val="00EE7049"/>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Viet Nam regarding disputes related to the Labour Chapter of the TPP</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Viet Nam regarding Electronic Payment Services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7</cp:revision>
  <cp:lastPrinted>2022-06-03T02:34:00Z</cp:lastPrinted>
  <dcterms:created xsi:type="dcterms:W3CDTF">2022-06-29T23:09:00Z</dcterms:created>
  <dcterms:modified xsi:type="dcterms:W3CDTF">2022-07-05T00:29:00Z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