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8D3B" w14:textId="77777777" w:rsidR="0086143F" w:rsidRPr="00A15CC5" w:rsidRDefault="0086143F" w:rsidP="0086143F">
      <w:pPr>
        <w:ind w:firstLine="0"/>
        <w:jc w:val="center"/>
      </w:pPr>
      <w:r w:rsidRPr="00A15CC5">
        <w:rPr>
          <w:noProof/>
        </w:rPr>
        <w:drawing>
          <wp:inline distT="0" distB="0" distL="0" distR="0" wp14:anchorId="0C141C7D" wp14:editId="7A9596D6">
            <wp:extent cx="1080000" cy="781200"/>
            <wp:effectExtent l="0" t="0" r="6350" b="0"/>
            <wp:docPr id="10" name="Picture 10"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81200"/>
                    </a:xfrm>
                    <a:prstGeom prst="rect">
                      <a:avLst/>
                    </a:prstGeom>
                  </pic:spPr>
                </pic:pic>
              </a:graphicData>
            </a:graphic>
          </wp:inline>
        </w:drawing>
      </w:r>
    </w:p>
    <w:p w14:paraId="3C36F836" w14:textId="77777777" w:rsidR="0086143F" w:rsidRPr="00A15CC5" w:rsidRDefault="0086143F" w:rsidP="0086143F">
      <w:pPr>
        <w:spacing w:after="120"/>
        <w:ind w:firstLine="0"/>
        <w:jc w:val="center"/>
        <w:rPr>
          <w:b/>
          <w:bCs/>
          <w:sz w:val="28"/>
          <w:szCs w:val="28"/>
        </w:rPr>
      </w:pPr>
      <w:r w:rsidRPr="00A15CC5">
        <w:rPr>
          <w:b/>
          <w:bCs/>
          <w:sz w:val="28"/>
          <w:szCs w:val="28"/>
        </w:rPr>
        <w:t>THE HON STEVEN CIOBO MP</w:t>
      </w:r>
    </w:p>
    <w:p w14:paraId="23DCF920" w14:textId="77777777" w:rsidR="0086143F" w:rsidRPr="00A15CC5" w:rsidRDefault="0086143F" w:rsidP="0086143F">
      <w:pPr>
        <w:ind w:firstLine="0"/>
        <w:jc w:val="center"/>
        <w:rPr>
          <w:rFonts w:eastAsiaTheme="minorHAnsi"/>
          <w:sz w:val="26"/>
          <w:szCs w:val="26"/>
        </w:rPr>
      </w:pPr>
      <w:r w:rsidRPr="00A15CC5">
        <w:rPr>
          <w:rFonts w:eastAsiaTheme="minorHAnsi"/>
          <w:sz w:val="26"/>
          <w:szCs w:val="26"/>
        </w:rPr>
        <w:t xml:space="preserve">Minister for Trade, </w:t>
      </w:r>
      <w:proofErr w:type="gramStart"/>
      <w:r w:rsidRPr="00A15CC5">
        <w:rPr>
          <w:rFonts w:eastAsiaTheme="minorHAnsi"/>
          <w:sz w:val="26"/>
          <w:szCs w:val="26"/>
        </w:rPr>
        <w:t>Tourism</w:t>
      </w:r>
      <w:proofErr w:type="gramEnd"/>
      <w:r w:rsidRPr="00A15CC5">
        <w:rPr>
          <w:rFonts w:eastAsiaTheme="minorHAnsi"/>
          <w:sz w:val="26"/>
          <w:szCs w:val="26"/>
        </w:rPr>
        <w:t xml:space="preserve"> and Investment</w:t>
      </w:r>
    </w:p>
    <w:p w14:paraId="6F4DFB5E" w14:textId="0FC19A1D" w:rsidR="0086143F" w:rsidRPr="00D96845" w:rsidRDefault="0086143F" w:rsidP="00041197">
      <w:pPr>
        <w:ind w:right="-57" w:firstLine="0"/>
        <w:jc w:val="left"/>
      </w:pPr>
      <w:bookmarkStart w:id="0" w:name="_Hlk107490171"/>
      <w:r w:rsidRPr="00D96845">
        <w:t>8 March 2018</w:t>
      </w:r>
    </w:p>
    <w:p w14:paraId="3CA5A1FE" w14:textId="77777777" w:rsidR="008361D5" w:rsidRDefault="008361D5" w:rsidP="008361D5">
      <w:pPr>
        <w:spacing w:after="0"/>
        <w:ind w:right="-57" w:firstLine="0"/>
        <w:jc w:val="left"/>
      </w:pPr>
      <w:r>
        <w:t>Hon David Parker</w:t>
      </w:r>
    </w:p>
    <w:p w14:paraId="3E4D7527" w14:textId="77777777" w:rsidR="008361D5" w:rsidRDefault="008361D5" w:rsidP="008361D5">
      <w:pPr>
        <w:spacing w:after="0"/>
        <w:ind w:right="-57" w:firstLine="0"/>
        <w:jc w:val="left"/>
      </w:pPr>
      <w:r>
        <w:t xml:space="preserve">Minister for Trade and Export Growth </w:t>
      </w:r>
    </w:p>
    <w:p w14:paraId="6AC0CEFF" w14:textId="5F897EE5" w:rsidR="0086143F" w:rsidRPr="00D96845" w:rsidRDefault="008361D5" w:rsidP="008361D5">
      <w:pPr>
        <w:spacing w:after="720"/>
        <w:ind w:right="-57" w:firstLine="0"/>
        <w:jc w:val="left"/>
      </w:pPr>
      <w:r w:rsidRPr="008361D5">
        <w:t>New Zealand</w:t>
      </w:r>
    </w:p>
    <w:p w14:paraId="22D6C7D2" w14:textId="45268019" w:rsidR="0086143F" w:rsidRPr="00D96845" w:rsidRDefault="0086143F" w:rsidP="008361D5">
      <w:pPr>
        <w:ind w:firstLine="0"/>
        <w:jc w:val="left"/>
      </w:pPr>
      <w:r w:rsidRPr="00D96845">
        <w:t xml:space="preserve">Dear </w:t>
      </w:r>
      <w:r w:rsidR="008361D5" w:rsidRPr="008361D5">
        <w:t>Minister</w:t>
      </w:r>
    </w:p>
    <w:bookmarkEnd w:id="0"/>
    <w:p w14:paraId="3ADB899F" w14:textId="1614130B" w:rsidR="008361D5" w:rsidRDefault="008361D5" w:rsidP="008361D5">
      <w:pPr>
        <w:ind w:firstLine="0"/>
        <w:jc w:val="left"/>
      </w:pPr>
      <w:r>
        <w:t>I have the honour of acknowledging receipt of your letter of 8 March 20</w:t>
      </w:r>
      <w:r w:rsidR="003922FD">
        <w:t>1</w:t>
      </w:r>
      <w:r>
        <w:t>8 which states as follows:</w:t>
      </w:r>
    </w:p>
    <w:p w14:paraId="6AD36DAD" w14:textId="7A73A90E" w:rsidR="008361D5" w:rsidRDefault="008361D5" w:rsidP="008361D5">
      <w:pPr>
        <w:ind w:left="170" w:firstLine="0"/>
        <w:jc w:val="left"/>
      </w:pPr>
      <w:r>
        <w:t>"In connection with the signing on this date of the Comprehensive and Progressive Agreement for Trans-Pacific Partnership (the "Agreement") and in the context of the Australia New Zealand Closer Economic Relations Trade Agreement ("CER") done at Canberra on 28 March 1983 and its related agreements and understandings, and in the context of the Agreement Establishing the ASEAN-Australia-New Zealand Free Trade Area done at Cha-am on 27 February 2009 (AANZFTA), and in the context of the Trans-Pacific Partnership Agreement signed in Auckland on 4 February 2016 (TPP), I have the honour to confirm the following agreement reached between the Government of Australia and the Government of New Zealand during the course of negotiations on the Agreement:</w:t>
      </w:r>
    </w:p>
    <w:p w14:paraId="06457BA7" w14:textId="42297DEA" w:rsidR="008361D5" w:rsidRDefault="008361D5" w:rsidP="009A17AA">
      <w:pPr>
        <w:ind w:left="709" w:right="113" w:hanging="539"/>
        <w:jc w:val="left"/>
      </w:pPr>
      <w:r>
        <w:t>1.</w:t>
      </w:r>
      <w:r>
        <w:tab/>
        <w:t>Nothing in the Agreement shall be construed to derogate from any rights or obligations of New Zealand or Australia under CER or AANZFTA.</w:t>
      </w:r>
    </w:p>
    <w:p w14:paraId="1038112D" w14:textId="4CD04F5A" w:rsidR="008361D5" w:rsidRDefault="008361D5" w:rsidP="009A17AA">
      <w:pPr>
        <w:ind w:left="709" w:right="113" w:hanging="539"/>
        <w:jc w:val="left"/>
      </w:pPr>
      <w:r>
        <w:t>2.</w:t>
      </w:r>
      <w:r>
        <w:tab/>
        <w:t>Chapter 6 (Trade Remedies) of the Agreement shall not create any rights or obligations between New Zealand and Australia.</w:t>
      </w:r>
    </w:p>
    <w:p w14:paraId="23193BE3" w14:textId="6E810543" w:rsidR="008361D5" w:rsidRDefault="008361D5" w:rsidP="009A17AA">
      <w:pPr>
        <w:ind w:left="709" w:right="113" w:hanging="539"/>
        <w:jc w:val="left"/>
      </w:pPr>
      <w:r>
        <w:t>3.</w:t>
      </w:r>
      <w:r>
        <w:tab/>
        <w:t>No investor of New Zealand shall have recourse to dispute settlement against Australia under Chapter 9, Section B (Investor-State Dispute Settlement) of the Agreement.</w:t>
      </w:r>
    </w:p>
    <w:p w14:paraId="222FB501" w14:textId="66B3C5D0" w:rsidR="008361D5" w:rsidRDefault="008361D5" w:rsidP="009A17AA">
      <w:pPr>
        <w:ind w:left="709" w:right="113" w:hanging="539"/>
        <w:jc w:val="left"/>
      </w:pPr>
      <w:r>
        <w:t>4.</w:t>
      </w:r>
      <w:r>
        <w:tab/>
        <w:t>No investor of Australia shall have recourse to dispute settlement against New Zealand under Chapter 9, Section B (Investor-State Dispute Settlement) of the Agreement.</w:t>
      </w:r>
    </w:p>
    <w:p w14:paraId="7579B55D" w14:textId="19B89AC0" w:rsidR="008361D5" w:rsidRDefault="008361D5" w:rsidP="009A17AA">
      <w:pPr>
        <w:ind w:left="709" w:right="113" w:hanging="539"/>
        <w:jc w:val="left"/>
      </w:pPr>
      <w:r>
        <w:t>5.</w:t>
      </w:r>
      <w:r>
        <w:tab/>
        <w:t>New Zealand shall only rely on Entry 2 in New Zealand's schedule to Annex IV of the Agreement with respect to air transport services between New Zealand and Australia where:</w:t>
      </w:r>
    </w:p>
    <w:p w14:paraId="3F32CA62" w14:textId="1C498205" w:rsidR="009A17AA" w:rsidRDefault="008361D5" w:rsidP="009A17AA">
      <w:pPr>
        <w:ind w:left="1701" w:right="113" w:hanging="539"/>
        <w:jc w:val="left"/>
      </w:pPr>
      <w:r>
        <w:t>(a)</w:t>
      </w:r>
      <w:r>
        <w:tab/>
        <w:t>non-commercial assistance provided to a state-owned enterprise supplying the service is solely intended to enable the state-owned enterprise to continue operating as a going concern; and</w:t>
      </w:r>
    </w:p>
    <w:p w14:paraId="739320E2" w14:textId="77777777" w:rsidR="00977DD6" w:rsidRDefault="009A17AA" w:rsidP="001545C2">
      <w:pPr>
        <w:spacing w:after="0"/>
        <w:ind w:firstLine="0"/>
        <w:jc w:val="left"/>
      </w:pPr>
      <w:r>
        <w:br w:type="page"/>
      </w:r>
    </w:p>
    <w:p w14:paraId="1AB27798" w14:textId="56220E80" w:rsidR="009A17AA" w:rsidRDefault="009A17AA" w:rsidP="001545C2">
      <w:pPr>
        <w:spacing w:before="960"/>
        <w:ind w:left="1701" w:right="113" w:hanging="539"/>
        <w:jc w:val="left"/>
      </w:pPr>
      <w:r>
        <w:lastRenderedPageBreak/>
        <w:t>(b)</w:t>
      </w:r>
      <w:r>
        <w:tab/>
        <w:t>the non-commercial assistance does not cause:</w:t>
      </w:r>
    </w:p>
    <w:p w14:paraId="3C7A5B54" w14:textId="448C13EC" w:rsidR="009A17AA" w:rsidRDefault="009A17AA" w:rsidP="009A17AA">
      <w:pPr>
        <w:ind w:left="2410" w:right="113" w:hanging="539"/>
        <w:jc w:val="left"/>
      </w:pPr>
      <w:r>
        <w:t>(</w:t>
      </w:r>
      <w:proofErr w:type="spellStart"/>
      <w:r>
        <w:t>i</w:t>
      </w:r>
      <w:proofErr w:type="spellEnd"/>
      <w:r>
        <w:t>)</w:t>
      </w:r>
      <w:r>
        <w:tab/>
        <w:t>a significant increase in the state-owned enterprise's market share of the service; or</w:t>
      </w:r>
    </w:p>
    <w:p w14:paraId="6E418E5C" w14:textId="4CE52517" w:rsidR="009A17AA" w:rsidRDefault="009A17AA" w:rsidP="009A17AA">
      <w:pPr>
        <w:ind w:left="2410" w:right="113" w:hanging="539"/>
        <w:jc w:val="left"/>
      </w:pPr>
      <w:r>
        <w:t>(ii)</w:t>
      </w:r>
      <w:r>
        <w:tab/>
        <w:t>a significant price undercutting by the service supplied by the state­ owned enterprise as compared with the price of a like service supplied by an Australian service supplier in the same market, or a significant price suppression, price depression or lost sales in the same market</w:t>
      </w:r>
    </w:p>
    <w:p w14:paraId="55CAFD0B" w14:textId="0DCCD3D4" w:rsidR="009A17AA" w:rsidRDefault="009A17AA" w:rsidP="003922FD">
      <w:pPr>
        <w:ind w:left="851" w:right="283" w:firstLine="0"/>
        <w:jc w:val="left"/>
      </w:pPr>
      <w:r>
        <w:t>I have the further honour to propose that this letter and your letter of confirmation in reply, shall constitute an agreement between Australia and New Zealand which shall enter into force on the date on which the Agreement enters into force for both Australia and New Zealand."</w:t>
      </w:r>
    </w:p>
    <w:p w14:paraId="56372313" w14:textId="209CDBD4" w:rsidR="008361D5" w:rsidRDefault="009A17AA" w:rsidP="009A17AA">
      <w:pPr>
        <w:ind w:right="113" w:firstLine="0"/>
        <w:jc w:val="left"/>
      </w:pPr>
      <w:r>
        <w:t xml:space="preserve">I have the further honour to confirm that your letter reflects the agreement reached by the Governments of Australia and New Zealand </w:t>
      </w:r>
      <w:proofErr w:type="gramStart"/>
      <w:r>
        <w:t>during the course of</w:t>
      </w:r>
      <w:proofErr w:type="gramEnd"/>
      <w:r>
        <w:t xml:space="preserve"> the negotiations on the Agreement and that your letter and this letter in reply, shall constitute an agreement between Australia and New Zealand.</w:t>
      </w:r>
    </w:p>
    <w:p w14:paraId="2D00AA77" w14:textId="77777777" w:rsidR="00977DD6" w:rsidRDefault="0086143F" w:rsidP="00041197">
      <w:pPr>
        <w:spacing w:after="120"/>
        <w:ind w:right="-57" w:firstLine="0"/>
        <w:jc w:val="left"/>
      </w:pPr>
      <w:r w:rsidRPr="00D96845">
        <w:t>Yours sincerely</w:t>
      </w:r>
    </w:p>
    <w:p w14:paraId="64D9C8F0" w14:textId="38C91453" w:rsidR="005279E1" w:rsidRDefault="009A17AA" w:rsidP="009A17AA">
      <w:pPr>
        <w:spacing w:after="0"/>
        <w:ind w:left="-1134" w:firstLine="0"/>
        <w:jc w:val="left"/>
        <w:rPr>
          <w:sz w:val="18"/>
          <w:szCs w:val="18"/>
        </w:rPr>
      </w:pPr>
      <w:r>
        <w:rPr>
          <w:noProof/>
          <w:sz w:val="18"/>
          <w:szCs w:val="18"/>
        </w:rPr>
        <w:drawing>
          <wp:inline distT="0" distB="0" distL="0" distR="0" wp14:anchorId="43D760B4" wp14:editId="3FD3B516">
            <wp:extent cx="3265200" cy="1360800"/>
            <wp:effectExtent l="0" t="0" r="0" b="0"/>
            <wp:docPr id="4" name="Picture 4" descr="(Signature)&#10;&#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10;&#10;Steven Ciobo"/>
                    <pic:cNvPicPr/>
                  </pic:nvPicPr>
                  <pic:blipFill>
                    <a:blip r:embed="rId9">
                      <a:extLst>
                        <a:ext uri="{28A0092B-C50C-407E-A947-70E740481C1C}">
                          <a14:useLocalDpi xmlns:a14="http://schemas.microsoft.com/office/drawing/2010/main" val="0"/>
                        </a:ext>
                      </a:extLst>
                    </a:blip>
                    <a:stretch>
                      <a:fillRect/>
                    </a:stretch>
                  </pic:blipFill>
                  <pic:spPr>
                    <a:xfrm>
                      <a:off x="0" y="0"/>
                      <a:ext cx="3265200" cy="1360800"/>
                    </a:xfrm>
                    <a:prstGeom prst="rect">
                      <a:avLst/>
                    </a:prstGeom>
                  </pic:spPr>
                </pic:pic>
              </a:graphicData>
            </a:graphic>
          </wp:inline>
        </w:drawing>
      </w:r>
    </w:p>
    <w:p w14:paraId="6B10D9B3" w14:textId="266B91A6" w:rsidR="005279E1" w:rsidRDefault="005279E1" w:rsidP="005279E1">
      <w:pPr>
        <w:spacing w:after="0"/>
        <w:ind w:firstLine="0"/>
        <w:jc w:val="left"/>
        <w:rPr>
          <w:sz w:val="18"/>
          <w:szCs w:val="18"/>
        </w:rPr>
      </w:pPr>
      <w:r>
        <w:rPr>
          <w:sz w:val="18"/>
          <w:szCs w:val="18"/>
        </w:rPr>
        <w:br w:type="page"/>
      </w:r>
    </w:p>
    <w:p w14:paraId="2E154B55" w14:textId="0EC65E00" w:rsidR="005279E1" w:rsidRPr="005279E1" w:rsidRDefault="005279E1" w:rsidP="005279E1">
      <w:pPr>
        <w:rPr>
          <w:sz w:val="18"/>
          <w:szCs w:val="18"/>
        </w:rPr>
        <w:sectPr w:rsidR="005279E1" w:rsidRPr="005279E1" w:rsidSect="00041197">
          <w:footerReference w:type="default" r:id="rId10"/>
          <w:headerReference w:type="first" r:id="rId11"/>
          <w:footerReference w:type="first" r:id="rId12"/>
          <w:pgSz w:w="11910" w:h="16840" w:code="9"/>
          <w:pgMar w:top="567" w:right="1418" w:bottom="567" w:left="1418" w:header="567" w:footer="454" w:gutter="0"/>
          <w:pgNumType w:start="1"/>
          <w:cols w:space="720"/>
          <w:titlePg/>
          <w:docGrid w:linePitch="326"/>
        </w:sectPr>
      </w:pPr>
    </w:p>
    <w:p w14:paraId="5931C730" w14:textId="77777777" w:rsidR="00977DD6" w:rsidRDefault="00977DD6" w:rsidP="0093454E">
      <w:pPr>
        <w:spacing w:before="1560" w:line="432" w:lineRule="auto"/>
        <w:ind w:left="680" w:right="624" w:firstLine="0"/>
        <w:rPr>
          <w:rFonts w:ascii="Arial" w:hAnsi="Arial" w:cs="Arial"/>
          <w:szCs w:val="23"/>
        </w:rPr>
      </w:pPr>
      <w:r w:rsidRPr="00977DD6">
        <w:rPr>
          <w:rFonts w:ascii="Arial" w:hAnsi="Arial" w:cs="Arial"/>
          <w:szCs w:val="23"/>
        </w:rPr>
        <w:lastRenderedPageBreak/>
        <w:t>8 March 2018</w:t>
      </w:r>
    </w:p>
    <w:p w14:paraId="4665BF5E" w14:textId="77777777" w:rsidR="00977DD6" w:rsidRDefault="00977DD6" w:rsidP="0093454E">
      <w:pPr>
        <w:spacing w:after="0" w:line="432" w:lineRule="auto"/>
        <w:ind w:left="680" w:right="624" w:firstLine="0"/>
        <w:rPr>
          <w:rFonts w:ascii="Arial" w:hAnsi="Arial" w:cs="Arial"/>
          <w:szCs w:val="23"/>
        </w:rPr>
      </w:pPr>
      <w:r w:rsidRPr="00977DD6">
        <w:rPr>
          <w:rFonts w:ascii="Arial" w:hAnsi="Arial" w:cs="Arial"/>
          <w:szCs w:val="23"/>
        </w:rPr>
        <w:t xml:space="preserve">The Hon Steven </w:t>
      </w:r>
      <w:proofErr w:type="spellStart"/>
      <w:r w:rsidRPr="00977DD6">
        <w:rPr>
          <w:rFonts w:ascii="Arial" w:hAnsi="Arial" w:cs="Arial"/>
          <w:szCs w:val="23"/>
        </w:rPr>
        <w:t>Ciobo</w:t>
      </w:r>
      <w:proofErr w:type="spellEnd"/>
      <w:r w:rsidRPr="00977DD6">
        <w:rPr>
          <w:rFonts w:ascii="Arial" w:hAnsi="Arial" w:cs="Arial"/>
          <w:szCs w:val="23"/>
        </w:rPr>
        <w:t>, MP</w:t>
      </w:r>
    </w:p>
    <w:p w14:paraId="03DB250F" w14:textId="7A0FACD1" w:rsidR="00977DD6" w:rsidRDefault="00977DD6" w:rsidP="003922FD">
      <w:pPr>
        <w:spacing w:after="600" w:line="432" w:lineRule="auto"/>
        <w:ind w:left="680" w:right="624" w:firstLine="0"/>
        <w:rPr>
          <w:rFonts w:ascii="Arial" w:hAnsi="Arial" w:cs="Arial"/>
          <w:szCs w:val="23"/>
        </w:rPr>
      </w:pPr>
      <w:r w:rsidRPr="00977DD6">
        <w:rPr>
          <w:rFonts w:ascii="Arial" w:hAnsi="Arial" w:cs="Arial"/>
          <w:szCs w:val="23"/>
        </w:rPr>
        <w:t xml:space="preserve">Minister for Trade, </w:t>
      </w:r>
      <w:proofErr w:type="gramStart"/>
      <w:r w:rsidRPr="00977DD6">
        <w:rPr>
          <w:rFonts w:ascii="Arial" w:hAnsi="Arial" w:cs="Arial"/>
          <w:szCs w:val="23"/>
        </w:rPr>
        <w:t>Tourism</w:t>
      </w:r>
      <w:proofErr w:type="gramEnd"/>
      <w:r w:rsidRPr="00977DD6">
        <w:rPr>
          <w:rFonts w:ascii="Arial" w:hAnsi="Arial" w:cs="Arial"/>
          <w:szCs w:val="23"/>
        </w:rPr>
        <w:t xml:space="preserve"> and Investment Australia</w:t>
      </w:r>
    </w:p>
    <w:p w14:paraId="2DED3D5A" w14:textId="77777777" w:rsidR="00977DD6" w:rsidRDefault="00977DD6" w:rsidP="0093454E">
      <w:pPr>
        <w:spacing w:line="432" w:lineRule="auto"/>
        <w:ind w:left="680" w:right="624" w:firstLine="0"/>
        <w:rPr>
          <w:rFonts w:ascii="Arial" w:hAnsi="Arial" w:cs="Arial"/>
          <w:szCs w:val="23"/>
        </w:rPr>
      </w:pPr>
      <w:r w:rsidRPr="00977DD6">
        <w:rPr>
          <w:rFonts w:ascii="Arial" w:hAnsi="Arial" w:cs="Arial"/>
          <w:szCs w:val="23"/>
        </w:rPr>
        <w:t xml:space="preserve">Dear Minister </w:t>
      </w:r>
      <w:proofErr w:type="spellStart"/>
      <w:r w:rsidRPr="00977DD6">
        <w:rPr>
          <w:rFonts w:ascii="Arial" w:hAnsi="Arial" w:cs="Arial"/>
          <w:szCs w:val="23"/>
        </w:rPr>
        <w:t>Ciobo</w:t>
      </w:r>
      <w:proofErr w:type="spellEnd"/>
    </w:p>
    <w:p w14:paraId="5926093F" w14:textId="033A2616" w:rsidR="00977DD6" w:rsidRDefault="00977DD6" w:rsidP="0093454E">
      <w:pPr>
        <w:spacing w:line="432" w:lineRule="auto"/>
        <w:ind w:left="680" w:right="624" w:firstLine="0"/>
        <w:rPr>
          <w:rFonts w:ascii="Arial" w:hAnsi="Arial" w:cs="Arial"/>
          <w:szCs w:val="23"/>
        </w:rPr>
      </w:pPr>
      <w:r w:rsidRPr="00977DD6">
        <w:rPr>
          <w:rFonts w:ascii="Arial" w:hAnsi="Arial" w:cs="Arial"/>
          <w:szCs w:val="23"/>
        </w:rPr>
        <w:t>In connection with the signing on this date of the Comprehensive and Progressive Agreement for Trans-Pacific Partnership (the "Agreement") and in the context of the Australia New Zealand Closer Economic Relations Trade Agreement ("CER") done at Canberra on 28 March 1983 and its related agreements and understandings, and in the context of the Agreement Establishing the ASEAN-Australia-New Zealand Free Trade Area done at Cha-am on 27 February 2009 (AANZFTA), and in the context of the Trans-Pacific Partnership Agreement signed in Auckland on</w:t>
      </w:r>
      <w:r>
        <w:rPr>
          <w:rFonts w:ascii="Arial" w:hAnsi="Arial" w:cs="Arial"/>
          <w:szCs w:val="23"/>
        </w:rPr>
        <w:t xml:space="preserve"> </w:t>
      </w:r>
      <w:r>
        <w:rPr>
          <w:rFonts w:ascii="Arial" w:hAnsi="Arial" w:cs="Arial"/>
          <w:szCs w:val="23"/>
        </w:rPr>
        <w:br/>
      </w:r>
      <w:r w:rsidRPr="00977DD6">
        <w:rPr>
          <w:rFonts w:ascii="Arial" w:hAnsi="Arial" w:cs="Arial"/>
          <w:szCs w:val="23"/>
        </w:rPr>
        <w:t>4 February 2016 (TPP), I have the honour to confirm the following agreement reached between the Government of Australia and the Government of New Zealand during the course of negotiations on the Agreement:</w:t>
      </w:r>
    </w:p>
    <w:p w14:paraId="0C973A8C" w14:textId="77777777" w:rsidR="00977DD6" w:rsidRDefault="00977DD6" w:rsidP="0093454E">
      <w:pPr>
        <w:spacing w:line="432" w:lineRule="auto"/>
        <w:ind w:left="1985" w:right="624" w:hanging="709"/>
        <w:rPr>
          <w:rFonts w:ascii="Arial" w:hAnsi="Arial" w:cs="Arial"/>
          <w:szCs w:val="23"/>
        </w:rPr>
      </w:pPr>
      <w:r w:rsidRPr="00977DD6">
        <w:rPr>
          <w:rFonts w:ascii="Arial" w:hAnsi="Arial" w:cs="Arial"/>
          <w:szCs w:val="23"/>
        </w:rPr>
        <w:t>1.</w:t>
      </w:r>
      <w:r w:rsidRPr="00977DD6">
        <w:rPr>
          <w:rFonts w:ascii="Arial" w:hAnsi="Arial" w:cs="Arial"/>
          <w:szCs w:val="23"/>
        </w:rPr>
        <w:tab/>
        <w:t>Nothing in the Agreement shall be construed to derogate from any rights or obligations of New Zealand or Australia under CER or AANZFTA.</w:t>
      </w:r>
    </w:p>
    <w:p w14:paraId="2F7569C5" w14:textId="13487EBB" w:rsidR="0093454E" w:rsidRDefault="00977DD6" w:rsidP="0093454E">
      <w:pPr>
        <w:spacing w:line="432" w:lineRule="auto"/>
        <w:ind w:left="1985" w:right="624" w:hanging="709"/>
        <w:rPr>
          <w:rFonts w:ascii="Arial" w:hAnsi="Arial" w:cs="Arial"/>
          <w:szCs w:val="23"/>
        </w:rPr>
      </w:pPr>
      <w:r w:rsidRPr="00977DD6">
        <w:rPr>
          <w:rFonts w:ascii="Arial" w:hAnsi="Arial" w:cs="Arial"/>
          <w:szCs w:val="23"/>
        </w:rPr>
        <w:t>2.</w:t>
      </w:r>
      <w:r w:rsidRPr="00977DD6">
        <w:rPr>
          <w:rFonts w:ascii="Arial" w:hAnsi="Arial" w:cs="Arial"/>
          <w:szCs w:val="23"/>
        </w:rPr>
        <w:tab/>
        <w:t>Chapter 6 (Trade Remedies) of the Agreement shall not create any rights or obligations between New Zealand and Australia.</w:t>
      </w:r>
    </w:p>
    <w:p w14:paraId="69D41D7E" w14:textId="195728B4" w:rsidR="0093454E" w:rsidRDefault="0093454E" w:rsidP="0093454E">
      <w:pPr>
        <w:spacing w:line="432" w:lineRule="auto"/>
        <w:ind w:left="1985" w:right="624" w:hanging="709"/>
        <w:jc w:val="right"/>
        <w:rPr>
          <w:rFonts w:ascii="Arial" w:hAnsi="Arial" w:cs="Arial"/>
          <w:szCs w:val="23"/>
        </w:rPr>
      </w:pPr>
      <w:r>
        <w:rPr>
          <w:rFonts w:ascii="Arial" w:hAnsi="Arial" w:cs="Arial"/>
          <w:noProof/>
          <w:szCs w:val="23"/>
        </w:rPr>
        <w:drawing>
          <wp:inline distT="0" distB="0" distL="0" distR="0" wp14:anchorId="5FFABB8B" wp14:editId="30F9B085">
            <wp:extent cx="270000" cy="788400"/>
            <wp:effectExtent l="0" t="0" r="0" b="0"/>
            <wp:docPr id="33" name="Picture 33" descr="(Initials of David Park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nitials of David Parker)&#10;"/>
                    <pic:cNvPicPr/>
                  </pic:nvPicPr>
                  <pic:blipFill>
                    <a:blip r:embed="rId13">
                      <a:extLst>
                        <a:ext uri="{28A0092B-C50C-407E-A947-70E740481C1C}">
                          <a14:useLocalDpi xmlns:a14="http://schemas.microsoft.com/office/drawing/2010/main" val="0"/>
                        </a:ext>
                      </a:extLst>
                    </a:blip>
                    <a:stretch>
                      <a:fillRect/>
                    </a:stretch>
                  </pic:blipFill>
                  <pic:spPr>
                    <a:xfrm>
                      <a:off x="0" y="0"/>
                      <a:ext cx="270000" cy="788400"/>
                    </a:xfrm>
                    <a:prstGeom prst="rect">
                      <a:avLst/>
                    </a:prstGeom>
                  </pic:spPr>
                </pic:pic>
              </a:graphicData>
            </a:graphic>
          </wp:inline>
        </w:drawing>
      </w:r>
      <w:r>
        <w:rPr>
          <w:rFonts w:ascii="Arial" w:hAnsi="Arial" w:cs="Arial"/>
          <w:szCs w:val="23"/>
        </w:rPr>
        <w:br w:type="page"/>
      </w:r>
    </w:p>
    <w:p w14:paraId="3720F516" w14:textId="77777777" w:rsidR="00191D3E" w:rsidRDefault="00977DD6" w:rsidP="0093454E">
      <w:pPr>
        <w:spacing w:line="432" w:lineRule="auto"/>
        <w:ind w:left="1985" w:right="624" w:hanging="709"/>
        <w:rPr>
          <w:rFonts w:ascii="Arial" w:hAnsi="Arial" w:cs="Arial"/>
          <w:szCs w:val="23"/>
        </w:rPr>
      </w:pPr>
      <w:r w:rsidRPr="00977DD6">
        <w:rPr>
          <w:rFonts w:ascii="Arial" w:hAnsi="Arial" w:cs="Arial"/>
          <w:szCs w:val="23"/>
        </w:rPr>
        <w:lastRenderedPageBreak/>
        <w:t>3.</w:t>
      </w:r>
      <w:r w:rsidRPr="00977DD6">
        <w:rPr>
          <w:rFonts w:ascii="Arial" w:hAnsi="Arial" w:cs="Arial"/>
          <w:szCs w:val="23"/>
        </w:rPr>
        <w:tab/>
        <w:t>No investor of New Zealand shall have recourse to dispute</w:t>
      </w:r>
      <w:r w:rsidR="00191D3E">
        <w:rPr>
          <w:rFonts w:ascii="Arial" w:hAnsi="Arial" w:cs="Arial"/>
          <w:szCs w:val="23"/>
        </w:rPr>
        <w:t xml:space="preserve"> </w:t>
      </w:r>
      <w:r w:rsidRPr="00977DD6">
        <w:rPr>
          <w:rFonts w:ascii="Arial" w:hAnsi="Arial" w:cs="Arial"/>
          <w:szCs w:val="23"/>
        </w:rPr>
        <w:t>settlement against Australia under Chapter 9, Section B (Investor-State Dispute Settlement) of the Agreement.</w:t>
      </w:r>
    </w:p>
    <w:p w14:paraId="2C996BBC" w14:textId="041FC586" w:rsidR="00191D3E" w:rsidRDefault="00977DD6" w:rsidP="0093454E">
      <w:pPr>
        <w:spacing w:line="432" w:lineRule="auto"/>
        <w:ind w:left="1985" w:right="624" w:hanging="709"/>
        <w:rPr>
          <w:rFonts w:ascii="Arial" w:hAnsi="Arial" w:cs="Arial"/>
          <w:szCs w:val="23"/>
        </w:rPr>
      </w:pPr>
      <w:r w:rsidRPr="00977DD6">
        <w:rPr>
          <w:rFonts w:ascii="Arial" w:hAnsi="Arial" w:cs="Arial"/>
          <w:szCs w:val="23"/>
        </w:rPr>
        <w:t>4.</w:t>
      </w:r>
      <w:r w:rsidRPr="00977DD6">
        <w:rPr>
          <w:rFonts w:ascii="Arial" w:hAnsi="Arial" w:cs="Arial"/>
          <w:szCs w:val="23"/>
        </w:rPr>
        <w:tab/>
        <w:t xml:space="preserve">No investor of Australia shall have recourse to dispute settlement against New Zealand under Chapter 9, Section </w:t>
      </w:r>
      <w:r w:rsidR="00872ADD">
        <w:rPr>
          <w:rFonts w:ascii="Arial" w:hAnsi="Arial" w:cs="Arial"/>
          <w:szCs w:val="23"/>
        </w:rPr>
        <w:t>B</w:t>
      </w:r>
      <w:r w:rsidRPr="00977DD6">
        <w:rPr>
          <w:rFonts w:ascii="Arial" w:hAnsi="Arial" w:cs="Arial"/>
          <w:szCs w:val="23"/>
        </w:rPr>
        <w:t xml:space="preserve"> (Investor-State Dispute Settlement) of the Agreement.</w:t>
      </w:r>
    </w:p>
    <w:p w14:paraId="104D5A08" w14:textId="3C949EB5" w:rsidR="00977DD6" w:rsidRDefault="00977DD6" w:rsidP="0093454E">
      <w:pPr>
        <w:spacing w:line="432" w:lineRule="auto"/>
        <w:ind w:left="1985" w:right="624" w:hanging="709"/>
        <w:rPr>
          <w:rFonts w:ascii="Arial" w:hAnsi="Arial" w:cs="Arial"/>
          <w:szCs w:val="23"/>
        </w:rPr>
      </w:pPr>
      <w:r w:rsidRPr="00977DD6">
        <w:rPr>
          <w:rFonts w:ascii="Arial" w:hAnsi="Arial" w:cs="Arial"/>
          <w:szCs w:val="23"/>
        </w:rPr>
        <w:t>5.</w:t>
      </w:r>
      <w:r w:rsidRPr="00977DD6">
        <w:rPr>
          <w:rFonts w:ascii="Arial" w:hAnsi="Arial" w:cs="Arial"/>
          <w:szCs w:val="23"/>
        </w:rPr>
        <w:tab/>
        <w:t>New Zealand shall only rely on Entry 2 in New Zealand's schedule to Annex IV of the Agreement with respect to air transport services between New Zealand and Australia where:</w:t>
      </w:r>
    </w:p>
    <w:p w14:paraId="1293F5AA" w14:textId="086D9A6C" w:rsidR="00977DD6" w:rsidRDefault="00977DD6" w:rsidP="00872ADD">
      <w:pPr>
        <w:spacing w:line="432" w:lineRule="auto"/>
        <w:ind w:left="3261" w:right="624" w:hanging="850"/>
        <w:rPr>
          <w:rFonts w:ascii="Arial" w:hAnsi="Arial" w:cs="Arial"/>
          <w:szCs w:val="23"/>
        </w:rPr>
      </w:pPr>
      <w:r w:rsidRPr="00977DD6">
        <w:rPr>
          <w:rFonts w:ascii="Arial" w:hAnsi="Arial" w:cs="Arial"/>
          <w:szCs w:val="23"/>
        </w:rPr>
        <w:t>(a)</w:t>
      </w:r>
      <w:r w:rsidRPr="00977DD6">
        <w:rPr>
          <w:rFonts w:ascii="Arial" w:hAnsi="Arial" w:cs="Arial"/>
          <w:szCs w:val="23"/>
        </w:rPr>
        <w:tab/>
        <w:t>non-commercial assistance provided to a state­ owned enterprise supplying the service is solely</w:t>
      </w:r>
      <w:r w:rsidR="00191D3E">
        <w:rPr>
          <w:rFonts w:ascii="Arial" w:hAnsi="Arial" w:cs="Arial"/>
          <w:szCs w:val="23"/>
        </w:rPr>
        <w:t xml:space="preserve"> </w:t>
      </w:r>
      <w:r w:rsidRPr="00977DD6">
        <w:rPr>
          <w:rFonts w:ascii="Arial" w:hAnsi="Arial" w:cs="Arial"/>
          <w:szCs w:val="23"/>
        </w:rPr>
        <w:t>intended to enable the state-owned enterprise to continue operating as a going concern; and</w:t>
      </w:r>
    </w:p>
    <w:p w14:paraId="3F4FB53D" w14:textId="77777777" w:rsidR="00977DD6" w:rsidRDefault="00977DD6" w:rsidP="00872ADD">
      <w:pPr>
        <w:spacing w:line="432" w:lineRule="auto"/>
        <w:ind w:left="3261" w:right="624" w:hanging="850"/>
        <w:rPr>
          <w:rFonts w:ascii="Arial" w:hAnsi="Arial" w:cs="Arial"/>
          <w:szCs w:val="23"/>
        </w:rPr>
      </w:pPr>
      <w:r w:rsidRPr="00977DD6">
        <w:rPr>
          <w:rFonts w:ascii="Arial" w:hAnsi="Arial" w:cs="Arial"/>
          <w:szCs w:val="23"/>
        </w:rPr>
        <w:t>(b)</w:t>
      </w:r>
      <w:r w:rsidRPr="00977DD6">
        <w:rPr>
          <w:rFonts w:ascii="Arial" w:hAnsi="Arial" w:cs="Arial"/>
          <w:szCs w:val="23"/>
        </w:rPr>
        <w:tab/>
        <w:t>the non-commercial assistance does not cause:</w:t>
      </w:r>
    </w:p>
    <w:p w14:paraId="42DAB889" w14:textId="51442BC3" w:rsidR="00977DD6" w:rsidRDefault="00977DD6" w:rsidP="00872ADD">
      <w:pPr>
        <w:spacing w:line="432" w:lineRule="auto"/>
        <w:ind w:left="4253" w:right="624" w:hanging="567"/>
        <w:rPr>
          <w:rFonts w:ascii="Arial" w:hAnsi="Arial" w:cs="Arial"/>
          <w:szCs w:val="23"/>
        </w:rPr>
      </w:pPr>
      <w:r w:rsidRPr="00977DD6">
        <w:rPr>
          <w:rFonts w:ascii="Arial" w:hAnsi="Arial" w:cs="Arial"/>
          <w:szCs w:val="23"/>
        </w:rPr>
        <w:t>(</w:t>
      </w:r>
      <w:proofErr w:type="spellStart"/>
      <w:r w:rsidRPr="00977DD6">
        <w:rPr>
          <w:rFonts w:ascii="Arial" w:hAnsi="Arial" w:cs="Arial"/>
          <w:szCs w:val="23"/>
        </w:rPr>
        <w:t>i</w:t>
      </w:r>
      <w:proofErr w:type="spellEnd"/>
      <w:r w:rsidRPr="00977DD6">
        <w:rPr>
          <w:rFonts w:ascii="Arial" w:hAnsi="Arial" w:cs="Arial"/>
          <w:szCs w:val="23"/>
        </w:rPr>
        <w:t>)</w:t>
      </w:r>
      <w:r w:rsidRPr="00977DD6">
        <w:rPr>
          <w:rFonts w:ascii="Arial" w:hAnsi="Arial" w:cs="Arial"/>
          <w:szCs w:val="23"/>
        </w:rPr>
        <w:tab/>
        <w:t>a significant increase in the state-owned enterprise's market share of the service; or</w:t>
      </w:r>
    </w:p>
    <w:p w14:paraId="2D26EC4D" w14:textId="5579C0C0" w:rsidR="0093454E" w:rsidRDefault="00977DD6" w:rsidP="00872ADD">
      <w:pPr>
        <w:spacing w:line="432" w:lineRule="auto"/>
        <w:ind w:left="4253" w:right="624" w:hanging="567"/>
        <w:rPr>
          <w:rFonts w:ascii="Arial" w:hAnsi="Arial" w:cs="Arial"/>
          <w:szCs w:val="23"/>
        </w:rPr>
      </w:pPr>
      <w:r w:rsidRPr="00977DD6">
        <w:rPr>
          <w:rFonts w:ascii="Arial" w:hAnsi="Arial" w:cs="Arial"/>
          <w:szCs w:val="23"/>
        </w:rPr>
        <w:t>(ii)</w:t>
      </w:r>
      <w:r w:rsidRPr="00977DD6">
        <w:rPr>
          <w:rFonts w:ascii="Arial" w:hAnsi="Arial" w:cs="Arial"/>
          <w:szCs w:val="23"/>
        </w:rPr>
        <w:tab/>
        <w:t xml:space="preserve">a significant price undercutting by the service supplied by the state-owned enterprise as compared with the price of a like service supplied by an Australian service supplier in the same market, or a </w:t>
      </w:r>
      <w:proofErr w:type="gramStart"/>
      <w:r w:rsidRPr="00977DD6">
        <w:rPr>
          <w:rFonts w:ascii="Arial" w:hAnsi="Arial" w:cs="Arial"/>
          <w:szCs w:val="23"/>
        </w:rPr>
        <w:t>significant  price</w:t>
      </w:r>
      <w:proofErr w:type="gramEnd"/>
      <w:r w:rsidRPr="00977DD6">
        <w:rPr>
          <w:rFonts w:ascii="Arial" w:hAnsi="Arial" w:cs="Arial"/>
          <w:szCs w:val="23"/>
        </w:rPr>
        <w:t xml:space="preserve">  suppression,  price</w:t>
      </w:r>
      <w:r w:rsidR="0093454E">
        <w:rPr>
          <w:rFonts w:ascii="Arial" w:hAnsi="Arial" w:cs="Arial"/>
          <w:szCs w:val="23"/>
        </w:rPr>
        <w:br/>
      </w:r>
    </w:p>
    <w:p w14:paraId="5404F1D5" w14:textId="49441F83" w:rsidR="0093454E" w:rsidRDefault="0093454E" w:rsidP="0093454E">
      <w:pPr>
        <w:spacing w:line="432" w:lineRule="auto"/>
        <w:ind w:left="4111" w:right="624" w:hanging="850"/>
        <w:jc w:val="right"/>
        <w:rPr>
          <w:rFonts w:ascii="Arial" w:hAnsi="Arial" w:cs="Arial"/>
          <w:szCs w:val="23"/>
        </w:rPr>
      </w:pPr>
      <w:r>
        <w:rPr>
          <w:rFonts w:ascii="Arial" w:hAnsi="Arial" w:cs="Arial"/>
          <w:noProof/>
          <w:szCs w:val="23"/>
        </w:rPr>
        <w:drawing>
          <wp:inline distT="0" distB="0" distL="0" distR="0" wp14:anchorId="4DD6C682" wp14:editId="438A48FC">
            <wp:extent cx="269875" cy="820420"/>
            <wp:effectExtent l="0" t="0" r="0" b="0"/>
            <wp:docPr id="32" name="Picture 32" descr="(Initials of David P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nitials of David Parker)"/>
                    <pic:cNvPicPr/>
                  </pic:nvPicPr>
                  <pic:blipFill>
                    <a:blip r:embed="rId14">
                      <a:extLst>
                        <a:ext uri="{28A0092B-C50C-407E-A947-70E740481C1C}">
                          <a14:useLocalDpi xmlns:a14="http://schemas.microsoft.com/office/drawing/2010/main" val="0"/>
                        </a:ext>
                      </a:extLst>
                    </a:blip>
                    <a:stretch>
                      <a:fillRect/>
                    </a:stretch>
                  </pic:blipFill>
                  <pic:spPr>
                    <a:xfrm>
                      <a:off x="0" y="0"/>
                      <a:ext cx="269875" cy="820420"/>
                    </a:xfrm>
                    <a:prstGeom prst="rect">
                      <a:avLst/>
                    </a:prstGeom>
                  </pic:spPr>
                </pic:pic>
              </a:graphicData>
            </a:graphic>
          </wp:inline>
        </w:drawing>
      </w:r>
    </w:p>
    <w:p w14:paraId="4DA3F581" w14:textId="689B19D9" w:rsidR="0093454E" w:rsidRDefault="0093454E">
      <w:pPr>
        <w:spacing w:after="0"/>
        <w:ind w:firstLine="0"/>
        <w:jc w:val="left"/>
        <w:rPr>
          <w:rFonts w:ascii="Arial" w:hAnsi="Arial" w:cs="Arial"/>
          <w:szCs w:val="23"/>
        </w:rPr>
      </w:pPr>
    </w:p>
    <w:p w14:paraId="7F0AFE11" w14:textId="3D80B62F" w:rsidR="00977DD6" w:rsidRDefault="00977DD6" w:rsidP="0093454E">
      <w:pPr>
        <w:spacing w:line="432" w:lineRule="auto"/>
        <w:ind w:left="4111" w:right="624" w:firstLine="0"/>
        <w:rPr>
          <w:rFonts w:ascii="Arial" w:hAnsi="Arial" w:cs="Arial"/>
          <w:szCs w:val="23"/>
        </w:rPr>
      </w:pPr>
      <w:r w:rsidRPr="00977DD6">
        <w:rPr>
          <w:rFonts w:ascii="Arial" w:hAnsi="Arial" w:cs="Arial"/>
          <w:szCs w:val="23"/>
        </w:rPr>
        <w:t>depression or lost sales in the same market.</w:t>
      </w:r>
    </w:p>
    <w:p w14:paraId="1AC5469D" w14:textId="77777777" w:rsidR="00977DD6" w:rsidRDefault="00977DD6" w:rsidP="0093454E">
      <w:pPr>
        <w:spacing w:line="432" w:lineRule="auto"/>
        <w:ind w:left="680" w:right="624" w:firstLine="0"/>
        <w:rPr>
          <w:rFonts w:ascii="Arial" w:hAnsi="Arial" w:cs="Arial"/>
          <w:szCs w:val="23"/>
        </w:rPr>
      </w:pPr>
      <w:r w:rsidRPr="00977DD6">
        <w:rPr>
          <w:rFonts w:ascii="Arial" w:hAnsi="Arial" w:cs="Arial"/>
          <w:szCs w:val="23"/>
        </w:rPr>
        <w:t>I have the further honour to propose that this letter and your letter of confirmation in reply, shall constitute an agreement between Australia and New Zealand which shall enter into force on the date on which the Agreement enters into force for both Australia and New Zealand.</w:t>
      </w:r>
    </w:p>
    <w:p w14:paraId="5D3E91D7" w14:textId="214A7946" w:rsidR="00977DD6" w:rsidRDefault="00977DD6" w:rsidP="0093454E">
      <w:pPr>
        <w:spacing w:after="0" w:line="432" w:lineRule="auto"/>
        <w:ind w:left="680" w:right="624" w:firstLine="0"/>
        <w:rPr>
          <w:rFonts w:ascii="Arial" w:hAnsi="Arial" w:cs="Arial"/>
          <w:szCs w:val="23"/>
        </w:rPr>
      </w:pPr>
      <w:r w:rsidRPr="00977DD6">
        <w:rPr>
          <w:rFonts w:ascii="Arial" w:hAnsi="Arial" w:cs="Arial"/>
          <w:szCs w:val="23"/>
        </w:rPr>
        <w:t>Yours sincerely</w:t>
      </w:r>
    </w:p>
    <w:p w14:paraId="411B3318" w14:textId="1FA264CA" w:rsidR="00191D3E" w:rsidRDefault="00191D3E" w:rsidP="0093454E">
      <w:pPr>
        <w:spacing w:after="0" w:line="432" w:lineRule="auto"/>
        <w:ind w:left="680" w:right="624" w:firstLine="0"/>
        <w:rPr>
          <w:rFonts w:ascii="Arial" w:hAnsi="Arial" w:cs="Arial"/>
          <w:szCs w:val="23"/>
        </w:rPr>
      </w:pPr>
      <w:r>
        <w:rPr>
          <w:rFonts w:ascii="Arial" w:hAnsi="Arial" w:cs="Arial"/>
          <w:noProof/>
          <w:szCs w:val="23"/>
        </w:rPr>
        <w:drawing>
          <wp:inline distT="0" distB="0" distL="0" distR="0" wp14:anchorId="34015CD2" wp14:editId="3189A785">
            <wp:extent cx="1911600" cy="738000"/>
            <wp:effectExtent l="0" t="0" r="0" b="5080"/>
            <wp:docPr id="31" name="Picture 31" descr="(Signature of David P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ignature of David Parker)"/>
                    <pic:cNvPicPr/>
                  </pic:nvPicPr>
                  <pic:blipFill>
                    <a:blip r:embed="rId15">
                      <a:extLst>
                        <a:ext uri="{28A0092B-C50C-407E-A947-70E740481C1C}">
                          <a14:useLocalDpi xmlns:a14="http://schemas.microsoft.com/office/drawing/2010/main" val="0"/>
                        </a:ext>
                      </a:extLst>
                    </a:blip>
                    <a:stretch>
                      <a:fillRect/>
                    </a:stretch>
                  </pic:blipFill>
                  <pic:spPr>
                    <a:xfrm>
                      <a:off x="0" y="0"/>
                      <a:ext cx="1911600" cy="738000"/>
                    </a:xfrm>
                    <a:prstGeom prst="rect">
                      <a:avLst/>
                    </a:prstGeom>
                  </pic:spPr>
                </pic:pic>
              </a:graphicData>
            </a:graphic>
          </wp:inline>
        </w:drawing>
      </w:r>
    </w:p>
    <w:p w14:paraId="36B4EEF6" w14:textId="77777777" w:rsidR="00191D3E" w:rsidRDefault="00977DD6" w:rsidP="0093454E">
      <w:pPr>
        <w:spacing w:after="0" w:line="432" w:lineRule="auto"/>
        <w:ind w:left="680" w:right="624" w:firstLine="0"/>
        <w:rPr>
          <w:rFonts w:ascii="Arial" w:hAnsi="Arial" w:cs="Arial"/>
          <w:szCs w:val="23"/>
        </w:rPr>
      </w:pPr>
      <w:r w:rsidRPr="00977DD6">
        <w:rPr>
          <w:rFonts w:ascii="Arial" w:hAnsi="Arial" w:cs="Arial"/>
          <w:szCs w:val="23"/>
        </w:rPr>
        <w:t>Hon David Parker</w:t>
      </w:r>
    </w:p>
    <w:p w14:paraId="77D0D363" w14:textId="77777777" w:rsidR="00191D3E" w:rsidRDefault="00977DD6" w:rsidP="0093454E">
      <w:pPr>
        <w:spacing w:after="0" w:line="432" w:lineRule="auto"/>
        <w:ind w:left="680" w:right="624" w:firstLine="0"/>
        <w:rPr>
          <w:rFonts w:ascii="Arial" w:hAnsi="Arial" w:cs="Arial"/>
          <w:szCs w:val="23"/>
        </w:rPr>
      </w:pPr>
      <w:r w:rsidRPr="00977DD6">
        <w:rPr>
          <w:rFonts w:ascii="Arial" w:hAnsi="Arial" w:cs="Arial"/>
          <w:szCs w:val="23"/>
        </w:rPr>
        <w:t xml:space="preserve">Minister for Trade and Export Growth </w:t>
      </w:r>
    </w:p>
    <w:p w14:paraId="638611A0" w14:textId="56403227" w:rsidR="00EE37F2" w:rsidRPr="00977DD6" w:rsidRDefault="00977DD6" w:rsidP="0093454E">
      <w:pPr>
        <w:spacing w:line="432" w:lineRule="auto"/>
        <w:ind w:left="680" w:right="624" w:firstLine="0"/>
        <w:rPr>
          <w:rFonts w:ascii="Arial" w:hAnsi="Arial" w:cs="Arial"/>
          <w:szCs w:val="23"/>
        </w:rPr>
      </w:pPr>
      <w:r w:rsidRPr="00977DD6">
        <w:rPr>
          <w:rFonts w:ascii="Arial" w:hAnsi="Arial" w:cs="Arial"/>
          <w:szCs w:val="23"/>
        </w:rPr>
        <w:t>New Zealand</w:t>
      </w:r>
    </w:p>
    <w:sectPr w:rsidR="00EE37F2" w:rsidRPr="00977DD6" w:rsidSect="00F20751">
      <w:pgSz w:w="11910" w:h="16840" w:code="9"/>
      <w:pgMar w:top="851" w:right="1418" w:bottom="244" w:left="1418" w:header="567"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690F" w14:textId="77777777" w:rsidR="00924DB5" w:rsidRDefault="00924DB5" w:rsidP="008343E4">
      <w:r>
        <w:separator/>
      </w:r>
    </w:p>
  </w:endnote>
  <w:endnote w:type="continuationSeparator" w:id="0">
    <w:p w14:paraId="09EFE6B0" w14:textId="77777777" w:rsidR="00924DB5" w:rsidRDefault="00924DB5"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2456" w14:textId="6301A94D" w:rsidR="0086143F" w:rsidRPr="00A15CC5" w:rsidRDefault="00F20751" w:rsidP="0086143F">
    <w:pPr>
      <w:spacing w:after="60"/>
      <w:ind w:firstLine="0"/>
      <w:jc w:val="center"/>
      <w:rPr>
        <w:sz w:val="18"/>
        <w:szCs w:val="18"/>
      </w:rPr>
    </w:pPr>
    <w:r>
      <w:rPr>
        <w:sz w:val="18"/>
        <w:szCs w:val="18"/>
      </w:rPr>
      <w:t xml:space="preserve"> </w:t>
    </w:r>
  </w:p>
  <w:p w14:paraId="2E38BEBC" w14:textId="2216DF58" w:rsidR="0086143F" w:rsidRPr="0086143F" w:rsidRDefault="00F20751" w:rsidP="0086143F">
    <w:pPr>
      <w:spacing w:after="0"/>
      <w:ind w:firstLine="0"/>
      <w:jc w:val="center"/>
      <w:rPr>
        <w:sz w:val="18"/>
        <w:szCs w:val="18"/>
      </w:rPr>
    </w:pPr>
    <w:r>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D13B" w14:textId="77777777" w:rsidR="006D286F" w:rsidRPr="00A15CC5" w:rsidRDefault="006D286F" w:rsidP="006D286F">
    <w:pPr>
      <w:spacing w:after="60"/>
      <w:ind w:firstLine="0"/>
      <w:jc w:val="center"/>
      <w:rPr>
        <w:sz w:val="18"/>
        <w:szCs w:val="18"/>
      </w:rPr>
    </w:pPr>
    <w:r w:rsidRPr="00A15CC5">
      <w:rPr>
        <w:sz w:val="18"/>
        <w:szCs w:val="18"/>
      </w:rPr>
      <w:t xml:space="preserve">Parliament </w:t>
    </w:r>
    <w:proofErr w:type="gramStart"/>
    <w:r w:rsidRPr="00A15CC5">
      <w:rPr>
        <w:sz w:val="18"/>
        <w:szCs w:val="18"/>
      </w:rPr>
      <w:t>House  Canberra</w:t>
    </w:r>
    <w:proofErr w:type="gramEnd"/>
    <w:r w:rsidRPr="00A15CC5">
      <w:rPr>
        <w:sz w:val="18"/>
        <w:szCs w:val="18"/>
      </w:rPr>
      <w:t xml:space="preserve">  ACT  2600  Australia</w:t>
    </w:r>
  </w:p>
  <w:p w14:paraId="4538DD7E" w14:textId="2B6B25E6" w:rsidR="00D96845" w:rsidRPr="006D286F" w:rsidRDefault="006D286F" w:rsidP="00443688">
    <w:pPr>
      <w:spacing w:after="0"/>
      <w:ind w:firstLine="0"/>
      <w:jc w:val="center"/>
      <w:rPr>
        <w:sz w:val="18"/>
        <w:szCs w:val="18"/>
      </w:rPr>
    </w:pPr>
    <w:r w:rsidRPr="00A15CC5">
      <w:rPr>
        <w:sz w:val="18"/>
        <w:szCs w:val="18"/>
      </w:rPr>
      <w:t>Telephone (02) 6277 7420   E-mail Trade.Minister@dfat.gov.au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88F7" w14:textId="77777777" w:rsidR="00924DB5" w:rsidRDefault="00924DB5" w:rsidP="009035ED">
      <w:pPr>
        <w:spacing w:after="0"/>
        <w:ind w:firstLine="0"/>
      </w:pPr>
      <w:r>
        <w:separator/>
      </w:r>
    </w:p>
  </w:footnote>
  <w:footnote w:type="continuationSeparator" w:id="0">
    <w:p w14:paraId="41E7ACE5" w14:textId="77777777" w:rsidR="00924DB5" w:rsidRDefault="00924DB5"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3E9E0113"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2383"/>
    <w:rsid w:val="0002304F"/>
    <w:rsid w:val="00025B24"/>
    <w:rsid w:val="000341E4"/>
    <w:rsid w:val="00041197"/>
    <w:rsid w:val="00043157"/>
    <w:rsid w:val="00043518"/>
    <w:rsid w:val="000460EF"/>
    <w:rsid w:val="00050522"/>
    <w:rsid w:val="000566EF"/>
    <w:rsid w:val="00096184"/>
    <w:rsid w:val="000B378E"/>
    <w:rsid w:val="000B3D3C"/>
    <w:rsid w:val="000B798A"/>
    <w:rsid w:val="000C6EAF"/>
    <w:rsid w:val="000E0519"/>
    <w:rsid w:val="000E3A06"/>
    <w:rsid w:val="000E3D84"/>
    <w:rsid w:val="001111BF"/>
    <w:rsid w:val="00116E51"/>
    <w:rsid w:val="00132B3E"/>
    <w:rsid w:val="001545C2"/>
    <w:rsid w:val="00162990"/>
    <w:rsid w:val="00167D4C"/>
    <w:rsid w:val="00191D3E"/>
    <w:rsid w:val="001E0C23"/>
    <w:rsid w:val="001F20EC"/>
    <w:rsid w:val="001F42BB"/>
    <w:rsid w:val="00204D61"/>
    <w:rsid w:val="00211229"/>
    <w:rsid w:val="00222ED2"/>
    <w:rsid w:val="002549DC"/>
    <w:rsid w:val="00254D95"/>
    <w:rsid w:val="0027747E"/>
    <w:rsid w:val="00297AD2"/>
    <w:rsid w:val="002A0A84"/>
    <w:rsid w:val="002B404D"/>
    <w:rsid w:val="002B7EF9"/>
    <w:rsid w:val="002C19F3"/>
    <w:rsid w:val="002C498A"/>
    <w:rsid w:val="002E2C0B"/>
    <w:rsid w:val="002F5C62"/>
    <w:rsid w:val="00301C65"/>
    <w:rsid w:val="00317354"/>
    <w:rsid w:val="0032168E"/>
    <w:rsid w:val="0033328A"/>
    <w:rsid w:val="003376AE"/>
    <w:rsid w:val="00360AC2"/>
    <w:rsid w:val="00381922"/>
    <w:rsid w:val="003922FD"/>
    <w:rsid w:val="003A03B7"/>
    <w:rsid w:val="003A42E8"/>
    <w:rsid w:val="004016B6"/>
    <w:rsid w:val="00410445"/>
    <w:rsid w:val="0043510D"/>
    <w:rsid w:val="00443688"/>
    <w:rsid w:val="0045038C"/>
    <w:rsid w:val="00454E6C"/>
    <w:rsid w:val="00455C0C"/>
    <w:rsid w:val="0046437F"/>
    <w:rsid w:val="00473F0E"/>
    <w:rsid w:val="004778B2"/>
    <w:rsid w:val="0049336A"/>
    <w:rsid w:val="004B3DE8"/>
    <w:rsid w:val="004D50F3"/>
    <w:rsid w:val="004E4CE2"/>
    <w:rsid w:val="004F47B1"/>
    <w:rsid w:val="00506E46"/>
    <w:rsid w:val="0051524E"/>
    <w:rsid w:val="005279E1"/>
    <w:rsid w:val="00531131"/>
    <w:rsid w:val="005312F2"/>
    <w:rsid w:val="00532742"/>
    <w:rsid w:val="00542CCA"/>
    <w:rsid w:val="0055096D"/>
    <w:rsid w:val="00552D09"/>
    <w:rsid w:val="00556336"/>
    <w:rsid w:val="005A5035"/>
    <w:rsid w:val="005B7139"/>
    <w:rsid w:val="005C7056"/>
    <w:rsid w:val="005D33AB"/>
    <w:rsid w:val="005F1FCC"/>
    <w:rsid w:val="005F78C4"/>
    <w:rsid w:val="00604579"/>
    <w:rsid w:val="00625487"/>
    <w:rsid w:val="006375C4"/>
    <w:rsid w:val="0066044E"/>
    <w:rsid w:val="00665084"/>
    <w:rsid w:val="006809CD"/>
    <w:rsid w:val="00697317"/>
    <w:rsid w:val="006A43E8"/>
    <w:rsid w:val="006C6FED"/>
    <w:rsid w:val="006D2014"/>
    <w:rsid w:val="006D286F"/>
    <w:rsid w:val="006D31B0"/>
    <w:rsid w:val="006D4759"/>
    <w:rsid w:val="006F02C8"/>
    <w:rsid w:val="006F43C9"/>
    <w:rsid w:val="006F7160"/>
    <w:rsid w:val="00741225"/>
    <w:rsid w:val="00756ED0"/>
    <w:rsid w:val="00763E56"/>
    <w:rsid w:val="00780473"/>
    <w:rsid w:val="007A79DE"/>
    <w:rsid w:val="007C611E"/>
    <w:rsid w:val="007D42B0"/>
    <w:rsid w:val="007F1A7D"/>
    <w:rsid w:val="007F23D4"/>
    <w:rsid w:val="007F777F"/>
    <w:rsid w:val="0080461C"/>
    <w:rsid w:val="0081677E"/>
    <w:rsid w:val="0082088A"/>
    <w:rsid w:val="0082720D"/>
    <w:rsid w:val="008343E4"/>
    <w:rsid w:val="008361D5"/>
    <w:rsid w:val="00857CBA"/>
    <w:rsid w:val="00860A8C"/>
    <w:rsid w:val="0086143F"/>
    <w:rsid w:val="0086284F"/>
    <w:rsid w:val="00871BD4"/>
    <w:rsid w:val="00872ADD"/>
    <w:rsid w:val="00874E6E"/>
    <w:rsid w:val="008C1D9E"/>
    <w:rsid w:val="008D784E"/>
    <w:rsid w:val="008F7610"/>
    <w:rsid w:val="009035ED"/>
    <w:rsid w:val="00907502"/>
    <w:rsid w:val="00921993"/>
    <w:rsid w:val="00924DB5"/>
    <w:rsid w:val="00933A67"/>
    <w:rsid w:val="0093454E"/>
    <w:rsid w:val="00937AF6"/>
    <w:rsid w:val="0094167E"/>
    <w:rsid w:val="00955A74"/>
    <w:rsid w:val="00971B8C"/>
    <w:rsid w:val="00977BC7"/>
    <w:rsid w:val="00977DD6"/>
    <w:rsid w:val="00984477"/>
    <w:rsid w:val="00985C65"/>
    <w:rsid w:val="0099387C"/>
    <w:rsid w:val="009A17AA"/>
    <w:rsid w:val="009A4584"/>
    <w:rsid w:val="009D552B"/>
    <w:rsid w:val="009F10AB"/>
    <w:rsid w:val="00A0470C"/>
    <w:rsid w:val="00A06998"/>
    <w:rsid w:val="00A15221"/>
    <w:rsid w:val="00A15CC5"/>
    <w:rsid w:val="00A172F4"/>
    <w:rsid w:val="00A20B8E"/>
    <w:rsid w:val="00A304E3"/>
    <w:rsid w:val="00A60FF5"/>
    <w:rsid w:val="00A768A1"/>
    <w:rsid w:val="00A8766A"/>
    <w:rsid w:val="00A87EB7"/>
    <w:rsid w:val="00A95C67"/>
    <w:rsid w:val="00A9717F"/>
    <w:rsid w:val="00AA2D0F"/>
    <w:rsid w:val="00AA2FF8"/>
    <w:rsid w:val="00AB1AA9"/>
    <w:rsid w:val="00AB6B72"/>
    <w:rsid w:val="00AC5C53"/>
    <w:rsid w:val="00AD26B8"/>
    <w:rsid w:val="00AD2B0D"/>
    <w:rsid w:val="00AD5346"/>
    <w:rsid w:val="00AE548D"/>
    <w:rsid w:val="00B0105E"/>
    <w:rsid w:val="00B05366"/>
    <w:rsid w:val="00B1478C"/>
    <w:rsid w:val="00B25E2A"/>
    <w:rsid w:val="00B31A31"/>
    <w:rsid w:val="00B849D2"/>
    <w:rsid w:val="00B9361B"/>
    <w:rsid w:val="00B95BBE"/>
    <w:rsid w:val="00BB5224"/>
    <w:rsid w:val="00BB7129"/>
    <w:rsid w:val="00BC057D"/>
    <w:rsid w:val="00BD3938"/>
    <w:rsid w:val="00C02806"/>
    <w:rsid w:val="00C07241"/>
    <w:rsid w:val="00C17704"/>
    <w:rsid w:val="00C4363E"/>
    <w:rsid w:val="00C735FD"/>
    <w:rsid w:val="00C80F37"/>
    <w:rsid w:val="00C819B9"/>
    <w:rsid w:val="00C95C81"/>
    <w:rsid w:val="00CA69D1"/>
    <w:rsid w:val="00CC2AF2"/>
    <w:rsid w:val="00CE2A8E"/>
    <w:rsid w:val="00CF798D"/>
    <w:rsid w:val="00D113AC"/>
    <w:rsid w:val="00D17244"/>
    <w:rsid w:val="00D65CFB"/>
    <w:rsid w:val="00D75F95"/>
    <w:rsid w:val="00D84A47"/>
    <w:rsid w:val="00D93FD9"/>
    <w:rsid w:val="00D96398"/>
    <w:rsid w:val="00D96845"/>
    <w:rsid w:val="00DA5A79"/>
    <w:rsid w:val="00DA5BFA"/>
    <w:rsid w:val="00DD0C73"/>
    <w:rsid w:val="00DF50FF"/>
    <w:rsid w:val="00DF6F0F"/>
    <w:rsid w:val="00E24807"/>
    <w:rsid w:val="00E344AB"/>
    <w:rsid w:val="00E513D7"/>
    <w:rsid w:val="00E74936"/>
    <w:rsid w:val="00E8073E"/>
    <w:rsid w:val="00EB0D91"/>
    <w:rsid w:val="00ED0179"/>
    <w:rsid w:val="00ED10F5"/>
    <w:rsid w:val="00EE37F2"/>
    <w:rsid w:val="00EE6999"/>
    <w:rsid w:val="00EE7049"/>
    <w:rsid w:val="00F03652"/>
    <w:rsid w:val="00F20751"/>
    <w:rsid w:val="00F31F88"/>
    <w:rsid w:val="00F34438"/>
    <w:rsid w:val="00F42B0A"/>
    <w:rsid w:val="00F56811"/>
    <w:rsid w:val="00F60A1E"/>
    <w:rsid w:val="00F767E4"/>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1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 w:type="character" w:styleId="Hyperlink">
    <w:name w:val="Hyperlink"/>
    <w:basedOn w:val="DefaultParagraphFont"/>
    <w:uiPriority w:val="99"/>
    <w:unhideWhenUsed/>
    <w:rsid w:val="00254D95"/>
    <w:rPr>
      <w:color w:val="0000FF"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table" w:styleId="TableGrid">
    <w:name w:val="Table Grid"/>
    <w:basedOn w:val="TableNormal"/>
    <w:uiPriority w:val="39"/>
    <w:rsid w:val="00A9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Singapore-Australia Free Trade Agreement (SAFTA) - Side letter on Agreement between Australia and Mexico regarding Termination of Investment Promotion and Protection Agreement</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and Progressive Agreement for Trans-Pacific Partnership (CPTPP) - Agreement between Australia and New Zealand regarding Investor State Dispute Settlement, Trade Remedies and Transport Services</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8</cp:revision>
  <cp:lastPrinted>2022-06-03T02:34:00Z</cp:lastPrinted>
  <dcterms:created xsi:type="dcterms:W3CDTF">2022-07-01T04:00:00Z</dcterms:created>
  <dcterms:modified xsi:type="dcterms:W3CDTF">2022-07-05T01:42:00Z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