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682A3" w14:textId="76A22DD5" w:rsidR="00EA4816" w:rsidRDefault="00EA4816" w:rsidP="00EA4816">
      <w:pPr>
        <w:pStyle w:val="Heading1"/>
      </w:pPr>
      <w:r>
        <w:t>Solomon Islands Medical Partnership for Learning, Education and Research (SIMPLER) Independent Review</w:t>
      </w:r>
    </w:p>
    <w:p w14:paraId="286F5297" w14:textId="06D38448" w:rsidR="00EC14D3" w:rsidRPr="00F90F27" w:rsidRDefault="00EF5D98" w:rsidP="00F90F27">
      <w:pPr>
        <w:pStyle w:val="Heading1"/>
      </w:pPr>
      <w:r w:rsidRPr="00F90F27">
        <w:t>Management Response</w:t>
      </w:r>
      <w:r w:rsidR="00CE7B86" w:rsidRPr="00F90F27">
        <w:t xml:space="preserve"> </w:t>
      </w:r>
    </w:p>
    <w:p w14:paraId="2A2AC9A2" w14:textId="5EAB2942" w:rsidR="00EC14D3" w:rsidRPr="009F40E8" w:rsidRDefault="00EC14D3" w:rsidP="00A40C52">
      <w:pPr>
        <w:spacing w:line="276" w:lineRule="auto"/>
      </w:pPr>
    </w:p>
    <w:p w14:paraId="5205F229" w14:textId="6963A23A" w:rsidR="00371272" w:rsidRPr="00E33AB6" w:rsidRDefault="00CA6690" w:rsidP="00A40C52">
      <w:pPr>
        <w:spacing w:line="276" w:lineRule="auto"/>
      </w:pPr>
      <w:r w:rsidRPr="00CA6690">
        <w:t>This document outlines DFAT</w:t>
      </w:r>
      <w:r w:rsidR="00E33AB6">
        <w:t>’s</w:t>
      </w:r>
      <w:r w:rsidRPr="00CA6690">
        <w:t xml:space="preserve"> management response to the </w:t>
      </w:r>
      <w:r w:rsidR="00EA4816">
        <w:t>independent</w:t>
      </w:r>
      <w:r w:rsidR="00E33AB6">
        <w:t xml:space="preserve"> review of the</w:t>
      </w:r>
      <w:r w:rsidR="00EA4816">
        <w:t xml:space="preserve"> </w:t>
      </w:r>
      <w:r w:rsidR="00EA4816" w:rsidRPr="00EA4816">
        <w:t>Solomon Island</w:t>
      </w:r>
      <w:r w:rsidR="003F0123">
        <w:t>s Medical Partnership for Learning, Education and Research (SIMPLER</w:t>
      </w:r>
      <w:r w:rsidR="00E33AB6">
        <w:t>)</w:t>
      </w:r>
      <w:r w:rsidR="003F0123">
        <w:t xml:space="preserve"> commissioned by </w:t>
      </w:r>
      <w:r w:rsidR="001C69A6">
        <w:t>Australian Volunteers International</w:t>
      </w:r>
      <w:r w:rsidRPr="00CA6690">
        <w:t xml:space="preserve">. </w:t>
      </w:r>
      <w:r w:rsidR="0069678B">
        <w:t xml:space="preserve">‘Agree in principle’ has been used where the recommendation requires implementation that </w:t>
      </w:r>
      <w:r w:rsidR="00B65B18">
        <w:t>can not be taken forward as the program has now concluded. Where relevant, learnings from the SIMPLER program will inform DFAT’s f</w:t>
      </w:r>
      <w:r w:rsidR="00613356">
        <w:t>uture health sector support to Solomon Islands.</w:t>
      </w:r>
    </w:p>
    <w:tbl>
      <w:tblPr>
        <w:tblStyle w:val="GridTable4-Accent5"/>
        <w:tblW w:w="13745" w:type="dxa"/>
        <w:tblLayout w:type="fixed"/>
        <w:tblLook w:val="0420" w:firstRow="1" w:lastRow="0" w:firstColumn="0"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4815"/>
        <w:gridCol w:w="1276"/>
        <w:gridCol w:w="3402"/>
        <w:gridCol w:w="4252"/>
      </w:tblGrid>
      <w:tr w:rsidR="00D61F85" w:rsidRPr="00AB1D26" w14:paraId="764B27AC" w14:textId="77777777" w:rsidTr="0099549C">
        <w:trPr>
          <w:cnfStyle w:val="100000000000" w:firstRow="1" w:lastRow="0" w:firstColumn="0" w:lastColumn="0" w:oddVBand="0" w:evenVBand="0" w:oddHBand="0" w:evenHBand="0" w:firstRowFirstColumn="0" w:firstRowLastColumn="0" w:lastRowFirstColumn="0" w:lastRowLastColumn="0"/>
          <w:trHeight w:val="482"/>
          <w:tblHeader/>
        </w:trPr>
        <w:tc>
          <w:tcPr>
            <w:tcW w:w="4815" w:type="dxa"/>
            <w:hideMark/>
          </w:tcPr>
          <w:p w14:paraId="595505C8" w14:textId="77777777" w:rsidR="00D61F85" w:rsidRPr="00AB1D26" w:rsidRDefault="00D61F85" w:rsidP="00AB1D26">
            <w:pPr>
              <w:suppressAutoHyphens/>
              <w:spacing w:before="60" w:after="60" w:line="260" w:lineRule="atLeast"/>
              <w:rPr>
                <w:rFonts w:ascii="Calibri" w:eastAsia="Calibri Light" w:hAnsi="Calibri" w:cs="Times New Roman"/>
                <w:color w:val="auto"/>
                <w:lang w:val="en-GB"/>
              </w:rPr>
            </w:pPr>
            <w:bookmarkStart w:id="0" w:name="_Hlk57042345"/>
            <w:r w:rsidRPr="00AB1D26">
              <w:rPr>
                <w:rFonts w:ascii="Calibri" w:eastAsia="Calibri Light" w:hAnsi="Calibri" w:cs="Times New Roman"/>
                <w:color w:val="auto"/>
                <w:lang w:val="en-GB"/>
              </w:rPr>
              <w:t>Recommendation</w:t>
            </w:r>
          </w:p>
        </w:tc>
        <w:tc>
          <w:tcPr>
            <w:tcW w:w="1276" w:type="dxa"/>
            <w:hideMark/>
          </w:tcPr>
          <w:p w14:paraId="2DCBA79E" w14:textId="77777777" w:rsidR="00D61F85" w:rsidRPr="00AB1D26" w:rsidRDefault="00D61F85" w:rsidP="00AB1D26">
            <w:pPr>
              <w:suppressAutoHyphens/>
              <w:spacing w:before="60" w:after="60" w:line="260" w:lineRule="atLeast"/>
              <w:rPr>
                <w:rFonts w:ascii="Calibri" w:eastAsia="Calibri Light" w:hAnsi="Calibri" w:cs="Times New Roman"/>
                <w:color w:val="auto"/>
                <w:lang w:val="en-GB"/>
              </w:rPr>
            </w:pPr>
            <w:r w:rsidRPr="00AB1D26">
              <w:rPr>
                <w:rFonts w:ascii="Calibri" w:eastAsia="Calibri Light" w:hAnsi="Calibri" w:cs="Times New Roman"/>
                <w:color w:val="auto"/>
                <w:lang w:val="en-GB"/>
              </w:rPr>
              <w:t xml:space="preserve">Response </w:t>
            </w:r>
          </w:p>
        </w:tc>
        <w:tc>
          <w:tcPr>
            <w:tcW w:w="3402" w:type="dxa"/>
            <w:hideMark/>
          </w:tcPr>
          <w:p w14:paraId="78EA29B1" w14:textId="77777777" w:rsidR="00D61F85" w:rsidRPr="00AB1D26" w:rsidRDefault="00D61F85" w:rsidP="00AB1D26">
            <w:pPr>
              <w:suppressAutoHyphens/>
              <w:spacing w:before="60" w:after="60" w:line="260" w:lineRule="atLeast"/>
              <w:rPr>
                <w:rFonts w:ascii="Calibri" w:eastAsia="Calibri Light" w:hAnsi="Calibri" w:cs="Times New Roman"/>
                <w:color w:val="auto"/>
                <w:lang w:val="en-GB"/>
              </w:rPr>
            </w:pPr>
            <w:r w:rsidRPr="00AB1D26">
              <w:rPr>
                <w:rFonts w:ascii="Calibri" w:eastAsia="Calibri Light" w:hAnsi="Calibri" w:cs="Times New Roman"/>
                <w:color w:val="auto"/>
                <w:lang w:val="en-GB"/>
              </w:rPr>
              <w:t xml:space="preserve">Explanation </w:t>
            </w:r>
          </w:p>
        </w:tc>
        <w:tc>
          <w:tcPr>
            <w:tcW w:w="4252" w:type="dxa"/>
            <w:hideMark/>
          </w:tcPr>
          <w:p w14:paraId="4A4E6E93" w14:textId="77777777" w:rsidR="00D61F85" w:rsidRPr="00AB1D26" w:rsidRDefault="00D61F85" w:rsidP="00AB1D26">
            <w:pPr>
              <w:suppressAutoHyphens/>
              <w:spacing w:before="60" w:after="60" w:line="260" w:lineRule="atLeast"/>
              <w:rPr>
                <w:rFonts w:ascii="Calibri" w:eastAsia="Calibri Light" w:hAnsi="Calibri" w:cs="Times New Roman"/>
                <w:color w:val="auto"/>
                <w:lang w:val="en-GB"/>
              </w:rPr>
            </w:pPr>
            <w:r w:rsidRPr="00AB1D26">
              <w:rPr>
                <w:rFonts w:ascii="Calibri" w:eastAsia="Calibri Light" w:hAnsi="Calibri" w:cs="Times New Roman"/>
                <w:color w:val="auto"/>
                <w:lang w:val="en-GB"/>
              </w:rPr>
              <w:t xml:space="preserve">Action plan </w:t>
            </w:r>
          </w:p>
        </w:tc>
      </w:tr>
      <w:tr w:rsidR="00D61F85" w:rsidRPr="009F40E8" w14:paraId="05282CCF" w14:textId="77777777" w:rsidTr="0099549C">
        <w:trPr>
          <w:cnfStyle w:val="000000100000" w:firstRow="0" w:lastRow="0" w:firstColumn="0" w:lastColumn="0" w:oddVBand="0" w:evenVBand="0" w:oddHBand="1" w:evenHBand="0" w:firstRowFirstColumn="0" w:firstRowLastColumn="0" w:lastRowFirstColumn="0" w:lastRowLastColumn="0"/>
          <w:trHeight w:val="1456"/>
        </w:trPr>
        <w:tc>
          <w:tcPr>
            <w:tcW w:w="4815" w:type="dxa"/>
          </w:tcPr>
          <w:p w14:paraId="2FFD7838" w14:textId="2B2C457D" w:rsidR="00D61F85" w:rsidRPr="00626A59" w:rsidRDefault="00D61F85" w:rsidP="00626A59">
            <w:pPr>
              <w:suppressAutoHyphens/>
              <w:spacing w:before="60" w:after="60" w:line="260" w:lineRule="atLeast"/>
              <w:rPr>
                <w:rFonts w:ascii="Calibri" w:eastAsia="Calibri Light" w:hAnsi="Calibri" w:cs="Times New Roman"/>
                <w:b/>
                <w:bCs/>
                <w:lang w:val="en-GB"/>
              </w:rPr>
            </w:pPr>
            <w:r w:rsidRPr="007370D3">
              <w:rPr>
                <w:rFonts w:ascii="Calibri" w:eastAsia="Calibri Light" w:hAnsi="Calibri" w:cs="Times New Roman"/>
                <w:lang w:val="en-GB"/>
              </w:rPr>
              <w:t xml:space="preserve">1. </w:t>
            </w:r>
            <w:r w:rsidR="00626A59" w:rsidRPr="00626A59">
              <w:rPr>
                <w:rFonts w:ascii="Calibri" w:eastAsia="Calibri Light" w:hAnsi="Calibri" w:cs="Times New Roman"/>
                <w:lang w:val="en-GB"/>
              </w:rPr>
              <w:t>DFAT should seek to establish a coordination function with other Australian not-for-profit organisations supporting Solomon Islands health system to ensure the coherence of volunteer and technical assistance provided and alignment with the National Health Strategic Plan.</w:t>
            </w:r>
          </w:p>
        </w:tc>
        <w:tc>
          <w:tcPr>
            <w:tcW w:w="1276" w:type="dxa"/>
          </w:tcPr>
          <w:p w14:paraId="29F9CE78" w14:textId="3947E180" w:rsidR="00D61F85" w:rsidRPr="00BF1C4A" w:rsidRDefault="00BF1C4A" w:rsidP="00AB1D26">
            <w:pPr>
              <w:suppressAutoHyphens/>
              <w:spacing w:before="60" w:after="60" w:line="260" w:lineRule="atLeast"/>
              <w:rPr>
                <w:rFonts w:ascii="Calibri" w:eastAsia="Calibri Light" w:hAnsi="Calibri" w:cs="Times New Roman"/>
                <w:lang w:val="en-GB"/>
              </w:rPr>
            </w:pPr>
            <w:r w:rsidRPr="00BF1C4A">
              <w:rPr>
                <w:rFonts w:ascii="Calibri" w:eastAsia="Calibri Light" w:hAnsi="Calibri" w:cs="Times New Roman"/>
                <w:lang w:val="en-GB"/>
              </w:rPr>
              <w:t>Agree</w:t>
            </w:r>
          </w:p>
        </w:tc>
        <w:tc>
          <w:tcPr>
            <w:tcW w:w="3402" w:type="dxa"/>
          </w:tcPr>
          <w:p w14:paraId="6F728810" w14:textId="27908A5E" w:rsidR="00D61F85" w:rsidRPr="00BF1C4A" w:rsidRDefault="00BF1C4A" w:rsidP="00480FEA">
            <w:pPr>
              <w:suppressAutoHyphens/>
              <w:spacing w:before="60" w:after="60" w:line="260" w:lineRule="atLeast"/>
              <w:rPr>
                <w:rFonts w:ascii="Calibri" w:eastAsia="Calibri Light" w:hAnsi="Calibri" w:cs="Times New Roman"/>
                <w:lang w:val="en-GB"/>
              </w:rPr>
            </w:pPr>
            <w:r w:rsidRPr="00BF1C4A">
              <w:rPr>
                <w:rFonts w:ascii="Calibri" w:eastAsia="Calibri Light" w:hAnsi="Calibri" w:cs="Times New Roman"/>
                <w:lang w:val="en-GB"/>
              </w:rPr>
              <w:t xml:space="preserve">There </w:t>
            </w:r>
            <w:r>
              <w:rPr>
                <w:rFonts w:ascii="Calibri" w:eastAsia="Calibri Light" w:hAnsi="Calibri" w:cs="Times New Roman"/>
                <w:lang w:val="en-GB"/>
              </w:rPr>
              <w:t>are many</w:t>
            </w:r>
            <w:r w:rsidR="009B0565">
              <w:rPr>
                <w:rFonts w:ascii="Calibri" w:eastAsia="Calibri Light" w:hAnsi="Calibri" w:cs="Times New Roman"/>
                <w:lang w:val="en-GB"/>
              </w:rPr>
              <w:t xml:space="preserve"> active and </w:t>
            </w:r>
            <w:r w:rsidR="004F18D2">
              <w:rPr>
                <w:rFonts w:ascii="Calibri" w:eastAsia="Calibri Light" w:hAnsi="Calibri" w:cs="Times New Roman"/>
                <w:lang w:val="en-GB"/>
              </w:rPr>
              <w:t>long-standing</w:t>
            </w:r>
            <w:r>
              <w:rPr>
                <w:rFonts w:ascii="Calibri" w:eastAsia="Calibri Light" w:hAnsi="Calibri" w:cs="Times New Roman"/>
                <w:lang w:val="en-GB"/>
              </w:rPr>
              <w:t xml:space="preserve"> partnerships between Solomon Islands and Australia</w:t>
            </w:r>
            <w:r w:rsidR="00DE112D">
              <w:rPr>
                <w:rFonts w:ascii="Calibri" w:eastAsia="Calibri Light" w:hAnsi="Calibri" w:cs="Times New Roman"/>
                <w:lang w:val="en-GB"/>
              </w:rPr>
              <w:t xml:space="preserve">n </w:t>
            </w:r>
            <w:r w:rsidR="009B0565">
              <w:rPr>
                <w:rFonts w:ascii="Calibri" w:eastAsia="Calibri Light" w:hAnsi="Calibri" w:cs="Times New Roman"/>
                <w:lang w:val="en-GB"/>
              </w:rPr>
              <w:t>clinicians</w:t>
            </w:r>
            <w:r w:rsidR="00D401F4">
              <w:rPr>
                <w:rFonts w:ascii="Calibri" w:eastAsia="Calibri Light" w:hAnsi="Calibri" w:cs="Times New Roman"/>
                <w:lang w:val="en-GB"/>
              </w:rPr>
              <w:t xml:space="preserve">, with a particular focus </w:t>
            </w:r>
            <w:r w:rsidR="00205C2D">
              <w:rPr>
                <w:rFonts w:ascii="Calibri" w:eastAsia="Calibri Light" w:hAnsi="Calibri" w:cs="Times New Roman"/>
                <w:lang w:val="en-GB"/>
              </w:rPr>
              <w:t>on</w:t>
            </w:r>
            <w:r w:rsidR="00D401F4">
              <w:rPr>
                <w:rFonts w:ascii="Calibri" w:eastAsia="Calibri Light" w:hAnsi="Calibri" w:cs="Times New Roman"/>
                <w:lang w:val="en-GB"/>
              </w:rPr>
              <w:t xml:space="preserve"> the National Referral Hospital</w:t>
            </w:r>
            <w:r w:rsidR="008A0437">
              <w:rPr>
                <w:rFonts w:ascii="Calibri" w:eastAsia="Calibri Light" w:hAnsi="Calibri" w:cs="Times New Roman"/>
                <w:lang w:val="en-GB"/>
              </w:rPr>
              <w:t xml:space="preserve"> (NRH)</w:t>
            </w:r>
            <w:r w:rsidR="00D401F4">
              <w:rPr>
                <w:rFonts w:ascii="Calibri" w:eastAsia="Calibri Light" w:hAnsi="Calibri" w:cs="Times New Roman"/>
                <w:lang w:val="en-GB"/>
              </w:rPr>
              <w:t xml:space="preserve"> in Honiara. DFAT is </w:t>
            </w:r>
            <w:r w:rsidR="00DE32FE">
              <w:rPr>
                <w:rFonts w:ascii="Calibri" w:eastAsia="Calibri Light" w:hAnsi="Calibri" w:cs="Times New Roman"/>
                <w:lang w:val="en-GB"/>
              </w:rPr>
              <w:t>exploring options to increase coordination and coherence.</w:t>
            </w:r>
            <w:r w:rsidR="00D401F4">
              <w:rPr>
                <w:rFonts w:ascii="Calibri" w:eastAsia="Calibri Light" w:hAnsi="Calibri" w:cs="Times New Roman"/>
                <w:lang w:val="en-GB"/>
              </w:rPr>
              <w:t xml:space="preserve"> </w:t>
            </w:r>
          </w:p>
        </w:tc>
        <w:tc>
          <w:tcPr>
            <w:tcW w:w="4252" w:type="dxa"/>
          </w:tcPr>
          <w:p w14:paraId="17DAD00A" w14:textId="09014E90" w:rsidR="00D61F85" w:rsidRPr="00BF1C4A" w:rsidRDefault="00DE32FE" w:rsidP="0049543E">
            <w:pPr>
              <w:suppressAutoHyphens/>
              <w:spacing w:before="60" w:after="60" w:line="260" w:lineRule="atLeast"/>
              <w:rPr>
                <w:rFonts w:ascii="Calibri" w:eastAsia="Calibri Light" w:hAnsi="Calibri" w:cs="Times New Roman"/>
                <w:lang w:val="en-GB"/>
              </w:rPr>
            </w:pPr>
            <w:r>
              <w:rPr>
                <w:rFonts w:ascii="Calibri" w:eastAsia="Calibri Light" w:hAnsi="Calibri" w:cs="Times New Roman"/>
                <w:lang w:val="en-GB"/>
              </w:rPr>
              <w:t>Options for increasing coordination, coherence and visibility of clinical partnerships will be explored as part of the design of the next phase of Australia’s health sector support to Solomon Islands.</w:t>
            </w:r>
          </w:p>
        </w:tc>
      </w:tr>
      <w:tr w:rsidR="00D61F85" w:rsidRPr="00AB1D26" w14:paraId="3E0FB538" w14:textId="77777777" w:rsidTr="0099549C">
        <w:trPr>
          <w:trHeight w:val="1456"/>
        </w:trPr>
        <w:tc>
          <w:tcPr>
            <w:tcW w:w="4815" w:type="dxa"/>
          </w:tcPr>
          <w:p w14:paraId="714BAAEE" w14:textId="75A665B6" w:rsidR="00D61F85" w:rsidRPr="00AB1D26" w:rsidRDefault="00D61F85" w:rsidP="00322D07">
            <w:pPr>
              <w:suppressAutoHyphens/>
              <w:spacing w:before="60" w:after="60" w:line="260" w:lineRule="atLeast"/>
              <w:rPr>
                <w:rFonts w:ascii="Calibri" w:eastAsia="Calibri Light" w:hAnsi="Calibri" w:cs="Times New Roman"/>
                <w:b/>
                <w:bCs/>
                <w:lang w:val="en-GB"/>
              </w:rPr>
            </w:pPr>
            <w:r w:rsidRPr="00AB1D26">
              <w:rPr>
                <w:rFonts w:ascii="Calibri" w:eastAsia="Calibri Light" w:hAnsi="Calibri" w:cs="Times New Roman"/>
                <w:lang w:val="en-GB"/>
              </w:rPr>
              <w:t xml:space="preserve">2. </w:t>
            </w:r>
            <w:r w:rsidR="00322D07" w:rsidRPr="00322D07">
              <w:rPr>
                <w:rFonts w:ascii="Calibri" w:eastAsia="Calibri Light" w:hAnsi="Calibri" w:cs="Times New Roman"/>
                <w:lang w:val="en-GB"/>
              </w:rPr>
              <w:t>DFAT and AVI should establish systems to ensure all proposed volunteer assignments are aligned with the National Health Strategic Plan priority areas, such as decentralisation, and other Australian health sector investments</w:t>
            </w:r>
            <w:r w:rsidR="00791414" w:rsidRPr="00322D07">
              <w:rPr>
                <w:rFonts w:ascii="Calibri" w:eastAsia="Calibri Light" w:hAnsi="Calibri" w:cs="Times New Roman"/>
                <w:lang w:val="en-GB"/>
              </w:rPr>
              <w:t>.</w:t>
            </w:r>
          </w:p>
        </w:tc>
        <w:tc>
          <w:tcPr>
            <w:tcW w:w="1276" w:type="dxa"/>
          </w:tcPr>
          <w:p w14:paraId="7EE97354" w14:textId="0DF486CB" w:rsidR="00D61F85" w:rsidRPr="00BF1C4A" w:rsidRDefault="0027151F" w:rsidP="00AB1D26">
            <w:pPr>
              <w:suppressAutoHyphens/>
              <w:spacing w:before="60" w:after="60" w:line="260" w:lineRule="atLeast"/>
              <w:rPr>
                <w:rFonts w:ascii="Calibri" w:eastAsia="Calibri Light" w:hAnsi="Calibri" w:cs="Times New Roman"/>
                <w:lang w:val="en-GB"/>
              </w:rPr>
            </w:pPr>
            <w:r>
              <w:rPr>
                <w:rFonts w:ascii="Calibri" w:eastAsia="Calibri Light" w:hAnsi="Calibri" w:cs="Times New Roman"/>
                <w:lang w:val="en-GB"/>
              </w:rPr>
              <w:t>A</w:t>
            </w:r>
            <w:r w:rsidR="00FA72E8">
              <w:rPr>
                <w:rFonts w:ascii="Calibri" w:eastAsia="Calibri Light" w:hAnsi="Calibri" w:cs="Times New Roman"/>
                <w:lang w:val="en-GB"/>
              </w:rPr>
              <w:t>gree</w:t>
            </w:r>
            <w:r>
              <w:rPr>
                <w:rFonts w:ascii="Calibri" w:eastAsia="Calibri Light" w:hAnsi="Calibri" w:cs="Times New Roman"/>
                <w:lang w:val="en-GB"/>
              </w:rPr>
              <w:t xml:space="preserve"> in principle</w:t>
            </w:r>
          </w:p>
        </w:tc>
        <w:tc>
          <w:tcPr>
            <w:tcW w:w="3402" w:type="dxa"/>
          </w:tcPr>
          <w:p w14:paraId="5CFA5BEB" w14:textId="6C3B718D" w:rsidR="00D61F85" w:rsidRPr="00BF1C4A" w:rsidRDefault="0055757F" w:rsidP="00AB1D26">
            <w:pPr>
              <w:suppressAutoHyphens/>
              <w:spacing w:before="60" w:after="60" w:line="260" w:lineRule="atLeast"/>
              <w:rPr>
                <w:rFonts w:ascii="Calibri" w:eastAsia="Calibri Light" w:hAnsi="Calibri" w:cs="Times New Roman"/>
                <w:lang w:val="en-GB"/>
              </w:rPr>
            </w:pPr>
            <w:r>
              <w:rPr>
                <w:rFonts w:ascii="Calibri" w:eastAsia="Calibri Light" w:hAnsi="Calibri" w:cs="Times New Roman"/>
                <w:lang w:val="en-GB"/>
              </w:rPr>
              <w:t>Alignment with the Solomon Islands National Health Strategic Plan is a requirement for a</w:t>
            </w:r>
            <w:r w:rsidR="0027151F">
              <w:rPr>
                <w:rFonts w:ascii="Calibri" w:eastAsia="Calibri Light" w:hAnsi="Calibri" w:cs="Times New Roman"/>
                <w:lang w:val="en-GB"/>
              </w:rPr>
              <w:t>ll Australian health investments and activities</w:t>
            </w:r>
            <w:r w:rsidR="003B338B">
              <w:rPr>
                <w:rFonts w:ascii="Calibri" w:eastAsia="Calibri Light" w:hAnsi="Calibri" w:cs="Times New Roman"/>
                <w:lang w:val="en-GB"/>
              </w:rPr>
              <w:t>, including volunteer assignments</w:t>
            </w:r>
            <w:r w:rsidR="00FC1DE3">
              <w:rPr>
                <w:rFonts w:ascii="Calibri" w:eastAsia="Calibri Light" w:hAnsi="Calibri" w:cs="Times New Roman"/>
                <w:lang w:val="en-GB"/>
              </w:rPr>
              <w:t xml:space="preserve">. </w:t>
            </w:r>
          </w:p>
        </w:tc>
        <w:tc>
          <w:tcPr>
            <w:tcW w:w="4252" w:type="dxa"/>
          </w:tcPr>
          <w:p w14:paraId="0BA530B3" w14:textId="430FA572" w:rsidR="00D61F85" w:rsidRPr="00BF1C4A" w:rsidRDefault="00E4057D" w:rsidP="00AB1D26">
            <w:pPr>
              <w:suppressAutoHyphens/>
              <w:spacing w:before="60" w:after="60" w:line="260" w:lineRule="atLeast"/>
              <w:rPr>
                <w:rFonts w:ascii="Calibri" w:eastAsia="Calibri Light" w:hAnsi="Calibri" w:cs="Times New Roman"/>
                <w:lang w:val="en-GB"/>
              </w:rPr>
            </w:pPr>
            <w:r>
              <w:rPr>
                <w:rFonts w:ascii="Calibri" w:eastAsia="Calibri Light" w:hAnsi="Calibri" w:cs="Times New Roman"/>
                <w:lang w:val="en-GB"/>
              </w:rPr>
              <w:t xml:space="preserve">The role of </w:t>
            </w:r>
            <w:r w:rsidR="000B7B2C">
              <w:rPr>
                <w:rFonts w:ascii="Calibri" w:eastAsia="Calibri Light" w:hAnsi="Calibri" w:cs="Times New Roman"/>
                <w:lang w:val="en-GB"/>
              </w:rPr>
              <w:t xml:space="preserve">clinical partnerships including through </w:t>
            </w:r>
            <w:r>
              <w:rPr>
                <w:rFonts w:ascii="Calibri" w:eastAsia="Calibri Light" w:hAnsi="Calibri" w:cs="Times New Roman"/>
                <w:lang w:val="en-GB"/>
              </w:rPr>
              <w:t xml:space="preserve">volunteering </w:t>
            </w:r>
            <w:r w:rsidR="000B7B2C">
              <w:rPr>
                <w:rFonts w:ascii="Calibri" w:eastAsia="Calibri Light" w:hAnsi="Calibri" w:cs="Times New Roman"/>
                <w:lang w:val="en-GB"/>
              </w:rPr>
              <w:t xml:space="preserve">will be explored </w:t>
            </w:r>
            <w:r w:rsidR="00961C0A">
              <w:rPr>
                <w:rFonts w:ascii="Calibri" w:eastAsia="Calibri Light" w:hAnsi="Calibri" w:cs="Times New Roman"/>
                <w:lang w:val="en-GB"/>
              </w:rPr>
              <w:t>as part of the</w:t>
            </w:r>
            <w:r w:rsidR="000B7B2C">
              <w:rPr>
                <w:rFonts w:ascii="Calibri" w:eastAsia="Calibri Light" w:hAnsi="Calibri" w:cs="Times New Roman"/>
                <w:lang w:val="en-GB"/>
              </w:rPr>
              <w:t xml:space="preserve"> </w:t>
            </w:r>
            <w:r w:rsidR="00961C0A" w:rsidRPr="00961C0A">
              <w:rPr>
                <w:rFonts w:ascii="Calibri" w:eastAsia="Calibri Light" w:hAnsi="Calibri" w:cs="Times New Roman"/>
                <w:lang w:val="en-GB"/>
              </w:rPr>
              <w:t>design of the next phase of Australia’s health sector support to Solomon Islands.</w:t>
            </w:r>
          </w:p>
        </w:tc>
      </w:tr>
      <w:tr w:rsidR="00D61F85" w:rsidRPr="009F40E8" w14:paraId="323FCC01" w14:textId="77777777" w:rsidTr="0099549C">
        <w:trPr>
          <w:cnfStyle w:val="000000100000" w:firstRow="0" w:lastRow="0" w:firstColumn="0" w:lastColumn="0" w:oddVBand="0" w:evenVBand="0" w:oddHBand="1" w:evenHBand="0" w:firstRowFirstColumn="0" w:firstRowLastColumn="0" w:lastRowFirstColumn="0" w:lastRowLastColumn="0"/>
          <w:trHeight w:val="635"/>
        </w:trPr>
        <w:tc>
          <w:tcPr>
            <w:tcW w:w="4815" w:type="dxa"/>
          </w:tcPr>
          <w:p w14:paraId="7BA7F943" w14:textId="028D438D" w:rsidR="00D61F85" w:rsidRPr="00AB1D26" w:rsidRDefault="00D61F85" w:rsidP="009863AA">
            <w:pPr>
              <w:suppressAutoHyphens/>
              <w:spacing w:before="60" w:after="60" w:line="260" w:lineRule="atLeast"/>
              <w:rPr>
                <w:rFonts w:ascii="Calibri" w:eastAsia="Calibri Light" w:hAnsi="Calibri" w:cs="Times New Roman"/>
                <w:b/>
                <w:bCs/>
                <w:lang w:val="en-GB"/>
              </w:rPr>
            </w:pPr>
            <w:r w:rsidRPr="00AB1D26">
              <w:rPr>
                <w:rFonts w:ascii="Calibri" w:eastAsia="Calibri Light" w:hAnsi="Calibri" w:cs="Times New Roman"/>
                <w:lang w:val="en-GB"/>
              </w:rPr>
              <w:t xml:space="preserve">3. </w:t>
            </w:r>
            <w:r w:rsidR="009863AA" w:rsidRPr="009863AA">
              <w:rPr>
                <w:rFonts w:ascii="Calibri" w:eastAsia="Calibri Light" w:hAnsi="Calibri" w:cs="Times New Roman"/>
                <w:lang w:val="en-GB"/>
              </w:rPr>
              <w:t xml:space="preserve">Reporting against higher level outcomes of the program should be standard, with succinct </w:t>
            </w:r>
            <w:proofErr w:type="gramStart"/>
            <w:r w:rsidR="009863AA" w:rsidRPr="009863AA">
              <w:rPr>
                <w:rFonts w:ascii="Calibri" w:eastAsia="Calibri Light" w:hAnsi="Calibri" w:cs="Times New Roman"/>
                <w:lang w:val="en-GB"/>
              </w:rPr>
              <w:t>six monthly</w:t>
            </w:r>
            <w:proofErr w:type="gramEnd"/>
            <w:r w:rsidR="009863AA" w:rsidRPr="009863AA">
              <w:rPr>
                <w:rFonts w:ascii="Calibri" w:eastAsia="Calibri Light" w:hAnsi="Calibri" w:cs="Times New Roman"/>
                <w:lang w:val="en-GB"/>
              </w:rPr>
              <w:t xml:space="preserve"> reports provided directly to the NRH Executive highlighting the key program achievements for the period. Reporting systems, including DFAT approval processes need to be </w:t>
            </w:r>
            <w:r w:rsidR="009863AA" w:rsidRPr="009863AA">
              <w:rPr>
                <w:rFonts w:ascii="Calibri" w:eastAsia="Calibri Light" w:hAnsi="Calibri" w:cs="Times New Roman"/>
                <w:lang w:val="en-GB"/>
              </w:rPr>
              <w:lastRenderedPageBreak/>
              <w:t>streamlined to ensure this happens on a timely basis</w:t>
            </w:r>
            <w:r w:rsidR="00791414" w:rsidRPr="009863AA">
              <w:rPr>
                <w:rFonts w:ascii="Calibri" w:eastAsia="Calibri Light" w:hAnsi="Calibri" w:cs="Times New Roman"/>
                <w:lang w:val="en-GB"/>
              </w:rPr>
              <w:t>.</w:t>
            </w:r>
          </w:p>
        </w:tc>
        <w:tc>
          <w:tcPr>
            <w:tcW w:w="1276" w:type="dxa"/>
          </w:tcPr>
          <w:p w14:paraId="761269F6" w14:textId="7DB64A01" w:rsidR="002E1A18" w:rsidRPr="00C27094" w:rsidRDefault="00C27094" w:rsidP="00AB1D26">
            <w:pPr>
              <w:suppressAutoHyphens/>
              <w:spacing w:before="60" w:after="60" w:line="260" w:lineRule="atLeast"/>
              <w:rPr>
                <w:rFonts w:ascii="Calibri" w:eastAsia="Calibri Light" w:hAnsi="Calibri" w:cs="Times New Roman"/>
                <w:lang w:val="en-GB"/>
              </w:rPr>
            </w:pPr>
            <w:r w:rsidRPr="00C27094">
              <w:rPr>
                <w:rFonts w:ascii="Calibri" w:eastAsia="Calibri Light" w:hAnsi="Calibri" w:cs="Times New Roman"/>
                <w:lang w:val="en-GB"/>
              </w:rPr>
              <w:lastRenderedPageBreak/>
              <w:t xml:space="preserve">Agree </w:t>
            </w:r>
            <w:r w:rsidR="00D80D08">
              <w:rPr>
                <w:rFonts w:ascii="Calibri" w:eastAsia="Calibri Light" w:hAnsi="Calibri" w:cs="Times New Roman"/>
                <w:lang w:val="en-GB"/>
              </w:rPr>
              <w:t>in principle</w:t>
            </w:r>
          </w:p>
        </w:tc>
        <w:tc>
          <w:tcPr>
            <w:tcW w:w="3402" w:type="dxa"/>
          </w:tcPr>
          <w:p w14:paraId="3B77EE7D" w14:textId="2CE5FA75" w:rsidR="00D61F85" w:rsidRPr="00E94D82" w:rsidRDefault="00C27094" w:rsidP="00AB1D26">
            <w:pPr>
              <w:suppressAutoHyphens/>
              <w:spacing w:before="60" w:after="60" w:line="260" w:lineRule="atLeast"/>
              <w:rPr>
                <w:rFonts w:ascii="Calibri" w:eastAsia="Calibri Light" w:hAnsi="Calibri" w:cs="Times New Roman"/>
                <w:lang w:val="en-GB"/>
              </w:rPr>
            </w:pPr>
            <w:r w:rsidRPr="00E94D82">
              <w:rPr>
                <w:rFonts w:ascii="Calibri" w:eastAsia="Calibri Light" w:hAnsi="Calibri" w:cs="Times New Roman"/>
                <w:lang w:val="en-GB"/>
              </w:rPr>
              <w:t xml:space="preserve">DFAT agrees with the intent of this recommendation </w:t>
            </w:r>
            <w:r w:rsidR="00EA3068" w:rsidRPr="00E94D82">
              <w:rPr>
                <w:rFonts w:ascii="Calibri" w:eastAsia="Calibri Light" w:hAnsi="Calibri" w:cs="Times New Roman"/>
                <w:lang w:val="en-GB"/>
              </w:rPr>
              <w:t xml:space="preserve">including the </w:t>
            </w:r>
            <w:r w:rsidR="00F47F75">
              <w:rPr>
                <w:rFonts w:ascii="Calibri" w:eastAsia="Calibri Light" w:hAnsi="Calibri" w:cs="Times New Roman"/>
                <w:lang w:val="en-GB"/>
              </w:rPr>
              <w:t xml:space="preserve">importance </w:t>
            </w:r>
            <w:r w:rsidR="00EA3068" w:rsidRPr="00E94D82">
              <w:rPr>
                <w:rFonts w:ascii="Calibri" w:eastAsia="Calibri Light" w:hAnsi="Calibri" w:cs="Times New Roman"/>
                <w:lang w:val="en-GB"/>
              </w:rPr>
              <w:t>of timely</w:t>
            </w:r>
            <w:r w:rsidR="00F47F75">
              <w:rPr>
                <w:rFonts w:ascii="Calibri" w:eastAsia="Calibri Light" w:hAnsi="Calibri" w:cs="Times New Roman"/>
                <w:lang w:val="en-GB"/>
              </w:rPr>
              <w:t>,</w:t>
            </w:r>
            <w:r w:rsidR="00EA3068" w:rsidRPr="00E94D82">
              <w:rPr>
                <w:rFonts w:ascii="Calibri" w:eastAsia="Calibri Light" w:hAnsi="Calibri" w:cs="Times New Roman"/>
                <w:lang w:val="en-GB"/>
              </w:rPr>
              <w:t xml:space="preserve"> regular </w:t>
            </w:r>
            <w:r w:rsidR="00F47F75">
              <w:rPr>
                <w:rFonts w:ascii="Calibri" w:eastAsia="Calibri Light" w:hAnsi="Calibri" w:cs="Times New Roman"/>
                <w:lang w:val="en-GB"/>
              </w:rPr>
              <w:t xml:space="preserve">and informative </w:t>
            </w:r>
            <w:r w:rsidR="00EA3068" w:rsidRPr="00E94D82">
              <w:rPr>
                <w:rFonts w:ascii="Calibri" w:eastAsia="Calibri Light" w:hAnsi="Calibri" w:cs="Times New Roman"/>
                <w:lang w:val="en-GB"/>
              </w:rPr>
              <w:t xml:space="preserve">reporting to </w:t>
            </w:r>
            <w:r w:rsidR="008A0437">
              <w:rPr>
                <w:rFonts w:ascii="Calibri" w:eastAsia="Calibri Light" w:hAnsi="Calibri" w:cs="Times New Roman"/>
                <w:lang w:val="en-GB"/>
              </w:rPr>
              <w:t>NRH officials</w:t>
            </w:r>
            <w:r w:rsidR="00E44F1A">
              <w:rPr>
                <w:rFonts w:ascii="Calibri" w:eastAsia="Calibri Light" w:hAnsi="Calibri" w:cs="Times New Roman"/>
                <w:lang w:val="en-GB"/>
              </w:rPr>
              <w:t xml:space="preserve">. </w:t>
            </w:r>
          </w:p>
        </w:tc>
        <w:tc>
          <w:tcPr>
            <w:tcW w:w="4252" w:type="dxa"/>
          </w:tcPr>
          <w:p w14:paraId="03050F73" w14:textId="2FF9CF5E" w:rsidR="00D61F85" w:rsidRPr="00E94D82" w:rsidRDefault="00525542" w:rsidP="00AB1D26">
            <w:pPr>
              <w:suppressAutoHyphens/>
              <w:spacing w:before="60" w:after="60" w:line="260" w:lineRule="atLeast"/>
              <w:rPr>
                <w:rFonts w:ascii="Calibri" w:eastAsia="Calibri Light" w:hAnsi="Calibri" w:cs="Times New Roman"/>
                <w:lang w:val="en-GB"/>
              </w:rPr>
            </w:pPr>
            <w:r>
              <w:rPr>
                <w:rFonts w:ascii="Calibri" w:eastAsia="Calibri Light" w:hAnsi="Calibri" w:cs="Times New Roman"/>
                <w:lang w:val="en-GB"/>
              </w:rPr>
              <w:t>L</w:t>
            </w:r>
            <w:r w:rsidR="00E44F1A">
              <w:rPr>
                <w:rFonts w:ascii="Calibri" w:eastAsia="Calibri Light" w:hAnsi="Calibri" w:cs="Times New Roman"/>
                <w:lang w:val="en-GB"/>
              </w:rPr>
              <w:t xml:space="preserve">earnings from the SIMPLER program in this area </w:t>
            </w:r>
            <w:r w:rsidR="00C042AA">
              <w:rPr>
                <w:rFonts w:ascii="Calibri" w:eastAsia="Calibri Light" w:hAnsi="Calibri" w:cs="Times New Roman"/>
                <w:lang w:val="en-GB"/>
              </w:rPr>
              <w:t>can</w:t>
            </w:r>
            <w:r w:rsidR="00E44F1A">
              <w:rPr>
                <w:rFonts w:ascii="Calibri" w:eastAsia="Calibri Light" w:hAnsi="Calibri" w:cs="Times New Roman"/>
                <w:lang w:val="en-GB"/>
              </w:rPr>
              <w:t xml:space="preserve"> inform future support to NRH. </w:t>
            </w:r>
            <w:r w:rsidR="00E44F1A" w:rsidRPr="00E94D82">
              <w:rPr>
                <w:rFonts w:ascii="Calibri" w:eastAsia="Calibri Light" w:hAnsi="Calibri" w:cs="Times New Roman"/>
                <w:lang w:val="en-GB"/>
              </w:rPr>
              <w:t xml:space="preserve"> </w:t>
            </w:r>
          </w:p>
        </w:tc>
      </w:tr>
      <w:tr w:rsidR="00D61F85" w:rsidRPr="00AB1D26" w14:paraId="65E958A1" w14:textId="77777777" w:rsidTr="0099549C">
        <w:trPr>
          <w:trHeight w:val="1456"/>
        </w:trPr>
        <w:tc>
          <w:tcPr>
            <w:tcW w:w="4815" w:type="dxa"/>
          </w:tcPr>
          <w:p w14:paraId="54821635" w14:textId="4C6E418F" w:rsidR="00D61F85" w:rsidRPr="00AB1D26" w:rsidRDefault="00D61F85" w:rsidP="00137325">
            <w:pPr>
              <w:suppressAutoHyphens/>
              <w:spacing w:before="60" w:after="60" w:line="260" w:lineRule="atLeast"/>
              <w:rPr>
                <w:rFonts w:ascii="Calibri" w:eastAsia="Calibri Light" w:hAnsi="Calibri" w:cs="Times New Roman"/>
                <w:b/>
                <w:bCs/>
                <w:lang w:val="en-GB"/>
              </w:rPr>
            </w:pPr>
            <w:r w:rsidRPr="00AB1D26">
              <w:rPr>
                <w:rFonts w:ascii="Calibri" w:eastAsia="Calibri Light" w:hAnsi="Calibri" w:cs="Times New Roman"/>
                <w:lang w:val="en-GB"/>
              </w:rPr>
              <w:t xml:space="preserve">4. </w:t>
            </w:r>
            <w:r w:rsidR="00137325" w:rsidRPr="00137325">
              <w:rPr>
                <w:rFonts w:ascii="Calibri" w:eastAsia="Calibri Light" w:hAnsi="Calibri" w:cs="Times New Roman"/>
                <w:lang w:val="en-GB"/>
              </w:rPr>
              <w:t>All outcome-focused program reporting should be structured so it specifically identifies which Strategic Objectives and Priorities in the National Health Strategic Plan the outcome is contributing to</w:t>
            </w:r>
            <w:r w:rsidR="00C8157E" w:rsidRPr="00137325">
              <w:rPr>
                <w:rFonts w:ascii="Calibri" w:eastAsia="Calibri Light" w:hAnsi="Calibri" w:cs="Times New Roman"/>
                <w:lang w:val="en-GB"/>
              </w:rPr>
              <w:t>.</w:t>
            </w:r>
          </w:p>
        </w:tc>
        <w:tc>
          <w:tcPr>
            <w:tcW w:w="1276" w:type="dxa"/>
          </w:tcPr>
          <w:p w14:paraId="1D9AD2E9" w14:textId="4DCB02EB" w:rsidR="00D61F85" w:rsidRPr="007D7302" w:rsidRDefault="00790E2C" w:rsidP="00AB1D26">
            <w:pPr>
              <w:suppressAutoHyphens/>
              <w:spacing w:before="60" w:after="60" w:line="260" w:lineRule="atLeast"/>
              <w:rPr>
                <w:rFonts w:ascii="Calibri" w:eastAsia="Calibri Light" w:hAnsi="Calibri" w:cs="Times New Roman"/>
                <w:lang w:val="en-GB"/>
              </w:rPr>
            </w:pPr>
            <w:r>
              <w:rPr>
                <w:rFonts w:ascii="Calibri" w:eastAsia="Calibri Light" w:hAnsi="Calibri" w:cs="Times New Roman"/>
                <w:lang w:val="en-GB"/>
              </w:rPr>
              <w:t>Agree in principle</w:t>
            </w:r>
          </w:p>
        </w:tc>
        <w:tc>
          <w:tcPr>
            <w:tcW w:w="3402" w:type="dxa"/>
          </w:tcPr>
          <w:p w14:paraId="5799FE73" w14:textId="0CDD95EC" w:rsidR="004F19D8" w:rsidRPr="007D7302" w:rsidRDefault="009F7A34" w:rsidP="006E0A5B">
            <w:pPr>
              <w:suppressAutoHyphens/>
              <w:spacing w:before="60" w:after="60" w:line="260" w:lineRule="atLeast"/>
              <w:rPr>
                <w:rFonts w:ascii="Calibri" w:eastAsia="Calibri Light" w:hAnsi="Calibri" w:cs="Times New Roman"/>
                <w:lang w:val="en-GB"/>
              </w:rPr>
            </w:pPr>
            <w:r w:rsidRPr="009F7A34">
              <w:rPr>
                <w:rFonts w:ascii="Calibri" w:eastAsia="Calibri Light" w:hAnsi="Calibri" w:cs="Times New Roman"/>
                <w:lang w:val="en-GB"/>
              </w:rPr>
              <w:t>DFAT agrees with the intent of this recommendation</w:t>
            </w:r>
            <w:r>
              <w:rPr>
                <w:rFonts w:ascii="Calibri" w:eastAsia="Calibri Light" w:hAnsi="Calibri" w:cs="Times New Roman"/>
                <w:lang w:val="en-GB"/>
              </w:rPr>
              <w:t xml:space="preserve">, </w:t>
            </w:r>
            <w:r w:rsidR="00F3557C">
              <w:rPr>
                <w:rFonts w:ascii="Calibri" w:eastAsia="Calibri Light" w:hAnsi="Calibri" w:cs="Times New Roman"/>
                <w:lang w:val="en-GB"/>
              </w:rPr>
              <w:t>noting</w:t>
            </w:r>
            <w:r w:rsidR="00885B9F">
              <w:rPr>
                <w:rFonts w:ascii="Calibri" w:eastAsia="Calibri Light" w:hAnsi="Calibri" w:cs="Times New Roman"/>
                <w:lang w:val="en-GB"/>
              </w:rPr>
              <w:t xml:space="preserve"> the </w:t>
            </w:r>
            <w:r>
              <w:rPr>
                <w:rFonts w:ascii="Calibri" w:eastAsia="Calibri Light" w:hAnsi="Calibri" w:cs="Times New Roman"/>
                <w:lang w:val="en-GB"/>
              </w:rPr>
              <w:t>expect</w:t>
            </w:r>
            <w:r w:rsidR="00885B9F">
              <w:rPr>
                <w:rFonts w:ascii="Calibri" w:eastAsia="Calibri Light" w:hAnsi="Calibri" w:cs="Times New Roman"/>
                <w:lang w:val="en-GB"/>
              </w:rPr>
              <w:t>ation that</w:t>
            </w:r>
            <w:r>
              <w:rPr>
                <w:rFonts w:ascii="Calibri" w:eastAsia="Calibri Light" w:hAnsi="Calibri" w:cs="Times New Roman"/>
                <w:lang w:val="en-GB"/>
              </w:rPr>
              <w:t xml:space="preserve"> all health investments </w:t>
            </w:r>
            <w:r w:rsidR="00885B9F">
              <w:rPr>
                <w:rFonts w:ascii="Calibri" w:eastAsia="Calibri Light" w:hAnsi="Calibri" w:cs="Times New Roman"/>
                <w:lang w:val="en-GB"/>
              </w:rPr>
              <w:t xml:space="preserve">and activities align with the National Health Strategic Plan. </w:t>
            </w:r>
          </w:p>
        </w:tc>
        <w:tc>
          <w:tcPr>
            <w:tcW w:w="4252" w:type="dxa"/>
          </w:tcPr>
          <w:p w14:paraId="49C35865" w14:textId="77BC884D" w:rsidR="00D61F85" w:rsidRPr="007D7302" w:rsidRDefault="00C96F71" w:rsidP="00AB1D26">
            <w:pPr>
              <w:suppressAutoHyphens/>
              <w:spacing w:before="60" w:after="60" w:line="260" w:lineRule="atLeast"/>
              <w:rPr>
                <w:rFonts w:ascii="Calibri" w:eastAsia="Calibri Light" w:hAnsi="Calibri" w:cs="Times New Roman"/>
                <w:lang w:val="en-GB"/>
              </w:rPr>
            </w:pPr>
            <w:r>
              <w:rPr>
                <w:rFonts w:ascii="Calibri" w:eastAsia="Calibri Light" w:hAnsi="Calibri" w:cs="Times New Roman"/>
                <w:lang w:val="en-GB"/>
              </w:rPr>
              <w:t xml:space="preserve">Learnings from the SIMPLER program in this area </w:t>
            </w:r>
            <w:r w:rsidR="00C042AA">
              <w:rPr>
                <w:rFonts w:ascii="Calibri" w:eastAsia="Calibri Light" w:hAnsi="Calibri" w:cs="Times New Roman"/>
                <w:lang w:val="en-GB"/>
              </w:rPr>
              <w:t>can</w:t>
            </w:r>
            <w:r>
              <w:rPr>
                <w:rFonts w:ascii="Calibri" w:eastAsia="Calibri Light" w:hAnsi="Calibri" w:cs="Times New Roman"/>
                <w:lang w:val="en-GB"/>
              </w:rPr>
              <w:t xml:space="preserve"> inform future support to NRH</w:t>
            </w:r>
            <w:r w:rsidR="00E26C3F">
              <w:rPr>
                <w:rFonts w:ascii="Calibri" w:eastAsia="Calibri Light" w:hAnsi="Calibri" w:cs="Times New Roman"/>
                <w:lang w:val="en-GB"/>
              </w:rPr>
              <w:t xml:space="preserve"> and clinical partnerships more broadly</w:t>
            </w:r>
            <w:r>
              <w:rPr>
                <w:rFonts w:ascii="Calibri" w:eastAsia="Calibri Light" w:hAnsi="Calibri" w:cs="Times New Roman"/>
                <w:lang w:val="en-GB"/>
              </w:rPr>
              <w:t xml:space="preserve">. </w:t>
            </w:r>
            <w:r w:rsidRPr="00E94D82">
              <w:rPr>
                <w:rFonts w:ascii="Calibri" w:eastAsia="Calibri Light" w:hAnsi="Calibri" w:cs="Times New Roman"/>
                <w:lang w:val="en-GB"/>
              </w:rPr>
              <w:t xml:space="preserve"> </w:t>
            </w:r>
          </w:p>
        </w:tc>
      </w:tr>
      <w:tr w:rsidR="00D61F85" w:rsidRPr="009F40E8" w14:paraId="0B881990" w14:textId="77777777" w:rsidTr="0099549C">
        <w:trPr>
          <w:cnfStyle w:val="000000100000" w:firstRow="0" w:lastRow="0" w:firstColumn="0" w:lastColumn="0" w:oddVBand="0" w:evenVBand="0" w:oddHBand="1" w:evenHBand="0" w:firstRowFirstColumn="0" w:firstRowLastColumn="0" w:lastRowFirstColumn="0" w:lastRowLastColumn="0"/>
          <w:trHeight w:val="1456"/>
        </w:trPr>
        <w:tc>
          <w:tcPr>
            <w:tcW w:w="4815" w:type="dxa"/>
          </w:tcPr>
          <w:p w14:paraId="43F9FCF8" w14:textId="291F400C" w:rsidR="00D61F85" w:rsidRPr="00670EF7" w:rsidRDefault="00D61F85" w:rsidP="00670EF7">
            <w:pPr>
              <w:suppressAutoHyphens/>
              <w:spacing w:before="60" w:after="60" w:line="260" w:lineRule="atLeast"/>
              <w:rPr>
                <w:rFonts w:ascii="Calibri" w:eastAsia="Calibri Light" w:hAnsi="Calibri" w:cs="Times New Roman"/>
                <w:b/>
                <w:bCs/>
                <w:lang w:val="en-GB"/>
              </w:rPr>
            </w:pPr>
            <w:r w:rsidRPr="00670EF7">
              <w:rPr>
                <w:rFonts w:ascii="Calibri" w:eastAsia="Calibri Light" w:hAnsi="Calibri" w:cs="Times New Roman"/>
                <w:lang w:val="en-GB"/>
              </w:rPr>
              <w:t xml:space="preserve">5. </w:t>
            </w:r>
            <w:r w:rsidR="00670EF7" w:rsidRPr="00670EF7">
              <w:rPr>
                <w:rFonts w:ascii="Calibri" w:eastAsia="Calibri Light" w:hAnsi="Calibri" w:cs="Times New Roman"/>
                <w:lang w:val="en-GB"/>
              </w:rPr>
              <w:t>AVI should work with the Australian High Commission in Honiara to develop a calendar of strategic communications, highlighting the contribution that SIMPLER is making to Solomon Islands health system and maximising the public diplomacy benefits derived from the program.</w:t>
            </w:r>
          </w:p>
        </w:tc>
        <w:tc>
          <w:tcPr>
            <w:tcW w:w="1276" w:type="dxa"/>
          </w:tcPr>
          <w:p w14:paraId="686A7FD2" w14:textId="4439074B" w:rsidR="00D61F85" w:rsidRPr="002E1A18" w:rsidRDefault="00C96F71" w:rsidP="00AB1D26">
            <w:pPr>
              <w:suppressAutoHyphens/>
              <w:spacing w:before="60" w:after="60" w:line="260" w:lineRule="atLeast"/>
              <w:rPr>
                <w:rFonts w:ascii="Calibri" w:eastAsia="Calibri Light" w:hAnsi="Calibri" w:cs="Times New Roman"/>
                <w:lang w:val="en-GB"/>
              </w:rPr>
            </w:pPr>
            <w:r w:rsidRPr="00C96F71">
              <w:rPr>
                <w:rFonts w:ascii="Calibri" w:eastAsia="Calibri Light" w:hAnsi="Calibri" w:cs="Times New Roman"/>
                <w:lang w:val="en-GB"/>
              </w:rPr>
              <w:t>Agree in principle</w:t>
            </w:r>
          </w:p>
        </w:tc>
        <w:tc>
          <w:tcPr>
            <w:tcW w:w="3402" w:type="dxa"/>
          </w:tcPr>
          <w:p w14:paraId="58B6914D" w14:textId="4E7BCCE8" w:rsidR="00382AD5" w:rsidRPr="002E1A18" w:rsidRDefault="002660FF" w:rsidP="00AB1D26">
            <w:pPr>
              <w:suppressAutoHyphens/>
              <w:spacing w:before="60" w:after="60" w:line="260" w:lineRule="atLeast"/>
              <w:rPr>
                <w:rFonts w:ascii="Calibri" w:eastAsia="Calibri Light" w:hAnsi="Calibri" w:cs="Times New Roman"/>
                <w:lang w:val="en-GB"/>
              </w:rPr>
            </w:pPr>
            <w:r>
              <w:rPr>
                <w:rFonts w:ascii="Calibri" w:eastAsia="Calibri Light" w:hAnsi="Calibri" w:cs="Times New Roman"/>
                <w:lang w:val="en-GB"/>
              </w:rPr>
              <w:t>I</w:t>
            </w:r>
            <w:r w:rsidR="003C3DDC">
              <w:rPr>
                <w:rFonts w:ascii="Calibri" w:eastAsia="Calibri Light" w:hAnsi="Calibri" w:cs="Times New Roman"/>
                <w:lang w:val="en-GB"/>
              </w:rPr>
              <w:t xml:space="preserve">mplementing partners </w:t>
            </w:r>
            <w:r>
              <w:rPr>
                <w:rFonts w:ascii="Calibri" w:eastAsia="Calibri Light" w:hAnsi="Calibri" w:cs="Times New Roman"/>
                <w:lang w:val="en-GB"/>
              </w:rPr>
              <w:t xml:space="preserve">play an important role in </w:t>
            </w:r>
            <w:r w:rsidR="009928C2">
              <w:rPr>
                <w:rFonts w:ascii="Calibri" w:eastAsia="Calibri Light" w:hAnsi="Calibri" w:cs="Times New Roman"/>
                <w:lang w:val="en-GB"/>
              </w:rPr>
              <w:t>ensur</w:t>
            </w:r>
            <w:r>
              <w:rPr>
                <w:rFonts w:ascii="Calibri" w:eastAsia="Calibri Light" w:hAnsi="Calibri" w:cs="Times New Roman"/>
                <w:lang w:val="en-GB"/>
              </w:rPr>
              <w:t>ing</w:t>
            </w:r>
            <w:r w:rsidR="009928C2">
              <w:rPr>
                <w:rFonts w:ascii="Calibri" w:eastAsia="Calibri Light" w:hAnsi="Calibri" w:cs="Times New Roman"/>
                <w:lang w:val="en-GB"/>
              </w:rPr>
              <w:t xml:space="preserve"> that the achievements and impacts of </w:t>
            </w:r>
            <w:r>
              <w:rPr>
                <w:rFonts w:ascii="Calibri" w:eastAsia="Calibri Light" w:hAnsi="Calibri" w:cs="Times New Roman"/>
                <w:lang w:val="en-GB"/>
              </w:rPr>
              <w:t xml:space="preserve">Australia’s </w:t>
            </w:r>
            <w:r w:rsidR="009928C2">
              <w:rPr>
                <w:rFonts w:ascii="Calibri" w:eastAsia="Calibri Light" w:hAnsi="Calibri" w:cs="Times New Roman"/>
                <w:lang w:val="en-GB"/>
              </w:rPr>
              <w:t xml:space="preserve">development assistance is </w:t>
            </w:r>
            <w:r>
              <w:rPr>
                <w:rFonts w:ascii="Calibri" w:eastAsia="Calibri Light" w:hAnsi="Calibri" w:cs="Times New Roman"/>
                <w:lang w:val="en-GB"/>
              </w:rPr>
              <w:t xml:space="preserve">communicated </w:t>
            </w:r>
            <w:r w:rsidR="00EB1104">
              <w:rPr>
                <w:rFonts w:ascii="Calibri" w:eastAsia="Calibri Light" w:hAnsi="Calibri" w:cs="Times New Roman"/>
                <w:lang w:val="en-GB"/>
              </w:rPr>
              <w:t xml:space="preserve">to </w:t>
            </w:r>
            <w:r w:rsidR="000D087E">
              <w:rPr>
                <w:rFonts w:ascii="Calibri" w:eastAsia="Calibri Light" w:hAnsi="Calibri" w:cs="Times New Roman"/>
                <w:lang w:val="en-GB"/>
              </w:rPr>
              <w:t>the community, health sector and government</w:t>
            </w:r>
            <w:r w:rsidR="009B3753">
              <w:rPr>
                <w:rFonts w:ascii="Calibri" w:eastAsia="Calibri Light" w:hAnsi="Calibri" w:cs="Times New Roman"/>
                <w:lang w:val="en-GB"/>
              </w:rPr>
              <w:t xml:space="preserve">. </w:t>
            </w:r>
          </w:p>
        </w:tc>
        <w:tc>
          <w:tcPr>
            <w:tcW w:w="4252" w:type="dxa"/>
          </w:tcPr>
          <w:p w14:paraId="6EF11408" w14:textId="78D3F5C9" w:rsidR="00D61F85" w:rsidRPr="002E1A18" w:rsidRDefault="009B3753" w:rsidP="00AB1D26">
            <w:pPr>
              <w:suppressAutoHyphens/>
              <w:spacing w:before="60" w:after="60" w:line="260" w:lineRule="atLeast"/>
              <w:rPr>
                <w:rFonts w:ascii="Calibri" w:eastAsia="Calibri Light" w:hAnsi="Calibri" w:cs="Times New Roman"/>
                <w:lang w:val="en-GB"/>
              </w:rPr>
            </w:pPr>
            <w:r>
              <w:rPr>
                <w:rFonts w:ascii="Calibri" w:eastAsia="Calibri Light" w:hAnsi="Calibri" w:cs="Times New Roman"/>
                <w:lang w:val="en-GB"/>
              </w:rPr>
              <w:t xml:space="preserve">DFAT will continue to work with implementing partners to ensure </w:t>
            </w:r>
            <w:r w:rsidR="006D6700">
              <w:rPr>
                <w:rFonts w:ascii="Calibri" w:eastAsia="Calibri Light" w:hAnsi="Calibri" w:cs="Times New Roman"/>
                <w:lang w:val="en-GB"/>
              </w:rPr>
              <w:t>content is provided to support public diplomacy efforts.</w:t>
            </w:r>
          </w:p>
        </w:tc>
      </w:tr>
      <w:tr w:rsidR="00A43E78" w:rsidRPr="009F40E8" w14:paraId="5B4C8F92" w14:textId="77777777" w:rsidTr="0099549C">
        <w:trPr>
          <w:trHeight w:val="1456"/>
        </w:trPr>
        <w:tc>
          <w:tcPr>
            <w:tcW w:w="4815" w:type="dxa"/>
          </w:tcPr>
          <w:p w14:paraId="64B71616" w14:textId="7FA1CA77" w:rsidR="00A43E78" w:rsidRPr="005A3FE5" w:rsidRDefault="00A43E78" w:rsidP="00A43E78">
            <w:pPr>
              <w:suppressAutoHyphens/>
              <w:spacing w:before="60" w:after="60" w:line="260" w:lineRule="atLeast"/>
              <w:rPr>
                <w:rFonts w:ascii="Calibri" w:eastAsia="Calibri Light" w:hAnsi="Calibri" w:cs="Times New Roman"/>
                <w:b/>
                <w:bCs/>
                <w:lang w:val="en-GB"/>
              </w:rPr>
            </w:pPr>
            <w:r w:rsidRPr="005A3FE5">
              <w:rPr>
                <w:rFonts w:ascii="Calibri" w:eastAsia="Calibri Light" w:hAnsi="Calibri" w:cs="Times New Roman"/>
                <w:lang w:val="en-GB"/>
              </w:rPr>
              <w:t>6. Adequate program funding and resources should be provided in both Solomon Islands and Australia to effectively manage the program, including key stakeholder relationships and the production of quality outcome-based reports.</w:t>
            </w:r>
          </w:p>
        </w:tc>
        <w:tc>
          <w:tcPr>
            <w:tcW w:w="1276" w:type="dxa"/>
          </w:tcPr>
          <w:p w14:paraId="5ED72CF9" w14:textId="4A960BA5" w:rsidR="00A43E78" w:rsidRPr="002E1A18" w:rsidRDefault="00A43E78" w:rsidP="00A43E78">
            <w:pPr>
              <w:suppressAutoHyphens/>
              <w:spacing w:before="60" w:after="60" w:line="260" w:lineRule="atLeast"/>
              <w:rPr>
                <w:rFonts w:ascii="Calibri" w:eastAsia="Calibri Light" w:hAnsi="Calibri" w:cs="Times New Roman"/>
                <w:lang w:val="en-GB"/>
              </w:rPr>
            </w:pPr>
            <w:r>
              <w:rPr>
                <w:rFonts w:ascii="Calibri" w:eastAsia="Calibri Light" w:hAnsi="Calibri" w:cs="Times New Roman"/>
                <w:lang w:val="en-GB"/>
              </w:rPr>
              <w:t>Agree in principle</w:t>
            </w:r>
          </w:p>
        </w:tc>
        <w:tc>
          <w:tcPr>
            <w:tcW w:w="3402" w:type="dxa"/>
          </w:tcPr>
          <w:p w14:paraId="7FE52445" w14:textId="71D4833A" w:rsidR="00A43E78" w:rsidRDefault="00917F95" w:rsidP="00A43E78">
            <w:pPr>
              <w:suppressAutoHyphens/>
              <w:spacing w:before="60" w:after="60" w:line="260" w:lineRule="atLeast"/>
              <w:rPr>
                <w:rFonts w:ascii="Calibri" w:eastAsia="Calibri Light" w:hAnsi="Calibri" w:cs="Times New Roman"/>
                <w:lang w:val="en-GB"/>
              </w:rPr>
            </w:pPr>
            <w:r>
              <w:rPr>
                <w:rFonts w:ascii="Calibri" w:eastAsia="Calibri Light" w:hAnsi="Calibri" w:cs="Times New Roman"/>
                <w:lang w:val="en-GB"/>
              </w:rPr>
              <w:t xml:space="preserve">Program management arrangements </w:t>
            </w:r>
            <w:r w:rsidR="00383AA7">
              <w:rPr>
                <w:rFonts w:ascii="Calibri" w:eastAsia="Calibri Light" w:hAnsi="Calibri" w:cs="Times New Roman"/>
                <w:lang w:val="en-GB"/>
              </w:rPr>
              <w:t xml:space="preserve">need to be tailored to the Solomon Islands context, with in-country presence a key </w:t>
            </w:r>
            <w:r w:rsidR="00785A5F">
              <w:rPr>
                <w:rFonts w:ascii="Calibri" w:eastAsia="Calibri Light" w:hAnsi="Calibri" w:cs="Times New Roman"/>
                <w:lang w:val="en-GB"/>
              </w:rPr>
              <w:t>enabler for stakeholder relationships and performance.</w:t>
            </w:r>
          </w:p>
        </w:tc>
        <w:tc>
          <w:tcPr>
            <w:tcW w:w="4252" w:type="dxa"/>
          </w:tcPr>
          <w:p w14:paraId="14AD66C7" w14:textId="30A7EC43" w:rsidR="00A43E78" w:rsidRDefault="00A43E78" w:rsidP="00A43E78">
            <w:pPr>
              <w:suppressAutoHyphens/>
              <w:spacing w:before="60" w:after="60" w:line="260" w:lineRule="atLeast"/>
              <w:rPr>
                <w:rFonts w:ascii="Calibri" w:eastAsia="Calibri Light" w:hAnsi="Calibri" w:cs="Times New Roman"/>
                <w:lang w:val="en-GB"/>
              </w:rPr>
            </w:pPr>
            <w:r>
              <w:rPr>
                <w:rFonts w:ascii="Calibri" w:eastAsia="Calibri Light" w:hAnsi="Calibri" w:cs="Times New Roman"/>
                <w:lang w:val="en-GB"/>
              </w:rPr>
              <w:t xml:space="preserve">Learnings from the SIMPLER program in this area </w:t>
            </w:r>
            <w:r w:rsidR="00C042AA">
              <w:rPr>
                <w:rFonts w:ascii="Calibri" w:eastAsia="Calibri Light" w:hAnsi="Calibri" w:cs="Times New Roman"/>
                <w:lang w:val="en-GB"/>
              </w:rPr>
              <w:t>can</w:t>
            </w:r>
            <w:r>
              <w:rPr>
                <w:rFonts w:ascii="Calibri" w:eastAsia="Calibri Light" w:hAnsi="Calibri" w:cs="Times New Roman"/>
                <w:lang w:val="en-GB"/>
              </w:rPr>
              <w:t xml:space="preserve"> inform future support to NRH and clinical partnerships more broadly. </w:t>
            </w:r>
          </w:p>
        </w:tc>
      </w:tr>
      <w:tr w:rsidR="00A43E78" w:rsidRPr="009F40E8" w14:paraId="6C61B951" w14:textId="77777777" w:rsidTr="0099549C">
        <w:trPr>
          <w:cnfStyle w:val="000000100000" w:firstRow="0" w:lastRow="0" w:firstColumn="0" w:lastColumn="0" w:oddVBand="0" w:evenVBand="0" w:oddHBand="1" w:evenHBand="0" w:firstRowFirstColumn="0" w:firstRowLastColumn="0" w:lastRowFirstColumn="0" w:lastRowLastColumn="0"/>
          <w:trHeight w:val="1456"/>
        </w:trPr>
        <w:tc>
          <w:tcPr>
            <w:tcW w:w="4815" w:type="dxa"/>
          </w:tcPr>
          <w:p w14:paraId="3E4CCBA0" w14:textId="02A15B91" w:rsidR="00A43E78" w:rsidRPr="005A3FE5" w:rsidRDefault="00A43E78" w:rsidP="00A43E78">
            <w:pPr>
              <w:suppressAutoHyphens/>
              <w:spacing w:before="60" w:after="60" w:line="260" w:lineRule="atLeast"/>
              <w:rPr>
                <w:rFonts w:ascii="Calibri" w:eastAsia="Calibri Light" w:hAnsi="Calibri" w:cs="Times New Roman"/>
                <w:b/>
                <w:bCs/>
                <w:lang w:val="en-GB"/>
              </w:rPr>
            </w:pPr>
            <w:r w:rsidRPr="005A3FE5">
              <w:rPr>
                <w:rFonts w:ascii="Calibri" w:eastAsia="Calibri Light" w:hAnsi="Calibri" w:cs="Times New Roman"/>
                <w:lang w:val="en-GB"/>
              </w:rPr>
              <w:t>7. Pre-departure training should be tailored, or an additional day added for SIMPLER volunteers that talks specifically about the context SIMPLER operates in and leverages the expertise of previous volunteers, providing volunteers with as much program-specific information as possible.</w:t>
            </w:r>
          </w:p>
        </w:tc>
        <w:tc>
          <w:tcPr>
            <w:tcW w:w="1276" w:type="dxa"/>
          </w:tcPr>
          <w:p w14:paraId="232C7DD6" w14:textId="561C185B" w:rsidR="00A43E78" w:rsidRPr="002E1A18" w:rsidRDefault="00D5590A" w:rsidP="00A43E78">
            <w:pPr>
              <w:suppressAutoHyphens/>
              <w:spacing w:before="60" w:after="60" w:line="260" w:lineRule="atLeast"/>
              <w:rPr>
                <w:rFonts w:ascii="Calibri" w:eastAsia="Calibri Light" w:hAnsi="Calibri" w:cs="Times New Roman"/>
                <w:lang w:val="en-GB"/>
              </w:rPr>
            </w:pPr>
            <w:r>
              <w:rPr>
                <w:rFonts w:ascii="Calibri" w:eastAsia="Calibri Light" w:hAnsi="Calibri" w:cs="Times New Roman"/>
                <w:lang w:val="en-GB"/>
              </w:rPr>
              <w:t>Agree in principle</w:t>
            </w:r>
          </w:p>
        </w:tc>
        <w:tc>
          <w:tcPr>
            <w:tcW w:w="3402" w:type="dxa"/>
          </w:tcPr>
          <w:p w14:paraId="7CE443DE" w14:textId="2369290B" w:rsidR="00A43E78" w:rsidRDefault="000876CB" w:rsidP="00A43E78">
            <w:pPr>
              <w:suppressAutoHyphens/>
              <w:spacing w:before="60" w:after="60" w:line="260" w:lineRule="atLeast"/>
              <w:rPr>
                <w:rFonts w:ascii="Calibri" w:eastAsia="Calibri Light" w:hAnsi="Calibri" w:cs="Times New Roman"/>
                <w:lang w:val="en-GB"/>
              </w:rPr>
            </w:pPr>
            <w:r>
              <w:rPr>
                <w:rFonts w:ascii="Calibri" w:eastAsia="Calibri Light" w:hAnsi="Calibri" w:cs="Times New Roman"/>
                <w:lang w:val="en-GB"/>
              </w:rPr>
              <w:t xml:space="preserve">Pre-departure briefing, along with in-country orientation, </w:t>
            </w:r>
            <w:r w:rsidR="00C042AA">
              <w:rPr>
                <w:rFonts w:ascii="Calibri" w:eastAsia="Calibri Light" w:hAnsi="Calibri" w:cs="Times New Roman"/>
                <w:lang w:val="en-GB"/>
              </w:rPr>
              <w:t>is</w:t>
            </w:r>
            <w:r>
              <w:rPr>
                <w:rFonts w:ascii="Calibri" w:eastAsia="Calibri Light" w:hAnsi="Calibri" w:cs="Times New Roman"/>
                <w:lang w:val="en-GB"/>
              </w:rPr>
              <w:t xml:space="preserve"> a key enabler of successful volunteer assignments</w:t>
            </w:r>
            <w:r w:rsidR="00C042AA">
              <w:rPr>
                <w:rFonts w:ascii="Calibri" w:eastAsia="Calibri Light" w:hAnsi="Calibri" w:cs="Times New Roman"/>
                <w:lang w:val="en-GB"/>
              </w:rPr>
              <w:t xml:space="preserve">. </w:t>
            </w:r>
          </w:p>
        </w:tc>
        <w:tc>
          <w:tcPr>
            <w:tcW w:w="4252" w:type="dxa"/>
          </w:tcPr>
          <w:p w14:paraId="5C0CA6A4" w14:textId="38134013" w:rsidR="00A43E78" w:rsidRDefault="00C042AA" w:rsidP="00A43E78">
            <w:pPr>
              <w:suppressAutoHyphens/>
              <w:spacing w:before="60" w:after="60" w:line="260" w:lineRule="atLeast"/>
              <w:rPr>
                <w:rFonts w:ascii="Calibri" w:eastAsia="Calibri Light" w:hAnsi="Calibri" w:cs="Times New Roman"/>
                <w:lang w:val="en-GB"/>
              </w:rPr>
            </w:pPr>
            <w:r>
              <w:rPr>
                <w:rFonts w:ascii="Calibri" w:eastAsia="Calibri Light" w:hAnsi="Calibri" w:cs="Times New Roman"/>
                <w:lang w:val="en-GB"/>
              </w:rPr>
              <w:t>Learnings from the SIMPLER program in this area can inform future support to NRH and clinical partnerships more broadly.</w:t>
            </w:r>
          </w:p>
        </w:tc>
      </w:tr>
      <w:bookmarkEnd w:id="0"/>
    </w:tbl>
    <w:p w14:paraId="642C6979" w14:textId="77777777" w:rsidR="00051572" w:rsidRPr="0046022C" w:rsidRDefault="00051572" w:rsidP="000D087E">
      <w:pPr>
        <w:spacing w:line="276" w:lineRule="auto"/>
        <w:rPr>
          <w:i/>
          <w:iCs/>
        </w:rPr>
      </w:pPr>
    </w:p>
    <w:sectPr w:rsidR="00051572" w:rsidRPr="0046022C" w:rsidSect="00BC5DA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EA7DC" w14:textId="77777777" w:rsidR="00F0194B" w:rsidRDefault="00F0194B" w:rsidP="00515513">
      <w:pPr>
        <w:spacing w:after="0" w:line="240" w:lineRule="auto"/>
      </w:pPr>
      <w:r>
        <w:separator/>
      </w:r>
    </w:p>
  </w:endnote>
  <w:endnote w:type="continuationSeparator" w:id="0">
    <w:p w14:paraId="61B9F856" w14:textId="77777777" w:rsidR="00F0194B" w:rsidRDefault="00F0194B" w:rsidP="00515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DFF88" w14:textId="77777777" w:rsidR="00F0194B" w:rsidRDefault="00F0194B" w:rsidP="00515513">
      <w:pPr>
        <w:spacing w:after="0" w:line="240" w:lineRule="auto"/>
      </w:pPr>
      <w:r>
        <w:separator/>
      </w:r>
    </w:p>
  </w:footnote>
  <w:footnote w:type="continuationSeparator" w:id="0">
    <w:p w14:paraId="3F15739C" w14:textId="77777777" w:rsidR="00F0194B" w:rsidRDefault="00F0194B" w:rsidP="005155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113E"/>
    <w:multiLevelType w:val="multilevel"/>
    <w:tmpl w:val="06BA5B5E"/>
    <w:lvl w:ilvl="0">
      <w:start w:val="1"/>
      <w:numFmt w:val="decimal"/>
      <w:lvlText w:val="%1)"/>
      <w:lvlJc w:val="left"/>
      <w:pPr>
        <w:ind w:left="360" w:hanging="360"/>
      </w:pPr>
    </w:lvl>
    <w:lvl w:ilvl="1">
      <w:start w:val="1"/>
      <w:numFmt w:val="lowerLetter"/>
      <w:lvlText w:val="%2."/>
      <w:lvlJc w:val="left"/>
      <w:pPr>
        <w:ind w:left="720" w:hanging="360"/>
      </w:pPr>
      <w:rPr>
        <w:rFonts w:hint="default"/>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3231A5"/>
    <w:multiLevelType w:val="hybridMultilevel"/>
    <w:tmpl w:val="2130999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2FA35F0"/>
    <w:multiLevelType w:val="hybridMultilevel"/>
    <w:tmpl w:val="975C084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6DE1071"/>
    <w:multiLevelType w:val="hybridMultilevel"/>
    <w:tmpl w:val="D77C5EB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53A52C22"/>
    <w:multiLevelType w:val="hybridMultilevel"/>
    <w:tmpl w:val="F972136E"/>
    <w:lvl w:ilvl="0" w:tplc="97540D26">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850374B"/>
    <w:multiLevelType w:val="hybridMultilevel"/>
    <w:tmpl w:val="039604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BE915A1"/>
    <w:multiLevelType w:val="hybridMultilevel"/>
    <w:tmpl w:val="F7807EB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E3C28F3"/>
    <w:multiLevelType w:val="multilevel"/>
    <w:tmpl w:val="2B6A0A32"/>
    <w:lvl w:ilvl="0">
      <w:start w:val="1"/>
      <w:numFmt w:val="decimal"/>
      <w:lvlText w:val="%1)"/>
      <w:lvlJc w:val="left"/>
      <w:pPr>
        <w:ind w:left="360" w:hanging="360"/>
      </w:pPr>
    </w:lvl>
    <w:lvl w:ilvl="1">
      <w:start w:val="1"/>
      <w:numFmt w:val="lowerLetter"/>
      <w:lvlText w:val="%2."/>
      <w:lvlJc w:val="left"/>
      <w:pPr>
        <w:ind w:left="720" w:hanging="360"/>
      </w:pPr>
      <w:rPr>
        <w:rFonts w:hint="default"/>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F0715D1"/>
    <w:multiLevelType w:val="hybridMultilevel"/>
    <w:tmpl w:val="F538E5CA"/>
    <w:lvl w:ilvl="0" w:tplc="27F076F2">
      <w:start w:val="1"/>
      <w:numFmt w:val="decimal"/>
      <w:lvlText w:val="%1."/>
      <w:lvlJc w:val="left"/>
      <w:pPr>
        <w:ind w:left="360" w:hanging="360"/>
      </w:pPr>
      <w:rPr>
        <w:rFonts w:hint="default"/>
        <w:b/>
        <w:bCs/>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47082582">
    <w:abstractNumId w:val="8"/>
  </w:num>
  <w:num w:numId="2" w16cid:durableId="181941991">
    <w:abstractNumId w:val="5"/>
  </w:num>
  <w:num w:numId="3" w16cid:durableId="1907298545">
    <w:abstractNumId w:val="3"/>
  </w:num>
  <w:num w:numId="4" w16cid:durableId="1661032343">
    <w:abstractNumId w:val="6"/>
  </w:num>
  <w:num w:numId="5" w16cid:durableId="1058670154">
    <w:abstractNumId w:val="1"/>
  </w:num>
  <w:num w:numId="6" w16cid:durableId="1429540926">
    <w:abstractNumId w:val="2"/>
  </w:num>
  <w:num w:numId="7" w16cid:durableId="873923526">
    <w:abstractNumId w:val="7"/>
  </w:num>
  <w:num w:numId="8" w16cid:durableId="687223029">
    <w:abstractNumId w:val="0"/>
  </w:num>
  <w:num w:numId="9" w16cid:durableId="10937470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513"/>
    <w:rsid w:val="00013400"/>
    <w:rsid w:val="0001709D"/>
    <w:rsid w:val="000229B5"/>
    <w:rsid w:val="00023B9E"/>
    <w:rsid w:val="00027754"/>
    <w:rsid w:val="00034AB3"/>
    <w:rsid w:val="00034D71"/>
    <w:rsid w:val="00046E82"/>
    <w:rsid w:val="00050689"/>
    <w:rsid w:val="00051572"/>
    <w:rsid w:val="00057315"/>
    <w:rsid w:val="00062F40"/>
    <w:rsid w:val="00065FD1"/>
    <w:rsid w:val="000876CB"/>
    <w:rsid w:val="000A247C"/>
    <w:rsid w:val="000B0CCE"/>
    <w:rsid w:val="000B1B29"/>
    <w:rsid w:val="000B284C"/>
    <w:rsid w:val="000B4183"/>
    <w:rsid w:val="000B7327"/>
    <w:rsid w:val="000B7B2C"/>
    <w:rsid w:val="000C4DD5"/>
    <w:rsid w:val="000C5FA7"/>
    <w:rsid w:val="000D087E"/>
    <w:rsid w:val="000D78D0"/>
    <w:rsid w:val="000E078C"/>
    <w:rsid w:val="000E1CC8"/>
    <w:rsid w:val="000E39E0"/>
    <w:rsid w:val="000E7FAA"/>
    <w:rsid w:val="000F527E"/>
    <w:rsid w:val="00100147"/>
    <w:rsid w:val="0010347D"/>
    <w:rsid w:val="001046D7"/>
    <w:rsid w:val="001050E6"/>
    <w:rsid w:val="00105B02"/>
    <w:rsid w:val="00115091"/>
    <w:rsid w:val="001208C9"/>
    <w:rsid w:val="00133C93"/>
    <w:rsid w:val="00134E6C"/>
    <w:rsid w:val="00137325"/>
    <w:rsid w:val="00146A34"/>
    <w:rsid w:val="00150DA1"/>
    <w:rsid w:val="001534C4"/>
    <w:rsid w:val="00160958"/>
    <w:rsid w:val="0016485D"/>
    <w:rsid w:val="00173BB9"/>
    <w:rsid w:val="00175EF5"/>
    <w:rsid w:val="00181F3C"/>
    <w:rsid w:val="00183969"/>
    <w:rsid w:val="00184A8E"/>
    <w:rsid w:val="00187479"/>
    <w:rsid w:val="00191467"/>
    <w:rsid w:val="0019243D"/>
    <w:rsid w:val="001A1390"/>
    <w:rsid w:val="001A44DB"/>
    <w:rsid w:val="001B1D6D"/>
    <w:rsid w:val="001C0FB4"/>
    <w:rsid w:val="001C28ED"/>
    <w:rsid w:val="001C2CD6"/>
    <w:rsid w:val="001C69A6"/>
    <w:rsid w:val="001C7F10"/>
    <w:rsid w:val="001E0B56"/>
    <w:rsid w:val="001E6ADC"/>
    <w:rsid w:val="001E790C"/>
    <w:rsid w:val="001F0366"/>
    <w:rsid w:val="001F7BE7"/>
    <w:rsid w:val="00205C2D"/>
    <w:rsid w:val="002115EF"/>
    <w:rsid w:val="00215B6F"/>
    <w:rsid w:val="0021683B"/>
    <w:rsid w:val="00222AE0"/>
    <w:rsid w:val="00226634"/>
    <w:rsid w:val="0022734A"/>
    <w:rsid w:val="00240D1E"/>
    <w:rsid w:val="00240D75"/>
    <w:rsid w:val="00242AB1"/>
    <w:rsid w:val="0024761B"/>
    <w:rsid w:val="002512C2"/>
    <w:rsid w:val="002520FF"/>
    <w:rsid w:val="00261B01"/>
    <w:rsid w:val="002660FF"/>
    <w:rsid w:val="0026677B"/>
    <w:rsid w:val="0027151F"/>
    <w:rsid w:val="00271F1E"/>
    <w:rsid w:val="002806AE"/>
    <w:rsid w:val="0029171C"/>
    <w:rsid w:val="00291FC7"/>
    <w:rsid w:val="00297185"/>
    <w:rsid w:val="002A2349"/>
    <w:rsid w:val="002B2F80"/>
    <w:rsid w:val="002B35DE"/>
    <w:rsid w:val="002B5AA2"/>
    <w:rsid w:val="002B66F0"/>
    <w:rsid w:val="002C03C3"/>
    <w:rsid w:val="002C1012"/>
    <w:rsid w:val="002C3B05"/>
    <w:rsid w:val="002D217A"/>
    <w:rsid w:val="002D762B"/>
    <w:rsid w:val="002E1A18"/>
    <w:rsid w:val="002E2888"/>
    <w:rsid w:val="002E55D5"/>
    <w:rsid w:val="002E77E6"/>
    <w:rsid w:val="002F0A15"/>
    <w:rsid w:val="002F2E3D"/>
    <w:rsid w:val="002F6097"/>
    <w:rsid w:val="002F6DE4"/>
    <w:rsid w:val="00305B23"/>
    <w:rsid w:val="00322D07"/>
    <w:rsid w:val="00326E71"/>
    <w:rsid w:val="0033110C"/>
    <w:rsid w:val="003447C5"/>
    <w:rsid w:val="0034760F"/>
    <w:rsid w:val="00350AF4"/>
    <w:rsid w:val="00363557"/>
    <w:rsid w:val="00364FCF"/>
    <w:rsid w:val="0036543E"/>
    <w:rsid w:val="00371272"/>
    <w:rsid w:val="003802D6"/>
    <w:rsid w:val="00382AD5"/>
    <w:rsid w:val="00383AA7"/>
    <w:rsid w:val="00383BE5"/>
    <w:rsid w:val="00391A0D"/>
    <w:rsid w:val="0039717F"/>
    <w:rsid w:val="00397A57"/>
    <w:rsid w:val="003A290E"/>
    <w:rsid w:val="003A6B79"/>
    <w:rsid w:val="003B1E10"/>
    <w:rsid w:val="003B2286"/>
    <w:rsid w:val="003B338B"/>
    <w:rsid w:val="003C1C9E"/>
    <w:rsid w:val="003C3DDC"/>
    <w:rsid w:val="003C48AA"/>
    <w:rsid w:val="003C4DC8"/>
    <w:rsid w:val="003C545B"/>
    <w:rsid w:val="003C73D3"/>
    <w:rsid w:val="003D696A"/>
    <w:rsid w:val="003D747D"/>
    <w:rsid w:val="003E0DE9"/>
    <w:rsid w:val="003F0123"/>
    <w:rsid w:val="003F4401"/>
    <w:rsid w:val="003F4ED8"/>
    <w:rsid w:val="003F6835"/>
    <w:rsid w:val="00400065"/>
    <w:rsid w:val="0040465A"/>
    <w:rsid w:val="0040584D"/>
    <w:rsid w:val="004068E4"/>
    <w:rsid w:val="00414CF2"/>
    <w:rsid w:val="00415F41"/>
    <w:rsid w:val="0042673E"/>
    <w:rsid w:val="004305E7"/>
    <w:rsid w:val="00434A46"/>
    <w:rsid w:val="00444DA8"/>
    <w:rsid w:val="00446EAB"/>
    <w:rsid w:val="00454F2A"/>
    <w:rsid w:val="0046022C"/>
    <w:rsid w:val="00463CBD"/>
    <w:rsid w:val="004672D3"/>
    <w:rsid w:val="00472B11"/>
    <w:rsid w:val="004803E0"/>
    <w:rsid w:val="00480FEA"/>
    <w:rsid w:val="00482478"/>
    <w:rsid w:val="00493812"/>
    <w:rsid w:val="00495401"/>
    <w:rsid w:val="0049543E"/>
    <w:rsid w:val="004C0325"/>
    <w:rsid w:val="004C3EC4"/>
    <w:rsid w:val="004C40D5"/>
    <w:rsid w:val="004C764C"/>
    <w:rsid w:val="004D5867"/>
    <w:rsid w:val="004D6A8C"/>
    <w:rsid w:val="004E5C68"/>
    <w:rsid w:val="004F18D2"/>
    <w:rsid w:val="004F19D8"/>
    <w:rsid w:val="004F309F"/>
    <w:rsid w:val="004F4056"/>
    <w:rsid w:val="00503AB4"/>
    <w:rsid w:val="00503B6F"/>
    <w:rsid w:val="00513827"/>
    <w:rsid w:val="00515513"/>
    <w:rsid w:val="00515A66"/>
    <w:rsid w:val="00525542"/>
    <w:rsid w:val="005273F2"/>
    <w:rsid w:val="00532DDE"/>
    <w:rsid w:val="0055757F"/>
    <w:rsid w:val="00560EA2"/>
    <w:rsid w:val="00561FD1"/>
    <w:rsid w:val="00567743"/>
    <w:rsid w:val="005741AC"/>
    <w:rsid w:val="005862BC"/>
    <w:rsid w:val="005865F8"/>
    <w:rsid w:val="0058744D"/>
    <w:rsid w:val="005906DF"/>
    <w:rsid w:val="00592878"/>
    <w:rsid w:val="00595843"/>
    <w:rsid w:val="00596C5F"/>
    <w:rsid w:val="005A01EB"/>
    <w:rsid w:val="005A2F9A"/>
    <w:rsid w:val="005A3FE5"/>
    <w:rsid w:val="005A7F4B"/>
    <w:rsid w:val="005B183E"/>
    <w:rsid w:val="005C2D0D"/>
    <w:rsid w:val="005C5BDC"/>
    <w:rsid w:val="005D171F"/>
    <w:rsid w:val="005D261B"/>
    <w:rsid w:val="005E0FE0"/>
    <w:rsid w:val="005E2AE6"/>
    <w:rsid w:val="005F2984"/>
    <w:rsid w:val="006013AB"/>
    <w:rsid w:val="00605DB3"/>
    <w:rsid w:val="0060630C"/>
    <w:rsid w:val="006124C2"/>
    <w:rsid w:val="00613356"/>
    <w:rsid w:val="0061614D"/>
    <w:rsid w:val="006256A9"/>
    <w:rsid w:val="00626A59"/>
    <w:rsid w:val="006308C3"/>
    <w:rsid w:val="0063273D"/>
    <w:rsid w:val="00636DAA"/>
    <w:rsid w:val="00640615"/>
    <w:rsid w:val="00641A9F"/>
    <w:rsid w:val="00642019"/>
    <w:rsid w:val="006512CC"/>
    <w:rsid w:val="006518AD"/>
    <w:rsid w:val="00660EF3"/>
    <w:rsid w:val="00662BFF"/>
    <w:rsid w:val="006637CB"/>
    <w:rsid w:val="00665D49"/>
    <w:rsid w:val="00670EF7"/>
    <w:rsid w:val="006762B8"/>
    <w:rsid w:val="0068030F"/>
    <w:rsid w:val="00684677"/>
    <w:rsid w:val="00686711"/>
    <w:rsid w:val="00686CAB"/>
    <w:rsid w:val="0069077A"/>
    <w:rsid w:val="006911AF"/>
    <w:rsid w:val="0069286C"/>
    <w:rsid w:val="0069678B"/>
    <w:rsid w:val="00697873"/>
    <w:rsid w:val="006A6D64"/>
    <w:rsid w:val="006B0885"/>
    <w:rsid w:val="006C1AF6"/>
    <w:rsid w:val="006C3072"/>
    <w:rsid w:val="006C3EEE"/>
    <w:rsid w:val="006D6700"/>
    <w:rsid w:val="006E0A5B"/>
    <w:rsid w:val="006E58EB"/>
    <w:rsid w:val="006E774A"/>
    <w:rsid w:val="006F2E36"/>
    <w:rsid w:val="006F3F79"/>
    <w:rsid w:val="006F4E9A"/>
    <w:rsid w:val="00706CDD"/>
    <w:rsid w:val="007123B5"/>
    <w:rsid w:val="00725113"/>
    <w:rsid w:val="007370D3"/>
    <w:rsid w:val="00744BA1"/>
    <w:rsid w:val="00751C0B"/>
    <w:rsid w:val="0075262F"/>
    <w:rsid w:val="0076115F"/>
    <w:rsid w:val="00764DC3"/>
    <w:rsid w:val="00774954"/>
    <w:rsid w:val="00785A5F"/>
    <w:rsid w:val="00790015"/>
    <w:rsid w:val="00790E2C"/>
    <w:rsid w:val="00791414"/>
    <w:rsid w:val="00794D0A"/>
    <w:rsid w:val="007A53B0"/>
    <w:rsid w:val="007A65C9"/>
    <w:rsid w:val="007B3B97"/>
    <w:rsid w:val="007B53AF"/>
    <w:rsid w:val="007B5A19"/>
    <w:rsid w:val="007B7FAF"/>
    <w:rsid w:val="007C2B8D"/>
    <w:rsid w:val="007C31FE"/>
    <w:rsid w:val="007C438F"/>
    <w:rsid w:val="007C64B0"/>
    <w:rsid w:val="007C7ED5"/>
    <w:rsid w:val="007D6CF9"/>
    <w:rsid w:val="007D7302"/>
    <w:rsid w:val="007D760A"/>
    <w:rsid w:val="007E1387"/>
    <w:rsid w:val="007F5B7B"/>
    <w:rsid w:val="008001CF"/>
    <w:rsid w:val="00812154"/>
    <w:rsid w:val="00813561"/>
    <w:rsid w:val="00820499"/>
    <w:rsid w:val="00822B08"/>
    <w:rsid w:val="008305F4"/>
    <w:rsid w:val="0083072B"/>
    <w:rsid w:val="00836A6E"/>
    <w:rsid w:val="008510BF"/>
    <w:rsid w:val="0086391F"/>
    <w:rsid w:val="00864202"/>
    <w:rsid w:val="008656B1"/>
    <w:rsid w:val="00874DA1"/>
    <w:rsid w:val="00875806"/>
    <w:rsid w:val="00882349"/>
    <w:rsid w:val="00885B9F"/>
    <w:rsid w:val="008932B0"/>
    <w:rsid w:val="008A0437"/>
    <w:rsid w:val="008A5FCE"/>
    <w:rsid w:val="008A7155"/>
    <w:rsid w:val="008B0605"/>
    <w:rsid w:val="008B24FB"/>
    <w:rsid w:val="008B3EDE"/>
    <w:rsid w:val="008C0CD2"/>
    <w:rsid w:val="008D1270"/>
    <w:rsid w:val="008D13CB"/>
    <w:rsid w:val="008D342F"/>
    <w:rsid w:val="008D3B17"/>
    <w:rsid w:val="008D47A5"/>
    <w:rsid w:val="008D69DB"/>
    <w:rsid w:val="008D70A2"/>
    <w:rsid w:val="008E2242"/>
    <w:rsid w:val="008E51E6"/>
    <w:rsid w:val="008E73AC"/>
    <w:rsid w:val="008F0D31"/>
    <w:rsid w:val="008F4EF7"/>
    <w:rsid w:val="0090583F"/>
    <w:rsid w:val="009075FA"/>
    <w:rsid w:val="00910F32"/>
    <w:rsid w:val="00914885"/>
    <w:rsid w:val="00917CEF"/>
    <w:rsid w:val="00917F95"/>
    <w:rsid w:val="0093549F"/>
    <w:rsid w:val="00937261"/>
    <w:rsid w:val="00937405"/>
    <w:rsid w:val="009506EF"/>
    <w:rsid w:val="00954D78"/>
    <w:rsid w:val="009567B4"/>
    <w:rsid w:val="0096132D"/>
    <w:rsid w:val="00961389"/>
    <w:rsid w:val="00961C0A"/>
    <w:rsid w:val="0096724A"/>
    <w:rsid w:val="00971926"/>
    <w:rsid w:val="009737FD"/>
    <w:rsid w:val="0097553D"/>
    <w:rsid w:val="009778EC"/>
    <w:rsid w:val="009863AA"/>
    <w:rsid w:val="00986DAB"/>
    <w:rsid w:val="00987A6A"/>
    <w:rsid w:val="009902FE"/>
    <w:rsid w:val="009928C2"/>
    <w:rsid w:val="0099549C"/>
    <w:rsid w:val="009A2094"/>
    <w:rsid w:val="009A2D02"/>
    <w:rsid w:val="009B0565"/>
    <w:rsid w:val="009B3753"/>
    <w:rsid w:val="009B38E6"/>
    <w:rsid w:val="009B5F5B"/>
    <w:rsid w:val="009B736E"/>
    <w:rsid w:val="009C01AB"/>
    <w:rsid w:val="009E4558"/>
    <w:rsid w:val="009E75D4"/>
    <w:rsid w:val="009F2B86"/>
    <w:rsid w:val="009F40E8"/>
    <w:rsid w:val="009F6D05"/>
    <w:rsid w:val="009F7A34"/>
    <w:rsid w:val="009F7C27"/>
    <w:rsid w:val="00A14030"/>
    <w:rsid w:val="00A14C37"/>
    <w:rsid w:val="00A3249C"/>
    <w:rsid w:val="00A3548B"/>
    <w:rsid w:val="00A36474"/>
    <w:rsid w:val="00A40C52"/>
    <w:rsid w:val="00A43E78"/>
    <w:rsid w:val="00A443D4"/>
    <w:rsid w:val="00A4513F"/>
    <w:rsid w:val="00A4516E"/>
    <w:rsid w:val="00A464D2"/>
    <w:rsid w:val="00A6069D"/>
    <w:rsid w:val="00A61AEC"/>
    <w:rsid w:val="00A6238B"/>
    <w:rsid w:val="00A67222"/>
    <w:rsid w:val="00A70FF4"/>
    <w:rsid w:val="00A71EE5"/>
    <w:rsid w:val="00A727C0"/>
    <w:rsid w:val="00A755BA"/>
    <w:rsid w:val="00A7648C"/>
    <w:rsid w:val="00A825A4"/>
    <w:rsid w:val="00A839A6"/>
    <w:rsid w:val="00A934B8"/>
    <w:rsid w:val="00AA2D7B"/>
    <w:rsid w:val="00AA481C"/>
    <w:rsid w:val="00AA502E"/>
    <w:rsid w:val="00AB1D26"/>
    <w:rsid w:val="00AB742E"/>
    <w:rsid w:val="00AC5E3A"/>
    <w:rsid w:val="00AE480B"/>
    <w:rsid w:val="00AE7AC5"/>
    <w:rsid w:val="00AF11AE"/>
    <w:rsid w:val="00AF19C6"/>
    <w:rsid w:val="00AF43B5"/>
    <w:rsid w:val="00B01E8C"/>
    <w:rsid w:val="00B04461"/>
    <w:rsid w:val="00B04A21"/>
    <w:rsid w:val="00B070B8"/>
    <w:rsid w:val="00B070E0"/>
    <w:rsid w:val="00B10445"/>
    <w:rsid w:val="00B12AC6"/>
    <w:rsid w:val="00B16C58"/>
    <w:rsid w:val="00B20707"/>
    <w:rsid w:val="00B25B56"/>
    <w:rsid w:val="00B32059"/>
    <w:rsid w:val="00B33EF2"/>
    <w:rsid w:val="00B4030E"/>
    <w:rsid w:val="00B46060"/>
    <w:rsid w:val="00B557F6"/>
    <w:rsid w:val="00B61664"/>
    <w:rsid w:val="00B62EB7"/>
    <w:rsid w:val="00B637E2"/>
    <w:rsid w:val="00B65B18"/>
    <w:rsid w:val="00B70478"/>
    <w:rsid w:val="00B72DCB"/>
    <w:rsid w:val="00B76F44"/>
    <w:rsid w:val="00B8198B"/>
    <w:rsid w:val="00B8635F"/>
    <w:rsid w:val="00B863BA"/>
    <w:rsid w:val="00B9013C"/>
    <w:rsid w:val="00B9285F"/>
    <w:rsid w:val="00BA0B13"/>
    <w:rsid w:val="00BB44CF"/>
    <w:rsid w:val="00BB55DF"/>
    <w:rsid w:val="00BC1420"/>
    <w:rsid w:val="00BC5DAA"/>
    <w:rsid w:val="00BD36EA"/>
    <w:rsid w:val="00BE7E54"/>
    <w:rsid w:val="00BF1C4A"/>
    <w:rsid w:val="00BF22B4"/>
    <w:rsid w:val="00C030F0"/>
    <w:rsid w:val="00C042AA"/>
    <w:rsid w:val="00C0557B"/>
    <w:rsid w:val="00C11140"/>
    <w:rsid w:val="00C1281E"/>
    <w:rsid w:val="00C161C5"/>
    <w:rsid w:val="00C21310"/>
    <w:rsid w:val="00C24856"/>
    <w:rsid w:val="00C27094"/>
    <w:rsid w:val="00C3351B"/>
    <w:rsid w:val="00C3798D"/>
    <w:rsid w:val="00C402B8"/>
    <w:rsid w:val="00C414A8"/>
    <w:rsid w:val="00C41EA2"/>
    <w:rsid w:val="00C446A2"/>
    <w:rsid w:val="00C45B75"/>
    <w:rsid w:val="00C46407"/>
    <w:rsid w:val="00C55847"/>
    <w:rsid w:val="00C61821"/>
    <w:rsid w:val="00C64D64"/>
    <w:rsid w:val="00C66507"/>
    <w:rsid w:val="00C7223F"/>
    <w:rsid w:val="00C729C1"/>
    <w:rsid w:val="00C77ACC"/>
    <w:rsid w:val="00C8157E"/>
    <w:rsid w:val="00C869CA"/>
    <w:rsid w:val="00C875BA"/>
    <w:rsid w:val="00C96F71"/>
    <w:rsid w:val="00CA6690"/>
    <w:rsid w:val="00CA715C"/>
    <w:rsid w:val="00CB0C7E"/>
    <w:rsid w:val="00CB6CC2"/>
    <w:rsid w:val="00CC030B"/>
    <w:rsid w:val="00CC0352"/>
    <w:rsid w:val="00CC451F"/>
    <w:rsid w:val="00CC6F1D"/>
    <w:rsid w:val="00CD0F05"/>
    <w:rsid w:val="00CE2CC3"/>
    <w:rsid w:val="00CE5F7E"/>
    <w:rsid w:val="00CE6469"/>
    <w:rsid w:val="00CE7179"/>
    <w:rsid w:val="00CE7B86"/>
    <w:rsid w:val="00D03F11"/>
    <w:rsid w:val="00D055CC"/>
    <w:rsid w:val="00D064FA"/>
    <w:rsid w:val="00D229D3"/>
    <w:rsid w:val="00D22FBF"/>
    <w:rsid w:val="00D260BC"/>
    <w:rsid w:val="00D306B6"/>
    <w:rsid w:val="00D3478A"/>
    <w:rsid w:val="00D401F4"/>
    <w:rsid w:val="00D517DE"/>
    <w:rsid w:val="00D5590A"/>
    <w:rsid w:val="00D56E5B"/>
    <w:rsid w:val="00D61F85"/>
    <w:rsid w:val="00D6218E"/>
    <w:rsid w:val="00D640AB"/>
    <w:rsid w:val="00D6485B"/>
    <w:rsid w:val="00D7607C"/>
    <w:rsid w:val="00D77E27"/>
    <w:rsid w:val="00D80D08"/>
    <w:rsid w:val="00DA0AD2"/>
    <w:rsid w:val="00DA3BE9"/>
    <w:rsid w:val="00DB2BF3"/>
    <w:rsid w:val="00DB2CF6"/>
    <w:rsid w:val="00DB450F"/>
    <w:rsid w:val="00DC003B"/>
    <w:rsid w:val="00DC2145"/>
    <w:rsid w:val="00DC27E0"/>
    <w:rsid w:val="00DD4F1B"/>
    <w:rsid w:val="00DE112D"/>
    <w:rsid w:val="00DE2DBF"/>
    <w:rsid w:val="00DE32FE"/>
    <w:rsid w:val="00DE710C"/>
    <w:rsid w:val="00E02B1A"/>
    <w:rsid w:val="00E0332A"/>
    <w:rsid w:val="00E11DAB"/>
    <w:rsid w:val="00E15898"/>
    <w:rsid w:val="00E17A90"/>
    <w:rsid w:val="00E20DDE"/>
    <w:rsid w:val="00E2245E"/>
    <w:rsid w:val="00E266E5"/>
    <w:rsid w:val="00E26C3F"/>
    <w:rsid w:val="00E33AB6"/>
    <w:rsid w:val="00E4057D"/>
    <w:rsid w:val="00E44F1A"/>
    <w:rsid w:val="00E466E4"/>
    <w:rsid w:val="00E6278C"/>
    <w:rsid w:val="00E719CC"/>
    <w:rsid w:val="00E72722"/>
    <w:rsid w:val="00E73D26"/>
    <w:rsid w:val="00E75177"/>
    <w:rsid w:val="00E77282"/>
    <w:rsid w:val="00E84C7B"/>
    <w:rsid w:val="00E90F0C"/>
    <w:rsid w:val="00E94D82"/>
    <w:rsid w:val="00E954B3"/>
    <w:rsid w:val="00E96730"/>
    <w:rsid w:val="00E97028"/>
    <w:rsid w:val="00EA3068"/>
    <w:rsid w:val="00EA4816"/>
    <w:rsid w:val="00EA581A"/>
    <w:rsid w:val="00EA7346"/>
    <w:rsid w:val="00EB1104"/>
    <w:rsid w:val="00EB311D"/>
    <w:rsid w:val="00EB51C0"/>
    <w:rsid w:val="00EC14D3"/>
    <w:rsid w:val="00EC1B8A"/>
    <w:rsid w:val="00EC4CF8"/>
    <w:rsid w:val="00EC5B4B"/>
    <w:rsid w:val="00ED5DFD"/>
    <w:rsid w:val="00ED7070"/>
    <w:rsid w:val="00ED7EA5"/>
    <w:rsid w:val="00EE4AA5"/>
    <w:rsid w:val="00EF5D98"/>
    <w:rsid w:val="00F0194B"/>
    <w:rsid w:val="00F01D66"/>
    <w:rsid w:val="00F0463A"/>
    <w:rsid w:val="00F1061A"/>
    <w:rsid w:val="00F15879"/>
    <w:rsid w:val="00F24EC2"/>
    <w:rsid w:val="00F25A52"/>
    <w:rsid w:val="00F262A7"/>
    <w:rsid w:val="00F26CFF"/>
    <w:rsid w:val="00F275F0"/>
    <w:rsid w:val="00F3557C"/>
    <w:rsid w:val="00F36019"/>
    <w:rsid w:val="00F36632"/>
    <w:rsid w:val="00F4179C"/>
    <w:rsid w:val="00F447CF"/>
    <w:rsid w:val="00F47F75"/>
    <w:rsid w:val="00F50AF4"/>
    <w:rsid w:val="00F557CB"/>
    <w:rsid w:val="00F5678F"/>
    <w:rsid w:val="00F57520"/>
    <w:rsid w:val="00F62C99"/>
    <w:rsid w:val="00F65AB8"/>
    <w:rsid w:val="00F71EDC"/>
    <w:rsid w:val="00F730C4"/>
    <w:rsid w:val="00F80F7E"/>
    <w:rsid w:val="00F82676"/>
    <w:rsid w:val="00F84B34"/>
    <w:rsid w:val="00F85731"/>
    <w:rsid w:val="00F90F27"/>
    <w:rsid w:val="00F94167"/>
    <w:rsid w:val="00F9605D"/>
    <w:rsid w:val="00FA1EBE"/>
    <w:rsid w:val="00FA6CD7"/>
    <w:rsid w:val="00FA72E8"/>
    <w:rsid w:val="00FC1DE3"/>
    <w:rsid w:val="00FC5D1F"/>
    <w:rsid w:val="00FC69F8"/>
    <w:rsid w:val="00FD045B"/>
    <w:rsid w:val="00FD67A7"/>
    <w:rsid w:val="00FE0E49"/>
    <w:rsid w:val="00FE1CDC"/>
    <w:rsid w:val="00FE200B"/>
    <w:rsid w:val="00FE3D4E"/>
    <w:rsid w:val="00FE7B78"/>
    <w:rsid w:val="00FF48A8"/>
    <w:rsid w:val="00FF4A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306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0F27"/>
    <w:pPr>
      <w:keepNext/>
      <w:keepLines/>
      <w:spacing w:after="0"/>
      <w:jc w:val="center"/>
      <w:outlineLvl w:val="0"/>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5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5B02"/>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A61A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1AEC"/>
    <w:rPr>
      <w:sz w:val="20"/>
      <w:szCs w:val="20"/>
    </w:rPr>
  </w:style>
  <w:style w:type="character" w:styleId="FootnoteReference">
    <w:name w:val="footnote reference"/>
    <w:basedOn w:val="DefaultParagraphFont"/>
    <w:uiPriority w:val="99"/>
    <w:semiHidden/>
    <w:unhideWhenUsed/>
    <w:rsid w:val="00A61AEC"/>
    <w:rPr>
      <w:vertAlign w:val="superscript"/>
    </w:rPr>
  </w:style>
  <w:style w:type="paragraph" w:styleId="ListParagraph">
    <w:name w:val="List Paragraph"/>
    <w:aliases w:val="DWA List 1,List Paragraph1,List Paragraph11,L,Recommendation,CV text,Table text,Numbered Paragraph,Colorful List - Accent 11,COOP,Primary Bullet List,List Paragraph2,Bulit List -  Paragraph,Main numbered paragraph,Numbered List Paragraph"/>
    <w:basedOn w:val="Normal"/>
    <w:link w:val="ListParagraphChar"/>
    <w:uiPriority w:val="34"/>
    <w:qFormat/>
    <w:rsid w:val="00F730C4"/>
    <w:pPr>
      <w:ind w:left="720"/>
      <w:contextualSpacing/>
    </w:pPr>
  </w:style>
  <w:style w:type="character" w:customStyle="1" w:styleId="Heading1Char">
    <w:name w:val="Heading 1 Char"/>
    <w:basedOn w:val="DefaultParagraphFont"/>
    <w:link w:val="Heading1"/>
    <w:uiPriority w:val="9"/>
    <w:rsid w:val="00F90F27"/>
    <w:rPr>
      <w:rFonts w:asciiTheme="majorHAnsi" w:eastAsiaTheme="majorEastAsia" w:hAnsiTheme="majorHAnsi" w:cstheme="majorBidi"/>
      <w:b/>
      <w:bCs/>
      <w:sz w:val="32"/>
      <w:szCs w:val="32"/>
    </w:rPr>
  </w:style>
  <w:style w:type="table" w:customStyle="1" w:styleId="GridTable6Colorful-Accent51">
    <w:name w:val="Grid Table 6 Colorful - Accent 51"/>
    <w:basedOn w:val="TableNormal"/>
    <w:next w:val="GridTable6Colorful-Accent5"/>
    <w:uiPriority w:val="51"/>
    <w:rsid w:val="00AB1D26"/>
    <w:pPr>
      <w:spacing w:after="0" w:line="240" w:lineRule="auto"/>
    </w:pPr>
    <w:rPr>
      <w:color w:val="30774D"/>
    </w:rPr>
    <w:tblPr>
      <w:tblStyleRowBandSize w:val="1"/>
      <w:tblStyleColBandSize w:val="1"/>
      <w:tblBorders>
        <w:top w:val="single" w:sz="4" w:space="0" w:color="84CDA2"/>
        <w:left w:val="single" w:sz="4" w:space="0" w:color="84CDA2"/>
        <w:bottom w:val="single" w:sz="4" w:space="0" w:color="84CDA2"/>
        <w:right w:val="single" w:sz="4" w:space="0" w:color="84CDA2"/>
        <w:insideH w:val="single" w:sz="4" w:space="0" w:color="84CDA2"/>
        <w:insideV w:val="single" w:sz="4" w:space="0" w:color="84CDA2"/>
      </w:tblBorders>
    </w:tblPr>
    <w:tblStylePr w:type="firstRow">
      <w:rPr>
        <w:b/>
        <w:bCs/>
      </w:rPr>
      <w:tblPr/>
      <w:tcPr>
        <w:tcBorders>
          <w:bottom w:val="single" w:sz="12" w:space="0" w:color="84CDA2"/>
        </w:tcBorders>
      </w:tcPr>
    </w:tblStylePr>
    <w:tblStylePr w:type="lastRow">
      <w:rPr>
        <w:b/>
        <w:bCs/>
      </w:rPr>
      <w:tblPr/>
      <w:tcPr>
        <w:tcBorders>
          <w:top w:val="double" w:sz="4" w:space="0" w:color="84CDA2"/>
        </w:tcBorders>
      </w:tcPr>
    </w:tblStylePr>
    <w:tblStylePr w:type="firstCol">
      <w:rPr>
        <w:b/>
        <w:bCs/>
      </w:rPr>
    </w:tblStylePr>
    <w:tblStylePr w:type="lastCol">
      <w:rPr>
        <w:b/>
        <w:bCs/>
      </w:rPr>
    </w:tblStylePr>
    <w:tblStylePr w:type="band1Vert">
      <w:tblPr/>
      <w:tcPr>
        <w:shd w:val="clear" w:color="auto" w:fill="D5EEE0"/>
      </w:tcPr>
    </w:tblStylePr>
    <w:tblStylePr w:type="band1Horz">
      <w:tblPr/>
      <w:tcPr>
        <w:shd w:val="clear" w:color="auto" w:fill="D5EEE0"/>
      </w:tcPr>
    </w:tblStylePr>
  </w:style>
  <w:style w:type="table" w:styleId="GridTable6Colorful-Accent5">
    <w:name w:val="Grid Table 6 Colorful Accent 5"/>
    <w:basedOn w:val="TableNormal"/>
    <w:uiPriority w:val="51"/>
    <w:rsid w:val="00AB1D26"/>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52">
    <w:name w:val="Grid Table 6 Colorful - Accent 52"/>
    <w:basedOn w:val="TableNormal"/>
    <w:next w:val="GridTable6Colorful-Accent5"/>
    <w:uiPriority w:val="51"/>
    <w:locked/>
    <w:rsid w:val="000A247C"/>
    <w:pPr>
      <w:spacing w:after="0" w:line="240" w:lineRule="auto"/>
    </w:pPr>
    <w:rPr>
      <w:color w:val="30774D"/>
    </w:rPr>
    <w:tblPr>
      <w:tblStyleRowBandSize w:val="1"/>
      <w:tblStyleColBandSize w:val="1"/>
      <w:tblBorders>
        <w:top w:val="single" w:sz="4" w:space="0" w:color="84CDA2"/>
        <w:left w:val="single" w:sz="4" w:space="0" w:color="84CDA2"/>
        <w:bottom w:val="single" w:sz="4" w:space="0" w:color="84CDA2"/>
        <w:right w:val="single" w:sz="4" w:space="0" w:color="84CDA2"/>
        <w:insideH w:val="single" w:sz="4" w:space="0" w:color="84CDA2"/>
        <w:insideV w:val="single" w:sz="4" w:space="0" w:color="84CDA2"/>
      </w:tblBorders>
    </w:tblPr>
    <w:tblStylePr w:type="firstRow">
      <w:rPr>
        <w:b/>
        <w:bCs/>
      </w:rPr>
      <w:tblPr/>
      <w:tcPr>
        <w:tcBorders>
          <w:bottom w:val="single" w:sz="12" w:space="0" w:color="84CDA2"/>
        </w:tcBorders>
      </w:tcPr>
    </w:tblStylePr>
    <w:tblStylePr w:type="lastRow">
      <w:rPr>
        <w:b/>
        <w:bCs/>
      </w:rPr>
      <w:tblPr/>
      <w:tcPr>
        <w:tcBorders>
          <w:top w:val="double" w:sz="4" w:space="0" w:color="84CDA2"/>
        </w:tcBorders>
      </w:tcPr>
    </w:tblStylePr>
    <w:tblStylePr w:type="firstCol">
      <w:rPr>
        <w:b/>
        <w:bCs/>
      </w:rPr>
    </w:tblStylePr>
    <w:tblStylePr w:type="lastCol">
      <w:rPr>
        <w:b/>
        <w:bCs/>
      </w:rPr>
    </w:tblStylePr>
    <w:tblStylePr w:type="band1Vert">
      <w:tblPr/>
      <w:tcPr>
        <w:shd w:val="clear" w:color="auto" w:fill="D5EEE0"/>
      </w:tcPr>
    </w:tblStylePr>
    <w:tblStylePr w:type="band1Horz">
      <w:tblPr/>
      <w:tcPr>
        <w:shd w:val="clear" w:color="auto" w:fill="D5EEE0"/>
      </w:tcPr>
    </w:tblStylePr>
  </w:style>
  <w:style w:type="table" w:styleId="GridTable4-Accent5">
    <w:name w:val="Grid Table 4 Accent 5"/>
    <w:basedOn w:val="TableNormal"/>
    <w:uiPriority w:val="49"/>
    <w:rsid w:val="00CE646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ListParagraphChar">
    <w:name w:val="List Paragraph Char"/>
    <w:aliases w:val="DWA List 1 Char,List Paragraph1 Char,List Paragraph11 Char,L Char,Recommendation Char,CV text Char,Table text Char,Numbered Paragraph Char,Colorful List - Accent 11 Char,COOP Char,Primary Bullet List Char,List Paragraph2 Char"/>
    <w:link w:val="ListParagraph"/>
    <w:uiPriority w:val="34"/>
    <w:qFormat/>
    <w:locked/>
    <w:rsid w:val="007370D3"/>
  </w:style>
  <w:style w:type="paragraph" w:styleId="Header">
    <w:name w:val="header"/>
    <w:basedOn w:val="Normal"/>
    <w:link w:val="HeaderChar"/>
    <w:uiPriority w:val="99"/>
    <w:unhideWhenUsed/>
    <w:rsid w:val="00EB51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1C0"/>
  </w:style>
  <w:style w:type="paragraph" w:styleId="Footer">
    <w:name w:val="footer"/>
    <w:basedOn w:val="Normal"/>
    <w:link w:val="FooterChar"/>
    <w:uiPriority w:val="99"/>
    <w:unhideWhenUsed/>
    <w:rsid w:val="00EB51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417401">
      <w:bodyDiv w:val="1"/>
      <w:marLeft w:val="0"/>
      <w:marRight w:val="0"/>
      <w:marTop w:val="0"/>
      <w:marBottom w:val="0"/>
      <w:divBdr>
        <w:top w:val="none" w:sz="0" w:space="0" w:color="auto"/>
        <w:left w:val="none" w:sz="0" w:space="0" w:color="auto"/>
        <w:bottom w:val="none" w:sz="0" w:space="0" w:color="auto"/>
        <w:right w:val="none" w:sz="0" w:space="0" w:color="auto"/>
      </w:divBdr>
    </w:div>
    <w:div w:id="880359746">
      <w:bodyDiv w:val="1"/>
      <w:marLeft w:val="0"/>
      <w:marRight w:val="0"/>
      <w:marTop w:val="0"/>
      <w:marBottom w:val="0"/>
      <w:divBdr>
        <w:top w:val="none" w:sz="0" w:space="0" w:color="auto"/>
        <w:left w:val="none" w:sz="0" w:space="0" w:color="auto"/>
        <w:bottom w:val="none" w:sz="0" w:space="0" w:color="auto"/>
        <w:right w:val="none" w:sz="0" w:space="0" w:color="auto"/>
      </w:divBdr>
    </w:div>
    <w:div w:id="985742710">
      <w:bodyDiv w:val="1"/>
      <w:marLeft w:val="0"/>
      <w:marRight w:val="0"/>
      <w:marTop w:val="0"/>
      <w:marBottom w:val="0"/>
      <w:divBdr>
        <w:top w:val="none" w:sz="0" w:space="0" w:color="auto"/>
        <w:left w:val="none" w:sz="0" w:space="0" w:color="auto"/>
        <w:bottom w:val="none" w:sz="0" w:space="0" w:color="auto"/>
        <w:right w:val="none" w:sz="0" w:space="0" w:color="auto"/>
      </w:divBdr>
    </w:div>
    <w:div w:id="1022053417">
      <w:bodyDiv w:val="1"/>
      <w:marLeft w:val="0"/>
      <w:marRight w:val="0"/>
      <w:marTop w:val="0"/>
      <w:marBottom w:val="0"/>
      <w:divBdr>
        <w:top w:val="none" w:sz="0" w:space="0" w:color="auto"/>
        <w:left w:val="none" w:sz="0" w:space="0" w:color="auto"/>
        <w:bottom w:val="none" w:sz="0" w:space="0" w:color="auto"/>
        <w:right w:val="none" w:sz="0" w:space="0" w:color="auto"/>
      </w:divBdr>
    </w:div>
    <w:div w:id="114932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C7078-C652-4A26-9A07-FE84C64BE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4068</Characters>
  <Application>Microsoft Office Word</Application>
  <DocSecurity>0</DocSecurity>
  <Lines>132</Lines>
  <Paragraphs>35</Paragraphs>
  <ScaleCrop>false</ScaleCrop>
  <HeadingPairs>
    <vt:vector size="2" baseType="variant">
      <vt:variant>
        <vt:lpstr>Title</vt:lpstr>
      </vt:variant>
      <vt:variant>
        <vt:i4>1</vt:i4>
      </vt:variant>
    </vt:vector>
  </HeadingPairs>
  <TitlesOfParts>
    <vt:vector size="1" baseType="lpstr">
      <vt:lpstr>Strongim Bisnis Program (Phase 2) - Final evaluation management response</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Strongim Bisnis Program (Phase 2) - Final evaluation management response</dc:title>
  <dc:subject/>
  <dc:creator/>
  <cp:keywords>[SEC=UNOFFICIAL]</cp:keywords>
  <dc:description/>
  <cp:lastModifiedBy/>
  <cp:revision>1</cp:revision>
  <dcterms:created xsi:type="dcterms:W3CDTF">2024-06-24T06:47:00Z</dcterms:created>
  <dcterms:modified xsi:type="dcterms:W3CDTF">2025-06-23T21:53:00Z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SecurityClassification">
    <vt:lpwstr>UNOFFICIAL</vt:lpwstr>
  </property>
  <property fmtid="{D5CDD505-2E9C-101B-9397-08002B2CF9AE}" pid="4" name="PMHMAC">
    <vt:lpwstr>v=2022.1;a=SHA256;h=C9E6B9A34DD9C30144AE121602359580E474B46F0CD73CF46CA56D1B77E82D63</vt:lpwstr>
  </property>
  <property fmtid="{D5CDD505-2E9C-101B-9397-08002B2CF9AE}" pid="5" name="PM_Qualifier">
    <vt:lpwstr/>
  </property>
  <property fmtid="{D5CDD505-2E9C-101B-9397-08002B2CF9AE}" pid="6" name="PM_DisplayValueSecClassificationWithQualifier">
    <vt:lpwstr>UNOFFICIAL</vt:lpwstr>
  </property>
  <property fmtid="{D5CDD505-2E9C-101B-9397-08002B2CF9AE}" pid="7" name="PM_InsertionValue">
    <vt:lpwstr>UNOFFICIAL</vt:lpwstr>
  </property>
  <property fmtid="{D5CDD505-2E9C-101B-9397-08002B2CF9AE}" pid="8" name="PM_Originator_Hash_SHA1">
    <vt:lpwstr>7620FCCEDE2584059579EC31D02BE46B0752B965</vt:lpwstr>
  </property>
  <property fmtid="{D5CDD505-2E9C-101B-9397-08002B2CF9AE}" pid="9" name="PM_Originating_FileId">
    <vt:lpwstr>46925C9870C9486CBB3F29343E6DC14E</vt:lpwstr>
  </property>
  <property fmtid="{D5CDD505-2E9C-101B-9397-08002B2CF9AE}" pid="10" name="PM_ProtectiveMarkingValue_Footer">
    <vt:lpwstr>UNOFFICIAL</vt:lpwstr>
  </property>
  <property fmtid="{D5CDD505-2E9C-101B-9397-08002B2CF9AE}" pid="11" name="PM_ProtectiveMarkingValue_Header">
    <vt:lpwstr>UNOFFICIAL</vt:lpwstr>
  </property>
  <property fmtid="{D5CDD505-2E9C-101B-9397-08002B2CF9AE}" pid="12" name="PM_OriginationTimeStamp">
    <vt:lpwstr>2023-06-02T05:30:15Z</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3599A684B55EB59ED9C314E0FFB6608C</vt:lpwstr>
  </property>
  <property fmtid="{D5CDD505-2E9C-101B-9397-08002B2CF9AE}" pid="20" name="PM_Hash_Salt">
    <vt:lpwstr>1145E9A59085BB03D2140621E3B4C4F4</vt:lpwstr>
  </property>
  <property fmtid="{D5CDD505-2E9C-101B-9397-08002B2CF9AE}" pid="21" name="PM_Hash_SHA1">
    <vt:lpwstr>D9BA0BA8F98BBA4B31923F6AC7966C8F7FCFFD81</vt:lpwstr>
  </property>
  <property fmtid="{D5CDD505-2E9C-101B-9397-08002B2CF9AE}" pid="22" name="PM_SecurityClassification_Prev">
    <vt:lpwstr>UNOFFICIAL</vt:lpwstr>
  </property>
  <property fmtid="{D5CDD505-2E9C-101B-9397-08002B2CF9AE}" pid="23" name="PM_Qualifier_Prev">
    <vt:lpwstr/>
  </property>
  <property fmtid="{D5CDD505-2E9C-101B-9397-08002B2CF9AE}" pid="24" name="PM_Display">
    <vt:lpwstr>UNOFFICIAL</vt:lpwstr>
  </property>
  <property fmtid="{D5CDD505-2E9C-101B-9397-08002B2CF9AE}" pid="25" name="PMUuid">
    <vt:lpwstr>v=2022.2;d=gov.au;g=65417EFE-F3B9-5E66-BD91-1E689FEC2EA6</vt:lpwstr>
  </property>
  <property fmtid="{D5CDD505-2E9C-101B-9397-08002B2CF9AE}" pid="26" name="PM_OriginatorUserAccountName_SHA256">
    <vt:lpwstr>500096707A4C76A4CE1EE55856702C0139E7598C417EB06F080E202373D5078D</vt:lpwstr>
  </property>
  <property fmtid="{D5CDD505-2E9C-101B-9397-08002B2CF9AE}" pid="27" name="PM_OriginatorDomainName_SHA256">
    <vt:lpwstr>6F3591835F3B2A8A025B00B5BA6418010DA3A17C9C26EA9C049FFD28039489A2</vt:lpwstr>
  </property>
  <property fmtid="{D5CDD505-2E9C-101B-9397-08002B2CF9AE}" pid="28" name="PM_Caveats_Count">
    <vt:lpwstr>0</vt:lpwstr>
  </property>
</Properties>
</file>