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Body CS)"/>
          <w:color w:val="B7432A"/>
          <w:spacing w:val="30"/>
        </w:rPr>
        <w:id w:val="1916512131"/>
        <w:docPartObj>
          <w:docPartGallery w:val="Cover Pages"/>
          <w:docPartUnique/>
        </w:docPartObj>
      </w:sdtPr>
      <w:sdtEndPr/>
      <w:sdtContent>
        <w:p w14:paraId="0EA53751" w14:textId="43DD17E4" w:rsidR="00FB2C3C" w:rsidRPr="00B66B6B" w:rsidRDefault="00FB2C3C" w:rsidP="00370438">
          <w:r w:rsidRPr="00B66B6B">
            <w:rPr>
              <w:noProof/>
            </w:rPr>
            <w:drawing>
              <wp:inline distT="0" distB="0" distL="0" distR="0" wp14:anchorId="0C25D564" wp14:editId="58584DB5">
                <wp:extent cx="3449320" cy="1860550"/>
                <wp:effectExtent l="0" t="0" r="0" b="6350"/>
                <wp:docPr id="36" name="Picture 36" descr="Strategic Developmen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trategic Development Group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9320" cy="1860550"/>
                        </a:xfrm>
                        <a:prstGeom prst="rect">
                          <a:avLst/>
                        </a:prstGeom>
                      </pic:spPr>
                    </pic:pic>
                  </a:graphicData>
                </a:graphic>
              </wp:inline>
            </w:drawing>
          </w:r>
        </w:p>
        <w:p w14:paraId="1EBF66C3" w14:textId="073A6E3F" w:rsidR="00C44655" w:rsidRPr="00B66B6B" w:rsidRDefault="003369ED" w:rsidP="00370438">
          <w:r w:rsidRPr="00B66B6B">
            <w:rPr>
              <w:noProof/>
            </w:rPr>
            <mc:AlternateContent>
              <mc:Choice Requires="wps">
                <w:drawing>
                  <wp:anchor distT="0" distB="0" distL="114300" distR="114300" simplePos="0" relativeHeight="251658240" behindDoc="0" locked="0" layoutInCell="1" allowOverlap="1" wp14:anchorId="724C2A77" wp14:editId="27E937B5">
                    <wp:simplePos x="0" y="0"/>
                    <wp:positionH relativeFrom="margin">
                      <wp:align>left</wp:align>
                    </wp:positionH>
                    <wp:positionV relativeFrom="paragraph">
                      <wp:posOffset>170815</wp:posOffset>
                    </wp:positionV>
                    <wp:extent cx="5563475"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3475" cy="0"/>
                            </a:xfrm>
                            <a:prstGeom prst="line">
                              <a:avLst/>
                            </a:prstGeom>
                            <a:ln w="22225" cap="rnd">
                              <a:solidFill>
                                <a:srgbClr val="0E14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4C133" id="Straight Connector 37" o:spid="_x0000_s1026" alt="&quot;&quot;"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45pt" to="438.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" strokecolor="#0e1428" strokeweight="1.75pt">
                    <v:stroke dashstyle="1 1" joinstyle="miter" endcap="round"/>
                    <w10:wrap anchorx="margin"/>
                  </v:line>
                </w:pict>
              </mc:Fallback>
            </mc:AlternateContent>
          </w:r>
        </w:p>
        <w:p w14:paraId="5AB7E265" w14:textId="06C0A782" w:rsidR="00C9168A" w:rsidRPr="00B66B6B" w:rsidRDefault="00BE468E" w:rsidP="00A22917">
          <w:pPr>
            <w:pStyle w:val="Subheading"/>
            <w:spacing w:before="600" w:after="600"/>
          </w:pPr>
          <w:r w:rsidRPr="00B66B6B">
            <w:t>FINAL REPORT- DFAT</w:t>
          </w:r>
        </w:p>
        <w:p w14:paraId="77DF9E20" w14:textId="5B98E1A8" w:rsidR="00C9168A" w:rsidRPr="00B66B6B" w:rsidRDefault="00C9168A" w:rsidP="00370438">
          <w:pPr>
            <w:rPr>
              <w:rStyle w:val="MajorHeading"/>
            </w:rPr>
          </w:pPr>
          <w:r w:rsidRPr="00B66B6B">
            <w:rPr>
              <w:rStyle w:val="MajorHeading"/>
            </w:rPr>
            <w:t xml:space="preserve">MID TERM REVIEW OF THE DFAT </w:t>
          </w:r>
          <w:r w:rsidR="002A067D" w:rsidRPr="00B66B6B">
            <w:rPr>
              <w:rStyle w:val="MajorHeading"/>
            </w:rPr>
            <w:t>SOLOMON ISLANDS INFRASTRUCTURE PROGRAM</w:t>
          </w:r>
        </w:p>
        <w:p w14:paraId="2A196B46" w14:textId="5C63E822" w:rsidR="00C44655" w:rsidRPr="00B66B6B" w:rsidRDefault="00F9742E" w:rsidP="00A22917">
          <w:pPr>
            <w:pStyle w:val="Subheading"/>
            <w:spacing w:before="600" w:after="600"/>
          </w:pPr>
          <w:r>
            <w:t>May</w:t>
          </w:r>
          <w:r w:rsidR="00B067FC" w:rsidRPr="00B66B6B">
            <w:t>, 2024</w:t>
          </w:r>
        </w:p>
      </w:sdtContent>
    </w:sdt>
    <w:p w14:paraId="781BE17E" w14:textId="7EF507D6" w:rsidR="00C44655" w:rsidRPr="00B66B6B" w:rsidRDefault="00C44655" w:rsidP="00A22917">
      <w:pPr>
        <w:spacing w:before="480"/>
      </w:pPr>
      <w:r w:rsidRPr="00B66B6B">
        <w:t xml:space="preserve">This report has been prepared by </w:t>
      </w:r>
      <w:r w:rsidR="75188E25" w:rsidRPr="00B66B6B">
        <w:t>Cat</w:t>
      </w:r>
      <w:r w:rsidR="00B067FC" w:rsidRPr="00B66B6B">
        <w:t>herine</w:t>
      </w:r>
      <w:r w:rsidR="75188E25" w:rsidRPr="00B66B6B">
        <w:t xml:space="preserve"> Renshaw, </w:t>
      </w:r>
      <w:r w:rsidR="002A067D" w:rsidRPr="00B66B6B">
        <w:t xml:space="preserve">Glenn </w:t>
      </w:r>
      <w:r w:rsidR="006E5100" w:rsidRPr="00B66B6B">
        <w:t>Cummings,</w:t>
      </w:r>
      <w:r w:rsidR="002A067D" w:rsidRPr="00B66B6B">
        <w:t xml:space="preserve"> and Rob Jauncey</w:t>
      </w:r>
      <w:r w:rsidR="00BD1C56" w:rsidRPr="00B66B6B">
        <w:t>.</w:t>
      </w:r>
    </w:p>
    <w:p w14:paraId="60A68593" w14:textId="7C1DF2B1" w:rsidR="00C44655" w:rsidRPr="00B66B6B" w:rsidRDefault="00C44655" w:rsidP="00BD1C56">
      <w:pPr>
        <w:jc w:val="center"/>
        <w:rPr>
          <w:b/>
          <w:bCs/>
        </w:rPr>
      </w:pPr>
      <w:r w:rsidRPr="00B66B6B">
        <w:rPr>
          <w:b/>
          <w:bCs/>
        </w:rPr>
        <w:t>strategicdevelopment.com.au</w:t>
      </w:r>
    </w:p>
    <w:p w14:paraId="337085E7" w14:textId="77777777" w:rsidR="00FB2C3C" w:rsidRPr="00B66B6B" w:rsidRDefault="00FB2C3C" w:rsidP="00370438">
      <w:pPr>
        <w:sectPr w:rsidR="00FB2C3C" w:rsidRPr="00B66B6B" w:rsidSect="00A22917">
          <w:headerReference w:type="default" r:id="rId12"/>
          <w:footerReference w:type="even" r:id="rId13"/>
          <w:footerReference w:type="default" r:id="rId14"/>
          <w:headerReference w:type="first" r:id="rId15"/>
          <w:footerReference w:type="first" r:id="rId16"/>
          <w:pgSz w:w="11900" w:h="16840"/>
          <w:pgMar w:top="2269" w:right="1440" w:bottom="1440" w:left="1440" w:header="709" w:footer="709" w:gutter="0"/>
          <w:pgNumType w:start="0"/>
          <w:cols w:space="708"/>
          <w:titlePg/>
          <w:docGrid w:linePitch="360"/>
        </w:sectPr>
      </w:pPr>
    </w:p>
    <w:p w14:paraId="78DC324C" w14:textId="77777777" w:rsidR="00FB2C3C" w:rsidRPr="00B66B6B" w:rsidRDefault="00FB2C3C" w:rsidP="00881A99">
      <w:pPr>
        <w:pStyle w:val="ExecSumH1"/>
      </w:pPr>
      <w:bookmarkStart w:id="0" w:name="_Toc520113639"/>
      <w:bookmarkStart w:id="1" w:name="_Toc520113928"/>
      <w:bookmarkStart w:id="2" w:name="_Toc156506656"/>
      <w:bookmarkStart w:id="3" w:name="_Toc165140727"/>
      <w:r w:rsidRPr="00B66B6B">
        <w:lastRenderedPageBreak/>
        <w:t>EXECUTIVE SUMMARY</w:t>
      </w:r>
      <w:bookmarkEnd w:id="0"/>
      <w:bookmarkEnd w:id="1"/>
      <w:bookmarkEnd w:id="2"/>
      <w:bookmarkEnd w:id="3"/>
    </w:p>
    <w:p w14:paraId="438082F4" w14:textId="77777777" w:rsidR="00966A61" w:rsidRDefault="00966A61" w:rsidP="00966A61">
      <w:pPr>
        <w:pStyle w:val="Heading2"/>
        <w:numPr>
          <w:ilvl w:val="0"/>
          <w:numId w:val="0"/>
        </w:numPr>
        <w:ind w:left="567" w:hanging="567"/>
      </w:pPr>
      <w:r>
        <w:t>Introduction</w:t>
      </w:r>
    </w:p>
    <w:p w14:paraId="4618BD08" w14:textId="5557DE24" w:rsidR="00DB6A3A" w:rsidRDefault="00DB6A3A" w:rsidP="00DB6A3A">
      <w:r>
        <w:t xml:space="preserve">The Solomon Islands Infrastructure Program (SIIP) is Australia’s 10 year, </w:t>
      </w:r>
      <w:r w:rsidR="00E07F9C">
        <w:t>A</w:t>
      </w:r>
      <w:r w:rsidR="00FF565C">
        <w:t xml:space="preserve">UD </w:t>
      </w:r>
      <w:r>
        <w:t xml:space="preserve">250million+ bilateral </w:t>
      </w:r>
      <w:r w:rsidR="00C20F5D">
        <w:t xml:space="preserve">infrastructure </w:t>
      </w:r>
      <w:r>
        <w:t>investment into Solomon Islands, which aims to improve the quality and accessibility of infrastructure to contribute to broad-based, inclusive, and sustainable economic growth in Solomon Islands.</w:t>
      </w:r>
      <w:r w:rsidR="00DA35E0">
        <w:t xml:space="preserve">  While SIIP’s stated intention is to be Australia’s “flagship” infrastructure program in Solomon Islands, it is just one element of Australia’s  total infrastructure investments in the country, which are expected to total almost AUD 1 billion over the 10 years between 2019 and 2029.  </w:t>
      </w:r>
    </w:p>
    <w:p w14:paraId="3E18C628" w14:textId="77777777" w:rsidR="00DB6A3A" w:rsidRDefault="00DB6A3A" w:rsidP="00DB6A3A">
      <w:r>
        <w:t>SIIP has the following End of Program Outcomes (EOPOs):</w:t>
      </w:r>
    </w:p>
    <w:p w14:paraId="5776B5BC" w14:textId="50A63A72" w:rsidR="00DB6A3A" w:rsidRDefault="00DB6A3A" w:rsidP="00864DDD">
      <w:pPr>
        <w:pStyle w:val="ListParagraph"/>
        <w:numPr>
          <w:ilvl w:val="0"/>
          <w:numId w:val="30"/>
        </w:numPr>
      </w:pPr>
      <w:r>
        <w:t>EOPO1: Solomon Islands government and industry have enhanced sustainable capacities to plan, manage, finance, construct and maintain critical economic infrastructure</w:t>
      </w:r>
      <w:r>
        <w:tab/>
      </w:r>
    </w:p>
    <w:p w14:paraId="0026D8E6" w14:textId="39107D6A" w:rsidR="00DB6A3A" w:rsidRDefault="00DB6A3A" w:rsidP="00864DDD">
      <w:pPr>
        <w:pStyle w:val="ListParagraph"/>
        <w:numPr>
          <w:ilvl w:val="0"/>
          <w:numId w:val="30"/>
        </w:numPr>
      </w:pPr>
      <w:r>
        <w:t>EOPO2: There is a legacy of high profile, resilient and accessible infrastructure assets in a range of sectors across the country that supports inclusive economic growth.</w:t>
      </w:r>
    </w:p>
    <w:p w14:paraId="6D5B9CBC" w14:textId="1228065E" w:rsidR="00DB6A3A" w:rsidRDefault="00085651" w:rsidP="00DB6A3A">
      <w:r>
        <w:t xml:space="preserve">The SIIP investment is </w:t>
      </w:r>
      <w:r w:rsidR="00DB6A3A">
        <w:t xml:space="preserve">led by the infrastructure team </w:t>
      </w:r>
      <w:r w:rsidR="007A3C8A">
        <w:t xml:space="preserve">at DFAT Post, </w:t>
      </w:r>
      <w:r w:rsidR="00DB6A3A">
        <w:t>the Australian High Commission in Honiara (</w:t>
      </w:r>
      <w:r w:rsidR="008A69E6" w:rsidRPr="008A69E6">
        <w:t>DFAT</w:t>
      </w:r>
      <w:r w:rsidR="008A69E6">
        <w:t xml:space="preserve"> Honiara</w:t>
      </w:r>
      <w:r w:rsidR="00DB6A3A">
        <w:t>)</w:t>
      </w:r>
      <w:r w:rsidR="007A3C8A">
        <w:t xml:space="preserve">. It </w:t>
      </w:r>
      <w:r w:rsidR="00DB6A3A">
        <w:t xml:space="preserve">is supported by </w:t>
      </w:r>
      <w:r w:rsidR="00FD3D79">
        <w:t xml:space="preserve">managing contractor DT Global through </w:t>
      </w:r>
      <w:r w:rsidR="00DB6A3A">
        <w:t>the SIIP Hub</w:t>
      </w:r>
      <w:r w:rsidR="00FD3D79">
        <w:t>. Infrastructure a</w:t>
      </w:r>
      <w:r w:rsidR="00DB6A3A">
        <w:t xml:space="preserve">ctivities are implemented by the SIIP Hub, </w:t>
      </w:r>
      <w:r w:rsidR="007A3C8A">
        <w:t>DFAT</w:t>
      </w:r>
      <w:r w:rsidR="00DB6A3A">
        <w:t xml:space="preserve"> and/or other partners. SIIP is governed by a Steering Committee (SC) which meets quarterly, and consists of representatives from the </w:t>
      </w:r>
      <w:r w:rsidR="008A69E6">
        <w:t>DFAT Honiara</w:t>
      </w:r>
      <w:r w:rsidR="00DB6A3A">
        <w:t xml:space="preserve"> and Solomon Islands Government (SIG).</w:t>
      </w:r>
    </w:p>
    <w:p w14:paraId="6E98C671" w14:textId="26D7406F" w:rsidR="00DB6A3A" w:rsidRDefault="003673B7" w:rsidP="00DB6A3A">
      <w:r w:rsidRPr="00D35F65">
        <w:rPr>
          <w:rStyle w:val="HeadlinefindingChar"/>
          <w:b w:val="0"/>
          <w:bCs w:val="0"/>
        </w:rPr>
        <w:t>SIIP is delivered in a phased approach</w:t>
      </w:r>
      <w:r w:rsidRPr="00D35F65">
        <w:rPr>
          <w:b/>
        </w:rPr>
        <w:t>:</w:t>
      </w:r>
      <w:r w:rsidR="007A3C8A">
        <w:t xml:space="preserve"> </w:t>
      </w:r>
      <w:r w:rsidRPr="00B66B6B">
        <w:t xml:space="preserve">Phase </w:t>
      </w:r>
      <w:r w:rsidR="007D7731">
        <w:t>One</w:t>
      </w:r>
      <w:r w:rsidRPr="00B66B6B">
        <w:t>: 2021-202</w:t>
      </w:r>
      <w:r w:rsidR="00A20404">
        <w:t>5</w:t>
      </w:r>
      <w:r w:rsidRPr="00B66B6B">
        <w:t xml:space="preserve">; Phase </w:t>
      </w:r>
      <w:r w:rsidR="007D7731">
        <w:t>Two</w:t>
      </w:r>
      <w:r w:rsidRPr="00B66B6B">
        <w:t>: 202</w:t>
      </w:r>
      <w:r w:rsidR="00A20404">
        <w:t>6</w:t>
      </w:r>
      <w:r w:rsidRPr="00B66B6B">
        <w:t>-202</w:t>
      </w:r>
      <w:r w:rsidR="006C0856">
        <w:t>7</w:t>
      </w:r>
      <w:r w:rsidRPr="00B66B6B">
        <w:t xml:space="preserve">; and Phase </w:t>
      </w:r>
      <w:r w:rsidR="007D7731">
        <w:t>Three</w:t>
      </w:r>
      <w:r w:rsidRPr="00B66B6B">
        <w:t>: 202</w:t>
      </w:r>
      <w:r w:rsidR="000F71A6">
        <w:t>8</w:t>
      </w:r>
      <w:r w:rsidRPr="00B66B6B">
        <w:t>-2030.</w:t>
      </w:r>
      <w:r w:rsidR="007A3C8A">
        <w:t xml:space="preserve"> The design phase </w:t>
      </w:r>
      <w:r w:rsidR="000E103C">
        <w:t>for SIIP ran</w:t>
      </w:r>
      <w:r w:rsidR="005200D2">
        <w:t xml:space="preserve"> from November 2019 </w:t>
      </w:r>
      <w:r w:rsidR="00D35F65">
        <w:t>–</w:t>
      </w:r>
      <w:r w:rsidR="005200D2">
        <w:t xml:space="preserve"> </w:t>
      </w:r>
      <w:r w:rsidR="00B16373">
        <w:t>November</w:t>
      </w:r>
      <w:r w:rsidR="00D35F65">
        <w:t xml:space="preserve"> </w:t>
      </w:r>
      <w:r w:rsidR="00B16373">
        <w:t xml:space="preserve">2020, following </w:t>
      </w:r>
      <w:r w:rsidR="0020415A">
        <w:t>Prime Minister Morrison’s announcement</w:t>
      </w:r>
      <w:r w:rsidR="00EB068B">
        <w:t xml:space="preserve"> of a 10 year AUD 250million</w:t>
      </w:r>
      <w:r w:rsidR="00D35F65">
        <w:t xml:space="preserve"> investment into</w:t>
      </w:r>
      <w:r w:rsidR="00EB068B">
        <w:t xml:space="preserve"> </w:t>
      </w:r>
      <w:r w:rsidR="000E103C">
        <w:t xml:space="preserve">infrastructure </w:t>
      </w:r>
      <w:r w:rsidR="00D35F65">
        <w:t xml:space="preserve">in Solomon Island </w:t>
      </w:r>
      <w:r w:rsidR="000E103C">
        <w:t xml:space="preserve">in June 2019. </w:t>
      </w:r>
      <w:r w:rsidR="00DB6A3A">
        <w:t xml:space="preserve">The </w:t>
      </w:r>
      <w:r w:rsidR="002226C2">
        <w:t>Mid Term Review (</w:t>
      </w:r>
      <w:r w:rsidR="00DB6A3A">
        <w:t>MTR</w:t>
      </w:r>
      <w:r w:rsidR="002226C2">
        <w:t>)</w:t>
      </w:r>
      <w:r w:rsidR="00DB6A3A">
        <w:t xml:space="preserve"> of SIIP seeks to understand the program’s performance</w:t>
      </w:r>
      <w:r w:rsidR="00D55D3B">
        <w:t xml:space="preserve"> during Phase One</w:t>
      </w:r>
      <w:r w:rsidR="00DB6A3A">
        <w:t xml:space="preserve"> and inform planning for Phase Two of the program. The MTR scope covers the period of January 2021 to December 2023. The purpose of the evaluation is both summative and formative in nature, providing recommendations to inform Phase 2. The evaluation questions (EQs) </w:t>
      </w:r>
      <w:r w:rsidR="00A8444F">
        <w:t xml:space="preserve">are </w:t>
      </w:r>
      <w:r w:rsidR="00DB6A3A">
        <w:t>presented in Annex 1. The MTR team based its analysis on document review, key informant interviews (KIIs) and focus group discussions (FGDs).</w:t>
      </w:r>
      <w:r w:rsidR="00A8444F">
        <w:t xml:space="preserve"> </w:t>
      </w:r>
      <w:r w:rsidR="00DB6A3A">
        <w:t xml:space="preserve">Emerging findings and recommendations were summarised in an Aide Memoire slide deck and presented to </w:t>
      </w:r>
      <w:r w:rsidR="007208A7" w:rsidRPr="007208A7">
        <w:t xml:space="preserve">DFAT </w:t>
      </w:r>
      <w:r w:rsidR="008A69E6">
        <w:t xml:space="preserve">(Honiara) </w:t>
      </w:r>
      <w:r w:rsidR="00DB6A3A">
        <w:t>on Wednesday 10 April</w:t>
      </w:r>
      <w:r w:rsidR="00A8444F">
        <w:t xml:space="preserve"> 2024</w:t>
      </w:r>
      <w:r w:rsidR="00DB6A3A">
        <w:t>.</w:t>
      </w:r>
    </w:p>
    <w:p w14:paraId="7601C5B9" w14:textId="77777777" w:rsidR="00DB6A3A" w:rsidRDefault="00DB6A3A" w:rsidP="00966A61">
      <w:pPr>
        <w:pStyle w:val="Heading2"/>
        <w:numPr>
          <w:ilvl w:val="0"/>
          <w:numId w:val="0"/>
        </w:numPr>
        <w:ind w:left="567" w:hanging="567"/>
      </w:pPr>
      <w:r>
        <w:t>Findings</w:t>
      </w:r>
    </w:p>
    <w:p w14:paraId="3D0B40F8" w14:textId="04D88E77" w:rsidR="00DB6A3A" w:rsidRDefault="00DB6A3A" w:rsidP="00DB6A3A">
      <w:r>
        <w:t xml:space="preserve">The MTR team presents a discussion of the review findings according to the evaluation criteria and related </w:t>
      </w:r>
      <w:r w:rsidR="00E046FD">
        <w:t>EQs</w:t>
      </w:r>
      <w:r>
        <w:t xml:space="preserve">, including related recommendations. Some areas of inquiry that surfaced during the MTR process were fundamental to the overall findings and recommendations, however they do not fit neatly within the responses to the agreed </w:t>
      </w:r>
      <w:r w:rsidR="00F21DE3">
        <w:t>EQs</w:t>
      </w:r>
      <w:r>
        <w:t>:</w:t>
      </w:r>
    </w:p>
    <w:p w14:paraId="73C8402F" w14:textId="1AAF4A2D" w:rsidR="00DB6A3A" w:rsidRDefault="00DB6A3A" w:rsidP="00864DDD">
      <w:pPr>
        <w:pStyle w:val="ListParagraph"/>
        <w:numPr>
          <w:ilvl w:val="0"/>
          <w:numId w:val="33"/>
        </w:numPr>
      </w:pPr>
      <w:r>
        <w:t xml:space="preserve">Overall, the MTR found that SIIP is progressing well in its delivery towards EOPO1 results, </w:t>
      </w:r>
      <w:r w:rsidR="00DC1E3F">
        <w:t>however,</w:t>
      </w:r>
      <w:r>
        <w:t xml:space="preserve"> more needs to be done, quickly, to demonstrate delivery towards EOPO2. </w:t>
      </w:r>
    </w:p>
    <w:p w14:paraId="64533FF6" w14:textId="3528CF4B" w:rsidR="00DB6A3A" w:rsidRDefault="00DB6A3A" w:rsidP="00864DDD">
      <w:pPr>
        <w:pStyle w:val="ListParagraph"/>
        <w:numPr>
          <w:ilvl w:val="0"/>
          <w:numId w:val="31"/>
        </w:numPr>
      </w:pPr>
      <w:r>
        <w:t xml:space="preserve">The design of SIIP was largely relevant to </w:t>
      </w:r>
      <w:r w:rsidR="00363D3A">
        <w:t xml:space="preserve">Solomon Islands </w:t>
      </w:r>
      <w:r>
        <w:t>and Australian priorities of the time, however the balance of priorities has shifted over the subsequent three yea</w:t>
      </w:r>
      <w:r w:rsidR="00DA35E0">
        <w:t>rs</w:t>
      </w:r>
      <w:r w:rsidR="0088076A">
        <w:t>, s</w:t>
      </w:r>
      <w:r>
        <w:t xml:space="preserve">uch that the focus from DFAT and SIG is now firmly on the program demonstrably delivering on EOPO2 – namely, </w:t>
      </w:r>
      <w:r w:rsidR="00363D3A">
        <w:t xml:space="preserve">delivering </w:t>
      </w:r>
      <w:r>
        <w:t xml:space="preserve">inclusive infrastructure. </w:t>
      </w:r>
    </w:p>
    <w:p w14:paraId="68C9A7FE" w14:textId="2A272353" w:rsidR="00DB6A3A" w:rsidRDefault="007D66F9" w:rsidP="00864DDD">
      <w:pPr>
        <w:pStyle w:val="ListParagraph"/>
        <w:numPr>
          <w:ilvl w:val="0"/>
          <w:numId w:val="31"/>
        </w:numPr>
      </w:pPr>
      <w:r>
        <w:t xml:space="preserve">A </w:t>
      </w:r>
      <w:r w:rsidR="00DA35E0">
        <w:t xml:space="preserve">more proportionate approach to managing risk, especially for smaller less complex activities, could accelerate implementation.  </w:t>
      </w:r>
      <w:r>
        <w:t>Extensive and detailed design and preparation for individual activities under the program should ensure quality outcomes.  But this</w:t>
      </w:r>
      <w:r w:rsidR="00DA35E0">
        <w:t xml:space="preserve"> </w:t>
      </w:r>
      <w:r w:rsidR="00DB6A3A">
        <w:t>risk avers</w:t>
      </w:r>
      <w:r>
        <w:t>e</w:t>
      </w:r>
      <w:r w:rsidR="00DB6A3A">
        <w:t xml:space="preserve"> </w:t>
      </w:r>
      <w:r w:rsidR="00DA35E0">
        <w:t xml:space="preserve">approach to </w:t>
      </w:r>
      <w:r w:rsidR="00DA35E0">
        <w:lastRenderedPageBreak/>
        <w:t xml:space="preserve">developing, managing, and implementing individual activities is slowing </w:t>
      </w:r>
      <w:r w:rsidR="00DB6A3A">
        <w:t>delivery of EOPO</w:t>
      </w:r>
      <w:r w:rsidR="002F2574">
        <w:t>2</w:t>
      </w:r>
      <w:r w:rsidR="00DA35E0">
        <w:t xml:space="preserve">.   Resulting delays are </w:t>
      </w:r>
      <w:r w:rsidR="00564463">
        <w:t xml:space="preserve">leading to </w:t>
      </w:r>
      <w:r w:rsidR="00DA35E0">
        <w:t xml:space="preserve">a </w:t>
      </w:r>
      <w:r w:rsidR="00DB6A3A">
        <w:t>significant strategic risk to the reputation of SIIP and</w:t>
      </w:r>
      <w:r w:rsidR="6E92CB74">
        <w:t>,</w:t>
      </w:r>
      <w:r w:rsidR="00DB6A3A">
        <w:t xml:space="preserve"> to some extent</w:t>
      </w:r>
      <w:r w:rsidR="1F3FF07F">
        <w:t>,</w:t>
      </w:r>
      <w:r w:rsidR="00DB6A3A">
        <w:t xml:space="preserve"> Australia as a credible development partner to SIG. </w:t>
      </w:r>
    </w:p>
    <w:p w14:paraId="1B3E9D22" w14:textId="7A126F2F" w:rsidR="00DB6A3A" w:rsidRDefault="00944DEF" w:rsidP="00864DDD">
      <w:pPr>
        <w:pStyle w:val="ListParagraph"/>
        <w:numPr>
          <w:ilvl w:val="0"/>
          <w:numId w:val="31"/>
        </w:numPr>
      </w:pPr>
      <w:r>
        <w:t>Strategic decisions around</w:t>
      </w:r>
      <w:r w:rsidR="00DB6A3A">
        <w:t xml:space="preserve"> SIIP’s</w:t>
      </w:r>
      <w:r>
        <w:t xml:space="preserve"> priorities and </w:t>
      </w:r>
      <w:r w:rsidR="00DB6A3A">
        <w:t>comparative advantage in a crowded market of infrastructure development programs and partners</w:t>
      </w:r>
      <w:r>
        <w:t xml:space="preserve"> will be crucial to influence the design of future phases</w:t>
      </w:r>
      <w:r w:rsidR="00DB6A3A">
        <w:t>.</w:t>
      </w:r>
      <w:r>
        <w:t xml:space="preserve">  Despite SC discussions on a SIIP Roadmap in December 2022, Australian and SIG priorities continue to evolve and there does not </w:t>
      </w:r>
      <w:r w:rsidR="00A57791">
        <w:t xml:space="preserve">yet </w:t>
      </w:r>
      <w:r>
        <w:t xml:space="preserve">appear to be a consensus across either Government on </w:t>
      </w:r>
      <w:r w:rsidR="00A57791">
        <w:t>future investments</w:t>
      </w:r>
      <w:r>
        <w:t xml:space="preserve">.  SIG endorsement of the Solomon Islands National Infrastructure Priority Pipeline (SINIPP) and the formation of a new Government following elections in April 2024 provide a basis for greater senior level policy engagement between Australia and SIG on future priorities. </w:t>
      </w:r>
      <w:r w:rsidR="00FB298F">
        <w:t xml:space="preserve"> </w:t>
      </w:r>
    </w:p>
    <w:p w14:paraId="4C1EDD5E" w14:textId="77777777" w:rsidR="00DB6A3A" w:rsidRDefault="00DB6A3A" w:rsidP="00966A61">
      <w:pPr>
        <w:pStyle w:val="Subheading"/>
      </w:pPr>
      <w:r>
        <w:t>Relevance</w:t>
      </w:r>
    </w:p>
    <w:p w14:paraId="571F4BF1" w14:textId="3BA0A6E7" w:rsidR="00DB6A3A" w:rsidRDefault="00DB6A3A" w:rsidP="00DB6A3A">
      <w:r>
        <w:t xml:space="preserve">SIIP was designed to respond to the priorities and needs of the people, </w:t>
      </w:r>
      <w:r w:rsidR="006E5100">
        <w:t>institutions,</w:t>
      </w:r>
      <w:r>
        <w:t xml:space="preserve"> and industry of Solomon Islands, in improving infrastructure needs in the country. SIIP was relevant to the Australian government priorities at the time of design and remains relevant in the current policy context. SIIP responds to the Solomon Islands financing constraints to fund the much needed and identified infrastructure projects. In its design, the program originally relied on SIG providing SIIP with an approved, well-developed priority project pipeline (developed through the PRIF program) to inform the delivery of EOPO2. It </w:t>
      </w:r>
      <w:r w:rsidR="00B50BF8">
        <w:t xml:space="preserve">became apparent at the commencement of SIIP </w:t>
      </w:r>
      <w:r>
        <w:t xml:space="preserve">that this pipeline was not approved, and </w:t>
      </w:r>
      <w:r w:rsidR="4BF928B0">
        <w:t xml:space="preserve">that </w:t>
      </w:r>
      <w:r>
        <w:t xml:space="preserve">no such agreed pipeline existed, which led to a program risk. </w:t>
      </w:r>
    </w:p>
    <w:p w14:paraId="66B152DC" w14:textId="769522DC" w:rsidR="00DB6A3A" w:rsidRDefault="007C3CAB" w:rsidP="00DB6A3A">
      <w:r>
        <w:t xml:space="preserve">The </w:t>
      </w:r>
      <w:r w:rsidR="00DB6A3A">
        <w:t>SIIP design responds to significant capacity gaps in policy and infrastructure delivery within SIG to plan, manage, finance, construct and maintain infrastructure, through technical advice, policy support and capacity building with SIG. In providing capacity building to local industry, SIIP sets out to respond to the some of the weaknesses in the construction sector, however the design was overly ambitious in the time needed to instigate the level of change needed, and misses the more systemic constraints that lead to those weaknesses.</w:t>
      </w:r>
    </w:p>
    <w:p w14:paraId="3BC4BADB" w14:textId="77777777" w:rsidR="00DB6A3A" w:rsidRDefault="00DB6A3A" w:rsidP="00966A61">
      <w:pPr>
        <w:pStyle w:val="Subheading"/>
      </w:pPr>
      <w:r>
        <w:t>Coherence</w:t>
      </w:r>
    </w:p>
    <w:p w14:paraId="125A76BC" w14:textId="77777777" w:rsidR="00944DEF" w:rsidRDefault="00DB6A3A" w:rsidP="00DB6A3A">
      <w:r>
        <w:t xml:space="preserve">SIIP sits alongside a growing portfolio of infrastructure investments from Australia and other international partners. Its broad scope in both the capacity building and infrastructure project delivery objectives puts SIIP at risk of getting lost in the noise. </w:t>
      </w:r>
    </w:p>
    <w:p w14:paraId="585E7B16" w14:textId="420F027E" w:rsidR="005409CE" w:rsidRDefault="00DB6A3A" w:rsidP="00DB6A3A">
      <w:r>
        <w:t xml:space="preserve">Australia is </w:t>
      </w:r>
      <w:r w:rsidR="005409CE">
        <w:t xml:space="preserve">the main </w:t>
      </w:r>
      <w:r>
        <w:t xml:space="preserve">partner to Solomon Islands and its largest infrastructure financier, with </w:t>
      </w:r>
      <w:r w:rsidR="00944DEF">
        <w:t xml:space="preserve">a total of almost AUD 1 billion in infrastructure spending anticipated between 2019 and 2029.  Most Australian infrastructure investments are funded under the aid program, with </w:t>
      </w:r>
      <w:r>
        <w:t xml:space="preserve">total </w:t>
      </w:r>
      <w:r w:rsidR="002226C2">
        <w:t>Official Development Assistance (</w:t>
      </w:r>
      <w:r>
        <w:t>ODA</w:t>
      </w:r>
      <w:r w:rsidR="002226C2">
        <w:t>)</w:t>
      </w:r>
      <w:r>
        <w:t xml:space="preserve"> currently exceeding A</w:t>
      </w:r>
      <w:r w:rsidR="007208A7">
        <w:t>UD</w:t>
      </w:r>
      <w:r>
        <w:t>170 million per year</w:t>
      </w:r>
      <w:r w:rsidR="00944DEF">
        <w:t>.  SIIP, as well as other infrastructure investments, are funded from the</w:t>
      </w:r>
      <w:r>
        <w:t xml:space="preserve"> bilateral aid allocation of slightly over A</w:t>
      </w:r>
      <w:r w:rsidR="007208A7">
        <w:t>UD</w:t>
      </w:r>
      <w:r>
        <w:t>100 million</w:t>
      </w:r>
      <w:r w:rsidR="00944DEF">
        <w:t xml:space="preserve"> per year</w:t>
      </w:r>
      <w:r>
        <w:t xml:space="preserve">. </w:t>
      </w:r>
      <w:r w:rsidR="00944DEF">
        <w:t xml:space="preserve">The Australian Infrastructure Financing Facility for the Pacific (AIFFP) is the other major ODA financed </w:t>
      </w:r>
      <w:r w:rsidR="005409CE">
        <w:t>infrastructure program.  In addition,</w:t>
      </w:r>
      <w:r>
        <w:t xml:space="preserve"> </w:t>
      </w:r>
      <w:r w:rsidR="00101C85">
        <w:t xml:space="preserve">Australian Federal Police </w:t>
      </w:r>
      <w:r w:rsidR="00560FDE">
        <w:t xml:space="preserve">(AFP) </w:t>
      </w:r>
      <w:r>
        <w:t>and Defence programs</w:t>
      </w:r>
      <w:r w:rsidR="005409CE">
        <w:t xml:space="preserve"> finance significant infrastructure investments in Solomon Islands in addition to the ODA program</w:t>
      </w:r>
      <w:r>
        <w:t xml:space="preserve">. </w:t>
      </w:r>
    </w:p>
    <w:p w14:paraId="054143D8" w14:textId="76AE6DF1" w:rsidR="00DB6A3A" w:rsidRDefault="00DB6A3A" w:rsidP="00DB6A3A">
      <w:r>
        <w:t xml:space="preserve">SIIP also operates alongside numerous bilateral and multilateral infrastructure support from other development partners, including World Bank Group, Asian Development Bank, China, New Zealand, Japan, the </w:t>
      </w:r>
      <w:r w:rsidR="006E5100">
        <w:t>EU,</w:t>
      </w:r>
      <w:r>
        <w:t xml:space="preserve"> and USA.</w:t>
      </w:r>
      <w:r w:rsidR="005409CE">
        <w:t xml:space="preserve">  While Australia is the single largest infrastructure financier in Solomon Islands, Australia’s infrastructure funding makes up about 40% of total external infrastructure financing.</w:t>
      </w:r>
    </w:p>
    <w:p w14:paraId="33D4789B" w14:textId="1D48531B" w:rsidR="00DB6A3A" w:rsidRDefault="00DB6A3A" w:rsidP="00DB6A3A">
      <w:r>
        <w:t xml:space="preserve">In terms </w:t>
      </w:r>
      <w:r w:rsidR="00101C85">
        <w:t xml:space="preserve">of </w:t>
      </w:r>
      <w:r>
        <w:t>balancing the priorities of the two EOPOs, delivery of SIIP has focused too heavily on EOPO1, and this needs to be rebalanced to focus on delivery of EOPO2 results. Changes in priorities of SIG/</w:t>
      </w:r>
      <w:r w:rsidR="008A69E6">
        <w:t>DFAT</w:t>
      </w:r>
      <w:r>
        <w:t xml:space="preserve"> can be seen in the type, </w:t>
      </w:r>
      <w:r w:rsidR="006E5100">
        <w:t>nature,</w:t>
      </w:r>
      <w:r>
        <w:t xml:space="preserve"> and scale of SIIP projects. </w:t>
      </w:r>
    </w:p>
    <w:p w14:paraId="371538D0" w14:textId="7CAF1D3B" w:rsidR="005409CE" w:rsidRDefault="005409CE" w:rsidP="00DB6A3A">
      <w:r>
        <w:lastRenderedPageBreak/>
        <w:t xml:space="preserve">Not all SIIP financed activities are implemented by the SIIP Hub. </w:t>
      </w:r>
      <w:r w:rsidR="004B4C25">
        <w:t xml:space="preserve">Successful SIIP </w:t>
      </w:r>
      <w:r w:rsidR="001C6666">
        <w:t>financed investments in</w:t>
      </w:r>
      <w:r w:rsidR="004B4C25">
        <w:t xml:space="preserve"> Taro and Seghe airfield upgrades, for instance, were managed by New Zealand rather than the SIIP Hub.</w:t>
      </w:r>
      <w:r>
        <w:t xml:space="preserve"> The availability of a range of delivery modalities has helped to ensure that DFAT can be responsive to SIG needs as well as finance relevant infrastructure investments by a range of bilateral and multilateral partners. On the other hand, this also requires significant efforts by the DFAT </w:t>
      </w:r>
      <w:r w:rsidR="000C4586">
        <w:t>Honiara</w:t>
      </w:r>
      <w:r w:rsidR="00C2550B">
        <w:t xml:space="preserve"> team</w:t>
      </w:r>
      <w:r>
        <w:t xml:space="preserve"> to coordinate SIIP activities</w:t>
      </w:r>
      <w:r w:rsidR="004B4C25">
        <w:t xml:space="preserve"> through </w:t>
      </w:r>
      <w:r w:rsidR="00C2550B">
        <w:t>several</w:t>
      </w:r>
      <w:r w:rsidR="004B4C25">
        <w:t xml:space="preserve"> delivery mechanisms and partners</w:t>
      </w:r>
      <w:r>
        <w:t>.</w:t>
      </w:r>
    </w:p>
    <w:p w14:paraId="7923A28E" w14:textId="77777777" w:rsidR="00DB6A3A" w:rsidRDefault="00DB6A3A" w:rsidP="00966A61">
      <w:pPr>
        <w:pStyle w:val="Subheading"/>
      </w:pPr>
      <w:r>
        <w:t>Effectiveness</w:t>
      </w:r>
    </w:p>
    <w:p w14:paraId="03FEE13E" w14:textId="176A06C4" w:rsidR="00B60C7F" w:rsidRDefault="00DB6A3A" w:rsidP="00DB6A3A">
      <w:r>
        <w:t xml:space="preserve">SIIP has made considerable progress in delivering its outputs and intermediate outputs as they relate to EOPO1, with evidence of change taking place in </w:t>
      </w:r>
      <w:r w:rsidR="006672B3">
        <w:t xml:space="preserve">Solomon Islands’ </w:t>
      </w:r>
      <w:r>
        <w:t xml:space="preserve">policy and regulatory landscape and improved knowledge and skills demonstrated among the construction industry. SIIP training is well regarded by SIG counterparts and local contractor community. </w:t>
      </w:r>
    </w:p>
    <w:p w14:paraId="67201007" w14:textId="60444CA2" w:rsidR="00DB6A3A" w:rsidRDefault="00DB6A3A" w:rsidP="00DB6A3A">
      <w:r>
        <w:t xml:space="preserve">Progress is slow in bringing SIIP Hub projects to finance-ready stage, and SIIP has made slow progress in achieving outputs and intermediate outcomes that lead to EOPO2. Commitments from SIIP Hub and Direct Funding Agreement (DFA) modalities are approaching </w:t>
      </w:r>
      <w:r w:rsidR="007208A7">
        <w:t>AUD</w:t>
      </w:r>
      <w:r>
        <w:t>200</w:t>
      </w:r>
      <w:r w:rsidR="007208A7">
        <w:t xml:space="preserve"> </w:t>
      </w:r>
      <w:r>
        <w:t>mil</w:t>
      </w:r>
      <w:r w:rsidR="007208A7">
        <w:t>lion</w:t>
      </w:r>
      <w:r>
        <w:t xml:space="preserve">, however with 20 projects approved by the SC up to December 2023, only one project has so far been handed over. </w:t>
      </w:r>
    </w:p>
    <w:p w14:paraId="5413D2DB" w14:textId="77777777" w:rsidR="00DB6A3A" w:rsidRDefault="00DB6A3A" w:rsidP="00DB6A3A">
      <w:r>
        <w:t xml:space="preserve">Overall, the governance mechanism was found to be effective, although there are opportunities to improve its efficiency and effectiveness. The review team heard that there is, however, a need to streamline and simplify governance arrangements to ensure decisions around program priorities can be made in a more efficient fashion. </w:t>
      </w:r>
    </w:p>
    <w:p w14:paraId="178CEE22" w14:textId="65015B04" w:rsidR="00DB6A3A" w:rsidRDefault="00966A61" w:rsidP="00DB6A3A">
      <w:r>
        <w:t>A</w:t>
      </w:r>
      <w:r w:rsidR="00DB6A3A">
        <w:t xml:space="preserve"> number of program processes and requirements are having a negative impact on the effectiveness and efficiency of delivery, particularly in relation to EOPO2. Obstacles as they relate to risk include </w:t>
      </w:r>
      <w:r w:rsidR="00B90173">
        <w:t>i</w:t>
      </w:r>
      <w:r w:rsidR="00DB6A3A">
        <w:t xml:space="preserve">nsurance, quality standards, complicated contract clauses requiring negotiations, and payment terms. SIIP Hub is considered risk averse, and this is a fundamental challenge to the successful delivery of SIIP. </w:t>
      </w:r>
    </w:p>
    <w:p w14:paraId="14984846" w14:textId="000D8897" w:rsidR="00DB6A3A" w:rsidRDefault="00DB6A3A" w:rsidP="00DB6A3A">
      <w:r>
        <w:t xml:space="preserve">SIIP is integrating cross cutting themes of climate change and disaster resilience (CCDR) and gender equality, </w:t>
      </w:r>
      <w:proofErr w:type="gramStart"/>
      <w:r>
        <w:t>disability</w:t>
      </w:r>
      <w:proofErr w:type="gramEnd"/>
      <w:r>
        <w:t xml:space="preserve"> and social inclusion (GEDS) into program delivery</w:t>
      </w:r>
      <w:r w:rsidR="00656A1C">
        <w:t xml:space="preserve"> well</w:t>
      </w:r>
      <w:r>
        <w:t xml:space="preserve">. MEL processes from SIIP Hub are of high quality, and the program could benefit from higher level reporting on </w:t>
      </w:r>
      <w:r w:rsidR="008A69E6">
        <w:t>DFAT</w:t>
      </w:r>
      <w:r w:rsidR="00B90173">
        <w:t>-led</w:t>
      </w:r>
      <w:r>
        <w:t xml:space="preserve"> initiatives.</w:t>
      </w:r>
    </w:p>
    <w:p w14:paraId="31196891" w14:textId="77777777" w:rsidR="00DB6A3A" w:rsidRDefault="00DB6A3A" w:rsidP="00966A61">
      <w:pPr>
        <w:pStyle w:val="Subheading"/>
      </w:pPr>
      <w:r>
        <w:t>Efficiency</w:t>
      </w:r>
    </w:p>
    <w:p w14:paraId="36CD52ED" w14:textId="223DBE0F" w:rsidR="00DB6A3A" w:rsidRDefault="00656A1C" w:rsidP="00DB6A3A">
      <w:r>
        <w:t>On balance,</w:t>
      </w:r>
      <w:r w:rsidR="00DB6A3A">
        <w:t xml:space="preserve"> resources are not being allocated as efficiently as possible across the program for the delivery of the EOPOs. The current financial situation is not sustainable</w:t>
      </w:r>
      <w:r w:rsidR="004B4C25">
        <w:t>.  In addition to the success of the NZ managed provincial airfields projects, it will be especially important that substantial progress is made on SIIP Hub managed activities, as expected over the remainder of 2024.  Currently,</w:t>
      </w:r>
      <w:r w:rsidR="00DB6A3A">
        <w:t xml:space="preserve"> SIIP Hub operational costs to date more than double expenditure on SIIP managed projects. The review found that in some cases the expectations of</w:t>
      </w:r>
      <w:r w:rsidR="00F945A4">
        <w:t xml:space="preserve"> DFAT </w:t>
      </w:r>
      <w:r w:rsidR="00B90173">
        <w:t>Honiara</w:t>
      </w:r>
      <w:r w:rsidR="00DB6A3A">
        <w:t xml:space="preserve"> have been unrealistic with regards to the time required and costs associated with delivering smaller contracts</w:t>
      </w:r>
      <w:r w:rsidR="00175DD4">
        <w:t>.</w:t>
      </w:r>
    </w:p>
    <w:p w14:paraId="7DF3162D" w14:textId="35B0F794" w:rsidR="00DB6A3A" w:rsidRDefault="00DB6A3A" w:rsidP="00DB6A3A">
      <w:r>
        <w:t xml:space="preserve">Timeliness of delivery, particularly in the delays in progressing EOPO2, </w:t>
      </w:r>
      <w:r w:rsidR="00656A1C">
        <w:t>is a</w:t>
      </w:r>
      <w:r>
        <w:t xml:space="preserve"> key risk to the program. SIIP Hub </w:t>
      </w:r>
      <w:r w:rsidR="004B4C25">
        <w:t>managed</w:t>
      </w:r>
      <w:r>
        <w:t xml:space="preserve"> infrastructure projects</w:t>
      </w:r>
      <w:r w:rsidR="004B4C25">
        <w:t xml:space="preserve"> have been significantly delayed.  While there are specific reasons for delays to each individual project, overall progress on works construction after </w:t>
      </w:r>
      <w:r w:rsidR="00B90173">
        <w:t xml:space="preserve">three </w:t>
      </w:r>
      <w:r w:rsidR="004B4C25">
        <w:t>years is significantly slower than all parties anticipated at the beginning of the program.  T</w:t>
      </w:r>
      <w:r>
        <w:t xml:space="preserve">his is leading to reputational risk for both the program and confidence in Australia as a first choice development partner of SIG. Strategic competition in Solomon Islands makes delivery timeframes especially critical. </w:t>
      </w:r>
      <w:r w:rsidR="00694950">
        <w:t>The p</w:t>
      </w:r>
      <w:r>
        <w:t xml:space="preserve">ace of delivery can be somewhat explained, however SIIP has a limited remaining window of opportunity to recover SIG </w:t>
      </w:r>
      <w:r w:rsidR="00694950">
        <w:t xml:space="preserve">confidence in </w:t>
      </w:r>
      <w:r>
        <w:t xml:space="preserve">DFAT </w:t>
      </w:r>
      <w:r w:rsidR="00694950">
        <w:t>as a priority partner in Solomon Islands.</w:t>
      </w:r>
      <w:r>
        <w:t xml:space="preserve"> </w:t>
      </w:r>
    </w:p>
    <w:p w14:paraId="43D29AEE" w14:textId="43FC6171" w:rsidR="004B4C25" w:rsidRDefault="004B4C25" w:rsidP="00966A61">
      <w:pPr>
        <w:pStyle w:val="Subheading"/>
      </w:pPr>
    </w:p>
    <w:p w14:paraId="231B104D" w14:textId="2D4ED1C7" w:rsidR="00DB6A3A" w:rsidRDefault="00DB6A3A" w:rsidP="00966A61">
      <w:pPr>
        <w:pStyle w:val="Subheading"/>
      </w:pPr>
      <w:r>
        <w:lastRenderedPageBreak/>
        <w:t>Impact and Sustainability</w:t>
      </w:r>
    </w:p>
    <w:p w14:paraId="604D232D" w14:textId="77777777" w:rsidR="00DB6A3A" w:rsidRDefault="00DB6A3A" w:rsidP="00DB6A3A">
      <w:r>
        <w:t>The findings in response to the four impact and sustainability EQs are bundled together, given the strategic nature of the issues discussed and how they relate to delivery of both EOPOs and the overarching goal, and their longevity beyond the life of SIIP.</w:t>
      </w:r>
    </w:p>
    <w:p w14:paraId="0A4B60F3" w14:textId="2F41477F" w:rsidR="00DB6A3A" w:rsidRDefault="00DB6A3A" w:rsidP="00DB6A3A">
      <w:r>
        <w:t xml:space="preserve">Overall, the program is well on track to deliver aspects of EOPO1, but SIIP has a limited remaining window to bring the program back on track to deliver against EOPO2. There are options for incremental improvements to accelerate implementation of SIIP activities, and these depend largely on two strategic concerns that need to be addressed as a matter of urgency: the acceptable tolerance for a proportionate approach to risk management, and </w:t>
      </w:r>
      <w:r w:rsidR="00694950">
        <w:t xml:space="preserve">a consensus on </w:t>
      </w:r>
      <w:r>
        <w:t>the strategic focus for SIIP.</w:t>
      </w:r>
    </w:p>
    <w:p w14:paraId="08D2F776" w14:textId="3F6A967C" w:rsidR="00DB6A3A" w:rsidRDefault="00DB6A3A" w:rsidP="00DB6A3A">
      <w:r>
        <w:t>A more proportionate approach to managing project level risks will be important to improve speed of delivery. SIIP’s priority “levers” for delivering SIIP</w:t>
      </w:r>
      <w:r w:rsidR="00694950">
        <w:t xml:space="preserve"> (namely quality, local content, speed, and cost)</w:t>
      </w:r>
      <w:r>
        <w:t xml:space="preserve"> cannot all be pulled </w:t>
      </w:r>
      <w:r w:rsidR="00694950">
        <w:t>at</w:t>
      </w:r>
      <w:r>
        <w:t xml:space="preserve"> once, as there are clear tensions between them. To improve delivery speed, there</w:t>
      </w:r>
      <w:r w:rsidR="001E4499">
        <w:t xml:space="preserve"> is</w:t>
      </w:r>
      <w:r>
        <w:t xml:space="preserve"> scope for a </w:t>
      </w:r>
      <w:r w:rsidR="004B4C25">
        <w:t xml:space="preserve">more proportionate </w:t>
      </w:r>
      <w:r>
        <w:t>risk-based approach to implementation</w:t>
      </w:r>
      <w:r w:rsidR="001E4499">
        <w:t>,</w:t>
      </w:r>
      <w:r>
        <w:t xml:space="preserve"> balancing priorities differently based on</w:t>
      </w:r>
      <w:r w:rsidR="001E4499">
        <w:t xml:space="preserve"> the</w:t>
      </w:r>
      <w:r>
        <w:t xml:space="preserve"> size and complexity of </w:t>
      </w:r>
      <w:r w:rsidR="001E4499">
        <w:t xml:space="preserve">each </w:t>
      </w:r>
      <w:r>
        <w:t>project.</w:t>
      </w:r>
    </w:p>
    <w:p w14:paraId="206C31A7" w14:textId="3127BB69" w:rsidR="00DB6A3A" w:rsidRDefault="00DB6A3A" w:rsidP="00DB6A3A">
      <w:r>
        <w:t xml:space="preserve">Strategic decisions on SIIP’s comparative advantage and medium-term investment pipeline in the second half of 2024 will be important to design a future phase. Managing short-term financing pressures will require building a consensus with </w:t>
      </w:r>
      <w:r w:rsidR="00472049">
        <w:t>the new Solomon Islands</w:t>
      </w:r>
      <w:r w:rsidR="00C400FC">
        <w:t xml:space="preserve"> </w:t>
      </w:r>
      <w:r>
        <w:t>Government to avoid risks of SIIP further falling short of expectations. A clear strategic view of SIIP’s comparative advantage will be critical to design the second phase and determine appropriate contracting modalities, namely what infrastructure investments the program should be financing over the short and medium-term.</w:t>
      </w:r>
    </w:p>
    <w:p w14:paraId="71B98797" w14:textId="77777777" w:rsidR="00DB6A3A" w:rsidRDefault="00DB6A3A" w:rsidP="00DB6A3A">
      <w:r>
        <w:t>The review presents a set of three strategic options for focusing SIIP in the medium term, although a compromise is likely to be needed across them:</w:t>
      </w:r>
    </w:p>
    <w:p w14:paraId="7593A756" w14:textId="5B81112E" w:rsidR="00DB6A3A" w:rsidRDefault="00DB6A3A" w:rsidP="00864DDD">
      <w:pPr>
        <w:pStyle w:val="ListParagraph"/>
        <w:numPr>
          <w:ilvl w:val="0"/>
          <w:numId w:val="32"/>
        </w:numPr>
      </w:pPr>
      <w:r>
        <w:t xml:space="preserve">Option 1: A sharper focus on a smaller number of nation-building activities. </w:t>
      </w:r>
    </w:p>
    <w:p w14:paraId="3C877545" w14:textId="2FBB1968" w:rsidR="00DB6A3A" w:rsidRDefault="00DB6A3A" w:rsidP="00864DDD">
      <w:pPr>
        <w:pStyle w:val="ListParagraph"/>
        <w:numPr>
          <w:ilvl w:val="0"/>
          <w:numId w:val="32"/>
        </w:numPr>
      </w:pPr>
      <w:r>
        <w:t xml:space="preserve">Option 2:  Wide range of smaller activities across </w:t>
      </w:r>
      <w:r w:rsidR="00972AB0">
        <w:t>Solomon Islands</w:t>
      </w:r>
      <w:r>
        <w:t xml:space="preserve">, with greater sectoral or geographic coherence. </w:t>
      </w:r>
    </w:p>
    <w:p w14:paraId="33AAA89E" w14:textId="68F3F3CE" w:rsidR="00DB6A3A" w:rsidRDefault="00DB6A3A" w:rsidP="00864DDD">
      <w:pPr>
        <w:pStyle w:val="ListParagraph"/>
        <w:numPr>
          <w:ilvl w:val="0"/>
          <w:numId w:val="32"/>
        </w:numPr>
      </w:pPr>
      <w:r>
        <w:t>Option 3: Ensuring that SIIP remains highly responsive to demand and able to fund a variety of projects rather than seeking to identify priorities top down in advance</w:t>
      </w:r>
    </w:p>
    <w:p w14:paraId="351372FE" w14:textId="5708C372" w:rsidR="00DB6A3A" w:rsidRDefault="00656A1C" w:rsidP="00DB6A3A">
      <w:r>
        <w:t>T</w:t>
      </w:r>
      <w:r w:rsidR="00DB6A3A">
        <w:t xml:space="preserve">he transition from SIIP </w:t>
      </w:r>
      <w:r w:rsidR="002226C2">
        <w:t>P</w:t>
      </w:r>
      <w:r w:rsidR="00DB6A3A">
        <w:t xml:space="preserve">hase </w:t>
      </w:r>
      <w:r w:rsidR="002226C2">
        <w:t xml:space="preserve">One </w:t>
      </w:r>
      <w:r w:rsidR="00DB6A3A">
        <w:t xml:space="preserve">to </w:t>
      </w:r>
      <w:r w:rsidR="002226C2">
        <w:t>P</w:t>
      </w:r>
      <w:r w:rsidR="00DB6A3A">
        <w:t xml:space="preserve">hase </w:t>
      </w:r>
      <w:r w:rsidR="002226C2">
        <w:t>Two</w:t>
      </w:r>
      <w:r w:rsidR="00DB6A3A">
        <w:t xml:space="preserve"> is crucial to maintain current momentum and ensure that the redefined strategic focus and program arrangements are in place to deliver sustainable change against the EOPOs and overarching goal. Planning for phase 2 will be needed to commence in quarter 2 of 2024</w:t>
      </w:r>
      <w:r w:rsidR="004B4C25">
        <w:t xml:space="preserve"> once both the Australian and Solomon Islands Governments agree on broad priorities for the future program</w:t>
      </w:r>
      <w:r w:rsidR="00DB6A3A">
        <w:t>.</w:t>
      </w:r>
    </w:p>
    <w:p w14:paraId="01387B98" w14:textId="77777777" w:rsidR="00966A61" w:rsidRDefault="00DB6A3A" w:rsidP="00966A61">
      <w:pPr>
        <w:pStyle w:val="Heading2"/>
        <w:numPr>
          <w:ilvl w:val="0"/>
          <w:numId w:val="0"/>
        </w:numPr>
        <w:ind w:left="567" w:hanging="567"/>
      </w:pPr>
      <w:r>
        <w:t>Recommendations</w:t>
      </w:r>
    </w:p>
    <w:p w14:paraId="4082261A" w14:textId="3FF6B399" w:rsidR="00966A61" w:rsidRPr="00966A61" w:rsidRDefault="00966A61" w:rsidP="00966A61">
      <w:r>
        <w:t xml:space="preserve">10 recommendations are presented, with links to the relevant sections in the main document for added context and rationale. </w:t>
      </w:r>
    </w:p>
    <w:tbl>
      <w:tblPr>
        <w:tblStyle w:val="TableGridLight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230"/>
        <w:gridCol w:w="1417"/>
      </w:tblGrid>
      <w:tr w:rsidR="00966A61" w:rsidRPr="00966A61" w14:paraId="714CB32F" w14:textId="77777777" w:rsidTr="00A22917">
        <w:trPr>
          <w:tblHeader/>
        </w:trPr>
        <w:tc>
          <w:tcPr>
            <w:tcW w:w="567" w:type="dxa"/>
            <w:shd w:val="clear" w:color="auto" w:fill="2F5496" w:themeFill="accent1" w:themeFillShade="BF"/>
          </w:tcPr>
          <w:p w14:paraId="3D2745D2" w14:textId="77777777" w:rsidR="00966A61" w:rsidRPr="00966A61" w:rsidRDefault="00966A61" w:rsidP="00966A61">
            <w:pPr>
              <w:rPr>
                <w:b/>
                <w:bCs/>
                <w:color w:val="FFFFFF" w:themeColor="background1"/>
              </w:rPr>
            </w:pPr>
            <w:r w:rsidRPr="00966A61">
              <w:rPr>
                <w:b/>
                <w:bCs/>
                <w:color w:val="FFFFFF" w:themeColor="background1"/>
              </w:rPr>
              <w:t>#</w:t>
            </w:r>
          </w:p>
        </w:tc>
        <w:tc>
          <w:tcPr>
            <w:tcW w:w="7230" w:type="dxa"/>
            <w:shd w:val="clear" w:color="auto" w:fill="2F5496" w:themeFill="accent1" w:themeFillShade="BF"/>
          </w:tcPr>
          <w:p w14:paraId="26AE57E4" w14:textId="77777777" w:rsidR="00966A61" w:rsidRPr="00966A61" w:rsidRDefault="00966A61" w:rsidP="00966A61">
            <w:pPr>
              <w:rPr>
                <w:b/>
                <w:bCs/>
                <w:color w:val="FFFFFF" w:themeColor="background1"/>
              </w:rPr>
            </w:pPr>
            <w:r w:rsidRPr="00966A61">
              <w:rPr>
                <w:b/>
                <w:bCs/>
                <w:color w:val="FFFFFF" w:themeColor="background1"/>
              </w:rPr>
              <w:t>Recommendation</w:t>
            </w:r>
          </w:p>
        </w:tc>
        <w:tc>
          <w:tcPr>
            <w:tcW w:w="1417" w:type="dxa"/>
            <w:shd w:val="clear" w:color="auto" w:fill="2F5496" w:themeFill="accent1" w:themeFillShade="BF"/>
          </w:tcPr>
          <w:p w14:paraId="096E8E10" w14:textId="70938EFE" w:rsidR="00966A61" w:rsidRPr="00966A61" w:rsidRDefault="00966A61" w:rsidP="00966A61">
            <w:pPr>
              <w:rPr>
                <w:b/>
                <w:bCs/>
                <w:color w:val="FFFFFF" w:themeColor="background1"/>
              </w:rPr>
            </w:pPr>
            <w:r w:rsidRPr="00966A61">
              <w:rPr>
                <w:b/>
                <w:bCs/>
                <w:color w:val="FFFFFF" w:themeColor="background1"/>
              </w:rPr>
              <w:t>Section</w:t>
            </w:r>
          </w:p>
        </w:tc>
      </w:tr>
      <w:tr w:rsidR="00966A61" w:rsidRPr="00966A61" w14:paraId="2DEEC315" w14:textId="77777777" w:rsidTr="00F9742E">
        <w:tc>
          <w:tcPr>
            <w:tcW w:w="567" w:type="dxa"/>
            <w:shd w:val="clear" w:color="auto" w:fill="auto"/>
          </w:tcPr>
          <w:p w14:paraId="2682F4D5" w14:textId="77777777" w:rsidR="0063543A" w:rsidRPr="00966A61" w:rsidRDefault="00966A61" w:rsidP="00966A61">
            <w:r w:rsidRPr="00966A61">
              <w:t xml:space="preserve">1. </w:t>
            </w:r>
          </w:p>
        </w:tc>
        <w:tc>
          <w:tcPr>
            <w:tcW w:w="7230" w:type="dxa"/>
            <w:shd w:val="clear" w:color="auto" w:fill="auto"/>
          </w:tcPr>
          <w:p w14:paraId="08F75272" w14:textId="51AC4D6E" w:rsidR="0063543A" w:rsidRPr="00966A61" w:rsidRDefault="0063543A" w:rsidP="00966A61">
            <w:r w:rsidRPr="00966A61">
              <w:t xml:space="preserve">It is recommended that </w:t>
            </w:r>
            <w:r w:rsidR="007208A7">
              <w:t>DFAT</w:t>
            </w:r>
            <w:r w:rsidRPr="00966A61">
              <w:t xml:space="preserve"> considers the </w:t>
            </w:r>
            <w:r w:rsidR="00966A61" w:rsidRPr="00966A61">
              <w:t xml:space="preserve">set of strategic medium term </w:t>
            </w:r>
            <w:r w:rsidRPr="00966A61">
              <w:t xml:space="preserve">options presented </w:t>
            </w:r>
            <w:r w:rsidR="00966A61" w:rsidRPr="00966A61">
              <w:t xml:space="preserve">in the report, </w:t>
            </w:r>
            <w:r w:rsidRPr="00966A61">
              <w:t>and arranges a conversation with SIG in the coming months to redefine the strategic focus of SIIP</w:t>
            </w:r>
            <w:r w:rsidR="00966A61" w:rsidRPr="00966A61">
              <w:t>.</w:t>
            </w:r>
          </w:p>
        </w:tc>
        <w:tc>
          <w:tcPr>
            <w:tcW w:w="1417" w:type="dxa"/>
            <w:shd w:val="clear" w:color="auto" w:fill="auto"/>
          </w:tcPr>
          <w:p w14:paraId="13228255" w14:textId="145C502B" w:rsidR="0063543A" w:rsidRPr="00966A61" w:rsidRDefault="0063543A" w:rsidP="00966A61">
            <w:r w:rsidRPr="00966A61">
              <w:t xml:space="preserve">Section </w:t>
            </w:r>
            <w:r w:rsidRPr="00966A61">
              <w:fldChar w:fldCharType="begin"/>
            </w:r>
            <w:r w:rsidRPr="00966A61">
              <w:instrText xml:space="preserve"> REF _Ref165118559 \n \h  \* MERGEFORMAT </w:instrText>
            </w:r>
            <w:r w:rsidRPr="00966A61">
              <w:fldChar w:fldCharType="separate"/>
            </w:r>
            <w:r w:rsidR="00DC1E3F">
              <w:t>2.5.5</w:t>
            </w:r>
            <w:r w:rsidRPr="00966A61">
              <w:fldChar w:fldCharType="end"/>
            </w:r>
          </w:p>
        </w:tc>
      </w:tr>
      <w:tr w:rsidR="00966A61" w:rsidRPr="00966A61" w14:paraId="32ED9FC3" w14:textId="77777777" w:rsidTr="00F9742E">
        <w:tc>
          <w:tcPr>
            <w:tcW w:w="567" w:type="dxa"/>
            <w:shd w:val="clear" w:color="auto" w:fill="E7E6E6" w:themeFill="background2"/>
          </w:tcPr>
          <w:p w14:paraId="3BBECC0E" w14:textId="77777777" w:rsidR="00966A61" w:rsidRPr="00966A61" w:rsidRDefault="00966A61" w:rsidP="00966A61">
            <w:r w:rsidRPr="00966A61">
              <w:t>2.</w:t>
            </w:r>
          </w:p>
        </w:tc>
        <w:tc>
          <w:tcPr>
            <w:tcW w:w="7230" w:type="dxa"/>
            <w:shd w:val="clear" w:color="auto" w:fill="E7E6E6" w:themeFill="background2"/>
          </w:tcPr>
          <w:p w14:paraId="21A6FD3E" w14:textId="0F331C54" w:rsidR="00966A61" w:rsidRPr="00966A61" w:rsidRDefault="00966A61" w:rsidP="00966A61">
            <w:r w:rsidRPr="00966A61">
              <w:t xml:space="preserve">It is recommended that as a result of redefining the strategic focus of SIIP, decisions are to be made by </w:t>
            </w:r>
            <w:r w:rsidR="007208A7" w:rsidRPr="007208A7">
              <w:t xml:space="preserve">DFAT </w:t>
            </w:r>
            <w:r w:rsidRPr="00966A61">
              <w:t>as to the best suited delivery model for the program</w:t>
            </w:r>
            <w:r w:rsidR="002226C2">
              <w:t>.</w:t>
            </w:r>
          </w:p>
        </w:tc>
        <w:tc>
          <w:tcPr>
            <w:tcW w:w="1417" w:type="dxa"/>
            <w:shd w:val="clear" w:color="auto" w:fill="E7E6E6" w:themeFill="background2"/>
          </w:tcPr>
          <w:p w14:paraId="1E4E0A4B" w14:textId="1D9ECFB7" w:rsidR="00966A61" w:rsidRPr="00966A61" w:rsidRDefault="00966A61" w:rsidP="00966A61">
            <w:r w:rsidRPr="00966A61">
              <w:t xml:space="preserve">Section </w:t>
            </w:r>
            <w:r w:rsidRPr="00966A61">
              <w:fldChar w:fldCharType="begin"/>
            </w:r>
            <w:r w:rsidRPr="00966A61">
              <w:instrText xml:space="preserve"> REF _Ref165119698 \n \h  \* MERGEFORMAT </w:instrText>
            </w:r>
            <w:r w:rsidRPr="00966A61">
              <w:fldChar w:fldCharType="separate"/>
            </w:r>
            <w:r w:rsidR="00DC1E3F">
              <w:t>2.5.6</w:t>
            </w:r>
            <w:r w:rsidRPr="00966A61">
              <w:fldChar w:fldCharType="end"/>
            </w:r>
          </w:p>
        </w:tc>
      </w:tr>
      <w:tr w:rsidR="00966A61" w:rsidRPr="00966A61" w14:paraId="5743E8F0" w14:textId="77777777" w:rsidTr="00F9742E">
        <w:tc>
          <w:tcPr>
            <w:tcW w:w="567" w:type="dxa"/>
          </w:tcPr>
          <w:p w14:paraId="6116BE60" w14:textId="77777777" w:rsidR="0063543A" w:rsidRPr="00966A61" w:rsidRDefault="00966A61" w:rsidP="00966A61">
            <w:r w:rsidRPr="00966A61">
              <w:lastRenderedPageBreak/>
              <w:t>3.</w:t>
            </w:r>
          </w:p>
        </w:tc>
        <w:tc>
          <w:tcPr>
            <w:tcW w:w="7230" w:type="dxa"/>
          </w:tcPr>
          <w:p w14:paraId="40924E1A" w14:textId="1DE97108" w:rsidR="0063543A" w:rsidRPr="00966A61" w:rsidRDefault="0063543A" w:rsidP="00966A61">
            <w:r w:rsidRPr="00966A61">
              <w:t xml:space="preserve">It is recommended that </w:t>
            </w:r>
            <w:r w:rsidR="007208A7" w:rsidRPr="007208A7">
              <w:t xml:space="preserve">DFAT </w:t>
            </w:r>
            <w:r w:rsidRPr="00966A61">
              <w:t xml:space="preserve">considers the findings presented and arranges a conversation with senior DT Global representatives to discuss a proportionate approach to risk. </w:t>
            </w:r>
          </w:p>
        </w:tc>
        <w:tc>
          <w:tcPr>
            <w:tcW w:w="1417" w:type="dxa"/>
          </w:tcPr>
          <w:p w14:paraId="47CB247F" w14:textId="61C6815F" w:rsidR="0063543A" w:rsidRPr="00966A61" w:rsidRDefault="0063543A" w:rsidP="00966A61">
            <w:r w:rsidRPr="00966A61">
              <w:t xml:space="preserve">Section </w:t>
            </w:r>
            <w:r w:rsidRPr="00966A61">
              <w:fldChar w:fldCharType="begin"/>
            </w:r>
            <w:r w:rsidRPr="00966A61">
              <w:instrText xml:space="preserve"> REF _Ref165118778 \w \h  \* MERGEFORMAT </w:instrText>
            </w:r>
            <w:r w:rsidRPr="00966A61">
              <w:fldChar w:fldCharType="separate"/>
            </w:r>
            <w:r w:rsidR="00DC1E3F">
              <w:t>2.5.2</w:t>
            </w:r>
            <w:r w:rsidRPr="00966A61">
              <w:fldChar w:fldCharType="end"/>
            </w:r>
          </w:p>
        </w:tc>
      </w:tr>
      <w:tr w:rsidR="00966A61" w:rsidRPr="00966A61" w14:paraId="61B553BE" w14:textId="77777777" w:rsidTr="00F9742E">
        <w:tc>
          <w:tcPr>
            <w:tcW w:w="567" w:type="dxa"/>
            <w:shd w:val="clear" w:color="auto" w:fill="E7E6E6" w:themeFill="background2"/>
          </w:tcPr>
          <w:p w14:paraId="634C1FFE" w14:textId="77777777" w:rsidR="0063543A" w:rsidRPr="00966A61" w:rsidRDefault="00966A61" w:rsidP="00966A61">
            <w:r w:rsidRPr="00966A61">
              <w:t>4.</w:t>
            </w:r>
          </w:p>
        </w:tc>
        <w:tc>
          <w:tcPr>
            <w:tcW w:w="7230" w:type="dxa"/>
            <w:shd w:val="clear" w:color="auto" w:fill="E7E6E6" w:themeFill="background2"/>
          </w:tcPr>
          <w:p w14:paraId="7A74472F" w14:textId="1586F28C" w:rsidR="0063543A" w:rsidRPr="00966A61" w:rsidRDefault="0063543A" w:rsidP="00966A61">
            <w:r w:rsidRPr="00966A61">
              <w:t xml:space="preserve">It is recommended that </w:t>
            </w:r>
            <w:r w:rsidR="007208A7" w:rsidRPr="007208A7">
              <w:t xml:space="preserve">DFAT </w:t>
            </w:r>
            <w:r w:rsidRPr="00966A61">
              <w:t>requests DT Global to present an options paper on risk for DFAT’s institutional level consideration</w:t>
            </w:r>
            <w:r w:rsidR="00420A9B">
              <w:t>.</w:t>
            </w:r>
          </w:p>
        </w:tc>
        <w:tc>
          <w:tcPr>
            <w:tcW w:w="1417" w:type="dxa"/>
            <w:shd w:val="clear" w:color="auto" w:fill="E7E6E6" w:themeFill="background2"/>
          </w:tcPr>
          <w:p w14:paraId="59DBD633" w14:textId="0F105E89" w:rsidR="0063543A" w:rsidRPr="00966A61" w:rsidRDefault="00966A61" w:rsidP="00966A61">
            <w:r w:rsidRPr="00966A61">
              <w:t xml:space="preserve">Section </w:t>
            </w:r>
            <w:r w:rsidRPr="00966A61">
              <w:fldChar w:fldCharType="begin"/>
            </w:r>
            <w:r w:rsidRPr="00966A61">
              <w:instrText xml:space="preserve"> REF _Ref165123748 \n \h  \* MERGEFORMAT </w:instrText>
            </w:r>
            <w:r w:rsidRPr="00966A61">
              <w:fldChar w:fldCharType="separate"/>
            </w:r>
            <w:r w:rsidR="00DC1E3F">
              <w:t>2.3.4</w:t>
            </w:r>
            <w:r w:rsidRPr="00966A61">
              <w:fldChar w:fldCharType="end"/>
            </w:r>
          </w:p>
        </w:tc>
      </w:tr>
      <w:tr w:rsidR="00966A61" w:rsidRPr="00966A61" w14:paraId="6F5AE490" w14:textId="77777777" w:rsidTr="00F9742E">
        <w:tc>
          <w:tcPr>
            <w:tcW w:w="567" w:type="dxa"/>
          </w:tcPr>
          <w:p w14:paraId="045A8B79" w14:textId="77777777" w:rsidR="0063543A" w:rsidRPr="00966A61" w:rsidRDefault="00966A61" w:rsidP="00966A61">
            <w:r w:rsidRPr="00966A61">
              <w:t>5.</w:t>
            </w:r>
          </w:p>
        </w:tc>
        <w:tc>
          <w:tcPr>
            <w:tcW w:w="7230" w:type="dxa"/>
          </w:tcPr>
          <w:p w14:paraId="20A56691" w14:textId="77777777" w:rsidR="0063543A" w:rsidRPr="00966A61" w:rsidRDefault="0063543A" w:rsidP="00966A61">
            <w:r w:rsidRPr="00966A61">
              <w:t xml:space="preserve">It is recommended that planning for SIIP Phase 2 begins in the second quarter of 2024. </w:t>
            </w:r>
          </w:p>
        </w:tc>
        <w:tc>
          <w:tcPr>
            <w:tcW w:w="1417" w:type="dxa"/>
          </w:tcPr>
          <w:p w14:paraId="045C98B4" w14:textId="72B42254" w:rsidR="0063543A" w:rsidRPr="00966A61" w:rsidRDefault="0063543A" w:rsidP="00966A61">
            <w:r w:rsidRPr="00966A61">
              <w:t xml:space="preserve">Section </w:t>
            </w:r>
            <w:r w:rsidRPr="00966A61">
              <w:fldChar w:fldCharType="begin"/>
            </w:r>
            <w:r w:rsidRPr="00966A61">
              <w:instrText xml:space="preserve"> REF _Ref165118914 \w \h  \* MERGEFORMAT </w:instrText>
            </w:r>
            <w:r w:rsidRPr="00966A61">
              <w:fldChar w:fldCharType="separate"/>
            </w:r>
            <w:r w:rsidR="00DC1E3F">
              <w:t>2.5.7</w:t>
            </w:r>
            <w:r w:rsidRPr="00966A61">
              <w:fldChar w:fldCharType="end"/>
            </w:r>
          </w:p>
        </w:tc>
      </w:tr>
      <w:tr w:rsidR="00966A61" w:rsidRPr="00966A61" w14:paraId="3867F03F" w14:textId="77777777" w:rsidTr="00F9742E">
        <w:tc>
          <w:tcPr>
            <w:tcW w:w="567" w:type="dxa"/>
            <w:shd w:val="clear" w:color="auto" w:fill="E7E6E6" w:themeFill="background2"/>
          </w:tcPr>
          <w:p w14:paraId="0CFF6AD7" w14:textId="77777777" w:rsidR="0063543A" w:rsidRPr="00966A61" w:rsidRDefault="00966A61" w:rsidP="00966A61">
            <w:r w:rsidRPr="00966A61">
              <w:t>6.</w:t>
            </w:r>
          </w:p>
        </w:tc>
        <w:tc>
          <w:tcPr>
            <w:tcW w:w="7230" w:type="dxa"/>
            <w:shd w:val="clear" w:color="auto" w:fill="E7E6E6" w:themeFill="background2"/>
          </w:tcPr>
          <w:p w14:paraId="3DB27DC4" w14:textId="513D3B55" w:rsidR="0063543A" w:rsidRPr="00966A61" w:rsidRDefault="0063543A" w:rsidP="00966A61">
            <w:r w:rsidRPr="00966A61">
              <w:t xml:space="preserve">It is recommended that </w:t>
            </w:r>
            <w:r w:rsidR="008A69E6" w:rsidRPr="008A69E6">
              <w:t xml:space="preserve">DFAT </w:t>
            </w:r>
            <w:r w:rsidRPr="00966A61">
              <w:t>explores options with SIG for improving the efficiency and effectiveness of the Steering Committee in decision making and communication with other line ministries.</w:t>
            </w:r>
          </w:p>
        </w:tc>
        <w:tc>
          <w:tcPr>
            <w:tcW w:w="1417" w:type="dxa"/>
            <w:shd w:val="clear" w:color="auto" w:fill="E7E6E6" w:themeFill="background2"/>
          </w:tcPr>
          <w:p w14:paraId="038FA2DF" w14:textId="28973EA9" w:rsidR="0063543A" w:rsidRPr="00966A61" w:rsidRDefault="0063543A" w:rsidP="00966A61">
            <w:r w:rsidRPr="00966A61">
              <w:t xml:space="preserve">Section </w:t>
            </w:r>
            <w:r w:rsidRPr="00966A61">
              <w:fldChar w:fldCharType="begin"/>
            </w:r>
            <w:r w:rsidRPr="00966A61">
              <w:instrText xml:space="preserve"> REF _Ref165119046 \w \h  \* MERGEFORMAT </w:instrText>
            </w:r>
            <w:r w:rsidRPr="00966A61">
              <w:fldChar w:fldCharType="separate"/>
            </w:r>
            <w:r w:rsidR="00DC1E3F">
              <w:t>2.3.3</w:t>
            </w:r>
            <w:r w:rsidRPr="00966A61">
              <w:fldChar w:fldCharType="end"/>
            </w:r>
          </w:p>
        </w:tc>
      </w:tr>
      <w:tr w:rsidR="00966A61" w:rsidRPr="00966A61" w14:paraId="2F33ED29" w14:textId="77777777" w:rsidTr="00F9742E">
        <w:tc>
          <w:tcPr>
            <w:tcW w:w="567" w:type="dxa"/>
          </w:tcPr>
          <w:p w14:paraId="06787350" w14:textId="77777777" w:rsidR="0063543A" w:rsidRPr="00966A61" w:rsidRDefault="00966A61" w:rsidP="00966A61">
            <w:r w:rsidRPr="00966A61">
              <w:t>7.</w:t>
            </w:r>
          </w:p>
        </w:tc>
        <w:tc>
          <w:tcPr>
            <w:tcW w:w="7230" w:type="dxa"/>
          </w:tcPr>
          <w:p w14:paraId="55EC700B" w14:textId="509576AB" w:rsidR="0063543A" w:rsidRPr="00966A61" w:rsidRDefault="0063543A" w:rsidP="00966A61">
            <w:r w:rsidRPr="00966A61">
              <w:t>It is recommended that SIIP explores options to provide more on</w:t>
            </w:r>
            <w:r w:rsidR="00966A61" w:rsidRPr="00966A61">
              <w:t>-</w:t>
            </w:r>
            <w:r w:rsidRPr="00966A61">
              <w:t>the</w:t>
            </w:r>
            <w:r w:rsidR="00966A61" w:rsidRPr="00966A61">
              <w:t>-</w:t>
            </w:r>
            <w:r w:rsidRPr="00966A61">
              <w:t xml:space="preserve">job training, </w:t>
            </w:r>
            <w:r w:rsidR="006E5100" w:rsidRPr="00966A61">
              <w:t>certification,</w:t>
            </w:r>
            <w:r w:rsidRPr="00966A61">
              <w:t xml:space="preserve"> and engagement with specialist providers. </w:t>
            </w:r>
          </w:p>
        </w:tc>
        <w:tc>
          <w:tcPr>
            <w:tcW w:w="1417" w:type="dxa"/>
          </w:tcPr>
          <w:p w14:paraId="6A9347BC" w14:textId="6A254D9E" w:rsidR="0063543A" w:rsidRPr="00966A61" w:rsidRDefault="00966A61" w:rsidP="00966A61">
            <w:r w:rsidRPr="00966A61">
              <w:t xml:space="preserve">Section </w:t>
            </w:r>
            <w:r w:rsidRPr="00966A61">
              <w:fldChar w:fldCharType="begin"/>
            </w:r>
            <w:r w:rsidRPr="00966A61">
              <w:instrText xml:space="preserve"> REF _Ref165136557 \n \h  \* MERGEFORMAT </w:instrText>
            </w:r>
            <w:r w:rsidRPr="00966A61">
              <w:fldChar w:fldCharType="separate"/>
            </w:r>
            <w:r w:rsidR="00DC1E3F">
              <w:t>2.3.1</w:t>
            </w:r>
            <w:r w:rsidRPr="00966A61">
              <w:fldChar w:fldCharType="end"/>
            </w:r>
          </w:p>
        </w:tc>
      </w:tr>
      <w:tr w:rsidR="00966A61" w:rsidRPr="00966A61" w14:paraId="2FA4A539" w14:textId="77777777" w:rsidTr="00F9742E">
        <w:tc>
          <w:tcPr>
            <w:tcW w:w="567" w:type="dxa"/>
            <w:shd w:val="clear" w:color="auto" w:fill="E7E6E6" w:themeFill="background2"/>
          </w:tcPr>
          <w:p w14:paraId="761E0D04" w14:textId="77777777" w:rsidR="00966A61" w:rsidRPr="00966A61" w:rsidRDefault="00966A61" w:rsidP="00966A61">
            <w:r w:rsidRPr="00966A61">
              <w:t>8.</w:t>
            </w:r>
          </w:p>
        </w:tc>
        <w:tc>
          <w:tcPr>
            <w:tcW w:w="7230" w:type="dxa"/>
            <w:shd w:val="clear" w:color="auto" w:fill="E7E6E6" w:themeFill="background2"/>
          </w:tcPr>
          <w:p w14:paraId="79E64B76" w14:textId="45BE9950" w:rsidR="00966A61" w:rsidRPr="00966A61" w:rsidRDefault="00966A61" w:rsidP="00966A61">
            <w:r w:rsidRPr="00966A61">
              <w:t xml:space="preserve">It is recommended that SIIP reports on the program’s overarching progress, outputs, </w:t>
            </w:r>
            <w:r w:rsidR="006E5100" w:rsidRPr="00966A61">
              <w:t>challenges,</w:t>
            </w:r>
            <w:r w:rsidRPr="00966A61">
              <w:t xml:space="preserve"> and lessons that </w:t>
            </w:r>
            <w:proofErr w:type="gramStart"/>
            <w:r w:rsidRPr="00966A61">
              <w:t>takes into account</w:t>
            </w:r>
            <w:proofErr w:type="gramEnd"/>
            <w:r w:rsidRPr="00966A61">
              <w:t xml:space="preserve"> both SIIP Hub and non-SIIP Hub activities. </w:t>
            </w:r>
          </w:p>
        </w:tc>
        <w:tc>
          <w:tcPr>
            <w:tcW w:w="1417" w:type="dxa"/>
            <w:shd w:val="clear" w:color="auto" w:fill="E7E6E6" w:themeFill="background2"/>
          </w:tcPr>
          <w:p w14:paraId="12E9D532" w14:textId="38C6877A" w:rsidR="00966A61" w:rsidRPr="00966A61" w:rsidRDefault="00966A61" w:rsidP="00966A61">
            <w:r w:rsidRPr="00966A61">
              <w:t xml:space="preserve">Section </w:t>
            </w:r>
            <w:r w:rsidRPr="00966A61">
              <w:fldChar w:fldCharType="begin"/>
            </w:r>
            <w:r w:rsidRPr="00966A61">
              <w:instrText xml:space="preserve"> REF _Ref165123748 \n \h  \* MERGEFORMAT </w:instrText>
            </w:r>
            <w:r w:rsidRPr="00966A61">
              <w:fldChar w:fldCharType="separate"/>
            </w:r>
            <w:r w:rsidR="00DC1E3F">
              <w:t>2.3.4</w:t>
            </w:r>
            <w:r w:rsidRPr="00966A61">
              <w:fldChar w:fldCharType="end"/>
            </w:r>
          </w:p>
        </w:tc>
      </w:tr>
      <w:tr w:rsidR="00966A61" w:rsidRPr="00966A61" w14:paraId="2F00A61A" w14:textId="77777777" w:rsidTr="009015FA">
        <w:tc>
          <w:tcPr>
            <w:tcW w:w="567" w:type="dxa"/>
            <w:shd w:val="clear" w:color="auto" w:fill="auto"/>
          </w:tcPr>
          <w:p w14:paraId="5A634F2D" w14:textId="63AA8C8F" w:rsidR="00966A61" w:rsidRPr="00966A61" w:rsidRDefault="00966A61" w:rsidP="00966A61">
            <w:r w:rsidRPr="00966A61">
              <w:t>9</w:t>
            </w:r>
            <w:r w:rsidR="0075550B">
              <w:t>.</w:t>
            </w:r>
          </w:p>
        </w:tc>
        <w:tc>
          <w:tcPr>
            <w:tcW w:w="7230" w:type="dxa"/>
            <w:shd w:val="clear" w:color="auto" w:fill="auto"/>
          </w:tcPr>
          <w:p w14:paraId="2EE15886" w14:textId="66EDC6EC" w:rsidR="00966A61" w:rsidRPr="00966A61" w:rsidRDefault="00966A61" w:rsidP="00966A61">
            <w:r w:rsidRPr="00966A61">
              <w:t xml:space="preserve">It is recommended that </w:t>
            </w:r>
            <w:r w:rsidR="007208A7" w:rsidRPr="007208A7">
              <w:t xml:space="preserve">DFAT </w:t>
            </w:r>
            <w:r w:rsidRPr="00966A61">
              <w:t xml:space="preserve">prioritises managing short-term financing pressures, through building a consensus with </w:t>
            </w:r>
            <w:r w:rsidR="00F9271D">
              <w:t xml:space="preserve">the </w:t>
            </w:r>
            <w:r w:rsidRPr="00966A61">
              <w:t>new</w:t>
            </w:r>
            <w:r w:rsidR="00F9271D">
              <w:t xml:space="preserve"> Solomon Islands</w:t>
            </w:r>
            <w:r w:rsidRPr="00966A61">
              <w:t xml:space="preserve"> Government to avoid risks of SIIP further falling short of expectations.</w:t>
            </w:r>
          </w:p>
        </w:tc>
        <w:tc>
          <w:tcPr>
            <w:tcW w:w="1417" w:type="dxa"/>
            <w:shd w:val="clear" w:color="auto" w:fill="auto"/>
          </w:tcPr>
          <w:p w14:paraId="160DEB18" w14:textId="73582B4C" w:rsidR="00966A61" w:rsidRPr="00966A61" w:rsidRDefault="00966A61" w:rsidP="00966A61">
            <w:r w:rsidRPr="00966A61">
              <w:t xml:space="preserve">Section </w:t>
            </w:r>
            <w:r w:rsidRPr="00966A61">
              <w:fldChar w:fldCharType="begin"/>
            </w:r>
            <w:r w:rsidRPr="00966A61">
              <w:instrText xml:space="preserve"> REF _Ref165137506 \n \h </w:instrText>
            </w:r>
            <w:r w:rsidRPr="00966A61">
              <w:fldChar w:fldCharType="separate"/>
            </w:r>
            <w:r w:rsidR="00DC1E3F">
              <w:t>2.5.3</w:t>
            </w:r>
            <w:r w:rsidRPr="00966A61">
              <w:fldChar w:fldCharType="end"/>
            </w:r>
          </w:p>
        </w:tc>
      </w:tr>
      <w:tr w:rsidR="00966A61" w:rsidRPr="00966A61" w14:paraId="3147FB6D" w14:textId="77777777" w:rsidTr="009015FA">
        <w:tc>
          <w:tcPr>
            <w:tcW w:w="567" w:type="dxa"/>
            <w:shd w:val="clear" w:color="auto" w:fill="E7E6E6" w:themeFill="background2"/>
          </w:tcPr>
          <w:p w14:paraId="46F0F7A1" w14:textId="3A0AF32D" w:rsidR="00966A61" w:rsidRPr="00966A61" w:rsidRDefault="00966A61" w:rsidP="00966A61">
            <w:r w:rsidRPr="00966A61">
              <w:t>10</w:t>
            </w:r>
            <w:r w:rsidR="0075550B">
              <w:t>.</w:t>
            </w:r>
          </w:p>
        </w:tc>
        <w:tc>
          <w:tcPr>
            <w:tcW w:w="7230" w:type="dxa"/>
            <w:shd w:val="clear" w:color="auto" w:fill="E7E6E6" w:themeFill="background2"/>
          </w:tcPr>
          <w:p w14:paraId="2558C092" w14:textId="31F7652A" w:rsidR="00966A61" w:rsidRPr="00966A61" w:rsidRDefault="00966A61" w:rsidP="00966A61">
            <w:r w:rsidRPr="00966A61">
              <w:t>I</w:t>
            </w:r>
            <w:r>
              <w:t>t</w:t>
            </w:r>
            <w:r w:rsidRPr="00966A61">
              <w:t xml:space="preserve"> is recommended that SIIP Hub prepare a </w:t>
            </w:r>
            <w:r w:rsidR="0075550B">
              <w:t>Value for Money (</w:t>
            </w:r>
            <w:r w:rsidRPr="00966A61">
              <w:t>VfM</w:t>
            </w:r>
            <w:r w:rsidR="0075550B">
              <w:t>)</w:t>
            </w:r>
            <w:r w:rsidRPr="00966A61">
              <w:t xml:space="preserve"> Framework using DFAT’s existing VfM criteria to inform their decision-making</w:t>
            </w:r>
            <w:r w:rsidR="006129D9">
              <w:t>.</w:t>
            </w:r>
          </w:p>
        </w:tc>
        <w:tc>
          <w:tcPr>
            <w:tcW w:w="1417" w:type="dxa"/>
            <w:shd w:val="clear" w:color="auto" w:fill="E7E6E6" w:themeFill="background2"/>
          </w:tcPr>
          <w:p w14:paraId="58E055CA" w14:textId="4B7F7C3E" w:rsidR="00966A61" w:rsidRPr="00966A61" w:rsidRDefault="00966A61" w:rsidP="00966A61">
            <w:r w:rsidRPr="00966A61">
              <w:t xml:space="preserve">Section </w:t>
            </w:r>
            <w:r w:rsidRPr="00966A61">
              <w:fldChar w:fldCharType="begin"/>
            </w:r>
            <w:r w:rsidRPr="00966A61">
              <w:instrText xml:space="preserve"> REF _Ref165144387 \n \h </w:instrText>
            </w:r>
            <w:r w:rsidR="001E4499">
              <w:instrText xml:space="preserve"> \* MERGEFORMAT </w:instrText>
            </w:r>
            <w:r w:rsidRPr="00966A61">
              <w:fldChar w:fldCharType="separate"/>
            </w:r>
            <w:r w:rsidR="00DC1E3F">
              <w:t>2.4.1</w:t>
            </w:r>
            <w:r w:rsidRPr="00966A61">
              <w:fldChar w:fldCharType="end"/>
            </w:r>
          </w:p>
        </w:tc>
      </w:tr>
    </w:tbl>
    <w:p w14:paraId="4074461A" w14:textId="6A560631" w:rsidR="009D52E9" w:rsidRPr="00B66B6B" w:rsidRDefault="00631294" w:rsidP="00DB6A3A">
      <w:pPr>
        <w:sectPr w:rsidR="009D52E9" w:rsidRPr="00B66B6B" w:rsidSect="002F081F">
          <w:footerReference w:type="default" r:id="rId17"/>
          <w:pgSz w:w="11900" w:h="16840"/>
          <w:pgMar w:top="1418" w:right="1440" w:bottom="1440" w:left="1440" w:header="709" w:footer="709" w:gutter="0"/>
          <w:pgNumType w:fmt="lowerRoman" w:start="1"/>
          <w:cols w:space="708"/>
          <w:docGrid w:linePitch="360"/>
        </w:sectPr>
      </w:pPr>
      <w:r w:rsidRPr="00B66B6B">
        <w:t xml:space="preserve">  </w:t>
      </w:r>
    </w:p>
    <w:p w14:paraId="55267988" w14:textId="3F91BFA8" w:rsidR="00D02520" w:rsidRPr="00B66B6B" w:rsidRDefault="000659F4" w:rsidP="00881A99">
      <w:pPr>
        <w:pStyle w:val="ExecSumH1"/>
      </w:pPr>
      <w:bookmarkStart w:id="4" w:name="_Toc165140731"/>
      <w:r>
        <w:lastRenderedPageBreak/>
        <w:t>ACRONYMS LIST</w:t>
      </w:r>
      <w:bookmarkEnd w:id="4"/>
    </w:p>
    <w:tbl>
      <w:tblPr>
        <w:tblStyle w:val="PlainTable4"/>
        <w:tblW w:w="0" w:type="auto"/>
        <w:tblLook w:val="04A0" w:firstRow="1" w:lastRow="0" w:firstColumn="1" w:lastColumn="0" w:noHBand="0" w:noVBand="1"/>
      </w:tblPr>
      <w:tblGrid>
        <w:gridCol w:w="1129"/>
        <w:gridCol w:w="7881"/>
      </w:tblGrid>
      <w:tr w:rsidR="00A22917" w:rsidRPr="000C0C0A" w14:paraId="5F40E883" w14:textId="77777777" w:rsidTr="00A2291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29" w:type="dxa"/>
          </w:tcPr>
          <w:p w14:paraId="5ADA42ED" w14:textId="3E7C7DEB" w:rsidR="00A22917" w:rsidRPr="000C0C0A" w:rsidRDefault="00A22917" w:rsidP="000C0C0A">
            <w:pPr>
              <w:spacing w:after="0"/>
              <w:rPr>
                <w:rFonts w:ascii="Calibri Light" w:eastAsia="Calibri" w:hAnsi="Calibri Light" w:cs="Calibri Light"/>
              </w:rPr>
            </w:pPr>
            <w:r>
              <w:rPr>
                <w:rFonts w:ascii="Calibri Light" w:eastAsia="Calibri" w:hAnsi="Calibri Light" w:cs="Calibri Light"/>
              </w:rPr>
              <w:t>Acronym</w:t>
            </w:r>
          </w:p>
        </w:tc>
        <w:tc>
          <w:tcPr>
            <w:tcW w:w="7881" w:type="dxa"/>
          </w:tcPr>
          <w:p w14:paraId="0246553E" w14:textId="473BBA19" w:rsidR="00A22917" w:rsidRPr="000C0C0A" w:rsidRDefault="00A22917" w:rsidP="000C0C0A">
            <w:pPr>
              <w:spacing w:after="0"/>
              <w:cnfStyle w:val="100000000000" w:firstRow="1" w:lastRow="0" w:firstColumn="0" w:lastColumn="0" w:oddVBand="0" w:evenVBand="0" w:oddHBand="0" w:evenHBand="0" w:firstRowFirstColumn="0" w:firstRowLastColumn="0" w:lastRowFirstColumn="0" w:lastRowLastColumn="0"/>
              <w:rPr>
                <w:rFonts w:ascii="Calibri Light" w:eastAsia="Calibri" w:hAnsi="Calibri Light" w:cs="Calibri Light"/>
              </w:rPr>
            </w:pPr>
            <w:r>
              <w:rPr>
                <w:rFonts w:ascii="Calibri Light" w:eastAsia="Calibri" w:hAnsi="Calibri Light" w:cs="Calibri Light"/>
              </w:rPr>
              <w:t>Title</w:t>
            </w:r>
          </w:p>
        </w:tc>
      </w:tr>
      <w:tr w:rsidR="000C0C0A" w:rsidRPr="000C0C0A" w14:paraId="77253C56" w14:textId="77777777" w:rsidTr="000C0C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37170EF1"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ADB</w:t>
            </w:r>
          </w:p>
        </w:tc>
        <w:tc>
          <w:tcPr>
            <w:tcW w:w="7881" w:type="dxa"/>
          </w:tcPr>
          <w:p w14:paraId="0AA50108"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bCs/>
              </w:rPr>
            </w:pPr>
            <w:r w:rsidRPr="000C0C0A">
              <w:rPr>
                <w:rFonts w:ascii="Calibri Light" w:eastAsia="Calibri" w:hAnsi="Calibri Light" w:cs="Calibri Light"/>
              </w:rPr>
              <w:t>Asian Development Bank</w:t>
            </w:r>
          </w:p>
        </w:tc>
      </w:tr>
      <w:tr w:rsidR="000C0C0A" w:rsidRPr="000C0C0A" w14:paraId="324CA975" w14:textId="77777777" w:rsidTr="000C0C0A">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6A88A46E"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AFP</w:t>
            </w:r>
          </w:p>
        </w:tc>
        <w:tc>
          <w:tcPr>
            <w:tcW w:w="7881" w:type="dxa"/>
          </w:tcPr>
          <w:p w14:paraId="1718ED1A"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Australian Federal Police</w:t>
            </w:r>
          </w:p>
        </w:tc>
      </w:tr>
      <w:tr w:rsidR="000C0C0A" w:rsidRPr="000C0C0A" w14:paraId="7D81AE4B" w14:textId="77777777" w:rsidTr="000C0C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420DAB05"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A</w:t>
            </w:r>
            <w:r w:rsidRPr="000C0C0A">
              <w:rPr>
                <w:rFonts w:ascii="Calibri Light" w:eastAsia="Calibri" w:hAnsi="Calibri Light" w:cs="Calibri Light"/>
                <w:b w:val="0"/>
                <w:bCs w:val="0"/>
              </w:rPr>
              <w:t>HC</w:t>
            </w:r>
          </w:p>
        </w:tc>
        <w:tc>
          <w:tcPr>
            <w:tcW w:w="7881" w:type="dxa"/>
          </w:tcPr>
          <w:p w14:paraId="2166BD87"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Australian High Commission</w:t>
            </w:r>
          </w:p>
        </w:tc>
      </w:tr>
      <w:tr w:rsidR="000C0C0A" w:rsidRPr="000C0C0A" w14:paraId="115916A9" w14:textId="77777777" w:rsidTr="000C0C0A">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730873AC"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AIFFP</w:t>
            </w:r>
          </w:p>
        </w:tc>
        <w:tc>
          <w:tcPr>
            <w:tcW w:w="7881" w:type="dxa"/>
          </w:tcPr>
          <w:p w14:paraId="264A7437"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Australian Infrastructure Financing Facility for the Pacific</w:t>
            </w:r>
          </w:p>
        </w:tc>
      </w:tr>
      <w:tr w:rsidR="000C0C0A" w:rsidRPr="000C0C0A" w14:paraId="25E21222" w14:textId="77777777" w:rsidTr="000C0C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21C6F91C"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APTC</w:t>
            </w:r>
          </w:p>
        </w:tc>
        <w:tc>
          <w:tcPr>
            <w:tcW w:w="7881" w:type="dxa"/>
          </w:tcPr>
          <w:p w14:paraId="694F64FC"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Australian Pacific Training Coalition</w:t>
            </w:r>
          </w:p>
        </w:tc>
      </w:tr>
      <w:tr w:rsidR="000C0C0A" w:rsidRPr="000C0C0A" w14:paraId="520A334B" w14:textId="77777777" w:rsidTr="000C0C0A">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6CDE5C1E"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ASIPS</w:t>
            </w:r>
          </w:p>
        </w:tc>
        <w:tc>
          <w:tcPr>
            <w:tcW w:w="7881" w:type="dxa"/>
          </w:tcPr>
          <w:p w14:paraId="2980ECD3"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 xml:space="preserve">Australian Solomon Islands Partnerships </w:t>
            </w:r>
          </w:p>
        </w:tc>
      </w:tr>
      <w:tr w:rsidR="000C0C0A" w:rsidRPr="000C0C0A" w14:paraId="6077AEE4" w14:textId="77777777" w:rsidTr="000C0C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6C5E9983"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AUD</w:t>
            </w:r>
          </w:p>
        </w:tc>
        <w:tc>
          <w:tcPr>
            <w:tcW w:w="7881" w:type="dxa"/>
          </w:tcPr>
          <w:p w14:paraId="04342B8F"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Australian Dollar</w:t>
            </w:r>
          </w:p>
        </w:tc>
      </w:tr>
      <w:tr w:rsidR="000C0C0A" w:rsidRPr="000C0C0A" w14:paraId="78EED647" w14:textId="77777777" w:rsidTr="000C0C0A">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6A7D4588"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BUHC</w:t>
            </w:r>
          </w:p>
        </w:tc>
        <w:tc>
          <w:tcPr>
            <w:tcW w:w="7881" w:type="dxa"/>
          </w:tcPr>
          <w:p w14:paraId="62E1510A"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 xml:space="preserve">Birthing and Urban Health Centre </w:t>
            </w:r>
          </w:p>
        </w:tc>
      </w:tr>
      <w:tr w:rsidR="000C0C0A" w:rsidRPr="000C0C0A" w14:paraId="37899EB2" w14:textId="77777777" w:rsidTr="000C0C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7D9F6656" w14:textId="77777777" w:rsidR="000C0C0A" w:rsidRPr="000C0C0A" w:rsidRDefault="000C0C0A" w:rsidP="000C0C0A">
            <w:pPr>
              <w:spacing w:after="0"/>
              <w:rPr>
                <w:rFonts w:ascii="Calibri Light" w:eastAsia="Calibri" w:hAnsi="Calibri Light" w:cs="Calibri Light"/>
                <w:b w:val="0"/>
                <w:bCs w:val="0"/>
                <w:kern w:val="2"/>
              </w:rPr>
            </w:pPr>
            <w:r w:rsidRPr="000C0C0A">
              <w:rPr>
                <w:rFonts w:ascii="Calibri Light" w:eastAsia="Calibri" w:hAnsi="Calibri Light" w:cs="Calibri Light"/>
                <w:b w:val="0"/>
                <w:bCs w:val="0"/>
                <w:kern w:val="2"/>
              </w:rPr>
              <w:t>CAUSE</w:t>
            </w:r>
          </w:p>
        </w:tc>
        <w:tc>
          <w:tcPr>
            <w:tcW w:w="7881" w:type="dxa"/>
          </w:tcPr>
          <w:p w14:paraId="6725FDE1"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kern w:val="2"/>
              </w:rPr>
            </w:pPr>
            <w:r w:rsidRPr="000C0C0A">
              <w:rPr>
                <w:rFonts w:ascii="Calibri Light" w:eastAsia="Calibri" w:hAnsi="Calibri Light" w:cs="Calibri Light"/>
                <w:kern w:val="2"/>
              </w:rPr>
              <w:t xml:space="preserve">Community Access and Urban Services Enhancement project </w:t>
            </w:r>
          </w:p>
        </w:tc>
      </w:tr>
      <w:tr w:rsidR="000C0C0A" w:rsidRPr="000C0C0A" w14:paraId="014B423A" w14:textId="77777777" w:rsidTr="000C0C0A">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3599D31A"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CCDR</w:t>
            </w:r>
          </w:p>
        </w:tc>
        <w:tc>
          <w:tcPr>
            <w:tcW w:w="7881" w:type="dxa"/>
          </w:tcPr>
          <w:p w14:paraId="69446E60"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 xml:space="preserve">Climate Change and Disaster Resilience </w:t>
            </w:r>
          </w:p>
        </w:tc>
      </w:tr>
      <w:tr w:rsidR="000C0C0A" w:rsidRPr="000C0C0A" w14:paraId="27CE169D" w14:textId="77777777" w:rsidTr="000C0C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3F386D62" w14:textId="77777777" w:rsidR="000C0C0A" w:rsidRPr="000C0C0A" w:rsidRDefault="000C0C0A" w:rsidP="000C0C0A">
            <w:pPr>
              <w:spacing w:after="0"/>
              <w:rPr>
                <w:rFonts w:ascii="Calibri Light" w:eastAsia="Calibri" w:hAnsi="Calibri Light" w:cs="Calibri Light"/>
                <w:b w:val="0"/>
                <w:bCs w:val="0"/>
                <w:kern w:val="2"/>
              </w:rPr>
            </w:pPr>
            <w:r w:rsidRPr="000C0C0A">
              <w:rPr>
                <w:rFonts w:ascii="Calibri Light" w:eastAsia="Calibri" w:hAnsi="Calibri Light" w:cs="Calibri Light"/>
                <w:b w:val="0"/>
                <w:bCs w:val="0"/>
                <w:kern w:val="2"/>
              </w:rPr>
              <w:t>DCP</w:t>
            </w:r>
          </w:p>
        </w:tc>
        <w:tc>
          <w:tcPr>
            <w:tcW w:w="7881" w:type="dxa"/>
          </w:tcPr>
          <w:p w14:paraId="72C918EC"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kern w:val="2"/>
              </w:rPr>
            </w:pPr>
            <w:r w:rsidRPr="000C0C0A">
              <w:rPr>
                <w:rFonts w:ascii="Calibri Light" w:eastAsia="Calibri" w:hAnsi="Calibri Light" w:cs="Calibri Light"/>
                <w:kern w:val="2"/>
              </w:rPr>
              <w:t>Dynamic Cone Penetration</w:t>
            </w:r>
          </w:p>
        </w:tc>
      </w:tr>
      <w:tr w:rsidR="000C0C0A" w:rsidRPr="000C0C0A" w14:paraId="10D5FB1E" w14:textId="77777777" w:rsidTr="000C0C0A">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284648B2"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DFA</w:t>
            </w:r>
          </w:p>
        </w:tc>
        <w:tc>
          <w:tcPr>
            <w:tcW w:w="7881" w:type="dxa"/>
          </w:tcPr>
          <w:p w14:paraId="2B5FAF54"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Direct Funding Agreement</w:t>
            </w:r>
          </w:p>
        </w:tc>
      </w:tr>
      <w:tr w:rsidR="000C0C0A" w:rsidRPr="000C0C0A" w14:paraId="7A30EE25"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C0F59F4"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DFAT</w:t>
            </w:r>
          </w:p>
        </w:tc>
        <w:tc>
          <w:tcPr>
            <w:tcW w:w="7881" w:type="dxa"/>
          </w:tcPr>
          <w:p w14:paraId="73FADE59"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 xml:space="preserve">Australian Department of Foreign Affairs and Trade </w:t>
            </w:r>
          </w:p>
        </w:tc>
      </w:tr>
      <w:tr w:rsidR="000C0C0A" w:rsidRPr="000C0C0A" w14:paraId="0465551C"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422CFE59"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DPASI</w:t>
            </w:r>
          </w:p>
        </w:tc>
        <w:tc>
          <w:tcPr>
            <w:tcW w:w="7881" w:type="dxa"/>
          </w:tcPr>
          <w:p w14:paraId="53266E61"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 xml:space="preserve">Disabled People’s Association Solomon Islands </w:t>
            </w:r>
          </w:p>
        </w:tc>
      </w:tr>
      <w:tr w:rsidR="000C0C0A" w:rsidRPr="000C0C0A" w14:paraId="466EFE3E"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7ECCCB"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EOPO</w:t>
            </w:r>
          </w:p>
        </w:tc>
        <w:tc>
          <w:tcPr>
            <w:tcW w:w="7881" w:type="dxa"/>
          </w:tcPr>
          <w:p w14:paraId="21835560"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End of Program Outcomes</w:t>
            </w:r>
          </w:p>
        </w:tc>
      </w:tr>
      <w:tr w:rsidR="000C0C0A" w:rsidRPr="000C0C0A" w14:paraId="2E313304"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2B1C7D79"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EQ</w:t>
            </w:r>
          </w:p>
        </w:tc>
        <w:tc>
          <w:tcPr>
            <w:tcW w:w="7881" w:type="dxa"/>
          </w:tcPr>
          <w:p w14:paraId="7F06427A"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Evaluation Question</w:t>
            </w:r>
          </w:p>
        </w:tc>
      </w:tr>
      <w:tr w:rsidR="000C0C0A" w:rsidRPr="000C0C0A" w14:paraId="2AD95E3F"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07EDB20"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EU</w:t>
            </w:r>
          </w:p>
        </w:tc>
        <w:tc>
          <w:tcPr>
            <w:tcW w:w="7881" w:type="dxa"/>
          </w:tcPr>
          <w:p w14:paraId="0DA916B9"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European Union</w:t>
            </w:r>
          </w:p>
        </w:tc>
      </w:tr>
      <w:tr w:rsidR="000C0C0A" w:rsidRPr="000C0C0A" w14:paraId="06860770"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700162B6"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FIDIC</w:t>
            </w:r>
          </w:p>
        </w:tc>
        <w:tc>
          <w:tcPr>
            <w:tcW w:w="7881" w:type="dxa"/>
          </w:tcPr>
          <w:p w14:paraId="0034D96E"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International Federation of Consulting Engineers</w:t>
            </w:r>
          </w:p>
        </w:tc>
      </w:tr>
      <w:tr w:rsidR="000C0C0A" w:rsidRPr="000C0C0A" w14:paraId="18A6B721" w14:textId="77777777" w:rsidTr="000C0C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5ED80930"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FGD</w:t>
            </w:r>
          </w:p>
        </w:tc>
        <w:tc>
          <w:tcPr>
            <w:tcW w:w="7881" w:type="dxa"/>
          </w:tcPr>
          <w:p w14:paraId="20E552D0"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Focus Group Discussion</w:t>
            </w:r>
          </w:p>
        </w:tc>
      </w:tr>
      <w:tr w:rsidR="000C0C0A" w:rsidRPr="000C0C0A" w14:paraId="3CC73EEB" w14:textId="77777777" w:rsidTr="000C0C0A">
        <w:trPr>
          <w:trHeight w:val="300"/>
        </w:trPr>
        <w:tc>
          <w:tcPr>
            <w:cnfStyle w:val="001000000000" w:firstRow="0" w:lastRow="0" w:firstColumn="1" w:lastColumn="0" w:oddVBand="0" w:evenVBand="0" w:oddHBand="0" w:evenHBand="0" w:firstRowFirstColumn="0" w:firstRowLastColumn="0" w:lastRowFirstColumn="0" w:lastRowLastColumn="0"/>
            <w:tcW w:w="1129" w:type="dxa"/>
          </w:tcPr>
          <w:p w14:paraId="4ECC1DFE"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FY</w:t>
            </w:r>
          </w:p>
        </w:tc>
        <w:tc>
          <w:tcPr>
            <w:tcW w:w="7881" w:type="dxa"/>
          </w:tcPr>
          <w:p w14:paraId="07A76B2C"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Financial Year</w:t>
            </w:r>
          </w:p>
        </w:tc>
      </w:tr>
      <w:tr w:rsidR="000C0C0A" w:rsidRPr="000C0C0A" w14:paraId="2AE0C743" w14:textId="77777777" w:rsidTr="000C0C0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Pr>
          <w:p w14:paraId="42C57F3C"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GDP</w:t>
            </w:r>
          </w:p>
        </w:tc>
        <w:tc>
          <w:tcPr>
            <w:tcW w:w="7881" w:type="dxa"/>
          </w:tcPr>
          <w:p w14:paraId="2DAEEDAD"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Gross domestic product</w:t>
            </w:r>
          </w:p>
        </w:tc>
      </w:tr>
      <w:tr w:rsidR="000C0C0A" w:rsidRPr="000C0C0A" w14:paraId="4634F7F0"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0C491EC6"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GEDSI</w:t>
            </w:r>
          </w:p>
        </w:tc>
        <w:tc>
          <w:tcPr>
            <w:tcW w:w="7881" w:type="dxa"/>
          </w:tcPr>
          <w:p w14:paraId="6C2E45B4"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Gender Equality, Disability and Social Inclusion</w:t>
            </w:r>
          </w:p>
        </w:tc>
      </w:tr>
      <w:tr w:rsidR="000C0C0A" w:rsidRPr="000C0C0A" w14:paraId="28180203"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9187B3D"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ICT</w:t>
            </w:r>
          </w:p>
        </w:tc>
        <w:tc>
          <w:tcPr>
            <w:tcW w:w="7881" w:type="dxa"/>
          </w:tcPr>
          <w:p w14:paraId="3B3CD72F"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Information Communication Technology</w:t>
            </w:r>
          </w:p>
        </w:tc>
      </w:tr>
      <w:tr w:rsidR="000C0C0A" w:rsidRPr="000C0C0A" w14:paraId="20CAD0DA"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3C12020F"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IDD</w:t>
            </w:r>
          </w:p>
        </w:tc>
        <w:tc>
          <w:tcPr>
            <w:tcW w:w="7881" w:type="dxa"/>
          </w:tcPr>
          <w:p w14:paraId="19E5D28B"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Investment Design Document</w:t>
            </w:r>
          </w:p>
        </w:tc>
      </w:tr>
      <w:tr w:rsidR="000C0C0A" w:rsidRPr="000C0C0A" w14:paraId="78F02A6B"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FBAF112"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IDP</w:t>
            </w:r>
          </w:p>
        </w:tc>
        <w:tc>
          <w:tcPr>
            <w:tcW w:w="7881" w:type="dxa"/>
          </w:tcPr>
          <w:p w14:paraId="61BF0A04"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Australia’s International Development Policy</w:t>
            </w:r>
          </w:p>
        </w:tc>
      </w:tr>
      <w:tr w:rsidR="000C0C0A" w:rsidRPr="000C0C0A" w14:paraId="7661973E"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30984B73"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IMF</w:t>
            </w:r>
          </w:p>
        </w:tc>
        <w:tc>
          <w:tcPr>
            <w:tcW w:w="7881" w:type="dxa"/>
          </w:tcPr>
          <w:p w14:paraId="5D9348ED"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International Monetary Fund</w:t>
            </w:r>
          </w:p>
        </w:tc>
      </w:tr>
      <w:tr w:rsidR="000C0C0A" w:rsidRPr="000C0C0A" w14:paraId="756797FF"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8F41BFD" w14:textId="77777777" w:rsidR="000C0C0A" w:rsidRPr="000C0C0A" w:rsidRDefault="000C0C0A" w:rsidP="000C0C0A">
            <w:pPr>
              <w:spacing w:after="0"/>
              <w:rPr>
                <w:rFonts w:ascii="Calibri Light" w:eastAsia="Calibri" w:hAnsi="Calibri Light" w:cs="Calibri Light"/>
                <w:b w:val="0"/>
                <w:bCs w:val="0"/>
                <w:kern w:val="2"/>
              </w:rPr>
            </w:pPr>
            <w:r w:rsidRPr="000C0C0A">
              <w:rPr>
                <w:rFonts w:ascii="Calibri Light" w:eastAsia="Calibri" w:hAnsi="Calibri Light" w:cs="Calibri Light"/>
                <w:b w:val="0"/>
                <w:bCs w:val="0"/>
                <w:kern w:val="2"/>
              </w:rPr>
              <w:t>IMR</w:t>
            </w:r>
          </w:p>
        </w:tc>
        <w:tc>
          <w:tcPr>
            <w:tcW w:w="7881" w:type="dxa"/>
          </w:tcPr>
          <w:p w14:paraId="67E27321"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kern w:val="2"/>
              </w:rPr>
            </w:pPr>
            <w:r w:rsidRPr="000C0C0A">
              <w:rPr>
                <w:rFonts w:ascii="Calibri Light" w:eastAsia="Calibri" w:hAnsi="Calibri Light" w:cs="Calibri Light"/>
                <w:kern w:val="2"/>
              </w:rPr>
              <w:t>Investment Monitoring Report</w:t>
            </w:r>
          </w:p>
        </w:tc>
      </w:tr>
      <w:tr w:rsidR="000C0C0A" w:rsidRPr="000C0C0A" w14:paraId="6439379A"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223EF7C4"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IRG</w:t>
            </w:r>
          </w:p>
        </w:tc>
        <w:tc>
          <w:tcPr>
            <w:tcW w:w="7881" w:type="dxa"/>
          </w:tcPr>
          <w:p w14:paraId="64B3E3DB"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Independent Reference Group</w:t>
            </w:r>
          </w:p>
        </w:tc>
      </w:tr>
      <w:tr w:rsidR="000C0C0A" w:rsidRPr="000C0C0A" w14:paraId="359940FB"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216F022"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ITR</w:t>
            </w:r>
          </w:p>
        </w:tc>
        <w:tc>
          <w:tcPr>
            <w:tcW w:w="7881" w:type="dxa"/>
          </w:tcPr>
          <w:p w14:paraId="4506EC04"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Independent Technical Review</w:t>
            </w:r>
          </w:p>
        </w:tc>
      </w:tr>
      <w:tr w:rsidR="000C0C0A" w:rsidRPr="000C0C0A" w14:paraId="56B9AC5A"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535E9A66"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JPY</w:t>
            </w:r>
          </w:p>
        </w:tc>
        <w:tc>
          <w:tcPr>
            <w:tcW w:w="7881" w:type="dxa"/>
          </w:tcPr>
          <w:p w14:paraId="6F562440"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Japanese Yen</w:t>
            </w:r>
          </w:p>
        </w:tc>
      </w:tr>
      <w:tr w:rsidR="000C0C0A" w:rsidRPr="000C0C0A" w14:paraId="6C366130"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C15D156"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KII</w:t>
            </w:r>
          </w:p>
        </w:tc>
        <w:tc>
          <w:tcPr>
            <w:tcW w:w="7881" w:type="dxa"/>
          </w:tcPr>
          <w:p w14:paraId="5C0CA582"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 xml:space="preserve">Key Informant Interview </w:t>
            </w:r>
          </w:p>
        </w:tc>
      </w:tr>
      <w:tr w:rsidR="000C0C0A" w:rsidRPr="000C0C0A" w14:paraId="0FE64B69"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7D3B5D07"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M&amp;E</w:t>
            </w:r>
          </w:p>
        </w:tc>
        <w:tc>
          <w:tcPr>
            <w:tcW w:w="7881" w:type="dxa"/>
          </w:tcPr>
          <w:p w14:paraId="696CD9A4"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 xml:space="preserve">Monitoring and Evaluation </w:t>
            </w:r>
          </w:p>
        </w:tc>
      </w:tr>
      <w:tr w:rsidR="000C0C0A" w:rsidRPr="000C0C0A" w14:paraId="5786B805"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0E7C507" w14:textId="77777777" w:rsidR="000C0C0A" w:rsidRPr="000C0C0A" w:rsidRDefault="000C0C0A" w:rsidP="000C0C0A">
            <w:pPr>
              <w:spacing w:after="0"/>
              <w:rPr>
                <w:rFonts w:ascii="Calibri Light" w:eastAsia="Calibri" w:hAnsi="Calibri Light" w:cs="Calibri Light"/>
                <w:b w:val="0"/>
                <w:bCs w:val="0"/>
                <w:kern w:val="2"/>
              </w:rPr>
            </w:pPr>
            <w:r w:rsidRPr="000C0C0A">
              <w:rPr>
                <w:rFonts w:ascii="Calibri Light" w:eastAsia="Calibri" w:hAnsi="Calibri Light" w:cs="Calibri Light"/>
                <w:b w:val="0"/>
                <w:bCs w:val="0"/>
                <w:kern w:val="2"/>
              </w:rPr>
              <w:t>MC</w:t>
            </w:r>
          </w:p>
        </w:tc>
        <w:tc>
          <w:tcPr>
            <w:tcW w:w="7881" w:type="dxa"/>
          </w:tcPr>
          <w:p w14:paraId="267E54C4"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kern w:val="2"/>
              </w:rPr>
            </w:pPr>
            <w:r w:rsidRPr="000C0C0A">
              <w:rPr>
                <w:rFonts w:ascii="Calibri Light" w:eastAsia="Calibri" w:hAnsi="Calibri Light" w:cs="Calibri Light"/>
                <w:kern w:val="2"/>
              </w:rPr>
              <w:t>Managing Contractor</w:t>
            </w:r>
          </w:p>
        </w:tc>
      </w:tr>
      <w:tr w:rsidR="000C0C0A" w:rsidRPr="000C0C0A" w14:paraId="4697873B"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664E8955" w14:textId="77777777" w:rsidR="000C0C0A" w:rsidRPr="000C0C0A" w:rsidRDefault="000C0C0A" w:rsidP="000C0C0A">
            <w:pPr>
              <w:spacing w:after="0"/>
              <w:rPr>
                <w:rFonts w:ascii="Calibri Light" w:eastAsia="Calibri" w:hAnsi="Calibri Light" w:cs="Calibri Light"/>
                <w:b w:val="0"/>
                <w:bCs w:val="0"/>
                <w:kern w:val="2"/>
              </w:rPr>
            </w:pPr>
            <w:r w:rsidRPr="000C0C0A">
              <w:rPr>
                <w:rFonts w:ascii="Calibri Light" w:eastAsia="Calibri" w:hAnsi="Calibri Light" w:cs="Calibri Light"/>
                <w:b w:val="0"/>
                <w:bCs w:val="0"/>
                <w:kern w:val="2"/>
              </w:rPr>
              <w:t>MCC</w:t>
            </w:r>
          </w:p>
        </w:tc>
        <w:tc>
          <w:tcPr>
            <w:tcW w:w="7881" w:type="dxa"/>
          </w:tcPr>
          <w:p w14:paraId="6DF762D5"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kern w:val="2"/>
              </w:rPr>
            </w:pPr>
            <w:r w:rsidRPr="000C0C0A">
              <w:rPr>
                <w:rFonts w:ascii="Calibri Light" w:eastAsia="Calibri" w:hAnsi="Calibri Light" w:cs="Calibri Light"/>
                <w:kern w:val="2"/>
              </w:rPr>
              <w:t xml:space="preserve">Millennium Challenge Corporation </w:t>
            </w:r>
          </w:p>
        </w:tc>
      </w:tr>
      <w:tr w:rsidR="000C0C0A" w:rsidRPr="000C0C0A" w14:paraId="64238DDC"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2BB408"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MDB</w:t>
            </w:r>
          </w:p>
        </w:tc>
        <w:tc>
          <w:tcPr>
            <w:tcW w:w="7881" w:type="dxa"/>
          </w:tcPr>
          <w:p w14:paraId="2DA66954"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Multilateral Development Banks</w:t>
            </w:r>
          </w:p>
        </w:tc>
      </w:tr>
      <w:tr w:rsidR="000C0C0A" w:rsidRPr="000C0C0A" w14:paraId="2BBFEA1A"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430622AA" w14:textId="77777777" w:rsidR="000C0C0A" w:rsidRPr="000C0C0A" w:rsidRDefault="000C0C0A" w:rsidP="000C0C0A">
            <w:pPr>
              <w:spacing w:after="0"/>
              <w:rPr>
                <w:rFonts w:ascii="Calibri Light" w:eastAsia="Calibri" w:hAnsi="Calibri Light" w:cs="Calibri Light"/>
                <w:b w:val="0"/>
                <w:bCs w:val="0"/>
                <w:kern w:val="2"/>
              </w:rPr>
            </w:pPr>
            <w:r w:rsidRPr="000C0C0A">
              <w:rPr>
                <w:rFonts w:ascii="Calibri Light" w:eastAsia="Calibri" w:hAnsi="Calibri Light" w:cs="Calibri Light"/>
                <w:b w:val="0"/>
                <w:bCs w:val="0"/>
                <w:kern w:val="2"/>
              </w:rPr>
              <w:t>MEL</w:t>
            </w:r>
          </w:p>
        </w:tc>
        <w:tc>
          <w:tcPr>
            <w:tcW w:w="7881" w:type="dxa"/>
          </w:tcPr>
          <w:p w14:paraId="5D6CA341"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kern w:val="2"/>
              </w:rPr>
            </w:pPr>
            <w:r w:rsidRPr="000C0C0A">
              <w:rPr>
                <w:rFonts w:ascii="Calibri Light" w:eastAsia="Calibri" w:hAnsi="Calibri Light" w:cs="Calibri Light"/>
                <w:kern w:val="2"/>
              </w:rPr>
              <w:t>Monitoring, Evaluation and Learning</w:t>
            </w:r>
          </w:p>
        </w:tc>
      </w:tr>
      <w:tr w:rsidR="000C0C0A" w:rsidRPr="000C0C0A" w14:paraId="64D27ED6"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C84BA16" w14:textId="77777777" w:rsidR="000C0C0A" w:rsidRPr="000C0C0A" w:rsidRDefault="000C0C0A" w:rsidP="000C0C0A">
            <w:pPr>
              <w:spacing w:after="0"/>
              <w:rPr>
                <w:rFonts w:ascii="Calibri Light" w:eastAsia="Calibri" w:hAnsi="Calibri Light" w:cs="Calibri Light"/>
                <w:b w:val="0"/>
                <w:bCs w:val="0"/>
                <w:kern w:val="2"/>
              </w:rPr>
            </w:pPr>
            <w:r w:rsidRPr="000C0C0A">
              <w:rPr>
                <w:rFonts w:ascii="Calibri Light" w:eastAsia="Calibri" w:hAnsi="Calibri Light" w:cs="Calibri Light"/>
                <w:b w:val="0"/>
                <w:bCs w:val="0"/>
                <w:kern w:val="2"/>
              </w:rPr>
              <w:t>MFAT</w:t>
            </w:r>
          </w:p>
        </w:tc>
        <w:tc>
          <w:tcPr>
            <w:tcW w:w="7881" w:type="dxa"/>
          </w:tcPr>
          <w:p w14:paraId="0AE3EB9C"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kern w:val="2"/>
              </w:rPr>
            </w:pPr>
            <w:r w:rsidRPr="000C0C0A">
              <w:rPr>
                <w:rFonts w:ascii="Calibri Light" w:eastAsia="Calibri" w:hAnsi="Calibri Light" w:cs="Calibri Light"/>
                <w:kern w:val="2"/>
              </w:rPr>
              <w:t xml:space="preserve">(New Zealand) Ministry of Foreign Affairs and Trade </w:t>
            </w:r>
          </w:p>
        </w:tc>
      </w:tr>
      <w:tr w:rsidR="000C0C0A" w:rsidRPr="000C0C0A" w14:paraId="6B120B0C"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7A58B64C"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MTR</w:t>
            </w:r>
          </w:p>
        </w:tc>
        <w:tc>
          <w:tcPr>
            <w:tcW w:w="7881" w:type="dxa"/>
          </w:tcPr>
          <w:p w14:paraId="38568AA7"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Mid Term Review</w:t>
            </w:r>
          </w:p>
        </w:tc>
      </w:tr>
      <w:tr w:rsidR="000C0C0A" w:rsidRPr="000C0C0A" w14:paraId="209E8F42"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E3EB828"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MID</w:t>
            </w:r>
          </w:p>
        </w:tc>
        <w:tc>
          <w:tcPr>
            <w:tcW w:w="7881" w:type="dxa"/>
          </w:tcPr>
          <w:p w14:paraId="372BA67B"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 xml:space="preserve">Solomon Islands Ministry of Infrastructure Development </w:t>
            </w:r>
          </w:p>
        </w:tc>
      </w:tr>
      <w:tr w:rsidR="000C0C0A" w:rsidRPr="000C0C0A" w14:paraId="7766788C"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7DEA90E5"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MNPDC</w:t>
            </w:r>
          </w:p>
        </w:tc>
        <w:tc>
          <w:tcPr>
            <w:tcW w:w="7881" w:type="dxa"/>
          </w:tcPr>
          <w:p w14:paraId="2AC58AB1"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Solomon Islands Ministry of National Planning and Development Cooperation</w:t>
            </w:r>
          </w:p>
        </w:tc>
      </w:tr>
      <w:tr w:rsidR="000C0C0A" w:rsidRPr="000C0C0A" w14:paraId="0E638C18"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12B814E"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MOFT</w:t>
            </w:r>
          </w:p>
        </w:tc>
        <w:tc>
          <w:tcPr>
            <w:tcW w:w="7881" w:type="dxa"/>
          </w:tcPr>
          <w:p w14:paraId="6D0C5D48"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Solomon Islands Ministry of Finance and Treasury</w:t>
            </w:r>
          </w:p>
        </w:tc>
      </w:tr>
      <w:tr w:rsidR="000C0C0A" w:rsidRPr="000C0C0A" w14:paraId="4AB56C82"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1C022ECA"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NGO</w:t>
            </w:r>
          </w:p>
        </w:tc>
        <w:tc>
          <w:tcPr>
            <w:tcW w:w="7881" w:type="dxa"/>
          </w:tcPr>
          <w:p w14:paraId="1AC9CC75"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Non-Governmental Organisation</w:t>
            </w:r>
          </w:p>
        </w:tc>
      </w:tr>
      <w:tr w:rsidR="000C0C0A" w:rsidRPr="000C0C0A" w14:paraId="4802E30F"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D10A66C"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NIDA</w:t>
            </w:r>
          </w:p>
        </w:tc>
        <w:tc>
          <w:tcPr>
            <w:tcW w:w="7881" w:type="dxa"/>
          </w:tcPr>
          <w:p w14:paraId="72CD45FD"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National Infrastructure Development Authority</w:t>
            </w:r>
          </w:p>
        </w:tc>
      </w:tr>
      <w:tr w:rsidR="000C0C0A" w:rsidRPr="000C0C0A" w14:paraId="212E0DDD"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31CDA2DF"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NIR</w:t>
            </w:r>
          </w:p>
        </w:tc>
        <w:tc>
          <w:tcPr>
            <w:tcW w:w="7881" w:type="dxa"/>
          </w:tcPr>
          <w:p w14:paraId="38EE187C"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National Infrastructure Register</w:t>
            </w:r>
          </w:p>
        </w:tc>
      </w:tr>
      <w:tr w:rsidR="000C0C0A" w:rsidRPr="000C0C0A" w14:paraId="6DFDB262"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ED68F54"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lastRenderedPageBreak/>
              <w:t>NZ</w:t>
            </w:r>
          </w:p>
        </w:tc>
        <w:tc>
          <w:tcPr>
            <w:tcW w:w="7881" w:type="dxa"/>
          </w:tcPr>
          <w:p w14:paraId="084584A0"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New Zealand</w:t>
            </w:r>
          </w:p>
        </w:tc>
      </w:tr>
      <w:tr w:rsidR="000C0C0A" w:rsidRPr="000C0C0A" w14:paraId="6F1BA0C4"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38B145A6"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ODA</w:t>
            </w:r>
          </w:p>
        </w:tc>
        <w:tc>
          <w:tcPr>
            <w:tcW w:w="7881" w:type="dxa"/>
          </w:tcPr>
          <w:p w14:paraId="03C9C873"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Official Development Assistance</w:t>
            </w:r>
          </w:p>
        </w:tc>
      </w:tr>
      <w:tr w:rsidR="000C0C0A" w:rsidRPr="000C0C0A" w14:paraId="6953A17D"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1F379DD"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OECD-DAC</w:t>
            </w:r>
          </w:p>
        </w:tc>
        <w:tc>
          <w:tcPr>
            <w:tcW w:w="7881" w:type="dxa"/>
          </w:tcPr>
          <w:p w14:paraId="4496D419"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Organisation for Economic Co-operation and Development - Development Assistance Committee</w:t>
            </w:r>
          </w:p>
        </w:tc>
      </w:tr>
      <w:tr w:rsidR="000C0C0A" w:rsidRPr="000C0C0A" w14:paraId="671AC894"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48673384"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OH&amp;S</w:t>
            </w:r>
          </w:p>
        </w:tc>
        <w:tc>
          <w:tcPr>
            <w:tcW w:w="7881" w:type="dxa"/>
          </w:tcPr>
          <w:p w14:paraId="3A303980"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Occupational Health and Safety</w:t>
            </w:r>
          </w:p>
        </w:tc>
      </w:tr>
      <w:tr w:rsidR="000C0C0A" w:rsidRPr="000C0C0A" w14:paraId="4F0AE4B7"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98DB0E2"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PNG</w:t>
            </w:r>
          </w:p>
        </w:tc>
        <w:tc>
          <w:tcPr>
            <w:tcW w:w="7881" w:type="dxa"/>
          </w:tcPr>
          <w:p w14:paraId="1BC77CC9"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Papua New Guinea</w:t>
            </w:r>
          </w:p>
        </w:tc>
      </w:tr>
      <w:tr w:rsidR="000C0C0A" w:rsidRPr="000C0C0A" w14:paraId="47A1CCE9"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6FF51512"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PRIF</w:t>
            </w:r>
          </w:p>
        </w:tc>
        <w:tc>
          <w:tcPr>
            <w:tcW w:w="7881" w:type="dxa"/>
          </w:tcPr>
          <w:p w14:paraId="28365684"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Pacific Region Infrastructure Facility</w:t>
            </w:r>
          </w:p>
        </w:tc>
      </w:tr>
      <w:tr w:rsidR="000C0C0A" w:rsidRPr="000C0C0A" w14:paraId="6C5F3F77"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53EE103"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PS</w:t>
            </w:r>
          </w:p>
        </w:tc>
        <w:tc>
          <w:tcPr>
            <w:tcW w:w="7881" w:type="dxa"/>
          </w:tcPr>
          <w:p w14:paraId="784AE5CF"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Permanent Secretary</w:t>
            </w:r>
          </w:p>
        </w:tc>
      </w:tr>
      <w:tr w:rsidR="000C0C0A" w:rsidRPr="000C0C0A" w14:paraId="10838C05"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1D12AF72" w14:textId="77777777" w:rsidR="000C0C0A" w:rsidRPr="000C0C0A" w:rsidRDefault="000C0C0A" w:rsidP="000C0C0A">
            <w:pPr>
              <w:spacing w:after="0"/>
              <w:rPr>
                <w:rFonts w:ascii="Calibri Light" w:eastAsia="Calibri" w:hAnsi="Calibri Light" w:cs="Calibri Light"/>
                <w:b w:val="0"/>
                <w:bCs w:val="0"/>
                <w:kern w:val="2"/>
              </w:rPr>
            </w:pPr>
            <w:r w:rsidRPr="000C0C0A">
              <w:rPr>
                <w:rFonts w:ascii="Calibri Light" w:eastAsia="Calibri" w:hAnsi="Calibri Light" w:cs="Calibri Light"/>
                <w:b w:val="0"/>
                <w:bCs w:val="0"/>
                <w:kern w:val="2"/>
              </w:rPr>
              <w:t>PWD</w:t>
            </w:r>
          </w:p>
        </w:tc>
        <w:tc>
          <w:tcPr>
            <w:tcW w:w="7881" w:type="dxa"/>
          </w:tcPr>
          <w:p w14:paraId="70E15B96"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kern w:val="2"/>
              </w:rPr>
            </w:pPr>
            <w:r w:rsidRPr="000C0C0A">
              <w:rPr>
                <w:rFonts w:ascii="Calibri Light" w:eastAsia="Calibri" w:hAnsi="Calibri Light" w:cs="Calibri Light"/>
                <w:kern w:val="2"/>
              </w:rPr>
              <w:t>People with Disability</w:t>
            </w:r>
          </w:p>
        </w:tc>
      </w:tr>
      <w:tr w:rsidR="000C0C0A" w:rsidRPr="000C0C0A" w14:paraId="04D28626"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19F5F7B" w14:textId="77777777" w:rsidR="000C0C0A" w:rsidRPr="000C0C0A" w:rsidRDefault="000C0C0A" w:rsidP="000C0C0A">
            <w:pPr>
              <w:spacing w:after="0"/>
              <w:rPr>
                <w:rFonts w:ascii="Calibri Light" w:eastAsia="Calibri" w:hAnsi="Calibri Light" w:cs="Calibri Light"/>
                <w:b w:val="0"/>
                <w:bCs w:val="0"/>
                <w:kern w:val="2"/>
              </w:rPr>
            </w:pPr>
            <w:r w:rsidRPr="000C0C0A">
              <w:rPr>
                <w:rFonts w:ascii="Calibri Light" w:eastAsia="Calibri" w:hAnsi="Calibri Light" w:cs="Calibri Light"/>
                <w:b w:val="0"/>
                <w:bCs w:val="0"/>
                <w:kern w:val="2"/>
              </w:rPr>
              <w:t>RRM</w:t>
            </w:r>
          </w:p>
        </w:tc>
        <w:tc>
          <w:tcPr>
            <w:tcW w:w="7881" w:type="dxa"/>
          </w:tcPr>
          <w:p w14:paraId="7A1EA5FB"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kern w:val="2"/>
              </w:rPr>
            </w:pPr>
            <w:r w:rsidRPr="000C0C0A">
              <w:rPr>
                <w:rFonts w:ascii="Calibri Light" w:eastAsia="Calibri" w:hAnsi="Calibri Light" w:cs="Calibri Light"/>
                <w:kern w:val="2"/>
              </w:rPr>
              <w:t xml:space="preserve">Rapid Response Mechanism </w:t>
            </w:r>
          </w:p>
        </w:tc>
      </w:tr>
      <w:tr w:rsidR="000C0C0A" w:rsidRPr="000C0C0A" w14:paraId="709C4F1E"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1B710BF1"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SBD</w:t>
            </w:r>
          </w:p>
        </w:tc>
        <w:tc>
          <w:tcPr>
            <w:tcW w:w="7881" w:type="dxa"/>
          </w:tcPr>
          <w:p w14:paraId="5AE3CF80"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Solomon Islands Dollars</w:t>
            </w:r>
          </w:p>
        </w:tc>
      </w:tr>
      <w:tr w:rsidR="000C0C0A" w:rsidRPr="000C0C0A" w14:paraId="7B03D191"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7942823"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SC</w:t>
            </w:r>
          </w:p>
        </w:tc>
        <w:tc>
          <w:tcPr>
            <w:tcW w:w="7881" w:type="dxa"/>
          </w:tcPr>
          <w:p w14:paraId="49D49278"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SIIP Steering Committee</w:t>
            </w:r>
          </w:p>
        </w:tc>
      </w:tr>
      <w:tr w:rsidR="000C0C0A" w:rsidRPr="000C0C0A" w14:paraId="3E293B21"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5C8BAEEC"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SI</w:t>
            </w:r>
          </w:p>
        </w:tc>
        <w:tc>
          <w:tcPr>
            <w:tcW w:w="7881" w:type="dxa"/>
          </w:tcPr>
          <w:p w14:paraId="75C26853"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Solomon Islands</w:t>
            </w:r>
          </w:p>
        </w:tc>
      </w:tr>
      <w:tr w:rsidR="000C0C0A" w:rsidRPr="000C0C0A" w14:paraId="720B04E1"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ECE27F2"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SIG</w:t>
            </w:r>
          </w:p>
        </w:tc>
        <w:tc>
          <w:tcPr>
            <w:tcW w:w="7881" w:type="dxa"/>
          </w:tcPr>
          <w:p w14:paraId="55DF4947"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 xml:space="preserve">Solomon Islands Government </w:t>
            </w:r>
          </w:p>
        </w:tc>
      </w:tr>
      <w:tr w:rsidR="000C0C0A" w:rsidRPr="000C0C0A" w14:paraId="50EA3ED9"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2BC70EA5"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SIIP</w:t>
            </w:r>
          </w:p>
        </w:tc>
        <w:tc>
          <w:tcPr>
            <w:tcW w:w="7881" w:type="dxa"/>
          </w:tcPr>
          <w:p w14:paraId="0E89A0CB"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Solomon Islands Infrastructure Program</w:t>
            </w:r>
          </w:p>
        </w:tc>
      </w:tr>
      <w:tr w:rsidR="000C0C0A" w:rsidRPr="000C0C0A" w14:paraId="23A26EB4"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579E007"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SINIPP</w:t>
            </w:r>
          </w:p>
        </w:tc>
        <w:tc>
          <w:tcPr>
            <w:tcW w:w="7881" w:type="dxa"/>
          </w:tcPr>
          <w:p w14:paraId="6F94342C"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Solomon Islands National Infrastructure Priority Pipeline (2023)</w:t>
            </w:r>
          </w:p>
        </w:tc>
      </w:tr>
      <w:tr w:rsidR="000C0C0A" w:rsidRPr="000C0C0A" w14:paraId="318D2DEE"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297DA677"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SOE</w:t>
            </w:r>
          </w:p>
        </w:tc>
        <w:tc>
          <w:tcPr>
            <w:tcW w:w="7881" w:type="dxa"/>
          </w:tcPr>
          <w:p w14:paraId="5467EA1D"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State Owned Enterprise</w:t>
            </w:r>
          </w:p>
        </w:tc>
      </w:tr>
      <w:tr w:rsidR="000C0C0A" w:rsidRPr="000C0C0A" w14:paraId="2E57500A"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027E3AC"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TA</w:t>
            </w:r>
          </w:p>
        </w:tc>
        <w:tc>
          <w:tcPr>
            <w:tcW w:w="7881" w:type="dxa"/>
          </w:tcPr>
          <w:p w14:paraId="6555F9A6"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Technical Assistance</w:t>
            </w:r>
          </w:p>
        </w:tc>
      </w:tr>
      <w:tr w:rsidR="000C0C0A" w:rsidRPr="000C0C0A" w14:paraId="1A129857"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66A65756"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TOC</w:t>
            </w:r>
          </w:p>
        </w:tc>
        <w:tc>
          <w:tcPr>
            <w:tcW w:w="7881" w:type="dxa"/>
          </w:tcPr>
          <w:p w14:paraId="167177EE"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 xml:space="preserve">Theory of Change </w:t>
            </w:r>
          </w:p>
        </w:tc>
      </w:tr>
      <w:tr w:rsidR="000C0C0A" w:rsidRPr="000C0C0A" w14:paraId="137336AB"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6B01E5"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TOR</w:t>
            </w:r>
          </w:p>
        </w:tc>
        <w:tc>
          <w:tcPr>
            <w:tcW w:w="7881" w:type="dxa"/>
          </w:tcPr>
          <w:p w14:paraId="6234822F"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 xml:space="preserve">Terms of Reference </w:t>
            </w:r>
          </w:p>
        </w:tc>
      </w:tr>
      <w:tr w:rsidR="000C0C0A" w:rsidRPr="000C0C0A" w14:paraId="2FF0F673"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4604FFAF"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USA</w:t>
            </w:r>
          </w:p>
        </w:tc>
        <w:tc>
          <w:tcPr>
            <w:tcW w:w="7881" w:type="dxa"/>
          </w:tcPr>
          <w:p w14:paraId="48D1B3F1"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 xml:space="preserve">United States of America </w:t>
            </w:r>
          </w:p>
        </w:tc>
      </w:tr>
      <w:tr w:rsidR="000C0C0A" w:rsidRPr="000C0C0A" w14:paraId="0B731E10" w14:textId="77777777" w:rsidTr="000C0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A2B61B5"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kern w:val="2"/>
              </w:rPr>
              <w:t>VfM</w:t>
            </w:r>
          </w:p>
        </w:tc>
        <w:tc>
          <w:tcPr>
            <w:tcW w:w="7881" w:type="dxa"/>
          </w:tcPr>
          <w:p w14:paraId="7D5044FA" w14:textId="77777777" w:rsidR="000C0C0A" w:rsidRPr="000C0C0A" w:rsidRDefault="000C0C0A" w:rsidP="000C0C0A">
            <w:pPr>
              <w:spacing w:after="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kern w:val="2"/>
              </w:rPr>
              <w:t>Value for Money</w:t>
            </w:r>
          </w:p>
        </w:tc>
      </w:tr>
      <w:tr w:rsidR="000C0C0A" w:rsidRPr="000C0C0A" w14:paraId="68F6636B" w14:textId="77777777" w:rsidTr="000C0C0A">
        <w:tc>
          <w:tcPr>
            <w:cnfStyle w:val="001000000000" w:firstRow="0" w:lastRow="0" w:firstColumn="1" w:lastColumn="0" w:oddVBand="0" w:evenVBand="0" w:oddHBand="0" w:evenHBand="0" w:firstRowFirstColumn="0" w:firstRowLastColumn="0" w:lastRowFirstColumn="0" w:lastRowLastColumn="0"/>
            <w:tcW w:w="1129" w:type="dxa"/>
          </w:tcPr>
          <w:p w14:paraId="5A550D60" w14:textId="77777777" w:rsidR="000C0C0A" w:rsidRPr="000C0C0A" w:rsidRDefault="000C0C0A" w:rsidP="000C0C0A">
            <w:pPr>
              <w:spacing w:after="0"/>
              <w:rPr>
                <w:rFonts w:ascii="Calibri Light" w:eastAsia="Calibri" w:hAnsi="Calibri Light" w:cs="Calibri Light"/>
                <w:b w:val="0"/>
                <w:bCs w:val="0"/>
              </w:rPr>
            </w:pPr>
            <w:r w:rsidRPr="000C0C0A">
              <w:rPr>
                <w:rFonts w:ascii="Calibri Light" w:eastAsia="Calibri" w:hAnsi="Calibri Light" w:cs="Calibri Light"/>
                <w:b w:val="0"/>
                <w:bCs w:val="0"/>
              </w:rPr>
              <w:t>WBG</w:t>
            </w:r>
          </w:p>
        </w:tc>
        <w:tc>
          <w:tcPr>
            <w:tcW w:w="7881" w:type="dxa"/>
          </w:tcPr>
          <w:p w14:paraId="0BEEF33F" w14:textId="77777777" w:rsidR="000C0C0A" w:rsidRPr="000C0C0A" w:rsidRDefault="000C0C0A" w:rsidP="000C0C0A">
            <w:pPr>
              <w:spacing w:after="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rPr>
            </w:pPr>
            <w:r w:rsidRPr="000C0C0A">
              <w:rPr>
                <w:rFonts w:ascii="Calibri Light" w:eastAsia="Calibri" w:hAnsi="Calibri Light" w:cs="Calibri Light"/>
              </w:rPr>
              <w:t>World Bank Group</w:t>
            </w:r>
          </w:p>
        </w:tc>
      </w:tr>
    </w:tbl>
    <w:p w14:paraId="4E8C8E97" w14:textId="77777777" w:rsidR="00D02520" w:rsidRPr="00B66B6B" w:rsidRDefault="00D02520" w:rsidP="00370438"/>
    <w:p w14:paraId="430A84D3" w14:textId="77777777" w:rsidR="00DF0AAE" w:rsidRPr="00B66B6B" w:rsidRDefault="00DF0AAE" w:rsidP="00370438">
      <w:pPr>
        <w:sectPr w:rsidR="00DF0AAE" w:rsidRPr="00B66B6B" w:rsidSect="002F081F">
          <w:pgSz w:w="11900" w:h="16840"/>
          <w:pgMar w:top="1418" w:right="1440" w:bottom="1440" w:left="1440" w:header="709" w:footer="709" w:gutter="0"/>
          <w:pgNumType w:fmt="lowerRoman"/>
          <w:cols w:space="708"/>
          <w:docGrid w:linePitch="360"/>
        </w:sectPr>
      </w:pPr>
    </w:p>
    <w:p w14:paraId="2E32D7FA" w14:textId="77777777" w:rsidR="000659F4" w:rsidRDefault="00FB2C3C" w:rsidP="00881A99">
      <w:pPr>
        <w:pStyle w:val="ExecSumH1"/>
        <w:rPr>
          <w:noProof/>
        </w:rPr>
      </w:pPr>
      <w:bookmarkStart w:id="5" w:name="_Toc157765357"/>
      <w:bookmarkStart w:id="6" w:name="_Toc157767463"/>
      <w:bookmarkStart w:id="7" w:name="_Toc165140694"/>
      <w:bookmarkStart w:id="8" w:name="_Toc165140732"/>
      <w:r w:rsidRPr="00B66B6B">
        <w:lastRenderedPageBreak/>
        <w:t>CONTENTS</w:t>
      </w:r>
      <w:bookmarkEnd w:id="5"/>
      <w:bookmarkEnd w:id="6"/>
      <w:bookmarkEnd w:id="7"/>
      <w:bookmarkEnd w:id="8"/>
      <w:r w:rsidR="005C3028" w:rsidRPr="00B66B6B">
        <w:fldChar w:fldCharType="begin"/>
      </w:r>
      <w:r w:rsidR="005C3028" w:rsidRPr="00B66B6B">
        <w:instrText xml:space="preserve"> TOC \o "1-2" \h \z \u </w:instrText>
      </w:r>
      <w:r w:rsidR="005C3028" w:rsidRPr="00B66B6B">
        <w:fldChar w:fldCharType="separate"/>
      </w:r>
    </w:p>
    <w:p w14:paraId="6F946E47" w14:textId="0969E10F" w:rsidR="000659F4" w:rsidRDefault="006061D2">
      <w:pPr>
        <w:pStyle w:val="TOC1"/>
        <w:rPr>
          <w:rFonts w:asciiTheme="minorHAnsi" w:eastAsiaTheme="minorEastAsia" w:hAnsiTheme="minorHAnsi" w:cstheme="minorBidi"/>
          <w:b w:val="0"/>
          <w:bCs w:val="0"/>
          <w:kern w:val="2"/>
          <w:lang w:eastAsia="en-AU"/>
          <w14:ligatures w14:val="standardContextual"/>
        </w:rPr>
      </w:pPr>
      <w:hyperlink w:anchor="_Toc165140727" w:history="1">
        <w:r w:rsidR="000659F4" w:rsidRPr="004B71F5">
          <w:rPr>
            <w:rStyle w:val="Hyperlink"/>
          </w:rPr>
          <w:t>EXECUTIVE SUMMARY</w:t>
        </w:r>
        <w:r w:rsidR="000659F4">
          <w:rPr>
            <w:webHidden/>
          </w:rPr>
          <w:tab/>
        </w:r>
        <w:r w:rsidR="000659F4">
          <w:rPr>
            <w:webHidden/>
          </w:rPr>
          <w:fldChar w:fldCharType="begin"/>
        </w:r>
        <w:r w:rsidR="000659F4">
          <w:rPr>
            <w:webHidden/>
          </w:rPr>
          <w:instrText xml:space="preserve"> PAGEREF _Toc165140727 \h </w:instrText>
        </w:r>
        <w:r w:rsidR="000659F4">
          <w:rPr>
            <w:webHidden/>
          </w:rPr>
        </w:r>
        <w:r w:rsidR="000659F4">
          <w:rPr>
            <w:webHidden/>
          </w:rPr>
          <w:fldChar w:fldCharType="separate"/>
        </w:r>
        <w:r w:rsidR="001F6404">
          <w:rPr>
            <w:webHidden/>
          </w:rPr>
          <w:t>i</w:t>
        </w:r>
        <w:r w:rsidR="000659F4">
          <w:rPr>
            <w:webHidden/>
          </w:rPr>
          <w:fldChar w:fldCharType="end"/>
        </w:r>
      </w:hyperlink>
    </w:p>
    <w:p w14:paraId="67B50E79" w14:textId="142A9814" w:rsidR="000659F4" w:rsidRDefault="006061D2">
      <w:pPr>
        <w:pStyle w:val="TOC1"/>
        <w:rPr>
          <w:rFonts w:asciiTheme="minorHAnsi" w:eastAsiaTheme="minorEastAsia" w:hAnsiTheme="minorHAnsi" w:cstheme="minorBidi"/>
          <w:b w:val="0"/>
          <w:bCs w:val="0"/>
          <w:kern w:val="2"/>
          <w:lang w:eastAsia="en-AU"/>
          <w14:ligatures w14:val="standardContextual"/>
        </w:rPr>
      </w:pPr>
      <w:hyperlink w:anchor="_Toc165140731" w:history="1">
        <w:r w:rsidR="000659F4" w:rsidRPr="004B71F5">
          <w:rPr>
            <w:rStyle w:val="Hyperlink"/>
          </w:rPr>
          <w:t>ACRONYMS LIST</w:t>
        </w:r>
        <w:r w:rsidR="000659F4">
          <w:rPr>
            <w:webHidden/>
          </w:rPr>
          <w:tab/>
        </w:r>
        <w:r w:rsidR="000659F4">
          <w:rPr>
            <w:webHidden/>
          </w:rPr>
          <w:fldChar w:fldCharType="begin"/>
        </w:r>
        <w:r w:rsidR="000659F4">
          <w:rPr>
            <w:webHidden/>
          </w:rPr>
          <w:instrText xml:space="preserve"> PAGEREF _Toc165140731 \h </w:instrText>
        </w:r>
        <w:r w:rsidR="000659F4">
          <w:rPr>
            <w:webHidden/>
          </w:rPr>
        </w:r>
        <w:r w:rsidR="000659F4">
          <w:rPr>
            <w:webHidden/>
          </w:rPr>
          <w:fldChar w:fldCharType="separate"/>
        </w:r>
        <w:r w:rsidR="001F6404">
          <w:rPr>
            <w:webHidden/>
          </w:rPr>
          <w:t>vi</w:t>
        </w:r>
        <w:r w:rsidR="000659F4">
          <w:rPr>
            <w:webHidden/>
          </w:rPr>
          <w:fldChar w:fldCharType="end"/>
        </w:r>
      </w:hyperlink>
    </w:p>
    <w:p w14:paraId="4690FBFC" w14:textId="77777777" w:rsidR="004B0111" w:rsidRDefault="004B0111">
      <w:pPr>
        <w:pStyle w:val="TOC1"/>
        <w:tabs>
          <w:tab w:val="left" w:pos="480"/>
        </w:tabs>
        <w:rPr>
          <w:rStyle w:val="Hyperlink"/>
        </w:rPr>
      </w:pPr>
    </w:p>
    <w:p w14:paraId="1E0EF887" w14:textId="74B19839" w:rsidR="000659F4" w:rsidRDefault="006061D2">
      <w:pPr>
        <w:pStyle w:val="TOC1"/>
        <w:tabs>
          <w:tab w:val="left" w:pos="480"/>
        </w:tabs>
        <w:rPr>
          <w:rFonts w:asciiTheme="minorHAnsi" w:eastAsiaTheme="minorEastAsia" w:hAnsiTheme="minorHAnsi" w:cstheme="minorBidi"/>
          <w:b w:val="0"/>
          <w:bCs w:val="0"/>
          <w:kern w:val="2"/>
          <w:lang w:eastAsia="en-AU"/>
          <w14:ligatures w14:val="standardContextual"/>
        </w:rPr>
      </w:pPr>
      <w:hyperlink w:anchor="_Toc165140733" w:history="1">
        <w:r w:rsidR="000659F4" w:rsidRPr="004B71F5">
          <w:rPr>
            <w:rStyle w:val="Hyperlink"/>
          </w:rPr>
          <w:t>1.</w:t>
        </w:r>
        <w:r w:rsidR="000659F4">
          <w:rPr>
            <w:rFonts w:asciiTheme="minorHAnsi" w:eastAsiaTheme="minorEastAsia" w:hAnsiTheme="minorHAnsi" w:cstheme="minorBidi"/>
            <w:b w:val="0"/>
            <w:bCs w:val="0"/>
            <w:kern w:val="2"/>
            <w:lang w:eastAsia="en-AU"/>
            <w14:ligatures w14:val="standardContextual"/>
          </w:rPr>
          <w:tab/>
        </w:r>
        <w:r w:rsidR="000659F4" w:rsidRPr="004B71F5">
          <w:rPr>
            <w:rStyle w:val="Hyperlink"/>
          </w:rPr>
          <w:t>INTRODUCTION</w:t>
        </w:r>
        <w:r w:rsidR="000659F4">
          <w:rPr>
            <w:webHidden/>
          </w:rPr>
          <w:tab/>
        </w:r>
        <w:r w:rsidR="000659F4">
          <w:rPr>
            <w:webHidden/>
          </w:rPr>
          <w:fldChar w:fldCharType="begin"/>
        </w:r>
        <w:r w:rsidR="000659F4">
          <w:rPr>
            <w:webHidden/>
          </w:rPr>
          <w:instrText xml:space="preserve"> PAGEREF _Toc165140733 \h </w:instrText>
        </w:r>
        <w:r w:rsidR="000659F4">
          <w:rPr>
            <w:webHidden/>
          </w:rPr>
        </w:r>
        <w:r w:rsidR="000659F4">
          <w:rPr>
            <w:webHidden/>
          </w:rPr>
          <w:fldChar w:fldCharType="separate"/>
        </w:r>
        <w:r w:rsidR="001F6404">
          <w:rPr>
            <w:webHidden/>
          </w:rPr>
          <w:t>1</w:t>
        </w:r>
        <w:r w:rsidR="000659F4">
          <w:rPr>
            <w:webHidden/>
          </w:rPr>
          <w:fldChar w:fldCharType="end"/>
        </w:r>
      </w:hyperlink>
    </w:p>
    <w:p w14:paraId="3F61107C" w14:textId="6C9951AC" w:rsidR="000659F4" w:rsidRDefault="006061D2" w:rsidP="00C2550B">
      <w:pPr>
        <w:pStyle w:val="TOC2"/>
        <w:rPr>
          <w:rFonts w:asciiTheme="minorHAnsi" w:eastAsiaTheme="minorEastAsia" w:hAnsiTheme="minorHAnsi" w:cstheme="minorBidi"/>
          <w:noProof/>
          <w:kern w:val="2"/>
          <w:lang w:eastAsia="en-AU"/>
          <w14:ligatures w14:val="standardContextual"/>
        </w:rPr>
      </w:pPr>
      <w:hyperlink w:anchor="_Toc165140734" w:history="1">
        <w:r w:rsidR="000659F4" w:rsidRPr="004B71F5">
          <w:rPr>
            <w:rStyle w:val="Hyperlink"/>
            <w:noProof/>
          </w:rPr>
          <w:t>1.1.</w:t>
        </w:r>
        <w:r w:rsidR="000659F4">
          <w:rPr>
            <w:rFonts w:asciiTheme="minorHAnsi" w:eastAsiaTheme="minorEastAsia" w:hAnsiTheme="minorHAnsi" w:cstheme="minorBidi"/>
            <w:noProof/>
            <w:kern w:val="2"/>
            <w:lang w:eastAsia="en-AU"/>
            <w14:ligatures w14:val="standardContextual"/>
          </w:rPr>
          <w:tab/>
        </w:r>
        <w:r w:rsidR="000659F4" w:rsidRPr="004B71F5">
          <w:rPr>
            <w:rStyle w:val="Hyperlink"/>
            <w:noProof/>
          </w:rPr>
          <w:t>Purpose and Scope</w:t>
        </w:r>
        <w:r w:rsidR="000659F4">
          <w:rPr>
            <w:noProof/>
            <w:webHidden/>
          </w:rPr>
          <w:tab/>
        </w:r>
        <w:r w:rsidR="000659F4">
          <w:rPr>
            <w:noProof/>
            <w:webHidden/>
          </w:rPr>
          <w:fldChar w:fldCharType="begin"/>
        </w:r>
        <w:r w:rsidR="000659F4">
          <w:rPr>
            <w:noProof/>
            <w:webHidden/>
          </w:rPr>
          <w:instrText xml:space="preserve"> PAGEREF _Toc165140734 \h </w:instrText>
        </w:r>
        <w:r w:rsidR="000659F4">
          <w:rPr>
            <w:noProof/>
            <w:webHidden/>
          </w:rPr>
        </w:r>
        <w:r w:rsidR="000659F4">
          <w:rPr>
            <w:noProof/>
            <w:webHidden/>
          </w:rPr>
          <w:fldChar w:fldCharType="separate"/>
        </w:r>
        <w:r w:rsidR="001F6404">
          <w:rPr>
            <w:noProof/>
            <w:webHidden/>
          </w:rPr>
          <w:t>1</w:t>
        </w:r>
        <w:r w:rsidR="000659F4">
          <w:rPr>
            <w:noProof/>
            <w:webHidden/>
          </w:rPr>
          <w:fldChar w:fldCharType="end"/>
        </w:r>
      </w:hyperlink>
    </w:p>
    <w:p w14:paraId="09C23CCB" w14:textId="51761C89" w:rsidR="000659F4" w:rsidRDefault="006061D2" w:rsidP="00C2550B">
      <w:pPr>
        <w:pStyle w:val="TOC2"/>
        <w:rPr>
          <w:rFonts w:asciiTheme="minorHAnsi" w:eastAsiaTheme="minorEastAsia" w:hAnsiTheme="minorHAnsi" w:cstheme="minorBidi"/>
          <w:noProof/>
          <w:kern w:val="2"/>
          <w:lang w:eastAsia="en-AU"/>
          <w14:ligatures w14:val="standardContextual"/>
        </w:rPr>
      </w:pPr>
      <w:hyperlink w:anchor="_Toc165140735" w:history="1">
        <w:r w:rsidR="000659F4" w:rsidRPr="004B71F5">
          <w:rPr>
            <w:rStyle w:val="Hyperlink"/>
            <w:noProof/>
          </w:rPr>
          <w:t>1.2.</w:t>
        </w:r>
        <w:r w:rsidR="000659F4">
          <w:rPr>
            <w:rFonts w:asciiTheme="minorHAnsi" w:eastAsiaTheme="minorEastAsia" w:hAnsiTheme="minorHAnsi" w:cstheme="minorBidi"/>
            <w:noProof/>
            <w:kern w:val="2"/>
            <w:lang w:eastAsia="en-AU"/>
            <w14:ligatures w14:val="standardContextual"/>
          </w:rPr>
          <w:tab/>
        </w:r>
        <w:r w:rsidR="000659F4" w:rsidRPr="004B71F5">
          <w:rPr>
            <w:rStyle w:val="Hyperlink"/>
            <w:noProof/>
          </w:rPr>
          <w:t>Relevant timeline</w:t>
        </w:r>
        <w:r w:rsidR="000659F4">
          <w:rPr>
            <w:noProof/>
            <w:webHidden/>
          </w:rPr>
          <w:tab/>
        </w:r>
        <w:r w:rsidR="000659F4">
          <w:rPr>
            <w:noProof/>
            <w:webHidden/>
          </w:rPr>
          <w:fldChar w:fldCharType="begin"/>
        </w:r>
        <w:r w:rsidR="000659F4">
          <w:rPr>
            <w:noProof/>
            <w:webHidden/>
          </w:rPr>
          <w:instrText xml:space="preserve"> PAGEREF _Toc165140735 \h </w:instrText>
        </w:r>
        <w:r w:rsidR="000659F4">
          <w:rPr>
            <w:noProof/>
            <w:webHidden/>
          </w:rPr>
        </w:r>
        <w:r w:rsidR="000659F4">
          <w:rPr>
            <w:noProof/>
            <w:webHidden/>
          </w:rPr>
          <w:fldChar w:fldCharType="separate"/>
        </w:r>
        <w:r w:rsidR="001F6404">
          <w:rPr>
            <w:noProof/>
            <w:webHidden/>
          </w:rPr>
          <w:t>2</w:t>
        </w:r>
        <w:r w:rsidR="000659F4">
          <w:rPr>
            <w:noProof/>
            <w:webHidden/>
          </w:rPr>
          <w:fldChar w:fldCharType="end"/>
        </w:r>
      </w:hyperlink>
    </w:p>
    <w:p w14:paraId="7BA2DFC1" w14:textId="24793DBC" w:rsidR="000659F4" w:rsidRDefault="006061D2" w:rsidP="00C2550B">
      <w:pPr>
        <w:pStyle w:val="TOC2"/>
        <w:rPr>
          <w:rFonts w:asciiTheme="minorHAnsi" w:eastAsiaTheme="minorEastAsia" w:hAnsiTheme="minorHAnsi" w:cstheme="minorBidi"/>
          <w:noProof/>
          <w:kern w:val="2"/>
          <w:lang w:eastAsia="en-AU"/>
          <w14:ligatures w14:val="standardContextual"/>
        </w:rPr>
      </w:pPr>
      <w:hyperlink w:anchor="_Toc165140736" w:history="1">
        <w:r w:rsidR="000659F4" w:rsidRPr="004B71F5">
          <w:rPr>
            <w:rStyle w:val="Hyperlink"/>
            <w:noProof/>
          </w:rPr>
          <w:t>1.3.</w:t>
        </w:r>
        <w:r w:rsidR="000659F4">
          <w:rPr>
            <w:rFonts w:asciiTheme="minorHAnsi" w:eastAsiaTheme="minorEastAsia" w:hAnsiTheme="minorHAnsi" w:cstheme="minorBidi"/>
            <w:noProof/>
            <w:kern w:val="2"/>
            <w:lang w:eastAsia="en-AU"/>
            <w14:ligatures w14:val="standardContextual"/>
          </w:rPr>
          <w:tab/>
        </w:r>
        <w:r w:rsidR="000659F4" w:rsidRPr="004B71F5">
          <w:rPr>
            <w:rStyle w:val="Hyperlink"/>
            <w:noProof/>
          </w:rPr>
          <w:t>Methodology</w:t>
        </w:r>
        <w:r w:rsidR="000659F4">
          <w:rPr>
            <w:noProof/>
            <w:webHidden/>
          </w:rPr>
          <w:tab/>
        </w:r>
        <w:r w:rsidR="000659F4">
          <w:rPr>
            <w:noProof/>
            <w:webHidden/>
          </w:rPr>
          <w:fldChar w:fldCharType="begin"/>
        </w:r>
        <w:r w:rsidR="000659F4">
          <w:rPr>
            <w:noProof/>
            <w:webHidden/>
          </w:rPr>
          <w:instrText xml:space="preserve"> PAGEREF _Toc165140736 \h </w:instrText>
        </w:r>
        <w:r w:rsidR="000659F4">
          <w:rPr>
            <w:noProof/>
            <w:webHidden/>
          </w:rPr>
        </w:r>
        <w:r w:rsidR="000659F4">
          <w:rPr>
            <w:noProof/>
            <w:webHidden/>
          </w:rPr>
          <w:fldChar w:fldCharType="separate"/>
        </w:r>
        <w:r w:rsidR="001F6404">
          <w:rPr>
            <w:noProof/>
            <w:webHidden/>
          </w:rPr>
          <w:t>2</w:t>
        </w:r>
        <w:r w:rsidR="000659F4">
          <w:rPr>
            <w:noProof/>
            <w:webHidden/>
          </w:rPr>
          <w:fldChar w:fldCharType="end"/>
        </w:r>
      </w:hyperlink>
    </w:p>
    <w:p w14:paraId="326EEF2B" w14:textId="3564BF31" w:rsidR="000659F4" w:rsidRDefault="006061D2" w:rsidP="00C2550B">
      <w:pPr>
        <w:pStyle w:val="TOC2"/>
        <w:rPr>
          <w:rFonts w:asciiTheme="minorHAnsi" w:eastAsiaTheme="minorEastAsia" w:hAnsiTheme="minorHAnsi" w:cstheme="minorBidi"/>
          <w:noProof/>
          <w:kern w:val="2"/>
          <w:lang w:eastAsia="en-AU"/>
          <w14:ligatures w14:val="standardContextual"/>
        </w:rPr>
      </w:pPr>
      <w:hyperlink w:anchor="_Toc165140737" w:history="1">
        <w:r w:rsidR="000659F4" w:rsidRPr="004B71F5">
          <w:rPr>
            <w:rStyle w:val="Hyperlink"/>
            <w:noProof/>
          </w:rPr>
          <w:t>1.4.</w:t>
        </w:r>
        <w:r w:rsidR="000659F4">
          <w:rPr>
            <w:rFonts w:asciiTheme="minorHAnsi" w:eastAsiaTheme="minorEastAsia" w:hAnsiTheme="minorHAnsi" w:cstheme="minorBidi"/>
            <w:noProof/>
            <w:kern w:val="2"/>
            <w:lang w:eastAsia="en-AU"/>
            <w14:ligatures w14:val="standardContextual"/>
          </w:rPr>
          <w:tab/>
        </w:r>
        <w:r w:rsidR="000659F4" w:rsidRPr="004B71F5">
          <w:rPr>
            <w:rStyle w:val="Hyperlink"/>
            <w:noProof/>
          </w:rPr>
          <w:t>Limitations</w:t>
        </w:r>
        <w:r w:rsidR="000659F4">
          <w:rPr>
            <w:noProof/>
            <w:webHidden/>
          </w:rPr>
          <w:tab/>
        </w:r>
        <w:r w:rsidR="000659F4">
          <w:rPr>
            <w:noProof/>
            <w:webHidden/>
          </w:rPr>
          <w:fldChar w:fldCharType="begin"/>
        </w:r>
        <w:r w:rsidR="000659F4">
          <w:rPr>
            <w:noProof/>
            <w:webHidden/>
          </w:rPr>
          <w:instrText xml:space="preserve"> PAGEREF _Toc165140737 \h </w:instrText>
        </w:r>
        <w:r w:rsidR="000659F4">
          <w:rPr>
            <w:noProof/>
            <w:webHidden/>
          </w:rPr>
        </w:r>
        <w:r w:rsidR="000659F4">
          <w:rPr>
            <w:noProof/>
            <w:webHidden/>
          </w:rPr>
          <w:fldChar w:fldCharType="separate"/>
        </w:r>
        <w:r w:rsidR="001F6404">
          <w:rPr>
            <w:noProof/>
            <w:webHidden/>
          </w:rPr>
          <w:t>2</w:t>
        </w:r>
        <w:r w:rsidR="000659F4">
          <w:rPr>
            <w:noProof/>
            <w:webHidden/>
          </w:rPr>
          <w:fldChar w:fldCharType="end"/>
        </w:r>
      </w:hyperlink>
    </w:p>
    <w:p w14:paraId="64DA086E" w14:textId="093CE787" w:rsidR="000659F4" w:rsidRDefault="006061D2">
      <w:pPr>
        <w:pStyle w:val="TOC1"/>
        <w:tabs>
          <w:tab w:val="left" w:pos="480"/>
        </w:tabs>
        <w:rPr>
          <w:rFonts w:asciiTheme="minorHAnsi" w:eastAsiaTheme="minorEastAsia" w:hAnsiTheme="minorHAnsi" w:cstheme="minorBidi"/>
          <w:b w:val="0"/>
          <w:bCs w:val="0"/>
          <w:kern w:val="2"/>
          <w:lang w:eastAsia="en-AU"/>
          <w14:ligatures w14:val="standardContextual"/>
        </w:rPr>
      </w:pPr>
      <w:hyperlink w:anchor="_Toc165140738" w:history="1">
        <w:r w:rsidR="000659F4" w:rsidRPr="004B71F5">
          <w:rPr>
            <w:rStyle w:val="Hyperlink"/>
          </w:rPr>
          <w:t>2.</w:t>
        </w:r>
        <w:r w:rsidR="000659F4">
          <w:rPr>
            <w:rFonts w:asciiTheme="minorHAnsi" w:eastAsiaTheme="minorEastAsia" w:hAnsiTheme="minorHAnsi" w:cstheme="minorBidi"/>
            <w:b w:val="0"/>
            <w:bCs w:val="0"/>
            <w:kern w:val="2"/>
            <w:lang w:eastAsia="en-AU"/>
            <w14:ligatures w14:val="standardContextual"/>
          </w:rPr>
          <w:tab/>
        </w:r>
        <w:r w:rsidR="000659F4" w:rsidRPr="004B71F5">
          <w:rPr>
            <w:rStyle w:val="Hyperlink"/>
          </w:rPr>
          <w:t>FINDINGS</w:t>
        </w:r>
        <w:r w:rsidR="000659F4">
          <w:rPr>
            <w:webHidden/>
          </w:rPr>
          <w:tab/>
        </w:r>
        <w:r w:rsidR="000659F4">
          <w:rPr>
            <w:webHidden/>
          </w:rPr>
          <w:fldChar w:fldCharType="begin"/>
        </w:r>
        <w:r w:rsidR="000659F4">
          <w:rPr>
            <w:webHidden/>
          </w:rPr>
          <w:instrText xml:space="preserve"> PAGEREF _Toc165140738 \h </w:instrText>
        </w:r>
        <w:r w:rsidR="000659F4">
          <w:rPr>
            <w:webHidden/>
          </w:rPr>
        </w:r>
        <w:r w:rsidR="000659F4">
          <w:rPr>
            <w:webHidden/>
          </w:rPr>
          <w:fldChar w:fldCharType="separate"/>
        </w:r>
        <w:r w:rsidR="001F6404">
          <w:rPr>
            <w:webHidden/>
          </w:rPr>
          <w:t>3</w:t>
        </w:r>
        <w:r w:rsidR="000659F4">
          <w:rPr>
            <w:webHidden/>
          </w:rPr>
          <w:fldChar w:fldCharType="end"/>
        </w:r>
      </w:hyperlink>
    </w:p>
    <w:p w14:paraId="1B824C90" w14:textId="08762276" w:rsidR="000659F4" w:rsidRDefault="006061D2" w:rsidP="00C2550B">
      <w:pPr>
        <w:pStyle w:val="TOC2"/>
        <w:rPr>
          <w:rFonts w:asciiTheme="minorHAnsi" w:eastAsiaTheme="minorEastAsia" w:hAnsiTheme="minorHAnsi" w:cstheme="minorBidi"/>
          <w:noProof/>
          <w:kern w:val="2"/>
          <w:lang w:eastAsia="en-AU"/>
          <w14:ligatures w14:val="standardContextual"/>
        </w:rPr>
      </w:pPr>
      <w:hyperlink w:anchor="_Toc165140739" w:history="1">
        <w:r w:rsidR="000659F4" w:rsidRPr="004B71F5">
          <w:rPr>
            <w:rStyle w:val="Hyperlink"/>
            <w:noProof/>
          </w:rPr>
          <w:t>2.1.</w:t>
        </w:r>
        <w:r w:rsidR="000659F4">
          <w:rPr>
            <w:rFonts w:asciiTheme="minorHAnsi" w:eastAsiaTheme="minorEastAsia" w:hAnsiTheme="minorHAnsi" w:cstheme="minorBidi"/>
            <w:noProof/>
            <w:kern w:val="2"/>
            <w:lang w:eastAsia="en-AU"/>
            <w14:ligatures w14:val="standardContextual"/>
          </w:rPr>
          <w:tab/>
        </w:r>
        <w:r w:rsidR="000659F4" w:rsidRPr="004B71F5">
          <w:rPr>
            <w:rStyle w:val="Hyperlink"/>
            <w:noProof/>
          </w:rPr>
          <w:t>Relevance</w:t>
        </w:r>
        <w:r w:rsidR="000659F4">
          <w:rPr>
            <w:noProof/>
            <w:webHidden/>
          </w:rPr>
          <w:tab/>
        </w:r>
        <w:r w:rsidR="000659F4">
          <w:rPr>
            <w:noProof/>
            <w:webHidden/>
          </w:rPr>
          <w:fldChar w:fldCharType="begin"/>
        </w:r>
        <w:r w:rsidR="000659F4">
          <w:rPr>
            <w:noProof/>
            <w:webHidden/>
          </w:rPr>
          <w:instrText xml:space="preserve"> PAGEREF _Toc165140739 \h </w:instrText>
        </w:r>
        <w:r w:rsidR="000659F4">
          <w:rPr>
            <w:noProof/>
            <w:webHidden/>
          </w:rPr>
        </w:r>
        <w:r w:rsidR="000659F4">
          <w:rPr>
            <w:noProof/>
            <w:webHidden/>
          </w:rPr>
          <w:fldChar w:fldCharType="separate"/>
        </w:r>
        <w:r w:rsidR="001F6404">
          <w:rPr>
            <w:noProof/>
            <w:webHidden/>
          </w:rPr>
          <w:t>3</w:t>
        </w:r>
        <w:r w:rsidR="000659F4">
          <w:rPr>
            <w:noProof/>
            <w:webHidden/>
          </w:rPr>
          <w:fldChar w:fldCharType="end"/>
        </w:r>
      </w:hyperlink>
    </w:p>
    <w:p w14:paraId="70BFF9AA" w14:textId="58BB8689" w:rsidR="000659F4" w:rsidRDefault="006061D2" w:rsidP="00C2550B">
      <w:pPr>
        <w:pStyle w:val="TOC2"/>
        <w:rPr>
          <w:rFonts w:asciiTheme="minorHAnsi" w:eastAsiaTheme="minorEastAsia" w:hAnsiTheme="minorHAnsi" w:cstheme="minorBidi"/>
          <w:noProof/>
          <w:kern w:val="2"/>
          <w:lang w:eastAsia="en-AU"/>
          <w14:ligatures w14:val="standardContextual"/>
        </w:rPr>
      </w:pPr>
      <w:hyperlink w:anchor="_Toc165140740" w:history="1">
        <w:r w:rsidR="000659F4" w:rsidRPr="004B71F5">
          <w:rPr>
            <w:rStyle w:val="Hyperlink"/>
            <w:noProof/>
          </w:rPr>
          <w:t>2.2.</w:t>
        </w:r>
        <w:r w:rsidR="000659F4">
          <w:rPr>
            <w:rFonts w:asciiTheme="minorHAnsi" w:eastAsiaTheme="minorEastAsia" w:hAnsiTheme="minorHAnsi" w:cstheme="minorBidi"/>
            <w:noProof/>
            <w:kern w:val="2"/>
            <w:lang w:eastAsia="en-AU"/>
            <w14:ligatures w14:val="standardContextual"/>
          </w:rPr>
          <w:tab/>
        </w:r>
        <w:r w:rsidR="000659F4" w:rsidRPr="004B71F5">
          <w:rPr>
            <w:rStyle w:val="Hyperlink"/>
            <w:noProof/>
          </w:rPr>
          <w:t>Coherence</w:t>
        </w:r>
        <w:r w:rsidR="000659F4">
          <w:rPr>
            <w:noProof/>
            <w:webHidden/>
          </w:rPr>
          <w:tab/>
        </w:r>
        <w:r w:rsidR="000659F4">
          <w:rPr>
            <w:noProof/>
            <w:webHidden/>
          </w:rPr>
          <w:fldChar w:fldCharType="begin"/>
        </w:r>
        <w:r w:rsidR="000659F4">
          <w:rPr>
            <w:noProof/>
            <w:webHidden/>
          </w:rPr>
          <w:instrText xml:space="preserve"> PAGEREF _Toc165140740 \h </w:instrText>
        </w:r>
        <w:r w:rsidR="000659F4">
          <w:rPr>
            <w:noProof/>
            <w:webHidden/>
          </w:rPr>
        </w:r>
        <w:r w:rsidR="000659F4">
          <w:rPr>
            <w:noProof/>
            <w:webHidden/>
          </w:rPr>
          <w:fldChar w:fldCharType="separate"/>
        </w:r>
        <w:r w:rsidR="001F6404">
          <w:rPr>
            <w:noProof/>
            <w:webHidden/>
          </w:rPr>
          <w:t>8</w:t>
        </w:r>
        <w:r w:rsidR="000659F4">
          <w:rPr>
            <w:noProof/>
            <w:webHidden/>
          </w:rPr>
          <w:fldChar w:fldCharType="end"/>
        </w:r>
      </w:hyperlink>
    </w:p>
    <w:p w14:paraId="0FD9E84B" w14:textId="6B6A6A7A" w:rsidR="000659F4" w:rsidRDefault="006061D2" w:rsidP="00C2550B">
      <w:pPr>
        <w:pStyle w:val="TOC2"/>
        <w:rPr>
          <w:rFonts w:asciiTheme="minorHAnsi" w:eastAsiaTheme="minorEastAsia" w:hAnsiTheme="minorHAnsi" w:cstheme="minorBidi"/>
          <w:noProof/>
          <w:kern w:val="2"/>
          <w:lang w:eastAsia="en-AU"/>
          <w14:ligatures w14:val="standardContextual"/>
        </w:rPr>
      </w:pPr>
      <w:hyperlink w:anchor="_Toc165140741" w:history="1">
        <w:r w:rsidR="000659F4" w:rsidRPr="004B71F5">
          <w:rPr>
            <w:rStyle w:val="Hyperlink"/>
            <w:noProof/>
          </w:rPr>
          <w:t>2.3.</w:t>
        </w:r>
        <w:r w:rsidR="000659F4">
          <w:rPr>
            <w:rFonts w:asciiTheme="minorHAnsi" w:eastAsiaTheme="minorEastAsia" w:hAnsiTheme="minorHAnsi" w:cstheme="minorBidi"/>
            <w:noProof/>
            <w:kern w:val="2"/>
            <w:lang w:eastAsia="en-AU"/>
            <w14:ligatures w14:val="standardContextual"/>
          </w:rPr>
          <w:tab/>
        </w:r>
        <w:r w:rsidR="000659F4" w:rsidRPr="004B71F5">
          <w:rPr>
            <w:rStyle w:val="Hyperlink"/>
            <w:noProof/>
          </w:rPr>
          <w:t>Effectiveness</w:t>
        </w:r>
        <w:r w:rsidR="000659F4">
          <w:rPr>
            <w:noProof/>
            <w:webHidden/>
          </w:rPr>
          <w:tab/>
        </w:r>
        <w:r w:rsidR="000659F4">
          <w:rPr>
            <w:noProof/>
            <w:webHidden/>
          </w:rPr>
          <w:fldChar w:fldCharType="begin"/>
        </w:r>
        <w:r w:rsidR="000659F4">
          <w:rPr>
            <w:noProof/>
            <w:webHidden/>
          </w:rPr>
          <w:instrText xml:space="preserve"> PAGEREF _Toc165140741 \h </w:instrText>
        </w:r>
        <w:r w:rsidR="000659F4">
          <w:rPr>
            <w:noProof/>
            <w:webHidden/>
          </w:rPr>
        </w:r>
        <w:r w:rsidR="000659F4">
          <w:rPr>
            <w:noProof/>
            <w:webHidden/>
          </w:rPr>
          <w:fldChar w:fldCharType="separate"/>
        </w:r>
        <w:r w:rsidR="001F6404">
          <w:rPr>
            <w:noProof/>
            <w:webHidden/>
          </w:rPr>
          <w:t>11</w:t>
        </w:r>
        <w:r w:rsidR="000659F4">
          <w:rPr>
            <w:noProof/>
            <w:webHidden/>
          </w:rPr>
          <w:fldChar w:fldCharType="end"/>
        </w:r>
      </w:hyperlink>
    </w:p>
    <w:p w14:paraId="35B150B3" w14:textId="00AE21D6" w:rsidR="000659F4" w:rsidRDefault="006061D2" w:rsidP="00C2550B">
      <w:pPr>
        <w:pStyle w:val="TOC2"/>
        <w:rPr>
          <w:rFonts w:asciiTheme="minorHAnsi" w:eastAsiaTheme="minorEastAsia" w:hAnsiTheme="minorHAnsi" w:cstheme="minorBidi"/>
          <w:noProof/>
          <w:kern w:val="2"/>
          <w:lang w:eastAsia="en-AU"/>
          <w14:ligatures w14:val="standardContextual"/>
        </w:rPr>
      </w:pPr>
      <w:hyperlink w:anchor="_Toc165140742" w:history="1">
        <w:r w:rsidR="000659F4" w:rsidRPr="004B71F5">
          <w:rPr>
            <w:rStyle w:val="Hyperlink"/>
            <w:noProof/>
          </w:rPr>
          <w:t>2.4.</w:t>
        </w:r>
        <w:r w:rsidR="000659F4">
          <w:rPr>
            <w:rFonts w:asciiTheme="minorHAnsi" w:eastAsiaTheme="minorEastAsia" w:hAnsiTheme="minorHAnsi" w:cstheme="minorBidi"/>
            <w:noProof/>
            <w:kern w:val="2"/>
            <w:lang w:eastAsia="en-AU"/>
            <w14:ligatures w14:val="standardContextual"/>
          </w:rPr>
          <w:tab/>
        </w:r>
        <w:r w:rsidR="000659F4" w:rsidRPr="004B71F5">
          <w:rPr>
            <w:rStyle w:val="Hyperlink"/>
            <w:noProof/>
          </w:rPr>
          <w:t>Efficiency</w:t>
        </w:r>
        <w:r w:rsidR="000659F4">
          <w:rPr>
            <w:noProof/>
            <w:webHidden/>
          </w:rPr>
          <w:tab/>
        </w:r>
        <w:r w:rsidR="000659F4">
          <w:rPr>
            <w:noProof/>
            <w:webHidden/>
          </w:rPr>
          <w:fldChar w:fldCharType="begin"/>
        </w:r>
        <w:r w:rsidR="000659F4">
          <w:rPr>
            <w:noProof/>
            <w:webHidden/>
          </w:rPr>
          <w:instrText xml:space="preserve"> PAGEREF _Toc165140742 \h </w:instrText>
        </w:r>
        <w:r w:rsidR="000659F4">
          <w:rPr>
            <w:noProof/>
            <w:webHidden/>
          </w:rPr>
        </w:r>
        <w:r w:rsidR="000659F4">
          <w:rPr>
            <w:noProof/>
            <w:webHidden/>
          </w:rPr>
          <w:fldChar w:fldCharType="separate"/>
        </w:r>
        <w:r w:rsidR="001F6404">
          <w:rPr>
            <w:noProof/>
            <w:webHidden/>
          </w:rPr>
          <w:t>17</w:t>
        </w:r>
        <w:r w:rsidR="000659F4">
          <w:rPr>
            <w:noProof/>
            <w:webHidden/>
          </w:rPr>
          <w:fldChar w:fldCharType="end"/>
        </w:r>
      </w:hyperlink>
    </w:p>
    <w:p w14:paraId="6E71B97E" w14:textId="5C53A4DE" w:rsidR="000659F4" w:rsidRDefault="006061D2" w:rsidP="00C2550B">
      <w:pPr>
        <w:pStyle w:val="TOC2"/>
        <w:rPr>
          <w:rFonts w:asciiTheme="minorHAnsi" w:eastAsiaTheme="minorEastAsia" w:hAnsiTheme="minorHAnsi" w:cstheme="minorBidi"/>
          <w:noProof/>
          <w:kern w:val="2"/>
          <w:lang w:eastAsia="en-AU"/>
          <w14:ligatures w14:val="standardContextual"/>
        </w:rPr>
      </w:pPr>
      <w:hyperlink w:anchor="_Toc165140743" w:history="1">
        <w:r w:rsidR="000659F4" w:rsidRPr="004B71F5">
          <w:rPr>
            <w:rStyle w:val="Hyperlink"/>
            <w:noProof/>
          </w:rPr>
          <w:t>2.5.</w:t>
        </w:r>
        <w:r w:rsidR="000659F4">
          <w:rPr>
            <w:rFonts w:asciiTheme="minorHAnsi" w:eastAsiaTheme="minorEastAsia" w:hAnsiTheme="minorHAnsi" w:cstheme="minorBidi"/>
            <w:noProof/>
            <w:kern w:val="2"/>
            <w:lang w:eastAsia="en-AU"/>
            <w14:ligatures w14:val="standardContextual"/>
          </w:rPr>
          <w:tab/>
        </w:r>
        <w:r w:rsidR="000659F4" w:rsidRPr="004B71F5">
          <w:rPr>
            <w:rStyle w:val="Hyperlink"/>
            <w:noProof/>
          </w:rPr>
          <w:t>Impact and Sustainability</w:t>
        </w:r>
        <w:r w:rsidR="000659F4">
          <w:rPr>
            <w:noProof/>
            <w:webHidden/>
          </w:rPr>
          <w:tab/>
        </w:r>
        <w:r w:rsidR="000659F4">
          <w:rPr>
            <w:noProof/>
            <w:webHidden/>
          </w:rPr>
          <w:fldChar w:fldCharType="begin"/>
        </w:r>
        <w:r w:rsidR="000659F4">
          <w:rPr>
            <w:noProof/>
            <w:webHidden/>
          </w:rPr>
          <w:instrText xml:space="preserve"> PAGEREF _Toc165140743 \h </w:instrText>
        </w:r>
        <w:r w:rsidR="000659F4">
          <w:rPr>
            <w:noProof/>
            <w:webHidden/>
          </w:rPr>
        </w:r>
        <w:r w:rsidR="000659F4">
          <w:rPr>
            <w:noProof/>
            <w:webHidden/>
          </w:rPr>
          <w:fldChar w:fldCharType="separate"/>
        </w:r>
        <w:r w:rsidR="001F6404">
          <w:rPr>
            <w:noProof/>
            <w:webHidden/>
          </w:rPr>
          <w:t>19</w:t>
        </w:r>
        <w:r w:rsidR="000659F4">
          <w:rPr>
            <w:noProof/>
            <w:webHidden/>
          </w:rPr>
          <w:fldChar w:fldCharType="end"/>
        </w:r>
      </w:hyperlink>
    </w:p>
    <w:p w14:paraId="1BE60824" w14:textId="5364F547" w:rsidR="000659F4" w:rsidRDefault="006061D2">
      <w:pPr>
        <w:pStyle w:val="TOC1"/>
        <w:tabs>
          <w:tab w:val="left" w:pos="480"/>
        </w:tabs>
        <w:rPr>
          <w:rStyle w:val="Hyperlink"/>
        </w:rPr>
      </w:pPr>
      <w:hyperlink w:anchor="_Toc165140744" w:history="1">
        <w:r w:rsidR="000659F4" w:rsidRPr="004B71F5">
          <w:rPr>
            <w:rStyle w:val="Hyperlink"/>
          </w:rPr>
          <w:t>3.</w:t>
        </w:r>
        <w:r w:rsidR="000659F4">
          <w:rPr>
            <w:rFonts w:asciiTheme="minorHAnsi" w:eastAsiaTheme="minorEastAsia" w:hAnsiTheme="minorHAnsi" w:cstheme="minorBidi"/>
            <w:b w:val="0"/>
            <w:bCs w:val="0"/>
            <w:kern w:val="2"/>
            <w:lang w:eastAsia="en-AU"/>
            <w14:ligatures w14:val="standardContextual"/>
          </w:rPr>
          <w:tab/>
        </w:r>
        <w:r w:rsidR="000659F4" w:rsidRPr="004B71F5">
          <w:rPr>
            <w:rStyle w:val="Hyperlink"/>
          </w:rPr>
          <w:t>RECOMMENDATIONS</w:t>
        </w:r>
        <w:r w:rsidR="000659F4">
          <w:rPr>
            <w:webHidden/>
          </w:rPr>
          <w:tab/>
        </w:r>
        <w:r w:rsidR="000659F4">
          <w:rPr>
            <w:webHidden/>
          </w:rPr>
          <w:fldChar w:fldCharType="begin"/>
        </w:r>
        <w:r w:rsidR="000659F4">
          <w:rPr>
            <w:webHidden/>
          </w:rPr>
          <w:instrText xml:space="preserve"> PAGEREF _Toc165140744 \h </w:instrText>
        </w:r>
        <w:r w:rsidR="000659F4">
          <w:rPr>
            <w:webHidden/>
          </w:rPr>
        </w:r>
        <w:r w:rsidR="000659F4">
          <w:rPr>
            <w:webHidden/>
          </w:rPr>
          <w:fldChar w:fldCharType="separate"/>
        </w:r>
        <w:r w:rsidR="001F6404">
          <w:rPr>
            <w:webHidden/>
          </w:rPr>
          <w:t>25</w:t>
        </w:r>
        <w:r w:rsidR="000659F4">
          <w:rPr>
            <w:webHidden/>
          </w:rPr>
          <w:fldChar w:fldCharType="end"/>
        </w:r>
      </w:hyperlink>
    </w:p>
    <w:p w14:paraId="76FFA8F7" w14:textId="77777777" w:rsidR="001F6404" w:rsidRDefault="001F6404" w:rsidP="005109BF">
      <w:pPr>
        <w:rPr>
          <w:b/>
          <w:bCs/>
          <w:noProof/>
        </w:rPr>
      </w:pPr>
    </w:p>
    <w:p w14:paraId="6ECCF3EC" w14:textId="271F4DFD" w:rsidR="005109BF" w:rsidRPr="001F6404" w:rsidRDefault="001F6404" w:rsidP="005109BF">
      <w:pPr>
        <w:rPr>
          <w:b/>
          <w:bCs/>
          <w:noProof/>
        </w:rPr>
      </w:pPr>
      <w:r w:rsidRPr="001F6404">
        <w:rPr>
          <w:b/>
          <w:bCs/>
          <w:noProof/>
        </w:rPr>
        <w:t>Annexes</w:t>
      </w:r>
    </w:p>
    <w:p w14:paraId="62D3202C" w14:textId="66F3EFBB" w:rsidR="000659F4" w:rsidRPr="005109BF" w:rsidRDefault="006061D2">
      <w:pPr>
        <w:pStyle w:val="TOC1"/>
        <w:rPr>
          <w:rFonts w:asciiTheme="minorHAnsi" w:eastAsiaTheme="minorEastAsia" w:hAnsiTheme="minorHAnsi" w:cstheme="minorBidi"/>
          <w:b w:val="0"/>
          <w:bCs w:val="0"/>
          <w:kern w:val="2"/>
          <w:lang w:eastAsia="en-AU"/>
          <w14:ligatures w14:val="standardContextual"/>
        </w:rPr>
      </w:pPr>
      <w:hyperlink w:anchor="_Toc165140745" w:history="1">
        <w:r w:rsidR="000659F4" w:rsidRPr="005109BF">
          <w:rPr>
            <w:rStyle w:val="Hyperlink"/>
            <w:rFonts w:cs="Times New Roman (Body CS)"/>
            <w:b w:val="0"/>
            <w:bCs w:val="0"/>
          </w:rPr>
          <w:t>Annex 1 – Evaluation Questions</w:t>
        </w:r>
        <w:r w:rsidR="000659F4" w:rsidRPr="005109BF">
          <w:rPr>
            <w:b w:val="0"/>
            <w:bCs w:val="0"/>
            <w:webHidden/>
          </w:rPr>
          <w:tab/>
        </w:r>
        <w:r w:rsidR="000659F4" w:rsidRPr="005109BF">
          <w:rPr>
            <w:b w:val="0"/>
            <w:bCs w:val="0"/>
            <w:webHidden/>
          </w:rPr>
          <w:fldChar w:fldCharType="begin"/>
        </w:r>
        <w:r w:rsidR="000659F4" w:rsidRPr="005109BF">
          <w:rPr>
            <w:b w:val="0"/>
            <w:bCs w:val="0"/>
            <w:webHidden/>
          </w:rPr>
          <w:instrText xml:space="preserve"> PAGEREF _Toc165140745 \h </w:instrText>
        </w:r>
        <w:r w:rsidR="000659F4" w:rsidRPr="005109BF">
          <w:rPr>
            <w:b w:val="0"/>
            <w:bCs w:val="0"/>
            <w:webHidden/>
          </w:rPr>
        </w:r>
        <w:r w:rsidR="000659F4" w:rsidRPr="005109BF">
          <w:rPr>
            <w:b w:val="0"/>
            <w:bCs w:val="0"/>
            <w:webHidden/>
          </w:rPr>
          <w:fldChar w:fldCharType="separate"/>
        </w:r>
        <w:r w:rsidR="001F6404">
          <w:rPr>
            <w:b w:val="0"/>
            <w:bCs w:val="0"/>
            <w:webHidden/>
          </w:rPr>
          <w:t>26</w:t>
        </w:r>
        <w:r w:rsidR="000659F4" w:rsidRPr="005109BF">
          <w:rPr>
            <w:b w:val="0"/>
            <w:bCs w:val="0"/>
            <w:webHidden/>
          </w:rPr>
          <w:fldChar w:fldCharType="end"/>
        </w:r>
      </w:hyperlink>
    </w:p>
    <w:p w14:paraId="588622AE" w14:textId="62FD6577" w:rsidR="000659F4" w:rsidRPr="005109BF" w:rsidRDefault="006061D2">
      <w:pPr>
        <w:pStyle w:val="TOC1"/>
        <w:rPr>
          <w:rFonts w:asciiTheme="minorHAnsi" w:eastAsiaTheme="minorEastAsia" w:hAnsiTheme="minorHAnsi" w:cstheme="minorBidi"/>
          <w:b w:val="0"/>
          <w:bCs w:val="0"/>
          <w:kern w:val="2"/>
          <w:lang w:eastAsia="en-AU"/>
          <w14:ligatures w14:val="standardContextual"/>
        </w:rPr>
      </w:pPr>
      <w:hyperlink w:anchor="_Toc165140746" w:history="1">
        <w:r w:rsidR="000659F4" w:rsidRPr="005109BF">
          <w:rPr>
            <w:rStyle w:val="Hyperlink"/>
            <w:rFonts w:cs="Times New Roman (Body CS)"/>
            <w:b w:val="0"/>
            <w:bCs w:val="0"/>
          </w:rPr>
          <w:t>Annex 2 – Stakeholder Consultations</w:t>
        </w:r>
        <w:r w:rsidR="000659F4" w:rsidRPr="005109BF">
          <w:rPr>
            <w:b w:val="0"/>
            <w:bCs w:val="0"/>
            <w:webHidden/>
          </w:rPr>
          <w:tab/>
        </w:r>
        <w:r w:rsidR="000659F4" w:rsidRPr="005109BF">
          <w:rPr>
            <w:b w:val="0"/>
            <w:bCs w:val="0"/>
            <w:webHidden/>
          </w:rPr>
          <w:fldChar w:fldCharType="begin"/>
        </w:r>
        <w:r w:rsidR="000659F4" w:rsidRPr="005109BF">
          <w:rPr>
            <w:b w:val="0"/>
            <w:bCs w:val="0"/>
            <w:webHidden/>
          </w:rPr>
          <w:instrText xml:space="preserve"> PAGEREF _Toc165140746 \h </w:instrText>
        </w:r>
        <w:r w:rsidR="000659F4" w:rsidRPr="005109BF">
          <w:rPr>
            <w:b w:val="0"/>
            <w:bCs w:val="0"/>
            <w:webHidden/>
          </w:rPr>
        </w:r>
        <w:r w:rsidR="000659F4" w:rsidRPr="005109BF">
          <w:rPr>
            <w:b w:val="0"/>
            <w:bCs w:val="0"/>
            <w:webHidden/>
          </w:rPr>
          <w:fldChar w:fldCharType="separate"/>
        </w:r>
        <w:r w:rsidR="001F6404">
          <w:rPr>
            <w:b w:val="0"/>
            <w:bCs w:val="0"/>
            <w:webHidden/>
          </w:rPr>
          <w:t>27</w:t>
        </w:r>
        <w:r w:rsidR="000659F4" w:rsidRPr="005109BF">
          <w:rPr>
            <w:b w:val="0"/>
            <w:bCs w:val="0"/>
            <w:webHidden/>
          </w:rPr>
          <w:fldChar w:fldCharType="end"/>
        </w:r>
      </w:hyperlink>
    </w:p>
    <w:p w14:paraId="2CED603A" w14:textId="12B385F7" w:rsidR="000659F4" w:rsidRPr="005109BF" w:rsidRDefault="006061D2">
      <w:pPr>
        <w:pStyle w:val="TOC1"/>
        <w:rPr>
          <w:rFonts w:asciiTheme="minorHAnsi" w:eastAsiaTheme="minorEastAsia" w:hAnsiTheme="minorHAnsi" w:cstheme="minorBidi"/>
          <w:b w:val="0"/>
          <w:bCs w:val="0"/>
          <w:kern w:val="2"/>
          <w:lang w:eastAsia="en-AU"/>
          <w14:ligatures w14:val="standardContextual"/>
        </w:rPr>
      </w:pPr>
      <w:hyperlink w:anchor="_Toc165140747" w:history="1">
        <w:r w:rsidR="000659F4" w:rsidRPr="005109BF">
          <w:rPr>
            <w:rStyle w:val="Hyperlink"/>
            <w:b w:val="0"/>
            <w:bCs w:val="0"/>
          </w:rPr>
          <w:t>Annex 3 – List of Documents</w:t>
        </w:r>
        <w:r w:rsidR="000659F4" w:rsidRPr="005109BF">
          <w:rPr>
            <w:b w:val="0"/>
            <w:bCs w:val="0"/>
            <w:webHidden/>
          </w:rPr>
          <w:tab/>
        </w:r>
        <w:r w:rsidR="000659F4" w:rsidRPr="005109BF">
          <w:rPr>
            <w:b w:val="0"/>
            <w:bCs w:val="0"/>
            <w:webHidden/>
          </w:rPr>
          <w:fldChar w:fldCharType="begin"/>
        </w:r>
        <w:r w:rsidR="000659F4" w:rsidRPr="005109BF">
          <w:rPr>
            <w:b w:val="0"/>
            <w:bCs w:val="0"/>
            <w:webHidden/>
          </w:rPr>
          <w:instrText xml:space="preserve"> PAGEREF _Toc165140747 \h </w:instrText>
        </w:r>
        <w:r w:rsidR="000659F4" w:rsidRPr="005109BF">
          <w:rPr>
            <w:b w:val="0"/>
            <w:bCs w:val="0"/>
            <w:webHidden/>
          </w:rPr>
        </w:r>
        <w:r w:rsidR="000659F4" w:rsidRPr="005109BF">
          <w:rPr>
            <w:b w:val="0"/>
            <w:bCs w:val="0"/>
            <w:webHidden/>
          </w:rPr>
          <w:fldChar w:fldCharType="separate"/>
        </w:r>
        <w:r w:rsidR="001F6404">
          <w:rPr>
            <w:b w:val="0"/>
            <w:bCs w:val="0"/>
            <w:webHidden/>
          </w:rPr>
          <w:t>29</w:t>
        </w:r>
        <w:r w:rsidR="000659F4" w:rsidRPr="005109BF">
          <w:rPr>
            <w:b w:val="0"/>
            <w:bCs w:val="0"/>
            <w:webHidden/>
          </w:rPr>
          <w:fldChar w:fldCharType="end"/>
        </w:r>
      </w:hyperlink>
    </w:p>
    <w:p w14:paraId="299163F1" w14:textId="276929D1" w:rsidR="000659F4" w:rsidRPr="005109BF" w:rsidRDefault="006061D2">
      <w:pPr>
        <w:pStyle w:val="TOC1"/>
        <w:rPr>
          <w:rFonts w:asciiTheme="minorHAnsi" w:eastAsiaTheme="minorEastAsia" w:hAnsiTheme="minorHAnsi" w:cstheme="minorBidi"/>
          <w:b w:val="0"/>
          <w:bCs w:val="0"/>
          <w:kern w:val="2"/>
          <w:lang w:eastAsia="en-AU"/>
          <w14:ligatures w14:val="standardContextual"/>
        </w:rPr>
      </w:pPr>
      <w:hyperlink w:anchor="_Toc165140748" w:history="1">
        <w:r w:rsidR="000659F4" w:rsidRPr="005109BF">
          <w:rPr>
            <w:rStyle w:val="Hyperlink"/>
            <w:b w:val="0"/>
            <w:bCs w:val="0"/>
          </w:rPr>
          <w:t>Annex 4 – Non-Australian Bilateral and Multilateral infrastructure support to Solomon Islands</w:t>
        </w:r>
        <w:r w:rsidR="000659F4" w:rsidRPr="005109BF">
          <w:rPr>
            <w:b w:val="0"/>
            <w:bCs w:val="0"/>
            <w:webHidden/>
          </w:rPr>
          <w:tab/>
        </w:r>
        <w:r w:rsidR="000659F4" w:rsidRPr="005109BF">
          <w:rPr>
            <w:b w:val="0"/>
            <w:bCs w:val="0"/>
            <w:webHidden/>
          </w:rPr>
          <w:fldChar w:fldCharType="begin"/>
        </w:r>
        <w:r w:rsidR="000659F4" w:rsidRPr="005109BF">
          <w:rPr>
            <w:b w:val="0"/>
            <w:bCs w:val="0"/>
            <w:webHidden/>
          </w:rPr>
          <w:instrText xml:space="preserve"> PAGEREF _Toc165140748 \h </w:instrText>
        </w:r>
        <w:r w:rsidR="000659F4" w:rsidRPr="005109BF">
          <w:rPr>
            <w:b w:val="0"/>
            <w:bCs w:val="0"/>
            <w:webHidden/>
          </w:rPr>
        </w:r>
        <w:r w:rsidR="000659F4" w:rsidRPr="005109BF">
          <w:rPr>
            <w:b w:val="0"/>
            <w:bCs w:val="0"/>
            <w:webHidden/>
          </w:rPr>
          <w:fldChar w:fldCharType="separate"/>
        </w:r>
        <w:r w:rsidR="001F6404">
          <w:rPr>
            <w:b w:val="0"/>
            <w:bCs w:val="0"/>
            <w:webHidden/>
          </w:rPr>
          <w:t>30</w:t>
        </w:r>
        <w:r w:rsidR="000659F4" w:rsidRPr="005109BF">
          <w:rPr>
            <w:b w:val="0"/>
            <w:bCs w:val="0"/>
            <w:webHidden/>
          </w:rPr>
          <w:fldChar w:fldCharType="end"/>
        </w:r>
      </w:hyperlink>
    </w:p>
    <w:p w14:paraId="7797CEB3" w14:textId="77777777" w:rsidR="000659F4" w:rsidRDefault="005C3028" w:rsidP="000117E1">
      <w:r w:rsidRPr="00B66B6B">
        <w:fldChar w:fldCharType="end"/>
      </w:r>
      <w:bookmarkStart w:id="9" w:name="_Toc520113646"/>
      <w:bookmarkStart w:id="10" w:name="_Toc520113936"/>
    </w:p>
    <w:p w14:paraId="1E1B7660" w14:textId="50745CAC" w:rsidR="005109BF" w:rsidRPr="005109BF" w:rsidRDefault="005109BF" w:rsidP="000117E1">
      <w:pPr>
        <w:rPr>
          <w:b/>
          <w:bCs/>
        </w:rPr>
      </w:pPr>
      <w:r w:rsidRPr="005109BF">
        <w:rPr>
          <w:b/>
          <w:bCs/>
        </w:rPr>
        <w:t>Table of Figures</w:t>
      </w:r>
    </w:p>
    <w:p w14:paraId="3F022B1A" w14:textId="0B271CC2" w:rsidR="007E7CA8" w:rsidRDefault="005109BF">
      <w:pPr>
        <w:pStyle w:val="TableofFigures"/>
        <w:tabs>
          <w:tab w:val="right" w:leader="dot" w:pos="9010"/>
        </w:tabs>
        <w:rPr>
          <w:rFonts w:asciiTheme="minorHAnsi" w:eastAsiaTheme="minorEastAsia" w:hAnsiTheme="minorHAnsi" w:cstheme="minorBidi"/>
          <w:noProof/>
          <w:kern w:val="2"/>
          <w:lang w:eastAsia="en-AU"/>
          <w14:ligatures w14:val="standardContextual"/>
        </w:rPr>
      </w:pPr>
      <w:r>
        <w:fldChar w:fldCharType="begin"/>
      </w:r>
      <w:r>
        <w:instrText xml:space="preserve"> TOC \h \z \c "Figure" </w:instrText>
      </w:r>
      <w:r>
        <w:fldChar w:fldCharType="separate"/>
      </w:r>
      <w:hyperlink w:anchor="_Toc166101368" w:history="1">
        <w:r w:rsidR="007E7CA8" w:rsidRPr="00CF340C">
          <w:rPr>
            <w:rStyle w:val="Hyperlink"/>
            <w:noProof/>
          </w:rPr>
          <w:t>Figure 1: Australian Infrastructure support to Solomon Islands</w:t>
        </w:r>
        <w:r w:rsidR="007E7CA8">
          <w:rPr>
            <w:noProof/>
            <w:webHidden/>
          </w:rPr>
          <w:tab/>
        </w:r>
        <w:r w:rsidR="007E7CA8">
          <w:rPr>
            <w:noProof/>
            <w:webHidden/>
          </w:rPr>
          <w:fldChar w:fldCharType="begin"/>
        </w:r>
        <w:r w:rsidR="007E7CA8">
          <w:rPr>
            <w:noProof/>
            <w:webHidden/>
          </w:rPr>
          <w:instrText xml:space="preserve"> PAGEREF _Toc166101368 \h </w:instrText>
        </w:r>
        <w:r w:rsidR="007E7CA8">
          <w:rPr>
            <w:noProof/>
            <w:webHidden/>
          </w:rPr>
        </w:r>
        <w:r w:rsidR="007E7CA8">
          <w:rPr>
            <w:noProof/>
            <w:webHidden/>
          </w:rPr>
          <w:fldChar w:fldCharType="separate"/>
        </w:r>
        <w:r w:rsidR="001F6404">
          <w:rPr>
            <w:noProof/>
            <w:webHidden/>
          </w:rPr>
          <w:t>9</w:t>
        </w:r>
        <w:r w:rsidR="007E7CA8">
          <w:rPr>
            <w:noProof/>
            <w:webHidden/>
          </w:rPr>
          <w:fldChar w:fldCharType="end"/>
        </w:r>
      </w:hyperlink>
    </w:p>
    <w:p w14:paraId="513C59DD" w14:textId="1D566782" w:rsidR="007E7CA8" w:rsidRDefault="006061D2">
      <w:pPr>
        <w:pStyle w:val="TableofFigures"/>
        <w:tabs>
          <w:tab w:val="right" w:leader="dot" w:pos="9010"/>
        </w:tabs>
        <w:rPr>
          <w:rFonts w:asciiTheme="minorHAnsi" w:eastAsiaTheme="minorEastAsia" w:hAnsiTheme="minorHAnsi" w:cstheme="minorBidi"/>
          <w:noProof/>
          <w:kern w:val="2"/>
          <w:lang w:eastAsia="en-AU"/>
          <w14:ligatures w14:val="standardContextual"/>
        </w:rPr>
      </w:pPr>
      <w:hyperlink w:anchor="_Toc166101369" w:history="1">
        <w:r w:rsidR="007E7CA8" w:rsidRPr="00CF340C">
          <w:rPr>
            <w:rStyle w:val="Hyperlink"/>
            <w:noProof/>
          </w:rPr>
          <w:t>Figure 2: Non-Australian bilateral and multilateral support to infrastructure in Solomon Islands</w:t>
        </w:r>
        <w:r w:rsidR="007E7CA8">
          <w:rPr>
            <w:noProof/>
            <w:webHidden/>
          </w:rPr>
          <w:tab/>
        </w:r>
        <w:r w:rsidR="007E7CA8">
          <w:rPr>
            <w:noProof/>
            <w:webHidden/>
          </w:rPr>
          <w:fldChar w:fldCharType="begin"/>
        </w:r>
        <w:r w:rsidR="007E7CA8">
          <w:rPr>
            <w:noProof/>
            <w:webHidden/>
          </w:rPr>
          <w:instrText xml:space="preserve"> PAGEREF _Toc166101369 \h </w:instrText>
        </w:r>
        <w:r w:rsidR="007E7CA8">
          <w:rPr>
            <w:noProof/>
            <w:webHidden/>
          </w:rPr>
        </w:r>
        <w:r w:rsidR="007E7CA8">
          <w:rPr>
            <w:noProof/>
            <w:webHidden/>
          </w:rPr>
          <w:fldChar w:fldCharType="separate"/>
        </w:r>
        <w:r w:rsidR="001F6404">
          <w:rPr>
            <w:noProof/>
            <w:webHidden/>
          </w:rPr>
          <w:t>10</w:t>
        </w:r>
        <w:r w:rsidR="007E7CA8">
          <w:rPr>
            <w:noProof/>
            <w:webHidden/>
          </w:rPr>
          <w:fldChar w:fldCharType="end"/>
        </w:r>
      </w:hyperlink>
    </w:p>
    <w:p w14:paraId="13504FD3" w14:textId="1B6BBD56" w:rsidR="007E7CA8" w:rsidRDefault="006061D2">
      <w:pPr>
        <w:pStyle w:val="TableofFigures"/>
        <w:tabs>
          <w:tab w:val="right" w:leader="dot" w:pos="9010"/>
        </w:tabs>
        <w:rPr>
          <w:rFonts w:asciiTheme="minorHAnsi" w:eastAsiaTheme="minorEastAsia" w:hAnsiTheme="minorHAnsi" w:cstheme="minorBidi"/>
          <w:noProof/>
          <w:kern w:val="2"/>
          <w:lang w:eastAsia="en-AU"/>
          <w14:ligatures w14:val="standardContextual"/>
        </w:rPr>
      </w:pPr>
      <w:hyperlink w:anchor="_Toc166101370" w:history="1">
        <w:r w:rsidR="007E7CA8" w:rsidRPr="00CF340C">
          <w:rPr>
            <w:rStyle w:val="Hyperlink"/>
            <w:noProof/>
          </w:rPr>
          <w:t>Figure 3: Progress against Intermediate Outcomes</w:t>
        </w:r>
        <w:r w:rsidR="007E7CA8">
          <w:rPr>
            <w:noProof/>
            <w:webHidden/>
          </w:rPr>
          <w:tab/>
        </w:r>
        <w:r w:rsidR="007E7CA8">
          <w:rPr>
            <w:noProof/>
            <w:webHidden/>
          </w:rPr>
          <w:fldChar w:fldCharType="begin"/>
        </w:r>
        <w:r w:rsidR="007E7CA8">
          <w:rPr>
            <w:noProof/>
            <w:webHidden/>
          </w:rPr>
          <w:instrText xml:space="preserve"> PAGEREF _Toc166101370 \h </w:instrText>
        </w:r>
        <w:r w:rsidR="007E7CA8">
          <w:rPr>
            <w:noProof/>
            <w:webHidden/>
          </w:rPr>
        </w:r>
        <w:r w:rsidR="007E7CA8">
          <w:rPr>
            <w:noProof/>
            <w:webHidden/>
          </w:rPr>
          <w:fldChar w:fldCharType="separate"/>
        </w:r>
        <w:r w:rsidR="001F6404">
          <w:rPr>
            <w:noProof/>
            <w:webHidden/>
          </w:rPr>
          <w:t>13</w:t>
        </w:r>
        <w:r w:rsidR="007E7CA8">
          <w:rPr>
            <w:noProof/>
            <w:webHidden/>
          </w:rPr>
          <w:fldChar w:fldCharType="end"/>
        </w:r>
      </w:hyperlink>
    </w:p>
    <w:p w14:paraId="0B1311A5" w14:textId="1B9A62B6" w:rsidR="007E7CA8" w:rsidRDefault="006061D2">
      <w:pPr>
        <w:pStyle w:val="TableofFigures"/>
        <w:tabs>
          <w:tab w:val="right" w:leader="dot" w:pos="9010"/>
        </w:tabs>
        <w:rPr>
          <w:rFonts w:asciiTheme="minorHAnsi" w:eastAsiaTheme="minorEastAsia" w:hAnsiTheme="minorHAnsi" w:cstheme="minorBidi"/>
          <w:noProof/>
          <w:kern w:val="2"/>
          <w:lang w:eastAsia="en-AU"/>
          <w14:ligatures w14:val="standardContextual"/>
        </w:rPr>
      </w:pPr>
      <w:hyperlink w:anchor="_Toc166101371" w:history="1">
        <w:r w:rsidR="007E7CA8" w:rsidRPr="00CF340C">
          <w:rPr>
            <w:rStyle w:val="Hyperlink"/>
            <w:noProof/>
          </w:rPr>
          <w:t>Figure 4: Process challenges affecting EOPO2</w:t>
        </w:r>
        <w:r w:rsidR="007E7CA8">
          <w:rPr>
            <w:noProof/>
            <w:webHidden/>
          </w:rPr>
          <w:tab/>
        </w:r>
        <w:r w:rsidR="007E7CA8">
          <w:rPr>
            <w:noProof/>
            <w:webHidden/>
          </w:rPr>
          <w:fldChar w:fldCharType="begin"/>
        </w:r>
        <w:r w:rsidR="007E7CA8">
          <w:rPr>
            <w:noProof/>
            <w:webHidden/>
          </w:rPr>
          <w:instrText xml:space="preserve"> PAGEREF _Toc166101371 \h </w:instrText>
        </w:r>
        <w:r w:rsidR="007E7CA8">
          <w:rPr>
            <w:noProof/>
            <w:webHidden/>
          </w:rPr>
        </w:r>
        <w:r w:rsidR="007E7CA8">
          <w:rPr>
            <w:noProof/>
            <w:webHidden/>
          </w:rPr>
          <w:fldChar w:fldCharType="separate"/>
        </w:r>
        <w:r w:rsidR="001F6404">
          <w:rPr>
            <w:noProof/>
            <w:webHidden/>
          </w:rPr>
          <w:t>16</w:t>
        </w:r>
        <w:r w:rsidR="007E7CA8">
          <w:rPr>
            <w:noProof/>
            <w:webHidden/>
          </w:rPr>
          <w:fldChar w:fldCharType="end"/>
        </w:r>
      </w:hyperlink>
    </w:p>
    <w:p w14:paraId="75989F0F" w14:textId="78588E44" w:rsidR="007E7CA8" w:rsidRDefault="006061D2">
      <w:pPr>
        <w:pStyle w:val="TableofFigures"/>
        <w:tabs>
          <w:tab w:val="right" w:leader="dot" w:pos="9010"/>
        </w:tabs>
        <w:rPr>
          <w:rFonts w:asciiTheme="minorHAnsi" w:eastAsiaTheme="minorEastAsia" w:hAnsiTheme="minorHAnsi" w:cstheme="minorBidi"/>
          <w:noProof/>
          <w:kern w:val="2"/>
          <w:lang w:eastAsia="en-AU"/>
          <w14:ligatures w14:val="standardContextual"/>
        </w:rPr>
      </w:pPr>
      <w:hyperlink w:anchor="_Toc166101372" w:history="1">
        <w:r w:rsidR="007E7CA8" w:rsidRPr="00CF340C">
          <w:rPr>
            <w:rStyle w:val="Hyperlink"/>
            <w:noProof/>
          </w:rPr>
          <w:t>Figure 5: Summary of Impact and Sustainability EQs</w:t>
        </w:r>
        <w:r w:rsidR="007E7CA8">
          <w:rPr>
            <w:noProof/>
            <w:webHidden/>
          </w:rPr>
          <w:tab/>
        </w:r>
        <w:r w:rsidR="007E7CA8">
          <w:rPr>
            <w:noProof/>
            <w:webHidden/>
          </w:rPr>
          <w:fldChar w:fldCharType="begin"/>
        </w:r>
        <w:r w:rsidR="007E7CA8">
          <w:rPr>
            <w:noProof/>
            <w:webHidden/>
          </w:rPr>
          <w:instrText xml:space="preserve"> PAGEREF _Toc166101372 \h </w:instrText>
        </w:r>
        <w:r w:rsidR="007E7CA8">
          <w:rPr>
            <w:noProof/>
            <w:webHidden/>
          </w:rPr>
        </w:r>
        <w:r w:rsidR="007E7CA8">
          <w:rPr>
            <w:noProof/>
            <w:webHidden/>
          </w:rPr>
          <w:fldChar w:fldCharType="separate"/>
        </w:r>
        <w:r w:rsidR="001F6404">
          <w:rPr>
            <w:noProof/>
            <w:webHidden/>
          </w:rPr>
          <w:t>19</w:t>
        </w:r>
        <w:r w:rsidR="007E7CA8">
          <w:rPr>
            <w:noProof/>
            <w:webHidden/>
          </w:rPr>
          <w:fldChar w:fldCharType="end"/>
        </w:r>
      </w:hyperlink>
    </w:p>
    <w:p w14:paraId="7B1B0485" w14:textId="5FAD5208" w:rsidR="007E7CA8" w:rsidRDefault="006061D2">
      <w:pPr>
        <w:pStyle w:val="TableofFigures"/>
        <w:tabs>
          <w:tab w:val="right" w:leader="dot" w:pos="9010"/>
        </w:tabs>
        <w:rPr>
          <w:rFonts w:asciiTheme="minorHAnsi" w:eastAsiaTheme="minorEastAsia" w:hAnsiTheme="minorHAnsi" w:cstheme="minorBidi"/>
          <w:noProof/>
          <w:kern w:val="2"/>
          <w:lang w:eastAsia="en-AU"/>
          <w14:ligatures w14:val="standardContextual"/>
        </w:rPr>
      </w:pPr>
      <w:hyperlink w:anchor="_Toc166101373" w:history="1">
        <w:r w:rsidR="007E7CA8" w:rsidRPr="00CF340C">
          <w:rPr>
            <w:rStyle w:val="Hyperlink"/>
            <w:noProof/>
          </w:rPr>
          <w:t>Figure 6: Policy Objectives of SIIP</w:t>
        </w:r>
        <w:r w:rsidR="007E7CA8">
          <w:rPr>
            <w:noProof/>
            <w:webHidden/>
          </w:rPr>
          <w:tab/>
        </w:r>
        <w:r w:rsidR="007E7CA8">
          <w:rPr>
            <w:noProof/>
            <w:webHidden/>
          </w:rPr>
          <w:fldChar w:fldCharType="begin"/>
        </w:r>
        <w:r w:rsidR="007E7CA8">
          <w:rPr>
            <w:noProof/>
            <w:webHidden/>
          </w:rPr>
          <w:instrText xml:space="preserve"> PAGEREF _Toc166101373 \h </w:instrText>
        </w:r>
        <w:r w:rsidR="007E7CA8">
          <w:rPr>
            <w:noProof/>
            <w:webHidden/>
          </w:rPr>
        </w:r>
        <w:r w:rsidR="007E7CA8">
          <w:rPr>
            <w:noProof/>
            <w:webHidden/>
          </w:rPr>
          <w:fldChar w:fldCharType="separate"/>
        </w:r>
        <w:r w:rsidR="001F6404">
          <w:rPr>
            <w:noProof/>
            <w:webHidden/>
          </w:rPr>
          <w:t>20</w:t>
        </w:r>
        <w:r w:rsidR="007E7CA8">
          <w:rPr>
            <w:noProof/>
            <w:webHidden/>
          </w:rPr>
          <w:fldChar w:fldCharType="end"/>
        </w:r>
      </w:hyperlink>
    </w:p>
    <w:p w14:paraId="56896F1B" w14:textId="08FADFA8" w:rsidR="007E7CA8" w:rsidRDefault="006061D2">
      <w:pPr>
        <w:pStyle w:val="TableofFigures"/>
        <w:tabs>
          <w:tab w:val="right" w:leader="dot" w:pos="9010"/>
        </w:tabs>
        <w:rPr>
          <w:rFonts w:asciiTheme="minorHAnsi" w:eastAsiaTheme="minorEastAsia" w:hAnsiTheme="minorHAnsi" w:cstheme="minorBidi"/>
          <w:noProof/>
          <w:kern w:val="2"/>
          <w:lang w:eastAsia="en-AU"/>
          <w14:ligatures w14:val="standardContextual"/>
        </w:rPr>
      </w:pPr>
      <w:hyperlink w:anchor="_Toc166101374" w:history="1">
        <w:r w:rsidR="007E7CA8" w:rsidRPr="00CF340C">
          <w:rPr>
            <w:rStyle w:val="Hyperlink"/>
            <w:noProof/>
          </w:rPr>
          <w:t>Figure 7: SIIP Activities currently on hold</w:t>
        </w:r>
        <w:r w:rsidR="007E7CA8">
          <w:rPr>
            <w:noProof/>
            <w:webHidden/>
          </w:rPr>
          <w:tab/>
        </w:r>
        <w:r w:rsidR="007E7CA8">
          <w:rPr>
            <w:noProof/>
            <w:webHidden/>
          </w:rPr>
          <w:fldChar w:fldCharType="begin"/>
        </w:r>
        <w:r w:rsidR="007E7CA8">
          <w:rPr>
            <w:noProof/>
            <w:webHidden/>
          </w:rPr>
          <w:instrText xml:space="preserve"> PAGEREF _Toc166101374 \h </w:instrText>
        </w:r>
        <w:r w:rsidR="007E7CA8">
          <w:rPr>
            <w:noProof/>
            <w:webHidden/>
          </w:rPr>
        </w:r>
        <w:r w:rsidR="007E7CA8">
          <w:rPr>
            <w:noProof/>
            <w:webHidden/>
          </w:rPr>
          <w:fldChar w:fldCharType="separate"/>
        </w:r>
        <w:r w:rsidR="001F6404">
          <w:rPr>
            <w:noProof/>
            <w:webHidden/>
          </w:rPr>
          <w:t>21</w:t>
        </w:r>
        <w:r w:rsidR="007E7CA8">
          <w:rPr>
            <w:noProof/>
            <w:webHidden/>
          </w:rPr>
          <w:fldChar w:fldCharType="end"/>
        </w:r>
      </w:hyperlink>
    </w:p>
    <w:p w14:paraId="71784455" w14:textId="13FFD23B" w:rsidR="007E7CA8" w:rsidRDefault="006061D2">
      <w:pPr>
        <w:pStyle w:val="TableofFigures"/>
        <w:tabs>
          <w:tab w:val="right" w:leader="dot" w:pos="9010"/>
        </w:tabs>
        <w:rPr>
          <w:rFonts w:asciiTheme="minorHAnsi" w:eastAsiaTheme="minorEastAsia" w:hAnsiTheme="minorHAnsi" w:cstheme="minorBidi"/>
          <w:noProof/>
          <w:kern w:val="2"/>
          <w:lang w:eastAsia="en-AU"/>
          <w14:ligatures w14:val="standardContextual"/>
        </w:rPr>
      </w:pPr>
      <w:hyperlink w:anchor="_Toc166101375" w:history="1">
        <w:r w:rsidR="007E7CA8" w:rsidRPr="00CF340C">
          <w:rPr>
            <w:rStyle w:val="Hyperlink"/>
            <w:noProof/>
          </w:rPr>
          <w:t>Figure 8: Spread of SIIP projects as at Nov 2023</w:t>
        </w:r>
        <w:r w:rsidR="007E7CA8">
          <w:rPr>
            <w:noProof/>
            <w:webHidden/>
          </w:rPr>
          <w:tab/>
        </w:r>
        <w:r w:rsidR="007E7CA8">
          <w:rPr>
            <w:noProof/>
            <w:webHidden/>
          </w:rPr>
          <w:fldChar w:fldCharType="begin"/>
        </w:r>
        <w:r w:rsidR="007E7CA8">
          <w:rPr>
            <w:noProof/>
            <w:webHidden/>
          </w:rPr>
          <w:instrText xml:space="preserve"> PAGEREF _Toc166101375 \h </w:instrText>
        </w:r>
        <w:r w:rsidR="007E7CA8">
          <w:rPr>
            <w:noProof/>
            <w:webHidden/>
          </w:rPr>
        </w:r>
        <w:r w:rsidR="007E7CA8">
          <w:rPr>
            <w:noProof/>
            <w:webHidden/>
          </w:rPr>
          <w:fldChar w:fldCharType="separate"/>
        </w:r>
        <w:r w:rsidR="001F6404">
          <w:rPr>
            <w:noProof/>
            <w:webHidden/>
          </w:rPr>
          <w:t>22</w:t>
        </w:r>
        <w:r w:rsidR="007E7CA8">
          <w:rPr>
            <w:noProof/>
            <w:webHidden/>
          </w:rPr>
          <w:fldChar w:fldCharType="end"/>
        </w:r>
      </w:hyperlink>
    </w:p>
    <w:p w14:paraId="2DE275CE" w14:textId="2EA03513" w:rsidR="007E7CA8" w:rsidRDefault="006061D2">
      <w:pPr>
        <w:pStyle w:val="TableofFigures"/>
        <w:tabs>
          <w:tab w:val="right" w:leader="dot" w:pos="9010"/>
        </w:tabs>
        <w:rPr>
          <w:rFonts w:asciiTheme="minorHAnsi" w:eastAsiaTheme="minorEastAsia" w:hAnsiTheme="minorHAnsi" w:cstheme="minorBidi"/>
          <w:noProof/>
          <w:kern w:val="2"/>
          <w:lang w:eastAsia="en-AU"/>
          <w14:ligatures w14:val="standardContextual"/>
        </w:rPr>
      </w:pPr>
      <w:hyperlink w:anchor="_Toc166101376" w:history="1">
        <w:r w:rsidR="007E7CA8" w:rsidRPr="00CF340C">
          <w:rPr>
            <w:rStyle w:val="Hyperlink"/>
            <w:noProof/>
          </w:rPr>
          <w:t>Figure 9: Strategic options to refocus SIIP in the medium term</w:t>
        </w:r>
        <w:r w:rsidR="007E7CA8">
          <w:rPr>
            <w:noProof/>
            <w:webHidden/>
          </w:rPr>
          <w:tab/>
        </w:r>
        <w:r w:rsidR="007E7CA8">
          <w:rPr>
            <w:noProof/>
            <w:webHidden/>
          </w:rPr>
          <w:fldChar w:fldCharType="begin"/>
        </w:r>
        <w:r w:rsidR="007E7CA8">
          <w:rPr>
            <w:noProof/>
            <w:webHidden/>
          </w:rPr>
          <w:instrText xml:space="preserve"> PAGEREF _Toc166101376 \h </w:instrText>
        </w:r>
        <w:r w:rsidR="007E7CA8">
          <w:rPr>
            <w:noProof/>
            <w:webHidden/>
          </w:rPr>
        </w:r>
        <w:r w:rsidR="007E7CA8">
          <w:rPr>
            <w:noProof/>
            <w:webHidden/>
          </w:rPr>
          <w:fldChar w:fldCharType="separate"/>
        </w:r>
        <w:r w:rsidR="001F6404">
          <w:rPr>
            <w:noProof/>
            <w:webHidden/>
          </w:rPr>
          <w:t>23</w:t>
        </w:r>
        <w:r w:rsidR="007E7CA8">
          <w:rPr>
            <w:noProof/>
            <w:webHidden/>
          </w:rPr>
          <w:fldChar w:fldCharType="end"/>
        </w:r>
      </w:hyperlink>
    </w:p>
    <w:p w14:paraId="12224A63" w14:textId="63CE1C4D" w:rsidR="00480747" w:rsidRPr="00B66B6B" w:rsidRDefault="005109BF" w:rsidP="000117E1">
      <w:r>
        <w:fldChar w:fldCharType="end"/>
      </w:r>
      <w:r w:rsidR="00480747" w:rsidRPr="00B66B6B">
        <w:br w:type="page"/>
      </w:r>
    </w:p>
    <w:p w14:paraId="1630C5B2" w14:textId="77777777" w:rsidR="00DF0AAE" w:rsidRPr="00B66B6B" w:rsidRDefault="00DF0AAE" w:rsidP="00370438">
      <w:pPr>
        <w:sectPr w:rsidR="00DF0AAE" w:rsidRPr="00B66B6B" w:rsidSect="002F081F">
          <w:footerReference w:type="default" r:id="rId18"/>
          <w:pgSz w:w="11900" w:h="16840"/>
          <w:pgMar w:top="1418" w:right="1440" w:bottom="1440" w:left="1440" w:header="709" w:footer="709" w:gutter="0"/>
          <w:pgNumType w:fmt="lowerRoman" w:start="1"/>
          <w:cols w:space="708"/>
          <w:docGrid w:linePitch="360"/>
        </w:sectPr>
      </w:pPr>
    </w:p>
    <w:p w14:paraId="3F114772" w14:textId="297B8A41" w:rsidR="000117E1" w:rsidRPr="00B66B6B" w:rsidRDefault="004D6417" w:rsidP="00864DDD">
      <w:pPr>
        <w:pStyle w:val="Heading1"/>
        <w:numPr>
          <w:ilvl w:val="0"/>
          <w:numId w:val="5"/>
        </w:numPr>
      </w:pPr>
      <w:bookmarkStart w:id="11" w:name="_Toc156506657"/>
      <w:bookmarkStart w:id="12" w:name="_Toc165140733"/>
      <w:r w:rsidRPr="00B66B6B">
        <w:lastRenderedPageBreak/>
        <w:t>INTRODUCTION</w:t>
      </w:r>
      <w:bookmarkEnd w:id="11"/>
      <w:bookmarkEnd w:id="12"/>
      <w:r w:rsidR="009D52E9" w:rsidRPr="00B66B6B">
        <w:t xml:space="preserve"> </w:t>
      </w:r>
    </w:p>
    <w:p w14:paraId="2FFC5D3F" w14:textId="327C9106" w:rsidR="00AE7EC5" w:rsidRPr="00B66B6B" w:rsidRDefault="00AE7EC5" w:rsidP="00AE7EC5">
      <w:bookmarkStart w:id="13" w:name="_Toc520104028"/>
      <w:bookmarkStart w:id="14" w:name="_Toc520113647"/>
      <w:bookmarkStart w:id="15" w:name="_Toc520113937"/>
      <w:bookmarkEnd w:id="9"/>
      <w:bookmarkEnd w:id="10"/>
      <w:r w:rsidRPr="004B0111">
        <w:rPr>
          <w:rStyle w:val="HeadlinefindingChar"/>
        </w:rPr>
        <w:t xml:space="preserve">The Solomon Islands Infrastructure Program (SIIP) is Australia’s 10 year, </w:t>
      </w:r>
      <w:r w:rsidR="00A044DB">
        <w:rPr>
          <w:rStyle w:val="HeadlinefindingChar"/>
        </w:rPr>
        <w:t>A</w:t>
      </w:r>
      <w:r w:rsidR="00F9271D">
        <w:rPr>
          <w:rStyle w:val="HeadlinefindingChar"/>
        </w:rPr>
        <w:t>UD</w:t>
      </w:r>
      <w:r w:rsidR="001C6666">
        <w:rPr>
          <w:rStyle w:val="HeadlinefindingChar"/>
        </w:rPr>
        <w:t xml:space="preserve"> </w:t>
      </w:r>
      <w:r w:rsidRPr="004B0111">
        <w:rPr>
          <w:rStyle w:val="HeadlinefindingChar"/>
        </w:rPr>
        <w:t>250million</w:t>
      </w:r>
      <w:r w:rsidR="002A7513" w:rsidRPr="004B0111">
        <w:rPr>
          <w:rStyle w:val="HeadlinefindingChar"/>
        </w:rPr>
        <w:t>+</w:t>
      </w:r>
      <w:r w:rsidRPr="004B0111">
        <w:rPr>
          <w:rStyle w:val="HeadlinefindingChar"/>
        </w:rPr>
        <w:t xml:space="preserve"> bilateral investment into Solomon Islands</w:t>
      </w:r>
      <w:r w:rsidRPr="00B66B6B">
        <w:t>, which aims to improve the quality and accessibility of infrastructure to contribute to broad-based, inclusive, and sustainable economic growth in Solomon Islands. SIIP was designed to focus on infrastructure that enables service delivery and connectivity across the country’s 300+ inhabited islands (transport, water, energy</w:t>
      </w:r>
      <w:r w:rsidR="007E7CA8">
        <w:t>,</w:t>
      </w:r>
      <w:r w:rsidRPr="00B66B6B">
        <w:t xml:space="preserve"> and telecommunications). </w:t>
      </w:r>
    </w:p>
    <w:p w14:paraId="7F92033D" w14:textId="411151BE" w:rsidR="00AE7EC5" w:rsidRPr="00B66B6B" w:rsidRDefault="00AE7EC5" w:rsidP="004B0111">
      <w:pPr>
        <w:pStyle w:val="Headlinefinding"/>
      </w:pPr>
      <w:r w:rsidRPr="00B66B6B">
        <w:t>SIIP has the following End of Program Outcomes (EOPOs):</w:t>
      </w:r>
    </w:p>
    <w:p w14:paraId="1F9334B2" w14:textId="77777777" w:rsidR="00AE7EC5" w:rsidRPr="00B66B6B" w:rsidRDefault="00AE7EC5" w:rsidP="00864DDD">
      <w:pPr>
        <w:numPr>
          <w:ilvl w:val="0"/>
          <w:numId w:val="2"/>
        </w:numPr>
        <w:contextualSpacing/>
      </w:pPr>
      <w:r w:rsidRPr="00B66B6B">
        <w:t>EOPO1: Solomon Islands government and industry have enhanced sustainable capacities to plan, manage, finance, construct and maintain critical economic infrastructure</w:t>
      </w:r>
      <w:r w:rsidRPr="00B66B6B">
        <w:tab/>
      </w:r>
    </w:p>
    <w:p w14:paraId="02E0D045" w14:textId="17EAAC11" w:rsidR="004B0111" w:rsidRDefault="00AE7EC5" w:rsidP="00555AC9">
      <w:pPr>
        <w:pStyle w:val="ListParagraph"/>
        <w:numPr>
          <w:ilvl w:val="0"/>
          <w:numId w:val="2"/>
        </w:numPr>
      </w:pPr>
      <w:r w:rsidRPr="00B66B6B">
        <w:t>EOPO2: There is a legacy of high profile, resilient and accessible infrastructure assets in a range of sectors across the country that supports inclusive economic growth.</w:t>
      </w:r>
    </w:p>
    <w:p w14:paraId="7B19FE4C" w14:textId="3E5B214C" w:rsidR="00AE7EC5" w:rsidRPr="00B66B6B" w:rsidRDefault="00AE7EC5" w:rsidP="00AE7EC5">
      <w:r w:rsidRPr="004B0111">
        <w:rPr>
          <w:rStyle w:val="HeadlinefindingChar"/>
        </w:rPr>
        <w:t>SIIP is delivered in a phased approach</w:t>
      </w:r>
      <w:r w:rsidRPr="00B66B6B">
        <w:t xml:space="preserve">: Phase </w:t>
      </w:r>
      <w:r w:rsidR="000D0549">
        <w:t>One</w:t>
      </w:r>
      <w:r w:rsidRPr="00B66B6B">
        <w:t>: 2021-202</w:t>
      </w:r>
      <w:r w:rsidR="000D0549">
        <w:t>5</w:t>
      </w:r>
      <w:r w:rsidRPr="00B66B6B">
        <w:t xml:space="preserve">; Phase </w:t>
      </w:r>
      <w:r w:rsidR="000D0549">
        <w:t>Two</w:t>
      </w:r>
      <w:r w:rsidRPr="00B66B6B">
        <w:t>: 202</w:t>
      </w:r>
      <w:r w:rsidR="000D0549">
        <w:t>6</w:t>
      </w:r>
      <w:r w:rsidRPr="00B66B6B">
        <w:t>-</w:t>
      </w:r>
      <w:r w:rsidR="00FA6D9F" w:rsidRPr="00B66B6B">
        <w:t>202</w:t>
      </w:r>
      <w:r w:rsidR="00FA6D9F">
        <w:t>7</w:t>
      </w:r>
      <w:r w:rsidRPr="00B66B6B">
        <w:t xml:space="preserve">; and Phase </w:t>
      </w:r>
      <w:r w:rsidR="000D0549">
        <w:t>Three</w:t>
      </w:r>
      <w:r w:rsidRPr="00B66B6B">
        <w:t xml:space="preserve">: </w:t>
      </w:r>
      <w:r w:rsidR="00B617A7" w:rsidRPr="00B66B6B">
        <w:t>202</w:t>
      </w:r>
      <w:r w:rsidR="00B617A7">
        <w:t>8</w:t>
      </w:r>
      <w:r w:rsidRPr="00B66B6B">
        <w:t>-2030.</w:t>
      </w:r>
      <w:r w:rsidR="004B0111">
        <w:t xml:space="preserve"> P</w:t>
      </w:r>
      <w:r w:rsidRPr="004B0111">
        <w:t xml:space="preserve">hase </w:t>
      </w:r>
      <w:r w:rsidR="000D0549">
        <w:t>One</w:t>
      </w:r>
      <w:r w:rsidR="000D0549" w:rsidRPr="004B0111">
        <w:t xml:space="preserve"> </w:t>
      </w:r>
      <w:r w:rsidRPr="004B0111">
        <w:t xml:space="preserve">of SIIP is led by the </w:t>
      </w:r>
      <w:r w:rsidR="009015FA">
        <w:t xml:space="preserve">DFAT </w:t>
      </w:r>
      <w:r w:rsidRPr="004B0111">
        <w:t>infrastructure team in the Australian High Commission in Honiara and is supported by the SIIP Hub</w:t>
      </w:r>
      <w:r w:rsidR="00F67ACF" w:rsidRPr="004A1D0F">
        <w:rPr>
          <w:vertAlign w:val="superscript"/>
        </w:rPr>
        <w:footnoteReference w:id="2"/>
      </w:r>
      <w:r w:rsidRPr="004B0111">
        <w:t xml:space="preserve"> </w:t>
      </w:r>
      <w:r w:rsidR="000D0549">
        <w:t xml:space="preserve">(for which </w:t>
      </w:r>
      <w:r w:rsidRPr="004B0111">
        <w:t>DT Global</w:t>
      </w:r>
      <w:r w:rsidR="000D0549">
        <w:t xml:space="preserve"> is the managing contractor). A</w:t>
      </w:r>
      <w:r w:rsidRPr="004B0111">
        <w:t xml:space="preserve">ctivities are implemented by the </w:t>
      </w:r>
      <w:r w:rsidRPr="00B66B6B">
        <w:t xml:space="preserve">SIIP Hub, </w:t>
      </w:r>
      <w:r w:rsidR="009015FA">
        <w:t>DFAT Post</w:t>
      </w:r>
      <w:r w:rsidRPr="00B66B6B">
        <w:t xml:space="preserve"> and/or other partners.</w:t>
      </w:r>
      <w:r w:rsidR="009015FA">
        <w:t xml:space="preserve"> </w:t>
      </w:r>
      <w:r w:rsidR="009015FA" w:rsidRPr="009015FA">
        <w:t xml:space="preserve">The design phase for SIIP ran from November 2019 </w:t>
      </w:r>
      <w:r w:rsidR="009015FA">
        <w:t>to</w:t>
      </w:r>
      <w:r w:rsidR="009015FA" w:rsidRPr="009015FA">
        <w:t xml:space="preserve"> November 2020, following </w:t>
      </w:r>
      <w:r w:rsidR="001C6666">
        <w:t xml:space="preserve">then </w:t>
      </w:r>
      <w:r w:rsidR="009015FA" w:rsidRPr="009015FA">
        <w:t>Prime Minister Morrison’s announcement of a 10 year AUD 250</w:t>
      </w:r>
      <w:r w:rsidR="001C6666">
        <w:t xml:space="preserve"> </w:t>
      </w:r>
      <w:r w:rsidR="009015FA" w:rsidRPr="009015FA">
        <w:t>million Solomon Island</w:t>
      </w:r>
      <w:r w:rsidR="009015FA">
        <w:t>s</w:t>
      </w:r>
      <w:r w:rsidR="009015FA" w:rsidRPr="009015FA">
        <w:t xml:space="preserve"> </w:t>
      </w:r>
      <w:r w:rsidR="001C6666">
        <w:t xml:space="preserve">infrastructure program </w:t>
      </w:r>
      <w:r w:rsidR="009015FA" w:rsidRPr="009015FA">
        <w:t xml:space="preserve">in June 2019. </w:t>
      </w:r>
      <w:r w:rsidR="00AD3B36">
        <w:t>SIIP is the flagship infrastructure program financed by Australia’s bilateral ODA program and is managed by DFAT</w:t>
      </w:r>
      <w:r w:rsidR="00785A15">
        <w:t>.</w:t>
      </w:r>
    </w:p>
    <w:p w14:paraId="2F3DB0EE" w14:textId="0D9DDF68" w:rsidR="00AE7EC5" w:rsidRDefault="00AE7EC5" w:rsidP="00AE7EC5">
      <w:r w:rsidRPr="004B0111">
        <w:rPr>
          <w:rStyle w:val="HeadlinefindingChar"/>
        </w:rPr>
        <w:t>SIIP is governed by a Steering Committee (SC)</w:t>
      </w:r>
      <w:r w:rsidRPr="004B0111">
        <w:t xml:space="preserve"> which meets quarterly, and consists of representatives from the </w:t>
      </w:r>
      <w:r w:rsidR="001C6666">
        <w:t xml:space="preserve">DFAT team at the </w:t>
      </w:r>
      <w:r w:rsidR="00B93079">
        <w:t xml:space="preserve">Australia High Commission in Honiara </w:t>
      </w:r>
      <w:r w:rsidRPr="004B0111">
        <w:t>and</w:t>
      </w:r>
      <w:r w:rsidRPr="00B66B6B">
        <w:t xml:space="preserve"> </w:t>
      </w:r>
      <w:r w:rsidR="00AF2733">
        <w:t>Solomon Islands Government (</w:t>
      </w:r>
      <w:r w:rsidRPr="00B66B6B">
        <w:t>SIG</w:t>
      </w:r>
      <w:r w:rsidR="00AF2733">
        <w:t>)</w:t>
      </w:r>
      <w:r w:rsidRPr="00B66B6B">
        <w:t xml:space="preserve">. The SC provides direction, including the approval of projects to be delivered by the SIIP Hub. </w:t>
      </w:r>
    </w:p>
    <w:p w14:paraId="230A5DEB" w14:textId="347DEF78" w:rsidR="002C37C3" w:rsidRPr="00B66B6B" w:rsidRDefault="002C37C3" w:rsidP="00AE7EC5">
      <w:r w:rsidRPr="001C6666">
        <w:rPr>
          <w:b/>
          <w:bCs/>
        </w:rPr>
        <w:t>SIIP is just one element of Australia’s total infrastructure financing to Solomon Islands</w:t>
      </w:r>
      <w:r>
        <w:t xml:space="preserve">.  Australia is </w:t>
      </w:r>
      <w:r w:rsidR="00A61B4F">
        <w:t xml:space="preserve">Solomon Islands’ </w:t>
      </w:r>
      <w:r>
        <w:t xml:space="preserve">largest international </w:t>
      </w:r>
      <w:r w:rsidR="00955872">
        <w:t xml:space="preserve">development </w:t>
      </w:r>
      <w:r>
        <w:t xml:space="preserve">partner, </w:t>
      </w:r>
      <w:r w:rsidR="007D66F9">
        <w:t>with</w:t>
      </w:r>
      <w:r>
        <w:t xml:space="preserve"> total annual ODA of about AUD 170 million, as well as the largest infrastructure financier, expecting to provide almost AUD 1 billion over </w:t>
      </w:r>
      <w:r w:rsidR="001C6666">
        <w:t>the decade for 2019 to 2029</w:t>
      </w:r>
      <w:r>
        <w:t xml:space="preserve">. </w:t>
      </w:r>
      <w:r w:rsidR="00DD06B3">
        <w:t xml:space="preserve">In addition to SIIP, </w:t>
      </w:r>
      <w:r w:rsidR="0018149A">
        <w:t xml:space="preserve">other </w:t>
      </w:r>
      <w:r>
        <w:t>major ODA</w:t>
      </w:r>
      <w:r w:rsidR="0018149A">
        <w:t>-</w:t>
      </w:r>
      <w:r>
        <w:t>funded infrastructure investments</w:t>
      </w:r>
      <w:r w:rsidR="0018149A">
        <w:t xml:space="preserve"> include</w:t>
      </w:r>
      <w:r>
        <w:t xml:space="preserve"> the Coral Sea Cable</w:t>
      </w:r>
      <w:r w:rsidR="0018149A">
        <w:t xml:space="preserve"> and </w:t>
      </w:r>
      <w:r>
        <w:t xml:space="preserve">AIFFP, which provides ODA grants and loans for major projects. AFP and Defence also manage significant non-ODA infrastructure programs in Solomon </w:t>
      </w:r>
      <w:r w:rsidR="001C6666">
        <w:t>I</w:t>
      </w:r>
      <w:r>
        <w:t xml:space="preserve">slands. </w:t>
      </w:r>
    </w:p>
    <w:p w14:paraId="6CB97619" w14:textId="1E288397" w:rsidR="00AE7EC5" w:rsidRPr="00B66B6B" w:rsidRDefault="002A7513" w:rsidP="002A7513">
      <w:pPr>
        <w:pStyle w:val="Heading2"/>
      </w:pPr>
      <w:bookmarkStart w:id="16" w:name="_Toc165140734"/>
      <w:r>
        <w:t>Purpose and Scope</w:t>
      </w:r>
      <w:bookmarkEnd w:id="16"/>
    </w:p>
    <w:p w14:paraId="58AE1EB1" w14:textId="69CE7376" w:rsidR="002D5714" w:rsidRPr="00B66B6B" w:rsidRDefault="002D5714" w:rsidP="002D5714">
      <w:r w:rsidRPr="00B66B6B">
        <w:t>The purpose and scope of the MTR as outlined in this document are based on the original Terms of Reference (TORs), and the result of several initial briefing conversations and email correspondence with the AHC team and SIIP Hub</w:t>
      </w:r>
      <w:r w:rsidR="00D728FA" w:rsidRPr="00B66B6B">
        <w:t xml:space="preserve"> </w:t>
      </w:r>
      <w:r w:rsidRPr="00B66B6B">
        <w:t xml:space="preserve">representatives. </w:t>
      </w:r>
      <w:r w:rsidRPr="00B333DE">
        <w:rPr>
          <w:rStyle w:val="HeadlinefindingChar"/>
        </w:rPr>
        <w:t>The MTR of SIIP seeks to understand the program’s performance and inform planning for Phase Two of the program</w:t>
      </w:r>
      <w:r w:rsidRPr="00B66B6B">
        <w:t xml:space="preserve">. The MTR scope covers the period of January 2021 to December 2023. The MTR will look at all aspects of the program, including the SIIP Hub, the workings of the SC, the direct delivery by </w:t>
      </w:r>
      <w:r w:rsidR="007E7CA8">
        <w:t>DFAT</w:t>
      </w:r>
      <w:r w:rsidRPr="00B66B6B">
        <w:t xml:space="preserve"> and any other aspects of the SIIP program.</w:t>
      </w:r>
      <w:r w:rsidR="00D728FA" w:rsidRPr="00B66B6B">
        <w:t xml:space="preserve"> </w:t>
      </w:r>
    </w:p>
    <w:p w14:paraId="617F987F" w14:textId="5967C962" w:rsidR="000B65E1" w:rsidRPr="00B66B6B" w:rsidRDefault="002D5714" w:rsidP="002D5714">
      <w:r w:rsidRPr="00B66B6B">
        <w:t xml:space="preserve">The purpose of the evaluation is both summative and formative in nature, in that it will seek to investigate the program’s relevance, its progress towards achieving EOPOs and the process elements such as governance mechanisms and delivery modalities to determine effectiveness, efficiency and coherence. The MTR will provide recommendations to inform Phase </w:t>
      </w:r>
      <w:r w:rsidR="00FE6357">
        <w:t>2</w:t>
      </w:r>
      <w:r w:rsidRPr="00B66B6B">
        <w:t>. In addition, the MTR will consider SIIP within the broader context of Australia’s strategic priorities and the International Development Policy (2023).</w:t>
      </w:r>
    </w:p>
    <w:p w14:paraId="2C2C5635" w14:textId="3F067698" w:rsidR="004C42D7" w:rsidRPr="00B66B6B" w:rsidRDefault="00715330" w:rsidP="002A7513">
      <w:pPr>
        <w:pStyle w:val="Heading2"/>
      </w:pPr>
      <w:bookmarkStart w:id="17" w:name="_Toc165140735"/>
      <w:r w:rsidRPr="00B66B6B">
        <w:lastRenderedPageBreak/>
        <w:t>Relevant timeline</w:t>
      </w:r>
      <w:bookmarkEnd w:id="17"/>
    </w:p>
    <w:p w14:paraId="7E42ACAB" w14:textId="25EE627D" w:rsidR="004C42D7" w:rsidRPr="00B66B6B" w:rsidRDefault="004C42D7" w:rsidP="00864DDD">
      <w:pPr>
        <w:pStyle w:val="ListParagraph"/>
        <w:numPr>
          <w:ilvl w:val="0"/>
          <w:numId w:val="12"/>
        </w:numPr>
      </w:pPr>
      <w:r w:rsidRPr="00B66B6B">
        <w:t xml:space="preserve">June 2019: </w:t>
      </w:r>
      <w:r w:rsidR="009015FA">
        <w:t>Former PM Morrison</w:t>
      </w:r>
      <w:r w:rsidRPr="00B66B6B">
        <w:t xml:space="preserve"> </w:t>
      </w:r>
      <w:r w:rsidR="00EF2A69">
        <w:t>announce</w:t>
      </w:r>
      <w:r w:rsidR="001C6666">
        <w:t>s</w:t>
      </w:r>
      <w:r w:rsidR="00EF2A69">
        <w:t xml:space="preserve"> </w:t>
      </w:r>
      <w:r w:rsidRPr="00B66B6B">
        <w:t>A</w:t>
      </w:r>
      <w:r w:rsidR="009015FA">
        <w:t>UD</w:t>
      </w:r>
      <w:r w:rsidRPr="00B66B6B">
        <w:t>250</w:t>
      </w:r>
      <w:r w:rsidR="001C6666">
        <w:t xml:space="preserve"> </w:t>
      </w:r>
      <w:r w:rsidRPr="00B66B6B">
        <w:t>m</w:t>
      </w:r>
      <w:r w:rsidR="009015FA">
        <w:t>illion</w:t>
      </w:r>
      <w:r w:rsidRPr="00B66B6B">
        <w:t xml:space="preserve"> </w:t>
      </w:r>
      <w:r w:rsidR="00EF2A69">
        <w:t xml:space="preserve">over </w:t>
      </w:r>
      <w:r w:rsidRPr="00B66B6B">
        <w:t>10 years for infrastructure in Solomon Islands as well as Australian cofinancing</w:t>
      </w:r>
      <w:r w:rsidR="0084533F">
        <w:t xml:space="preserve"> (with New Zealand and SIG)</w:t>
      </w:r>
      <w:r w:rsidRPr="00B66B6B">
        <w:t xml:space="preserve"> for upgrades to Seghe and Taro airports</w:t>
      </w:r>
      <w:r w:rsidR="0026668E">
        <w:t>, b</w:t>
      </w:r>
      <w:r w:rsidR="0026668E" w:rsidRPr="0026668E">
        <w:t>uilding on Australian support for the Coral Sea Cable (announced 2017, completed 2020)</w:t>
      </w:r>
    </w:p>
    <w:p w14:paraId="7EA2D206" w14:textId="7A0390EC" w:rsidR="00EF2A69" w:rsidRDefault="0026668E" w:rsidP="00864DDD">
      <w:pPr>
        <w:pStyle w:val="ListParagraph"/>
        <w:numPr>
          <w:ilvl w:val="0"/>
          <w:numId w:val="12"/>
        </w:numPr>
      </w:pPr>
      <w:r>
        <w:t>November 2019: SIIP design phase begins</w:t>
      </w:r>
    </w:p>
    <w:p w14:paraId="63CEC6F8" w14:textId="77777777" w:rsidR="004C42D7" w:rsidRPr="00B66B6B" w:rsidRDefault="004C42D7" w:rsidP="00864DDD">
      <w:pPr>
        <w:pStyle w:val="ListParagraph"/>
        <w:numPr>
          <w:ilvl w:val="0"/>
          <w:numId w:val="12"/>
        </w:numPr>
      </w:pPr>
      <w:r w:rsidRPr="00B66B6B">
        <w:t>May 2020 – June 2022: Solomon Islands COVID border restrictions</w:t>
      </w:r>
    </w:p>
    <w:p w14:paraId="0EB3FD40" w14:textId="77777777" w:rsidR="004C42D7" w:rsidRPr="00B66B6B" w:rsidRDefault="004C42D7" w:rsidP="00864DDD">
      <w:pPr>
        <w:pStyle w:val="ListParagraph"/>
        <w:numPr>
          <w:ilvl w:val="0"/>
          <w:numId w:val="12"/>
        </w:numPr>
      </w:pPr>
      <w:r w:rsidRPr="00B66B6B">
        <w:t>November 2020: DFAT approves final SIIP design</w:t>
      </w:r>
    </w:p>
    <w:p w14:paraId="2A073BF8" w14:textId="77777777" w:rsidR="004C42D7" w:rsidRPr="00B66B6B" w:rsidRDefault="004C42D7" w:rsidP="00864DDD">
      <w:pPr>
        <w:pStyle w:val="ListParagraph"/>
        <w:numPr>
          <w:ilvl w:val="0"/>
          <w:numId w:val="12"/>
        </w:numPr>
      </w:pPr>
      <w:r w:rsidRPr="00B66B6B">
        <w:t>May 2021: DT Global commence operation as SIIP managing contractor</w:t>
      </w:r>
    </w:p>
    <w:p w14:paraId="72946A03" w14:textId="5E58A403" w:rsidR="004C42D7" w:rsidRPr="00B66B6B" w:rsidRDefault="004C42D7" w:rsidP="00864DDD">
      <w:pPr>
        <w:pStyle w:val="ListParagraph"/>
        <w:numPr>
          <w:ilvl w:val="0"/>
          <w:numId w:val="12"/>
        </w:numPr>
      </w:pPr>
      <w:r w:rsidRPr="00B66B6B">
        <w:t>November 202</w:t>
      </w:r>
      <w:r w:rsidR="003B7361">
        <w:t>1</w:t>
      </w:r>
      <w:r w:rsidRPr="00B66B6B">
        <w:t>: Civil unrest in Honiara</w:t>
      </w:r>
    </w:p>
    <w:p w14:paraId="42B3FBE3" w14:textId="77777777" w:rsidR="004C42D7" w:rsidRPr="00B66B6B" w:rsidRDefault="004C42D7" w:rsidP="00864DDD">
      <w:pPr>
        <w:pStyle w:val="ListParagraph"/>
        <w:numPr>
          <w:ilvl w:val="0"/>
          <w:numId w:val="12"/>
        </w:numPr>
      </w:pPr>
      <w:r w:rsidRPr="00B66B6B">
        <w:t>November 2023: Pacific Games</w:t>
      </w:r>
    </w:p>
    <w:p w14:paraId="1B8A19D2" w14:textId="1DD8C607" w:rsidR="004C42D7" w:rsidRPr="00B66B6B" w:rsidRDefault="004C42D7" w:rsidP="00864DDD">
      <w:pPr>
        <w:pStyle w:val="ListParagraph"/>
        <w:numPr>
          <w:ilvl w:val="0"/>
          <w:numId w:val="12"/>
        </w:numPr>
      </w:pPr>
      <w:r w:rsidRPr="00B66B6B">
        <w:t>March 2024: Mid-term review</w:t>
      </w:r>
    </w:p>
    <w:p w14:paraId="6D5A9198" w14:textId="1D50CC95" w:rsidR="00FB2C3C" w:rsidRPr="00B66B6B" w:rsidRDefault="001A0C89" w:rsidP="00881A99">
      <w:pPr>
        <w:pStyle w:val="Heading2"/>
      </w:pPr>
      <w:bookmarkStart w:id="18" w:name="_Toc156506658"/>
      <w:bookmarkStart w:id="19" w:name="_Toc165140736"/>
      <w:bookmarkEnd w:id="13"/>
      <w:bookmarkEnd w:id="14"/>
      <w:bookmarkEnd w:id="15"/>
      <w:r w:rsidRPr="00B66B6B">
        <w:t>Methodology</w:t>
      </w:r>
      <w:bookmarkEnd w:id="18"/>
      <w:bookmarkEnd w:id="19"/>
    </w:p>
    <w:p w14:paraId="641EF752" w14:textId="41274F57" w:rsidR="007D6FE8" w:rsidRPr="00B66B6B" w:rsidRDefault="0072589A" w:rsidP="00370438">
      <w:bookmarkStart w:id="20" w:name="_Toc520104029"/>
      <w:bookmarkStart w:id="21" w:name="_Toc520113648"/>
      <w:bookmarkStart w:id="22" w:name="_Toc520113938"/>
      <w:bookmarkStart w:id="23" w:name="_Toc520292690"/>
      <w:r w:rsidRPr="00B66B6B">
        <w:t>This MTR is</w:t>
      </w:r>
      <w:r w:rsidR="00AA3556" w:rsidRPr="00B66B6B">
        <w:t xml:space="preserve"> both</w:t>
      </w:r>
      <w:r w:rsidRPr="00B66B6B">
        <w:t xml:space="preserve"> formative and summative in nature and focuses on lessons learned from the initial implementation phase to provide findings and recommendations for the remaining investment period. </w:t>
      </w:r>
      <w:r w:rsidR="007D6FE8" w:rsidRPr="00B66B6B">
        <w:t>The evaluation questions (EQs) presente</w:t>
      </w:r>
      <w:r w:rsidR="007D6FE8" w:rsidRPr="002A7513">
        <w:t xml:space="preserve">d in </w:t>
      </w:r>
      <w:r w:rsidR="00715330" w:rsidRPr="002A7513">
        <w:t>Annex</w:t>
      </w:r>
      <w:r w:rsidR="007D6FE8" w:rsidRPr="002A7513">
        <w:t xml:space="preserve"> </w:t>
      </w:r>
      <w:r w:rsidR="002A7513" w:rsidRPr="002A7513">
        <w:t>1</w:t>
      </w:r>
      <w:r w:rsidR="007D6FE8" w:rsidRPr="00B66B6B">
        <w:t xml:space="preserve"> are a refinement of the original EQs, based on the MTR team’s understanding of SIIP, the Solomon Islands context, and our experience evaluating similar programs. A draft list was circulated with </w:t>
      </w:r>
      <w:r w:rsidR="008A69E6" w:rsidRPr="008A69E6">
        <w:t xml:space="preserve">DFAT </w:t>
      </w:r>
      <w:r w:rsidR="008A69E6">
        <w:t xml:space="preserve">Honiara </w:t>
      </w:r>
      <w:r w:rsidR="007D6FE8" w:rsidRPr="00B66B6B">
        <w:t xml:space="preserve">on 16 February 2024, with comments and feedback provided by </w:t>
      </w:r>
      <w:r w:rsidR="007D6F7A">
        <w:t>DFAT</w:t>
      </w:r>
      <w:r w:rsidR="007D6FE8" w:rsidRPr="00B66B6B">
        <w:t xml:space="preserve"> to the MTR team on 20 February 2024. The EQs are categorised by OECD-DAC Evaluation Criteria.</w:t>
      </w:r>
      <w:r w:rsidR="0054565F" w:rsidRPr="00B66B6B">
        <w:rPr>
          <w:rStyle w:val="FootnoteReference"/>
        </w:rPr>
        <w:footnoteReference w:id="3"/>
      </w:r>
      <w:r w:rsidR="00D728FA" w:rsidRPr="00B66B6B">
        <w:t xml:space="preserve"> </w:t>
      </w:r>
    </w:p>
    <w:p w14:paraId="4581B81E" w14:textId="68B10699" w:rsidR="00F73D35" w:rsidRPr="00B66B6B" w:rsidRDefault="0072589A" w:rsidP="00370438">
      <w:r w:rsidRPr="00B66B6B">
        <w:t xml:space="preserve">As </w:t>
      </w:r>
      <w:r w:rsidR="000D379C">
        <w:t>set out</w:t>
      </w:r>
      <w:r w:rsidRPr="00B66B6B">
        <w:t xml:space="preserve"> in the Evaluation Plan, the team </w:t>
      </w:r>
      <w:r w:rsidR="00715330" w:rsidRPr="00B66B6B">
        <w:t>led</w:t>
      </w:r>
      <w:r w:rsidRPr="00B66B6B">
        <w:t xml:space="preserve"> a primarily qualitative approach</w:t>
      </w:r>
      <w:r w:rsidR="00145342" w:rsidRPr="00B66B6B">
        <w:t>,</w:t>
      </w:r>
      <w:r w:rsidRPr="00B66B6B">
        <w:t xml:space="preserve"> </w:t>
      </w:r>
      <w:r w:rsidR="002B27D5" w:rsidRPr="00B66B6B">
        <w:t xml:space="preserve">plus some quantitative </w:t>
      </w:r>
      <w:r w:rsidR="00F036B2" w:rsidRPr="00B66B6B">
        <w:t xml:space="preserve">analysis, </w:t>
      </w:r>
      <w:r w:rsidRPr="00B66B6B">
        <w:t xml:space="preserve">to meet the </w:t>
      </w:r>
      <w:r w:rsidR="00F036B2" w:rsidRPr="00B66B6B">
        <w:t xml:space="preserve">summative and process evaluation </w:t>
      </w:r>
      <w:r w:rsidRPr="00B66B6B">
        <w:t>requirements of the MTR.</w:t>
      </w:r>
      <w:r w:rsidR="00145342" w:rsidRPr="00B66B6B">
        <w:t xml:space="preserve"> The MTR team based its analysis on</w:t>
      </w:r>
      <w:r w:rsidRPr="00B66B6B">
        <w:t xml:space="preserve"> document review, </w:t>
      </w:r>
      <w:r w:rsidR="00145342" w:rsidRPr="00B66B6B">
        <w:t xml:space="preserve">key informant </w:t>
      </w:r>
      <w:r w:rsidRPr="00B66B6B">
        <w:t xml:space="preserve">interviews </w:t>
      </w:r>
      <w:r w:rsidR="00EE242E" w:rsidRPr="00B66B6B">
        <w:t xml:space="preserve">(KIIs) </w:t>
      </w:r>
      <w:r w:rsidRPr="00B66B6B">
        <w:t>and focus group discussions</w:t>
      </w:r>
      <w:r w:rsidR="00EE242E" w:rsidRPr="00B66B6B">
        <w:t xml:space="preserve"> (FGDs)</w:t>
      </w:r>
      <w:r w:rsidR="00F036B2" w:rsidRPr="00B66B6B">
        <w:t>.</w:t>
      </w:r>
      <w:r w:rsidRPr="00B66B6B">
        <w:t xml:space="preserve"> </w:t>
      </w:r>
      <w:r w:rsidR="00216B9A" w:rsidRPr="00B66B6B">
        <w:t xml:space="preserve">Data was analysed according to </w:t>
      </w:r>
      <w:r w:rsidR="00AD532B" w:rsidRPr="00B66B6B">
        <w:t xml:space="preserve">the MTR </w:t>
      </w:r>
      <w:r w:rsidR="00145342" w:rsidRPr="00B66B6B">
        <w:t>Qualitative</w:t>
      </w:r>
      <w:r w:rsidR="00216B9A" w:rsidRPr="00B66B6B">
        <w:t xml:space="preserve"> Evidence Table (coded and triangulated)</w:t>
      </w:r>
      <w:r w:rsidR="00145342" w:rsidRPr="00B66B6B">
        <w:t xml:space="preserve">, which brought together the evidence and their sources, coded </w:t>
      </w:r>
      <w:r w:rsidR="00BF5EEC" w:rsidRPr="00B66B6B">
        <w:t xml:space="preserve">by the MTR team </w:t>
      </w:r>
      <w:r w:rsidR="00145342" w:rsidRPr="00B66B6B">
        <w:t xml:space="preserve">according to source type, evaluation </w:t>
      </w:r>
      <w:r w:rsidR="00EA3C4E" w:rsidRPr="00B66B6B">
        <w:t xml:space="preserve">criteria, evaluation </w:t>
      </w:r>
      <w:r w:rsidR="00145342" w:rsidRPr="00B66B6B">
        <w:t xml:space="preserve">question, and results statement. </w:t>
      </w:r>
      <w:r w:rsidR="00AD532B" w:rsidRPr="00B66B6B">
        <w:t xml:space="preserve">The Evidence Table contains direct quotes from key informants so for ethical reasons the full table cannot be shared. </w:t>
      </w:r>
    </w:p>
    <w:p w14:paraId="08DA6A59" w14:textId="65DD868A" w:rsidR="000B65E1" w:rsidRPr="00B66B6B" w:rsidRDefault="00AD532B" w:rsidP="00370438">
      <w:r w:rsidRPr="00B66B6B">
        <w:t xml:space="preserve">Emerging </w:t>
      </w:r>
      <w:r w:rsidR="00216B9A" w:rsidRPr="00B66B6B">
        <w:t xml:space="preserve">findings and recommendations </w:t>
      </w:r>
      <w:r w:rsidR="000B65E1" w:rsidRPr="00B66B6B">
        <w:t>we</w:t>
      </w:r>
      <w:r w:rsidR="00216B9A" w:rsidRPr="00B66B6B">
        <w:t xml:space="preserve">re </w:t>
      </w:r>
      <w:r w:rsidRPr="00B66B6B">
        <w:t>summarised</w:t>
      </w:r>
      <w:r w:rsidR="00216B9A" w:rsidRPr="00B66B6B">
        <w:t xml:space="preserve"> in </w:t>
      </w:r>
      <w:r w:rsidR="0032145C" w:rsidRPr="00B66B6B">
        <w:t>an Aide Memoire slide deck</w:t>
      </w:r>
      <w:r w:rsidR="000B65E1" w:rsidRPr="00B66B6B">
        <w:t xml:space="preserve"> </w:t>
      </w:r>
      <w:r w:rsidRPr="00B66B6B">
        <w:t xml:space="preserve">and presented to the </w:t>
      </w:r>
      <w:r w:rsidR="008A69E6" w:rsidRPr="008A69E6">
        <w:t xml:space="preserve">DFAT Honiara </w:t>
      </w:r>
      <w:r w:rsidRPr="00B66B6B">
        <w:t xml:space="preserve">members </w:t>
      </w:r>
      <w:r w:rsidR="000B65E1" w:rsidRPr="00B66B6B">
        <w:t xml:space="preserve">on </w:t>
      </w:r>
      <w:r w:rsidR="00411A84">
        <w:t>Wednesday 10 April</w:t>
      </w:r>
      <w:r w:rsidR="0032145C" w:rsidRPr="00B66B6B">
        <w:t xml:space="preserve"> </w:t>
      </w:r>
      <w:r w:rsidR="00DB7EAE">
        <w:t>2024</w:t>
      </w:r>
      <w:r w:rsidRPr="00B66B6B">
        <w:t>,</w:t>
      </w:r>
      <w:r w:rsidR="000B65E1" w:rsidRPr="00B66B6B">
        <w:t xml:space="preserve"> </w:t>
      </w:r>
      <w:r w:rsidR="00E67418" w:rsidRPr="00B66B6B">
        <w:t xml:space="preserve">followed by </w:t>
      </w:r>
      <w:r w:rsidR="000B65E1" w:rsidRPr="00B66B6B">
        <w:t>discussion</w:t>
      </w:r>
      <w:r w:rsidR="00E67418" w:rsidRPr="00B66B6B">
        <w:t xml:space="preserve"> and feedback for validation</w:t>
      </w:r>
      <w:r w:rsidR="000B65E1" w:rsidRPr="00B66B6B">
        <w:t>.</w:t>
      </w:r>
      <w:bookmarkStart w:id="24" w:name="_Toc520104030"/>
      <w:bookmarkStart w:id="25" w:name="_Toc520113649"/>
      <w:bookmarkStart w:id="26" w:name="_Toc520113939"/>
      <w:bookmarkStart w:id="27" w:name="_Toc520292691"/>
      <w:bookmarkEnd w:id="20"/>
      <w:bookmarkEnd w:id="21"/>
      <w:bookmarkEnd w:id="22"/>
      <w:bookmarkEnd w:id="23"/>
      <w:r w:rsidR="00E67418" w:rsidRPr="00B66B6B">
        <w:t xml:space="preserve"> </w:t>
      </w:r>
      <w:r w:rsidR="00411A84">
        <w:t xml:space="preserve">Upon advice from </w:t>
      </w:r>
      <w:r w:rsidR="008A69E6" w:rsidRPr="008A69E6">
        <w:t>DFAT Honiara</w:t>
      </w:r>
      <w:r w:rsidR="00411A84">
        <w:t xml:space="preserve">, the MTR team </w:t>
      </w:r>
      <w:r w:rsidR="00FE07A9">
        <w:t xml:space="preserve">sent the slide deck through to </w:t>
      </w:r>
      <w:r w:rsidR="00627C98">
        <w:t xml:space="preserve">the </w:t>
      </w:r>
      <w:r w:rsidR="00FE07A9">
        <w:t>SIIP Hub</w:t>
      </w:r>
      <w:r w:rsidR="00627C98">
        <w:t xml:space="preserve"> and DT Global</w:t>
      </w:r>
      <w:r w:rsidR="00FE07A9">
        <w:t xml:space="preserve"> by email for comments and feedback. </w:t>
      </w:r>
      <w:r w:rsidR="00F50094" w:rsidRPr="00B66B6B">
        <w:t xml:space="preserve"> </w:t>
      </w:r>
    </w:p>
    <w:p w14:paraId="105AF5A6" w14:textId="01CE49EC" w:rsidR="0032145C" w:rsidRPr="00B66B6B" w:rsidRDefault="001A0C89" w:rsidP="00881A99">
      <w:pPr>
        <w:pStyle w:val="Heading2"/>
      </w:pPr>
      <w:bookmarkStart w:id="28" w:name="_Toc156506659"/>
      <w:bookmarkStart w:id="29" w:name="_Toc165140737"/>
      <w:r w:rsidRPr="00B66B6B">
        <w:t>Limitations</w:t>
      </w:r>
      <w:bookmarkStart w:id="30" w:name="_Toc520113650"/>
      <w:bookmarkStart w:id="31" w:name="_Toc520113940"/>
      <w:bookmarkStart w:id="32" w:name="_Toc156506660"/>
      <w:bookmarkEnd w:id="24"/>
      <w:bookmarkEnd w:id="25"/>
      <w:bookmarkEnd w:id="26"/>
      <w:bookmarkEnd w:id="27"/>
      <w:bookmarkEnd w:id="28"/>
      <w:bookmarkEnd w:id="29"/>
    </w:p>
    <w:p w14:paraId="6C0B42D2" w14:textId="2787269C" w:rsidR="00F84CE2" w:rsidRPr="00B66B6B" w:rsidRDefault="00FE07A9" w:rsidP="00631E59">
      <w:pPr>
        <w:rPr>
          <w:rFonts w:eastAsiaTheme="majorEastAsia" w:cstheme="majorBidi"/>
          <w:color w:val="2F5496" w:themeColor="accent1" w:themeShade="BF"/>
          <w:sz w:val="36"/>
          <w:szCs w:val="36"/>
        </w:rPr>
      </w:pPr>
      <w:r>
        <w:t xml:space="preserve">The objectives of the MTR were clear and </w:t>
      </w:r>
      <w:r w:rsidR="00F44DDB">
        <w:t>well-articulated</w:t>
      </w:r>
      <w:r>
        <w:t xml:space="preserve">, and communication was </w:t>
      </w:r>
      <w:r w:rsidR="00F44DDB">
        <w:t xml:space="preserve">open and supportive from all stakeholders, so there was little in the way of methodological limitations in undertaking this piece of work. </w:t>
      </w:r>
      <w:r w:rsidR="00DE4871">
        <w:t xml:space="preserve">The </w:t>
      </w:r>
      <w:r w:rsidR="00DE1FF7">
        <w:t xml:space="preserve">timings of the </w:t>
      </w:r>
      <w:r w:rsidR="000147FF">
        <w:t>election in late April 2024</w:t>
      </w:r>
      <w:r w:rsidR="005E54CD">
        <w:t xml:space="preserve"> impacted the</w:t>
      </w:r>
      <w:r w:rsidR="00585D2B">
        <w:t xml:space="preserve"> availability of </w:t>
      </w:r>
      <w:r w:rsidR="005E54CD">
        <w:t xml:space="preserve">some </w:t>
      </w:r>
      <w:r w:rsidR="00585D2B">
        <w:t>key stakeholders</w:t>
      </w:r>
      <w:r w:rsidR="009B66EE">
        <w:t xml:space="preserve"> during consultation</w:t>
      </w:r>
      <w:r w:rsidR="005E54CD">
        <w:t xml:space="preserve"> period, given this was held </w:t>
      </w:r>
      <w:r w:rsidR="008A1851">
        <w:t xml:space="preserve">in </w:t>
      </w:r>
      <w:r w:rsidR="009B66EE">
        <w:t>the lead up to the election</w:t>
      </w:r>
      <w:r w:rsidR="00AF5914">
        <w:t>.</w:t>
      </w:r>
      <w:r w:rsidR="009B549F">
        <w:t xml:space="preserve"> </w:t>
      </w:r>
      <w:bookmarkEnd w:id="30"/>
      <w:bookmarkEnd w:id="31"/>
      <w:r w:rsidR="00F84CE2" w:rsidRPr="00B66B6B">
        <w:br w:type="page"/>
      </w:r>
    </w:p>
    <w:p w14:paraId="48B92792" w14:textId="0A294365" w:rsidR="00FB2C3C" w:rsidRPr="00B66B6B" w:rsidRDefault="00BA0B6A" w:rsidP="00881A99">
      <w:pPr>
        <w:pStyle w:val="Heading1"/>
        <w:ind w:left="426" w:hanging="426"/>
      </w:pPr>
      <w:bookmarkStart w:id="33" w:name="_Toc165140738"/>
      <w:r w:rsidRPr="00B66B6B">
        <w:lastRenderedPageBreak/>
        <w:t>FINDINGS</w:t>
      </w:r>
      <w:bookmarkEnd w:id="32"/>
      <w:bookmarkEnd w:id="33"/>
    </w:p>
    <w:p w14:paraId="094F0359" w14:textId="5B6F7A79" w:rsidR="003D447F" w:rsidRPr="00B66B6B" w:rsidRDefault="007A2853" w:rsidP="00370438">
      <w:r w:rsidRPr="00B66B6B">
        <w:t>In this section, t</w:t>
      </w:r>
      <w:r w:rsidR="00822B23" w:rsidRPr="00B66B6B">
        <w:t xml:space="preserve">he MTR team </w:t>
      </w:r>
      <w:r w:rsidR="00646816" w:rsidRPr="00B66B6B">
        <w:t xml:space="preserve">presents a discussion of the review findings </w:t>
      </w:r>
      <w:r w:rsidR="00822B23" w:rsidRPr="00B66B6B">
        <w:t xml:space="preserve">according to the evaluation </w:t>
      </w:r>
      <w:r w:rsidR="006024CE" w:rsidRPr="00B66B6B">
        <w:t xml:space="preserve">criteria and related </w:t>
      </w:r>
      <w:r w:rsidR="005D3BC1">
        <w:t>EQs</w:t>
      </w:r>
      <w:r w:rsidRPr="00B66B6B">
        <w:t>, including related recommendations. Priority recommendations</w:t>
      </w:r>
      <w:r w:rsidR="00886F98" w:rsidRPr="00B66B6B">
        <w:t xml:space="preserve"> are synthesised and presented in the Recommendations Section</w:t>
      </w:r>
      <w:r w:rsidR="00627C98">
        <w:t xml:space="preserve"> (Section 3)</w:t>
      </w:r>
      <w:r w:rsidR="0032145C" w:rsidRPr="00B66B6B">
        <w:t>.</w:t>
      </w:r>
      <w:r w:rsidR="00C06CE8" w:rsidRPr="00B66B6B">
        <w:t xml:space="preserve"> </w:t>
      </w:r>
    </w:p>
    <w:p w14:paraId="76498B05" w14:textId="2C70943E" w:rsidR="00F00809" w:rsidRPr="00B66B6B" w:rsidRDefault="00CD7743" w:rsidP="00370438">
      <w:r w:rsidRPr="00B66B6B">
        <w:rPr>
          <w:rStyle w:val="HeadlinefindingChar"/>
        </w:rPr>
        <w:t>Some areas of inquiry that surfaced during the MTR process</w:t>
      </w:r>
      <w:r w:rsidR="00F00809" w:rsidRPr="00B66B6B">
        <w:rPr>
          <w:rStyle w:val="HeadlinefindingChar"/>
        </w:rPr>
        <w:t xml:space="preserve"> were fundamental to the overall findings and recommendations, however they</w:t>
      </w:r>
      <w:r w:rsidRPr="00B66B6B">
        <w:rPr>
          <w:rStyle w:val="HeadlinefindingChar"/>
        </w:rPr>
        <w:t xml:space="preserve"> do not fit neatly within the responses to the agreed</w:t>
      </w:r>
      <w:r w:rsidR="00F21DE3">
        <w:rPr>
          <w:rStyle w:val="HeadlinefindingChar"/>
        </w:rPr>
        <w:t xml:space="preserve"> EQs</w:t>
      </w:r>
      <w:r w:rsidR="00F00809" w:rsidRPr="00B66B6B">
        <w:t xml:space="preserve">. To avoid the dilution of these overarching findings, they </w:t>
      </w:r>
      <w:r w:rsidRPr="00B66B6B">
        <w:t>will be summarised here, and woven through findings against the evaluation questions below</w:t>
      </w:r>
      <w:r w:rsidR="00F00809" w:rsidRPr="00B66B6B">
        <w:t>.</w:t>
      </w:r>
    </w:p>
    <w:p w14:paraId="5F532F89" w14:textId="252A1EBE" w:rsidR="0057636F" w:rsidRPr="00707BC2" w:rsidRDefault="004F1568" w:rsidP="00864DDD">
      <w:pPr>
        <w:pStyle w:val="ListParagraph"/>
        <w:numPr>
          <w:ilvl w:val="0"/>
          <w:numId w:val="29"/>
        </w:numPr>
      </w:pPr>
      <w:r w:rsidRPr="00707BC2">
        <w:t xml:space="preserve">Overall, the MTR found that </w:t>
      </w:r>
      <w:r w:rsidRPr="00707BC2">
        <w:rPr>
          <w:rStyle w:val="HeadlinefindingChar"/>
        </w:rPr>
        <w:t>SIIP is progressing well in its delivery towards EOPO1 results,</w:t>
      </w:r>
      <w:r w:rsidRPr="00707BC2">
        <w:t xml:space="preserve"> </w:t>
      </w:r>
      <w:r w:rsidR="00DC1E3F" w:rsidRPr="00707BC2">
        <w:t>however,</w:t>
      </w:r>
      <w:r w:rsidRPr="00707BC2">
        <w:t xml:space="preserve"> more needs to be done</w:t>
      </w:r>
      <w:r w:rsidR="00675996" w:rsidRPr="00707BC2">
        <w:t xml:space="preserve">, quickly, </w:t>
      </w:r>
      <w:r w:rsidRPr="00707BC2">
        <w:t xml:space="preserve">to demonstrate delivery towards EOPO2. </w:t>
      </w:r>
    </w:p>
    <w:p w14:paraId="41F1A533" w14:textId="2E4604F2" w:rsidR="0057636F" w:rsidRPr="00707BC2" w:rsidRDefault="004F1568" w:rsidP="00864DDD">
      <w:pPr>
        <w:pStyle w:val="ListParagraph"/>
        <w:numPr>
          <w:ilvl w:val="0"/>
          <w:numId w:val="29"/>
        </w:numPr>
      </w:pPr>
      <w:r w:rsidRPr="00707BC2">
        <w:t xml:space="preserve">The design of SIIP was largely relevant to </w:t>
      </w:r>
      <w:r w:rsidR="00813F60">
        <w:t>Solomon Islands</w:t>
      </w:r>
      <w:r w:rsidR="00813F60" w:rsidRPr="00707BC2">
        <w:t xml:space="preserve"> </w:t>
      </w:r>
      <w:r w:rsidRPr="00707BC2">
        <w:t xml:space="preserve">and Australian priorities of the time, however the balance of priorities has shifted over the subsequent three years due to a range of </w:t>
      </w:r>
      <w:r w:rsidR="00AE4BE8" w:rsidRPr="00707BC2">
        <w:t xml:space="preserve">internal and external </w:t>
      </w:r>
      <w:r w:rsidRPr="00707BC2">
        <w:t xml:space="preserve">pressures and drivers, such that </w:t>
      </w:r>
      <w:r w:rsidRPr="00707BC2">
        <w:rPr>
          <w:rStyle w:val="HeadlinefindingChar"/>
        </w:rPr>
        <w:t xml:space="preserve">the focus </w:t>
      </w:r>
      <w:r w:rsidR="00AE4BE8" w:rsidRPr="00707BC2">
        <w:rPr>
          <w:rStyle w:val="HeadlinefindingChar"/>
        </w:rPr>
        <w:t>from DFAT and SIG is</w:t>
      </w:r>
      <w:r w:rsidRPr="00707BC2">
        <w:rPr>
          <w:rStyle w:val="HeadlinefindingChar"/>
        </w:rPr>
        <w:t xml:space="preserve"> now firmly on the program demonstrably delivering on EOPO2</w:t>
      </w:r>
      <w:r w:rsidRPr="00707BC2">
        <w:t xml:space="preserve"> – namely, </w:t>
      </w:r>
      <w:r w:rsidR="00830E05">
        <w:t>delivering inclusive infrastructure</w:t>
      </w:r>
      <w:r w:rsidRPr="00707BC2">
        <w:t>.</w:t>
      </w:r>
      <w:r w:rsidR="00675996" w:rsidRPr="00707BC2">
        <w:t xml:space="preserve"> </w:t>
      </w:r>
    </w:p>
    <w:p w14:paraId="297D72EF" w14:textId="01B5605B" w:rsidR="00A57791" w:rsidRDefault="00A57791" w:rsidP="00A57791">
      <w:pPr>
        <w:pStyle w:val="ListParagraph"/>
        <w:numPr>
          <w:ilvl w:val="0"/>
          <w:numId w:val="29"/>
        </w:numPr>
      </w:pPr>
      <w:bookmarkStart w:id="34" w:name="_Toc156506661"/>
      <w:bookmarkStart w:id="35" w:name="_Toc165140739"/>
      <w:r w:rsidRPr="00C2550B">
        <w:rPr>
          <w:b/>
          <w:bCs/>
        </w:rPr>
        <w:t>A more proportionate approach to managing risk, especially for smaller less complex activities, could accelerate implementation</w:t>
      </w:r>
      <w:r>
        <w:t xml:space="preserve">.  Extensive and detailed design and preparation for individual activities under the program should ensure quality outcomes.  But this risk averse approach to developing, managing, and implementing individual activities is slowing delivery of EOPO2. Resulting delays are leading to a significant strategic risk to the reputation of SIIP and, to some extent, Australia as a credible development partner to SIG. </w:t>
      </w:r>
    </w:p>
    <w:p w14:paraId="0C501245" w14:textId="0F7E8C20" w:rsidR="009B549F" w:rsidRDefault="00A57791" w:rsidP="009B549F">
      <w:pPr>
        <w:pStyle w:val="ListParagraph"/>
        <w:numPr>
          <w:ilvl w:val="0"/>
          <w:numId w:val="29"/>
        </w:numPr>
      </w:pPr>
      <w:r w:rsidRPr="00C2550B">
        <w:rPr>
          <w:b/>
          <w:bCs/>
        </w:rPr>
        <w:t>Strategic decisions around SIIP’s priorities and comparative advantage in a crowded market of infrastructure development programs and partners will be crucial to influence the design of future phases</w:t>
      </w:r>
      <w:r>
        <w:t>.  Australian and SIG priorities continue to evolve and there does not yet appear to be a consensus across either Government on future investments.  SIG endorsement of the Solomon Islands National Infrastructure Priority Pipeline (SINIPP) and the formation of a new Government following elections in April 2024 provide a basis for greater senior level policy engagement between Australia and SIG on future priorities.</w:t>
      </w:r>
    </w:p>
    <w:p w14:paraId="7AD1CEE5" w14:textId="77777777" w:rsidR="00881A99" w:rsidRPr="00B66B6B" w:rsidRDefault="0078736F" w:rsidP="00881A99">
      <w:pPr>
        <w:pStyle w:val="Heading2"/>
      </w:pPr>
      <w:r w:rsidRPr="00B66B6B">
        <w:t>Relevance</w:t>
      </w:r>
      <w:bookmarkEnd w:id="34"/>
      <w:bookmarkEnd w:id="35"/>
    </w:p>
    <w:p w14:paraId="0C77FAB9" w14:textId="12A0412A" w:rsidR="000117E1" w:rsidRPr="00B66B6B" w:rsidRDefault="00E8771C" w:rsidP="00881A99">
      <w:r w:rsidRPr="00B66B6B">
        <w:t xml:space="preserve">This set of </w:t>
      </w:r>
      <w:r w:rsidR="00307C67">
        <w:t>EQs</w:t>
      </w:r>
      <w:r w:rsidRPr="00B66B6B">
        <w:t xml:space="preserve"> seeks to answer the question: </w:t>
      </w:r>
      <w:r w:rsidR="000117E1" w:rsidRPr="00B66B6B">
        <w:t>Is the intervention doing the right things?</w:t>
      </w:r>
    </w:p>
    <w:p w14:paraId="3AF8C77E" w14:textId="585C9B87" w:rsidR="000117E1" w:rsidRPr="00B66B6B" w:rsidRDefault="000117E1" w:rsidP="00AB58FF">
      <w:pPr>
        <w:pStyle w:val="Heading3"/>
      </w:pPr>
      <w:r w:rsidRPr="00B66B6B">
        <w:t>EQ1. To what extent does the design of the Program respond to the priorities and needs of its beneficiaries, namely the Solomon Islands Government, local construction industry, and Solomon Islands communities?</w:t>
      </w:r>
    </w:p>
    <w:p w14:paraId="25740788" w14:textId="15B31AB1" w:rsidR="00471CE0" w:rsidRPr="00B66B6B" w:rsidRDefault="00CC5C3A" w:rsidP="00471CE0">
      <w:r w:rsidRPr="00B66B6B">
        <w:rPr>
          <w:rStyle w:val="HeadlinefindingChar"/>
        </w:rPr>
        <w:t xml:space="preserve">SIIP </w:t>
      </w:r>
      <w:r w:rsidR="00AB5A53" w:rsidRPr="00B66B6B">
        <w:rPr>
          <w:rStyle w:val="HeadlinefindingChar"/>
        </w:rPr>
        <w:t>was</w:t>
      </w:r>
      <w:r w:rsidRPr="00B66B6B">
        <w:rPr>
          <w:rStyle w:val="HeadlinefindingChar"/>
        </w:rPr>
        <w:t xml:space="preserve"> designed to respond to the priorities and needs of the people, </w:t>
      </w:r>
      <w:r w:rsidR="006E5100" w:rsidRPr="00B66B6B">
        <w:rPr>
          <w:rStyle w:val="HeadlinefindingChar"/>
        </w:rPr>
        <w:t>institutions,</w:t>
      </w:r>
      <w:r w:rsidRPr="00B66B6B">
        <w:rPr>
          <w:rStyle w:val="HeadlinefindingChar"/>
        </w:rPr>
        <w:t xml:space="preserve"> and</w:t>
      </w:r>
      <w:r w:rsidR="00553D97" w:rsidRPr="00B66B6B">
        <w:rPr>
          <w:rStyle w:val="HeadlinefindingChar"/>
        </w:rPr>
        <w:t xml:space="preserve"> industry of Solomon Islands, in improving infrastructure needs in the country</w:t>
      </w:r>
      <w:r w:rsidR="00553D97" w:rsidRPr="00B66B6B">
        <w:t xml:space="preserve">. </w:t>
      </w:r>
      <w:r w:rsidR="00471CE0" w:rsidRPr="00471CE0">
        <w:t xml:space="preserve">Solomon Islands’ infrastructure needs per capita are among the highest in the world. This reflects the very high cost of providing services to a relatively small population of about 730,000 people, many living in very remote communities scattered across 147 populated islands. This is exacerbated by the country’s vulnerability to disasters and the effects of climate change. Most Solomon Islanders currently lack access to essential services and infrastructure, with marked inequality of access between formal and informal settlements and urban and rural areas contributing to Solomon Islands history of conflict. </w:t>
      </w:r>
    </w:p>
    <w:p w14:paraId="4552881E" w14:textId="3AC123C1" w:rsidR="00554629" w:rsidRPr="00B66B6B" w:rsidRDefault="00554629" w:rsidP="00554629">
      <w:pPr>
        <w:pStyle w:val="Quote"/>
      </w:pPr>
      <w:r w:rsidRPr="00B66B6B">
        <w:t xml:space="preserve">Relevant TOC element: </w:t>
      </w:r>
      <w:r w:rsidR="00041D7D" w:rsidRPr="00B66B6B">
        <w:t>Program Goal – “improve the quality and accessibility of economic infrastructure to contribute to broad-based, inclusive and sustainable economic growth in Solomon Islands”</w:t>
      </w:r>
      <w:r w:rsidR="0007653E" w:rsidRPr="00B66B6B">
        <w:t xml:space="preserve"> </w:t>
      </w:r>
    </w:p>
    <w:p w14:paraId="2AD7B675" w14:textId="6D7F21EF" w:rsidR="00E327C4" w:rsidRPr="00E327C4" w:rsidRDefault="00E327C4" w:rsidP="00E327C4">
      <w:r w:rsidRPr="00E327C4">
        <w:rPr>
          <w:b/>
          <w:bCs/>
        </w:rPr>
        <w:lastRenderedPageBreak/>
        <w:t xml:space="preserve">SIIP responds to the Solomon Islands financing constraints to fund much needed infrastructure projects. </w:t>
      </w:r>
      <w:r w:rsidRPr="00E327C4">
        <w:t>Solomon Islands’ infrastructure needs significantly exceed available domestic and international resources. Solomon Islands’ annual domestic revenues are currently around SBD3.2 billion (A</w:t>
      </w:r>
      <w:r w:rsidR="007208A7">
        <w:t>UD</w:t>
      </w:r>
      <w:r w:rsidRPr="00E327C4">
        <w:t>570 million) – or 23% of GDP – and are almost fully utilised for recurrent government expenditures.</w:t>
      </w:r>
      <w:r w:rsidRPr="00E327C4">
        <w:rPr>
          <w:vertAlign w:val="superscript"/>
        </w:rPr>
        <w:footnoteReference w:id="4"/>
      </w:r>
      <w:r w:rsidRPr="00E327C4">
        <w:t xml:space="preserve"> </w:t>
      </w:r>
    </w:p>
    <w:p w14:paraId="4FE99D75" w14:textId="12C75709" w:rsidR="00E327C4" w:rsidRPr="00B66B6B" w:rsidRDefault="00E327C4" w:rsidP="00E327C4">
      <w:r w:rsidRPr="00E327C4">
        <w:t>Solomon Islands can access significant grants, with grant funded assistance from all partners averaging a little under A</w:t>
      </w:r>
      <w:r w:rsidR="007208A7">
        <w:t>UD</w:t>
      </w:r>
      <w:r w:rsidRPr="00E327C4">
        <w:t xml:space="preserve">300 million annually although fluctuating from year to year. The Government’s borrowing capacity is, however, constrained. The </w:t>
      </w:r>
      <w:r w:rsidR="00352CA5">
        <w:t>International Monetary Fund (</w:t>
      </w:r>
      <w:r w:rsidRPr="00E327C4">
        <w:t>IMF</w:t>
      </w:r>
      <w:r w:rsidR="00352CA5">
        <w:t>)</w:t>
      </w:r>
      <w:r w:rsidRPr="00E327C4">
        <w:t xml:space="preserve"> rates Solomon Islands as being at moderate risk of debt distress.</w:t>
      </w:r>
      <w:r w:rsidRPr="00E327C4">
        <w:rPr>
          <w:vertAlign w:val="superscript"/>
        </w:rPr>
        <w:t xml:space="preserve"> </w:t>
      </w:r>
      <w:r w:rsidRPr="00E327C4">
        <w:rPr>
          <w:vertAlign w:val="superscript"/>
        </w:rPr>
        <w:footnoteReference w:id="5"/>
      </w:r>
      <w:r w:rsidRPr="00E327C4">
        <w:t xml:space="preserve"> This is to some extent a precautionary measure; while current central government debt is only about 22% of GDP, Solomon Islands could quickly become heavily indebted with substantial new borrowing even on concessional terms. Reflecting IMF debt ratings, World </w:t>
      </w:r>
      <w:r w:rsidR="00BE0ECE" w:rsidRPr="00E327C4">
        <w:t>Bank,</w:t>
      </w:r>
      <w:r w:rsidRPr="00E327C4">
        <w:t xml:space="preserve"> and the Asian Development Bank (ADB) financing to Solomons is provided as 50% grants and 50% highly concessional loans.</w:t>
      </w:r>
      <w:r w:rsidRPr="00E327C4">
        <w:rPr>
          <w:vertAlign w:val="superscript"/>
        </w:rPr>
        <w:footnoteReference w:id="6"/>
      </w:r>
      <w:r w:rsidR="0007653E" w:rsidRPr="00B66B6B">
        <w:t xml:space="preserve"> </w:t>
      </w:r>
      <w:r w:rsidRPr="00E327C4">
        <w:t xml:space="preserve">To maintain access to grants from the </w:t>
      </w:r>
      <w:r w:rsidR="00352CA5">
        <w:t>Multilateral Development Banks (</w:t>
      </w:r>
      <w:r w:rsidRPr="00E327C4">
        <w:t>MDBs</w:t>
      </w:r>
      <w:r w:rsidR="00352CA5">
        <w:t>)</w:t>
      </w:r>
      <w:r w:rsidRPr="00E327C4">
        <w:t>, all new borrowing by Solomon Islands needs to meet IMF definitions as being concessional. This generally requires financing to have an interest rate of about 1% and a maturity of over 20 years.</w:t>
      </w:r>
      <w:r w:rsidRPr="00E327C4">
        <w:rPr>
          <w:vertAlign w:val="superscript"/>
        </w:rPr>
        <w:footnoteReference w:id="7"/>
      </w:r>
      <w:r w:rsidR="007C3212" w:rsidRPr="00B66B6B">
        <w:t xml:space="preserve"> SIIP was designed in the context of a range of other Australian and other bilateral and multilateral funding towards infrastructure improvements in Solomon Islands. These are discussed in response to EQ4 below.</w:t>
      </w:r>
    </w:p>
    <w:p w14:paraId="286B7EAD" w14:textId="7EBAFA80" w:rsidR="00554629" w:rsidRPr="00B66B6B" w:rsidRDefault="00554629" w:rsidP="00554629">
      <w:pPr>
        <w:pStyle w:val="Quote"/>
      </w:pPr>
      <w:bookmarkStart w:id="36" w:name="_Hlk165046657"/>
      <w:r w:rsidRPr="00B66B6B">
        <w:t>Relevant TOC element: Intermediate Outcome 3 - “Increased financial resources for government and SOEs are mobilised for inclusive economic infrastructure development, including from the private sector, MDBs, and AIFFP”.</w:t>
      </w:r>
      <w:r w:rsidR="0007653E" w:rsidRPr="00B66B6B">
        <w:t xml:space="preserve"> </w:t>
      </w:r>
      <w:bookmarkEnd w:id="36"/>
    </w:p>
    <w:p w14:paraId="6E5E48DC" w14:textId="29E77A4B" w:rsidR="0092544D" w:rsidRPr="0092544D" w:rsidRDefault="00AB5A53" w:rsidP="0092544D">
      <w:r w:rsidRPr="00B66B6B">
        <w:rPr>
          <w:b/>
          <w:bCs/>
        </w:rPr>
        <w:t>SIIP was designed to support the</w:t>
      </w:r>
      <w:r w:rsidR="00D367B6" w:rsidRPr="00B66B6B">
        <w:rPr>
          <w:b/>
          <w:bCs/>
        </w:rPr>
        <w:t xml:space="preserve"> delivery of</w:t>
      </w:r>
      <w:r w:rsidRPr="00B66B6B">
        <w:rPr>
          <w:b/>
          <w:bCs/>
        </w:rPr>
        <w:t xml:space="preserve"> </w:t>
      </w:r>
      <w:r w:rsidR="00D367B6" w:rsidRPr="00B66B6B">
        <w:rPr>
          <w:b/>
          <w:bCs/>
        </w:rPr>
        <w:t xml:space="preserve">a priority </w:t>
      </w:r>
      <w:r w:rsidR="00E327C4" w:rsidRPr="00B66B6B">
        <w:rPr>
          <w:b/>
          <w:bCs/>
        </w:rPr>
        <w:t>infrastructure</w:t>
      </w:r>
      <w:r w:rsidR="00D367B6" w:rsidRPr="00B66B6B">
        <w:rPr>
          <w:b/>
          <w:bCs/>
        </w:rPr>
        <w:t xml:space="preserve"> pipeline, as</w:t>
      </w:r>
      <w:r w:rsidR="00E327C4" w:rsidRPr="00B66B6B">
        <w:rPr>
          <w:b/>
          <w:bCs/>
        </w:rPr>
        <w:t xml:space="preserve"> identified by SIG.</w:t>
      </w:r>
      <w:r w:rsidR="001F5104" w:rsidRPr="00B66B6B">
        <w:rPr>
          <w:b/>
          <w:bCs/>
        </w:rPr>
        <w:t xml:space="preserve"> </w:t>
      </w:r>
      <w:r w:rsidR="0092544D" w:rsidRPr="0092544D">
        <w:t xml:space="preserve">The </w:t>
      </w:r>
      <w:r w:rsidR="00A57791">
        <w:t xml:space="preserve">2021 </w:t>
      </w:r>
      <w:r w:rsidR="0092544D" w:rsidRPr="0092544D">
        <w:t xml:space="preserve">Solomon Islands Priority Infrastructure Investment Pipeline developed by </w:t>
      </w:r>
      <w:r w:rsidR="007F096E" w:rsidRPr="0092544D">
        <w:t>Government with</w:t>
      </w:r>
      <w:r w:rsidR="0092544D" w:rsidRPr="0092544D">
        <w:t xml:space="preserve"> support from the ADB</w:t>
      </w:r>
      <w:r w:rsidR="007F096E">
        <w:t>-</w:t>
      </w:r>
      <w:r w:rsidR="0092544D" w:rsidRPr="0092544D">
        <w:t>managed Pacific Region Infrastructure Facility (PRIF) identified 59 unfunded projects with a total estimated cost of almost SBD8.4 billion (approximately A</w:t>
      </w:r>
      <w:r w:rsidR="007208A7">
        <w:t>UD</w:t>
      </w:r>
      <w:r w:rsidR="0092544D" w:rsidRPr="0092544D">
        <w:t>1.5 billion).</w:t>
      </w:r>
      <w:r w:rsidR="0092544D" w:rsidRPr="0092544D">
        <w:rPr>
          <w:vertAlign w:val="superscript"/>
        </w:rPr>
        <w:footnoteReference w:id="8"/>
      </w:r>
      <w:r w:rsidR="0092544D" w:rsidRPr="0092544D">
        <w:t xml:space="preserve"> </w:t>
      </w:r>
      <w:r w:rsidR="0092544D" w:rsidRPr="00B66B6B">
        <w:t>C</w:t>
      </w:r>
      <w:r w:rsidR="0092544D" w:rsidRPr="0092544D">
        <w:t xml:space="preserve">osts </w:t>
      </w:r>
      <w:r w:rsidR="006503FA">
        <w:t>may</w:t>
      </w:r>
      <w:r w:rsidR="0092544D" w:rsidRPr="0092544D">
        <w:t xml:space="preserve"> be significantly underestimated, especially given global inflation since the report was prepared.</w:t>
      </w:r>
      <w:r w:rsidR="00D728FA" w:rsidRPr="00B66B6B">
        <w:t xml:space="preserve"> </w:t>
      </w:r>
      <w:r w:rsidR="0092544D" w:rsidRPr="0092544D">
        <w:t>Priorities include</w:t>
      </w:r>
      <w:r w:rsidR="009B549F">
        <w:t>d</w:t>
      </w:r>
      <w:r w:rsidR="0092544D" w:rsidRPr="0092544D">
        <w:t>:</w:t>
      </w:r>
    </w:p>
    <w:p w14:paraId="321E012E" w14:textId="3BBD37D6" w:rsidR="0092544D" w:rsidRPr="00B66B6B" w:rsidRDefault="0092544D" w:rsidP="00864DDD">
      <w:pPr>
        <w:pStyle w:val="ListParagraph"/>
        <w:numPr>
          <w:ilvl w:val="0"/>
          <w:numId w:val="15"/>
        </w:numPr>
      </w:pPr>
      <w:r w:rsidRPr="00B66B6B">
        <w:rPr>
          <w:b/>
          <w:bCs/>
        </w:rPr>
        <w:t>Transport</w:t>
      </w:r>
      <w:r w:rsidRPr="00B66B6B">
        <w:t xml:space="preserve"> investments, predominantly roads and ports, totalling about SBD 3.2 billion (</w:t>
      </w:r>
      <w:r w:rsidR="009B549F">
        <w:t>AUD</w:t>
      </w:r>
      <w:r w:rsidRPr="00B66B6B">
        <w:t>570 million).</w:t>
      </w:r>
      <w:r w:rsidR="00D728FA" w:rsidRPr="00B66B6B">
        <w:t xml:space="preserve"> </w:t>
      </w:r>
      <w:r w:rsidRPr="00B66B6B">
        <w:t xml:space="preserve">As at 2020, only 184km of the 1,522km road network was sealed with only two thirds in maintainable condition, and only 46 of 91 domestic wharves </w:t>
      </w:r>
      <w:r w:rsidR="009B549F">
        <w:t>could</w:t>
      </w:r>
      <w:r w:rsidRPr="00B66B6B">
        <w:t xml:space="preserve"> be operated without major rehabilitation.</w:t>
      </w:r>
      <w:r w:rsidRPr="00B66B6B">
        <w:rPr>
          <w:vertAlign w:val="superscript"/>
        </w:rPr>
        <w:footnoteReference w:id="9"/>
      </w:r>
      <w:r w:rsidRPr="00B66B6B">
        <w:t xml:space="preserve"> </w:t>
      </w:r>
    </w:p>
    <w:p w14:paraId="442012DC" w14:textId="644965CD" w:rsidR="0092544D" w:rsidRPr="00B66B6B" w:rsidRDefault="0092544D" w:rsidP="00864DDD">
      <w:pPr>
        <w:pStyle w:val="ListParagraph"/>
        <w:numPr>
          <w:ilvl w:val="0"/>
          <w:numId w:val="15"/>
        </w:numPr>
      </w:pPr>
      <w:r w:rsidRPr="00B66B6B">
        <w:t xml:space="preserve">The relocation and upgrade of </w:t>
      </w:r>
      <w:r w:rsidRPr="00B66B6B">
        <w:rPr>
          <w:b/>
          <w:bCs/>
        </w:rPr>
        <w:t>Honiara hospital and other health facilities</w:t>
      </w:r>
      <w:r w:rsidRPr="00B66B6B">
        <w:t xml:space="preserve"> estimated at over SBD 3.0 billion (A</w:t>
      </w:r>
      <w:r w:rsidR="009B549F">
        <w:t>UD</w:t>
      </w:r>
      <w:r w:rsidRPr="00B66B6B">
        <w:t xml:space="preserve">540 million); and </w:t>
      </w:r>
    </w:p>
    <w:p w14:paraId="1D8050E6" w14:textId="40E2DDCB" w:rsidR="0092544D" w:rsidRPr="00B66B6B" w:rsidRDefault="0092544D" w:rsidP="00864DDD">
      <w:pPr>
        <w:pStyle w:val="ListParagraph"/>
        <w:numPr>
          <w:ilvl w:val="0"/>
          <w:numId w:val="15"/>
        </w:numPr>
      </w:pPr>
      <w:r w:rsidRPr="00B66B6B">
        <w:rPr>
          <w:b/>
          <w:bCs/>
        </w:rPr>
        <w:t>Water and sanitation</w:t>
      </w:r>
      <w:r w:rsidRPr="00B66B6B">
        <w:t xml:space="preserve"> investments of SBD 0.9 billion (</w:t>
      </w:r>
      <w:r w:rsidR="009B549F">
        <w:t>AUD</w:t>
      </w:r>
      <w:r w:rsidRPr="00B66B6B">
        <w:t>160 million).</w:t>
      </w:r>
      <w:r w:rsidR="00D728FA" w:rsidRPr="00B66B6B">
        <w:t xml:space="preserve"> </w:t>
      </w:r>
    </w:p>
    <w:p w14:paraId="6F25DB92" w14:textId="3B96666E" w:rsidR="009B549F" w:rsidRDefault="0092544D" w:rsidP="0092544D">
      <w:r w:rsidRPr="0092544D">
        <w:t xml:space="preserve">Identified </w:t>
      </w:r>
      <w:r w:rsidR="00AA613F" w:rsidRPr="00B66B6B">
        <w:t xml:space="preserve">(unfunded) </w:t>
      </w:r>
      <w:r w:rsidRPr="0092544D">
        <w:t xml:space="preserve">infrastructure needs in the </w:t>
      </w:r>
      <w:r w:rsidRPr="0092544D">
        <w:rPr>
          <w:b/>
          <w:bCs/>
        </w:rPr>
        <w:t>energy</w:t>
      </w:r>
      <w:r w:rsidRPr="0092544D">
        <w:t xml:space="preserve"> and </w:t>
      </w:r>
      <w:r w:rsidRPr="0092544D">
        <w:rPr>
          <w:b/>
          <w:bCs/>
        </w:rPr>
        <w:t>ICT</w:t>
      </w:r>
      <w:r w:rsidRPr="0092544D">
        <w:t xml:space="preserve"> sectors were more limited, in part due to Australia’s significant investments in the </w:t>
      </w:r>
      <w:r w:rsidR="00DF282D">
        <w:t>C</w:t>
      </w:r>
      <w:r w:rsidR="00DF282D" w:rsidRPr="0092544D">
        <w:t xml:space="preserve">oral </w:t>
      </w:r>
      <w:r w:rsidR="00DF282D">
        <w:t>S</w:t>
      </w:r>
      <w:r w:rsidR="00DF282D" w:rsidRPr="0092544D">
        <w:t xml:space="preserve">ea </w:t>
      </w:r>
      <w:r w:rsidR="00DF282D">
        <w:t>C</w:t>
      </w:r>
      <w:r w:rsidR="00DF282D" w:rsidRPr="0092544D">
        <w:t>able</w:t>
      </w:r>
      <w:r w:rsidRPr="0092544D">
        <w:t xml:space="preserve"> as well as a multi-partner effort coordinated by the World Bank to develop the Tina River </w:t>
      </w:r>
      <w:r w:rsidR="00C422CB">
        <w:t>H</w:t>
      </w:r>
      <w:r w:rsidR="00C422CB" w:rsidRPr="0092544D">
        <w:t xml:space="preserve">ydropower </w:t>
      </w:r>
      <w:r w:rsidR="00C422CB">
        <w:t>Development P</w:t>
      </w:r>
      <w:r w:rsidR="00C422CB" w:rsidRPr="0092544D">
        <w:t>roject</w:t>
      </w:r>
      <w:r w:rsidR="009B549F">
        <w:t xml:space="preserve">, which, </w:t>
      </w:r>
      <w:r w:rsidRPr="0092544D">
        <w:lastRenderedPageBreak/>
        <w:t>despite significant delays</w:t>
      </w:r>
      <w:r w:rsidR="009B549F">
        <w:t>,</w:t>
      </w:r>
      <w:r w:rsidR="009B549F" w:rsidRPr="009B549F">
        <w:t xml:space="preserve"> </w:t>
      </w:r>
      <w:r w:rsidR="009B549F">
        <w:t>is</w:t>
      </w:r>
      <w:r w:rsidR="009B549F" w:rsidRPr="009B549F">
        <w:t xml:space="preserve"> expected </w:t>
      </w:r>
      <w:r w:rsidR="009B549F">
        <w:t>to</w:t>
      </w:r>
      <w:r w:rsidR="009B549F" w:rsidRPr="009B549F">
        <w:t xml:space="preserve"> provide 70</w:t>
      </w:r>
      <w:r w:rsidR="00A66D26">
        <w:t xml:space="preserve"> per cent </w:t>
      </w:r>
      <w:r w:rsidR="009B549F" w:rsidRPr="009B549F">
        <w:t>of Honiara's energy needs via renewable energy when it comes online in 2028</w:t>
      </w:r>
      <w:r w:rsidR="009B549F">
        <w:t>.</w:t>
      </w:r>
    </w:p>
    <w:p w14:paraId="22266572" w14:textId="14B9513A" w:rsidR="00DA295E" w:rsidRDefault="000E02F0" w:rsidP="000E02F0">
      <w:r w:rsidRPr="00B66B6B">
        <w:t>In its design, the program originally relied on SIG providing SIIP with an approved, well-developed priority project pipeline (developed through</w:t>
      </w:r>
      <w:r w:rsidR="000221B8">
        <w:t>/based on</w:t>
      </w:r>
      <w:r w:rsidRPr="00B66B6B">
        <w:t xml:space="preserve"> the PRIF program) through the Steering Committee function, which would inform the delivery of EOPO2. </w:t>
      </w:r>
      <w:r w:rsidRPr="00B66B6B">
        <w:rPr>
          <w:rStyle w:val="HeadlinefindingChar"/>
        </w:rPr>
        <w:t xml:space="preserve">It </w:t>
      </w:r>
      <w:r w:rsidR="00B044E8">
        <w:rPr>
          <w:rStyle w:val="HeadlinefindingChar"/>
        </w:rPr>
        <w:t>became apparent</w:t>
      </w:r>
      <w:r w:rsidRPr="00B66B6B">
        <w:rPr>
          <w:rStyle w:val="HeadlinefindingChar"/>
        </w:rPr>
        <w:t xml:space="preserve"> that this pipeline was not approved</w:t>
      </w:r>
      <w:r w:rsidR="009B549F">
        <w:rPr>
          <w:rStyle w:val="HeadlinefindingChar"/>
        </w:rPr>
        <w:t xml:space="preserve"> by SIG</w:t>
      </w:r>
      <w:r w:rsidRPr="00B66B6B">
        <w:rPr>
          <w:rStyle w:val="HeadlinefindingChar"/>
        </w:rPr>
        <w:t>, and no such agreed pipeline existed at the commencement of SIIP.</w:t>
      </w:r>
      <w:r w:rsidRPr="00B66B6B">
        <w:t xml:space="preserve"> This issue was broadly identified in the Risk Management Matrix (Annex M) of the design document as “policy and regulatory environment does not provide certainty for donors or investors”, leading to “pipeline of infrastructure cannot be delivered” as an unlikely, medium risk rating, and assumes an agreed pipeline is in place that Post will monitor, to control the risk. Given the importance of this assumption, more certainty was needed in </w:t>
      </w:r>
      <w:r w:rsidR="00882878">
        <w:t xml:space="preserve">the </w:t>
      </w:r>
      <w:r w:rsidRPr="00B66B6B">
        <w:t xml:space="preserve">design stage and commencement of the program. In lieu of an agreed pipeline, a list of decision making criteria for infrastructure projects </w:t>
      </w:r>
      <w:r w:rsidR="00F76C98" w:rsidRPr="00B66B6B">
        <w:t xml:space="preserve">developed jointly with SIG as part of the SC function may have provided some much needed </w:t>
      </w:r>
      <w:r w:rsidR="007C3212" w:rsidRPr="00B66B6B">
        <w:t xml:space="preserve">direction in terms of the </w:t>
      </w:r>
      <w:r w:rsidRPr="00B66B6B">
        <w:t xml:space="preserve">infrastructure type, location, </w:t>
      </w:r>
      <w:r w:rsidR="00BE0ECE" w:rsidRPr="00B66B6B">
        <w:t>size,</w:t>
      </w:r>
      <w:r w:rsidRPr="00B66B6B">
        <w:t xml:space="preserve"> and scale</w:t>
      </w:r>
      <w:r w:rsidR="007C3212" w:rsidRPr="00B66B6B">
        <w:t xml:space="preserve"> of projects to be funded</w:t>
      </w:r>
      <w:r w:rsidR="00DA295E">
        <w:t>.</w:t>
      </w:r>
    </w:p>
    <w:p w14:paraId="2510F4F1" w14:textId="31CDDB0F" w:rsidR="00D07F9E" w:rsidRDefault="00D07F9E" w:rsidP="000E02F0">
      <w:r w:rsidRPr="00F35CE6">
        <w:rPr>
          <w:b/>
          <w:bCs/>
        </w:rPr>
        <w:t>SIIP has subsequently played an important role in supporting SIG to develop the Solomon Islands National Infrastructure Priority Pipeline (SINIPP) endorsed by Cabinet in late 2023</w:t>
      </w:r>
      <w:r>
        <w:t>. This can potentially provide a strong foundation for future SIIP programming discussions.</w:t>
      </w:r>
      <w:r w:rsidR="00524CC4">
        <w:t xml:space="preserve"> </w:t>
      </w:r>
      <w:r>
        <w:t>SINIPP provides a strategic vision for infrastructure development to support social and economic growth and drive development across Solomon Islands.</w:t>
      </w:r>
      <w:r w:rsidR="00524CC4">
        <w:t xml:space="preserve"> </w:t>
      </w:r>
      <w:r>
        <w:t>In launching SINIPP, the then Prime Minister especially highlighted the importance of reliable transport and connectivity for businesses, tourism, agriculture, and access to services. Although many identified priorities are similar to the previous PRIF supported pipeline, a key element of SINIPP is the use of “place-based”, rather than sector based, prioritisation of infrastructure needs in a coordinated manner</w:t>
      </w:r>
      <w:r w:rsidRPr="00B66B6B">
        <w:t xml:space="preserve">. </w:t>
      </w:r>
    </w:p>
    <w:p w14:paraId="34C88627" w14:textId="574A658D" w:rsidR="009D377F" w:rsidRPr="00B66B6B" w:rsidRDefault="000E02F0" w:rsidP="00735FB4">
      <w:pPr>
        <w:pStyle w:val="Quote"/>
      </w:pPr>
      <w:r w:rsidRPr="00B66B6B">
        <w:t>Relevant TOC element: End of Program Outcome 2 “legacy of high profile, resilient and accessible infrastructure assets in a range of sectors across the country that supports inclusive economic growth”</w:t>
      </w:r>
      <w:r w:rsidR="007C3212" w:rsidRPr="00B66B6B">
        <w:t>,</w:t>
      </w:r>
      <w:r w:rsidR="00795646" w:rsidRPr="00B66B6B">
        <w:t xml:space="preserve"> Intermediate Outcome 4 </w:t>
      </w:r>
      <w:r w:rsidR="00192CBF" w:rsidRPr="00B66B6B">
        <w:t>“</w:t>
      </w:r>
      <w:r w:rsidR="00795646" w:rsidRPr="00B66B6B">
        <w:t>High priority inclusive infrastructure projects are completed to a high quality, on time and on budget</w:t>
      </w:r>
      <w:r w:rsidR="00192CBF" w:rsidRPr="00B66B6B">
        <w:t>”</w:t>
      </w:r>
    </w:p>
    <w:p w14:paraId="7FCE48B2" w14:textId="43608A49" w:rsidR="00547C7A" w:rsidRPr="00B66B6B" w:rsidRDefault="00547C7A" w:rsidP="00547C7A">
      <w:r w:rsidRPr="00B66B6B">
        <w:rPr>
          <w:rStyle w:val="HeadlinefindingChar"/>
        </w:rPr>
        <w:t>There is a tension between the two overarching EOPOs, which are interdependent</w:t>
      </w:r>
      <w:r w:rsidRPr="00B66B6B">
        <w:t xml:space="preserve">: </w:t>
      </w:r>
      <w:r w:rsidR="00DA623E" w:rsidRPr="00B66B6B">
        <w:t xml:space="preserve">on one hand, </w:t>
      </w:r>
      <w:r w:rsidRPr="00B66B6B">
        <w:t xml:space="preserve">the design </w:t>
      </w:r>
      <w:r w:rsidR="00AC02A4" w:rsidRPr="00B66B6B">
        <w:t>recognises</w:t>
      </w:r>
      <w:r w:rsidRPr="00B66B6B">
        <w:t xml:space="preserve"> the weaknesses and constraints within SIG</w:t>
      </w:r>
      <w:r w:rsidR="00061394" w:rsidRPr="00B66B6B">
        <w:t xml:space="preserve"> to plan, finance, construct and manage infrastructure investments (the basis of </w:t>
      </w:r>
      <w:r w:rsidR="00482AB6" w:rsidRPr="00B66B6B">
        <w:t>EOPO1</w:t>
      </w:r>
      <w:r w:rsidR="00061394" w:rsidRPr="00B66B6B">
        <w:t>)</w:t>
      </w:r>
      <w:r w:rsidR="00DA623E" w:rsidRPr="00B66B6B">
        <w:t xml:space="preserve">, while on the other hand </w:t>
      </w:r>
      <w:r w:rsidR="00482AB6" w:rsidRPr="00B66B6B">
        <w:t>the delivery of EOPO2</w:t>
      </w:r>
      <w:r w:rsidR="00DA623E" w:rsidRPr="00B66B6B">
        <w:t xml:space="preserve"> assumes a level of cooperation and joint-working </w:t>
      </w:r>
      <w:r w:rsidR="00482AB6" w:rsidRPr="00B66B6B">
        <w:t>by SIG in its causal pathway</w:t>
      </w:r>
      <w:r w:rsidR="00200EF5" w:rsidRPr="00B66B6B">
        <w:t>, which</w:t>
      </w:r>
      <w:r w:rsidR="00835FCA" w:rsidRPr="00B66B6B">
        <w:t xml:space="preserve"> is </w:t>
      </w:r>
      <w:r w:rsidR="002C5C25" w:rsidRPr="00B66B6B">
        <w:t xml:space="preserve">also </w:t>
      </w:r>
      <w:r w:rsidR="00835FCA" w:rsidRPr="00B66B6B">
        <w:t xml:space="preserve">expected to </w:t>
      </w:r>
      <w:r w:rsidR="002C5C25" w:rsidRPr="00B66B6B">
        <w:t xml:space="preserve">contribute </w:t>
      </w:r>
      <w:r w:rsidR="00835FCA" w:rsidRPr="00B66B6B">
        <w:t>to the successful capacity uplift of government and industry</w:t>
      </w:r>
      <w:r w:rsidR="00482AB6" w:rsidRPr="00B66B6B">
        <w:t>.</w:t>
      </w:r>
      <w:r w:rsidR="00AC02A4" w:rsidRPr="00B66B6B">
        <w:t xml:space="preserve"> The design</w:t>
      </w:r>
      <w:r w:rsidR="00835FCA" w:rsidRPr="00B66B6B">
        <w:t xml:space="preserve"> focuses on </w:t>
      </w:r>
      <w:r w:rsidR="00061394" w:rsidRPr="00B66B6B">
        <w:t>a</w:t>
      </w:r>
      <w:r w:rsidR="00835FCA" w:rsidRPr="00B66B6B">
        <w:t xml:space="preserve"> </w:t>
      </w:r>
      <w:r w:rsidR="00DC1E3F" w:rsidRPr="00B66B6B">
        <w:t>system</w:t>
      </w:r>
      <w:r w:rsidR="0040257A" w:rsidRPr="00B66B6B">
        <w:t xml:space="preserve"> strengthening approach, with three of four intermediate outcomes relating to technical support and capacity building </w:t>
      </w:r>
      <w:r w:rsidR="000A4F2D" w:rsidRPr="00B66B6B">
        <w:t>results</w:t>
      </w:r>
      <w:r w:rsidR="007E7806" w:rsidRPr="00B66B6B">
        <w:t>. T</w:t>
      </w:r>
      <w:r w:rsidR="000A4F2D" w:rsidRPr="00B66B6B">
        <w:t>he fourth intermediate outcome</w:t>
      </w:r>
      <w:r w:rsidR="003A3035" w:rsidRPr="00B66B6B">
        <w:t xml:space="preserve"> </w:t>
      </w:r>
      <w:r w:rsidR="007E7806" w:rsidRPr="00B66B6B">
        <w:t>refer</w:t>
      </w:r>
      <w:r w:rsidR="003A3035" w:rsidRPr="00B66B6B">
        <w:t>s</w:t>
      </w:r>
      <w:r w:rsidR="007E7806" w:rsidRPr="00B66B6B">
        <w:t xml:space="preserve"> to </w:t>
      </w:r>
      <w:r w:rsidR="00567210" w:rsidRPr="00B66B6B">
        <w:t>construction of infrastructure</w:t>
      </w:r>
      <w:r w:rsidR="003A3035" w:rsidRPr="00B66B6B">
        <w:t xml:space="preserve"> investments as “demonstrations of good practice, aligned with institutional capacity development and engagement with the private sector”</w:t>
      </w:r>
      <w:r w:rsidR="00061394" w:rsidRPr="00B66B6B">
        <w:t>.</w:t>
      </w:r>
      <w:r w:rsidR="003A3035" w:rsidRPr="00B66B6B">
        <w:rPr>
          <w:rStyle w:val="FootnoteReference"/>
        </w:rPr>
        <w:footnoteReference w:id="10"/>
      </w:r>
      <w:r w:rsidR="00061394" w:rsidRPr="00B66B6B">
        <w:t xml:space="preserve"> </w:t>
      </w:r>
      <w:r w:rsidR="00FC2882" w:rsidRPr="00B66B6B">
        <w:t xml:space="preserve">There is a clear expectation that SIIP would deliver high quality inclusive infrastructure, however the design does not </w:t>
      </w:r>
      <w:r w:rsidR="00AD278E" w:rsidRPr="00B66B6B">
        <w:t xml:space="preserve">suggest that </w:t>
      </w:r>
      <w:r w:rsidR="007F1CDB" w:rsidRPr="00B66B6B">
        <w:t xml:space="preserve">the </w:t>
      </w:r>
      <w:r w:rsidR="00AD278E" w:rsidRPr="00B66B6B">
        <w:t xml:space="preserve">construction of infrastructure projects would be the predominant </w:t>
      </w:r>
      <w:r w:rsidR="007F1CDB" w:rsidRPr="00B66B6B">
        <w:t xml:space="preserve">focus for DFAT of SIIP. </w:t>
      </w:r>
      <w:r w:rsidR="00464F6D">
        <w:t>T</w:t>
      </w:r>
      <w:r w:rsidR="00605C3A" w:rsidRPr="00B66B6B">
        <w:t>his points to a shift in priorities</w:t>
      </w:r>
      <w:r w:rsidR="0030118F" w:rsidRPr="00B66B6B">
        <w:t xml:space="preserve"> held</w:t>
      </w:r>
      <w:r w:rsidR="00605C3A" w:rsidRPr="00B66B6B">
        <w:t xml:space="preserve"> by DFAT </w:t>
      </w:r>
      <w:r w:rsidR="0030118F" w:rsidRPr="00B66B6B">
        <w:t xml:space="preserve">between the program’s design in 2020 and the MTR in 2024. </w:t>
      </w:r>
    </w:p>
    <w:p w14:paraId="4FB6367B" w14:textId="5920ED13" w:rsidR="00102C63" w:rsidRPr="00B66B6B" w:rsidRDefault="00D657C7" w:rsidP="00015087">
      <w:r>
        <w:rPr>
          <w:rStyle w:val="HeadlinefindingChar"/>
        </w:rPr>
        <w:t xml:space="preserve">The </w:t>
      </w:r>
      <w:r w:rsidR="00735FB4" w:rsidRPr="00B66B6B">
        <w:rPr>
          <w:rStyle w:val="HeadlinefindingChar"/>
        </w:rPr>
        <w:t>SIIP</w:t>
      </w:r>
      <w:r w:rsidR="0007653E" w:rsidRPr="00B66B6B">
        <w:rPr>
          <w:rStyle w:val="HeadlinefindingChar"/>
        </w:rPr>
        <w:t xml:space="preserve"> </w:t>
      </w:r>
      <w:r w:rsidR="00735FB4" w:rsidRPr="00B66B6B">
        <w:rPr>
          <w:rStyle w:val="HeadlinefindingChar"/>
        </w:rPr>
        <w:t xml:space="preserve">design </w:t>
      </w:r>
      <w:r w:rsidR="00E8771C" w:rsidRPr="00B66B6B">
        <w:rPr>
          <w:rStyle w:val="HeadlinefindingChar"/>
        </w:rPr>
        <w:t xml:space="preserve">responds to </w:t>
      </w:r>
      <w:r w:rsidR="0054714B" w:rsidRPr="00B66B6B">
        <w:rPr>
          <w:rStyle w:val="HeadlinefindingChar"/>
        </w:rPr>
        <w:t xml:space="preserve">significant </w:t>
      </w:r>
      <w:r w:rsidR="00E8771C" w:rsidRPr="00B66B6B">
        <w:rPr>
          <w:rStyle w:val="HeadlinefindingChar"/>
        </w:rPr>
        <w:t xml:space="preserve">capacity gaps in policy and infrastructure delivery </w:t>
      </w:r>
      <w:r w:rsidR="0054714B" w:rsidRPr="00B66B6B">
        <w:rPr>
          <w:rStyle w:val="HeadlinefindingChar"/>
        </w:rPr>
        <w:t xml:space="preserve">within SIG to </w:t>
      </w:r>
      <w:r w:rsidR="00E8771C" w:rsidRPr="00B66B6B">
        <w:rPr>
          <w:rStyle w:val="HeadlinefindingChar"/>
        </w:rPr>
        <w:t>plan, manage, finance, construct</w:t>
      </w:r>
      <w:r w:rsidR="0054714B" w:rsidRPr="00B66B6B">
        <w:rPr>
          <w:rStyle w:val="HeadlinefindingChar"/>
        </w:rPr>
        <w:t xml:space="preserve"> and </w:t>
      </w:r>
      <w:r w:rsidR="00E8771C" w:rsidRPr="00B66B6B">
        <w:rPr>
          <w:rStyle w:val="HeadlinefindingChar"/>
        </w:rPr>
        <w:t>maintain</w:t>
      </w:r>
      <w:r w:rsidR="0054714B" w:rsidRPr="00B66B6B">
        <w:rPr>
          <w:rStyle w:val="HeadlinefindingChar"/>
        </w:rPr>
        <w:t xml:space="preserve"> infrastructure</w:t>
      </w:r>
      <w:r w:rsidR="00EB179B" w:rsidRPr="00B66B6B">
        <w:rPr>
          <w:rStyle w:val="HeadlinefindingChar"/>
        </w:rPr>
        <w:t xml:space="preserve">, through </w:t>
      </w:r>
      <w:r w:rsidR="00CB2237" w:rsidRPr="00B66B6B">
        <w:rPr>
          <w:rStyle w:val="HeadlinefindingChar"/>
        </w:rPr>
        <w:t>technical advice,</w:t>
      </w:r>
      <w:r w:rsidR="007B6DA2" w:rsidRPr="00B66B6B">
        <w:rPr>
          <w:rStyle w:val="HeadlinefindingChar"/>
        </w:rPr>
        <w:t xml:space="preserve"> policy support and</w:t>
      </w:r>
      <w:r w:rsidR="00CB2237" w:rsidRPr="00B66B6B">
        <w:rPr>
          <w:rStyle w:val="HeadlinefindingChar"/>
        </w:rPr>
        <w:t xml:space="preserve"> capacity building</w:t>
      </w:r>
      <w:r w:rsidR="007B6DA2" w:rsidRPr="00B66B6B">
        <w:rPr>
          <w:rStyle w:val="HeadlinefindingChar"/>
        </w:rPr>
        <w:t xml:space="preserve"> with SIG</w:t>
      </w:r>
      <w:r w:rsidR="0054714B" w:rsidRPr="00B66B6B">
        <w:t>.</w:t>
      </w:r>
      <w:r w:rsidR="00E8771C" w:rsidRPr="00B66B6B">
        <w:t xml:space="preserve"> </w:t>
      </w:r>
      <w:r w:rsidR="008F5A24" w:rsidRPr="00B66B6B">
        <w:t xml:space="preserve">SIIP was designed in the context of uncoordinated planning and prioritisation of infrastructure projects in Solomon Islands, with decision making around prioritisation, funding and management of infrastructure assets sitting </w:t>
      </w:r>
      <w:r w:rsidR="00DB0CFD">
        <w:t>across</w:t>
      </w:r>
      <w:r w:rsidR="008F5A24" w:rsidRPr="00B66B6B">
        <w:t xml:space="preserve"> separate government agencies and State Owned Enterprise (SOE)</w:t>
      </w:r>
      <w:r w:rsidR="00DB0CFD">
        <w:t>, namely:</w:t>
      </w:r>
      <w:r w:rsidR="00102C63" w:rsidRPr="00B66B6B">
        <w:t xml:space="preserve"> </w:t>
      </w:r>
      <w:r w:rsidR="008F5A24" w:rsidRPr="00B66B6B">
        <w:t xml:space="preserve">Ministry of National Planning and Development Coordination </w:t>
      </w:r>
      <w:r w:rsidR="008F5A24" w:rsidRPr="00B66B6B">
        <w:lastRenderedPageBreak/>
        <w:t>(MNPDC) for donor financed infrastructure</w:t>
      </w:r>
      <w:r w:rsidR="00015087" w:rsidRPr="00B66B6B">
        <w:t xml:space="preserve">; </w:t>
      </w:r>
      <w:r w:rsidR="008F5A24" w:rsidRPr="00B66B6B">
        <w:t>Ministry of Finance and Treasury (MOFT) for loan financing</w:t>
      </w:r>
      <w:r w:rsidR="00015087" w:rsidRPr="00B66B6B">
        <w:t xml:space="preserve">; </w:t>
      </w:r>
      <w:r w:rsidR="008F5A24" w:rsidRPr="00B66B6B">
        <w:t>SOEs for delivery of electricity and water services and management of airports and ports</w:t>
      </w:r>
      <w:r w:rsidR="00015087" w:rsidRPr="00B66B6B">
        <w:t xml:space="preserve">; </w:t>
      </w:r>
      <w:r w:rsidR="323AE3C8">
        <w:t xml:space="preserve">and </w:t>
      </w:r>
      <w:r w:rsidR="008F5A24" w:rsidRPr="00B66B6B">
        <w:t xml:space="preserve">Ministry of Infrastructure Development for roads, bridges, wharves jetties and some buildings. </w:t>
      </w:r>
    </w:p>
    <w:p w14:paraId="46D54697" w14:textId="77777777" w:rsidR="00EB179B" w:rsidRPr="00B66B6B" w:rsidRDefault="00EB179B" w:rsidP="00EB179B">
      <w:pPr>
        <w:pStyle w:val="Quote"/>
      </w:pPr>
      <w:r w:rsidRPr="00B66B6B">
        <w:t>Relevant TOC Element: End of Program Outcome 1 “SIG and industry have enhanced sustainable capacities to plan, manage, finance, construct and maintain critical economic infrastructure”</w:t>
      </w:r>
    </w:p>
    <w:p w14:paraId="6C56F212" w14:textId="72A86C60" w:rsidR="006016F3" w:rsidRPr="00B66B6B" w:rsidRDefault="005E353A" w:rsidP="00102C63">
      <w:r w:rsidRPr="00B66B6B">
        <w:rPr>
          <w:rStyle w:val="HeadlinefindingChar"/>
        </w:rPr>
        <w:t xml:space="preserve">In providing capacity building to local industry, SIIP </w:t>
      </w:r>
      <w:r w:rsidR="00AC611C" w:rsidRPr="00B66B6B">
        <w:rPr>
          <w:rStyle w:val="HeadlinefindingChar"/>
        </w:rPr>
        <w:t>sets out</w:t>
      </w:r>
      <w:r w:rsidRPr="00B66B6B">
        <w:rPr>
          <w:rStyle w:val="HeadlinefindingChar"/>
        </w:rPr>
        <w:t xml:space="preserve"> to respond to some of the weaknesses in the construction sector, however the design was </w:t>
      </w:r>
      <w:r w:rsidR="005817E3" w:rsidRPr="00B66B6B">
        <w:rPr>
          <w:rStyle w:val="HeadlinefindingChar"/>
        </w:rPr>
        <w:t>overly ambitious in</w:t>
      </w:r>
      <w:r w:rsidR="00E16BF9" w:rsidRPr="00B66B6B">
        <w:rPr>
          <w:rStyle w:val="HeadlinefindingChar"/>
        </w:rPr>
        <w:t xml:space="preserve"> the</w:t>
      </w:r>
      <w:r w:rsidR="005817E3" w:rsidRPr="00B66B6B">
        <w:rPr>
          <w:rStyle w:val="HeadlinefindingChar"/>
        </w:rPr>
        <w:t xml:space="preserve"> </w:t>
      </w:r>
      <w:r w:rsidR="00E16BF9" w:rsidRPr="00B66B6B">
        <w:rPr>
          <w:rStyle w:val="HeadlinefindingChar"/>
        </w:rPr>
        <w:t xml:space="preserve">time </w:t>
      </w:r>
      <w:r w:rsidR="00A21C3D" w:rsidRPr="00B66B6B">
        <w:rPr>
          <w:rStyle w:val="HeadlinefindingChar"/>
        </w:rPr>
        <w:t>needed to instigate the level of change needed</w:t>
      </w:r>
      <w:r w:rsidR="00F927DA" w:rsidRPr="00B66B6B">
        <w:rPr>
          <w:rStyle w:val="HeadlinefindingChar"/>
        </w:rPr>
        <w:t xml:space="preserve">, and </w:t>
      </w:r>
      <w:r w:rsidR="002645C5" w:rsidRPr="00B66B6B">
        <w:rPr>
          <w:rStyle w:val="HeadlinefindingChar"/>
        </w:rPr>
        <w:t>misses the more systemic constraints that lead to those weaknesses</w:t>
      </w:r>
      <w:r w:rsidR="00164828" w:rsidRPr="00B66B6B">
        <w:rPr>
          <w:rStyle w:val="HeadlinefindingChar"/>
        </w:rPr>
        <w:t xml:space="preserve">. </w:t>
      </w:r>
      <w:r w:rsidR="0038124A" w:rsidRPr="00B66B6B">
        <w:rPr>
          <w:rStyle w:val="HeadlinefindingChar"/>
          <w:b w:val="0"/>
          <w:bCs w:val="0"/>
        </w:rPr>
        <w:t>T</w:t>
      </w:r>
      <w:r w:rsidR="00777CB1" w:rsidRPr="00B66B6B">
        <w:t xml:space="preserve">he </w:t>
      </w:r>
      <w:r w:rsidR="00C17FE2" w:rsidRPr="00B66B6B">
        <w:t>broad range of barriers to a well-functioning, highly skilled</w:t>
      </w:r>
      <w:r w:rsidR="00920F4D" w:rsidRPr="00B66B6B">
        <w:t>, abundant</w:t>
      </w:r>
      <w:r w:rsidR="00164828" w:rsidRPr="00B66B6B">
        <w:t>,</w:t>
      </w:r>
      <w:r w:rsidR="00C17FE2" w:rsidRPr="00B66B6B">
        <w:t xml:space="preserve"> and responsive local industry</w:t>
      </w:r>
      <w:r w:rsidR="00777CB1" w:rsidRPr="00B66B6B">
        <w:t xml:space="preserve"> in </w:t>
      </w:r>
      <w:r w:rsidR="00F835C1">
        <w:t>Solomon Islands</w:t>
      </w:r>
      <w:r w:rsidR="00F835C1" w:rsidRPr="00B66B6B">
        <w:t xml:space="preserve"> </w:t>
      </w:r>
      <w:r w:rsidR="00777CB1" w:rsidRPr="00B66B6B">
        <w:t xml:space="preserve">are </w:t>
      </w:r>
      <w:r w:rsidR="00EF687C" w:rsidRPr="00B66B6B">
        <w:t xml:space="preserve">outlined </w:t>
      </w:r>
      <w:r w:rsidR="00777CB1" w:rsidRPr="00B66B6B">
        <w:t xml:space="preserve">to some extent </w:t>
      </w:r>
      <w:r w:rsidR="00EF687C" w:rsidRPr="00B66B6B">
        <w:t>in the program design document (Annex A)</w:t>
      </w:r>
      <w:r w:rsidR="00DB0CFD">
        <w:t xml:space="preserve">. </w:t>
      </w:r>
      <w:r w:rsidR="00DC1E3F">
        <w:t>H</w:t>
      </w:r>
      <w:r w:rsidR="00DC1E3F" w:rsidRPr="00B66B6B">
        <w:t>owever,</w:t>
      </w:r>
      <w:r w:rsidR="00EF687C" w:rsidRPr="00B66B6B">
        <w:t xml:space="preserve"> </w:t>
      </w:r>
      <w:r w:rsidR="00164828" w:rsidRPr="00B66B6B">
        <w:t>the</w:t>
      </w:r>
      <w:r w:rsidR="00DB0CFD">
        <w:t>se barriers</w:t>
      </w:r>
      <w:r w:rsidR="00164828" w:rsidRPr="00B66B6B">
        <w:t xml:space="preserve"> are </w:t>
      </w:r>
      <w:r w:rsidR="00EF687C" w:rsidRPr="00B66B6B">
        <w:t>not treated as assumptions or specifically addressed in the theory of change</w:t>
      </w:r>
      <w:r w:rsidR="00777CB1" w:rsidRPr="00B66B6B">
        <w:t xml:space="preserve">, </w:t>
      </w:r>
      <w:r w:rsidR="00164828" w:rsidRPr="00B66B6B">
        <w:t xml:space="preserve">particularly </w:t>
      </w:r>
      <w:r w:rsidR="00777CB1" w:rsidRPr="00B66B6B">
        <w:t xml:space="preserve">given the realistic timeframes it might take to build up the scale, </w:t>
      </w:r>
      <w:r w:rsidR="00BE0ECE" w:rsidRPr="00B66B6B">
        <w:t>skills,</w:t>
      </w:r>
      <w:r w:rsidR="00777CB1" w:rsidRPr="00B66B6B">
        <w:t xml:space="preserve"> and experience of the sector</w:t>
      </w:r>
      <w:r w:rsidR="00920F4D" w:rsidRPr="00B66B6B">
        <w:t>. Those noted in the design document include:</w:t>
      </w:r>
    </w:p>
    <w:p w14:paraId="5E6742A8" w14:textId="3AF432AA" w:rsidR="00C17FE2" w:rsidRPr="00B66B6B" w:rsidRDefault="00C17FE2" w:rsidP="00864DDD">
      <w:pPr>
        <w:pStyle w:val="ListParagraph"/>
        <w:numPr>
          <w:ilvl w:val="0"/>
          <w:numId w:val="13"/>
        </w:numPr>
      </w:pPr>
      <w:r w:rsidRPr="00B66B6B">
        <w:t>Limited capacity of local industry, both in scale and experience, exacerbated by the lack of a consistent pipeline of work and few graduates / skilled workers entering the workforce.</w:t>
      </w:r>
    </w:p>
    <w:p w14:paraId="372B5069" w14:textId="63FE54AC" w:rsidR="001417E6" w:rsidRPr="00B66B6B" w:rsidRDefault="00DB0CFD" w:rsidP="00864DDD">
      <w:pPr>
        <w:pStyle w:val="ListParagraph"/>
        <w:numPr>
          <w:ilvl w:val="0"/>
          <w:numId w:val="13"/>
        </w:numPr>
      </w:pPr>
      <w:r>
        <w:t>N</w:t>
      </w:r>
      <w:r w:rsidR="001417E6" w:rsidRPr="00B66B6B">
        <w:t>umerous smaller building companies with limited financial and technical capacity. The smaller companies are often unable to meet the strenuous financial, quality and safety requirements of donors</w:t>
      </w:r>
      <w:r w:rsidR="00B32E5D">
        <w:t>.</w:t>
      </w:r>
    </w:p>
    <w:p w14:paraId="59F2CAF8" w14:textId="40857735" w:rsidR="00B74230" w:rsidRPr="00B66B6B" w:rsidRDefault="00DB0CFD" w:rsidP="00864DDD">
      <w:pPr>
        <w:pStyle w:val="ListParagraph"/>
        <w:numPr>
          <w:ilvl w:val="0"/>
          <w:numId w:val="13"/>
        </w:numPr>
      </w:pPr>
      <w:r>
        <w:t>N</w:t>
      </w:r>
      <w:r w:rsidR="00B74230" w:rsidRPr="00B66B6B">
        <w:t>o professional accrediting body or institute. Most of the practicing engineers and architects are registered regionally</w:t>
      </w:r>
      <w:r w:rsidR="00B32E5D">
        <w:t>.</w:t>
      </w:r>
    </w:p>
    <w:p w14:paraId="58F2ED10" w14:textId="39F4A828" w:rsidR="00C17FE2" w:rsidRPr="00B66B6B" w:rsidRDefault="00777CB1" w:rsidP="00102C63">
      <w:r w:rsidRPr="00B66B6B">
        <w:t>Additional barriers</w:t>
      </w:r>
      <w:r w:rsidR="007D574B" w:rsidRPr="00B66B6B">
        <w:t xml:space="preserve"> to local industry</w:t>
      </w:r>
      <w:r w:rsidRPr="00B66B6B">
        <w:t xml:space="preserve"> found </w:t>
      </w:r>
      <w:r w:rsidR="007D574B" w:rsidRPr="00B66B6B">
        <w:t>during</w:t>
      </w:r>
      <w:r w:rsidRPr="00B66B6B">
        <w:t xml:space="preserve"> the MTR include:</w:t>
      </w:r>
    </w:p>
    <w:p w14:paraId="28294AAB" w14:textId="43803065" w:rsidR="00DB0CFD" w:rsidRDefault="00777CB1" w:rsidP="00864DDD">
      <w:pPr>
        <w:pStyle w:val="ListParagraph"/>
        <w:numPr>
          <w:ilvl w:val="0"/>
          <w:numId w:val="14"/>
        </w:numPr>
      </w:pPr>
      <w:r w:rsidRPr="00B66B6B">
        <w:t xml:space="preserve">The </w:t>
      </w:r>
      <w:r w:rsidR="005F0DED" w:rsidRPr="00B66B6B">
        <w:t>limited availability of</w:t>
      </w:r>
      <w:r w:rsidR="00EA5F6E" w:rsidRPr="00B66B6B">
        <w:t xml:space="preserve"> insurance and indemnity liabilities</w:t>
      </w:r>
      <w:r w:rsidR="005F0DED" w:rsidRPr="00B66B6B">
        <w:t xml:space="preserve">, </w:t>
      </w:r>
      <w:r w:rsidR="00DB0CFD">
        <w:t xml:space="preserve">which </w:t>
      </w:r>
      <w:r w:rsidR="007E2108">
        <w:t xml:space="preserve">limits the engagement of </w:t>
      </w:r>
      <w:r w:rsidR="007C0CBC">
        <w:t>smaller, local</w:t>
      </w:r>
      <w:r w:rsidR="007E2108">
        <w:t xml:space="preserve"> construction firms in the tendering process</w:t>
      </w:r>
      <w:r w:rsidR="00356F77">
        <w:t xml:space="preserve"> of SIIP projects</w:t>
      </w:r>
      <w:r w:rsidR="007C0CBC">
        <w:t>, as the process to acquire insurance</w:t>
      </w:r>
      <w:r w:rsidR="00BC3A40">
        <w:t xml:space="preserve"> can be slow and costly.</w:t>
      </w:r>
      <w:r w:rsidR="00356F77">
        <w:t xml:space="preserve"> As one key informant noted, “</w:t>
      </w:r>
      <w:r w:rsidR="00356F77" w:rsidRPr="00356F77">
        <w:t>firms can’t be insured locally, and a 15% tax is applied to international insurance” (KII, MTR of SIIP</w:t>
      </w:r>
      <w:r w:rsidR="00356F77">
        <w:t>).</w:t>
      </w:r>
    </w:p>
    <w:p w14:paraId="0E1868FA" w14:textId="70BD4B9E" w:rsidR="00777CB1" w:rsidRPr="00B66B6B" w:rsidRDefault="004D7ACE" w:rsidP="00864DDD">
      <w:pPr>
        <w:pStyle w:val="ListParagraph"/>
        <w:numPr>
          <w:ilvl w:val="0"/>
          <w:numId w:val="14"/>
        </w:numPr>
      </w:pPr>
      <w:r w:rsidRPr="00B66B6B">
        <w:t xml:space="preserve">The </w:t>
      </w:r>
      <w:r w:rsidR="006F03DB" w:rsidRPr="00B66B6B">
        <w:t xml:space="preserve">immature </w:t>
      </w:r>
      <w:r w:rsidRPr="00B66B6B">
        <w:t xml:space="preserve">nature of </w:t>
      </w:r>
      <w:r w:rsidR="006F03DB" w:rsidRPr="00B66B6B">
        <w:t xml:space="preserve">the </w:t>
      </w:r>
      <w:r w:rsidRPr="00B66B6B">
        <w:t>cons</w:t>
      </w:r>
      <w:r w:rsidR="006F03DB" w:rsidRPr="00B66B6B">
        <w:t xml:space="preserve">truction sector in </w:t>
      </w:r>
      <w:r w:rsidR="0053594C">
        <w:t>Solomon Islands</w:t>
      </w:r>
      <w:r w:rsidR="006F03DB" w:rsidRPr="00B66B6B">
        <w:t xml:space="preserve">, such that “many </w:t>
      </w:r>
      <w:r w:rsidRPr="00B66B6B">
        <w:t xml:space="preserve">are family </w:t>
      </w:r>
      <w:r w:rsidR="006F03DB" w:rsidRPr="00B66B6B">
        <w:t xml:space="preserve">run </w:t>
      </w:r>
      <w:r w:rsidRPr="00B66B6B">
        <w:t>businesses that bring in casual workers, so for them investing in their workers isn’t really thought about as the workers are casual</w:t>
      </w:r>
      <w:r w:rsidR="006F03DB" w:rsidRPr="00B66B6B">
        <w:t>” (KII, MTR of SIIP).</w:t>
      </w:r>
      <w:r w:rsidRPr="00B66B6B">
        <w:t xml:space="preserve">  </w:t>
      </w:r>
    </w:p>
    <w:p w14:paraId="199D6F64" w14:textId="4983CAB1" w:rsidR="00F468C1" w:rsidRPr="00B66B6B" w:rsidRDefault="00164828" w:rsidP="00102C63">
      <w:r w:rsidRPr="00B66B6B">
        <w:rPr>
          <w:rStyle w:val="HeadlinefindingChar"/>
        </w:rPr>
        <w:t>T</w:t>
      </w:r>
      <w:r w:rsidR="001A30C3" w:rsidRPr="00B66B6B">
        <w:rPr>
          <w:rStyle w:val="HeadlinefindingChar"/>
        </w:rPr>
        <w:t xml:space="preserve">he </w:t>
      </w:r>
      <w:r w:rsidR="00E94EE7" w:rsidRPr="00B66B6B">
        <w:rPr>
          <w:rStyle w:val="HeadlinefindingChar"/>
        </w:rPr>
        <w:t>capacity building efforts</w:t>
      </w:r>
      <w:r w:rsidR="001A30C3" w:rsidRPr="00B66B6B">
        <w:rPr>
          <w:rStyle w:val="HeadlinefindingChar"/>
        </w:rPr>
        <w:t xml:space="preserve"> and exposure to demonstration projects as part of SIIP, while useful, </w:t>
      </w:r>
      <w:r w:rsidR="00E94EE7" w:rsidRPr="00B66B6B">
        <w:rPr>
          <w:rStyle w:val="HeadlinefindingChar"/>
        </w:rPr>
        <w:t>do not respond to</w:t>
      </w:r>
      <w:r w:rsidR="0069699B" w:rsidRPr="00B66B6B">
        <w:rPr>
          <w:rStyle w:val="HeadlinefindingChar"/>
        </w:rPr>
        <w:t xml:space="preserve"> some of</w:t>
      </w:r>
      <w:r w:rsidR="00E94EE7" w:rsidRPr="00B66B6B">
        <w:rPr>
          <w:rStyle w:val="HeadlinefindingChar"/>
        </w:rPr>
        <w:t xml:space="preserve"> </w:t>
      </w:r>
      <w:r w:rsidRPr="00B66B6B">
        <w:rPr>
          <w:rStyle w:val="HeadlinefindingChar"/>
        </w:rPr>
        <w:t>the</w:t>
      </w:r>
      <w:r w:rsidR="00E94EE7" w:rsidRPr="00B66B6B">
        <w:rPr>
          <w:rStyle w:val="HeadlinefindingChar"/>
        </w:rPr>
        <w:t xml:space="preserve"> core </w:t>
      </w:r>
      <w:r w:rsidR="005E353A" w:rsidRPr="00B66B6B">
        <w:rPr>
          <w:rStyle w:val="HeadlinefindingChar"/>
        </w:rPr>
        <w:t>constraints</w:t>
      </w:r>
      <w:r w:rsidR="00E94EE7" w:rsidRPr="00B66B6B">
        <w:rPr>
          <w:rStyle w:val="HeadlinefindingChar"/>
        </w:rPr>
        <w:t xml:space="preserve"> facing the local </w:t>
      </w:r>
      <w:r w:rsidR="001A30C3" w:rsidRPr="00B66B6B">
        <w:rPr>
          <w:rStyle w:val="HeadlinefindingChar"/>
        </w:rPr>
        <w:t>construction industry</w:t>
      </w:r>
      <w:r w:rsidRPr="00B66B6B">
        <w:rPr>
          <w:rStyle w:val="HeadlinefindingChar"/>
        </w:rPr>
        <w:t xml:space="preserve"> in </w:t>
      </w:r>
      <w:r w:rsidR="0079467C" w:rsidRPr="00B66B6B">
        <w:rPr>
          <w:rStyle w:val="HeadlinefindingChar"/>
        </w:rPr>
        <w:t>levelling up to deliver the types of mid-size and large projects run by SIIP and others</w:t>
      </w:r>
      <w:r w:rsidR="0079467C" w:rsidRPr="00B66B6B">
        <w:t>.</w:t>
      </w:r>
      <w:r w:rsidR="0038124A" w:rsidRPr="00B66B6B">
        <w:t xml:space="preserve"> SIIP focus on local content and building local capacity has strong support</w:t>
      </w:r>
      <w:r w:rsidR="0069699B" w:rsidRPr="00B66B6B">
        <w:t xml:space="preserve"> amongst SIG</w:t>
      </w:r>
      <w:r w:rsidR="0038124A" w:rsidRPr="00B66B6B">
        <w:t>, however</w:t>
      </w:r>
      <w:r w:rsidR="00B5459E" w:rsidRPr="00B66B6B">
        <w:t xml:space="preserve"> </w:t>
      </w:r>
      <w:r w:rsidR="00752311" w:rsidRPr="00B66B6B">
        <w:t xml:space="preserve">including </w:t>
      </w:r>
      <w:r w:rsidR="00B5459E" w:rsidRPr="00B66B6B">
        <w:t xml:space="preserve">local content </w:t>
      </w:r>
      <w:r w:rsidR="00752311" w:rsidRPr="00B66B6B">
        <w:t>as a guiding principle in the d</w:t>
      </w:r>
      <w:r w:rsidR="00D26D54" w:rsidRPr="00B66B6B">
        <w:t>ecision making and delivery of the</w:t>
      </w:r>
      <w:r w:rsidR="00AF3F12" w:rsidRPr="00B66B6B">
        <w:t xml:space="preserve"> program</w:t>
      </w:r>
      <w:r w:rsidR="00250479" w:rsidRPr="00B66B6B">
        <w:t>,</w:t>
      </w:r>
      <w:r w:rsidR="005B7C91" w:rsidRPr="00B66B6B">
        <w:t xml:space="preserve"> without a wholistic approach to </w:t>
      </w:r>
      <w:r w:rsidR="00AA613F" w:rsidRPr="00B66B6B">
        <w:t xml:space="preserve">breaking down systemic barriers, </w:t>
      </w:r>
      <w:r w:rsidR="00A76478" w:rsidRPr="00B66B6B">
        <w:t>indicates a risk to</w:t>
      </w:r>
      <w:r w:rsidR="00AA613F" w:rsidRPr="00B66B6B">
        <w:t xml:space="preserve"> the extent to which local industry</w:t>
      </w:r>
      <w:r w:rsidR="00A76478" w:rsidRPr="00B66B6B">
        <w:t xml:space="preserve"> may</w:t>
      </w:r>
      <w:r w:rsidR="00AA613F" w:rsidRPr="00B66B6B">
        <w:t xml:space="preserve"> be able to engage in delivery of projects, particularly in its first phase. </w:t>
      </w:r>
      <w:r w:rsidR="00250479" w:rsidRPr="00B66B6B">
        <w:t xml:space="preserve"> </w:t>
      </w:r>
    </w:p>
    <w:p w14:paraId="7C82E350" w14:textId="035EECFF" w:rsidR="00340ABB" w:rsidRPr="00B66B6B" w:rsidRDefault="00340ABB" w:rsidP="00340ABB">
      <w:pPr>
        <w:pStyle w:val="Quote"/>
      </w:pPr>
      <w:r w:rsidRPr="00B66B6B">
        <w:t xml:space="preserve">Relevant TOC Element: </w:t>
      </w:r>
      <w:r w:rsidR="0065752A" w:rsidRPr="00B66B6B">
        <w:t xml:space="preserve">Intermediate Outcome 2 “Knowledge, partnerships, systems and skills required to build </w:t>
      </w:r>
      <w:proofErr w:type="gramStart"/>
      <w:r w:rsidR="0065752A" w:rsidRPr="00B66B6B">
        <w:t>quality,</w:t>
      </w:r>
      <w:proofErr w:type="gramEnd"/>
      <w:r w:rsidR="0065752A" w:rsidRPr="00B66B6B">
        <w:t xml:space="preserve"> life-cycle informed, inclusive infrastructure are enhanced</w:t>
      </w:r>
      <w:r w:rsidRPr="00B66B6B">
        <w:t>”</w:t>
      </w:r>
    </w:p>
    <w:p w14:paraId="34B38C47" w14:textId="0410B1A1" w:rsidR="000117E1" w:rsidRPr="00B66B6B" w:rsidRDefault="0078736F" w:rsidP="00AB58FF">
      <w:pPr>
        <w:pStyle w:val="Heading3"/>
      </w:pPr>
      <w:r w:rsidRPr="00B66B6B">
        <w:t xml:space="preserve">EQ2: </w:t>
      </w:r>
      <w:r w:rsidR="000117E1" w:rsidRPr="00B66B6B">
        <w:t>To what extent does the design of the Program respond to the priorities and needs of the donor, namely the Australian Government?</w:t>
      </w:r>
    </w:p>
    <w:p w14:paraId="6330EAF5" w14:textId="69C03F23" w:rsidR="002A475A" w:rsidRDefault="009750FB" w:rsidP="000B23E6">
      <w:r w:rsidRPr="00F45F81">
        <w:rPr>
          <w:rStyle w:val="HeadlinefindingChar"/>
        </w:rPr>
        <w:t xml:space="preserve">SIIP was relevant to the Australian </w:t>
      </w:r>
      <w:r w:rsidR="009553CE">
        <w:rPr>
          <w:rStyle w:val="HeadlinefindingChar"/>
        </w:rPr>
        <w:t>G</w:t>
      </w:r>
      <w:r w:rsidRPr="00F45F81">
        <w:rPr>
          <w:rStyle w:val="HeadlinefindingChar"/>
        </w:rPr>
        <w:t xml:space="preserve">overnment priorities </w:t>
      </w:r>
      <w:r w:rsidR="001B4CE0" w:rsidRPr="00F45F81">
        <w:rPr>
          <w:rStyle w:val="HeadlinefindingChar"/>
        </w:rPr>
        <w:t xml:space="preserve">at the time of design and </w:t>
      </w:r>
      <w:r w:rsidR="00F45F81" w:rsidRPr="00F45F81">
        <w:rPr>
          <w:rStyle w:val="HeadlinefindingChar"/>
        </w:rPr>
        <w:t>remains relevant in</w:t>
      </w:r>
      <w:r w:rsidR="00976096" w:rsidRPr="00F45F81">
        <w:rPr>
          <w:rStyle w:val="HeadlinefindingChar"/>
        </w:rPr>
        <w:t xml:space="preserve"> the current policy context.</w:t>
      </w:r>
      <w:r w:rsidR="00976096">
        <w:t xml:space="preserve"> </w:t>
      </w:r>
      <w:r w:rsidR="000B23E6" w:rsidRPr="00B66B6B">
        <w:t xml:space="preserve">SIIP was designed in the context of the 2017 </w:t>
      </w:r>
      <w:r w:rsidR="002A475A" w:rsidRPr="00B66B6B">
        <w:t>White Paper</w:t>
      </w:r>
      <w:r w:rsidR="000B23E6" w:rsidRPr="00B66B6B">
        <w:t>, which</w:t>
      </w:r>
      <w:r w:rsidR="002A475A" w:rsidRPr="00B66B6B">
        <w:t xml:space="preserve"> highlighted Australia’s commitment to developing new infrastructure in line with international principles, consistent with robust social and environmental safeguards, and maximising development </w:t>
      </w:r>
      <w:r w:rsidR="002A475A" w:rsidRPr="00B66B6B">
        <w:lastRenderedPageBreak/>
        <w:t>impact, including through Australia’s commitment to gender equality and disability inclusion</w:t>
      </w:r>
      <w:r w:rsidR="000B23E6" w:rsidRPr="00B66B6B">
        <w:t xml:space="preserve">. The White Paper </w:t>
      </w:r>
      <w:r w:rsidR="00536C57" w:rsidRPr="00B66B6B">
        <w:t>set out a</w:t>
      </w:r>
      <w:r w:rsidR="000B23E6" w:rsidRPr="00B66B6B">
        <w:t xml:space="preserve"> renewed commitment to Pacific Island economies</w:t>
      </w:r>
      <w:r w:rsidR="00536C57" w:rsidRPr="00B66B6B">
        <w:t xml:space="preserve">, </w:t>
      </w:r>
      <w:r w:rsidR="001E2ADF" w:rsidRPr="00B66B6B">
        <w:t xml:space="preserve">driven by </w:t>
      </w:r>
      <w:r w:rsidR="00536C57" w:rsidRPr="00B66B6B">
        <w:t xml:space="preserve">economic growth through </w:t>
      </w:r>
      <w:r w:rsidR="001E2ADF" w:rsidRPr="00B66B6B">
        <w:t xml:space="preserve">improvements in inclusive </w:t>
      </w:r>
      <w:r w:rsidR="00536C57" w:rsidRPr="00B66B6B">
        <w:t>infrastructure.</w:t>
      </w:r>
      <w:r w:rsidR="001E2ADF" w:rsidRPr="00B66B6B">
        <w:t xml:space="preserve"> </w:t>
      </w:r>
    </w:p>
    <w:p w14:paraId="5A7A3F60" w14:textId="0273B9FC" w:rsidR="00976096" w:rsidRDefault="005B624E" w:rsidP="000B23E6">
      <w:r>
        <w:t>With the release of Australia’s new International Development Policy</w:t>
      </w:r>
      <w:r w:rsidR="00981D11">
        <w:t xml:space="preserve"> (IDP)</w:t>
      </w:r>
      <w:r>
        <w:t xml:space="preserve"> in 2023, </w:t>
      </w:r>
      <w:r w:rsidR="00976096">
        <w:t>the review found that</w:t>
      </w:r>
      <w:r w:rsidR="00602BAF">
        <w:t xml:space="preserve"> work is </w:t>
      </w:r>
      <w:r w:rsidR="00976096">
        <w:t>underway</w:t>
      </w:r>
      <w:r w:rsidR="00602BAF">
        <w:t xml:space="preserve"> within SIIP to ensure that delivery aligns with new requirements around </w:t>
      </w:r>
      <w:r w:rsidR="009750FB">
        <w:t>GEDSI, climate change</w:t>
      </w:r>
      <w:r w:rsidR="007D57B8">
        <w:t>,</w:t>
      </w:r>
      <w:r w:rsidR="00100EA0">
        <w:t xml:space="preserve"> and</w:t>
      </w:r>
      <w:r w:rsidR="009750FB">
        <w:t xml:space="preserve"> working with local actors. </w:t>
      </w:r>
      <w:r w:rsidR="00976096">
        <w:t>The guiding principles such as prioritising</w:t>
      </w:r>
      <w:r w:rsidR="00CE0F83">
        <w:t xml:space="preserve"> </w:t>
      </w:r>
      <w:r w:rsidR="006A42D0">
        <w:t xml:space="preserve">inclusivity of </w:t>
      </w:r>
      <w:r w:rsidR="00CE0F83">
        <w:t>activities and outcomes</w:t>
      </w:r>
      <w:r w:rsidR="005F3790">
        <w:t xml:space="preserve"> (GEDSI)</w:t>
      </w:r>
      <w:r w:rsidR="00CE0F83">
        <w:t>, CCDR, and local content</w:t>
      </w:r>
      <w:r w:rsidR="005F3790">
        <w:t xml:space="preserve">, are aligned with the IDP 2023. </w:t>
      </w:r>
      <w:r w:rsidR="00A53596">
        <w:t xml:space="preserve">Infrastructure remains high on Australia’s development agenda in the Pacific, as a means for </w:t>
      </w:r>
      <w:r w:rsidR="00240256">
        <w:t xml:space="preserve">supporting economic growth and social development, </w:t>
      </w:r>
      <w:r w:rsidR="00286C1B">
        <w:t xml:space="preserve">supporting partner government capability to deliver and maintain infrastructure, </w:t>
      </w:r>
      <w:r w:rsidR="00240256">
        <w:t xml:space="preserve">and in line with </w:t>
      </w:r>
      <w:r w:rsidR="00286C1B">
        <w:t>partner governments’ priorities</w:t>
      </w:r>
      <w:r w:rsidR="00AE72EF">
        <w:t>.</w:t>
      </w:r>
    </w:p>
    <w:p w14:paraId="314AC9BB" w14:textId="10382310" w:rsidR="004D2BC8" w:rsidRPr="00B66B6B" w:rsidRDefault="004D2BC8" w:rsidP="004D2BC8">
      <w:pPr>
        <w:pStyle w:val="Heading3"/>
      </w:pPr>
      <w:r w:rsidRPr="00B66B6B">
        <w:t>EQ3. How does the design of SIIP remain responsive to changes in those priorities and needs?</w:t>
      </w:r>
    </w:p>
    <w:p w14:paraId="7D75932A" w14:textId="01390D37" w:rsidR="00826E25" w:rsidRPr="006478C0" w:rsidRDefault="00826E25" w:rsidP="00826E25">
      <w:r w:rsidRPr="006478C0">
        <w:rPr>
          <w:rStyle w:val="HeadlinefindingChar"/>
        </w:rPr>
        <w:t xml:space="preserve">The context in Solomon Islands has shifted significantly since SIIP was </w:t>
      </w:r>
      <w:r w:rsidR="006478C0" w:rsidRPr="006478C0">
        <w:rPr>
          <w:rStyle w:val="HeadlinefindingChar"/>
        </w:rPr>
        <w:t xml:space="preserve">announced (2019), </w:t>
      </w:r>
      <w:r w:rsidRPr="006478C0">
        <w:rPr>
          <w:rStyle w:val="HeadlinefindingChar"/>
        </w:rPr>
        <w:t>designed (2020) and launched (2021).</w:t>
      </w:r>
      <w:r w:rsidRPr="006478C0">
        <w:t xml:space="preserve"> Slowed economic growth since COVID-19, coupled with significant growth in development-funded construction programs has created a rapidly changing infrastructure financing environment and influx of investment from development partners.</w:t>
      </w:r>
    </w:p>
    <w:p w14:paraId="50CEFBC3" w14:textId="1C781868" w:rsidR="0078736F" w:rsidRDefault="00EB533F" w:rsidP="004D2BC8">
      <w:r>
        <w:rPr>
          <w:rStyle w:val="HeadlinefindingChar"/>
        </w:rPr>
        <w:t>The evolving situation in Solomon Islands since SIIP was announced in 2019 means that both SIG and Australia are now giving higher priority to the timely delivery of high quality infrastructure (EOPO2) which will require some rebalancing between program objectives</w:t>
      </w:r>
      <w:r w:rsidR="00B5760B" w:rsidRPr="00EB533F">
        <w:rPr>
          <w:rStyle w:val="HeadlinefindingChar"/>
          <w:b w:val="0"/>
          <w:bCs w:val="0"/>
        </w:rPr>
        <w:t xml:space="preserve">.  At the time </w:t>
      </w:r>
      <w:r w:rsidR="00B5760B">
        <w:rPr>
          <w:rStyle w:val="HeadlinefindingChar"/>
          <w:b w:val="0"/>
          <w:bCs w:val="0"/>
        </w:rPr>
        <w:t>SIIP was designed it was envisaged that SIG would present a prioritised list of investments to the SC for endorsement.  Given limited SIG ownership of the previous PRIF supported 2021 pipeline, however, t</w:t>
      </w:r>
      <w:r>
        <w:rPr>
          <w:rStyle w:val="HeadlinefindingChar"/>
          <w:b w:val="0"/>
          <w:bCs w:val="0"/>
        </w:rPr>
        <w:t xml:space="preserve">his proved challenging.  Australian priorities have also evolved </w:t>
      </w:r>
      <w:r w:rsidR="00495651" w:rsidRPr="00C2550B">
        <w:rPr>
          <w:rStyle w:val="HeadlinefindingChar"/>
          <w:b w:val="0"/>
          <w:bCs w:val="0"/>
        </w:rPr>
        <w:t>since the design of SIIP in 2020</w:t>
      </w:r>
      <w:r w:rsidR="00495651" w:rsidRPr="006478C0">
        <w:t xml:space="preserve">, </w:t>
      </w:r>
      <w:r>
        <w:t>especially given increasing strategic competition.  As a result, t</w:t>
      </w:r>
      <w:r w:rsidR="00722EC3" w:rsidRPr="006478C0">
        <w:t xml:space="preserve">he focus is </w:t>
      </w:r>
      <w:r>
        <w:t xml:space="preserve">now more </w:t>
      </w:r>
      <w:r w:rsidR="00722EC3" w:rsidRPr="006478C0">
        <w:t xml:space="preserve">firmly on the delivery of high quality infrastructure (EOPO2), driven somewhat by the need to raise visibility of Australia’s contributions to the </w:t>
      </w:r>
      <w:r w:rsidR="00B72A74" w:rsidRPr="006478C0">
        <w:t xml:space="preserve">Solomon Islands </w:t>
      </w:r>
      <w:r w:rsidR="00722EC3" w:rsidRPr="006478C0">
        <w:t>economy</w:t>
      </w:r>
      <w:r w:rsidR="00C71291" w:rsidRPr="006478C0">
        <w:t xml:space="preserve">: </w:t>
      </w:r>
      <w:r w:rsidR="00722EC3" w:rsidRPr="006478C0">
        <w:t xml:space="preserve">high quality, </w:t>
      </w:r>
      <w:r w:rsidR="00C71291" w:rsidRPr="006478C0">
        <w:t xml:space="preserve">inclusive </w:t>
      </w:r>
      <w:r w:rsidR="00722EC3" w:rsidRPr="006478C0">
        <w:t>infrastructure</w:t>
      </w:r>
      <w:r w:rsidR="00C71291" w:rsidRPr="006478C0">
        <w:t>. P</w:t>
      </w:r>
      <w:r w:rsidR="00722EC3" w:rsidRPr="006478C0">
        <w:t xml:space="preserve">ublic diplomacy in </w:t>
      </w:r>
      <w:r w:rsidR="00B72A74" w:rsidRPr="006478C0">
        <w:t xml:space="preserve">Solomon Islands </w:t>
      </w:r>
      <w:r w:rsidR="00722EC3" w:rsidRPr="006478C0">
        <w:t xml:space="preserve">is crucial to </w:t>
      </w:r>
      <w:r w:rsidR="007D57B8" w:rsidRPr="006478C0">
        <w:t>DFAT</w:t>
      </w:r>
      <w:r w:rsidR="00722EC3" w:rsidRPr="006478C0">
        <w:t xml:space="preserve"> in the current geopolitical climate, where other partners are demonstrating their ability to deliver large projects quickly, in response to SIG requests. </w:t>
      </w:r>
      <w:r w:rsidR="007E6104" w:rsidRPr="006478C0">
        <w:t>Activities</w:t>
      </w:r>
      <w:r w:rsidR="005B7E02" w:rsidRPr="006478C0">
        <w:t>, outputs</w:t>
      </w:r>
      <w:r w:rsidR="007D57B8" w:rsidRPr="006478C0">
        <w:t>,</w:t>
      </w:r>
      <w:r w:rsidR="005B7E02" w:rsidRPr="006478C0">
        <w:t xml:space="preserve"> and intermediate outcomes that seek to contribute to EOPO1, however, are well placed to be responsive as SIIP Hub is working directly with SIG </w:t>
      </w:r>
      <w:r w:rsidR="00722EC3" w:rsidRPr="006478C0">
        <w:t xml:space="preserve">to discuss and agree on scope of support, which are </w:t>
      </w:r>
      <w:r w:rsidR="00D97254" w:rsidRPr="006478C0">
        <w:t xml:space="preserve">key deliverables shaping the landscape for future infrastructure spending and asset management across </w:t>
      </w:r>
      <w:r w:rsidR="00AB1C3C" w:rsidRPr="006478C0">
        <w:t>Solomon Islands</w:t>
      </w:r>
      <w:r w:rsidR="00D97254" w:rsidRPr="006478C0">
        <w:t>.</w:t>
      </w:r>
      <w:r w:rsidR="00D97254" w:rsidRPr="00B66B6B">
        <w:t xml:space="preserve"> </w:t>
      </w:r>
    </w:p>
    <w:p w14:paraId="2B68AA68" w14:textId="6E43BC86" w:rsidR="00EB533F" w:rsidRDefault="00EB533F" w:rsidP="00EB533F">
      <w:pPr>
        <w:rPr>
          <w:rStyle w:val="HeadlinefindingChar"/>
          <w:b w:val="0"/>
          <w:bCs w:val="0"/>
        </w:rPr>
      </w:pPr>
      <w:r>
        <w:rPr>
          <w:rStyle w:val="HeadlinefindingChar"/>
        </w:rPr>
        <w:t>Greater effort than initially envisaged has been required to identify and deliver a pipeline of potential projects</w:t>
      </w:r>
      <w:r w:rsidRPr="00155161">
        <w:rPr>
          <w:rStyle w:val="HeadlinefindingChar"/>
          <w:b w:val="0"/>
          <w:bCs w:val="0"/>
        </w:rPr>
        <w:t xml:space="preserve">.  At </w:t>
      </w:r>
      <w:r>
        <w:rPr>
          <w:rStyle w:val="HeadlinefindingChar"/>
          <w:b w:val="0"/>
          <w:bCs w:val="0"/>
        </w:rPr>
        <w:t>commencement in 2021, SIIP’s identified pipeline included two major investments:</w:t>
      </w:r>
    </w:p>
    <w:p w14:paraId="695E299A" w14:textId="77777777" w:rsidR="00EB533F" w:rsidRDefault="00EB533F" w:rsidP="00EB533F">
      <w:pPr>
        <w:pStyle w:val="ListParagraph"/>
        <w:numPr>
          <w:ilvl w:val="0"/>
          <w:numId w:val="34"/>
        </w:numPr>
        <w:rPr>
          <w:rStyle w:val="HeadlinefindingChar"/>
          <w:b w:val="0"/>
          <w:bCs w:val="0"/>
        </w:rPr>
      </w:pPr>
      <w:r>
        <w:rPr>
          <w:rStyle w:val="HeadlinefindingChar"/>
          <w:b w:val="0"/>
          <w:bCs w:val="0"/>
        </w:rPr>
        <w:t>P</w:t>
      </w:r>
      <w:r w:rsidRPr="0057731D">
        <w:rPr>
          <w:rStyle w:val="HeadlinefindingChar"/>
          <w:b w:val="0"/>
          <w:bCs w:val="0"/>
        </w:rPr>
        <w:t>rovincial airport</w:t>
      </w:r>
      <w:r>
        <w:rPr>
          <w:rStyle w:val="HeadlinefindingChar"/>
          <w:b w:val="0"/>
          <w:bCs w:val="0"/>
        </w:rPr>
        <w:t xml:space="preserve"> upgrades at Seghe and Taro</w:t>
      </w:r>
      <w:r w:rsidRPr="0057731D">
        <w:rPr>
          <w:rStyle w:val="HeadlinefindingChar"/>
          <w:b w:val="0"/>
          <w:bCs w:val="0"/>
        </w:rPr>
        <w:t xml:space="preserve"> (</w:t>
      </w:r>
      <w:r>
        <w:rPr>
          <w:rStyle w:val="HeadlinefindingChar"/>
          <w:b w:val="0"/>
          <w:bCs w:val="0"/>
        </w:rPr>
        <w:t xml:space="preserve">led by NZ MFAT, which started design in 2018, and for which SIIP will contribute AUD 23 million); </w:t>
      </w:r>
      <w:r w:rsidRPr="0057731D">
        <w:rPr>
          <w:rStyle w:val="HeadlinefindingChar"/>
          <w:b w:val="0"/>
          <w:bCs w:val="0"/>
        </w:rPr>
        <w:t xml:space="preserve"> and </w:t>
      </w:r>
    </w:p>
    <w:p w14:paraId="5C6EE045" w14:textId="7A315EC0" w:rsidR="00EB533F" w:rsidRPr="0057731D" w:rsidRDefault="00EB533F" w:rsidP="00EB533F">
      <w:pPr>
        <w:pStyle w:val="ListParagraph"/>
        <w:numPr>
          <w:ilvl w:val="0"/>
          <w:numId w:val="34"/>
        </w:numPr>
        <w:rPr>
          <w:rStyle w:val="HeadlinefindingChar"/>
          <w:b w:val="0"/>
          <w:bCs w:val="0"/>
        </w:rPr>
      </w:pPr>
      <w:r>
        <w:rPr>
          <w:rStyle w:val="HeadlinefindingChar"/>
          <w:b w:val="0"/>
          <w:bCs w:val="0"/>
        </w:rPr>
        <w:t xml:space="preserve">A markets for development program (for which AUD 21 million was initially earmarked for up to </w:t>
      </w:r>
      <w:r w:rsidRPr="0057731D">
        <w:rPr>
          <w:rStyle w:val="HeadlinefindingChar"/>
          <w:b w:val="0"/>
          <w:bCs w:val="0"/>
        </w:rPr>
        <w:t xml:space="preserve">10 </w:t>
      </w:r>
      <w:r>
        <w:rPr>
          <w:rStyle w:val="HeadlinefindingChar"/>
          <w:b w:val="0"/>
          <w:bCs w:val="0"/>
        </w:rPr>
        <w:t>markets although the SIIP Hub was expected to develop designs</w:t>
      </w:r>
      <w:r w:rsidR="00FA566E">
        <w:rPr>
          <w:rStyle w:val="HeadlinefindingChar"/>
          <w:b w:val="0"/>
          <w:bCs w:val="0"/>
        </w:rPr>
        <w:t>,</w:t>
      </w:r>
      <w:r>
        <w:rPr>
          <w:rStyle w:val="HeadlinefindingChar"/>
          <w:b w:val="0"/>
          <w:bCs w:val="0"/>
        </w:rPr>
        <w:t xml:space="preserve"> and which is now likely to be sufficient to cover only 5-6 markets</w:t>
      </w:r>
      <w:r w:rsidRPr="0057731D">
        <w:rPr>
          <w:rStyle w:val="HeadlinefindingChar"/>
          <w:b w:val="0"/>
          <w:bCs w:val="0"/>
        </w:rPr>
        <w:t xml:space="preserve">).  </w:t>
      </w:r>
    </w:p>
    <w:p w14:paraId="249EA36A" w14:textId="67B28377" w:rsidR="00EB533F" w:rsidRPr="00155161" w:rsidRDefault="00EB533F" w:rsidP="00EB533F">
      <w:pPr>
        <w:rPr>
          <w:rStyle w:val="HeadlinefindingChar"/>
          <w:b w:val="0"/>
          <w:bCs w:val="0"/>
        </w:rPr>
      </w:pPr>
      <w:r>
        <w:rPr>
          <w:rStyle w:val="HeadlinefindingChar"/>
        </w:rPr>
        <w:t xml:space="preserve">SIIP now has identified a total potential pipeline approaching AUD 200 million, although not all projects will be implemented through the SIIP </w:t>
      </w:r>
      <w:r w:rsidR="006C03C9">
        <w:rPr>
          <w:rStyle w:val="HeadlinefindingChar"/>
        </w:rPr>
        <w:t>Hub,</w:t>
      </w:r>
      <w:r>
        <w:rPr>
          <w:rStyle w:val="HeadlinefindingChar"/>
        </w:rPr>
        <w:t xml:space="preserve"> and some are unlikely to proceed</w:t>
      </w:r>
      <w:r w:rsidRPr="00155161">
        <w:rPr>
          <w:rStyle w:val="HeadlinefindingChar"/>
          <w:b w:val="0"/>
          <w:bCs w:val="0"/>
        </w:rPr>
        <w:t xml:space="preserve">. </w:t>
      </w:r>
    </w:p>
    <w:p w14:paraId="74EFE602" w14:textId="77777777" w:rsidR="00EB533F" w:rsidRDefault="00EB533F" w:rsidP="00EB533F">
      <w:pPr>
        <w:pStyle w:val="ListParagraph"/>
        <w:numPr>
          <w:ilvl w:val="0"/>
          <w:numId w:val="35"/>
        </w:numPr>
        <w:rPr>
          <w:rStyle w:val="HeadlinefindingChar"/>
          <w:b w:val="0"/>
          <w:bCs w:val="0"/>
        </w:rPr>
      </w:pPr>
      <w:r>
        <w:rPr>
          <w:rStyle w:val="HeadlinefindingChar"/>
          <w:b w:val="0"/>
          <w:bCs w:val="0"/>
        </w:rPr>
        <w:t xml:space="preserve">Naha birthing clinic.  </w:t>
      </w:r>
      <w:r w:rsidRPr="0057731D">
        <w:rPr>
          <w:rStyle w:val="HeadlinefindingChar"/>
          <w:b w:val="0"/>
          <w:bCs w:val="0"/>
        </w:rPr>
        <w:t xml:space="preserve">The SIIP Hub </w:t>
      </w:r>
      <w:r>
        <w:rPr>
          <w:rStyle w:val="HeadlinefindingChar"/>
          <w:b w:val="0"/>
          <w:bCs w:val="0"/>
        </w:rPr>
        <w:t>has taken on responsibility for this challenging project, which was initially announced in 2018 and which is now expected to cost as much as AUD 40 million.</w:t>
      </w:r>
    </w:p>
    <w:p w14:paraId="3257C606" w14:textId="54C68DD7" w:rsidR="00EB533F" w:rsidRDefault="00EB533F" w:rsidP="00EB533F">
      <w:pPr>
        <w:pStyle w:val="ListParagraph"/>
        <w:numPr>
          <w:ilvl w:val="0"/>
          <w:numId w:val="35"/>
        </w:numPr>
        <w:rPr>
          <w:rStyle w:val="HeadlinefindingChar"/>
          <w:b w:val="0"/>
          <w:bCs w:val="0"/>
        </w:rPr>
      </w:pPr>
      <w:r>
        <w:rPr>
          <w:rStyle w:val="HeadlinefindingChar"/>
          <w:b w:val="0"/>
          <w:bCs w:val="0"/>
        </w:rPr>
        <w:t xml:space="preserve">Transport.  The SIIP Hub is preparing designs for the Buala wharf and </w:t>
      </w:r>
      <w:proofErr w:type="gramStart"/>
      <w:r>
        <w:rPr>
          <w:rStyle w:val="HeadlinefindingChar"/>
          <w:b w:val="0"/>
          <w:bCs w:val="0"/>
        </w:rPr>
        <w:t>Malaita South road</w:t>
      </w:r>
      <w:proofErr w:type="gramEnd"/>
      <w:r>
        <w:rPr>
          <w:rStyle w:val="HeadlinefindingChar"/>
          <w:b w:val="0"/>
          <w:bCs w:val="0"/>
        </w:rPr>
        <w:t xml:space="preserve">, for </w:t>
      </w:r>
      <w:r w:rsidR="004F3F78">
        <w:rPr>
          <w:rStyle w:val="HeadlinefindingChar"/>
          <w:b w:val="0"/>
          <w:bCs w:val="0"/>
        </w:rPr>
        <w:t xml:space="preserve">which </w:t>
      </w:r>
      <w:r>
        <w:rPr>
          <w:rStyle w:val="HeadlinefindingChar"/>
          <w:b w:val="0"/>
          <w:bCs w:val="0"/>
        </w:rPr>
        <w:t xml:space="preserve">about AUD 20 million has been initially allocated for potential investments. The SC has also approved investments of up to AUD 45 million for the Moli wharf and </w:t>
      </w:r>
      <w:proofErr w:type="gramStart"/>
      <w:r>
        <w:rPr>
          <w:rStyle w:val="HeadlinefindingChar"/>
          <w:b w:val="0"/>
          <w:bCs w:val="0"/>
        </w:rPr>
        <w:t xml:space="preserve">Fiu </w:t>
      </w:r>
      <w:r w:rsidR="00F6287B">
        <w:rPr>
          <w:rStyle w:val="HeadlinefindingChar"/>
          <w:b w:val="0"/>
          <w:bCs w:val="0"/>
        </w:rPr>
        <w:t>river</w:t>
      </w:r>
      <w:proofErr w:type="gramEnd"/>
      <w:r w:rsidR="00F6287B">
        <w:rPr>
          <w:rStyle w:val="HeadlinefindingChar"/>
          <w:b w:val="0"/>
          <w:bCs w:val="0"/>
        </w:rPr>
        <w:t xml:space="preserve"> </w:t>
      </w:r>
      <w:r>
        <w:rPr>
          <w:rStyle w:val="HeadlinefindingChar"/>
          <w:b w:val="0"/>
          <w:bCs w:val="0"/>
        </w:rPr>
        <w:t>bridge on South Malaita, although preparation is currently paused.</w:t>
      </w:r>
    </w:p>
    <w:p w14:paraId="6C54B236" w14:textId="603C4672" w:rsidR="00EB533F" w:rsidRDefault="00EB533F" w:rsidP="00EB533F">
      <w:pPr>
        <w:pStyle w:val="ListParagraph"/>
        <w:numPr>
          <w:ilvl w:val="0"/>
          <w:numId w:val="35"/>
        </w:numPr>
        <w:rPr>
          <w:rStyle w:val="HeadlinefindingChar"/>
          <w:b w:val="0"/>
          <w:bCs w:val="0"/>
        </w:rPr>
      </w:pPr>
      <w:r>
        <w:rPr>
          <w:rStyle w:val="HeadlinefindingChar"/>
          <w:b w:val="0"/>
          <w:bCs w:val="0"/>
        </w:rPr>
        <w:lastRenderedPageBreak/>
        <w:t>Small scale priorities tota</w:t>
      </w:r>
      <w:r w:rsidR="00AC12DF">
        <w:rPr>
          <w:rStyle w:val="HeadlinefindingChar"/>
          <w:b w:val="0"/>
          <w:bCs w:val="0"/>
        </w:rPr>
        <w:t>l</w:t>
      </w:r>
      <w:r>
        <w:rPr>
          <w:rStyle w:val="HeadlinefindingChar"/>
          <w:b w:val="0"/>
          <w:bCs w:val="0"/>
        </w:rPr>
        <w:t xml:space="preserve">ling about AUD 1 million. The SC agreed in mid-2023 that the SIIP Hub lead upgrades to Honiara bus shelters in advance of the Pacific Games as well as provide </w:t>
      </w:r>
      <w:r w:rsidR="004F3F78">
        <w:rPr>
          <w:rStyle w:val="HeadlinefindingChar"/>
          <w:b w:val="0"/>
          <w:bCs w:val="0"/>
        </w:rPr>
        <w:t xml:space="preserve">a </w:t>
      </w:r>
      <w:r>
        <w:rPr>
          <w:rStyle w:val="HeadlinefindingChar"/>
          <w:b w:val="0"/>
          <w:bCs w:val="0"/>
        </w:rPr>
        <w:t xml:space="preserve">biomedical </w:t>
      </w:r>
      <w:r w:rsidR="004F3F78">
        <w:rPr>
          <w:rStyle w:val="HeadlinefindingChar"/>
          <w:b w:val="0"/>
          <w:bCs w:val="0"/>
        </w:rPr>
        <w:t>laboratory</w:t>
      </w:r>
      <w:r>
        <w:rPr>
          <w:rStyle w:val="HeadlinefindingChar"/>
          <w:b w:val="0"/>
          <w:bCs w:val="0"/>
        </w:rPr>
        <w:t xml:space="preserve"> to Lata.  </w:t>
      </w:r>
    </w:p>
    <w:p w14:paraId="0845C040" w14:textId="297AF62A" w:rsidR="00EB533F" w:rsidRPr="0057731D" w:rsidRDefault="00EB533F" w:rsidP="00EB533F">
      <w:pPr>
        <w:pStyle w:val="ListParagraph"/>
        <w:numPr>
          <w:ilvl w:val="0"/>
          <w:numId w:val="35"/>
        </w:numPr>
        <w:rPr>
          <w:rStyle w:val="HeadlinefindingChar"/>
          <w:b w:val="0"/>
          <w:bCs w:val="0"/>
        </w:rPr>
      </w:pPr>
      <w:r>
        <w:rPr>
          <w:rStyle w:val="HeadlinefindingChar"/>
          <w:b w:val="0"/>
          <w:bCs w:val="0"/>
        </w:rPr>
        <w:t>Investments financed under by SIIP but not implemented by the SIIP Hub are potentially significant. As well as the NZ led provincial airports project, this includes fundin</w:t>
      </w:r>
      <w:r w:rsidR="00AC12DF">
        <w:rPr>
          <w:rStyle w:val="HeadlinefindingChar"/>
          <w:b w:val="0"/>
          <w:bCs w:val="0"/>
        </w:rPr>
        <w:t>g</w:t>
      </w:r>
      <w:r>
        <w:rPr>
          <w:rStyle w:val="HeadlinefindingChar"/>
          <w:b w:val="0"/>
          <w:bCs w:val="0"/>
        </w:rPr>
        <w:t xml:space="preserve"> tota</w:t>
      </w:r>
      <w:r w:rsidR="00AC12DF">
        <w:rPr>
          <w:rStyle w:val="HeadlinefindingChar"/>
          <w:b w:val="0"/>
          <w:bCs w:val="0"/>
        </w:rPr>
        <w:t>l</w:t>
      </w:r>
      <w:r>
        <w:rPr>
          <w:rStyle w:val="HeadlinefindingChar"/>
          <w:b w:val="0"/>
          <w:bCs w:val="0"/>
        </w:rPr>
        <w:t xml:space="preserve">ling about AUD 10 million for ICT towers in two remote provinces, upgrades to Sasape shipyard in Tulagi to leverage a private sector loan by AIFFP, and emergency road repairs on Malaita. The SC has approved SIIP financing of up to AUD 10 million for Gizo water supply, although this is currently paused and costs if it proceed are likely to be very substantially higher. DFAT is also considering a significant contribution to a World Bank led community and urban infrastructure program. </w:t>
      </w:r>
    </w:p>
    <w:p w14:paraId="76ED09D3" w14:textId="555C7BA9" w:rsidR="00EB533F" w:rsidRPr="00EB533F" w:rsidRDefault="00EB533F" w:rsidP="00EB533F">
      <w:pPr>
        <w:rPr>
          <w:rStyle w:val="HeadlinefindingChar"/>
          <w:b w:val="0"/>
          <w:bCs w:val="0"/>
        </w:rPr>
      </w:pPr>
      <w:r w:rsidRPr="00B5760B">
        <w:rPr>
          <w:rStyle w:val="HeadlinefindingChar"/>
        </w:rPr>
        <w:t>The SIIP Steering Committee has ensured that new project proposals are endorsed by both Governments</w:t>
      </w:r>
      <w:r w:rsidRPr="00EB533F">
        <w:rPr>
          <w:rStyle w:val="HeadlinefindingChar"/>
          <w:b w:val="0"/>
          <w:bCs w:val="0"/>
        </w:rPr>
        <w:t xml:space="preserve">. </w:t>
      </w:r>
      <w:r>
        <w:rPr>
          <w:rStyle w:val="HeadlinefindingChar"/>
          <w:b w:val="0"/>
          <w:bCs w:val="0"/>
        </w:rPr>
        <w:t xml:space="preserve"> Chaired jointly by the Secretary of the Prime Minister’s Office and the Australian </w:t>
      </w:r>
      <w:r w:rsidR="004F3F78">
        <w:rPr>
          <w:rStyle w:val="HeadlinefindingChar"/>
          <w:b w:val="0"/>
          <w:bCs w:val="0"/>
        </w:rPr>
        <w:t>H</w:t>
      </w:r>
      <w:r>
        <w:rPr>
          <w:rStyle w:val="HeadlinefindingChar"/>
          <w:b w:val="0"/>
          <w:bCs w:val="0"/>
        </w:rPr>
        <w:t xml:space="preserve">igh </w:t>
      </w:r>
      <w:r w:rsidR="004F3F78">
        <w:rPr>
          <w:rStyle w:val="HeadlinefindingChar"/>
          <w:b w:val="0"/>
          <w:bCs w:val="0"/>
        </w:rPr>
        <w:t>C</w:t>
      </w:r>
      <w:r>
        <w:rPr>
          <w:rStyle w:val="HeadlinefindingChar"/>
          <w:b w:val="0"/>
          <w:bCs w:val="0"/>
        </w:rPr>
        <w:t>ommissioner, with representation from key SIG central agencies, the SC has ensured relatively strong oversight and ownership of investment decisions.</w:t>
      </w:r>
    </w:p>
    <w:p w14:paraId="50246A88" w14:textId="3AD36486" w:rsidR="00AC12DF" w:rsidRPr="00AC12DF" w:rsidRDefault="00EB533F" w:rsidP="00AC12DF">
      <w:r w:rsidRPr="00AC12DF">
        <w:rPr>
          <w:b/>
          <w:bCs/>
        </w:rPr>
        <w:t>There is now an opportunity, however, to rebuild a consensus on SIIP’s comparative advantages and which investments should be prioritised</w:t>
      </w:r>
      <w:r>
        <w:t xml:space="preserve">.  </w:t>
      </w:r>
      <w:r w:rsidR="00DF2BFF">
        <w:rPr>
          <w:lang w:val="en-GB"/>
        </w:rPr>
        <w:t>The MTR team heard a range of views from both SIG and DFAT counterparts on the relative comparative advantage of SIIP and future strategic priorities</w:t>
      </w:r>
      <w:r w:rsidR="00BE0ECE">
        <w:rPr>
          <w:lang w:val="en-GB"/>
        </w:rPr>
        <w:t xml:space="preserve">. </w:t>
      </w:r>
      <w:r w:rsidR="00AC12DF">
        <w:t xml:space="preserve">A roadmap prepared by the Hub and endorsed by the SC in December 2022 proposed that SIIP should focus on </w:t>
      </w:r>
      <w:r w:rsidR="00AC12DF" w:rsidRPr="00AC12DF">
        <w:t>“</w:t>
      </w:r>
      <w:r w:rsidR="00AC12DF" w:rsidRPr="00F35CE6">
        <w:rPr>
          <w:lang w:val="en-GB"/>
        </w:rPr>
        <w:t>medium sized infrastructure activities in high growth potential economic nodes and their strategic connections”.</w:t>
      </w:r>
      <w:r w:rsidR="00AC12DF">
        <w:rPr>
          <w:i/>
          <w:iCs/>
          <w:lang w:val="en-GB"/>
        </w:rPr>
        <w:t xml:space="preserve">  </w:t>
      </w:r>
      <w:r w:rsidR="00AC12DF">
        <w:rPr>
          <w:lang w:val="en-GB"/>
        </w:rPr>
        <w:t xml:space="preserve">Yet </w:t>
      </w:r>
      <w:r w:rsidR="00F35CE6">
        <w:rPr>
          <w:lang w:val="en-GB"/>
        </w:rPr>
        <w:t xml:space="preserve">it is not clear the extent to which the roadmap is </w:t>
      </w:r>
      <w:proofErr w:type="gramStart"/>
      <w:r w:rsidR="00F35CE6">
        <w:rPr>
          <w:lang w:val="en-GB"/>
        </w:rPr>
        <w:t>actually guiding</w:t>
      </w:r>
      <w:proofErr w:type="gramEnd"/>
      <w:r w:rsidR="00F35CE6">
        <w:rPr>
          <w:lang w:val="en-GB"/>
        </w:rPr>
        <w:t xml:space="preserve"> project selection in practice given evolving priorities and changing personnel</w:t>
      </w:r>
      <w:r w:rsidR="00BE0ECE">
        <w:rPr>
          <w:lang w:val="en-GB"/>
        </w:rPr>
        <w:t xml:space="preserve">. </w:t>
      </w:r>
      <w:r w:rsidR="00F35CE6">
        <w:rPr>
          <w:lang w:val="en-GB"/>
        </w:rPr>
        <w:t>Earlier in 2022, the SC endorsed an expansion of SIIP mandate to include social as well as economic infrastructure</w:t>
      </w:r>
      <w:r w:rsidR="00BE0ECE">
        <w:rPr>
          <w:lang w:val="en-GB"/>
        </w:rPr>
        <w:t xml:space="preserve">. </w:t>
      </w:r>
      <w:r w:rsidR="00F35CE6">
        <w:rPr>
          <w:lang w:val="en-GB"/>
        </w:rPr>
        <w:t>Following the roadmap, both Governments requested the SIIP Hub to finance immediate short-term priorities in advance of the Pacific Games</w:t>
      </w:r>
      <w:r w:rsidR="00BE0ECE">
        <w:rPr>
          <w:lang w:val="en-GB"/>
        </w:rPr>
        <w:t xml:space="preserve">. </w:t>
      </w:r>
      <w:r w:rsidR="00F35CE6">
        <w:rPr>
          <w:lang w:val="en-GB"/>
        </w:rPr>
        <w:t>And while a range of medium-sized economic infrastructure previously agreed by the SC is currently paused, DFAT appears to be prioritising highly visible community level investments funded by SIIP although implemented in parallel to the SIIP Hub</w:t>
      </w:r>
      <w:r w:rsidR="00BE0ECE">
        <w:rPr>
          <w:lang w:val="en-GB"/>
        </w:rPr>
        <w:t xml:space="preserve">. </w:t>
      </w:r>
      <w:r w:rsidR="00F35CE6">
        <w:rPr>
          <w:lang w:val="en-GB"/>
        </w:rPr>
        <w:t>As discussed further below</w:t>
      </w:r>
      <w:r w:rsidR="00FB4BFC">
        <w:rPr>
          <w:lang w:val="en-GB"/>
        </w:rPr>
        <w:t xml:space="preserve"> in </w:t>
      </w:r>
      <w:r w:rsidR="000867F2">
        <w:rPr>
          <w:lang w:val="en-GB"/>
        </w:rPr>
        <w:t>Section 2.5.4 on strategic directions</w:t>
      </w:r>
      <w:r w:rsidR="00314B4E">
        <w:rPr>
          <w:lang w:val="en-GB"/>
        </w:rPr>
        <w:t>, the</w:t>
      </w:r>
      <w:r w:rsidR="00F35CE6">
        <w:rPr>
          <w:lang w:val="en-GB"/>
        </w:rPr>
        <w:t xml:space="preserve"> SINIPP potentially provides an opportunity for DFAT and new SIG counterparts following the April 2024 election to </w:t>
      </w:r>
      <w:r w:rsidR="00DF2BFF">
        <w:rPr>
          <w:lang w:val="en-GB"/>
        </w:rPr>
        <w:t>rebuild a consensus on strategic priorities</w:t>
      </w:r>
      <w:r w:rsidR="000867F2">
        <w:rPr>
          <w:lang w:val="en-GB"/>
        </w:rPr>
        <w:t xml:space="preserve"> for future SIIP investments</w:t>
      </w:r>
      <w:r w:rsidR="00BE0ECE">
        <w:rPr>
          <w:lang w:val="en-GB"/>
        </w:rPr>
        <w:t xml:space="preserve">. </w:t>
      </w:r>
      <w:r w:rsidR="00DF2BFF">
        <w:rPr>
          <w:lang w:val="en-GB"/>
        </w:rPr>
        <w:t>This will be critical to guide a future phase of SIIP.</w:t>
      </w:r>
    </w:p>
    <w:p w14:paraId="4D2891D8" w14:textId="70EA2638" w:rsidR="000117E1" w:rsidRPr="00B66B6B" w:rsidRDefault="00894011" w:rsidP="00AB58FF">
      <w:pPr>
        <w:pStyle w:val="Heading2"/>
      </w:pPr>
      <w:bookmarkStart w:id="37" w:name="_Toc165140740"/>
      <w:r w:rsidRPr="00B66B6B">
        <w:t>Coherence</w:t>
      </w:r>
      <w:bookmarkEnd w:id="37"/>
    </w:p>
    <w:p w14:paraId="7C8B6EB6" w14:textId="59ADCA18" w:rsidR="00894011" w:rsidRPr="00B66B6B" w:rsidRDefault="00614F90" w:rsidP="00AB58FF">
      <w:r w:rsidRPr="00B66B6B">
        <w:t xml:space="preserve">This set of </w:t>
      </w:r>
      <w:r w:rsidR="007D57B8">
        <w:t>EQs</w:t>
      </w:r>
      <w:r w:rsidRPr="00B66B6B">
        <w:t xml:space="preserve"> seeks to answer the question: </w:t>
      </w:r>
      <w:r w:rsidR="00800021" w:rsidRPr="00B66B6B">
        <w:t>How well does the intervention fit?</w:t>
      </w:r>
    </w:p>
    <w:p w14:paraId="171B0F95" w14:textId="5FA9E1B3" w:rsidR="00AB58FF" w:rsidRPr="00B66B6B" w:rsidRDefault="00AB58FF" w:rsidP="00AB58FF">
      <w:pPr>
        <w:pStyle w:val="Heading3"/>
      </w:pPr>
      <w:r w:rsidRPr="00B66B6B">
        <w:t>EQ4. How does the Program fit within Australia’s overall infrastructure support to Solomon Islands as well as broader infrastructure financing from other international partners?</w:t>
      </w:r>
    </w:p>
    <w:p w14:paraId="79CCC9A6" w14:textId="21FA3503" w:rsidR="008972EB" w:rsidRPr="00DC691A" w:rsidRDefault="0008579B" w:rsidP="00DC691A">
      <w:r w:rsidRPr="00DC691A">
        <w:rPr>
          <w:rStyle w:val="HeadlinefindingChar"/>
        </w:rPr>
        <w:t>SIIP sits alongside a growing portfolio of infrastructure investments from Australia and other international partners</w:t>
      </w:r>
      <w:r w:rsidR="00776D0C">
        <w:rPr>
          <w:rStyle w:val="HeadlinefindingChar"/>
        </w:rPr>
        <w:t>. It</w:t>
      </w:r>
      <w:r w:rsidR="00A53D91" w:rsidRPr="00DC691A">
        <w:rPr>
          <w:rStyle w:val="HeadlinefindingChar"/>
        </w:rPr>
        <w:t xml:space="preserve">s broad scope </w:t>
      </w:r>
      <w:r w:rsidR="00776D0C">
        <w:rPr>
          <w:rStyle w:val="HeadlinefindingChar"/>
        </w:rPr>
        <w:t>in both the</w:t>
      </w:r>
      <w:r w:rsidR="00A53D91" w:rsidRPr="00DC691A">
        <w:rPr>
          <w:rStyle w:val="HeadlinefindingChar"/>
        </w:rPr>
        <w:t xml:space="preserve"> </w:t>
      </w:r>
      <w:r w:rsidR="00B24453" w:rsidRPr="00DC691A">
        <w:rPr>
          <w:rStyle w:val="HeadlinefindingChar"/>
        </w:rPr>
        <w:t xml:space="preserve">capacity building and infrastructure project delivery </w:t>
      </w:r>
      <w:r w:rsidR="00334877">
        <w:rPr>
          <w:rStyle w:val="HeadlinefindingChar"/>
        </w:rPr>
        <w:t xml:space="preserve">objectives </w:t>
      </w:r>
      <w:r w:rsidR="00B24453" w:rsidRPr="00DC691A">
        <w:rPr>
          <w:rStyle w:val="HeadlinefindingChar"/>
        </w:rPr>
        <w:t xml:space="preserve">puts </w:t>
      </w:r>
      <w:r w:rsidR="00334877">
        <w:rPr>
          <w:rStyle w:val="HeadlinefindingChar"/>
        </w:rPr>
        <w:t>SIIP</w:t>
      </w:r>
      <w:r w:rsidR="00B24453" w:rsidRPr="00DC691A">
        <w:rPr>
          <w:rStyle w:val="HeadlinefindingChar"/>
        </w:rPr>
        <w:t xml:space="preserve"> at risk of getting lost in the noise</w:t>
      </w:r>
      <w:r w:rsidR="00B24453">
        <w:t xml:space="preserve">. </w:t>
      </w:r>
      <w:r w:rsidR="00DC691A">
        <w:t xml:space="preserve">SIIP has been critiqued </w:t>
      </w:r>
      <w:r w:rsidR="00334877">
        <w:t xml:space="preserve">amongst other programs </w:t>
      </w:r>
      <w:r w:rsidR="00DC691A">
        <w:t>for</w:t>
      </w:r>
      <w:r w:rsidR="00870BB7">
        <w:t xml:space="preserve"> lacking clarity in terms of its scope and investment decision making</w:t>
      </w:r>
      <w:r w:rsidR="00DC691A">
        <w:t xml:space="preserve"> </w:t>
      </w:r>
      <w:r w:rsidR="00870BB7">
        <w:t xml:space="preserve">criteria, and </w:t>
      </w:r>
      <w:r w:rsidR="00130AD8">
        <w:t>potential duplication if focused on economic infrastructure</w:t>
      </w:r>
      <w:r w:rsidR="00EC59A6">
        <w:t>, alongside social</w:t>
      </w:r>
      <w:r w:rsidR="00560FDE">
        <w:t xml:space="preserve"> infrastructure (incorporated in SIIP’s mandate at March 2022 SC meeting)</w:t>
      </w:r>
      <w:r w:rsidR="00130AD8">
        <w:t xml:space="preserve">. </w:t>
      </w:r>
    </w:p>
    <w:p w14:paraId="79AD4F11" w14:textId="39BF4D87" w:rsidR="00037EDF" w:rsidRPr="00B66B6B" w:rsidRDefault="00037EDF" w:rsidP="00614F90">
      <w:r w:rsidRPr="00037EDF">
        <w:t xml:space="preserve">Solomon Islands is a country of increasing geopolitical interest, with Australia and other traditional development partners increasing their level of engagement in response to China’s increased engagement and investments in the country. Australia, the largest development </w:t>
      </w:r>
      <w:proofErr w:type="gramStart"/>
      <w:r w:rsidRPr="00037EDF">
        <w:t>partner</w:t>
      </w:r>
      <w:proofErr w:type="gramEnd"/>
      <w:r w:rsidRPr="00037EDF">
        <w:t xml:space="preserve"> and infrastructure investor to the country, is delivering SIIP alongside a growing portfolio of infrastructure investments through the Australian Infrastructure Financing Facility Program (AIFFP), the Defence </w:t>
      </w:r>
      <w:r w:rsidRPr="00037EDF">
        <w:lastRenderedPageBreak/>
        <w:t>Cooperation Program</w:t>
      </w:r>
      <w:r w:rsidR="00BA6A31">
        <w:t xml:space="preserve">, </w:t>
      </w:r>
      <w:r w:rsidR="00560FDE">
        <w:t>AFP,</w:t>
      </w:r>
      <w:r w:rsidRPr="00037EDF">
        <w:t xml:space="preserve"> and direct bilateral support, in addition to investments implemented by partners such as the World </w:t>
      </w:r>
      <w:r w:rsidR="00BA6A31" w:rsidRPr="00037EDF">
        <w:t>Bank</w:t>
      </w:r>
      <w:r w:rsidR="00BA6A31">
        <w:t>,</w:t>
      </w:r>
      <w:r w:rsidR="00BA6A31" w:rsidRPr="00037EDF">
        <w:t xml:space="preserve"> Asian</w:t>
      </w:r>
      <w:r w:rsidRPr="00037EDF">
        <w:t xml:space="preserve"> Development Bank</w:t>
      </w:r>
      <w:r w:rsidR="00BA6A31">
        <w:t>, Japan</w:t>
      </w:r>
      <w:r w:rsidR="00C364C7">
        <w:t xml:space="preserve"> and New Zealand</w:t>
      </w:r>
      <w:r w:rsidR="00C364C7" w:rsidRPr="00037EDF">
        <w:t xml:space="preserve"> delivering</w:t>
      </w:r>
      <w:r w:rsidRPr="00037EDF">
        <w:t xml:space="preserve"> both small- and large-scale projects</w:t>
      </w:r>
      <w:r w:rsidR="007F5B51" w:rsidRPr="00B66B6B">
        <w:t>.</w:t>
      </w:r>
    </w:p>
    <w:p w14:paraId="2BF4A9D5" w14:textId="32F9FF5D" w:rsidR="007F5B51" w:rsidRPr="00B66B6B" w:rsidRDefault="007F5B51" w:rsidP="00614F90">
      <w:r w:rsidRPr="00B66B6B">
        <w:t>Australia is a major partner to Solomon Islands and its largest infrastructure financier. The total Australian ODA to Solomon Islands currently exceeds A</w:t>
      </w:r>
      <w:r w:rsidR="00560FDE">
        <w:t>UD</w:t>
      </w:r>
      <w:r w:rsidRPr="00B66B6B">
        <w:t xml:space="preserve">170 million per year (not including defence and police assistance) with a bilateral aid allocation of slightly over </w:t>
      </w:r>
      <w:r w:rsidR="00560FDE">
        <w:t>AUD</w:t>
      </w:r>
      <w:r w:rsidRPr="00B66B6B">
        <w:t>100 million.</w:t>
      </w:r>
      <w:r w:rsidR="0007653E" w:rsidRPr="00B66B6B">
        <w:t xml:space="preserve"> </w:t>
      </w:r>
      <w:r w:rsidRPr="00B66B6B">
        <w:t>From 2018 to 2027, the Australian Government expects to disburse about A</w:t>
      </w:r>
      <w:r w:rsidR="00560FDE">
        <w:t>UD</w:t>
      </w:r>
      <w:r w:rsidRPr="00B66B6B">
        <w:t>1 billion in infrastructure financing for Solomon Islands</w:t>
      </w:r>
      <w:r w:rsidR="00906774">
        <w:t xml:space="preserve"> over the decade from 2019 to 2029</w:t>
      </w:r>
      <w:r w:rsidRPr="00B66B6B">
        <w:t>.</w:t>
      </w:r>
      <w:r w:rsidR="0007653E" w:rsidRPr="00B66B6B">
        <w:t xml:space="preserve"> </w:t>
      </w:r>
      <w:r w:rsidRPr="00B66B6B">
        <w:t xml:space="preserve">Key elements of Australia’s infrastructure support </w:t>
      </w:r>
      <w:r w:rsidR="00F34707" w:rsidRPr="00B66B6B">
        <w:t xml:space="preserve">beyond SIIP </w:t>
      </w:r>
      <w:r w:rsidR="00566C32" w:rsidRPr="00B66B6B">
        <w:t xml:space="preserve">are included in </w:t>
      </w:r>
      <w:r w:rsidR="00F34707" w:rsidRPr="00B66B6B">
        <w:fldChar w:fldCharType="begin"/>
      </w:r>
      <w:r w:rsidR="00F34707" w:rsidRPr="00B66B6B">
        <w:instrText xml:space="preserve"> REF _Ref165047568 \h  \* MERGEFORMAT </w:instrText>
      </w:r>
      <w:r w:rsidR="00F34707" w:rsidRPr="00B66B6B">
        <w:fldChar w:fldCharType="separate"/>
      </w:r>
      <w:r w:rsidR="00DC1E3F" w:rsidRPr="00B66B6B">
        <w:t xml:space="preserve">Figure </w:t>
      </w:r>
      <w:r w:rsidR="00DC1E3F">
        <w:rPr>
          <w:noProof/>
        </w:rPr>
        <w:t>1</w:t>
      </w:r>
      <w:r w:rsidR="00F34707" w:rsidRPr="00B66B6B">
        <w:fldChar w:fldCharType="end"/>
      </w:r>
      <w:r w:rsidR="00F34707" w:rsidRPr="00B66B6B">
        <w:t xml:space="preserve"> </w:t>
      </w:r>
      <w:r w:rsidR="00566C32" w:rsidRPr="00B66B6B">
        <w:t>below:</w:t>
      </w:r>
    </w:p>
    <w:tbl>
      <w:tblPr>
        <w:tblStyle w:val="GridTable4-Accent1"/>
        <w:tblW w:w="0" w:type="auto"/>
        <w:tblLook w:val="04A0" w:firstRow="1" w:lastRow="0" w:firstColumn="1" w:lastColumn="0" w:noHBand="0" w:noVBand="1"/>
      </w:tblPr>
      <w:tblGrid>
        <w:gridCol w:w="1838"/>
        <w:gridCol w:w="7172"/>
      </w:tblGrid>
      <w:tr w:rsidR="00566C32" w:rsidRPr="00B66B6B" w14:paraId="4EB002A8" w14:textId="77777777" w:rsidTr="001D7D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21BB773A" w14:textId="7FC48DC7" w:rsidR="00566C32" w:rsidRPr="00B66B6B" w:rsidRDefault="00D3072F" w:rsidP="00EF3CCF">
            <w:pPr>
              <w:spacing w:after="0"/>
              <w:rPr>
                <w:sz w:val="20"/>
                <w:szCs w:val="20"/>
              </w:rPr>
            </w:pPr>
            <w:bookmarkStart w:id="38" w:name="_Hlk165048049"/>
            <w:r w:rsidRPr="00B66B6B">
              <w:rPr>
                <w:sz w:val="20"/>
                <w:szCs w:val="20"/>
              </w:rPr>
              <w:t>Australian funded p</w:t>
            </w:r>
            <w:r w:rsidR="00F34707" w:rsidRPr="00B66B6B">
              <w:rPr>
                <w:sz w:val="20"/>
                <w:szCs w:val="20"/>
              </w:rPr>
              <w:t>rogram</w:t>
            </w:r>
          </w:p>
        </w:tc>
        <w:tc>
          <w:tcPr>
            <w:tcW w:w="7172" w:type="dxa"/>
          </w:tcPr>
          <w:p w14:paraId="2FD9B98C" w14:textId="22781D88" w:rsidR="00566C32" w:rsidRPr="00B66B6B" w:rsidRDefault="00EF3CCF" w:rsidP="00EF3CCF">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B66B6B">
              <w:rPr>
                <w:sz w:val="20"/>
                <w:szCs w:val="20"/>
              </w:rPr>
              <w:t>Description</w:t>
            </w:r>
          </w:p>
        </w:tc>
      </w:tr>
      <w:tr w:rsidR="00566C32" w:rsidRPr="00B66B6B" w14:paraId="13B4D10A" w14:textId="77777777" w:rsidTr="001D7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162B5DB" w14:textId="47BA9790" w:rsidR="00566C32" w:rsidRPr="00B66B6B" w:rsidRDefault="003571A3" w:rsidP="00EF3CCF">
            <w:pPr>
              <w:spacing w:after="0"/>
              <w:rPr>
                <w:sz w:val="20"/>
                <w:szCs w:val="20"/>
              </w:rPr>
            </w:pPr>
            <w:r w:rsidRPr="00B66B6B">
              <w:rPr>
                <w:sz w:val="20"/>
                <w:szCs w:val="20"/>
              </w:rPr>
              <w:t>Bilateral ODA</w:t>
            </w:r>
          </w:p>
        </w:tc>
        <w:tc>
          <w:tcPr>
            <w:tcW w:w="7172" w:type="dxa"/>
          </w:tcPr>
          <w:p w14:paraId="52E76FB2" w14:textId="0FC61DDF" w:rsidR="00566C32" w:rsidRPr="00B66B6B" w:rsidRDefault="00BC77FD" w:rsidP="001347E0">
            <w:pPr>
              <w:pStyle w:val="TableText"/>
              <w:cnfStyle w:val="000000100000" w:firstRow="0" w:lastRow="0" w:firstColumn="0" w:lastColumn="0" w:oddVBand="0" w:evenVBand="0" w:oddHBand="1" w:evenHBand="0" w:firstRowFirstColumn="0" w:firstRowLastColumn="0" w:lastRowFirstColumn="0" w:lastRowLastColumn="0"/>
            </w:pPr>
            <w:r w:rsidRPr="00B66B6B">
              <w:t>Australia expects to provide over A</w:t>
            </w:r>
            <w:r w:rsidR="00560FDE">
              <w:t>UD</w:t>
            </w:r>
            <w:r w:rsidRPr="00B66B6B">
              <w:t>150 million for infrastructure in Solomon Islands between 2018 and 2027</w:t>
            </w:r>
            <w:r w:rsidR="00906774">
              <w:t>, on top of the AUD250+ million in bilateral financing for SIIP</w:t>
            </w:r>
            <w:r w:rsidRPr="00B66B6B">
              <w:t>.</w:t>
            </w:r>
            <w:r w:rsidR="0007653E" w:rsidRPr="00B66B6B">
              <w:t xml:space="preserve"> </w:t>
            </w:r>
            <w:r w:rsidRPr="00B66B6B">
              <w:t>This includes significant contributions to the Tina River hydropower project (for which Australia is the largest grant co</w:t>
            </w:r>
            <w:r w:rsidR="001D7D4C" w:rsidRPr="00B66B6B">
              <w:t>-</w:t>
            </w:r>
            <w:r w:rsidRPr="00B66B6B">
              <w:t>financier), infrastructure associated with the Pacific games, schools and health clinics, the Gizo market, and cofinancing of ADB’s sustainable transport project</w:t>
            </w:r>
            <w:r w:rsidR="005653F0">
              <w:t>.</w:t>
            </w:r>
          </w:p>
        </w:tc>
      </w:tr>
      <w:tr w:rsidR="00566C32" w:rsidRPr="00B66B6B" w14:paraId="5F45DC35" w14:textId="77777777" w:rsidTr="001D7D4C">
        <w:tc>
          <w:tcPr>
            <w:cnfStyle w:val="001000000000" w:firstRow="0" w:lastRow="0" w:firstColumn="1" w:lastColumn="0" w:oddVBand="0" w:evenVBand="0" w:oddHBand="0" w:evenHBand="0" w:firstRowFirstColumn="0" w:firstRowLastColumn="0" w:lastRowFirstColumn="0" w:lastRowLastColumn="0"/>
            <w:tcW w:w="1838" w:type="dxa"/>
          </w:tcPr>
          <w:p w14:paraId="1AC42A27" w14:textId="581C4A89" w:rsidR="00566C32" w:rsidRPr="00B66B6B" w:rsidRDefault="006F54FA" w:rsidP="00EF3CCF">
            <w:pPr>
              <w:spacing w:after="0"/>
              <w:rPr>
                <w:sz w:val="20"/>
                <w:szCs w:val="20"/>
              </w:rPr>
            </w:pPr>
            <w:r w:rsidRPr="00B66B6B">
              <w:rPr>
                <w:sz w:val="20"/>
                <w:szCs w:val="20"/>
              </w:rPr>
              <w:t>Coral Sea Cable</w:t>
            </w:r>
          </w:p>
        </w:tc>
        <w:tc>
          <w:tcPr>
            <w:tcW w:w="7172" w:type="dxa"/>
          </w:tcPr>
          <w:p w14:paraId="7291D283" w14:textId="28D31B65" w:rsidR="00566C32" w:rsidRPr="00B66B6B" w:rsidRDefault="006F54FA" w:rsidP="00EF3CCF">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66B6B">
              <w:rPr>
                <w:sz w:val="20"/>
                <w:szCs w:val="20"/>
              </w:rPr>
              <w:t xml:space="preserve">Operational in 2020, </w:t>
            </w:r>
            <w:r w:rsidR="00906774">
              <w:rPr>
                <w:sz w:val="20"/>
                <w:szCs w:val="20"/>
              </w:rPr>
              <w:t xml:space="preserve">this </w:t>
            </w:r>
            <w:r w:rsidRPr="00B66B6B">
              <w:rPr>
                <w:sz w:val="20"/>
                <w:szCs w:val="20"/>
              </w:rPr>
              <w:t>has provided Solomon Islands with high speed and affordable broadband.</w:t>
            </w:r>
            <w:r w:rsidR="0007653E" w:rsidRPr="00B66B6B">
              <w:rPr>
                <w:sz w:val="20"/>
                <w:szCs w:val="20"/>
              </w:rPr>
              <w:t xml:space="preserve"> </w:t>
            </w:r>
            <w:r w:rsidRPr="00B66B6B">
              <w:rPr>
                <w:sz w:val="20"/>
                <w:szCs w:val="20"/>
              </w:rPr>
              <w:t>Australia provided approximately A</w:t>
            </w:r>
            <w:r w:rsidR="00560FDE">
              <w:rPr>
                <w:sz w:val="20"/>
                <w:szCs w:val="20"/>
              </w:rPr>
              <w:t>UD</w:t>
            </w:r>
            <w:r w:rsidRPr="00B66B6B">
              <w:rPr>
                <w:sz w:val="20"/>
                <w:szCs w:val="20"/>
              </w:rPr>
              <w:t>200 million for the cable to connect both PNG and Solomon Islands, with all funding additional to the regular bilateral program</w:t>
            </w:r>
            <w:r w:rsidR="005653F0">
              <w:rPr>
                <w:sz w:val="20"/>
                <w:szCs w:val="20"/>
              </w:rPr>
              <w:t>.</w:t>
            </w:r>
          </w:p>
        </w:tc>
      </w:tr>
      <w:tr w:rsidR="00566C32" w:rsidRPr="00B66B6B" w14:paraId="6F57AE47" w14:textId="77777777" w:rsidTr="001D7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1DB765" w14:textId="4C9AB635" w:rsidR="00566C32" w:rsidRPr="00B66B6B" w:rsidRDefault="003A13F7" w:rsidP="00EF3CCF">
            <w:pPr>
              <w:spacing w:after="0"/>
              <w:rPr>
                <w:sz w:val="20"/>
                <w:szCs w:val="20"/>
              </w:rPr>
            </w:pPr>
            <w:r w:rsidRPr="00B66B6B">
              <w:rPr>
                <w:sz w:val="20"/>
                <w:szCs w:val="20"/>
              </w:rPr>
              <w:t>Australian Infrastructure Financing Facility for the Pacific (</w:t>
            </w:r>
            <w:r w:rsidR="003F775E" w:rsidRPr="00B66B6B">
              <w:rPr>
                <w:sz w:val="20"/>
                <w:szCs w:val="20"/>
              </w:rPr>
              <w:t>AIFFP</w:t>
            </w:r>
            <w:r w:rsidRPr="00B66B6B">
              <w:rPr>
                <w:sz w:val="20"/>
                <w:szCs w:val="20"/>
              </w:rPr>
              <w:t>)</w:t>
            </w:r>
          </w:p>
        </w:tc>
        <w:tc>
          <w:tcPr>
            <w:tcW w:w="7172" w:type="dxa"/>
          </w:tcPr>
          <w:p w14:paraId="0D1164E0" w14:textId="40DEFEA4" w:rsidR="00566C32" w:rsidRPr="00B66B6B" w:rsidRDefault="00171E5E" w:rsidP="00EF3CCF">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B66B6B">
              <w:rPr>
                <w:sz w:val="20"/>
                <w:szCs w:val="20"/>
              </w:rPr>
              <w:t>Commitment</w:t>
            </w:r>
            <w:r w:rsidR="00906774">
              <w:rPr>
                <w:sz w:val="20"/>
                <w:szCs w:val="20"/>
              </w:rPr>
              <w:t>s</w:t>
            </w:r>
            <w:r w:rsidRPr="00B66B6B">
              <w:rPr>
                <w:sz w:val="20"/>
                <w:szCs w:val="20"/>
              </w:rPr>
              <w:t xml:space="preserve"> of over A</w:t>
            </w:r>
            <w:r w:rsidR="00560FDE">
              <w:rPr>
                <w:sz w:val="20"/>
                <w:szCs w:val="20"/>
              </w:rPr>
              <w:t>UD</w:t>
            </w:r>
            <w:r w:rsidRPr="00B66B6B">
              <w:rPr>
                <w:sz w:val="20"/>
                <w:szCs w:val="20"/>
              </w:rPr>
              <w:t xml:space="preserve">40 million to </w:t>
            </w:r>
            <w:r w:rsidR="002E47DF">
              <w:rPr>
                <w:sz w:val="20"/>
                <w:szCs w:val="20"/>
              </w:rPr>
              <w:t>Solomon Islands</w:t>
            </w:r>
            <w:r w:rsidR="00906774">
              <w:rPr>
                <w:sz w:val="20"/>
                <w:szCs w:val="20"/>
              </w:rPr>
              <w:t xml:space="preserve"> to date</w:t>
            </w:r>
            <w:r w:rsidRPr="00B66B6B">
              <w:rPr>
                <w:sz w:val="20"/>
                <w:szCs w:val="20"/>
              </w:rPr>
              <w:t>, including a highly concessional financing package of over A</w:t>
            </w:r>
            <w:r w:rsidR="007208A7">
              <w:rPr>
                <w:sz w:val="20"/>
                <w:szCs w:val="20"/>
              </w:rPr>
              <w:t>UD</w:t>
            </w:r>
            <w:r w:rsidRPr="00B66B6B">
              <w:rPr>
                <w:sz w:val="20"/>
                <w:szCs w:val="20"/>
              </w:rPr>
              <w:t xml:space="preserve">32 million to the Government to finance a transmission line from the Tina River hydropower project </w:t>
            </w:r>
            <w:r w:rsidR="00457421">
              <w:rPr>
                <w:sz w:val="20"/>
                <w:szCs w:val="20"/>
              </w:rPr>
              <w:t>to</w:t>
            </w:r>
            <w:r w:rsidR="00457421" w:rsidRPr="00B66B6B">
              <w:rPr>
                <w:sz w:val="20"/>
                <w:szCs w:val="20"/>
              </w:rPr>
              <w:t xml:space="preserve"> </w:t>
            </w:r>
            <w:r w:rsidRPr="00B66B6B">
              <w:rPr>
                <w:sz w:val="20"/>
                <w:szCs w:val="20"/>
              </w:rPr>
              <w:t>Honiara as well as a A</w:t>
            </w:r>
            <w:r w:rsidR="00560FDE">
              <w:rPr>
                <w:sz w:val="20"/>
                <w:szCs w:val="20"/>
              </w:rPr>
              <w:t>UD</w:t>
            </w:r>
            <w:r w:rsidR="00B40B5B">
              <w:rPr>
                <w:sz w:val="20"/>
                <w:szCs w:val="20"/>
              </w:rPr>
              <w:t>7</w:t>
            </w:r>
            <w:r w:rsidRPr="00B66B6B">
              <w:rPr>
                <w:sz w:val="20"/>
                <w:szCs w:val="20"/>
              </w:rPr>
              <w:t xml:space="preserve"> million loan to the private sector operator of Sasape shipyard on Tulagi island.</w:t>
            </w:r>
            <w:r w:rsidR="00906774">
              <w:rPr>
                <w:sz w:val="20"/>
                <w:szCs w:val="20"/>
              </w:rPr>
              <w:t xml:space="preserve"> AIFFP in in advanced discussions with SIG on further financing of up to AUD100 million for ICT investments. </w:t>
            </w:r>
            <w:r w:rsidR="0007653E" w:rsidRPr="00B66B6B">
              <w:rPr>
                <w:sz w:val="20"/>
                <w:szCs w:val="20"/>
              </w:rPr>
              <w:t xml:space="preserve"> </w:t>
            </w:r>
          </w:p>
        </w:tc>
      </w:tr>
      <w:tr w:rsidR="00566C32" w:rsidRPr="00B66B6B" w14:paraId="553D21D9" w14:textId="77777777" w:rsidTr="001D7D4C">
        <w:tc>
          <w:tcPr>
            <w:cnfStyle w:val="001000000000" w:firstRow="0" w:lastRow="0" w:firstColumn="1" w:lastColumn="0" w:oddVBand="0" w:evenVBand="0" w:oddHBand="0" w:evenHBand="0" w:firstRowFirstColumn="0" w:firstRowLastColumn="0" w:lastRowFirstColumn="0" w:lastRowLastColumn="0"/>
            <w:tcW w:w="1838" w:type="dxa"/>
          </w:tcPr>
          <w:p w14:paraId="11C5CFE2" w14:textId="589E7F6E" w:rsidR="00566C32" w:rsidRPr="00B66B6B" w:rsidRDefault="005A42E0" w:rsidP="00EF3CCF">
            <w:pPr>
              <w:spacing w:after="0"/>
              <w:rPr>
                <w:sz w:val="20"/>
                <w:szCs w:val="20"/>
              </w:rPr>
            </w:pPr>
            <w:r w:rsidRPr="00B66B6B">
              <w:rPr>
                <w:sz w:val="20"/>
                <w:szCs w:val="20"/>
              </w:rPr>
              <w:t xml:space="preserve">Australian Government Department of Defence </w:t>
            </w:r>
            <w:r w:rsidR="009C2E97" w:rsidRPr="00B66B6B">
              <w:rPr>
                <w:sz w:val="20"/>
                <w:szCs w:val="20"/>
              </w:rPr>
              <w:t>(Defence)</w:t>
            </w:r>
          </w:p>
        </w:tc>
        <w:tc>
          <w:tcPr>
            <w:tcW w:w="7172" w:type="dxa"/>
          </w:tcPr>
          <w:p w14:paraId="6CC4CEC4" w14:textId="6B24F716" w:rsidR="00566C32" w:rsidRPr="00B66B6B" w:rsidRDefault="009C2E97" w:rsidP="00EF3CCF">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66B6B">
              <w:rPr>
                <w:sz w:val="20"/>
                <w:szCs w:val="20"/>
              </w:rPr>
              <w:t>Defence</w:t>
            </w:r>
            <w:r w:rsidR="001A21EF" w:rsidRPr="00B66B6B">
              <w:rPr>
                <w:sz w:val="20"/>
                <w:szCs w:val="20"/>
              </w:rPr>
              <w:t xml:space="preserve"> is assisting Solomon Islands to develop the Western border outpost, which will support the Guardian class patrol boats and bring together police, customs, and immigration officials in a single location, as well as an Eastern border outpost announced in 2022.</w:t>
            </w:r>
            <w:r w:rsidR="0007653E" w:rsidRPr="00B66B6B">
              <w:rPr>
                <w:sz w:val="20"/>
                <w:szCs w:val="20"/>
              </w:rPr>
              <w:t xml:space="preserve"> </w:t>
            </w:r>
            <w:r w:rsidR="001A21EF" w:rsidRPr="00B66B6B">
              <w:rPr>
                <w:sz w:val="20"/>
                <w:szCs w:val="20"/>
              </w:rPr>
              <w:t>The AFP is supporting the construction of police stations and barracks across Solomon Islands.</w:t>
            </w:r>
            <w:r w:rsidR="0007653E" w:rsidRPr="00B66B6B">
              <w:rPr>
                <w:sz w:val="20"/>
                <w:szCs w:val="20"/>
              </w:rPr>
              <w:t xml:space="preserve"> </w:t>
            </w:r>
            <w:r w:rsidR="001A21EF" w:rsidRPr="00B66B6B">
              <w:rPr>
                <w:sz w:val="20"/>
                <w:szCs w:val="20"/>
              </w:rPr>
              <w:t>All Defence and AFP support is on top of Australia’s official development assistance to Solomon Islands.</w:t>
            </w:r>
          </w:p>
        </w:tc>
      </w:tr>
    </w:tbl>
    <w:p w14:paraId="6BA9F226" w14:textId="6C04E5B2" w:rsidR="00566C32" w:rsidRPr="00B66B6B" w:rsidRDefault="00F34707" w:rsidP="00F34707">
      <w:pPr>
        <w:pStyle w:val="Caption"/>
      </w:pPr>
      <w:bookmarkStart w:id="39" w:name="_Ref165047568"/>
      <w:bookmarkStart w:id="40" w:name="_Toc166101368"/>
      <w:bookmarkEnd w:id="38"/>
      <w:r w:rsidRPr="00B66B6B">
        <w:t xml:space="preserve">Figure </w:t>
      </w:r>
      <w:r w:rsidR="00C23BCA">
        <w:fldChar w:fldCharType="begin"/>
      </w:r>
      <w:r w:rsidR="00C23BCA">
        <w:instrText xml:space="preserve"> SEQ Figure \* ARABIC </w:instrText>
      </w:r>
      <w:r w:rsidR="00C23BCA">
        <w:fldChar w:fldCharType="separate"/>
      </w:r>
      <w:r w:rsidR="00DC1E3F">
        <w:rPr>
          <w:noProof/>
        </w:rPr>
        <w:t>1</w:t>
      </w:r>
      <w:r w:rsidR="00C23BCA">
        <w:rPr>
          <w:noProof/>
        </w:rPr>
        <w:fldChar w:fldCharType="end"/>
      </w:r>
      <w:bookmarkEnd w:id="39"/>
      <w:r w:rsidRPr="00B66B6B">
        <w:t>: Australian Infrastructure support to S</w:t>
      </w:r>
      <w:r w:rsidR="00385B73">
        <w:t>olomon Islands</w:t>
      </w:r>
      <w:bookmarkEnd w:id="40"/>
    </w:p>
    <w:p w14:paraId="7A7AB4C8" w14:textId="27FCD185" w:rsidR="007F5B51" w:rsidRPr="00B66B6B" w:rsidRDefault="00AB4C6D" w:rsidP="00385B73">
      <w:r>
        <w:t>A summary of non-Australian bilateral and multilateral support provided to Solomon Islands is presented</w:t>
      </w:r>
      <w:r w:rsidR="00175053" w:rsidRPr="00B66B6B">
        <w:t xml:space="preserve"> in </w:t>
      </w:r>
      <w:r w:rsidR="00175053" w:rsidRPr="00B66B6B">
        <w:fldChar w:fldCharType="begin"/>
      </w:r>
      <w:r w:rsidR="00175053" w:rsidRPr="00B66B6B">
        <w:instrText xml:space="preserve"> REF _Ref165048309 \h </w:instrText>
      </w:r>
      <w:r w:rsidR="00175053" w:rsidRPr="00B66B6B">
        <w:fldChar w:fldCharType="separate"/>
      </w:r>
      <w:r w:rsidR="00DC1E3F" w:rsidRPr="00B66B6B">
        <w:t xml:space="preserve">Figure </w:t>
      </w:r>
      <w:r w:rsidR="00DC1E3F">
        <w:rPr>
          <w:noProof/>
        </w:rPr>
        <w:t>2</w:t>
      </w:r>
      <w:r w:rsidR="00175053" w:rsidRPr="00B66B6B">
        <w:fldChar w:fldCharType="end"/>
      </w:r>
      <w:r w:rsidR="003448EB" w:rsidRPr="00B66B6B">
        <w:t xml:space="preserve">, with further project related information provided in </w:t>
      </w:r>
      <w:r w:rsidR="003448EB" w:rsidRPr="00464F6D">
        <w:t xml:space="preserve">Annex </w:t>
      </w:r>
      <w:r w:rsidR="001D7D4C" w:rsidRPr="00464F6D">
        <w:t>4</w:t>
      </w:r>
      <w:r w:rsidR="003448EB" w:rsidRPr="00464F6D">
        <w:t>.</w:t>
      </w:r>
    </w:p>
    <w:tbl>
      <w:tblPr>
        <w:tblStyle w:val="GridTable4-Accent1"/>
        <w:tblW w:w="0" w:type="auto"/>
        <w:tblLook w:val="04A0" w:firstRow="1" w:lastRow="0" w:firstColumn="1" w:lastColumn="0" w:noHBand="0" w:noVBand="1"/>
      </w:tblPr>
      <w:tblGrid>
        <w:gridCol w:w="1555"/>
        <w:gridCol w:w="7455"/>
      </w:tblGrid>
      <w:tr w:rsidR="00D3072F" w:rsidRPr="00B66B6B" w14:paraId="6B11FD53" w14:textId="77777777" w:rsidTr="001D7D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0036D00C" w14:textId="1123F837" w:rsidR="00D3072F" w:rsidRPr="00B66B6B" w:rsidRDefault="00175053">
            <w:pPr>
              <w:spacing w:after="0"/>
              <w:rPr>
                <w:sz w:val="20"/>
                <w:szCs w:val="20"/>
              </w:rPr>
            </w:pPr>
            <w:r w:rsidRPr="00B66B6B">
              <w:rPr>
                <w:sz w:val="20"/>
                <w:szCs w:val="20"/>
              </w:rPr>
              <w:t xml:space="preserve">Development </w:t>
            </w:r>
            <w:r w:rsidR="001D7D4C" w:rsidRPr="00B66B6B">
              <w:rPr>
                <w:sz w:val="20"/>
                <w:szCs w:val="20"/>
              </w:rPr>
              <w:t>p</w:t>
            </w:r>
            <w:r w:rsidRPr="00B66B6B">
              <w:rPr>
                <w:sz w:val="20"/>
                <w:szCs w:val="20"/>
              </w:rPr>
              <w:t>artner</w:t>
            </w:r>
          </w:p>
        </w:tc>
        <w:tc>
          <w:tcPr>
            <w:tcW w:w="7455" w:type="dxa"/>
          </w:tcPr>
          <w:p w14:paraId="51D81E5F" w14:textId="71EBEBB0" w:rsidR="00D3072F" w:rsidRPr="00B66B6B" w:rsidRDefault="001D7D4C">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B66B6B">
              <w:rPr>
                <w:sz w:val="20"/>
                <w:szCs w:val="20"/>
              </w:rPr>
              <w:t>Summary of infrastructure support</w:t>
            </w:r>
          </w:p>
        </w:tc>
      </w:tr>
      <w:tr w:rsidR="00D3072F" w:rsidRPr="00B66B6B" w14:paraId="108DD6E0" w14:textId="77777777" w:rsidTr="001D7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C304713" w14:textId="21F25300" w:rsidR="00D3072F" w:rsidRPr="00B66B6B" w:rsidRDefault="00E0464E">
            <w:pPr>
              <w:spacing w:after="0"/>
              <w:rPr>
                <w:sz w:val="20"/>
                <w:szCs w:val="20"/>
              </w:rPr>
            </w:pPr>
            <w:r w:rsidRPr="00B66B6B">
              <w:rPr>
                <w:sz w:val="20"/>
                <w:szCs w:val="20"/>
              </w:rPr>
              <w:t>The World Bank Group</w:t>
            </w:r>
            <w:r w:rsidR="00944F39" w:rsidRPr="00B66B6B">
              <w:rPr>
                <w:sz w:val="20"/>
                <w:szCs w:val="20"/>
              </w:rPr>
              <w:t xml:space="preserve"> (WBG)</w:t>
            </w:r>
          </w:p>
        </w:tc>
        <w:tc>
          <w:tcPr>
            <w:tcW w:w="7455" w:type="dxa"/>
          </w:tcPr>
          <w:p w14:paraId="5323695C" w14:textId="107BB7AA" w:rsidR="00175053" w:rsidRPr="00B66B6B" w:rsidRDefault="00944F39" w:rsidP="001D7D4C">
            <w:pPr>
              <w:pStyle w:val="TableText"/>
              <w:cnfStyle w:val="000000100000" w:firstRow="0" w:lastRow="0" w:firstColumn="0" w:lastColumn="0" w:oddVBand="0" w:evenVBand="0" w:oddHBand="1" w:evenHBand="0" w:firstRowFirstColumn="0" w:firstRowLastColumn="0" w:lastRowFirstColumn="0" w:lastRowLastColumn="0"/>
            </w:pPr>
            <w:r w:rsidRPr="00B66B6B">
              <w:t>The second largest external financier to Solomon Islands since 2018, WBG has committed approximately USD 350 million (A</w:t>
            </w:r>
            <w:r w:rsidR="00AB4C6D">
              <w:t>UD</w:t>
            </w:r>
            <w:r w:rsidRPr="00B66B6B">
              <w:t>525 million) of its own resources, including about USD 215 million (A</w:t>
            </w:r>
            <w:r w:rsidR="00AB4C6D">
              <w:t>UD</w:t>
            </w:r>
            <w:r w:rsidRPr="00B66B6B">
              <w:t>325 million) for major infrastructure activities.</w:t>
            </w:r>
            <w:r w:rsidR="0007653E" w:rsidRPr="00B66B6B">
              <w:t xml:space="preserve"> </w:t>
            </w:r>
            <w:r w:rsidRPr="00B66B6B">
              <w:t>Around half of this has been grants and half highly concessional loans.</w:t>
            </w:r>
            <w:r w:rsidR="0007653E" w:rsidRPr="00B66B6B">
              <w:t xml:space="preserve"> </w:t>
            </w:r>
            <w:r w:rsidR="003448EB" w:rsidRPr="00B66B6B">
              <w:t>WBG</w:t>
            </w:r>
            <w:r w:rsidRPr="00B66B6B">
              <w:t xml:space="preserve"> has also played a key convening role, mobilising significant cofinancing for major nation building projects</w:t>
            </w:r>
            <w:r w:rsidR="001D7D4C" w:rsidRPr="00B66B6B">
              <w:t>.</w:t>
            </w:r>
          </w:p>
        </w:tc>
      </w:tr>
      <w:tr w:rsidR="00D3072F" w:rsidRPr="00B66B6B" w14:paraId="23C09473" w14:textId="77777777" w:rsidTr="001D7D4C">
        <w:tc>
          <w:tcPr>
            <w:cnfStyle w:val="001000000000" w:firstRow="0" w:lastRow="0" w:firstColumn="1" w:lastColumn="0" w:oddVBand="0" w:evenVBand="0" w:oddHBand="0" w:evenHBand="0" w:firstRowFirstColumn="0" w:firstRowLastColumn="0" w:lastRowFirstColumn="0" w:lastRowLastColumn="0"/>
            <w:tcW w:w="1555" w:type="dxa"/>
          </w:tcPr>
          <w:p w14:paraId="2C790ACB" w14:textId="2480D24E" w:rsidR="00D3072F" w:rsidRPr="00B66B6B" w:rsidRDefault="00B14907">
            <w:pPr>
              <w:spacing w:after="0"/>
              <w:rPr>
                <w:sz w:val="20"/>
                <w:szCs w:val="20"/>
              </w:rPr>
            </w:pPr>
            <w:r w:rsidRPr="00B66B6B">
              <w:rPr>
                <w:sz w:val="20"/>
                <w:szCs w:val="20"/>
              </w:rPr>
              <w:t>Asian Development Bank (ADB)</w:t>
            </w:r>
          </w:p>
        </w:tc>
        <w:tc>
          <w:tcPr>
            <w:tcW w:w="7455" w:type="dxa"/>
          </w:tcPr>
          <w:p w14:paraId="3A9FE929" w14:textId="7A56A95A" w:rsidR="009E64A1" w:rsidRPr="00B66B6B" w:rsidRDefault="009E64A1" w:rsidP="001D7D4C">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66B6B">
              <w:rPr>
                <w:sz w:val="20"/>
                <w:szCs w:val="20"/>
              </w:rPr>
              <w:t>ADB has committed around USD250 million (approximately A</w:t>
            </w:r>
            <w:r w:rsidR="00AB4C6D">
              <w:rPr>
                <w:sz w:val="20"/>
                <w:szCs w:val="20"/>
              </w:rPr>
              <w:t>UD</w:t>
            </w:r>
            <w:r w:rsidRPr="00B66B6B">
              <w:rPr>
                <w:sz w:val="20"/>
                <w:szCs w:val="20"/>
              </w:rPr>
              <w:t xml:space="preserve">375 million) of its own resources to </w:t>
            </w:r>
            <w:r w:rsidR="005A7F17">
              <w:rPr>
                <w:sz w:val="20"/>
                <w:szCs w:val="20"/>
              </w:rPr>
              <w:t>Solomon Islands</w:t>
            </w:r>
            <w:r w:rsidR="005A7F17" w:rsidRPr="00B66B6B">
              <w:rPr>
                <w:sz w:val="20"/>
                <w:szCs w:val="20"/>
              </w:rPr>
              <w:t xml:space="preserve"> </w:t>
            </w:r>
            <w:r w:rsidRPr="00B66B6B">
              <w:rPr>
                <w:sz w:val="20"/>
                <w:szCs w:val="20"/>
              </w:rPr>
              <w:t xml:space="preserve">since 2018, half of which has been for infrastructure. Similar to </w:t>
            </w:r>
            <w:r w:rsidR="00A45200">
              <w:rPr>
                <w:sz w:val="20"/>
                <w:szCs w:val="20"/>
              </w:rPr>
              <w:t>WBG</w:t>
            </w:r>
            <w:r w:rsidRPr="00B66B6B">
              <w:rPr>
                <w:sz w:val="20"/>
                <w:szCs w:val="20"/>
              </w:rPr>
              <w:t>, this has been half grants and half highly concessional loans.</w:t>
            </w:r>
            <w:r w:rsidR="0007653E" w:rsidRPr="00B66B6B">
              <w:rPr>
                <w:sz w:val="20"/>
                <w:szCs w:val="20"/>
              </w:rPr>
              <w:t xml:space="preserve"> </w:t>
            </w:r>
          </w:p>
        </w:tc>
      </w:tr>
      <w:tr w:rsidR="00D3072F" w:rsidRPr="00B66B6B" w14:paraId="2BFF64E9" w14:textId="77777777" w:rsidTr="001D7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0BCF5A" w14:textId="2EB3F03A" w:rsidR="00D3072F" w:rsidRPr="00B66B6B" w:rsidRDefault="003B6FD3">
            <w:pPr>
              <w:spacing w:after="0"/>
              <w:rPr>
                <w:sz w:val="20"/>
                <w:szCs w:val="20"/>
              </w:rPr>
            </w:pPr>
            <w:r w:rsidRPr="00B66B6B">
              <w:rPr>
                <w:sz w:val="20"/>
                <w:szCs w:val="20"/>
              </w:rPr>
              <w:t xml:space="preserve">Peoples Republic of China </w:t>
            </w:r>
          </w:p>
        </w:tc>
        <w:tc>
          <w:tcPr>
            <w:tcW w:w="7455" w:type="dxa"/>
          </w:tcPr>
          <w:p w14:paraId="161E85CA" w14:textId="73CC437C" w:rsidR="00F82A4D" w:rsidRPr="00B66B6B" w:rsidRDefault="00A45200" w:rsidP="001D7D4C">
            <w:p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China</w:t>
            </w:r>
            <w:r w:rsidR="00F82A4D" w:rsidRPr="00B66B6B">
              <w:rPr>
                <w:sz w:val="20"/>
                <w:szCs w:val="20"/>
              </w:rPr>
              <w:t xml:space="preserve"> has committed a reported A</w:t>
            </w:r>
            <w:r w:rsidR="00AB4C6D">
              <w:rPr>
                <w:sz w:val="20"/>
                <w:szCs w:val="20"/>
              </w:rPr>
              <w:t>UD</w:t>
            </w:r>
            <w:r w:rsidR="00F82A4D" w:rsidRPr="00B66B6B">
              <w:rPr>
                <w:sz w:val="20"/>
                <w:szCs w:val="20"/>
              </w:rPr>
              <w:t>280 million in infrastructure financing since being recognised by Solomon Islands in late 2019, including</w:t>
            </w:r>
            <w:r w:rsidR="001D7D4C" w:rsidRPr="00B66B6B">
              <w:rPr>
                <w:sz w:val="20"/>
                <w:szCs w:val="20"/>
              </w:rPr>
              <w:t xml:space="preserve"> support to Pacific Games infrastructure and ICT. This has been primarily grant-based, with some concessional loans.</w:t>
            </w:r>
          </w:p>
        </w:tc>
      </w:tr>
      <w:tr w:rsidR="00D3072F" w:rsidRPr="00B66B6B" w14:paraId="7ACEA63E" w14:textId="77777777" w:rsidTr="001D7D4C">
        <w:tc>
          <w:tcPr>
            <w:cnfStyle w:val="001000000000" w:firstRow="0" w:lastRow="0" w:firstColumn="1" w:lastColumn="0" w:oddVBand="0" w:evenVBand="0" w:oddHBand="0" w:evenHBand="0" w:firstRowFirstColumn="0" w:firstRowLastColumn="0" w:lastRowFirstColumn="0" w:lastRowLastColumn="0"/>
            <w:tcW w:w="1555" w:type="dxa"/>
          </w:tcPr>
          <w:p w14:paraId="7FCEFFE7" w14:textId="4D239C5E" w:rsidR="00D3072F" w:rsidRPr="00B66B6B" w:rsidRDefault="000669F4">
            <w:pPr>
              <w:spacing w:after="0"/>
              <w:rPr>
                <w:sz w:val="20"/>
                <w:szCs w:val="20"/>
              </w:rPr>
            </w:pPr>
            <w:r w:rsidRPr="00B66B6B">
              <w:rPr>
                <w:sz w:val="20"/>
                <w:szCs w:val="20"/>
              </w:rPr>
              <w:t>New Zealand</w:t>
            </w:r>
            <w:r w:rsidR="0007653E" w:rsidRPr="00B66B6B">
              <w:rPr>
                <w:sz w:val="20"/>
                <w:szCs w:val="20"/>
              </w:rPr>
              <w:t xml:space="preserve"> (NZ)</w:t>
            </w:r>
          </w:p>
        </w:tc>
        <w:tc>
          <w:tcPr>
            <w:tcW w:w="7455" w:type="dxa"/>
          </w:tcPr>
          <w:p w14:paraId="433C4923" w14:textId="69ABE365" w:rsidR="00E52FBC" w:rsidRPr="00B66B6B" w:rsidRDefault="0007653E" w:rsidP="001D7D4C">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B66B6B">
              <w:rPr>
                <w:sz w:val="20"/>
                <w:szCs w:val="20"/>
              </w:rPr>
              <w:t>NZ</w:t>
            </w:r>
            <w:r w:rsidR="00E52FBC" w:rsidRPr="00B66B6B">
              <w:rPr>
                <w:sz w:val="20"/>
                <w:szCs w:val="20"/>
              </w:rPr>
              <w:t xml:space="preserve"> has been a major long-term partner for Solomon Islands. NZ’s latest development plan for Solomon Islands envisages assistance totalling NZD150 million (A</w:t>
            </w:r>
            <w:r w:rsidR="00AB4C6D">
              <w:rPr>
                <w:sz w:val="20"/>
                <w:szCs w:val="20"/>
              </w:rPr>
              <w:t>UD</w:t>
            </w:r>
            <w:r w:rsidR="00E52FBC" w:rsidRPr="00B66B6B">
              <w:rPr>
                <w:sz w:val="20"/>
                <w:szCs w:val="20"/>
              </w:rPr>
              <w:t xml:space="preserve">140 million) over </w:t>
            </w:r>
            <w:r w:rsidR="00E52FBC" w:rsidRPr="00B66B6B">
              <w:rPr>
                <w:sz w:val="20"/>
                <w:szCs w:val="20"/>
              </w:rPr>
              <w:lastRenderedPageBreak/>
              <w:t xml:space="preserve">the </w:t>
            </w:r>
            <w:r w:rsidR="005A7F17">
              <w:rPr>
                <w:sz w:val="20"/>
                <w:szCs w:val="20"/>
              </w:rPr>
              <w:t>four</w:t>
            </w:r>
            <w:r w:rsidR="00E52FBC" w:rsidRPr="00B66B6B">
              <w:rPr>
                <w:sz w:val="20"/>
                <w:szCs w:val="20"/>
              </w:rPr>
              <w:t xml:space="preserve"> years from 2021 to 2024.</w:t>
            </w:r>
            <w:r w:rsidRPr="00B66B6B">
              <w:rPr>
                <w:sz w:val="20"/>
                <w:szCs w:val="20"/>
              </w:rPr>
              <w:t xml:space="preserve"> </w:t>
            </w:r>
            <w:r w:rsidR="00E52FBC" w:rsidRPr="00B66B6B">
              <w:rPr>
                <w:sz w:val="20"/>
                <w:szCs w:val="20"/>
              </w:rPr>
              <w:t xml:space="preserve">NZ has historically </w:t>
            </w:r>
            <w:r w:rsidR="00A50151">
              <w:rPr>
                <w:sz w:val="20"/>
                <w:szCs w:val="20"/>
              </w:rPr>
              <w:t>focused on</w:t>
            </w:r>
            <w:r w:rsidR="0026668A">
              <w:rPr>
                <w:sz w:val="20"/>
                <w:szCs w:val="20"/>
              </w:rPr>
              <w:t xml:space="preserve"> aviation and</w:t>
            </w:r>
            <w:r w:rsidR="00E52FBC" w:rsidRPr="00B66B6B">
              <w:rPr>
                <w:sz w:val="20"/>
                <w:szCs w:val="20"/>
              </w:rPr>
              <w:t xml:space="preserve"> the education sector as well as providing significant assistance, including budget support, to help strengthen overall economic management.</w:t>
            </w:r>
            <w:r w:rsidRPr="00B66B6B">
              <w:rPr>
                <w:sz w:val="20"/>
                <w:szCs w:val="20"/>
              </w:rPr>
              <w:t xml:space="preserve"> </w:t>
            </w:r>
          </w:p>
        </w:tc>
      </w:tr>
      <w:tr w:rsidR="00D4506B" w:rsidRPr="00B66B6B" w14:paraId="44D908B2" w14:textId="77777777" w:rsidTr="001D7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8D147C4" w14:textId="0B94783F" w:rsidR="00D4506B" w:rsidRPr="00B66B6B" w:rsidRDefault="00D4506B">
            <w:pPr>
              <w:spacing w:after="0"/>
              <w:rPr>
                <w:sz w:val="20"/>
                <w:szCs w:val="20"/>
              </w:rPr>
            </w:pPr>
            <w:r w:rsidRPr="00B66B6B">
              <w:rPr>
                <w:sz w:val="20"/>
                <w:szCs w:val="20"/>
              </w:rPr>
              <w:lastRenderedPageBreak/>
              <w:t>Japan</w:t>
            </w:r>
          </w:p>
        </w:tc>
        <w:tc>
          <w:tcPr>
            <w:tcW w:w="7455" w:type="dxa"/>
          </w:tcPr>
          <w:p w14:paraId="7FBB05C3" w14:textId="32A808C6" w:rsidR="00D4506B" w:rsidRPr="00B66B6B" w:rsidRDefault="00D4506B" w:rsidP="001D7D4C">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C2550B">
              <w:rPr>
                <w:sz w:val="20"/>
                <w:szCs w:val="20"/>
              </w:rPr>
              <w:t>Japan</w:t>
            </w:r>
            <w:r w:rsidRPr="00B54109">
              <w:rPr>
                <w:sz w:val="20"/>
                <w:szCs w:val="20"/>
              </w:rPr>
              <w:t xml:space="preserve"> has</w:t>
            </w:r>
            <w:r w:rsidRPr="00D4506B">
              <w:rPr>
                <w:sz w:val="20"/>
                <w:szCs w:val="20"/>
              </w:rPr>
              <w:t xml:space="preserve"> provided significant infrastructure support to Solomon Islands. Japanese financing has been provided on grant terms, except for a JPY 2.5 billion (A</w:t>
            </w:r>
            <w:r w:rsidR="00AB4C6D">
              <w:rPr>
                <w:sz w:val="20"/>
                <w:szCs w:val="20"/>
              </w:rPr>
              <w:t>UD2</w:t>
            </w:r>
            <w:r w:rsidRPr="00D4506B">
              <w:rPr>
                <w:sz w:val="20"/>
                <w:szCs w:val="20"/>
              </w:rPr>
              <w:t>5 million) concessional loan in 2021 to assist the country</w:t>
            </w:r>
            <w:r w:rsidRPr="00B66B6B">
              <w:rPr>
                <w:sz w:val="20"/>
                <w:szCs w:val="20"/>
              </w:rPr>
              <w:t>’s response</w:t>
            </w:r>
            <w:r w:rsidRPr="00D4506B">
              <w:rPr>
                <w:sz w:val="20"/>
                <w:szCs w:val="20"/>
              </w:rPr>
              <w:t xml:space="preserve"> to COVID</w:t>
            </w:r>
            <w:r w:rsidR="005A7F17">
              <w:rPr>
                <w:sz w:val="20"/>
                <w:szCs w:val="20"/>
              </w:rPr>
              <w:t>-19</w:t>
            </w:r>
            <w:r w:rsidRPr="00D4506B">
              <w:rPr>
                <w:sz w:val="20"/>
                <w:szCs w:val="20"/>
              </w:rPr>
              <w:t>. Japanese investments have focused on infrastructure since 2018</w:t>
            </w:r>
            <w:r w:rsidR="001D7D4C" w:rsidRPr="00B66B6B">
              <w:rPr>
                <w:sz w:val="20"/>
                <w:szCs w:val="20"/>
              </w:rPr>
              <w:t>.</w:t>
            </w:r>
          </w:p>
        </w:tc>
      </w:tr>
      <w:tr w:rsidR="003E397C" w:rsidRPr="00B66B6B" w14:paraId="137AA255" w14:textId="77777777" w:rsidTr="001D7D4C">
        <w:tc>
          <w:tcPr>
            <w:cnfStyle w:val="001000000000" w:firstRow="0" w:lastRow="0" w:firstColumn="1" w:lastColumn="0" w:oddVBand="0" w:evenVBand="0" w:oddHBand="0" w:evenHBand="0" w:firstRowFirstColumn="0" w:firstRowLastColumn="0" w:lastRowFirstColumn="0" w:lastRowLastColumn="0"/>
            <w:tcW w:w="1555" w:type="dxa"/>
          </w:tcPr>
          <w:p w14:paraId="321D0C16" w14:textId="36FD8328" w:rsidR="003E397C" w:rsidRPr="00B66B6B" w:rsidRDefault="003E397C">
            <w:pPr>
              <w:spacing w:after="0"/>
              <w:rPr>
                <w:sz w:val="20"/>
                <w:szCs w:val="20"/>
              </w:rPr>
            </w:pPr>
            <w:r w:rsidRPr="00B66B6B">
              <w:rPr>
                <w:sz w:val="20"/>
                <w:szCs w:val="20"/>
              </w:rPr>
              <w:t>European Union (EU)</w:t>
            </w:r>
          </w:p>
        </w:tc>
        <w:tc>
          <w:tcPr>
            <w:tcW w:w="7455" w:type="dxa"/>
          </w:tcPr>
          <w:p w14:paraId="1F657D0A" w14:textId="2A019724" w:rsidR="003E397C" w:rsidRPr="00B66B6B" w:rsidRDefault="00C8200E" w:rsidP="00D4506B">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C8200E">
              <w:rPr>
                <w:sz w:val="20"/>
                <w:szCs w:val="20"/>
              </w:rPr>
              <w:t xml:space="preserve">The </w:t>
            </w:r>
            <w:r w:rsidRPr="00B66B6B">
              <w:rPr>
                <w:sz w:val="20"/>
                <w:szCs w:val="20"/>
              </w:rPr>
              <w:t>EU</w:t>
            </w:r>
            <w:r w:rsidRPr="00C8200E">
              <w:rPr>
                <w:sz w:val="20"/>
                <w:szCs w:val="20"/>
              </w:rPr>
              <w:t xml:space="preserve"> has focused primarily on supporting water, sanitation, and hygiene (WASH) improvements in Solomon Islands, including a EUR 18 million (A</w:t>
            </w:r>
            <w:r w:rsidR="00AB4C6D">
              <w:rPr>
                <w:sz w:val="20"/>
                <w:szCs w:val="20"/>
              </w:rPr>
              <w:t>UD</w:t>
            </w:r>
            <w:r w:rsidRPr="00C8200E">
              <w:rPr>
                <w:sz w:val="20"/>
                <w:szCs w:val="20"/>
              </w:rPr>
              <w:t xml:space="preserve">30 million) grant in 2023 to water and sanitation in urban and peri-urban areas around Honiara.  </w:t>
            </w:r>
          </w:p>
        </w:tc>
      </w:tr>
      <w:tr w:rsidR="003E397C" w:rsidRPr="00B66B6B" w14:paraId="68F405D6" w14:textId="77777777" w:rsidTr="001D7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C08AD25" w14:textId="023F83B8" w:rsidR="003E397C" w:rsidRPr="00B66B6B" w:rsidRDefault="003E397C">
            <w:pPr>
              <w:spacing w:after="0"/>
              <w:rPr>
                <w:sz w:val="20"/>
                <w:szCs w:val="20"/>
              </w:rPr>
            </w:pPr>
            <w:r w:rsidRPr="00B66B6B">
              <w:rPr>
                <w:sz w:val="20"/>
                <w:szCs w:val="20"/>
              </w:rPr>
              <w:t>United States of America (US)</w:t>
            </w:r>
          </w:p>
        </w:tc>
        <w:tc>
          <w:tcPr>
            <w:tcW w:w="7455" w:type="dxa"/>
          </w:tcPr>
          <w:p w14:paraId="53E73BF5" w14:textId="59ACDE24" w:rsidR="003E397C" w:rsidRPr="00B66B6B" w:rsidRDefault="005A7F17" w:rsidP="00D4506B">
            <w:p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w:t>
            </w:r>
            <w:r w:rsidR="00F15B25" w:rsidRPr="00B66B6B">
              <w:rPr>
                <w:sz w:val="20"/>
                <w:szCs w:val="20"/>
              </w:rPr>
              <w:t xml:space="preserve">US has not traditionally been a major financier for Solomon Islands. In January 2022, however, Solomon Islands signed a threshold agreement with the US Millennium Challenge Corporation (MCC). </w:t>
            </w:r>
            <w:r w:rsidR="007E7CA8">
              <w:rPr>
                <w:sz w:val="20"/>
                <w:szCs w:val="20"/>
              </w:rPr>
              <w:t>T</w:t>
            </w:r>
            <w:r w:rsidR="00F15B25" w:rsidRPr="00B66B6B">
              <w:rPr>
                <w:sz w:val="20"/>
                <w:szCs w:val="20"/>
              </w:rPr>
              <w:t>his is intended to support Solomon Islands to access potentially significant financing to help meet infrastructure investment needs, although larger MCC project funding is not assured and unlikely even in a best case until 2027.</w:t>
            </w:r>
          </w:p>
        </w:tc>
      </w:tr>
    </w:tbl>
    <w:p w14:paraId="2BAA5E86" w14:textId="2EE352F3" w:rsidR="00D3072F" w:rsidRPr="00B66B6B" w:rsidRDefault="00175053" w:rsidP="00175053">
      <w:pPr>
        <w:pStyle w:val="Caption"/>
      </w:pPr>
      <w:bookmarkStart w:id="41" w:name="_Ref165048309"/>
      <w:bookmarkStart w:id="42" w:name="_Toc166101369"/>
      <w:r w:rsidRPr="00B66B6B">
        <w:t xml:space="preserve">Figure </w:t>
      </w:r>
      <w:r w:rsidR="00C23BCA">
        <w:fldChar w:fldCharType="begin"/>
      </w:r>
      <w:r w:rsidR="00C23BCA">
        <w:instrText xml:space="preserve"> SEQ Figure \* ARABIC </w:instrText>
      </w:r>
      <w:r w:rsidR="00C23BCA">
        <w:fldChar w:fldCharType="separate"/>
      </w:r>
      <w:r w:rsidR="00DC1E3F">
        <w:rPr>
          <w:noProof/>
        </w:rPr>
        <w:t>2</w:t>
      </w:r>
      <w:r w:rsidR="00C23BCA">
        <w:rPr>
          <w:noProof/>
        </w:rPr>
        <w:fldChar w:fldCharType="end"/>
      </w:r>
      <w:bookmarkEnd w:id="41"/>
      <w:r w:rsidRPr="00B66B6B">
        <w:t>: Non-Australian bilateral and multilateral support to infrastructure in S</w:t>
      </w:r>
      <w:r w:rsidR="00385B73">
        <w:t>olomon Islands</w:t>
      </w:r>
      <w:bookmarkEnd w:id="42"/>
    </w:p>
    <w:p w14:paraId="04319762" w14:textId="67A9C634" w:rsidR="00AB58FF" w:rsidRDefault="00AB58FF" w:rsidP="00AB58FF">
      <w:pPr>
        <w:pStyle w:val="Heading3"/>
      </w:pPr>
      <w:r w:rsidRPr="00B66B6B">
        <w:t xml:space="preserve">EQ5. Are the EOPOs still relevant to the current budgetary, </w:t>
      </w:r>
      <w:r w:rsidR="00BE0ECE" w:rsidRPr="00B66B6B">
        <w:t>political,</w:t>
      </w:r>
      <w:r w:rsidRPr="00B66B6B">
        <w:t xml:space="preserve"> and strategic environment in Solomon Islands?</w:t>
      </w:r>
    </w:p>
    <w:p w14:paraId="6DC39DAE" w14:textId="7EE24907" w:rsidR="0037481A" w:rsidRDefault="00E02126" w:rsidP="00E02126">
      <w:r w:rsidRPr="00E02126">
        <w:t>This question is answered in response to EQ1</w:t>
      </w:r>
      <w:r w:rsidR="0037481A">
        <w:t xml:space="preserve">, given the overlap </w:t>
      </w:r>
      <w:r w:rsidR="000F784E">
        <w:t>in stakeholders and priorities of</w:t>
      </w:r>
      <w:r w:rsidR="0037481A">
        <w:t xml:space="preserve"> the key beneficiaries </w:t>
      </w:r>
      <w:r w:rsidR="000F784E">
        <w:t xml:space="preserve">(EQ1) </w:t>
      </w:r>
      <w:r w:rsidR="0037481A">
        <w:t xml:space="preserve">and </w:t>
      </w:r>
      <w:r w:rsidR="000F784E">
        <w:t xml:space="preserve">Solomon Islands context (EQ5). </w:t>
      </w:r>
    </w:p>
    <w:p w14:paraId="562C4947" w14:textId="0E026A5F" w:rsidR="00AB58FF" w:rsidRPr="00B66B6B" w:rsidRDefault="00AB58FF" w:rsidP="00AB58FF">
      <w:pPr>
        <w:pStyle w:val="Heading3"/>
      </w:pPr>
      <w:r w:rsidRPr="00B66B6B">
        <w:t>EQ6. How well is the program balancing and prioritising efforts to deliver on the program’s parallel EOPOs?</w:t>
      </w:r>
      <w:r w:rsidR="00D728FA" w:rsidRPr="00B66B6B">
        <w:t xml:space="preserve"> </w:t>
      </w:r>
    </w:p>
    <w:p w14:paraId="092A7113" w14:textId="77777777" w:rsidR="004472E9" w:rsidRDefault="00015087" w:rsidP="006C69FB">
      <w:r w:rsidRPr="00B66B6B">
        <w:t>As noted in response to EQ1, the interdependence of the parallel EOPOs is important, a</w:t>
      </w:r>
      <w:r w:rsidR="003C542D" w:rsidRPr="00B66B6B">
        <w:t xml:space="preserve">nd the prioritisation of EOPOs falls </w:t>
      </w:r>
      <w:r w:rsidR="001B401C" w:rsidRPr="00B66B6B">
        <w:t xml:space="preserve">to some extent with EOPO1 in terms of the systems approach to improving SIG and industry capacity in infrastructure development, alongside construction of demonstration projects for visibility and exposure purposes. However, it is clear that the priorities of </w:t>
      </w:r>
      <w:r w:rsidR="008A69E6">
        <w:t>DFAT</w:t>
      </w:r>
      <w:r w:rsidR="004C0A65" w:rsidRPr="00B66B6B">
        <w:t xml:space="preserve"> have shifted in the </w:t>
      </w:r>
      <w:r w:rsidR="00393C75" w:rsidRPr="00B66B6B">
        <w:t>subsequent</w:t>
      </w:r>
      <w:r w:rsidR="004C0A65" w:rsidRPr="00B66B6B">
        <w:t xml:space="preserve"> three years, such that the current focus of the program</w:t>
      </w:r>
      <w:r w:rsidR="00393C75" w:rsidRPr="00B66B6B">
        <w:t>,</w:t>
      </w:r>
      <w:r w:rsidR="004C0A65" w:rsidRPr="00B66B6B">
        <w:t xml:space="preserve"> according to </w:t>
      </w:r>
      <w:r w:rsidR="008A69E6">
        <w:t>DFAT</w:t>
      </w:r>
      <w:r w:rsidR="004C0A65" w:rsidRPr="00B66B6B">
        <w:t xml:space="preserve"> and to some extent SIG, </w:t>
      </w:r>
      <w:r w:rsidR="00393C75" w:rsidRPr="00B66B6B">
        <w:t>sits</w:t>
      </w:r>
      <w:r w:rsidR="004C0A65" w:rsidRPr="00B66B6B">
        <w:t xml:space="preserve"> </w:t>
      </w:r>
      <w:r w:rsidR="00AC6002" w:rsidRPr="00B66B6B">
        <w:t>squarely with the construction of high quality inclusive infrastructure that contributes to economic growth in SI</w:t>
      </w:r>
      <w:r w:rsidR="00393C75" w:rsidRPr="00B66B6B">
        <w:t xml:space="preserve">. </w:t>
      </w:r>
      <w:r w:rsidR="00393C75" w:rsidRPr="00B66B6B">
        <w:rPr>
          <w:b/>
          <w:bCs/>
        </w:rPr>
        <w:t xml:space="preserve">This review </w:t>
      </w:r>
      <w:r w:rsidR="006638E8" w:rsidRPr="00B66B6B">
        <w:rPr>
          <w:b/>
          <w:bCs/>
        </w:rPr>
        <w:t>heard</w:t>
      </w:r>
      <w:r w:rsidR="00393C75" w:rsidRPr="00B66B6B">
        <w:rPr>
          <w:b/>
          <w:bCs/>
        </w:rPr>
        <w:t xml:space="preserve"> that the delivery of SIIP has focused too heavily on EOPO1, and that </w:t>
      </w:r>
      <w:r w:rsidR="006638E8" w:rsidRPr="00B66B6B">
        <w:rPr>
          <w:b/>
          <w:bCs/>
        </w:rPr>
        <w:t>this needs to be rebalanced to</w:t>
      </w:r>
      <w:r w:rsidR="0037551A" w:rsidRPr="00B66B6B">
        <w:rPr>
          <w:b/>
          <w:bCs/>
        </w:rPr>
        <w:t xml:space="preserve"> focus on delivery of</w:t>
      </w:r>
      <w:r w:rsidR="006638E8" w:rsidRPr="00B66B6B">
        <w:rPr>
          <w:b/>
          <w:bCs/>
        </w:rPr>
        <w:t xml:space="preserve"> EOPO2</w:t>
      </w:r>
      <w:r w:rsidR="0037551A" w:rsidRPr="00B66B6B">
        <w:rPr>
          <w:b/>
          <w:bCs/>
        </w:rPr>
        <w:t xml:space="preserve"> results</w:t>
      </w:r>
      <w:r w:rsidR="006638E8" w:rsidRPr="00B66B6B">
        <w:t xml:space="preserve">. </w:t>
      </w:r>
    </w:p>
    <w:p w14:paraId="6AE03E62" w14:textId="6097120C" w:rsidR="008F15DC" w:rsidRPr="00B66B6B" w:rsidRDefault="0037551A" w:rsidP="006C69FB">
      <w:r w:rsidRPr="00524CC4">
        <w:t>Related</w:t>
      </w:r>
      <w:r w:rsidR="00E34DC0" w:rsidRPr="00524CC4">
        <w:t xml:space="preserve"> areas of evolution in focus and scope </w:t>
      </w:r>
      <w:r w:rsidRPr="00524CC4">
        <w:t>of SIIP include:</w:t>
      </w:r>
    </w:p>
    <w:p w14:paraId="08202EAF" w14:textId="7C2F1818" w:rsidR="00AC6002" w:rsidRPr="00B66B6B" w:rsidRDefault="00E34DC0" w:rsidP="00864DDD">
      <w:pPr>
        <w:pStyle w:val="ListParagraph"/>
        <w:numPr>
          <w:ilvl w:val="0"/>
          <w:numId w:val="16"/>
        </w:numPr>
      </w:pPr>
      <w:r w:rsidRPr="00B66B6B">
        <w:t xml:space="preserve">the </w:t>
      </w:r>
      <w:r w:rsidRPr="00B66B6B">
        <w:rPr>
          <w:b/>
          <w:bCs/>
        </w:rPr>
        <w:t>type</w:t>
      </w:r>
      <w:r w:rsidRPr="00B66B6B">
        <w:t xml:space="preserve"> of infrastructure projects that sit within the SIIP umbrella, from economic infrastructure </w:t>
      </w:r>
      <w:r w:rsidR="008F15DC" w:rsidRPr="00B66B6B">
        <w:t>(laid out clearly in the design document)</w:t>
      </w:r>
      <w:r w:rsidRPr="00B66B6B">
        <w:t xml:space="preserve">, to encompassing </w:t>
      </w:r>
      <w:r w:rsidR="008F15DC" w:rsidRPr="00B66B6B">
        <w:t>social infrastructure such as health sector projects</w:t>
      </w:r>
    </w:p>
    <w:p w14:paraId="14E39AA0" w14:textId="7795AA34" w:rsidR="008F15DC" w:rsidRPr="00B66B6B" w:rsidRDefault="008F15DC" w:rsidP="00864DDD">
      <w:pPr>
        <w:pStyle w:val="ListParagraph"/>
        <w:numPr>
          <w:ilvl w:val="0"/>
          <w:numId w:val="16"/>
        </w:numPr>
      </w:pPr>
      <w:r w:rsidRPr="00B66B6B">
        <w:t xml:space="preserve">the </w:t>
      </w:r>
      <w:r w:rsidRPr="00B66B6B">
        <w:rPr>
          <w:b/>
          <w:bCs/>
        </w:rPr>
        <w:t>nature</w:t>
      </w:r>
      <w:r w:rsidRPr="00B66B6B">
        <w:t xml:space="preserve"> of the projects</w:t>
      </w:r>
      <w:r w:rsidR="00FF7724" w:rsidRPr="00B66B6B">
        <w:t xml:space="preserve">, from demonstration and exposure to nation building </w:t>
      </w:r>
    </w:p>
    <w:p w14:paraId="3E633C90" w14:textId="71BE094C" w:rsidR="00FF7724" w:rsidRPr="00B66B6B" w:rsidRDefault="00FF7724" w:rsidP="00864DDD">
      <w:pPr>
        <w:pStyle w:val="ListParagraph"/>
        <w:numPr>
          <w:ilvl w:val="0"/>
          <w:numId w:val="16"/>
        </w:numPr>
      </w:pPr>
      <w:r w:rsidRPr="00B66B6B">
        <w:t xml:space="preserve">the </w:t>
      </w:r>
      <w:r w:rsidRPr="00B66B6B">
        <w:rPr>
          <w:b/>
          <w:bCs/>
        </w:rPr>
        <w:t>scale</w:t>
      </w:r>
      <w:r w:rsidRPr="00B66B6B">
        <w:t xml:space="preserve"> of the projects, which was not set out in the design </w:t>
      </w:r>
      <w:r w:rsidR="00D263A7" w:rsidRPr="00B66B6B">
        <w:t>document</w:t>
      </w:r>
      <w:r w:rsidRPr="00B66B6B">
        <w:t xml:space="preserve">, and </w:t>
      </w:r>
      <w:r w:rsidR="00D263A7" w:rsidRPr="00B66B6B">
        <w:t>at the time of the review</w:t>
      </w:r>
      <w:r w:rsidRPr="00B66B6B">
        <w:t xml:space="preserve"> encompass</w:t>
      </w:r>
      <w:r w:rsidR="00D263A7" w:rsidRPr="00B66B6B">
        <w:t>es</w:t>
      </w:r>
      <w:r w:rsidRPr="00B66B6B">
        <w:t xml:space="preserve"> a wide spectrum of project values</w:t>
      </w:r>
      <w:r w:rsidR="00D263A7" w:rsidRPr="00B66B6B">
        <w:t xml:space="preserve"> (</w:t>
      </w:r>
      <w:r w:rsidR="004F3729" w:rsidRPr="00B66B6B">
        <w:t xml:space="preserve">from </w:t>
      </w:r>
      <w:r w:rsidR="007208A7">
        <w:t>AUD</w:t>
      </w:r>
      <w:r w:rsidR="004F3729" w:rsidRPr="00B66B6B">
        <w:t>0.</w:t>
      </w:r>
      <w:r w:rsidR="00576C8A" w:rsidRPr="00B66B6B">
        <w:t>5</w:t>
      </w:r>
      <w:r w:rsidR="007208A7">
        <w:t xml:space="preserve"> </w:t>
      </w:r>
      <w:r w:rsidR="00576C8A" w:rsidRPr="00B66B6B">
        <w:t>mil</w:t>
      </w:r>
      <w:r w:rsidR="007208A7">
        <w:t>lion</w:t>
      </w:r>
      <w:r w:rsidR="00576C8A" w:rsidRPr="00B66B6B">
        <w:t xml:space="preserve"> to </w:t>
      </w:r>
      <w:r w:rsidR="007208A7">
        <w:t>AUD</w:t>
      </w:r>
      <w:r w:rsidR="00576C8A" w:rsidRPr="00B66B6B">
        <w:t>40</w:t>
      </w:r>
      <w:r w:rsidR="007208A7">
        <w:t xml:space="preserve"> </w:t>
      </w:r>
      <w:r w:rsidR="00576C8A" w:rsidRPr="00B66B6B">
        <w:t>mil</w:t>
      </w:r>
      <w:r w:rsidR="007208A7">
        <w:t>lion</w:t>
      </w:r>
      <w:r w:rsidR="00576C8A" w:rsidRPr="00B66B6B">
        <w:t>)</w:t>
      </w:r>
    </w:p>
    <w:p w14:paraId="41332620" w14:textId="57D3030A" w:rsidR="00B800A8" w:rsidRPr="00B66B6B" w:rsidRDefault="00B800A8" w:rsidP="00B800A8">
      <w:r w:rsidRPr="00B66B6B">
        <w:t>Pressures</w:t>
      </w:r>
      <w:r w:rsidR="00100D5B" w:rsidRPr="00B66B6B">
        <w:t xml:space="preserve"> contributing </w:t>
      </w:r>
      <w:r w:rsidRPr="00B66B6B">
        <w:t xml:space="preserve">to </w:t>
      </w:r>
      <w:r w:rsidR="00100D5B" w:rsidRPr="00B66B6B">
        <w:t>these</w:t>
      </w:r>
      <w:r w:rsidRPr="00B66B6B">
        <w:t xml:space="preserve"> </w:t>
      </w:r>
      <w:r w:rsidR="00BF62B9" w:rsidRPr="00B66B6B">
        <w:t>moves away from the original design</w:t>
      </w:r>
      <w:r w:rsidR="00100D5B" w:rsidRPr="00B66B6B">
        <w:t xml:space="preserve"> have included</w:t>
      </w:r>
      <w:r w:rsidR="00BF62B9" w:rsidRPr="00B66B6B">
        <w:t xml:space="preserve"> changes in the geopolitical landscape, such as the increased visibility of infrastructure development from China (e.g. Pacific Games)</w:t>
      </w:r>
      <w:r w:rsidR="0002693B" w:rsidRPr="00B66B6B">
        <w:t xml:space="preserve">, and </w:t>
      </w:r>
      <w:r w:rsidR="00100D5B" w:rsidRPr="00B66B6B">
        <w:t>a</w:t>
      </w:r>
      <w:r w:rsidR="0002693B" w:rsidRPr="00B66B6B">
        <w:t xml:space="preserve"> resulting push for DFAT to respond to </w:t>
      </w:r>
      <w:r w:rsidR="001E6827">
        <w:t>a</w:t>
      </w:r>
      <w:r w:rsidR="001E6827" w:rsidRPr="00B66B6B">
        <w:t xml:space="preserve"> </w:t>
      </w:r>
      <w:r w:rsidR="0002693B" w:rsidRPr="00B66B6B">
        <w:t xml:space="preserve">range of </w:t>
      </w:r>
      <w:r w:rsidR="00265A84">
        <w:t>seemingly ad hoc</w:t>
      </w:r>
      <w:r w:rsidR="001E6827">
        <w:t xml:space="preserve"> </w:t>
      </w:r>
      <w:r w:rsidR="0002693B" w:rsidRPr="00B66B6B">
        <w:t>infrastructure development requests</w:t>
      </w:r>
      <w:r w:rsidR="00100D5B" w:rsidRPr="00B66B6B">
        <w:t xml:space="preserve"> from SIG</w:t>
      </w:r>
      <w:r w:rsidR="00265A84">
        <w:t xml:space="preserve">, outside of an agreed project pipeline (prior to the </w:t>
      </w:r>
      <w:r w:rsidR="004D7306">
        <w:t xml:space="preserve">December </w:t>
      </w:r>
      <w:r w:rsidR="00D60E85">
        <w:t xml:space="preserve">2023 </w:t>
      </w:r>
      <w:r w:rsidR="00D5759F">
        <w:t>approved Solomon Islands National Infrastructure Pipeline</w:t>
      </w:r>
      <w:r w:rsidR="00D60E85">
        <w:t>)</w:t>
      </w:r>
      <w:r w:rsidR="00100D5B" w:rsidRPr="00B66B6B">
        <w:t xml:space="preserve">. </w:t>
      </w:r>
    </w:p>
    <w:p w14:paraId="3B12E924" w14:textId="7A7AD8B9" w:rsidR="006C69FB" w:rsidRPr="00B66B6B" w:rsidRDefault="00A5788E" w:rsidP="006C69FB">
      <w:r w:rsidRPr="00B66B6B">
        <w:lastRenderedPageBreak/>
        <w:t xml:space="preserve">This review has heard </w:t>
      </w:r>
      <w:r w:rsidR="00081D08" w:rsidRPr="00B66B6B">
        <w:t xml:space="preserve">that while </w:t>
      </w:r>
      <w:r w:rsidR="004129EE" w:rsidRPr="00B66B6B">
        <w:t xml:space="preserve">SIIP is well placed to support SIG in </w:t>
      </w:r>
      <w:r w:rsidR="00B66B6B" w:rsidRPr="00B66B6B">
        <w:t>addressing many</w:t>
      </w:r>
      <w:r w:rsidR="004129EE" w:rsidRPr="00B66B6B">
        <w:t xml:space="preserve"> </w:t>
      </w:r>
      <w:r w:rsidRPr="00B66B6B">
        <w:t xml:space="preserve">systemic </w:t>
      </w:r>
      <w:r w:rsidR="00081D08" w:rsidRPr="00B66B6B">
        <w:t xml:space="preserve">constraints facing </w:t>
      </w:r>
      <w:r w:rsidR="004129EE" w:rsidRPr="00B66B6B">
        <w:t xml:space="preserve">Solomon Islands </w:t>
      </w:r>
      <w:r w:rsidR="00476920" w:rsidRPr="00B66B6B">
        <w:t>in</w:t>
      </w:r>
      <w:r w:rsidR="004129EE" w:rsidRPr="00B66B6B">
        <w:t xml:space="preserve"> </w:t>
      </w:r>
      <w:r w:rsidR="00081D08" w:rsidRPr="00B66B6B">
        <w:t>its infrastructure development</w:t>
      </w:r>
      <w:r w:rsidR="00C84D39" w:rsidRPr="00B66B6B">
        <w:t xml:space="preserve"> </w:t>
      </w:r>
      <w:r w:rsidR="004129EE" w:rsidRPr="00B66B6B">
        <w:t>(particularly in</w:t>
      </w:r>
      <w:r w:rsidR="00476920" w:rsidRPr="00B66B6B">
        <w:t xml:space="preserve"> the </w:t>
      </w:r>
      <w:r w:rsidR="001E6827">
        <w:t>G</w:t>
      </w:r>
      <w:r w:rsidR="001E6827" w:rsidRPr="00B66B6B">
        <w:t xml:space="preserve">overnment’s </w:t>
      </w:r>
      <w:r w:rsidR="00DE7F2F" w:rsidRPr="00B66B6B">
        <w:t>capacity for</w:t>
      </w:r>
      <w:r w:rsidR="004129EE" w:rsidRPr="00B66B6B">
        <w:t xml:space="preserve"> project preparation, financing, </w:t>
      </w:r>
      <w:r w:rsidR="007E6CFD" w:rsidRPr="00B66B6B">
        <w:t>construction and maintenance), the</w:t>
      </w:r>
      <w:r w:rsidR="00476920" w:rsidRPr="00B66B6B">
        <w:t xml:space="preserve"> particulars of the program’s</w:t>
      </w:r>
      <w:r w:rsidR="007E6CFD" w:rsidRPr="00B66B6B">
        <w:t xml:space="preserve"> design </w:t>
      </w:r>
      <w:r w:rsidR="00476920" w:rsidRPr="00B66B6B">
        <w:t>are</w:t>
      </w:r>
      <w:r w:rsidR="007E6CFD" w:rsidRPr="00B66B6B">
        <w:t xml:space="preserve"> not as relevant </w:t>
      </w:r>
      <w:r w:rsidR="00476920" w:rsidRPr="00B66B6B">
        <w:t xml:space="preserve">now </w:t>
      </w:r>
      <w:r w:rsidR="007E6CFD" w:rsidRPr="00B66B6B">
        <w:t xml:space="preserve">as the </w:t>
      </w:r>
      <w:r w:rsidR="00476920" w:rsidRPr="00B66B6B">
        <w:t xml:space="preserve">need for demonstrating delivery of quality, Australian funded inclusive infrastructure provision, the progress of which is discussed in the next section (Effectiveness). </w:t>
      </w:r>
    </w:p>
    <w:p w14:paraId="787D3A4A" w14:textId="5FA756F4" w:rsidR="00AB58FF" w:rsidRPr="00B66B6B" w:rsidRDefault="009D70F2" w:rsidP="00185BD1">
      <w:pPr>
        <w:pStyle w:val="Heading2"/>
      </w:pPr>
      <w:bookmarkStart w:id="43" w:name="_Toc165140741"/>
      <w:r w:rsidRPr="00B66B6B">
        <w:t>Effectiveness</w:t>
      </w:r>
      <w:bookmarkEnd w:id="43"/>
    </w:p>
    <w:p w14:paraId="3C363371" w14:textId="4817172E" w:rsidR="00185BD1" w:rsidRDefault="00E774AD" w:rsidP="00AB58FF">
      <w:r w:rsidRPr="00B66B6B">
        <w:t xml:space="preserve">This set of </w:t>
      </w:r>
      <w:r w:rsidR="00D60E85">
        <w:t>EQs</w:t>
      </w:r>
      <w:r w:rsidRPr="00B66B6B">
        <w:t xml:space="preserve"> seeks to answer the question: </w:t>
      </w:r>
      <w:r w:rsidR="00185BD1" w:rsidRPr="00B66B6B">
        <w:t>Is the intervention achieving its objectives?</w:t>
      </w:r>
    </w:p>
    <w:p w14:paraId="4277DD5A" w14:textId="5B13143B" w:rsidR="009D70F2" w:rsidRDefault="009D70F2" w:rsidP="00185BD1">
      <w:pPr>
        <w:pStyle w:val="Heading3"/>
      </w:pPr>
      <w:bookmarkStart w:id="44" w:name="_Ref165136557"/>
      <w:r w:rsidRPr="00B66B6B">
        <w:t>EQ7. To what extent is the Program achieving its outputs and intermediate outcomes? Are they the right outputs to achieve the intermediate and end of program outcomes?</w:t>
      </w:r>
      <w:bookmarkEnd w:id="44"/>
    </w:p>
    <w:p w14:paraId="16508D21" w14:textId="7081204C" w:rsidR="00DA295E" w:rsidRPr="00C2550B" w:rsidRDefault="00DA295E" w:rsidP="00AE102F">
      <w:pPr>
        <w:rPr>
          <w:rStyle w:val="HeadlinefindingChar"/>
          <w:i/>
          <w:iCs/>
          <w:u w:val="single"/>
        </w:rPr>
      </w:pPr>
      <w:r w:rsidRPr="00C2550B">
        <w:rPr>
          <w:rStyle w:val="HeadlinefindingChar"/>
          <w:i/>
          <w:iCs/>
          <w:u w:val="single"/>
        </w:rPr>
        <w:t>Progress toward EOPO1</w:t>
      </w:r>
    </w:p>
    <w:p w14:paraId="2949020B" w14:textId="25922024" w:rsidR="00AC33EC" w:rsidRDefault="0026727A" w:rsidP="00AE102F">
      <w:r w:rsidRPr="00B66B6B">
        <w:rPr>
          <w:rStyle w:val="HeadlinefindingChar"/>
        </w:rPr>
        <w:t xml:space="preserve">SIIP has made considerable progress in delivering </w:t>
      </w:r>
      <w:r w:rsidR="00EA04C3" w:rsidRPr="00B66B6B">
        <w:rPr>
          <w:rStyle w:val="HeadlinefindingChar"/>
        </w:rPr>
        <w:t xml:space="preserve">its outputs and intermediate outputs as they relate </w:t>
      </w:r>
      <w:r w:rsidR="00B90500" w:rsidRPr="00B66B6B">
        <w:rPr>
          <w:rStyle w:val="HeadlinefindingChar"/>
        </w:rPr>
        <w:t xml:space="preserve">to EOPO1, </w:t>
      </w:r>
      <w:r w:rsidR="00881494" w:rsidRPr="00B66B6B">
        <w:rPr>
          <w:rStyle w:val="HeadlinefindingChar"/>
        </w:rPr>
        <w:t xml:space="preserve">with evidence of change taking place </w:t>
      </w:r>
      <w:r w:rsidR="00A27408" w:rsidRPr="00B66B6B">
        <w:rPr>
          <w:rStyle w:val="HeadlinefindingChar"/>
        </w:rPr>
        <w:t xml:space="preserve">in </w:t>
      </w:r>
      <w:r w:rsidR="004D7306">
        <w:rPr>
          <w:rStyle w:val="HeadlinefindingChar"/>
        </w:rPr>
        <w:t>the Solomon Islands’</w:t>
      </w:r>
      <w:r w:rsidR="00A27408" w:rsidRPr="00B66B6B">
        <w:rPr>
          <w:rStyle w:val="HeadlinefindingChar"/>
        </w:rPr>
        <w:t xml:space="preserve"> policy and regulatory landscape </w:t>
      </w:r>
      <w:r w:rsidR="00491F49" w:rsidRPr="00B66B6B">
        <w:rPr>
          <w:rStyle w:val="HeadlinefindingChar"/>
        </w:rPr>
        <w:t xml:space="preserve">and </w:t>
      </w:r>
      <w:r w:rsidR="001F5732" w:rsidRPr="00B66B6B">
        <w:rPr>
          <w:rStyle w:val="HeadlinefindingChar"/>
        </w:rPr>
        <w:t xml:space="preserve">improved </w:t>
      </w:r>
      <w:r w:rsidR="00491F49" w:rsidRPr="00B66B6B">
        <w:rPr>
          <w:rStyle w:val="HeadlinefindingChar"/>
        </w:rPr>
        <w:t>knowledge and skills demonstrated among</w:t>
      </w:r>
      <w:r w:rsidR="001F5732" w:rsidRPr="00B66B6B">
        <w:rPr>
          <w:rStyle w:val="HeadlinefindingChar"/>
        </w:rPr>
        <w:t xml:space="preserve"> the construction</w:t>
      </w:r>
      <w:r w:rsidR="00491F49" w:rsidRPr="00B66B6B">
        <w:rPr>
          <w:rStyle w:val="HeadlinefindingChar"/>
        </w:rPr>
        <w:t xml:space="preserve"> industry</w:t>
      </w:r>
      <w:r w:rsidR="001F5732" w:rsidRPr="00B66B6B">
        <w:t xml:space="preserve">. The </w:t>
      </w:r>
      <w:r w:rsidR="00A27408" w:rsidRPr="00B66B6B">
        <w:t xml:space="preserve">cabinet approval of a SIG </w:t>
      </w:r>
      <w:r w:rsidR="00331984">
        <w:t>National Infrastructure</w:t>
      </w:r>
      <w:r w:rsidR="00F22125">
        <w:t xml:space="preserve"> Priority</w:t>
      </w:r>
      <w:r w:rsidR="00331984">
        <w:t xml:space="preserve"> </w:t>
      </w:r>
      <w:r w:rsidR="00A27408" w:rsidRPr="00B66B6B">
        <w:t xml:space="preserve">Pipeline in </w:t>
      </w:r>
      <w:r w:rsidR="004D7306">
        <w:t>December</w:t>
      </w:r>
      <w:r w:rsidR="004D7306" w:rsidRPr="00B66B6B">
        <w:t xml:space="preserve"> </w:t>
      </w:r>
      <w:r w:rsidR="00A27408" w:rsidRPr="00B66B6B">
        <w:t>2023</w:t>
      </w:r>
      <w:r w:rsidR="001F5732" w:rsidRPr="00B66B6B">
        <w:t xml:space="preserve"> was a significant result </w:t>
      </w:r>
      <w:r w:rsidR="00DA047C" w:rsidRPr="00B66B6B">
        <w:t>for</w:t>
      </w:r>
      <w:r w:rsidR="001F5732" w:rsidRPr="00B66B6B">
        <w:t xml:space="preserve"> SIIP</w:t>
      </w:r>
      <w:r w:rsidR="00A27408" w:rsidRPr="00B66B6B">
        <w:t xml:space="preserve">. Support provided </w:t>
      </w:r>
      <w:r w:rsidR="00992964" w:rsidRPr="00B66B6B">
        <w:t xml:space="preserve">by the Senior Infrastructure Advisor has been responsive to the requirements of SIG, specifically in </w:t>
      </w:r>
      <w:r w:rsidR="005A7C9B" w:rsidRPr="00B66B6B">
        <w:t>working with MNPDC to establish a place-based infrastructure planning approach</w:t>
      </w:r>
      <w:r w:rsidR="007F0E6B">
        <w:t xml:space="preserve">. The SIIP Climate and Community </w:t>
      </w:r>
      <w:r w:rsidR="001A3A0B">
        <w:t>Manager</w:t>
      </w:r>
      <w:r w:rsidR="001A3A0B" w:rsidRPr="00B66B6B">
        <w:t xml:space="preserve"> reviewed</w:t>
      </w:r>
      <w:r w:rsidR="00DA047C" w:rsidRPr="00B66B6B">
        <w:t xml:space="preserve"> a number of policies</w:t>
      </w:r>
      <w:r w:rsidR="001431AD" w:rsidRPr="00B66B6B">
        <w:t xml:space="preserve"> to support climate resilient infrastructure.</w:t>
      </w:r>
      <w:r w:rsidR="00BC4A67" w:rsidRPr="00B66B6B">
        <w:t xml:space="preserve"> </w:t>
      </w:r>
      <w:r w:rsidR="00AC33EC">
        <w:t xml:space="preserve">Other areas of technical support currently being provided by the Senior Infrastructure </w:t>
      </w:r>
      <w:r w:rsidR="004D7306">
        <w:t xml:space="preserve">Adviser </w:t>
      </w:r>
      <w:r w:rsidR="00AC33EC">
        <w:t>in response to SIG requests include</w:t>
      </w:r>
      <w:r w:rsidR="00461479" w:rsidRPr="00461479">
        <w:t xml:space="preserve"> working</w:t>
      </w:r>
      <w:r w:rsidR="00461479">
        <w:t xml:space="preserve"> with a working</w:t>
      </w:r>
      <w:r w:rsidR="00461479" w:rsidRPr="00461479">
        <w:t xml:space="preserve"> group made up of members from finance and ministry of planning</w:t>
      </w:r>
      <w:r w:rsidR="00461479">
        <w:t>, which may in time</w:t>
      </w:r>
      <w:r w:rsidR="00461479" w:rsidRPr="00461479">
        <w:t xml:space="preserve"> expand out to line ministries.</w:t>
      </w:r>
      <w:r w:rsidR="00461479">
        <w:t xml:space="preserve"> SIIP operates as a</w:t>
      </w:r>
      <w:r w:rsidR="00461479" w:rsidRPr="00461479">
        <w:t xml:space="preserve"> secretariat to that working group, </w:t>
      </w:r>
      <w:r w:rsidR="00461479">
        <w:t>and</w:t>
      </w:r>
      <w:r w:rsidR="00C845E7">
        <w:t xml:space="preserve"> is currently providing the following technical advice</w:t>
      </w:r>
      <w:r w:rsidR="00AC33EC">
        <w:t>:</w:t>
      </w:r>
    </w:p>
    <w:p w14:paraId="6D431932" w14:textId="5CB562AF" w:rsidR="00AC33EC" w:rsidRDefault="00E51019" w:rsidP="00864DDD">
      <w:pPr>
        <w:pStyle w:val="ListParagraph"/>
        <w:numPr>
          <w:ilvl w:val="0"/>
          <w:numId w:val="26"/>
        </w:numPr>
      </w:pPr>
      <w:r w:rsidRPr="00E51019">
        <w:t>National infrastructure register</w:t>
      </w:r>
      <w:r w:rsidR="00E00C4E">
        <w:t xml:space="preserve"> (NIR)</w:t>
      </w:r>
      <w:r>
        <w:t xml:space="preserve">: supporting </w:t>
      </w:r>
      <w:r w:rsidR="00E00C4E" w:rsidRPr="00E00C4E">
        <w:t>information</w:t>
      </w:r>
      <w:r w:rsidR="00E00C4E">
        <w:t xml:space="preserve"> and knowledge gathering</w:t>
      </w:r>
      <w:r w:rsidR="00E00C4E" w:rsidRPr="00E00C4E">
        <w:t xml:space="preserve"> and budgetin</w:t>
      </w:r>
      <w:r w:rsidR="00E00C4E">
        <w:t>g processes to set up a NIR</w:t>
      </w:r>
      <w:r w:rsidR="00CC057A">
        <w:t xml:space="preserve">, </w:t>
      </w:r>
      <w:r w:rsidR="0023599C">
        <w:t>which</w:t>
      </w:r>
      <w:r w:rsidR="00CC057A">
        <w:t xml:space="preserve"> aims to provide a</w:t>
      </w:r>
      <w:r w:rsidR="00AC717E">
        <w:t xml:space="preserve">n indication of </w:t>
      </w:r>
      <w:r w:rsidR="0023599C" w:rsidRPr="0023599C">
        <w:t>the overall value of the economic infra</w:t>
      </w:r>
      <w:r w:rsidR="0023599C">
        <w:t>structure</w:t>
      </w:r>
      <w:r w:rsidR="0023599C" w:rsidRPr="0023599C">
        <w:t xml:space="preserve"> assets, and what rate that value </w:t>
      </w:r>
      <w:r w:rsidR="0023599C">
        <w:t>is</w:t>
      </w:r>
      <w:r w:rsidR="0023599C" w:rsidRPr="0023599C">
        <w:t xml:space="preserve"> depreciating on an annual basis</w:t>
      </w:r>
      <w:r w:rsidR="0023599C">
        <w:t>,</w:t>
      </w:r>
      <w:r w:rsidR="0023599C" w:rsidRPr="0023599C">
        <w:t xml:space="preserve"> and what the minimum maintenance requirements </w:t>
      </w:r>
      <w:r w:rsidR="0023599C">
        <w:t>might be</w:t>
      </w:r>
      <w:r w:rsidR="00C71D0D">
        <w:t>.</w:t>
      </w:r>
    </w:p>
    <w:p w14:paraId="10A49830" w14:textId="178699D2" w:rsidR="0023599C" w:rsidRDefault="00157E84" w:rsidP="00864DDD">
      <w:pPr>
        <w:pStyle w:val="ListParagraph"/>
        <w:numPr>
          <w:ilvl w:val="0"/>
          <w:numId w:val="26"/>
        </w:numPr>
      </w:pPr>
      <w:r>
        <w:t xml:space="preserve">National Infrastructure </w:t>
      </w:r>
      <w:r w:rsidR="00225545">
        <w:t xml:space="preserve">Asset Management </w:t>
      </w:r>
      <w:r>
        <w:t xml:space="preserve">Policy: </w:t>
      </w:r>
      <w:r w:rsidR="00F46A53">
        <w:t xml:space="preserve">supporting </w:t>
      </w:r>
      <w:r w:rsidR="00C71D0D">
        <w:t>the M</w:t>
      </w:r>
      <w:r w:rsidR="00AA1EC7">
        <w:t xml:space="preserve">inistry of </w:t>
      </w:r>
      <w:r w:rsidR="00C71D0D">
        <w:t>I</w:t>
      </w:r>
      <w:r w:rsidR="00AA1EC7">
        <w:t xml:space="preserve">nfrastructure Development to develop a </w:t>
      </w:r>
      <w:r w:rsidR="00AA1EC7" w:rsidRPr="00AA1EC7">
        <w:t xml:space="preserve">framework for decision making and basis for coordinating </w:t>
      </w:r>
      <w:r w:rsidR="004F542B">
        <w:t>infrastructure development</w:t>
      </w:r>
      <w:r w:rsidR="00AA1EC7" w:rsidRPr="00AA1EC7">
        <w:t xml:space="preserve"> activities, supporting donors with a framework to better align and focus their work</w:t>
      </w:r>
      <w:r w:rsidR="00C71D0D">
        <w:t>.</w:t>
      </w:r>
    </w:p>
    <w:p w14:paraId="2F47A64E" w14:textId="2FEC9796" w:rsidR="00E729CB" w:rsidRDefault="00E729CB" w:rsidP="00864DDD">
      <w:pPr>
        <w:pStyle w:val="ListParagraph"/>
        <w:numPr>
          <w:ilvl w:val="0"/>
          <w:numId w:val="26"/>
        </w:numPr>
      </w:pPr>
      <w:r>
        <w:t xml:space="preserve">Monitoring, Evaluation and Learning technical assistance: </w:t>
      </w:r>
      <w:r w:rsidR="005D3C29" w:rsidRPr="005D3C29">
        <w:t>build</w:t>
      </w:r>
      <w:r w:rsidR="005D3C29">
        <w:t xml:space="preserve">ing </w:t>
      </w:r>
      <w:r w:rsidR="005D3C29" w:rsidRPr="005D3C29">
        <w:t>up skills and capacity</w:t>
      </w:r>
      <w:r w:rsidR="00004B51">
        <w:t xml:space="preserve"> within </w:t>
      </w:r>
      <w:r w:rsidR="007B3872">
        <w:t>MNPDC</w:t>
      </w:r>
      <w:r w:rsidR="006D4475">
        <w:t xml:space="preserve"> </w:t>
      </w:r>
      <w:r w:rsidR="005D3C29" w:rsidRPr="005D3C29">
        <w:t xml:space="preserve">to formalise </w:t>
      </w:r>
      <w:r w:rsidR="00905B16">
        <w:t>monitoring and evaluation</w:t>
      </w:r>
      <w:r w:rsidR="005D3C29" w:rsidRPr="005D3C29">
        <w:t xml:space="preserve"> of </w:t>
      </w:r>
      <w:r w:rsidR="00004B51">
        <w:t xml:space="preserve">the </w:t>
      </w:r>
      <w:r w:rsidR="005D3C29" w:rsidRPr="005D3C29">
        <w:t>national dev</w:t>
      </w:r>
      <w:r w:rsidR="00004B51">
        <w:t>elopment</w:t>
      </w:r>
      <w:r w:rsidR="005D3C29" w:rsidRPr="005D3C29">
        <w:t xml:space="preserve"> strat</w:t>
      </w:r>
      <w:r w:rsidR="00004B51">
        <w:t>egy</w:t>
      </w:r>
      <w:r w:rsidR="005D3C29" w:rsidRPr="005D3C29">
        <w:t xml:space="preserve"> implementatio</w:t>
      </w:r>
      <w:r w:rsidR="00004B51">
        <w:t>n</w:t>
      </w:r>
      <w:r w:rsidR="00C71D0D">
        <w:t>.</w:t>
      </w:r>
    </w:p>
    <w:p w14:paraId="28DF9DB2" w14:textId="67F2CA8A" w:rsidR="00384B0E" w:rsidRDefault="00384B0E" w:rsidP="00864DDD">
      <w:pPr>
        <w:pStyle w:val="ListParagraph"/>
        <w:numPr>
          <w:ilvl w:val="0"/>
          <w:numId w:val="26"/>
        </w:numPr>
      </w:pPr>
      <w:r w:rsidRPr="00384B0E">
        <w:t>NIDA (National Infrastructure Development Authority)</w:t>
      </w:r>
      <w:r w:rsidR="004E1F84">
        <w:t xml:space="preserve">: supporting </w:t>
      </w:r>
      <w:r w:rsidR="00D4331C">
        <w:t xml:space="preserve">the </w:t>
      </w:r>
      <w:r w:rsidR="00D4331C" w:rsidRPr="00D4331C">
        <w:t xml:space="preserve">PS of </w:t>
      </w:r>
      <w:r w:rsidR="007B3872">
        <w:t>MNPDC</w:t>
      </w:r>
      <w:r w:rsidR="00D4331C" w:rsidRPr="00D4331C">
        <w:t xml:space="preserve"> </w:t>
      </w:r>
      <w:r w:rsidR="00D4331C">
        <w:t xml:space="preserve">to </w:t>
      </w:r>
      <w:r w:rsidR="004E1F84" w:rsidRPr="004E1F84">
        <w:t>develop this concept into a proposal for Cabinet</w:t>
      </w:r>
      <w:r w:rsidR="008C2205">
        <w:t xml:space="preserve">, as a follow on from the </w:t>
      </w:r>
      <w:r w:rsidR="005F5428">
        <w:t>priority pipeline.</w:t>
      </w:r>
    </w:p>
    <w:p w14:paraId="26CEF546" w14:textId="0FC6DB20" w:rsidR="00B66B6B" w:rsidRDefault="00B5459E" w:rsidP="00AE102F">
      <w:r w:rsidRPr="00FB1A47">
        <w:rPr>
          <w:rStyle w:val="HeadlinefindingChar"/>
        </w:rPr>
        <w:t xml:space="preserve">SIIP training is well regarded by SIG counterparts and local contractor community. </w:t>
      </w:r>
      <w:r w:rsidR="00BC4A67" w:rsidRPr="00B66B6B">
        <w:t xml:space="preserve">Capacity building </w:t>
      </w:r>
      <w:r w:rsidR="00C46E9F">
        <w:t>of the</w:t>
      </w:r>
      <w:r w:rsidR="00C46E9F" w:rsidRPr="00B66B6B">
        <w:t xml:space="preserve"> </w:t>
      </w:r>
      <w:r w:rsidR="00A6565E" w:rsidRPr="00B66B6B">
        <w:t>construction industry</w:t>
      </w:r>
      <w:r w:rsidR="00BC4A67" w:rsidRPr="00B66B6B">
        <w:t xml:space="preserve"> has progressed</w:t>
      </w:r>
      <w:r w:rsidR="00A6565E" w:rsidRPr="00B66B6B">
        <w:t xml:space="preserve">, through Workforce Skills Series workshops, collaboration with Australian-funded ASIPS to </w:t>
      </w:r>
      <w:r w:rsidR="00C30D56" w:rsidRPr="00B66B6B">
        <w:t xml:space="preserve">provide business support. </w:t>
      </w:r>
      <w:r w:rsidRPr="00B66B6B">
        <w:t>Possibilities exist for SIIP to play a role in increasing the number of certified local builders with specific skills (and those qualified to sign off on quality, such as scaffolding safety) best delivered on site as part of a project, through integrating capacity building into delivery.</w:t>
      </w:r>
      <w:r w:rsidR="00B66B6B" w:rsidRPr="00B66B6B">
        <w:t xml:space="preserve"> </w:t>
      </w:r>
    </w:p>
    <w:p w14:paraId="541B0A18" w14:textId="5AD1275A" w:rsidR="00190FC0" w:rsidRDefault="00190FC0" w:rsidP="00190FC0">
      <w:r w:rsidRPr="00FF4949">
        <w:rPr>
          <w:rStyle w:val="HeadlinefindingChar"/>
        </w:rPr>
        <w:t xml:space="preserve">The review </w:t>
      </w:r>
      <w:r w:rsidR="007D5BEB" w:rsidRPr="00FF4949">
        <w:rPr>
          <w:rStyle w:val="HeadlinefindingChar"/>
        </w:rPr>
        <w:t xml:space="preserve">found that as </w:t>
      </w:r>
      <w:r w:rsidRPr="00FF4949">
        <w:rPr>
          <w:rStyle w:val="HeadlinefindingChar"/>
        </w:rPr>
        <w:t xml:space="preserve">SIIP Hub managed activities </w:t>
      </w:r>
      <w:r w:rsidR="007D5BEB" w:rsidRPr="00FF4949">
        <w:rPr>
          <w:rStyle w:val="HeadlinefindingChar"/>
        </w:rPr>
        <w:t>begin</w:t>
      </w:r>
      <w:r w:rsidRPr="00FF4949">
        <w:rPr>
          <w:rStyle w:val="HeadlinefindingChar"/>
        </w:rPr>
        <w:t xml:space="preserve"> construction, </w:t>
      </w:r>
      <w:r w:rsidR="007D5BEB" w:rsidRPr="00FF4949">
        <w:rPr>
          <w:rStyle w:val="HeadlinefindingChar"/>
        </w:rPr>
        <w:t xml:space="preserve">there may be </w:t>
      </w:r>
      <w:r w:rsidRPr="00FF4949">
        <w:rPr>
          <w:rStyle w:val="HeadlinefindingChar"/>
        </w:rPr>
        <w:t>scope to integrate training</w:t>
      </w:r>
      <w:r w:rsidR="007D5BEB">
        <w:t xml:space="preserve">, such as </w:t>
      </w:r>
      <w:r>
        <w:t xml:space="preserve">“On the job” training opportunities rather than </w:t>
      </w:r>
      <w:r w:rsidR="007D5BEB">
        <w:t xml:space="preserve">standalone training. </w:t>
      </w:r>
      <w:r w:rsidR="00842199">
        <w:t>There may also be s</w:t>
      </w:r>
      <w:r>
        <w:t xml:space="preserve">cope to finance construction firms to bring in experience to allow training and </w:t>
      </w:r>
      <w:r>
        <w:lastRenderedPageBreak/>
        <w:t>certification of local</w:t>
      </w:r>
      <w:r w:rsidR="00842199">
        <w:t xml:space="preserve"> workers, and areas highlighted to the MTR team include </w:t>
      </w:r>
      <w:r>
        <w:t xml:space="preserve">scaffolding, working at heights, </w:t>
      </w:r>
      <w:r w:rsidR="00842199">
        <w:t xml:space="preserve">and </w:t>
      </w:r>
      <w:r>
        <w:t>welding</w:t>
      </w:r>
      <w:r w:rsidR="00842199">
        <w:t>. There may be s</w:t>
      </w:r>
      <w:r>
        <w:t xml:space="preserve">cope </w:t>
      </w:r>
      <w:r w:rsidR="00842199">
        <w:t xml:space="preserve">for SIIP </w:t>
      </w:r>
      <w:r>
        <w:t>to consider other training providers (</w:t>
      </w:r>
      <w:r w:rsidR="00842199">
        <w:t>e.g.</w:t>
      </w:r>
      <w:r>
        <w:t xml:space="preserve"> APTC) to increasingly provide services</w:t>
      </w:r>
      <w:r w:rsidR="00842199">
        <w:t>, and o</w:t>
      </w:r>
      <w:r>
        <w:t xml:space="preserve">ver time, </w:t>
      </w:r>
      <w:r w:rsidR="00FF4949">
        <w:t xml:space="preserve">the </w:t>
      </w:r>
      <w:r>
        <w:t>SIIP Hub staffing for these function</w:t>
      </w:r>
      <w:r w:rsidR="00FF4949">
        <w:t>s</w:t>
      </w:r>
      <w:r>
        <w:t xml:space="preserve"> </w:t>
      </w:r>
      <w:r w:rsidR="00FF4949">
        <w:t>may be able to</w:t>
      </w:r>
      <w:r>
        <w:t xml:space="preserve"> start winding down, given </w:t>
      </w:r>
      <w:r w:rsidR="00FF4949">
        <w:t xml:space="preserve">their </w:t>
      </w:r>
      <w:r>
        <w:t>success</w:t>
      </w:r>
      <w:r w:rsidR="00FF4949">
        <w:t xml:space="preserve"> to date.</w:t>
      </w:r>
    </w:p>
    <w:p w14:paraId="03F51159" w14:textId="163D832A" w:rsidR="00DA295E" w:rsidRPr="00DA295E" w:rsidRDefault="00DA295E" w:rsidP="00190FC0">
      <w:pPr>
        <w:rPr>
          <w:b/>
          <w:bCs/>
          <w:i/>
          <w:iCs/>
          <w:u w:val="single"/>
        </w:rPr>
      </w:pPr>
      <w:r w:rsidRPr="00DA295E">
        <w:rPr>
          <w:b/>
          <w:bCs/>
          <w:i/>
          <w:iCs/>
          <w:u w:val="single"/>
        </w:rPr>
        <w:t>Progress toward EOPO2</w:t>
      </w:r>
    </w:p>
    <w:p w14:paraId="15875B18" w14:textId="7F890E5B" w:rsidR="004472E9" w:rsidRDefault="001431AD" w:rsidP="001431AD">
      <w:r w:rsidRPr="00B66B6B">
        <w:rPr>
          <w:rStyle w:val="HeadlinefindingChar"/>
        </w:rPr>
        <w:t>SIIP has made slower progress in achieving outputs and intermediate outcomes that lead to EOPO2</w:t>
      </w:r>
      <w:r w:rsidR="0038124A" w:rsidRPr="00B66B6B">
        <w:t xml:space="preserve">. </w:t>
      </w:r>
      <w:r w:rsidR="004472E9">
        <w:t xml:space="preserve">A particular success has been SIIP support for the New Zealand </w:t>
      </w:r>
      <w:r w:rsidR="00CE39EA">
        <w:t>led provincial airports upgrades, funded under SIIP. Upgrades to the runway at Taro were completed in late 2023, while upgrades at Seghe are expected to be completed in mid-2024. These projects illustrate that infrastructure investments can take time to prepare and construct; initial design work started in 2018 and Australia’s planned contribution was announced by then Prime Minister Morrison in 2019 at the same time as SIIP was announced.</w:t>
      </w:r>
    </w:p>
    <w:p w14:paraId="12976898" w14:textId="5BA8CB46" w:rsidR="00302093" w:rsidRDefault="00CE39EA" w:rsidP="001431AD">
      <w:r w:rsidRPr="00DA295E">
        <w:rPr>
          <w:b/>
          <w:bCs/>
        </w:rPr>
        <w:t>Implementation of SIIP Hub managed activities has been slower than initially anticipated</w:t>
      </w:r>
      <w:r w:rsidR="00DA295E">
        <w:rPr>
          <w:b/>
          <w:bCs/>
        </w:rPr>
        <w:t xml:space="preserve">, </w:t>
      </w:r>
      <w:r w:rsidR="000867F2" w:rsidRPr="00C2550B">
        <w:rPr>
          <w:b/>
          <w:bCs/>
        </w:rPr>
        <w:t>with o</w:t>
      </w:r>
      <w:r w:rsidR="007254E8" w:rsidRPr="00C2550B">
        <w:rPr>
          <w:b/>
          <w:bCs/>
        </w:rPr>
        <w:t>nly one project</w:t>
      </w:r>
      <w:r w:rsidR="00FD058A" w:rsidRPr="00C2550B">
        <w:rPr>
          <w:b/>
          <w:bCs/>
        </w:rPr>
        <w:t xml:space="preserve"> </w:t>
      </w:r>
      <w:r w:rsidR="007254E8" w:rsidRPr="00C2550B">
        <w:rPr>
          <w:b/>
          <w:bCs/>
        </w:rPr>
        <w:t>handed over</w:t>
      </w:r>
      <w:r w:rsidR="00D23A4D" w:rsidRPr="00C2550B">
        <w:rPr>
          <w:b/>
          <w:bCs/>
        </w:rPr>
        <w:t xml:space="preserve"> </w:t>
      </w:r>
      <w:r w:rsidR="00A04F9B" w:rsidRPr="00C2550B">
        <w:rPr>
          <w:b/>
          <w:bCs/>
        </w:rPr>
        <w:t xml:space="preserve">so far </w:t>
      </w:r>
      <w:r w:rsidR="00D23A4D" w:rsidRPr="00C2550B">
        <w:rPr>
          <w:b/>
          <w:bCs/>
        </w:rPr>
        <w:t>(Lata Biomedical Lab</w:t>
      </w:r>
      <w:r w:rsidR="00CC7DD0" w:rsidRPr="00C2550B">
        <w:rPr>
          <w:b/>
          <w:bCs/>
        </w:rPr>
        <w:t>oratory</w:t>
      </w:r>
      <w:r w:rsidR="00D23A4D" w:rsidRPr="00C2550B">
        <w:rPr>
          <w:b/>
          <w:bCs/>
        </w:rPr>
        <w:t>)</w:t>
      </w:r>
      <w:r w:rsidR="00D23A4D" w:rsidRPr="00B66B6B">
        <w:t xml:space="preserve">. </w:t>
      </w:r>
      <w:r w:rsidR="000867F2">
        <w:t>This is partly due to exogenous factors</w:t>
      </w:r>
      <w:r>
        <w:t>. COVID</w:t>
      </w:r>
      <w:r w:rsidR="00524CC4">
        <w:t>-19</w:t>
      </w:r>
      <w:r>
        <w:t xml:space="preserve"> restrictions on travel to and from Solomon Islands from mid-2020 to mid-2022 </w:t>
      </w:r>
      <w:r w:rsidR="00302093">
        <w:t xml:space="preserve">and interrupted supply chains </w:t>
      </w:r>
      <w:r>
        <w:t>substantially hindered SIIP’s establishment</w:t>
      </w:r>
      <w:r w:rsidR="00302093">
        <w:t>, and this was compounded by c</w:t>
      </w:r>
      <w:r>
        <w:t xml:space="preserve">ivil unrest in </w:t>
      </w:r>
      <w:r w:rsidR="00302093">
        <w:t xml:space="preserve">Solomon Islands in </w:t>
      </w:r>
      <w:r>
        <w:t xml:space="preserve">late </w:t>
      </w:r>
      <w:r w:rsidR="00C46E9F">
        <w:t>2021</w:t>
      </w:r>
      <w:r>
        <w:t xml:space="preserve">. </w:t>
      </w:r>
      <w:r w:rsidR="000867F2">
        <w:t xml:space="preserve">The SIIP Hub is also playing a strong and constructive role in turning around </w:t>
      </w:r>
      <w:r w:rsidR="000867F2" w:rsidRPr="00B66B6B">
        <w:t xml:space="preserve">the inherited challenge of the Naha Birthing </w:t>
      </w:r>
      <w:r w:rsidR="00C46E9F">
        <w:t xml:space="preserve">and Urban Health </w:t>
      </w:r>
      <w:r w:rsidR="000867F2" w:rsidRPr="00B66B6B">
        <w:t>Clinic</w:t>
      </w:r>
      <w:r w:rsidR="003A01F2">
        <w:t xml:space="preserve"> </w:t>
      </w:r>
      <w:r w:rsidR="000867F2">
        <w:t>(</w:t>
      </w:r>
      <w:r w:rsidR="000867F2" w:rsidRPr="00B66B6B">
        <w:t xml:space="preserve">the 2018 design was not fit for purpose and led to </w:t>
      </w:r>
      <w:r w:rsidR="000867F2">
        <w:t xml:space="preserve">a </w:t>
      </w:r>
      <w:r w:rsidR="000867F2" w:rsidRPr="00B66B6B">
        <w:t xml:space="preserve">court case from </w:t>
      </w:r>
      <w:r w:rsidR="000867F2">
        <w:t xml:space="preserve">the </w:t>
      </w:r>
      <w:r w:rsidR="000867F2" w:rsidRPr="00B66B6B">
        <w:t xml:space="preserve">previously demobilised contractor; pre-SIIP cost estimates </w:t>
      </w:r>
      <w:r w:rsidR="000867F2">
        <w:t xml:space="preserve">were </w:t>
      </w:r>
      <w:r w:rsidR="000867F2" w:rsidRPr="00B66B6B">
        <w:t xml:space="preserve">substantially under-budget; and </w:t>
      </w:r>
      <w:r w:rsidR="000867F2">
        <w:t>the withdraw</w:t>
      </w:r>
      <w:r w:rsidR="00DA295E">
        <w:t>al of the initially preferred contractor for the Naha birthing clinic at the final stages of a successful procurement process led by the SIIP Hub caused delays and cost increases</w:t>
      </w:r>
      <w:r w:rsidR="000867F2">
        <w:t>).</w:t>
      </w:r>
    </w:p>
    <w:p w14:paraId="1AF5D5BB" w14:textId="77857CD5" w:rsidR="00302093" w:rsidRDefault="00302093" w:rsidP="00302093">
      <w:r w:rsidRPr="00536BBD">
        <w:rPr>
          <w:b/>
          <w:bCs/>
        </w:rPr>
        <w:t xml:space="preserve">Still, implementation </w:t>
      </w:r>
      <w:r w:rsidR="00DA295E">
        <w:rPr>
          <w:b/>
          <w:bCs/>
        </w:rPr>
        <w:t xml:space="preserve">of other key activities </w:t>
      </w:r>
      <w:r w:rsidRPr="00536BBD">
        <w:rPr>
          <w:b/>
          <w:bCs/>
        </w:rPr>
        <w:t>has fallen behind even the SIIP Hub’s own timelines</w:t>
      </w:r>
      <w:r>
        <w:t xml:space="preserve">.  </w:t>
      </w:r>
      <w:r w:rsidR="00E323FD">
        <w:t>A permanent team leader for the SI</w:t>
      </w:r>
      <w:r w:rsidR="00DA295E">
        <w:t>I</w:t>
      </w:r>
      <w:r w:rsidR="00E323FD">
        <w:t xml:space="preserve">P Hub was only appointed in the first half of 2023, almost two years after SIIP was established.  </w:t>
      </w:r>
      <w:r>
        <w:t xml:space="preserve">The Hub’s 2023 workplan, endorsed by the SC in December 2022, envisaged that construction would begin on </w:t>
      </w:r>
      <w:r w:rsidR="00C46E9F">
        <w:t xml:space="preserve">seven </w:t>
      </w:r>
      <w:r>
        <w:t xml:space="preserve">markets in 2023 with all completed by end 2024; </w:t>
      </w:r>
      <w:r w:rsidR="00314B4E">
        <w:t>instead,</w:t>
      </w:r>
      <w:r>
        <w:t xml:space="preserve"> construction only started in 2024 and only </w:t>
      </w:r>
      <w:r w:rsidR="00C46E9F">
        <w:t>three</w:t>
      </w:r>
      <w:r>
        <w:t xml:space="preserve"> are now expected to be completed by the end of 2024.  </w:t>
      </w:r>
    </w:p>
    <w:p w14:paraId="6AD51B04" w14:textId="5712FEC6" w:rsidR="00302093" w:rsidRDefault="00E323FD" w:rsidP="00302093">
      <w:r w:rsidRPr="00536BBD">
        <w:rPr>
          <w:b/>
          <w:bCs/>
        </w:rPr>
        <w:t>While significant preparation times, delays, and cost overruns are common for all infrastructure programs, other programs in the Pacific have been able to get off to a faster start</w:t>
      </w:r>
      <w:r>
        <w:t xml:space="preserve">.  After </w:t>
      </w:r>
      <w:r w:rsidR="006003EE">
        <w:t>four</w:t>
      </w:r>
      <w:r>
        <w:t xml:space="preserve"> years, for instance</w:t>
      </w:r>
      <w:r w:rsidR="00302093">
        <w:t xml:space="preserve">, AIFFP had completed a 15 MW solar plant in Palau and had construction well underway on a range of large road, bridge, and airport upgrades in PNG, Fiji, and Tonga.  </w:t>
      </w:r>
      <w:r>
        <w:t>And while Australia will need to compete primarily on quality rather than speed, the rapid construction of key Pacific Games infrastructure by other non-traditional financiers has highlighted the importance of accelerating implementation where possible</w:t>
      </w:r>
      <w:r w:rsidR="00302093">
        <w:t>.</w:t>
      </w:r>
    </w:p>
    <w:p w14:paraId="5FC82EBF" w14:textId="0BB2DEF7" w:rsidR="00707BC2" w:rsidRPr="00B66B6B" w:rsidRDefault="00707BC2" w:rsidP="001431AD">
      <w:r w:rsidRPr="00536BBD">
        <w:rPr>
          <w:b/>
          <w:bCs/>
        </w:rPr>
        <w:t xml:space="preserve">SIIP Progress against intermediate outcomes has been summarised in </w:t>
      </w:r>
      <w:r w:rsidRPr="00536BBD">
        <w:rPr>
          <w:b/>
          <w:bCs/>
        </w:rPr>
        <w:fldChar w:fldCharType="begin"/>
      </w:r>
      <w:r w:rsidRPr="00536BBD">
        <w:rPr>
          <w:b/>
          <w:bCs/>
        </w:rPr>
        <w:instrText xml:space="preserve"> REF _Ref165066384 \h </w:instrText>
      </w:r>
      <w:r w:rsidR="00E323FD">
        <w:rPr>
          <w:b/>
          <w:bCs/>
        </w:rPr>
        <w:instrText xml:space="preserve"> \* MERGEFORMAT </w:instrText>
      </w:r>
      <w:r w:rsidRPr="00536BBD">
        <w:rPr>
          <w:b/>
          <w:bCs/>
        </w:rPr>
      </w:r>
      <w:r w:rsidRPr="00536BBD">
        <w:rPr>
          <w:b/>
          <w:bCs/>
        </w:rPr>
        <w:fldChar w:fldCharType="separate"/>
      </w:r>
      <w:r w:rsidR="00DC1E3F" w:rsidRPr="00DC1E3F">
        <w:rPr>
          <w:b/>
          <w:bCs/>
        </w:rPr>
        <w:t xml:space="preserve">Figure </w:t>
      </w:r>
      <w:r w:rsidR="00DC1E3F" w:rsidRPr="00DC1E3F">
        <w:rPr>
          <w:b/>
          <w:bCs/>
          <w:noProof/>
        </w:rPr>
        <w:t>3</w:t>
      </w:r>
      <w:r w:rsidRPr="00536BBD">
        <w:rPr>
          <w:b/>
          <w:bCs/>
        </w:rPr>
        <w:fldChar w:fldCharType="end"/>
      </w:r>
      <w:r w:rsidRPr="00536BBD">
        <w:rPr>
          <w:b/>
          <w:bCs/>
        </w:rPr>
        <w:t xml:space="preserve"> below</w:t>
      </w:r>
      <w:r w:rsidRPr="00B66B6B">
        <w:t>.</w:t>
      </w:r>
    </w:p>
    <w:tbl>
      <w:tblPr>
        <w:tblStyle w:val="ListTable4-Accent1"/>
        <w:tblW w:w="0" w:type="auto"/>
        <w:tblLook w:val="04A0" w:firstRow="1" w:lastRow="0" w:firstColumn="1" w:lastColumn="0" w:noHBand="0" w:noVBand="1"/>
      </w:tblPr>
      <w:tblGrid>
        <w:gridCol w:w="3397"/>
        <w:gridCol w:w="5613"/>
      </w:tblGrid>
      <w:tr w:rsidR="007D0D5E" w:rsidRPr="00B66B6B" w14:paraId="3EBDC680" w14:textId="77777777" w:rsidTr="00A43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Pr>
          <w:p w14:paraId="4BE2B555" w14:textId="519D6F43" w:rsidR="00EA04C3" w:rsidRPr="00B66B6B" w:rsidRDefault="007D0D5E" w:rsidP="007D0D5E">
            <w:pPr>
              <w:pStyle w:val="TableText"/>
            </w:pPr>
            <w:r w:rsidRPr="00B66B6B">
              <w:t>Intermediate Outcome</w:t>
            </w:r>
          </w:p>
        </w:tc>
        <w:tc>
          <w:tcPr>
            <w:tcW w:w="5613" w:type="dxa"/>
          </w:tcPr>
          <w:p w14:paraId="535353AC" w14:textId="2E5B9630" w:rsidR="00EA04C3" w:rsidRPr="00B66B6B" w:rsidRDefault="007D0D5E" w:rsidP="007D0D5E">
            <w:pPr>
              <w:pStyle w:val="TableText"/>
              <w:cnfStyle w:val="100000000000" w:firstRow="1" w:lastRow="0" w:firstColumn="0" w:lastColumn="0" w:oddVBand="0" w:evenVBand="0" w:oddHBand="0" w:evenHBand="0" w:firstRowFirstColumn="0" w:firstRowLastColumn="0" w:lastRowFirstColumn="0" w:lastRowLastColumn="0"/>
            </w:pPr>
            <w:r w:rsidRPr="00B66B6B">
              <w:t>Evidence of progress</w:t>
            </w:r>
          </w:p>
        </w:tc>
      </w:tr>
      <w:tr w:rsidR="00EA04C3" w:rsidRPr="00B66B6B" w14:paraId="5CBC85FD" w14:textId="77777777" w:rsidTr="0053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174EE40" w14:textId="0B548BDF" w:rsidR="00EA04C3" w:rsidRPr="00B66B6B" w:rsidRDefault="00EA04C3" w:rsidP="007D0D5E">
            <w:pPr>
              <w:pStyle w:val="TableText"/>
            </w:pPr>
            <w:r w:rsidRPr="00B66B6B">
              <w:t>IO1: Improved infrastructure policies, plans, regulations, safeguards, and institutional arrangements that integrate CCDR and GEDSI are in place</w:t>
            </w:r>
          </w:p>
        </w:tc>
        <w:tc>
          <w:tcPr>
            <w:tcW w:w="5613" w:type="dxa"/>
          </w:tcPr>
          <w:p w14:paraId="4DE4C73E" w14:textId="07857676" w:rsidR="008A175D" w:rsidRPr="00B66B6B" w:rsidRDefault="00170E3A" w:rsidP="008C31EE">
            <w:pPr>
              <w:pStyle w:val="TableText"/>
              <w:cnfStyle w:val="000000100000" w:firstRow="0" w:lastRow="0" w:firstColumn="0" w:lastColumn="0" w:oddVBand="0" w:evenVBand="0" w:oddHBand="1" w:evenHBand="0" w:firstRowFirstColumn="0" w:firstRowLastColumn="0" w:lastRowFirstColumn="0" w:lastRowLastColumn="0"/>
            </w:pPr>
            <w:r w:rsidRPr="00B66B6B">
              <w:t>SIG Cabinet approval of SIG</w:t>
            </w:r>
            <w:r w:rsidR="00ED5894">
              <w:t>’s</w:t>
            </w:r>
            <w:r w:rsidRPr="00B66B6B">
              <w:t xml:space="preserve"> </w:t>
            </w:r>
            <w:r w:rsidR="007E63B1">
              <w:t>National Infrastructure</w:t>
            </w:r>
            <w:r w:rsidR="004112CC">
              <w:t xml:space="preserve"> Priority</w:t>
            </w:r>
            <w:r w:rsidR="007E63B1">
              <w:t xml:space="preserve"> </w:t>
            </w:r>
            <w:r w:rsidR="007E63B1" w:rsidRPr="00B66B6B">
              <w:t>Pipeline</w:t>
            </w:r>
            <w:r w:rsidR="0038124A" w:rsidRPr="00B66B6B">
              <w:t>, has wide ownership among central and line agencies</w:t>
            </w:r>
            <w:r w:rsidR="008C31EE" w:rsidRPr="00B66B6B">
              <w:t xml:space="preserve">; </w:t>
            </w:r>
            <w:r w:rsidR="008A175D" w:rsidRPr="00B66B6B">
              <w:t>CCDR guidelines for infrastructure presented to SIG</w:t>
            </w:r>
            <w:r w:rsidR="003338EA" w:rsidRPr="00B66B6B">
              <w:t xml:space="preserve">, support to the National Climate Forum, policy review of climate related bills and </w:t>
            </w:r>
            <w:r w:rsidR="008C31EE" w:rsidRPr="00B66B6B">
              <w:t>policy, early work on national building code legislation.</w:t>
            </w:r>
          </w:p>
        </w:tc>
      </w:tr>
      <w:tr w:rsidR="00EA04C3" w:rsidRPr="00B66B6B" w14:paraId="6689ADA6" w14:textId="77777777" w:rsidTr="005335A5">
        <w:tc>
          <w:tcPr>
            <w:cnfStyle w:val="001000000000" w:firstRow="0" w:lastRow="0" w:firstColumn="1" w:lastColumn="0" w:oddVBand="0" w:evenVBand="0" w:oddHBand="0" w:evenHBand="0" w:firstRowFirstColumn="0" w:firstRowLastColumn="0" w:lastRowFirstColumn="0" w:lastRowLastColumn="0"/>
            <w:tcW w:w="3397" w:type="dxa"/>
          </w:tcPr>
          <w:p w14:paraId="476D2D67" w14:textId="4F5896DE" w:rsidR="00EA04C3" w:rsidRPr="00B66B6B" w:rsidRDefault="00551343" w:rsidP="007D0D5E">
            <w:pPr>
              <w:pStyle w:val="TableText"/>
            </w:pPr>
            <w:r w:rsidRPr="00B66B6B">
              <w:t>IO2: Program partners apply knowledge and skills, partnerships and systems required to deliver quality, life-cycle informed, and inclusive infrastructure</w:t>
            </w:r>
          </w:p>
        </w:tc>
        <w:tc>
          <w:tcPr>
            <w:tcW w:w="5613" w:type="dxa"/>
          </w:tcPr>
          <w:p w14:paraId="427390E0" w14:textId="16DED8F0" w:rsidR="00AD616C" w:rsidRPr="00B66B6B" w:rsidRDefault="007D0D5E" w:rsidP="000232E2">
            <w:pPr>
              <w:pStyle w:val="TableText"/>
              <w:cnfStyle w:val="000000000000" w:firstRow="0" w:lastRow="0" w:firstColumn="0" w:lastColumn="0" w:oddVBand="0" w:evenVBand="0" w:oddHBand="0" w:evenHBand="0" w:firstRowFirstColumn="0" w:firstRowLastColumn="0" w:lastRowFirstColumn="0" w:lastRowLastColumn="0"/>
            </w:pPr>
            <w:r w:rsidRPr="00B66B6B">
              <w:t>Program partners have been applying the knowledge and skills from SIIP to improve infrastructure processes.</w:t>
            </w:r>
            <w:r w:rsidR="00FD4C55" w:rsidRPr="00B66B6B">
              <w:t xml:space="preserve"> (e.g. </w:t>
            </w:r>
            <w:r w:rsidR="00315BA1">
              <w:t>four</w:t>
            </w:r>
            <w:r w:rsidR="00315BA1" w:rsidRPr="00B66B6B">
              <w:t xml:space="preserve"> </w:t>
            </w:r>
            <w:r w:rsidR="00FD4C55" w:rsidRPr="00B66B6B">
              <w:t xml:space="preserve">companies developing or revising GEDSI policies; </w:t>
            </w:r>
            <w:r w:rsidR="00315BA1">
              <w:t>three</w:t>
            </w:r>
            <w:r w:rsidR="00FD4C55" w:rsidRPr="00B66B6B">
              <w:t xml:space="preserve"> companies implementing developed or revised Occupational Health and Safety (OH&amp;S) policies and implementing improved OH&amp;S practices</w:t>
            </w:r>
            <w:r w:rsidR="006A1769" w:rsidRPr="00B66B6B">
              <w:t>)</w:t>
            </w:r>
            <w:r w:rsidR="000232E2">
              <w:t xml:space="preserve">. </w:t>
            </w:r>
            <w:r w:rsidRPr="00B66B6B">
              <w:t xml:space="preserve">Evidence of the construction industry applying </w:t>
            </w:r>
            <w:r w:rsidRPr="00B66B6B">
              <w:lastRenderedPageBreak/>
              <w:t xml:space="preserve">knowledge from SIIP Hub capacity development activities from the Workforce Series and the health and safety mentoring. </w:t>
            </w:r>
            <w:r w:rsidR="00AD616C" w:rsidRPr="00B66B6B">
              <w:t>SIIP provided informal capacity development to MNPDC through the Senior Infrastructure Adviser’s support to the SIG Priority Infrastructure Pipeline.</w:t>
            </w:r>
          </w:p>
        </w:tc>
      </w:tr>
      <w:tr w:rsidR="00EA04C3" w:rsidRPr="00B66B6B" w14:paraId="7E8126F8" w14:textId="77777777" w:rsidTr="00533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AD7B60F" w14:textId="627DEB43" w:rsidR="00EA04C3" w:rsidRPr="00B66B6B" w:rsidRDefault="00300C62" w:rsidP="007D0D5E">
            <w:pPr>
              <w:pStyle w:val="TableText"/>
            </w:pPr>
            <w:r w:rsidRPr="00B66B6B">
              <w:lastRenderedPageBreak/>
              <w:t>IO3: Increased financial resources are mobilised for inclusive economic infrastructure development, including from the private sector, other development partners and AIFFP</w:t>
            </w:r>
          </w:p>
        </w:tc>
        <w:tc>
          <w:tcPr>
            <w:tcW w:w="5613" w:type="dxa"/>
          </w:tcPr>
          <w:p w14:paraId="507047D9" w14:textId="58B61776" w:rsidR="00EA04C3" w:rsidRPr="00B66B6B" w:rsidRDefault="006478C0" w:rsidP="006478C0">
            <w:pPr>
              <w:pStyle w:val="TableText"/>
              <w:cnfStyle w:val="000000100000" w:firstRow="0" w:lastRow="0" w:firstColumn="0" w:lastColumn="0" w:oddVBand="0" w:evenVBand="0" w:oddHBand="1" w:evenHBand="0" w:firstRowFirstColumn="0" w:firstRowLastColumn="0" w:lastRowFirstColumn="0" w:lastRowLastColumn="0"/>
            </w:pPr>
            <w:r>
              <w:t>Some successes, although in most cases SIIP has been the co</w:t>
            </w:r>
            <w:r w:rsidR="00A00EDB">
              <w:t>-</w:t>
            </w:r>
            <w:r>
              <w:t>financier rather than the coordinator for projects and such activities often implemented outside the SIIP Hub. SIIP cofinancing of the NZ led provincial airports has been a key success.</w:t>
            </w:r>
            <w:r w:rsidR="00E323FD">
              <w:t xml:space="preserve">  </w:t>
            </w:r>
            <w:r>
              <w:t xml:space="preserve">SIIP support was critical to mobilise AIFFP funding for the Sasape shipyard on Tulagi. SIIP financing of project preparation </w:t>
            </w:r>
            <w:r w:rsidR="00D20CBC">
              <w:t xml:space="preserve">and design work </w:t>
            </w:r>
            <w:r>
              <w:t>for Noro port</w:t>
            </w:r>
            <w:r w:rsidR="001C0BCA">
              <w:t xml:space="preserve"> has occurred on the </w:t>
            </w:r>
            <w:r w:rsidR="0059211B">
              <w:t>in-</w:t>
            </w:r>
            <w:proofErr w:type="gramStart"/>
            <w:r w:rsidR="0059211B">
              <w:t>principle</w:t>
            </w:r>
            <w:proofErr w:type="gramEnd"/>
            <w:r w:rsidR="0059211B">
              <w:t xml:space="preserve"> agreement with AIFFP</w:t>
            </w:r>
            <w:r w:rsidR="001C0BCA">
              <w:t xml:space="preserve"> of mobilising AIFFP financing for </w:t>
            </w:r>
            <w:r w:rsidR="0059211B">
              <w:t>construction</w:t>
            </w:r>
            <w:r>
              <w:t xml:space="preserve">.  SIIP funding of associated investments around </w:t>
            </w:r>
            <w:r w:rsidR="000D0E54" w:rsidRPr="00B66B6B">
              <w:t xml:space="preserve">Bina Harbour </w:t>
            </w:r>
            <w:r>
              <w:t xml:space="preserve">will be important </w:t>
            </w:r>
            <w:r w:rsidR="00E323FD">
              <w:t xml:space="preserve">while NZ and IFC-led </w:t>
            </w:r>
            <w:r w:rsidR="000D0E54" w:rsidRPr="00B66B6B">
              <w:t>project preparation</w:t>
            </w:r>
            <w:r w:rsidR="00E323FD">
              <w:t xml:space="preserve"> continues for a larger investment</w:t>
            </w:r>
            <w:r w:rsidR="00966032" w:rsidRPr="00B66B6B">
              <w:t>.</w:t>
            </w:r>
            <w:r>
              <w:t xml:space="preserve"> </w:t>
            </w:r>
          </w:p>
        </w:tc>
      </w:tr>
      <w:tr w:rsidR="00EA04C3" w:rsidRPr="00B66B6B" w14:paraId="294FE467" w14:textId="77777777" w:rsidTr="005335A5">
        <w:tc>
          <w:tcPr>
            <w:cnfStyle w:val="001000000000" w:firstRow="0" w:lastRow="0" w:firstColumn="1" w:lastColumn="0" w:oddVBand="0" w:evenVBand="0" w:oddHBand="0" w:evenHBand="0" w:firstRowFirstColumn="0" w:firstRowLastColumn="0" w:lastRowFirstColumn="0" w:lastRowLastColumn="0"/>
            <w:tcW w:w="3397" w:type="dxa"/>
          </w:tcPr>
          <w:p w14:paraId="3BC101D0" w14:textId="439F1357" w:rsidR="00EA04C3" w:rsidRPr="00B66B6B" w:rsidRDefault="00A933AB" w:rsidP="007D0D5E">
            <w:pPr>
              <w:pStyle w:val="TableText"/>
            </w:pPr>
            <w:r w:rsidRPr="00B66B6B">
              <w:t>IO4: High priority, sustainable and inclusive infrastructure projects are completed to a high quality, on time and on budget</w:t>
            </w:r>
          </w:p>
        </w:tc>
        <w:tc>
          <w:tcPr>
            <w:tcW w:w="5613" w:type="dxa"/>
          </w:tcPr>
          <w:p w14:paraId="4B81CA73" w14:textId="626D9787" w:rsidR="00162BA0" w:rsidRPr="00B66B6B" w:rsidRDefault="000A695A" w:rsidP="005E7E2F">
            <w:pPr>
              <w:pStyle w:val="TableText"/>
              <w:cnfStyle w:val="000000000000" w:firstRow="0" w:lastRow="0" w:firstColumn="0" w:lastColumn="0" w:oddVBand="0" w:evenVBand="0" w:oddHBand="0" w:evenHBand="0" w:firstRowFirstColumn="0" w:firstRowLastColumn="0" w:lastRowFirstColumn="0" w:lastRowLastColumn="0"/>
            </w:pPr>
            <w:r w:rsidRPr="00B66B6B">
              <w:t xml:space="preserve">SIIP is contributing towards 18 infrastructure projects with 15 directly managed by the SIIP Hub, </w:t>
            </w:r>
            <w:r w:rsidR="00C13CDD">
              <w:t>three</w:t>
            </w:r>
            <w:r w:rsidRPr="00B66B6B">
              <w:t xml:space="preserve"> led by partners (</w:t>
            </w:r>
            <w:r w:rsidR="006478C0">
              <w:t xml:space="preserve">NZ </w:t>
            </w:r>
            <w:r w:rsidRPr="00B66B6B">
              <w:t>MFAT,</w:t>
            </w:r>
            <w:r w:rsidR="00E90678">
              <w:t xml:space="preserve"> two by</w:t>
            </w:r>
            <w:r w:rsidRPr="00B66B6B">
              <w:t xml:space="preserve"> Solomon Water</w:t>
            </w:r>
            <w:r w:rsidR="003B4626" w:rsidRPr="00B66B6B">
              <w:t>).</w:t>
            </w:r>
            <w:r w:rsidRPr="00B66B6B">
              <w:t xml:space="preserve"> </w:t>
            </w:r>
            <w:r w:rsidR="003B4626" w:rsidRPr="00B66B6B">
              <w:t>Slow progress to bring projects to construction, and only one project has been handed over (Lata Biomedical Lab</w:t>
            </w:r>
            <w:r w:rsidR="00CA3A65">
              <w:t>oratory</w:t>
            </w:r>
            <w:r w:rsidR="003B4626" w:rsidRPr="00B66B6B">
              <w:t xml:space="preserve">). </w:t>
            </w:r>
            <w:r w:rsidR="001F442A" w:rsidRPr="00B66B6B">
              <w:t xml:space="preserve">Of the 12 projects that are underway according to the 2023 Annual Report, </w:t>
            </w:r>
            <w:r w:rsidR="00433D05" w:rsidRPr="00B66B6B">
              <w:t>half have had significant budget increase</w:t>
            </w:r>
            <w:r w:rsidR="00EC3029" w:rsidRPr="00B66B6B">
              <w:t xml:space="preserve">s, ranging from 20% increases to </w:t>
            </w:r>
            <w:r w:rsidR="005E7E2F" w:rsidRPr="00B66B6B">
              <w:t>almost 350%.</w:t>
            </w:r>
          </w:p>
          <w:p w14:paraId="766F5D01" w14:textId="3D910AA5" w:rsidR="005E7E2F" w:rsidRPr="00B66B6B" w:rsidRDefault="00162BA0" w:rsidP="005E7E2F">
            <w:pPr>
              <w:pStyle w:val="TableText"/>
              <w:cnfStyle w:val="000000000000" w:firstRow="0" w:lastRow="0" w:firstColumn="0" w:lastColumn="0" w:oddVBand="0" w:evenVBand="0" w:oddHBand="0" w:evenHBand="0" w:firstRowFirstColumn="0" w:firstRowLastColumn="0" w:lastRowFirstColumn="0" w:lastRowLastColumn="0"/>
            </w:pPr>
            <w:r w:rsidRPr="00B66B6B">
              <w:t xml:space="preserve">The projects have spanned </w:t>
            </w:r>
            <w:r w:rsidR="00E90678">
              <w:t>eight</w:t>
            </w:r>
            <w:r w:rsidR="00E90678" w:rsidRPr="00B66B6B">
              <w:t xml:space="preserve"> </w:t>
            </w:r>
            <w:r w:rsidR="008B1C5D" w:rsidRPr="00B66B6B">
              <w:t xml:space="preserve">of the </w:t>
            </w:r>
            <w:r w:rsidR="00E90678">
              <w:t>nine</w:t>
            </w:r>
            <w:r w:rsidR="008B1C5D" w:rsidRPr="00B66B6B">
              <w:t xml:space="preserve"> provinces of Solomon Islands (</w:t>
            </w:r>
            <w:r w:rsidR="00664829" w:rsidRPr="00B66B6B">
              <w:t xml:space="preserve">none in </w:t>
            </w:r>
            <w:r w:rsidR="00AF394E" w:rsidRPr="00B66B6B">
              <w:t xml:space="preserve">Rennell and Bellona), and cover </w:t>
            </w:r>
            <w:r w:rsidR="00D16C6C" w:rsidRPr="00B66B6B">
              <w:t xml:space="preserve">land/sea/air </w:t>
            </w:r>
            <w:r w:rsidR="009068B3" w:rsidRPr="00B66B6B">
              <w:t>transport,</w:t>
            </w:r>
            <w:r w:rsidR="00A87103" w:rsidRPr="00B66B6B">
              <w:t xml:space="preserve"> healthcare, </w:t>
            </w:r>
            <w:r w:rsidR="00D16C6C" w:rsidRPr="00B66B6B">
              <w:t>water,</w:t>
            </w:r>
            <w:r w:rsidR="009068B3" w:rsidRPr="00B66B6B">
              <w:t xml:space="preserve"> and </w:t>
            </w:r>
            <w:r w:rsidR="00D16C6C" w:rsidRPr="00B66B6B">
              <w:t xml:space="preserve">markets. </w:t>
            </w:r>
          </w:p>
        </w:tc>
      </w:tr>
    </w:tbl>
    <w:p w14:paraId="682A210A" w14:textId="007741CA" w:rsidR="00EA04C3" w:rsidRPr="00B66B6B" w:rsidRDefault="0038124A" w:rsidP="0038124A">
      <w:pPr>
        <w:pStyle w:val="Caption"/>
      </w:pPr>
      <w:bookmarkStart w:id="45" w:name="_Ref165066384"/>
      <w:bookmarkStart w:id="46" w:name="_Toc166101370"/>
      <w:r w:rsidRPr="00B66B6B">
        <w:t xml:space="preserve">Figure </w:t>
      </w:r>
      <w:r w:rsidR="00C23BCA">
        <w:fldChar w:fldCharType="begin"/>
      </w:r>
      <w:r w:rsidR="00C23BCA">
        <w:instrText xml:space="preserve"> SEQ Figure \* ARABIC </w:instrText>
      </w:r>
      <w:r w:rsidR="00C23BCA">
        <w:fldChar w:fldCharType="separate"/>
      </w:r>
      <w:r w:rsidR="00DC1E3F">
        <w:rPr>
          <w:noProof/>
        </w:rPr>
        <w:t>3</w:t>
      </w:r>
      <w:r w:rsidR="00C23BCA">
        <w:rPr>
          <w:noProof/>
        </w:rPr>
        <w:fldChar w:fldCharType="end"/>
      </w:r>
      <w:bookmarkEnd w:id="45"/>
      <w:r w:rsidRPr="00B66B6B">
        <w:t>: Progress against Intermediate Outcomes</w:t>
      </w:r>
      <w:bookmarkEnd w:id="46"/>
    </w:p>
    <w:p w14:paraId="0B739ECA" w14:textId="00310903" w:rsidR="009D70F2" w:rsidRPr="00B66B6B" w:rsidRDefault="009D70F2" w:rsidP="00185BD1">
      <w:pPr>
        <w:pStyle w:val="Heading3"/>
      </w:pPr>
      <w:r w:rsidRPr="00B66B6B">
        <w:t>EQ8. Are the program's modalities the most effective for delivering infrastructure in the Solomon Islands? What alternative designs or modality (or mix of modalities) could be adopted to achieve the intermediate and end of program outcomes?</w:t>
      </w:r>
    </w:p>
    <w:p w14:paraId="6B742D02" w14:textId="7FB239DA" w:rsidR="000B20A1" w:rsidRPr="00B66B6B" w:rsidRDefault="00A15099" w:rsidP="00093B3A">
      <w:r w:rsidRPr="00FB1A47">
        <w:rPr>
          <w:rStyle w:val="HeadlinefindingChar"/>
        </w:rPr>
        <w:t>The modalities of delivery, namely</w:t>
      </w:r>
      <w:r w:rsidR="000A4C5B" w:rsidRPr="00FB1A47">
        <w:rPr>
          <w:rStyle w:val="HeadlinefindingChar"/>
        </w:rPr>
        <w:t xml:space="preserve"> a managing contractor leading the SIIP-Hub plus some directly funded SIIP projects, </w:t>
      </w:r>
      <w:r w:rsidR="00203250" w:rsidRPr="00FB1A47">
        <w:rPr>
          <w:rStyle w:val="HeadlinefindingChar"/>
        </w:rPr>
        <w:t>are delivering to their strengths, although resulting in some redundancy and blurred lines in terms of roles and responsibilities</w:t>
      </w:r>
      <w:r w:rsidR="00203250" w:rsidRPr="00B66B6B">
        <w:t>. For example, where</w:t>
      </w:r>
      <w:r w:rsidR="00693BBA" w:rsidRPr="00B66B6B">
        <w:t xml:space="preserve"> dialogue and agreements are taking place between DFAT and other development partners </w:t>
      </w:r>
      <w:r w:rsidR="007E6B47">
        <w:t xml:space="preserve">around </w:t>
      </w:r>
      <w:r w:rsidR="00693BBA" w:rsidRPr="00B66B6B">
        <w:t xml:space="preserve">cofinancing arrangements, it </w:t>
      </w:r>
      <w:r w:rsidR="007E6B47">
        <w:t>makes sense for DFAT (and not SIIP Hub) to lead these</w:t>
      </w:r>
      <w:r w:rsidR="00091BC2">
        <w:t xml:space="preserve">. </w:t>
      </w:r>
      <w:r w:rsidR="00E364FE" w:rsidRPr="00B66B6B">
        <w:t>In some cases, SIIP Hub has been brought in to support directly funded activities</w:t>
      </w:r>
      <w:r w:rsidR="009C76B1" w:rsidRPr="00B66B6B">
        <w:t xml:space="preserve">, providing </w:t>
      </w:r>
      <w:r w:rsidR="00091BC2">
        <w:t>monitoring and evaluation</w:t>
      </w:r>
      <w:r w:rsidR="009C76B1" w:rsidRPr="00B66B6B">
        <w:t xml:space="preserve"> support and technical advisory services</w:t>
      </w:r>
      <w:r w:rsidR="004727FA">
        <w:t xml:space="preserve"> such as the Sasape Shipyard and Telekon Towers.</w:t>
      </w:r>
      <w:r w:rsidR="009C76B1" w:rsidRPr="00B66B6B">
        <w:t xml:space="preserve"> </w:t>
      </w:r>
      <w:r w:rsidR="005436CB" w:rsidRPr="00B66B6B">
        <w:t xml:space="preserve">The overall benefits of the dual approach are not clear, however, and </w:t>
      </w:r>
      <w:r w:rsidR="002B36A3" w:rsidRPr="00B66B6B">
        <w:t>the extent</w:t>
      </w:r>
      <w:r w:rsidR="00C74F44" w:rsidRPr="00B66B6B">
        <w:t xml:space="preserve"> to which this set of </w:t>
      </w:r>
      <w:proofErr w:type="gramStart"/>
      <w:r w:rsidR="00C74F44" w:rsidRPr="00B66B6B">
        <w:t>modalities</w:t>
      </w:r>
      <w:proofErr w:type="gramEnd"/>
      <w:r w:rsidR="00C74F44" w:rsidRPr="00B66B6B">
        <w:t xml:space="preserve"> or an alternative set are most effective will depend on some further thinking by DFAT, in conversation with SIG </w:t>
      </w:r>
      <w:r w:rsidR="00091BC2">
        <w:t xml:space="preserve">(and SIIP Hub) </w:t>
      </w:r>
      <w:r w:rsidR="00C74F44" w:rsidRPr="00B66B6B">
        <w:t xml:space="preserve">as to the strategic focus for the remaining years of the program. This is discussed in further detail </w:t>
      </w:r>
      <w:r w:rsidR="00FB1A47">
        <w:t xml:space="preserve">in Section </w:t>
      </w:r>
      <w:r w:rsidR="00FB1A47">
        <w:fldChar w:fldCharType="begin"/>
      </w:r>
      <w:r w:rsidR="00FB1A47">
        <w:instrText xml:space="preserve"> REF _Ref165119698 \w \h </w:instrText>
      </w:r>
      <w:r w:rsidR="00FB1A47">
        <w:fldChar w:fldCharType="separate"/>
      </w:r>
      <w:r w:rsidR="00DC1E3F">
        <w:t>2.5.6</w:t>
      </w:r>
      <w:r w:rsidR="00FB1A47">
        <w:fldChar w:fldCharType="end"/>
      </w:r>
      <w:r w:rsidR="00FB1A47">
        <w:t xml:space="preserve"> below</w:t>
      </w:r>
      <w:r w:rsidR="00C74F44" w:rsidRPr="00B66B6B">
        <w:t xml:space="preserve">. </w:t>
      </w:r>
      <w:r w:rsidR="005436CB" w:rsidRPr="00B66B6B">
        <w:t xml:space="preserve"> </w:t>
      </w:r>
    </w:p>
    <w:p w14:paraId="6D9F5DBB" w14:textId="3AA0FE89" w:rsidR="009D70F2" w:rsidRPr="00B66B6B" w:rsidRDefault="009D70F2" w:rsidP="00185BD1">
      <w:pPr>
        <w:pStyle w:val="Heading3"/>
      </w:pPr>
      <w:bookmarkStart w:id="47" w:name="_Hlk164679157"/>
      <w:bookmarkStart w:id="48" w:name="_Ref165119046"/>
      <w:r w:rsidRPr="00B66B6B">
        <w:t>EQ</w:t>
      </w:r>
      <w:bookmarkEnd w:id="47"/>
      <w:r w:rsidRPr="00B66B6B">
        <w:t>9. To what extent is the Program’s governance mechanism impacting the efficiency or effectiveness of the Program? What have been the strengths and weaknesses of the governance mechanism?</w:t>
      </w:r>
      <w:bookmarkEnd w:id="48"/>
    </w:p>
    <w:p w14:paraId="3BF06A30" w14:textId="3EA14E90" w:rsidR="00742E25" w:rsidRDefault="00FB71A5" w:rsidP="00FB71A5">
      <w:r w:rsidRPr="00B66B6B">
        <w:rPr>
          <w:rStyle w:val="HeadlinefindingChar"/>
        </w:rPr>
        <w:t>Overall, the governance mechanism was found to be effective, although there are opportunities to improve its efficiency and effectiveness</w:t>
      </w:r>
      <w:r w:rsidRPr="00B66B6B">
        <w:t xml:space="preserve">. </w:t>
      </w:r>
      <w:r w:rsidR="00742E25" w:rsidRPr="00B66B6B">
        <w:t xml:space="preserve">SIIP is governed by a </w:t>
      </w:r>
      <w:r w:rsidR="00A146F4">
        <w:t>SC</w:t>
      </w:r>
      <w:r w:rsidR="00742E25" w:rsidRPr="00B66B6B">
        <w:t xml:space="preserve"> which meets quarterly to review progress and approve workplans. </w:t>
      </w:r>
      <w:r w:rsidR="00C74F44" w:rsidRPr="00B66B6B">
        <w:t xml:space="preserve">The review found that the </w:t>
      </w:r>
      <w:r w:rsidR="00C32AC1">
        <w:t>SC</w:t>
      </w:r>
      <w:r w:rsidR="00F86BEB" w:rsidRPr="00B66B6B">
        <w:t xml:space="preserve"> </w:t>
      </w:r>
      <w:r w:rsidR="00C74F44" w:rsidRPr="00B66B6B">
        <w:t xml:space="preserve">is </w:t>
      </w:r>
      <w:r w:rsidR="00F86BEB" w:rsidRPr="00B66B6B">
        <w:t xml:space="preserve">happy with </w:t>
      </w:r>
      <w:r w:rsidR="00C74F44" w:rsidRPr="00B66B6B">
        <w:t xml:space="preserve">the level of </w:t>
      </w:r>
      <w:r w:rsidR="00F86BEB" w:rsidRPr="00B66B6B">
        <w:t xml:space="preserve">inclusion </w:t>
      </w:r>
      <w:r w:rsidR="00C74F44" w:rsidRPr="00B66B6B">
        <w:t xml:space="preserve">and </w:t>
      </w:r>
      <w:r w:rsidR="00F86BEB" w:rsidRPr="00B66B6B">
        <w:t>engagement</w:t>
      </w:r>
      <w:r w:rsidR="00C74F44" w:rsidRPr="00B66B6B">
        <w:t xml:space="preserve"> it has with SIIP</w:t>
      </w:r>
      <w:r w:rsidR="0080424A" w:rsidRPr="00B66B6B">
        <w:t xml:space="preserve">, and the </w:t>
      </w:r>
      <w:r w:rsidR="00C32AC1">
        <w:t>SC</w:t>
      </w:r>
      <w:r w:rsidR="0080424A" w:rsidRPr="00B66B6B">
        <w:t xml:space="preserve"> has built strong oversight and ownership from SIG officials.</w:t>
      </w:r>
      <w:r w:rsidR="00383CFF" w:rsidRPr="00B66B6B">
        <w:t xml:space="preserve"> </w:t>
      </w:r>
      <w:r w:rsidR="00383CFF" w:rsidRPr="00B66B6B">
        <w:lastRenderedPageBreak/>
        <w:t>T</w:t>
      </w:r>
      <w:r w:rsidR="00C74F44" w:rsidRPr="00B66B6B">
        <w:t>here are o</w:t>
      </w:r>
      <w:r w:rsidR="00F86BEB" w:rsidRPr="00B66B6B">
        <w:t>pportunities for more coordination with line ministries</w:t>
      </w:r>
      <w:r w:rsidR="00C74F44" w:rsidRPr="00B66B6B">
        <w:t xml:space="preserve"> as </w:t>
      </w:r>
      <w:r w:rsidR="002D4A8D" w:rsidRPr="00B66B6B">
        <w:t xml:space="preserve">evidence suggests that communication </w:t>
      </w:r>
      <w:r w:rsidRPr="00B66B6B">
        <w:t xml:space="preserve">was not always trickling outwards. </w:t>
      </w:r>
      <w:r w:rsidR="0093220F" w:rsidRPr="00B66B6B">
        <w:t xml:space="preserve">The Technical Leads arrangement contributes positively to the decision-making processes by ensuring that the PS MNPDC is aware of </w:t>
      </w:r>
      <w:r w:rsidR="00A67422">
        <w:t>p</w:t>
      </w:r>
      <w:r w:rsidR="00A67422" w:rsidRPr="00B66B6B">
        <w:t xml:space="preserve">rogram </w:t>
      </w:r>
      <w:r w:rsidR="0093220F" w:rsidRPr="00B66B6B">
        <w:t xml:space="preserve">activity and liaises with key stakeholders outside of the quarterly </w:t>
      </w:r>
      <w:r w:rsidR="00C32AC1">
        <w:t>SC</w:t>
      </w:r>
      <w:r w:rsidR="0093220F" w:rsidRPr="00B66B6B">
        <w:t xml:space="preserve"> meetings.</w:t>
      </w:r>
      <w:r w:rsidR="0020794C">
        <w:t xml:space="preserve"> The review team notes the proposed Independent Reference Group</w:t>
      </w:r>
      <w:r w:rsidR="00D700EB">
        <w:t xml:space="preserve"> (IRG)</w:t>
      </w:r>
      <w:r w:rsidR="0020794C">
        <w:t xml:space="preserve">, as </w:t>
      </w:r>
      <w:r w:rsidR="009801A0">
        <w:t xml:space="preserve">intended in the design document, and </w:t>
      </w:r>
      <w:r w:rsidR="00D700EB">
        <w:t>there may be value in considering the establishment of the IRG for the remaining years of SIIP.</w:t>
      </w:r>
      <w:r w:rsidR="008D5543">
        <w:t xml:space="preserve"> Following consensus on strategic priorities</w:t>
      </w:r>
      <w:r w:rsidR="000840B4">
        <w:t xml:space="preserve"> for SIIP (discussed below in section 2.5), the IRG may be a useful source of advice to the SC in ensuring that investment decisions </w:t>
      </w:r>
      <w:r w:rsidR="00767E26">
        <w:t xml:space="preserve">follow and agreed process, including </w:t>
      </w:r>
      <w:r w:rsidR="006906DC">
        <w:t xml:space="preserve">decision making </w:t>
      </w:r>
      <w:r w:rsidR="00767E26">
        <w:t xml:space="preserve">criteria and value for money considerations. </w:t>
      </w:r>
      <w:r w:rsidR="00D700EB">
        <w:t xml:space="preserve"> </w:t>
      </w:r>
    </w:p>
    <w:p w14:paraId="34288D97" w14:textId="26C79AB0" w:rsidR="00FB7D7C" w:rsidRDefault="001E3D9A" w:rsidP="00EC19F9">
      <w:r w:rsidRPr="00B66B6B">
        <w:rPr>
          <w:rStyle w:val="HeadlinefindingChar"/>
        </w:rPr>
        <w:t>The review team heard that there</w:t>
      </w:r>
      <w:r w:rsidR="00742E25" w:rsidRPr="00B66B6B">
        <w:rPr>
          <w:rStyle w:val="HeadlinefindingChar"/>
        </w:rPr>
        <w:t xml:space="preserve"> is</w:t>
      </w:r>
      <w:r w:rsidR="00B66B6B" w:rsidRPr="00B66B6B">
        <w:rPr>
          <w:rStyle w:val="HeadlinefindingChar"/>
        </w:rPr>
        <w:t>,</w:t>
      </w:r>
      <w:r w:rsidR="00742E25" w:rsidRPr="00B66B6B">
        <w:rPr>
          <w:rStyle w:val="HeadlinefindingChar"/>
        </w:rPr>
        <w:t xml:space="preserve"> </w:t>
      </w:r>
      <w:r w:rsidR="00B66B6B" w:rsidRPr="00B66B6B">
        <w:rPr>
          <w:rStyle w:val="HeadlinefindingChar"/>
        </w:rPr>
        <w:t xml:space="preserve">however, </w:t>
      </w:r>
      <w:r w:rsidR="00742E25" w:rsidRPr="00B66B6B">
        <w:rPr>
          <w:rStyle w:val="HeadlinefindingChar"/>
        </w:rPr>
        <w:t>a need to streamline and simplify governance arrangements to ensure decisions around program priorities can be made in a more efficient fashion</w:t>
      </w:r>
      <w:r w:rsidR="00EF1571" w:rsidRPr="00B66B6B">
        <w:rPr>
          <w:rStyle w:val="HeadlinefindingChar"/>
        </w:rPr>
        <w:t xml:space="preserve">. </w:t>
      </w:r>
      <w:r w:rsidR="00EF1571" w:rsidRPr="00B66B6B">
        <w:t xml:space="preserve">For instance, </w:t>
      </w:r>
      <w:r w:rsidR="0085795F" w:rsidRPr="00B66B6B">
        <w:t xml:space="preserve">where decisions are required to be taken outside of the quarterly SC meetings, this can lead to delays, or decisions being made without consultation and instead </w:t>
      </w:r>
      <w:r w:rsidR="00EC19F9" w:rsidRPr="00B66B6B">
        <w:t xml:space="preserve">communication of the decision to SIG after the event. There may be opportunities for representatives of the SC to respond to </w:t>
      </w:r>
      <w:r w:rsidR="00BA15B1" w:rsidRPr="00B66B6B">
        <w:t>requests for approval in between face to face SC meetings</w:t>
      </w:r>
      <w:r w:rsidR="00AB57E4">
        <w:t xml:space="preserve"> by email</w:t>
      </w:r>
      <w:r w:rsidR="00546753">
        <w:t xml:space="preserve">. </w:t>
      </w:r>
      <w:r w:rsidR="00FB7D7C">
        <w:t>I</w:t>
      </w:r>
      <w:r w:rsidR="00546753">
        <w:t xml:space="preserve">t was </w:t>
      </w:r>
      <w:r w:rsidR="00EF3BDF">
        <w:t xml:space="preserve">agreed in </w:t>
      </w:r>
      <w:r w:rsidR="00546753">
        <w:t xml:space="preserve">the March 2022 SC meeting </w:t>
      </w:r>
      <w:r w:rsidR="00FB7D7C">
        <w:t>for</w:t>
      </w:r>
      <w:r w:rsidR="007D2CA7">
        <w:t xml:space="preserve"> the SC TOR</w:t>
      </w:r>
      <w:r w:rsidR="00422218">
        <w:t xml:space="preserve"> to</w:t>
      </w:r>
      <w:r w:rsidR="007D2CA7">
        <w:t xml:space="preserve"> be amended to include</w:t>
      </w:r>
      <w:r w:rsidR="00546753">
        <w:t xml:space="preserve"> </w:t>
      </w:r>
      <w:r w:rsidR="00546753" w:rsidRPr="00546753">
        <w:t xml:space="preserve">thresholds for amendments and ability for </w:t>
      </w:r>
      <w:r w:rsidR="00422218">
        <w:t xml:space="preserve">the </w:t>
      </w:r>
      <w:r w:rsidR="00546753" w:rsidRPr="00546753">
        <w:t>SC to make decisions by email</w:t>
      </w:r>
      <w:r w:rsidR="007D2CA7">
        <w:t xml:space="preserve">, and </w:t>
      </w:r>
      <w:r w:rsidR="00FB7D7C">
        <w:t xml:space="preserve">in the March 2023 SC meeting that the </w:t>
      </w:r>
      <w:r w:rsidR="00AB57E4">
        <w:t>two co-chairs enact intersessional</w:t>
      </w:r>
      <w:r w:rsidR="00FB7D7C">
        <w:t xml:space="preserve"> </w:t>
      </w:r>
      <w:r w:rsidR="00AB57E4">
        <w:t>decision making to take SIIP priorities forward before the next meeting</w:t>
      </w:r>
      <w:r w:rsidR="00FB7D7C">
        <w:t xml:space="preserve">. However, the review found delays still occurring, in some cases due to weak email engagement by SIG representatives for these efficiencies to be realised. </w:t>
      </w:r>
    </w:p>
    <w:p w14:paraId="3584123A" w14:textId="6424CEA3" w:rsidR="00F86BEB" w:rsidRPr="00B66B6B" w:rsidRDefault="00FB7D7C" w:rsidP="00EC19F9">
      <w:r>
        <w:t xml:space="preserve">In order to improve the speed of infrastructure delivery, </w:t>
      </w:r>
      <w:r w:rsidR="00C27A4E" w:rsidRPr="00B66B6B">
        <w:t xml:space="preserve">the SIIP Hub proposed a </w:t>
      </w:r>
      <w:r w:rsidR="00C27A4E" w:rsidRPr="00FB7D7C">
        <w:rPr>
          <w:b/>
          <w:bCs/>
        </w:rPr>
        <w:t xml:space="preserve">Rapid Response Mechanism </w:t>
      </w:r>
      <w:r w:rsidR="0044016C">
        <w:rPr>
          <w:b/>
          <w:bCs/>
        </w:rPr>
        <w:t xml:space="preserve">(RRM) </w:t>
      </w:r>
      <w:r w:rsidR="00C27A4E" w:rsidRPr="00FB7D7C">
        <w:rPr>
          <w:b/>
          <w:bCs/>
        </w:rPr>
        <w:t>unit in its Resourcing Plan</w:t>
      </w:r>
      <w:r w:rsidR="00C27A4E" w:rsidRPr="00B66B6B">
        <w:t xml:space="preserve">, through which the Infrastructure Project Manager </w:t>
      </w:r>
      <w:r>
        <w:t>would</w:t>
      </w:r>
      <w:r w:rsidR="00C27A4E" w:rsidRPr="00B66B6B">
        <w:t xml:space="preserve"> work with the Deputy Team Leader – Infrastructure to triage new activities as they are tasked. </w:t>
      </w:r>
      <w:r w:rsidR="0029460C">
        <w:t xml:space="preserve">While the RRM was intended to </w:t>
      </w:r>
      <w:r w:rsidR="003D7ABF">
        <w:t>propose</w:t>
      </w:r>
      <w:r w:rsidR="00174504">
        <w:t xml:space="preserve"> pathways towards </w:t>
      </w:r>
      <w:r w:rsidR="003D7ABF">
        <w:t>faster infrastructure delivery, the decision making process was identified as a key barrier</w:t>
      </w:r>
      <w:r w:rsidR="0004218B">
        <w:t>, requiring changes to governance processes within the program.</w:t>
      </w:r>
    </w:p>
    <w:p w14:paraId="15DBD189" w14:textId="0D361590" w:rsidR="009D70F2" w:rsidRPr="00B66B6B" w:rsidRDefault="009D70F2" w:rsidP="00185BD1">
      <w:pPr>
        <w:pStyle w:val="Heading3"/>
      </w:pPr>
      <w:bookmarkStart w:id="49" w:name="_Ref165123748"/>
      <w:r w:rsidRPr="00B66B6B">
        <w:t>EQ10. To what extent are the Program’s processes and procedures impacting the efficiency or effectiveness of the Program?</w:t>
      </w:r>
      <w:bookmarkEnd w:id="49"/>
    </w:p>
    <w:p w14:paraId="2D39F2FA" w14:textId="303A5CF3" w:rsidR="002368AF" w:rsidRDefault="00B74579" w:rsidP="00423232">
      <w:r w:rsidRPr="00B66B6B">
        <w:rPr>
          <w:rStyle w:val="HeadlinefindingChar"/>
        </w:rPr>
        <w:t xml:space="preserve">The review found that </w:t>
      </w:r>
      <w:r w:rsidR="00DF2BFF">
        <w:rPr>
          <w:rStyle w:val="HeadlinefindingChar"/>
        </w:rPr>
        <w:t>SIIP needs to take a more proportionate approach to managing risk for smaller and less complex projects, and that a highly risk averse approach to design and implementation is a key reason for implementation delays</w:t>
      </w:r>
      <w:r w:rsidR="004C4AC9" w:rsidRPr="00B66B6B">
        <w:rPr>
          <w:rStyle w:val="HeadlinefindingChar"/>
        </w:rPr>
        <w:t>, particularly in relation to EOPO2</w:t>
      </w:r>
      <w:r w:rsidR="004C4AC9" w:rsidRPr="00B66B6B">
        <w:t xml:space="preserve">. </w:t>
      </w:r>
      <w:r w:rsidR="00555AC9">
        <w:t xml:space="preserve">The head contract between DFAT and DT Global </w:t>
      </w:r>
      <w:r w:rsidR="00422F22">
        <w:t xml:space="preserve">for SIIP references risk in terms of identifying and managing risk appropriately, </w:t>
      </w:r>
      <w:r w:rsidR="00C32CB3" w:rsidRPr="00C32CB3">
        <w:t>through the Risk Management Plan and Strategic Risk and Costing Framework</w:t>
      </w:r>
      <w:r w:rsidR="00C32CB3">
        <w:t>. The contract states that</w:t>
      </w:r>
      <w:r w:rsidR="00422F22">
        <w:t>: “</w:t>
      </w:r>
      <w:r w:rsidR="00422F22" w:rsidRPr="00422F22">
        <w:t>SIIP's Risk Management Function aspires to create a culture of shared risk management and treatment, where both the likelihood and impact of a risk and the responsibility for treatment are born jointly by DFAT and the Delivery Partner to the greatest extent possible. SIIP's Risk Management Function aspires to minimise the likelihood and impact of prospective risks, whilst also encouraging a no-blame culture within SIIP that promotes responsible risk taking and innovation.</w:t>
      </w:r>
      <w:r w:rsidR="00422F22">
        <w:t xml:space="preserve">” </w:t>
      </w:r>
      <w:r w:rsidR="00E90AE2">
        <w:t xml:space="preserve">In practice, however, </w:t>
      </w:r>
      <w:r w:rsidR="00DF2BFF">
        <w:t>there does not appear to be a detailed agreement between DFAT and DT Global about how risk should be shared and managed.  In the absence of clear direction about what risks DFAT is prepared to bear, DT Global has – to some extent inevitably – taken a high</w:t>
      </w:r>
      <w:r w:rsidR="00423232">
        <w:t xml:space="preserve">ly risk averse approach to the design and implementation of individual activities.  </w:t>
      </w:r>
      <w:r w:rsidR="00F2509A">
        <w:t xml:space="preserve">This has resulted in </w:t>
      </w:r>
      <w:r w:rsidR="00C85CF8">
        <w:t xml:space="preserve">overwhelming and </w:t>
      </w:r>
      <w:r w:rsidR="00D90162">
        <w:t>in some cases locally inappropriate</w:t>
      </w:r>
      <w:r w:rsidR="00BA1B5D">
        <w:t xml:space="preserve"> </w:t>
      </w:r>
      <w:r w:rsidR="00FC4625">
        <w:t>processes to manage th</w:t>
      </w:r>
      <w:r w:rsidR="00D90162">
        <w:t>at</w:t>
      </w:r>
      <w:r w:rsidR="00FC4625">
        <w:t xml:space="preserve"> risk,</w:t>
      </w:r>
      <w:r w:rsidR="00D90162">
        <w:t xml:space="preserve"> such as in</w:t>
      </w:r>
      <w:r w:rsidR="00FC4625">
        <w:t xml:space="preserve"> </w:t>
      </w:r>
      <w:r w:rsidR="00BA1B5D">
        <w:t xml:space="preserve">procurement </w:t>
      </w:r>
      <w:r w:rsidR="00FC4625">
        <w:t xml:space="preserve">requirements and project design. </w:t>
      </w:r>
      <w:r w:rsidR="00D90162">
        <w:t>This issue lies beyond the boundaries of SIIP, and speaks to institutional expectations and risk appetite of DFAT and DT Global</w:t>
      </w:r>
      <w:r w:rsidR="00242EA0">
        <w:t xml:space="preserve"> at a corporate level</w:t>
      </w:r>
      <w:r w:rsidR="00D90162">
        <w:t xml:space="preserve">. </w:t>
      </w:r>
      <w:r w:rsidR="00FC4625">
        <w:t xml:space="preserve"> </w:t>
      </w:r>
    </w:p>
    <w:p w14:paraId="7EC590B3" w14:textId="4A0CAA92" w:rsidR="004D3E28" w:rsidRDefault="004D3E28" w:rsidP="00364EA3">
      <w:r w:rsidRPr="000114F6">
        <w:rPr>
          <w:b/>
          <w:bCs/>
        </w:rPr>
        <w:t>F</w:t>
      </w:r>
      <w:r w:rsidR="00D90162" w:rsidRPr="000114F6">
        <w:rPr>
          <w:b/>
          <w:bCs/>
        </w:rPr>
        <w:t xml:space="preserve">or this issue to be addressed, </w:t>
      </w:r>
      <w:r w:rsidR="00242EA0" w:rsidRPr="000114F6">
        <w:rPr>
          <w:b/>
          <w:bCs/>
        </w:rPr>
        <w:t>an</w:t>
      </w:r>
      <w:r w:rsidR="003137FF" w:rsidRPr="000114F6">
        <w:rPr>
          <w:b/>
          <w:bCs/>
        </w:rPr>
        <w:t xml:space="preserve"> urgent and transparent </w:t>
      </w:r>
      <w:r w:rsidR="00F86BEB" w:rsidRPr="000114F6">
        <w:rPr>
          <w:b/>
          <w:bCs/>
        </w:rPr>
        <w:t xml:space="preserve">conversation </w:t>
      </w:r>
      <w:r w:rsidR="00242EA0" w:rsidRPr="000114F6">
        <w:rPr>
          <w:b/>
          <w:bCs/>
        </w:rPr>
        <w:t xml:space="preserve">is required </w:t>
      </w:r>
      <w:r w:rsidR="00F86BEB" w:rsidRPr="000114F6">
        <w:rPr>
          <w:b/>
          <w:bCs/>
        </w:rPr>
        <w:t xml:space="preserve">between DFAT and </w:t>
      </w:r>
      <w:r w:rsidR="00423232">
        <w:rPr>
          <w:b/>
          <w:bCs/>
        </w:rPr>
        <w:t xml:space="preserve">DT Global on how to allocate and manage specific risks.  </w:t>
      </w:r>
      <w:r w:rsidR="00423232" w:rsidRPr="00C2550B">
        <w:t xml:space="preserve">While this may best </w:t>
      </w:r>
      <w:r w:rsidR="00423232">
        <w:t xml:space="preserve">be coordinated between </w:t>
      </w:r>
      <w:r w:rsidR="00423232">
        <w:lastRenderedPageBreak/>
        <w:t xml:space="preserve">the DFAT team </w:t>
      </w:r>
      <w:r w:rsidR="004D3CE3">
        <w:t>in Honiara</w:t>
      </w:r>
      <w:r w:rsidR="00423232">
        <w:t xml:space="preserve"> and the SIIP Hub, it will require institutional participation by </w:t>
      </w:r>
      <w:r w:rsidR="00D90162">
        <w:t>senior representatives</w:t>
      </w:r>
      <w:r w:rsidR="00F86BEB" w:rsidRPr="00B66B6B">
        <w:t xml:space="preserve"> from DFAT </w:t>
      </w:r>
      <w:r w:rsidR="00D90162">
        <w:t>(</w:t>
      </w:r>
      <w:r w:rsidR="00242EA0">
        <w:t>Post and Canberra</w:t>
      </w:r>
      <w:r w:rsidR="00D90162">
        <w:t xml:space="preserve">) </w:t>
      </w:r>
      <w:r w:rsidR="00F86BEB" w:rsidRPr="00B66B6B">
        <w:t xml:space="preserve">and DT Global </w:t>
      </w:r>
      <w:r w:rsidR="00242EA0">
        <w:t>(SIIP Hub and Corporate)</w:t>
      </w:r>
      <w:r w:rsidR="00423232">
        <w:t xml:space="preserve">.  As set out below, discussions could usefully relate, although not necessarily be limited </w:t>
      </w:r>
      <w:r w:rsidR="001C48FA">
        <w:t>to</w:t>
      </w:r>
      <w:r w:rsidR="00F86BEB" w:rsidRPr="00B66B6B">
        <w:t xml:space="preserve"> </w:t>
      </w:r>
      <w:r w:rsidR="00423232">
        <w:t>i</w:t>
      </w:r>
      <w:r w:rsidR="00F86BEB" w:rsidRPr="00B66B6B">
        <w:t>nsurance, quality standards, complicated contract clauses requiring negotiations</w:t>
      </w:r>
      <w:r w:rsidR="004545E5" w:rsidRPr="00B66B6B">
        <w:t xml:space="preserve">, and payment terms. </w:t>
      </w:r>
      <w:r>
        <w:t xml:space="preserve">It may benefit the discussion for </w:t>
      </w:r>
      <w:r w:rsidRPr="004D3E28">
        <w:t xml:space="preserve">DT Global to </w:t>
      </w:r>
      <w:r>
        <w:t xml:space="preserve">develop and present </w:t>
      </w:r>
      <w:r w:rsidRPr="004D3E28">
        <w:t>an options paper on risk for DFAT’s institutional level consideration</w:t>
      </w:r>
      <w:r>
        <w:t>.</w:t>
      </w:r>
      <w:r w:rsidR="00423232">
        <w:t xml:space="preserve">  To inform this discussion, the review recommends that DFAT request the SIIP Hub, drawing on broader support from DT Global, to prepare some initial options. </w:t>
      </w:r>
      <w:r w:rsidR="00C128FB" w:rsidRPr="00B66B6B">
        <w:t xml:space="preserve"> </w:t>
      </w:r>
    </w:p>
    <w:p w14:paraId="019E44B7" w14:textId="260C7CFA" w:rsidR="00F86BEB" w:rsidRPr="00B66B6B" w:rsidRDefault="00C128FB" w:rsidP="00364EA3">
      <w:r w:rsidRPr="00B66B6B">
        <w:t>The k</w:t>
      </w:r>
      <w:r w:rsidR="00364EA3" w:rsidRPr="00B66B6B">
        <w:t>ey process challenges</w:t>
      </w:r>
      <w:r w:rsidR="00C73FD4">
        <w:t xml:space="preserve"> that </w:t>
      </w:r>
      <w:r w:rsidR="00C20B62">
        <w:t xml:space="preserve">have surfaced </w:t>
      </w:r>
      <w:r w:rsidR="004D3E28">
        <w:t>as part of the review are</w:t>
      </w:r>
      <w:r w:rsidRPr="00B66B6B">
        <w:t xml:space="preserve"> presented in </w:t>
      </w:r>
      <w:r w:rsidR="00B13F6A" w:rsidRPr="00B66B6B">
        <w:fldChar w:fldCharType="begin"/>
      </w:r>
      <w:r w:rsidR="00B13F6A" w:rsidRPr="00B66B6B">
        <w:instrText xml:space="preserve"> REF _Ref165069340 \h </w:instrText>
      </w:r>
      <w:r w:rsidR="00B13F6A" w:rsidRPr="00B66B6B">
        <w:fldChar w:fldCharType="separate"/>
      </w:r>
      <w:r w:rsidR="00DC1E3F" w:rsidRPr="00B66B6B">
        <w:t xml:space="preserve">Figure </w:t>
      </w:r>
      <w:r w:rsidR="00DC1E3F">
        <w:rPr>
          <w:noProof/>
        </w:rPr>
        <w:t>4</w:t>
      </w:r>
      <w:r w:rsidR="00B13F6A" w:rsidRPr="00B66B6B">
        <w:fldChar w:fldCharType="end"/>
      </w:r>
      <w:r w:rsidR="00B13F6A" w:rsidRPr="00B66B6B">
        <w:t xml:space="preserve"> </w:t>
      </w:r>
      <w:r w:rsidRPr="00B66B6B">
        <w:t xml:space="preserve">below. </w:t>
      </w:r>
      <w:r w:rsidR="00C20B62">
        <w:t xml:space="preserve">These process challenges appear to have arisen as part of implementation, rather than as a result of specific clauses in the head contract between DFAT and DT Global. </w:t>
      </w:r>
    </w:p>
    <w:tbl>
      <w:tblPr>
        <w:tblStyle w:val="ListTable4-Accent1"/>
        <w:tblW w:w="0" w:type="auto"/>
        <w:tblLook w:val="04A0" w:firstRow="1" w:lastRow="0" w:firstColumn="1" w:lastColumn="0" w:noHBand="0" w:noVBand="1"/>
      </w:tblPr>
      <w:tblGrid>
        <w:gridCol w:w="2122"/>
        <w:gridCol w:w="6888"/>
      </w:tblGrid>
      <w:tr w:rsidR="00C128FB" w:rsidRPr="00B66B6B" w14:paraId="5CD9E1B8" w14:textId="77777777" w:rsidTr="00B13F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6C571D6F" w14:textId="676ACE7D" w:rsidR="00C128FB" w:rsidRPr="00B66B6B" w:rsidRDefault="00C128FB" w:rsidP="004545E5">
            <w:pPr>
              <w:pStyle w:val="TableText"/>
            </w:pPr>
            <w:r w:rsidRPr="00B66B6B">
              <w:t>Process Challenge</w:t>
            </w:r>
          </w:p>
        </w:tc>
        <w:tc>
          <w:tcPr>
            <w:tcW w:w="6888" w:type="dxa"/>
          </w:tcPr>
          <w:p w14:paraId="65111EDD" w14:textId="5534A272" w:rsidR="00C128FB" w:rsidRPr="00B66B6B" w:rsidRDefault="00C128FB" w:rsidP="004545E5">
            <w:pPr>
              <w:pStyle w:val="TableText"/>
              <w:cnfStyle w:val="100000000000" w:firstRow="1" w:lastRow="0" w:firstColumn="0" w:lastColumn="0" w:oddVBand="0" w:evenVBand="0" w:oddHBand="0" w:evenHBand="0" w:firstRowFirstColumn="0" w:firstRowLastColumn="0" w:lastRowFirstColumn="0" w:lastRowLastColumn="0"/>
            </w:pPr>
            <w:r w:rsidRPr="00B66B6B">
              <w:t>Finding</w:t>
            </w:r>
          </w:p>
        </w:tc>
      </w:tr>
      <w:tr w:rsidR="00C128FB" w:rsidRPr="00B66B6B" w14:paraId="0EA69BF6" w14:textId="77777777" w:rsidTr="00454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DB53D17" w14:textId="2A36CE4D" w:rsidR="00C128FB" w:rsidRPr="00B66B6B" w:rsidRDefault="00C128FB" w:rsidP="004545E5">
            <w:pPr>
              <w:pStyle w:val="TableText"/>
            </w:pPr>
            <w:r w:rsidRPr="00B66B6B">
              <w:t xml:space="preserve">Independent technical reviews </w:t>
            </w:r>
          </w:p>
        </w:tc>
        <w:tc>
          <w:tcPr>
            <w:tcW w:w="6888" w:type="dxa"/>
          </w:tcPr>
          <w:p w14:paraId="1CF56EC1" w14:textId="4605F1D9" w:rsidR="00C128FB" w:rsidRPr="00B66B6B" w:rsidRDefault="006F24B5" w:rsidP="004545E5">
            <w:pPr>
              <w:pStyle w:val="TableText"/>
              <w:cnfStyle w:val="000000100000" w:firstRow="0" w:lastRow="0" w:firstColumn="0" w:lastColumn="0" w:oddVBand="0" w:evenVBand="0" w:oddHBand="1" w:evenHBand="0" w:firstRowFirstColumn="0" w:firstRowLastColumn="0" w:lastRowFirstColumn="0" w:lastRowLastColumn="0"/>
            </w:pPr>
            <w:r>
              <w:t xml:space="preserve">The need for ITRs across all activities is causing delays </w:t>
            </w:r>
            <w:r w:rsidR="00B64ACC">
              <w:t xml:space="preserve">in design and construction of SIIP projects, and not always needed for all projects. </w:t>
            </w:r>
            <w:r w:rsidR="00D07F9E">
              <w:t xml:space="preserve"> For smaller projects, for instance there is potentially </w:t>
            </w:r>
            <w:proofErr w:type="gramStart"/>
            <w:r w:rsidR="00D07F9E">
              <w:t>scope</w:t>
            </w:r>
            <w:proofErr w:type="gramEnd"/>
            <w:r w:rsidR="00D07F9E">
              <w:t xml:space="preserve"> to rely on the design engineer’s professional indemnity insurance.</w:t>
            </w:r>
          </w:p>
        </w:tc>
      </w:tr>
      <w:tr w:rsidR="00C128FB" w:rsidRPr="00B66B6B" w14:paraId="3C17C0C9" w14:textId="77777777" w:rsidTr="004545E5">
        <w:tc>
          <w:tcPr>
            <w:cnfStyle w:val="001000000000" w:firstRow="0" w:lastRow="0" w:firstColumn="1" w:lastColumn="0" w:oddVBand="0" w:evenVBand="0" w:oddHBand="0" w:evenHBand="0" w:firstRowFirstColumn="0" w:firstRowLastColumn="0" w:lastRowFirstColumn="0" w:lastRowLastColumn="0"/>
            <w:tcW w:w="2122" w:type="dxa"/>
          </w:tcPr>
          <w:p w14:paraId="28B9E889" w14:textId="10F8C030" w:rsidR="00C128FB" w:rsidRPr="00B66B6B" w:rsidRDefault="00C128FB" w:rsidP="004545E5">
            <w:pPr>
              <w:pStyle w:val="TableText"/>
            </w:pPr>
            <w:r w:rsidRPr="00B66B6B">
              <w:t xml:space="preserve">Geotechnical </w:t>
            </w:r>
            <w:r w:rsidR="00344443">
              <w:t>studies</w:t>
            </w:r>
          </w:p>
        </w:tc>
        <w:tc>
          <w:tcPr>
            <w:tcW w:w="6888" w:type="dxa"/>
          </w:tcPr>
          <w:p w14:paraId="7F1AA423" w14:textId="5C67AEB7" w:rsidR="00D07F9E" w:rsidRPr="00B66B6B" w:rsidRDefault="00B64ACC" w:rsidP="004545E5">
            <w:pPr>
              <w:pStyle w:val="TableText"/>
              <w:cnfStyle w:val="000000000000" w:firstRow="0" w:lastRow="0" w:firstColumn="0" w:lastColumn="0" w:oddVBand="0" w:evenVBand="0" w:oddHBand="0" w:evenHBand="0" w:firstRowFirstColumn="0" w:firstRowLastColumn="0" w:lastRowFirstColumn="0" w:lastRowLastColumn="0"/>
            </w:pPr>
            <w:r>
              <w:t xml:space="preserve">Similar to ITRs, the blanket application of geotechnical </w:t>
            </w:r>
            <w:r w:rsidR="00344443">
              <w:t>studies</w:t>
            </w:r>
            <w:r>
              <w:t xml:space="preserve"> are causing delays and cost </w:t>
            </w:r>
            <w:r w:rsidRPr="00D07F9E">
              <w:t>implications, and are not always necessary for smaller projects.</w:t>
            </w:r>
            <w:r w:rsidR="00D07F9E" w:rsidRPr="00D07F9E">
              <w:t xml:space="preserve">  While the SIIP Hub has advised that a more proportional approach is taken for smaller works, such as </w:t>
            </w:r>
            <w:r w:rsidR="00D07F9E" w:rsidRPr="00C2550B">
              <w:rPr>
                <w:rFonts w:ascii="Calibri Light" w:hAnsi="Calibri Light" w:cs="Calibri Light"/>
              </w:rPr>
              <w:t>simple geotechnical studies using Dynamic Cone Penetration (DCP) testing</w:t>
            </w:r>
            <w:r w:rsidR="00D07F9E">
              <w:rPr>
                <w:rFonts w:ascii="Calibri Light" w:hAnsi="Calibri Light" w:cs="Calibri Light"/>
              </w:rPr>
              <w:t>, there may again be scope to rely on the qualified supervising engineers</w:t>
            </w:r>
            <w:r w:rsidR="001C48FA">
              <w:rPr>
                <w:rFonts w:ascii="Calibri Light" w:hAnsi="Calibri Light" w:cs="Calibri Light"/>
              </w:rPr>
              <w:t>’</w:t>
            </w:r>
            <w:r w:rsidR="00D07F9E">
              <w:rPr>
                <w:rFonts w:ascii="Calibri Light" w:hAnsi="Calibri Light" w:cs="Calibri Light"/>
              </w:rPr>
              <w:t xml:space="preserve"> assessment supported by their professional indemnity insurance.</w:t>
            </w:r>
            <w:r w:rsidR="00D07F9E">
              <w:rPr>
                <w:rFonts w:ascii="Calibri Light" w:hAnsi="Calibri Light" w:cs="Calibri Light"/>
                <w:sz w:val="22"/>
                <w:szCs w:val="22"/>
              </w:rPr>
              <w:t xml:space="preserve"> </w:t>
            </w:r>
          </w:p>
        </w:tc>
      </w:tr>
      <w:tr w:rsidR="00C128FB" w:rsidRPr="00B66B6B" w14:paraId="4B3F8B03" w14:textId="77777777" w:rsidTr="00454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4BB269" w14:textId="03E61E20" w:rsidR="00C128FB" w:rsidRPr="00B66B6B" w:rsidRDefault="00C128FB" w:rsidP="004545E5">
            <w:pPr>
              <w:pStyle w:val="TableText"/>
            </w:pPr>
            <w:r w:rsidRPr="00B66B6B">
              <w:t>Building standards</w:t>
            </w:r>
          </w:p>
        </w:tc>
        <w:tc>
          <w:tcPr>
            <w:tcW w:w="6888" w:type="dxa"/>
          </w:tcPr>
          <w:p w14:paraId="51086CB7" w14:textId="52949CB8" w:rsidR="00C128FB" w:rsidRPr="00B66B6B" w:rsidRDefault="00C128FB" w:rsidP="004545E5">
            <w:pPr>
              <w:pStyle w:val="TableText"/>
              <w:cnfStyle w:val="000000100000" w:firstRow="0" w:lastRow="0" w:firstColumn="0" w:lastColumn="0" w:oddVBand="0" w:evenVBand="0" w:oddHBand="1" w:evenHBand="0" w:firstRowFirstColumn="0" w:firstRowLastColumn="0" w:lastRowFirstColumn="0" w:lastRowLastColumn="0"/>
            </w:pPr>
            <w:r w:rsidRPr="00B66B6B">
              <w:t xml:space="preserve">Clear agreement is needed on whether to use the 1990 code currently in widespread use, the new 2022 draft bill (although not yet legislated), or other Australian standards. The lack of clarity is causing confusion. For example, the bus shelters were designed to the 1990 code although the ITR </w:t>
            </w:r>
            <w:r w:rsidR="00D07F9E">
              <w:t>initially assessed the design against the</w:t>
            </w:r>
            <w:r w:rsidRPr="00B66B6B">
              <w:t xml:space="preserve"> 2022 draft and there were some informal suggestions from DFAT to use Australian standards. The higher the bar, the higher the cost and time required.</w:t>
            </w:r>
          </w:p>
        </w:tc>
      </w:tr>
      <w:tr w:rsidR="00C128FB" w:rsidRPr="00B66B6B" w14:paraId="14E8EA1E" w14:textId="77777777" w:rsidTr="004545E5">
        <w:tc>
          <w:tcPr>
            <w:cnfStyle w:val="001000000000" w:firstRow="0" w:lastRow="0" w:firstColumn="1" w:lastColumn="0" w:oddVBand="0" w:evenVBand="0" w:oddHBand="0" w:evenHBand="0" w:firstRowFirstColumn="0" w:firstRowLastColumn="0" w:lastRowFirstColumn="0" w:lastRowLastColumn="0"/>
            <w:tcW w:w="2122" w:type="dxa"/>
          </w:tcPr>
          <w:p w14:paraId="7129C572" w14:textId="7B9586BD" w:rsidR="00C128FB" w:rsidRPr="00B66B6B" w:rsidRDefault="00C128FB" w:rsidP="004545E5">
            <w:pPr>
              <w:pStyle w:val="TableText"/>
            </w:pPr>
            <w:r w:rsidRPr="00B66B6B">
              <w:t>Insurance</w:t>
            </w:r>
          </w:p>
        </w:tc>
        <w:tc>
          <w:tcPr>
            <w:tcW w:w="6888" w:type="dxa"/>
          </w:tcPr>
          <w:p w14:paraId="6A8895D5" w14:textId="311CA8AA" w:rsidR="00C128FB" w:rsidRPr="00B66B6B" w:rsidRDefault="00C128FB" w:rsidP="004545E5">
            <w:pPr>
              <w:pStyle w:val="TableText"/>
              <w:cnfStyle w:val="000000000000" w:firstRow="0" w:lastRow="0" w:firstColumn="0" w:lastColumn="0" w:oddVBand="0" w:evenVBand="0" w:oddHBand="0" w:evenHBand="0" w:firstRowFirstColumn="0" w:firstRowLastColumn="0" w:lastRowFirstColumn="0" w:lastRowLastColumn="0"/>
            </w:pPr>
            <w:r w:rsidRPr="00B66B6B">
              <w:t>Insurance is being set at standards that risk excluding local firms. For example, DFAT requires DT Global to have A</w:t>
            </w:r>
            <w:r w:rsidR="000114F6">
              <w:t>UD2</w:t>
            </w:r>
            <w:r w:rsidRPr="00B66B6B">
              <w:t>0</w:t>
            </w:r>
            <w:r w:rsidR="000114F6">
              <w:t xml:space="preserve"> </w:t>
            </w:r>
            <w:r w:rsidRPr="00B66B6B">
              <w:t>m</w:t>
            </w:r>
            <w:r w:rsidR="000114F6">
              <w:t>illion</w:t>
            </w:r>
            <w:r w:rsidRPr="00B66B6B">
              <w:t xml:space="preserve"> public indemnity, and this tends to be rolled through to sub-contractors</w:t>
            </w:r>
            <w:r w:rsidR="004C2552">
              <w:t xml:space="preserve"> for larger projects, and held by DT Global for the smaller contracts</w:t>
            </w:r>
            <w:r w:rsidRPr="00B66B6B">
              <w:t>. The SIIP Hub is considering options for blanket insurance to cover sub-contractors, and SIG also needs to relax limits on seeking insurance from overseas. Still, there also appear options to relax insurance requirements.</w:t>
            </w:r>
          </w:p>
        </w:tc>
      </w:tr>
      <w:tr w:rsidR="00C128FB" w:rsidRPr="00B66B6B" w14:paraId="5649DA8F" w14:textId="77777777" w:rsidTr="00454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C7ED245" w14:textId="78AB3DE8" w:rsidR="00C128FB" w:rsidRPr="00B66B6B" w:rsidRDefault="00C128FB" w:rsidP="004545E5">
            <w:pPr>
              <w:pStyle w:val="TableText"/>
            </w:pPr>
            <w:r w:rsidRPr="00B66B6B">
              <w:t>Eligibility thresholds for bidders</w:t>
            </w:r>
          </w:p>
        </w:tc>
        <w:tc>
          <w:tcPr>
            <w:tcW w:w="6888" w:type="dxa"/>
          </w:tcPr>
          <w:p w14:paraId="08559535" w14:textId="1BB488D1" w:rsidR="00C128FB" w:rsidRPr="00B66B6B" w:rsidRDefault="00C128FB" w:rsidP="004545E5">
            <w:pPr>
              <w:pStyle w:val="TableText"/>
              <w:cnfStyle w:val="000000100000" w:firstRow="0" w:lastRow="0" w:firstColumn="0" w:lastColumn="0" w:oddVBand="0" w:evenVBand="0" w:oddHBand="1" w:evenHBand="0" w:firstRowFirstColumn="0" w:firstRowLastColumn="0" w:lastRowFirstColumn="0" w:lastRowLastColumn="0"/>
            </w:pPr>
            <w:r w:rsidRPr="00B66B6B">
              <w:t>Assurance is needed that firms bidding for jobs have the financial and technical capacity. However, SIIP eligibility thresholds (balance sheet, turnover, experience) have reportedly been higher than for equivalent MDB contracts. This is particularly challenging for local firms but has also made it hard for larger Australian firms with a proven track record in the region to bid for works like Naha.</w:t>
            </w:r>
          </w:p>
        </w:tc>
      </w:tr>
      <w:tr w:rsidR="00FA3BB2" w:rsidRPr="00B66B6B" w14:paraId="5A4B5E31" w14:textId="77777777" w:rsidTr="004545E5">
        <w:tc>
          <w:tcPr>
            <w:cnfStyle w:val="001000000000" w:firstRow="0" w:lastRow="0" w:firstColumn="1" w:lastColumn="0" w:oddVBand="0" w:evenVBand="0" w:oddHBand="0" w:evenHBand="0" w:firstRowFirstColumn="0" w:firstRowLastColumn="0" w:lastRowFirstColumn="0" w:lastRowLastColumn="0"/>
            <w:tcW w:w="2122" w:type="dxa"/>
          </w:tcPr>
          <w:p w14:paraId="0CE65F99" w14:textId="16D09B1D" w:rsidR="00FA3BB2" w:rsidRPr="00B66B6B" w:rsidRDefault="00FA3BB2" w:rsidP="004545E5">
            <w:pPr>
              <w:pStyle w:val="TableText"/>
            </w:pPr>
            <w:r>
              <w:t>Procurement</w:t>
            </w:r>
          </w:p>
        </w:tc>
        <w:tc>
          <w:tcPr>
            <w:tcW w:w="6888" w:type="dxa"/>
          </w:tcPr>
          <w:p w14:paraId="7CEE3A9C" w14:textId="1151ACD3" w:rsidR="00FA3BB2" w:rsidRPr="00B66B6B" w:rsidRDefault="00FA3BB2" w:rsidP="004545E5">
            <w:pPr>
              <w:pStyle w:val="TableText"/>
              <w:cnfStyle w:val="000000000000" w:firstRow="0" w:lastRow="0" w:firstColumn="0" w:lastColumn="0" w:oddVBand="0" w:evenVBand="0" w:oddHBand="0" w:evenHBand="0" w:firstRowFirstColumn="0" w:firstRowLastColumn="0" w:lastRowFirstColumn="0" w:lastRowLastColumn="0"/>
            </w:pPr>
            <w:r w:rsidRPr="00FA3BB2">
              <w:t>Bid thresholds (experience, balance sheet, turnover requirements) reportedly higher than similar sized MDB funded activities, and challenging not just local firms but experienced Australian contractors working on larger Australian funded jobs across the region</w:t>
            </w:r>
            <w:r w:rsidR="008D7472">
              <w:t>.</w:t>
            </w:r>
            <w:r w:rsidRPr="00FA3BB2">
              <w:t xml:space="preserve">   </w:t>
            </w:r>
          </w:p>
        </w:tc>
      </w:tr>
      <w:tr w:rsidR="00C128FB" w:rsidRPr="00B66B6B" w14:paraId="78701DC8" w14:textId="77777777" w:rsidTr="00454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C89C3F" w14:textId="73FDC356" w:rsidR="00C128FB" w:rsidRPr="00B66B6B" w:rsidRDefault="00C128FB" w:rsidP="004545E5">
            <w:pPr>
              <w:pStyle w:val="TableText"/>
            </w:pPr>
            <w:r w:rsidRPr="00B66B6B">
              <w:t>Contract formats</w:t>
            </w:r>
          </w:p>
        </w:tc>
        <w:tc>
          <w:tcPr>
            <w:tcW w:w="6888" w:type="dxa"/>
          </w:tcPr>
          <w:p w14:paraId="181F00D8" w14:textId="0DBD3BFE" w:rsidR="00C128FB" w:rsidRPr="00B66B6B" w:rsidRDefault="00D92540" w:rsidP="004545E5">
            <w:pPr>
              <w:pStyle w:val="TableText"/>
              <w:cnfStyle w:val="000000100000" w:firstRow="0" w:lastRow="0" w:firstColumn="0" w:lastColumn="0" w:oddVBand="0" w:evenVBand="0" w:oddHBand="1" w:evenHBand="0" w:firstRowFirstColumn="0" w:firstRowLastColumn="0" w:lastRowFirstColumn="0" w:lastRowLastColumn="0"/>
            </w:pPr>
            <w:r>
              <w:t xml:space="preserve">The SIIP Hub is using Australian Standards suite of contracts.  This contrasts with the MDBs, which have traditionally been the major infrastructure financiers across the Pacific use FIDIC based contract forms.  Contractor representatives noted that the </w:t>
            </w:r>
            <w:r w:rsidR="00C128FB" w:rsidRPr="00B66B6B">
              <w:t xml:space="preserve">SIIP </w:t>
            </w:r>
            <w:r>
              <w:t>Hub in some cases had up to</w:t>
            </w:r>
            <w:r w:rsidR="00C128FB" w:rsidRPr="00B66B6B">
              <w:t xml:space="preserve"> 85 departures </w:t>
            </w:r>
            <w:r>
              <w:t>from the standard contract suite which created challenges in responding</w:t>
            </w:r>
            <w:r w:rsidR="00BE5DBD">
              <w:t>.  The SIIP Hub advised that contract formats are expected to be addressed in 2024.</w:t>
            </w:r>
            <w:r w:rsidR="004545E5" w:rsidRPr="00B66B6B">
              <w:t xml:space="preserve"> </w:t>
            </w:r>
          </w:p>
        </w:tc>
      </w:tr>
      <w:tr w:rsidR="004545E5" w:rsidRPr="00B66B6B" w14:paraId="496C35E4" w14:textId="77777777" w:rsidTr="004545E5">
        <w:tc>
          <w:tcPr>
            <w:cnfStyle w:val="001000000000" w:firstRow="0" w:lastRow="0" w:firstColumn="1" w:lastColumn="0" w:oddVBand="0" w:evenVBand="0" w:oddHBand="0" w:evenHBand="0" w:firstRowFirstColumn="0" w:firstRowLastColumn="0" w:lastRowFirstColumn="0" w:lastRowLastColumn="0"/>
            <w:tcW w:w="2122" w:type="dxa"/>
          </w:tcPr>
          <w:p w14:paraId="4E655EF1" w14:textId="49B8674A" w:rsidR="004545E5" w:rsidRPr="00B66B6B" w:rsidRDefault="004545E5" w:rsidP="004545E5">
            <w:pPr>
              <w:pStyle w:val="TableText"/>
            </w:pPr>
            <w:r w:rsidRPr="00B66B6B">
              <w:t>Payment terms</w:t>
            </w:r>
          </w:p>
        </w:tc>
        <w:tc>
          <w:tcPr>
            <w:tcW w:w="6888" w:type="dxa"/>
          </w:tcPr>
          <w:p w14:paraId="21F83093" w14:textId="7470D1DE" w:rsidR="004545E5" w:rsidRPr="00B66B6B" w:rsidRDefault="00D92540" w:rsidP="004545E5">
            <w:pPr>
              <w:pStyle w:val="TableText"/>
              <w:cnfStyle w:val="000000000000" w:firstRow="0" w:lastRow="0" w:firstColumn="0" w:lastColumn="0" w:oddVBand="0" w:evenVBand="0" w:oddHBand="0" w:evenHBand="0" w:firstRowFirstColumn="0" w:firstRowLastColumn="0" w:lastRowFirstColumn="0" w:lastRowLastColumn="0"/>
            </w:pPr>
            <w:r>
              <w:t xml:space="preserve">While SIIP Hub advised that standard payment terms are 30 days with all local contractors </w:t>
            </w:r>
            <w:r w:rsidR="00D07F9E">
              <w:t xml:space="preserve">put on immediate payment terms, there is a perception among at least some local contractors that payment for SIIP Hub funded activities could take as </w:t>
            </w:r>
            <w:r w:rsidR="00D07F9E">
              <w:lastRenderedPageBreak/>
              <w:t>long as 60 days.  It may be useful for SIIP Hub to clarify misperceptions in the market.</w:t>
            </w:r>
          </w:p>
        </w:tc>
      </w:tr>
    </w:tbl>
    <w:p w14:paraId="5ED8DF7D" w14:textId="4300EEEC" w:rsidR="00C128FB" w:rsidRDefault="004545E5" w:rsidP="004545E5">
      <w:pPr>
        <w:pStyle w:val="Caption"/>
      </w:pPr>
      <w:bookmarkStart w:id="50" w:name="_Ref165069340"/>
      <w:bookmarkStart w:id="51" w:name="_Toc166101371"/>
      <w:r w:rsidRPr="00B66B6B">
        <w:lastRenderedPageBreak/>
        <w:t xml:space="preserve">Figure </w:t>
      </w:r>
      <w:r w:rsidR="00C23BCA">
        <w:fldChar w:fldCharType="begin"/>
      </w:r>
      <w:r w:rsidR="00C23BCA">
        <w:instrText xml:space="preserve"> SEQ Figure \* ARABIC </w:instrText>
      </w:r>
      <w:r w:rsidR="00C23BCA">
        <w:fldChar w:fldCharType="separate"/>
      </w:r>
      <w:r w:rsidR="00DC1E3F">
        <w:rPr>
          <w:noProof/>
        </w:rPr>
        <w:t>4</w:t>
      </w:r>
      <w:r w:rsidR="00C23BCA">
        <w:rPr>
          <w:noProof/>
        </w:rPr>
        <w:fldChar w:fldCharType="end"/>
      </w:r>
      <w:bookmarkEnd w:id="50"/>
      <w:r w:rsidRPr="00B66B6B">
        <w:t>: Process challenges affecting EOPO2</w:t>
      </w:r>
      <w:bookmarkEnd w:id="51"/>
    </w:p>
    <w:p w14:paraId="4DCD7884" w14:textId="619B641E" w:rsidR="006B303D" w:rsidRDefault="00CD123E" w:rsidP="00CD123E">
      <w:r w:rsidRPr="00B503F6">
        <w:rPr>
          <w:rStyle w:val="HeadlinefindingChar"/>
        </w:rPr>
        <w:t xml:space="preserve">The review found that the Monitoring, Evaluation and Learning (MEL) delivered by </w:t>
      </w:r>
      <w:r w:rsidR="00070016">
        <w:rPr>
          <w:rStyle w:val="HeadlinefindingChar"/>
        </w:rPr>
        <w:t xml:space="preserve">the </w:t>
      </w:r>
      <w:r w:rsidRPr="00B503F6">
        <w:rPr>
          <w:rStyle w:val="HeadlinefindingChar"/>
        </w:rPr>
        <w:t>SIIP Hub is high quality</w:t>
      </w:r>
      <w:r>
        <w:t xml:space="preserve">, and </w:t>
      </w:r>
      <w:r w:rsidR="00F70E6B">
        <w:t xml:space="preserve">the 6 monthly reports </w:t>
      </w:r>
      <w:r w:rsidR="006331BB">
        <w:t xml:space="preserve">provide a highly satisfactory account of the current operating context, progress against intermediate outcomes, key challenges, learning and planning for the following </w:t>
      </w:r>
      <w:r w:rsidR="00F70E6B">
        <w:t>period</w:t>
      </w:r>
      <w:r w:rsidR="006331BB">
        <w:t>.</w:t>
      </w:r>
    </w:p>
    <w:p w14:paraId="042DA40E" w14:textId="5A0BB682" w:rsidR="00CD123E" w:rsidRPr="00CD123E" w:rsidRDefault="006B303D" w:rsidP="00CD123E">
      <w:r w:rsidRPr="00B503F6">
        <w:rPr>
          <w:rStyle w:val="HeadlinefindingChar"/>
        </w:rPr>
        <w:t xml:space="preserve">Reporting of activities for SIIP beyond SIIP Hub, as delivered by </w:t>
      </w:r>
      <w:r w:rsidR="008A69E6" w:rsidRPr="008A69E6">
        <w:rPr>
          <w:rStyle w:val="HeadlinefindingChar"/>
        </w:rPr>
        <w:t>DFAT</w:t>
      </w:r>
      <w:r w:rsidRPr="00B503F6">
        <w:rPr>
          <w:rStyle w:val="HeadlinefindingChar"/>
        </w:rPr>
        <w:t>, is adequate</w:t>
      </w:r>
      <w:r>
        <w:t xml:space="preserve">, although it did prove somewhat challenging for the review team to </w:t>
      </w:r>
      <w:r w:rsidR="00534CDE">
        <w:t>gain a comprehensive account of the non SIIP Hub activities. An understanding was achieved through sharing of internal documents and follow up clarification, however the program would benefit from some</w:t>
      </w:r>
      <w:r w:rsidR="00B503F6">
        <w:t xml:space="preserve"> overarching process to bring together progress against EOPOs for the entire program, which includes both SIIP Hub and </w:t>
      </w:r>
      <w:r w:rsidR="008A69E6" w:rsidRPr="008A69E6">
        <w:t xml:space="preserve">DFAT </w:t>
      </w:r>
      <w:r w:rsidR="00B503F6">
        <w:t xml:space="preserve">activities. SIIP Hub would be well placed to provide this support in collating and aggregating data and narrative for a more comprehensive account of the program. </w:t>
      </w:r>
      <w:r w:rsidR="006331BB">
        <w:t xml:space="preserve">  </w:t>
      </w:r>
    </w:p>
    <w:p w14:paraId="2392071F" w14:textId="05375E06" w:rsidR="009D70F2" w:rsidRPr="00B66B6B" w:rsidRDefault="009D70F2" w:rsidP="00185BD1">
      <w:pPr>
        <w:pStyle w:val="Heading3"/>
      </w:pPr>
      <w:r w:rsidRPr="00B66B6B">
        <w:t xml:space="preserve">EQ11. How well are cross cutting themes of climate change and disaster resilience (CCDR) and gender equality, </w:t>
      </w:r>
      <w:proofErr w:type="gramStart"/>
      <w:r w:rsidRPr="00B66B6B">
        <w:t>disability</w:t>
      </w:r>
      <w:proofErr w:type="gramEnd"/>
      <w:r w:rsidRPr="00B66B6B">
        <w:t xml:space="preserve"> and social inclusion (GEDSI) integrated into Program delivery?</w:t>
      </w:r>
    </w:p>
    <w:p w14:paraId="17E80EC3" w14:textId="57BA0571" w:rsidR="001B2A45" w:rsidRDefault="001B2A45" w:rsidP="009D70F2">
      <w:bookmarkStart w:id="52" w:name="_Toc156506667"/>
      <w:r w:rsidRPr="00027679">
        <w:rPr>
          <w:rStyle w:val="HeadlinefindingChar"/>
        </w:rPr>
        <w:t>The review found</w:t>
      </w:r>
      <w:r w:rsidR="00427BAF" w:rsidRPr="00027679">
        <w:rPr>
          <w:rStyle w:val="HeadlinefindingChar"/>
        </w:rPr>
        <w:t xml:space="preserve"> evidence</w:t>
      </w:r>
      <w:r w:rsidRPr="00027679">
        <w:rPr>
          <w:rStyle w:val="HeadlinefindingChar"/>
        </w:rPr>
        <w:t xml:space="preserve"> that SIIP is integrating cross cutting themes of climate change and disaster resilience (CCDR) and gender equality, </w:t>
      </w:r>
      <w:proofErr w:type="gramStart"/>
      <w:r w:rsidRPr="00027679">
        <w:rPr>
          <w:rStyle w:val="HeadlinefindingChar"/>
        </w:rPr>
        <w:t>disability</w:t>
      </w:r>
      <w:proofErr w:type="gramEnd"/>
      <w:r w:rsidRPr="00027679">
        <w:rPr>
          <w:rStyle w:val="HeadlinefindingChar"/>
        </w:rPr>
        <w:t xml:space="preserve"> and social inclusion (GEDS</w:t>
      </w:r>
      <w:r w:rsidR="00E76152">
        <w:rPr>
          <w:rStyle w:val="HeadlinefindingChar"/>
        </w:rPr>
        <w:t>I</w:t>
      </w:r>
      <w:r w:rsidRPr="00027679">
        <w:rPr>
          <w:rStyle w:val="HeadlinefindingChar"/>
        </w:rPr>
        <w:t>)</w:t>
      </w:r>
      <w:r w:rsidR="00427BAF" w:rsidRPr="00027679">
        <w:rPr>
          <w:rStyle w:val="HeadlinefindingChar"/>
        </w:rPr>
        <w:t xml:space="preserve"> into program delivery</w:t>
      </w:r>
      <w:r w:rsidR="00427BAF">
        <w:t xml:space="preserve">. </w:t>
      </w:r>
      <w:r w:rsidR="00464F6D">
        <w:t>In terms of GEDSI integration the following examples were found</w:t>
      </w:r>
      <w:r w:rsidR="00027679">
        <w:t>:</w:t>
      </w:r>
    </w:p>
    <w:p w14:paraId="282FFA94" w14:textId="62F88A23" w:rsidR="0069350E" w:rsidRDefault="00027679" w:rsidP="00864DDD">
      <w:pPr>
        <w:pStyle w:val="ListParagraph"/>
        <w:numPr>
          <w:ilvl w:val="0"/>
          <w:numId w:val="27"/>
        </w:numPr>
      </w:pPr>
      <w:r>
        <w:t xml:space="preserve">According to </w:t>
      </w:r>
      <w:r w:rsidR="0074374D">
        <w:t>DFAT’s 2023 Investment Monitoring Report (</w:t>
      </w:r>
      <w:r w:rsidR="0069350E">
        <w:t>IMR</w:t>
      </w:r>
      <w:r w:rsidR="0074374D">
        <w:t>)</w:t>
      </w:r>
      <w:r>
        <w:t>, g</w:t>
      </w:r>
      <w:r w:rsidR="0069350E" w:rsidRPr="0069350E">
        <w:t xml:space="preserve">ender and disability disaggregated qualitative and quantitative data </w:t>
      </w:r>
      <w:r>
        <w:t>is routinely</w:t>
      </w:r>
      <w:r w:rsidR="0069350E" w:rsidRPr="0069350E">
        <w:t xml:space="preserve"> gathered by the SIIP Hub</w:t>
      </w:r>
      <w:r w:rsidR="00180CEC">
        <w:t xml:space="preserve">. SIIP </w:t>
      </w:r>
      <w:r w:rsidR="00180CEC" w:rsidRPr="00180CEC">
        <w:t>adopts a twin-track approach to promote equality for women and PWD through incorporating GEDSI mainstreaming in infrastructure projects and by designing targeted interventions to address gaps and exclusions where necessary. The</w:t>
      </w:r>
      <w:r>
        <w:t xml:space="preserve"> IMR states that the</w:t>
      </w:r>
      <w:r w:rsidR="00180CEC" w:rsidRPr="00180CEC">
        <w:t xml:space="preserve"> </w:t>
      </w:r>
      <w:r>
        <w:t>“</w:t>
      </w:r>
      <w:r w:rsidR="00180CEC" w:rsidRPr="00180CEC">
        <w:t>SIIP Hub is setting a standard for social inclusion in infrastructure, which has been well received by stakeholders including community and industry</w:t>
      </w:r>
      <w:r>
        <w:t xml:space="preserve">.” </w:t>
      </w:r>
    </w:p>
    <w:p w14:paraId="408AC8D6" w14:textId="77777777" w:rsidR="00027679" w:rsidRDefault="006C2A66" w:rsidP="00864DDD">
      <w:pPr>
        <w:pStyle w:val="ListParagraph"/>
        <w:numPr>
          <w:ilvl w:val="0"/>
          <w:numId w:val="27"/>
        </w:numPr>
      </w:pPr>
      <w:r w:rsidRPr="006C2A66">
        <w:t>The DFAT GEDSI Strategy requires that at least 80 per cent of investments, regardless of their objectives, will effectively address gender issues in their implementation. Overall, SIIP is on track to achieve this by the end of the first phase, with gender designs being incorporated in the Naha BUHC and provincial markets designs, in addition to both being gender-targeted interventions.</w:t>
      </w:r>
    </w:p>
    <w:p w14:paraId="64EEC9B5" w14:textId="77777777" w:rsidR="00464F6D" w:rsidRDefault="0093731D" w:rsidP="00864DDD">
      <w:pPr>
        <w:pStyle w:val="ListParagraph"/>
        <w:numPr>
          <w:ilvl w:val="0"/>
          <w:numId w:val="27"/>
        </w:numPr>
      </w:pPr>
      <w:r w:rsidRPr="0093731D">
        <w:t xml:space="preserve">The GEDSI Coordinator has </w:t>
      </w:r>
      <w:r w:rsidR="00027679">
        <w:t xml:space="preserve">participated </w:t>
      </w:r>
      <w:r w:rsidRPr="0093731D">
        <w:t>in scoping visits and led consultations with women, community leaders and PWDs as well as Community-Based Rehabilitation representatives in each province visited, bringing the cumulative total to over 200 since 2021.</w:t>
      </w:r>
    </w:p>
    <w:p w14:paraId="253A9FA5" w14:textId="77777777" w:rsidR="00464F6D" w:rsidRDefault="0093731D" w:rsidP="00864DDD">
      <w:pPr>
        <w:pStyle w:val="ListParagraph"/>
        <w:numPr>
          <w:ilvl w:val="0"/>
          <w:numId w:val="27"/>
        </w:numPr>
      </w:pPr>
      <w:r w:rsidRPr="0093731D">
        <w:t>GEDSI capability development has made some progress within the local construction industry</w:t>
      </w:r>
      <w:r w:rsidR="00464F6D">
        <w:t>, and</w:t>
      </w:r>
      <w:r>
        <w:t xml:space="preserve"> </w:t>
      </w:r>
      <w:r w:rsidR="00464F6D">
        <w:t xml:space="preserve">there is </w:t>
      </w:r>
      <w:r>
        <w:t xml:space="preserve">evidence of change following workforce series on inclusive infrastructure. </w:t>
      </w:r>
    </w:p>
    <w:p w14:paraId="2C5571B8" w14:textId="199C445F" w:rsidR="00CA5444" w:rsidRDefault="00464F6D" w:rsidP="00864DDD">
      <w:pPr>
        <w:pStyle w:val="ListParagraph"/>
        <w:numPr>
          <w:ilvl w:val="0"/>
          <w:numId w:val="27"/>
        </w:numPr>
      </w:pPr>
      <w:r>
        <w:t>SIIP Hub undertook a</w:t>
      </w:r>
      <w:r w:rsidR="00CA5444" w:rsidRPr="00CA5444">
        <w:t xml:space="preserve"> research study with the Disabled People’s Association Solomon Islands (DPASI)</w:t>
      </w:r>
      <w:r>
        <w:t xml:space="preserve">, and the </w:t>
      </w:r>
      <w:r w:rsidR="00DC2E13" w:rsidRPr="00DC2E13">
        <w:t>Hub conducted an internal disability inclusion survey to understand needs within its workforce, followed by accessibility training</w:t>
      </w:r>
      <w:r>
        <w:t>.</w:t>
      </w:r>
    </w:p>
    <w:p w14:paraId="64C1F828" w14:textId="4EAEED2E" w:rsidR="001F7119" w:rsidRPr="00B66B6B" w:rsidRDefault="00C945F8" w:rsidP="009D70F2">
      <w:r w:rsidRPr="00464F6D">
        <w:rPr>
          <w:rStyle w:val="HeadlinefindingChar"/>
        </w:rPr>
        <w:t>There is good evidence that climate change and disaster resilience (CCDR) is mainstreamed in SIIP Hub projects</w:t>
      </w:r>
      <w:r w:rsidRPr="00C945F8">
        <w:t xml:space="preserve">. Scoping and risk screening were completed for all infrastructure activities during 2023 at the planning, </w:t>
      </w:r>
      <w:r w:rsidR="00BE0ECE" w:rsidRPr="00C945F8">
        <w:t>design,</w:t>
      </w:r>
      <w:r w:rsidRPr="00C945F8">
        <w:t xml:space="preserve"> and tendering stages</w:t>
      </w:r>
      <w:r w:rsidR="00464F6D">
        <w:t>, and a</w:t>
      </w:r>
      <w:r w:rsidR="001142BF" w:rsidRPr="001142BF">
        <w:t>ll non-SIIP Hub projects respond to CCDR</w:t>
      </w:r>
      <w:r w:rsidR="00464F6D">
        <w:t xml:space="preserve">. </w:t>
      </w:r>
      <w:r w:rsidR="00DC2E13" w:rsidRPr="00DC2E13">
        <w:t xml:space="preserve">SIIP’s CCDR Strategy is aligned to strategic objectives of both Solomon Islands and Australian Governments; the latter highlighting an increased focus on CCDR in Australia’s 2023 </w:t>
      </w:r>
      <w:r w:rsidR="00464F6D">
        <w:t xml:space="preserve">International Development Policy. </w:t>
      </w:r>
      <w:r w:rsidR="001F7119" w:rsidRPr="001F7119">
        <w:t xml:space="preserve">The </w:t>
      </w:r>
      <w:r w:rsidR="00070016">
        <w:t>2022</w:t>
      </w:r>
      <w:r w:rsidR="001F7119" w:rsidRPr="001F7119">
        <w:t xml:space="preserve"> National Building Code was underpinned by data on Solomon Islands’ climate and </w:t>
      </w:r>
      <w:r w:rsidR="001F7119" w:rsidRPr="001F7119">
        <w:lastRenderedPageBreak/>
        <w:t xml:space="preserve">disaster risk </w:t>
      </w:r>
      <w:r w:rsidR="00D8460A" w:rsidRPr="001F7119">
        <w:t>and</w:t>
      </w:r>
      <w:r w:rsidR="001F7119" w:rsidRPr="001F7119">
        <w:t xml:space="preserve"> once adopted, will require all infrastructure built in Solomon Islands to be CCDR compliant.</w:t>
      </w:r>
    </w:p>
    <w:p w14:paraId="4BF76A7E" w14:textId="10D89093" w:rsidR="00627CE1" w:rsidRPr="00B66B6B" w:rsidRDefault="00627CE1" w:rsidP="001F62E1">
      <w:pPr>
        <w:pStyle w:val="Heading2"/>
      </w:pPr>
      <w:bookmarkStart w:id="53" w:name="_Toc165140742"/>
      <w:r w:rsidRPr="00B66B6B">
        <w:t>Efficiency</w:t>
      </w:r>
      <w:bookmarkEnd w:id="53"/>
    </w:p>
    <w:p w14:paraId="3ABB58B6" w14:textId="634AD643" w:rsidR="00B638DB" w:rsidRPr="00B66B6B" w:rsidRDefault="00B13F6A" w:rsidP="009D70F2">
      <w:r w:rsidRPr="00B66B6B">
        <w:t xml:space="preserve">This set of evaluation questions seeks to answer the question: </w:t>
      </w:r>
      <w:r w:rsidR="00B638DB" w:rsidRPr="00B66B6B">
        <w:t>How well are resources being used?</w:t>
      </w:r>
    </w:p>
    <w:p w14:paraId="23C210FA" w14:textId="60E69907" w:rsidR="001F62E1" w:rsidRPr="00B66B6B" w:rsidRDefault="001F62E1" w:rsidP="001F62E1">
      <w:pPr>
        <w:pStyle w:val="Heading3"/>
      </w:pPr>
      <w:bookmarkStart w:id="54" w:name="_Ref165144387"/>
      <w:r w:rsidRPr="00B66B6B">
        <w:t>EQ12. To what extent are resources being allocated efficiently across the program to achieve the EOPOs?</w:t>
      </w:r>
      <w:bookmarkEnd w:id="54"/>
    </w:p>
    <w:p w14:paraId="11544393" w14:textId="214B7172" w:rsidR="000A5103" w:rsidRPr="00B66B6B" w:rsidRDefault="00E752C3" w:rsidP="00AF0F4C">
      <w:r w:rsidRPr="00B66B6B">
        <w:rPr>
          <w:rStyle w:val="HeadlinefindingChar"/>
        </w:rPr>
        <w:t>The review found that resources are not being allocated as efficiently as possible across the program for the delivery of the EOPOs</w:t>
      </w:r>
      <w:r w:rsidRPr="00B66B6B">
        <w:t>. For example, SIIP has faced d</w:t>
      </w:r>
      <w:r w:rsidR="00AF0F4C" w:rsidRPr="00B66B6B">
        <w:t>elays and cost overruns to current projects</w:t>
      </w:r>
      <w:r w:rsidRPr="00B66B6B">
        <w:t>, which are</w:t>
      </w:r>
      <w:r w:rsidR="00AF0F4C" w:rsidRPr="00B66B6B">
        <w:t xml:space="preserve"> causing significant short-term disbursement pressures (although </w:t>
      </w:r>
      <w:r w:rsidR="00501463">
        <w:t>some</w:t>
      </w:r>
      <w:r w:rsidR="00AF0F4C" w:rsidRPr="00B66B6B">
        <w:t xml:space="preserve"> disbursements currently planned for FY24-25</w:t>
      </w:r>
      <w:r w:rsidR="00F9742E">
        <w:t xml:space="preserve"> </w:t>
      </w:r>
      <w:r w:rsidR="00501463">
        <w:t>may</w:t>
      </w:r>
      <w:r w:rsidR="00AF0F4C" w:rsidRPr="00B66B6B">
        <w:t xml:space="preserve"> slip to FY25-26)</w:t>
      </w:r>
      <w:r w:rsidR="00BC4BE7" w:rsidRPr="00B66B6B">
        <w:t xml:space="preserve">. As noted in the Effectiveness section, </w:t>
      </w:r>
      <w:r w:rsidR="00CC0DA5">
        <w:t xml:space="preserve">while cost overruns and delays are a feature of most large infrastructure projects globally, </w:t>
      </w:r>
      <w:r w:rsidR="00BC4BE7" w:rsidRPr="00B66B6B">
        <w:t xml:space="preserve">half of all SIIP-Hub led projects have </w:t>
      </w:r>
      <w:r w:rsidR="001C09D5" w:rsidRPr="00B66B6B">
        <w:t>increased their budgets</w:t>
      </w:r>
      <w:r w:rsidR="000A5103" w:rsidRPr="00B66B6B">
        <w:t xml:space="preserve">. </w:t>
      </w:r>
    </w:p>
    <w:p w14:paraId="2CDE05FF" w14:textId="6B1D6327" w:rsidR="00B93510" w:rsidRDefault="000A5103" w:rsidP="00AF0F4C">
      <w:r w:rsidRPr="00B66B6B">
        <w:rPr>
          <w:rStyle w:val="HeadlinefindingChar"/>
        </w:rPr>
        <w:t>T</w:t>
      </w:r>
      <w:r w:rsidR="00E71335" w:rsidRPr="00B66B6B">
        <w:rPr>
          <w:rStyle w:val="HeadlinefindingChar"/>
        </w:rPr>
        <w:t xml:space="preserve">he </w:t>
      </w:r>
      <w:r w:rsidR="00B66B6B" w:rsidRPr="00B66B6B">
        <w:rPr>
          <w:rStyle w:val="HeadlinefindingChar"/>
        </w:rPr>
        <w:t>current</w:t>
      </w:r>
      <w:r w:rsidR="00E71335" w:rsidRPr="00B66B6B">
        <w:rPr>
          <w:rStyle w:val="HeadlinefindingChar"/>
        </w:rPr>
        <w:t xml:space="preserve"> financial situation is not sustainable</w:t>
      </w:r>
      <w:r w:rsidR="00CC0DA5">
        <w:rPr>
          <w:rStyle w:val="HeadlinefindingChar"/>
        </w:rPr>
        <w:t xml:space="preserve">.  </w:t>
      </w:r>
      <w:r w:rsidR="00CC0DA5" w:rsidRPr="00CC0DA5">
        <w:rPr>
          <w:rStyle w:val="HeadlinefindingChar"/>
          <w:b w:val="0"/>
          <w:bCs w:val="0"/>
        </w:rPr>
        <w:t xml:space="preserve">It </w:t>
      </w:r>
      <w:r w:rsidR="00CC0DA5">
        <w:rPr>
          <w:rStyle w:val="HeadlinefindingChar"/>
          <w:b w:val="0"/>
          <w:bCs w:val="0"/>
        </w:rPr>
        <w:t>is critical that SIIP is able to accelerate progress over the remainder of 2024 on key construction projects, especially markets and the Naha clinic</w:t>
      </w:r>
      <w:r w:rsidR="00E71335" w:rsidRPr="00CC0DA5">
        <w:rPr>
          <w:bCs/>
        </w:rPr>
        <w:t>,</w:t>
      </w:r>
      <w:r w:rsidR="00E71335" w:rsidRPr="00B66B6B">
        <w:t xml:space="preserve"> </w:t>
      </w:r>
      <w:r w:rsidR="00CC0DA5">
        <w:t xml:space="preserve">to reverse the current situation where </w:t>
      </w:r>
      <w:r w:rsidR="00E71335" w:rsidRPr="00B66B6B">
        <w:t xml:space="preserve">SIIP Hub operational costs </w:t>
      </w:r>
      <w:r w:rsidR="00CC0DA5">
        <w:t xml:space="preserve"> exceed</w:t>
      </w:r>
      <w:r w:rsidR="00E71335" w:rsidRPr="00B66B6B">
        <w:t xml:space="preserve"> expenditure on SIIP managed projects. While this can be explained by the personnel costs involved with delivery of EOPO1 initiatives, the program will need to show it is spending on infrastructure </w:t>
      </w:r>
      <w:r w:rsidR="00F80572" w:rsidRPr="00B66B6B">
        <w:t>for the remaining portion of the program’s life. The s</w:t>
      </w:r>
      <w:r w:rsidR="0048475F" w:rsidRPr="00B66B6B">
        <w:t xml:space="preserve">taffing </w:t>
      </w:r>
      <w:r w:rsidR="00F80572" w:rsidRPr="00B66B6B">
        <w:t xml:space="preserve">of the SIIP Hub is particularly </w:t>
      </w:r>
      <w:r w:rsidR="0048475F" w:rsidRPr="00B66B6B">
        <w:t>international/expat</w:t>
      </w:r>
      <w:r w:rsidR="00F80572" w:rsidRPr="00B66B6B">
        <w:t xml:space="preserve"> heavy, which has cost implications</w:t>
      </w:r>
      <w:r w:rsidR="00FB4BFC">
        <w:t xml:space="preserve"> although can be necessary for specialist skills</w:t>
      </w:r>
      <w:r w:rsidR="00F80572" w:rsidRPr="00B66B6B">
        <w:t xml:space="preserve">. </w:t>
      </w:r>
      <w:r w:rsidR="005329EE" w:rsidRPr="00B66B6B">
        <w:t xml:space="preserve">Recruitment has been a key challenge facing the SIIP Hub, as noted in the 2023 Annual Report, and </w:t>
      </w:r>
      <w:r w:rsidR="00070016">
        <w:t xml:space="preserve">the </w:t>
      </w:r>
      <w:r w:rsidR="00542C42" w:rsidRPr="00B66B6B">
        <w:t xml:space="preserve">SIIP Hub has made a number of suggestions to address this challenge, through a combination of remote working arrangements, </w:t>
      </w:r>
      <w:r w:rsidR="00006352" w:rsidRPr="00B66B6B">
        <w:t xml:space="preserve">prioritising recruiting </w:t>
      </w:r>
      <w:r w:rsidR="00501463">
        <w:t>Solomon Islands</w:t>
      </w:r>
      <w:r w:rsidR="00006352" w:rsidRPr="00B66B6B">
        <w:t xml:space="preserve"> nationals, and those internationals already working in country to reduce costs. </w:t>
      </w:r>
    </w:p>
    <w:p w14:paraId="300366C0" w14:textId="5DE7B122" w:rsidR="00967FD9" w:rsidRPr="00B66B6B" w:rsidRDefault="00967FD9" w:rsidP="00AF0F4C">
      <w:r w:rsidRPr="00B66B6B">
        <w:rPr>
          <w:rStyle w:val="HeadlinefindingChar"/>
        </w:rPr>
        <w:t xml:space="preserve">The review found that </w:t>
      </w:r>
      <w:r w:rsidR="00385F42" w:rsidRPr="00B66B6B">
        <w:rPr>
          <w:rStyle w:val="HeadlinefindingChar"/>
        </w:rPr>
        <w:t>in some cases the expectations of</w:t>
      </w:r>
      <w:r w:rsidR="008A69E6" w:rsidRPr="008A69E6">
        <w:t xml:space="preserve"> </w:t>
      </w:r>
      <w:r w:rsidR="008A69E6" w:rsidRPr="008A69E6">
        <w:rPr>
          <w:rStyle w:val="HeadlinefindingChar"/>
        </w:rPr>
        <w:t xml:space="preserve">DFAT </w:t>
      </w:r>
      <w:r w:rsidR="00385F42" w:rsidRPr="00B66B6B">
        <w:rPr>
          <w:rStyle w:val="HeadlinefindingChar"/>
        </w:rPr>
        <w:t>have been unrealistic with regards to the time required and costs associated with delivering smaller contracts</w:t>
      </w:r>
      <w:r w:rsidR="00980004" w:rsidRPr="00B66B6B">
        <w:t>. One key informant summarised this clearly: “It takes the same amount of effort to build bus shelters as other larger projects for the people of Solomon Islands</w:t>
      </w:r>
      <w:r w:rsidR="009F3EB1" w:rsidRPr="00B66B6B">
        <w:t>…</w:t>
      </w:r>
      <w:r w:rsidR="00980004" w:rsidRPr="00B66B6B">
        <w:t xml:space="preserve"> and </w:t>
      </w:r>
      <w:r w:rsidR="002D3E73" w:rsidRPr="00B66B6B">
        <w:t>this speaks to a lack of value for money”</w:t>
      </w:r>
      <w:r w:rsidR="00E47979" w:rsidRPr="00B66B6B">
        <w:t xml:space="preserve"> (KII, MTR of SIIP).</w:t>
      </w:r>
      <w:r w:rsidR="001B4761" w:rsidRPr="00B66B6B">
        <w:t xml:space="preserve"> </w:t>
      </w:r>
      <w:r w:rsidR="009F7C8C">
        <w:t xml:space="preserve">This point is relevant in </w:t>
      </w:r>
      <w:r w:rsidR="00DE63B1">
        <w:t xml:space="preserve">approaches to value for money, particular in relation to a minimum value of projects to achieve best value for money. </w:t>
      </w:r>
      <w:r w:rsidR="00D278AB" w:rsidRPr="00B66B6B">
        <w:t xml:space="preserve">As noted in the </w:t>
      </w:r>
      <w:r w:rsidR="009F3EB1" w:rsidRPr="00B66B6B">
        <w:t xml:space="preserve">Emerging Priorities </w:t>
      </w:r>
      <w:r w:rsidR="00D278AB" w:rsidRPr="00B66B6B">
        <w:t xml:space="preserve">Aide Memoire </w:t>
      </w:r>
      <w:r w:rsidR="009F3EB1" w:rsidRPr="00B66B6B">
        <w:t xml:space="preserve">paper </w:t>
      </w:r>
      <w:r w:rsidR="00D278AB" w:rsidRPr="00B66B6B">
        <w:t xml:space="preserve">prepared by </w:t>
      </w:r>
      <w:r w:rsidR="009F3EB1" w:rsidRPr="00B66B6B">
        <w:t xml:space="preserve">an </w:t>
      </w:r>
      <w:r w:rsidR="00817598" w:rsidRPr="00B66B6B">
        <w:t xml:space="preserve">external </w:t>
      </w:r>
      <w:r w:rsidR="00CE30F7" w:rsidRPr="00B66B6B">
        <w:t>advis</w:t>
      </w:r>
      <w:r w:rsidR="00CE30F7">
        <w:t>e</w:t>
      </w:r>
      <w:r w:rsidR="00CE30F7" w:rsidRPr="00B66B6B">
        <w:t>r</w:t>
      </w:r>
      <w:r w:rsidR="00325315" w:rsidRPr="00B66B6B">
        <w:t xml:space="preserve">: “A way forward may be to ask DT Global to develop a simple </w:t>
      </w:r>
      <w:r w:rsidR="00EE539D">
        <w:t>Value for Money (</w:t>
      </w:r>
      <w:r w:rsidR="00325315" w:rsidRPr="00B66B6B">
        <w:t>VfM</w:t>
      </w:r>
      <w:r w:rsidR="00EE539D">
        <w:t>)</w:t>
      </w:r>
      <w:r w:rsidR="00325315" w:rsidRPr="00B66B6B">
        <w:t xml:space="preserve"> Framework using DFAT’s existing VfM criteria to inform their decision-making. This could take into consideration a range of delivery issues including human resource levels and costs, appropriate standards and the risk of ‘over-engineering’ infrastructure, local content, and other matters. Developing such a framework for the ‘portfolio’ of investments may drive down costs and improve productivity thus allowing DFAT to deliver more infrastructure with the same budget.”</w:t>
      </w:r>
      <w:r w:rsidR="0049285E" w:rsidRPr="00B66B6B">
        <w:rPr>
          <w:rStyle w:val="FootnoteReference"/>
        </w:rPr>
        <w:footnoteReference w:id="11"/>
      </w:r>
      <w:r w:rsidR="009F3EB1" w:rsidRPr="00B66B6B">
        <w:t xml:space="preserve"> </w:t>
      </w:r>
    </w:p>
    <w:p w14:paraId="67120DED" w14:textId="7A134B46" w:rsidR="001F62E1" w:rsidRPr="00B66B6B" w:rsidRDefault="001F62E1" w:rsidP="001F62E1">
      <w:pPr>
        <w:pStyle w:val="Heading3"/>
      </w:pPr>
      <w:r w:rsidRPr="00B66B6B">
        <w:t>EQ 13. Are Program outcomes being delivered in a timely manner, and what options might further increase delivery speed? What impediments are there to deliver program outcomes in a timely manner?</w:t>
      </w:r>
    </w:p>
    <w:p w14:paraId="480BF243" w14:textId="362EA0AA" w:rsidR="000A03C0" w:rsidRPr="00B66B6B" w:rsidRDefault="000A5103" w:rsidP="00C64146">
      <w:r w:rsidRPr="00B66B6B">
        <w:rPr>
          <w:rStyle w:val="HeadlinefindingChar"/>
        </w:rPr>
        <w:t>Timeliness of delivery</w:t>
      </w:r>
      <w:r w:rsidR="002838D8" w:rsidRPr="00B66B6B">
        <w:rPr>
          <w:rStyle w:val="HeadlinefindingChar"/>
        </w:rPr>
        <w:t>,</w:t>
      </w:r>
      <w:r w:rsidRPr="00B66B6B">
        <w:rPr>
          <w:rStyle w:val="HeadlinefindingChar"/>
        </w:rPr>
        <w:t xml:space="preserve"> particularly </w:t>
      </w:r>
      <w:r w:rsidR="002838D8" w:rsidRPr="00B66B6B">
        <w:rPr>
          <w:rStyle w:val="HeadlinefindingChar"/>
        </w:rPr>
        <w:t xml:space="preserve">in the delays in progressing </w:t>
      </w:r>
      <w:r w:rsidRPr="00B66B6B">
        <w:rPr>
          <w:rStyle w:val="HeadlinefindingChar"/>
        </w:rPr>
        <w:t>EOPO2</w:t>
      </w:r>
      <w:r w:rsidR="002838D8" w:rsidRPr="00B66B6B">
        <w:rPr>
          <w:rStyle w:val="HeadlinefindingChar"/>
        </w:rPr>
        <w:t>,</w:t>
      </w:r>
      <w:r w:rsidRPr="00B66B6B">
        <w:rPr>
          <w:rStyle w:val="HeadlinefindingChar"/>
        </w:rPr>
        <w:t xml:space="preserve"> has been found to </w:t>
      </w:r>
      <w:r w:rsidR="00CE30F7">
        <w:rPr>
          <w:rStyle w:val="HeadlinefindingChar"/>
        </w:rPr>
        <w:t xml:space="preserve">be </w:t>
      </w:r>
      <w:r w:rsidR="002838D8" w:rsidRPr="00B66B6B">
        <w:rPr>
          <w:rStyle w:val="HeadlinefindingChar"/>
        </w:rPr>
        <w:t>a</w:t>
      </w:r>
      <w:r w:rsidRPr="00B66B6B">
        <w:rPr>
          <w:rStyle w:val="HeadlinefindingChar"/>
        </w:rPr>
        <w:t xml:space="preserve"> key risk to the program</w:t>
      </w:r>
      <w:r w:rsidR="002838D8" w:rsidRPr="00B66B6B">
        <w:t xml:space="preserve">. </w:t>
      </w:r>
      <w:r w:rsidR="001E789A">
        <w:t xml:space="preserve">As discussed in </w:t>
      </w:r>
      <w:r w:rsidR="00CC0DA5">
        <w:t>the response to EQ3 on Effectiveness (S</w:t>
      </w:r>
      <w:r w:rsidR="001E789A">
        <w:t>ection 2.3.1</w:t>
      </w:r>
      <w:r w:rsidR="00CC0DA5">
        <w:t>)</w:t>
      </w:r>
      <w:r w:rsidR="001E789A">
        <w:t>, the NZ led provincial airports program has been a major success</w:t>
      </w:r>
      <w:r w:rsidR="000867F2">
        <w:t xml:space="preserve">.  On the other hand, </w:t>
      </w:r>
      <w:r w:rsidR="001E789A">
        <w:t xml:space="preserve">the </w:t>
      </w:r>
      <w:r w:rsidR="000A03C0" w:rsidRPr="00B66B6B">
        <w:t xml:space="preserve">SIIP </w:t>
      </w:r>
      <w:r w:rsidR="002838D8" w:rsidRPr="00B66B6B">
        <w:t>H</w:t>
      </w:r>
      <w:r w:rsidR="000A03C0" w:rsidRPr="00B66B6B">
        <w:t>ub has been slow to demonstrate it can deliver infrastructure projects</w:t>
      </w:r>
      <w:r w:rsidR="000867F2">
        <w:t xml:space="preserve">, due to a range of both exogenous and internal </w:t>
      </w:r>
      <w:r w:rsidR="000867F2">
        <w:lastRenderedPageBreak/>
        <w:t>factors</w:t>
      </w:r>
      <w:r w:rsidR="001E789A">
        <w:t>. T</w:t>
      </w:r>
      <w:r w:rsidR="002838D8" w:rsidRPr="00B66B6B">
        <w:t>his is leading to reputational risk for both the program and confidence in Australia as a</w:t>
      </w:r>
      <w:r w:rsidR="006934B5">
        <w:t xml:space="preserve"> first choice</w:t>
      </w:r>
      <w:r w:rsidR="002838D8" w:rsidRPr="00B66B6B">
        <w:t xml:space="preserve"> </w:t>
      </w:r>
      <w:r w:rsidR="008E5DA5">
        <w:t>infrastructure</w:t>
      </w:r>
      <w:r w:rsidR="002838D8" w:rsidRPr="00B66B6B">
        <w:t xml:space="preserve"> development partner</w:t>
      </w:r>
      <w:r w:rsidR="006934B5">
        <w:t xml:space="preserve"> of SIG</w:t>
      </w:r>
      <w:r w:rsidR="002838D8" w:rsidRPr="00B66B6B">
        <w:t xml:space="preserve">. </w:t>
      </w:r>
      <w:r w:rsidR="00CC0DA5">
        <w:t>D</w:t>
      </w:r>
      <w:r w:rsidR="000A03C0" w:rsidRPr="00B66B6B">
        <w:t>elays are increasing pressure for Australian funded infrastructure to be delivered outside of SIIP Hub structure, rather than consolidating implementation</w:t>
      </w:r>
      <w:r w:rsidR="00C64146" w:rsidRPr="00B66B6B">
        <w:t>.</w:t>
      </w:r>
      <w:r w:rsidR="00CC0DA5">
        <w:t xml:space="preserve">  </w:t>
      </w:r>
      <w:r w:rsidR="00CC0DA5" w:rsidRPr="00B66B6B">
        <w:t xml:space="preserve">The review found that </w:t>
      </w:r>
      <w:r w:rsidR="00CC0DA5">
        <w:t>that a more proportionate approach to sharing and managing risk for individual projects could potentially accelerate the design and implementation of future activities, and this is discussed in response to</w:t>
      </w:r>
      <w:r w:rsidR="00CC0DA5" w:rsidRPr="00B66B6B">
        <w:t xml:space="preserve"> </w:t>
      </w:r>
      <w:r w:rsidR="00CC0DA5" w:rsidRPr="000A78FD">
        <w:t>EQ10</w:t>
      </w:r>
      <w:r w:rsidR="00CC0DA5">
        <w:t xml:space="preserve"> (Section </w:t>
      </w:r>
      <w:r w:rsidR="00CC0DA5">
        <w:fldChar w:fldCharType="begin"/>
      </w:r>
      <w:r w:rsidR="00CC0DA5">
        <w:instrText xml:space="preserve"> REF _Ref165123748 \w \h </w:instrText>
      </w:r>
      <w:r w:rsidR="00CC0DA5">
        <w:fldChar w:fldCharType="separate"/>
      </w:r>
      <w:r w:rsidR="00DC1E3F">
        <w:t>2.3.4</w:t>
      </w:r>
      <w:r w:rsidR="00CC0DA5">
        <w:fldChar w:fldCharType="end"/>
      </w:r>
      <w:r w:rsidR="00CC0DA5">
        <w:t>).</w:t>
      </w:r>
    </w:p>
    <w:p w14:paraId="547D10D8" w14:textId="6F5A9FB3" w:rsidR="00CC0DA5" w:rsidRPr="00B66B6B" w:rsidRDefault="00C64146" w:rsidP="00CC0DA5">
      <w:r w:rsidRPr="00B66B6B">
        <w:rPr>
          <w:rStyle w:val="HeadlinefindingChar"/>
        </w:rPr>
        <w:t>There is s</w:t>
      </w:r>
      <w:r w:rsidR="00F95D20" w:rsidRPr="00B66B6B">
        <w:rPr>
          <w:rStyle w:val="HeadlinefindingChar"/>
        </w:rPr>
        <w:t xml:space="preserve">trategic competition </w:t>
      </w:r>
      <w:r w:rsidR="000A78FD">
        <w:rPr>
          <w:rStyle w:val="HeadlinefindingChar"/>
        </w:rPr>
        <w:t xml:space="preserve">in Solomon Islands, </w:t>
      </w:r>
      <w:r w:rsidR="00F95D20" w:rsidRPr="00B66B6B">
        <w:rPr>
          <w:rStyle w:val="HeadlinefindingChar"/>
        </w:rPr>
        <w:t>making delivery timeframes especially critical</w:t>
      </w:r>
      <w:r w:rsidRPr="00B66B6B">
        <w:t xml:space="preserve">, in that </w:t>
      </w:r>
      <w:r w:rsidR="009D6280">
        <w:t>other</w:t>
      </w:r>
      <w:r w:rsidRPr="00B66B6B">
        <w:t xml:space="preserve"> development </w:t>
      </w:r>
      <w:r w:rsidR="009D6280">
        <w:t>partners</w:t>
      </w:r>
      <w:r w:rsidR="008C7105" w:rsidRPr="00B66B6B">
        <w:t xml:space="preserve"> </w:t>
      </w:r>
      <w:r w:rsidRPr="00B66B6B">
        <w:t xml:space="preserve">are </w:t>
      </w:r>
      <w:r w:rsidR="008C7105" w:rsidRPr="00B66B6B">
        <w:t>able to move quickly</w:t>
      </w:r>
      <w:r w:rsidRPr="00B66B6B">
        <w:t>,</w:t>
      </w:r>
      <w:r w:rsidR="008C7105" w:rsidRPr="00B66B6B">
        <w:t xml:space="preserve"> </w:t>
      </w:r>
      <w:r w:rsidRPr="00B66B6B">
        <w:t>through the</w:t>
      </w:r>
      <w:r w:rsidR="008C7105" w:rsidRPr="00B66B6B">
        <w:t xml:space="preserve"> use of standard rather than local designs, sole source contracting, and import</w:t>
      </w:r>
      <w:r w:rsidRPr="00B66B6B">
        <w:t>ing</w:t>
      </w:r>
      <w:r w:rsidR="008C7105" w:rsidRPr="00B66B6B">
        <w:t xml:space="preserve"> significant labour and materials</w:t>
      </w:r>
      <w:r w:rsidRPr="00B66B6B">
        <w:t>. A</w:t>
      </w:r>
      <w:r w:rsidR="008C7105" w:rsidRPr="00B66B6B">
        <w:t xml:space="preserve">ustralia </w:t>
      </w:r>
      <w:r w:rsidR="000A78FD">
        <w:t>is under pressure</w:t>
      </w:r>
      <w:r w:rsidR="008C7105" w:rsidRPr="00B66B6B">
        <w:t xml:space="preserve"> to </w:t>
      </w:r>
      <w:r w:rsidRPr="00B66B6B">
        <w:t xml:space="preserve">promote its </w:t>
      </w:r>
      <w:r w:rsidR="00F72F30" w:rsidRPr="00B66B6B">
        <w:t>credibility</w:t>
      </w:r>
      <w:r w:rsidR="000A78FD">
        <w:t xml:space="preserve"> in Solomon Islands</w:t>
      </w:r>
      <w:r w:rsidR="00F72F30" w:rsidRPr="00B66B6B">
        <w:t xml:space="preserve"> </w:t>
      </w:r>
      <w:r w:rsidR="008C7105" w:rsidRPr="00B66B6B">
        <w:t>primarily on local content and qualit</w:t>
      </w:r>
      <w:r w:rsidR="00F72F30" w:rsidRPr="00B66B6B">
        <w:t xml:space="preserve">y, however evidence suggests SIIP </w:t>
      </w:r>
      <w:r w:rsidR="008C7105" w:rsidRPr="00B66B6B">
        <w:t>still needs to move as quickly as possible</w:t>
      </w:r>
      <w:r w:rsidR="00F72F30" w:rsidRPr="00B66B6B">
        <w:t>.</w:t>
      </w:r>
      <w:r w:rsidR="00ED7D7B">
        <w:t xml:space="preserve"> For example</w:t>
      </w:r>
      <w:r w:rsidR="00916EBD">
        <w:t>, as noted in the March 2023 SC meeting, “</w:t>
      </w:r>
      <w:r w:rsidR="00916EBD" w:rsidRPr="00916EBD">
        <w:t>whi</w:t>
      </w:r>
      <w:r w:rsidR="00916EBD">
        <w:t>l</w:t>
      </w:r>
      <w:r w:rsidR="00916EBD" w:rsidRPr="00916EBD">
        <w:t>st SIIP has very good projects and principles, our program is being compared to other programs. This challenge is mainly political, and we need to find the right balance between faster implementation whilst maintaining quality</w:t>
      </w:r>
      <w:r w:rsidR="00916EBD">
        <w:t>” (SIIP SC meeting minutes, Mar</w:t>
      </w:r>
      <w:r w:rsidR="00E27F1C">
        <w:t>ch</w:t>
      </w:r>
      <w:r w:rsidR="00916EBD">
        <w:t xml:space="preserve"> 2023)</w:t>
      </w:r>
      <w:r w:rsidR="00E27F1C">
        <w:t xml:space="preserve">. </w:t>
      </w:r>
      <w:r w:rsidR="00CC0DA5">
        <w:t xml:space="preserve"> </w:t>
      </w:r>
      <w:r w:rsidR="00CC0DA5" w:rsidRPr="00B66B6B">
        <w:t>The review found that SIIP has a limited remaining window of opportunity to recover SIG</w:t>
      </w:r>
      <w:r w:rsidR="00CC0DA5">
        <w:t xml:space="preserve">’s confidence in </w:t>
      </w:r>
      <w:r w:rsidR="00CC0DA5" w:rsidRPr="008A69E6">
        <w:t xml:space="preserve">DFAT </w:t>
      </w:r>
      <w:r w:rsidR="00CC0DA5">
        <w:t xml:space="preserve">as a priority infrastructure delivery partner </w:t>
      </w:r>
      <w:r w:rsidR="00CC0DA5" w:rsidRPr="00B66B6B">
        <w:t xml:space="preserve">in Solomon Islands, which is discussed in further detail in the Impact section </w:t>
      </w:r>
      <w:r w:rsidR="00CC0DA5">
        <w:t>(</w:t>
      </w:r>
      <w:r w:rsidR="00CC0DA5">
        <w:fldChar w:fldCharType="begin"/>
      </w:r>
      <w:r w:rsidR="00CC0DA5">
        <w:instrText xml:space="preserve"> REF _Ref165123822 \w \h </w:instrText>
      </w:r>
      <w:r w:rsidR="00CC0DA5">
        <w:fldChar w:fldCharType="separate"/>
      </w:r>
      <w:r w:rsidR="00DC1E3F">
        <w:t>2.5</w:t>
      </w:r>
      <w:r w:rsidR="00CC0DA5">
        <w:fldChar w:fldCharType="end"/>
      </w:r>
      <w:r w:rsidR="00CC0DA5">
        <w:t xml:space="preserve">) </w:t>
      </w:r>
      <w:r w:rsidR="00CC0DA5" w:rsidRPr="00B66B6B">
        <w:t xml:space="preserve">below.  </w:t>
      </w:r>
    </w:p>
    <w:p w14:paraId="2A37319F" w14:textId="135EF8C6" w:rsidR="00627CE1" w:rsidRPr="00B66B6B" w:rsidRDefault="001F62E1" w:rsidP="001F62E1">
      <w:pPr>
        <w:pStyle w:val="Heading3"/>
      </w:pPr>
      <w:r w:rsidRPr="00B66B6B">
        <w:t>EQ 14. How well is the Program coordinating with other Australian initiatives and major partners to deliver value for money?</w:t>
      </w:r>
    </w:p>
    <w:p w14:paraId="08458169" w14:textId="7325F9F4" w:rsidR="00B12212" w:rsidRPr="00C2550B" w:rsidRDefault="00B12212" w:rsidP="00E02126">
      <w:pPr>
        <w:rPr>
          <w:rStyle w:val="HeadlinefindingChar"/>
          <w:b w:val="0"/>
          <w:bCs w:val="0"/>
        </w:rPr>
      </w:pPr>
      <w:r>
        <w:rPr>
          <w:rStyle w:val="HeadlinefindingChar"/>
        </w:rPr>
        <w:t>SIIP has financed a range of broader initiatives by Australia and other partners, although in most cases SIIP has been the passenger rather than the driver and support has often been managed outside of the SIIP Hub</w:t>
      </w:r>
      <w:r w:rsidRPr="00C2550B">
        <w:rPr>
          <w:rStyle w:val="HeadlinefindingChar"/>
          <w:b w:val="0"/>
          <w:bCs w:val="0"/>
        </w:rPr>
        <w:t xml:space="preserve">.  </w:t>
      </w:r>
      <w:r>
        <w:rPr>
          <w:rStyle w:val="HeadlinefindingChar"/>
          <w:b w:val="0"/>
          <w:bCs w:val="0"/>
        </w:rPr>
        <w:t>SIIP cofinancing for the NZ-led provincial airfield project is the obvious example. SIIP investments around the Sasap</w:t>
      </w:r>
      <w:r w:rsidR="00C844E9">
        <w:rPr>
          <w:rStyle w:val="HeadlinefindingChar"/>
          <w:b w:val="0"/>
          <w:bCs w:val="0"/>
        </w:rPr>
        <w:t>e</w:t>
      </w:r>
      <w:r>
        <w:rPr>
          <w:rStyle w:val="HeadlinefindingChar"/>
          <w:b w:val="0"/>
          <w:bCs w:val="0"/>
        </w:rPr>
        <w:t xml:space="preserve"> shipyard in Tulagi, managed outside the Hub, were critical to leverage a private sector loan by AIFFP. The SIIP Hub is managing the design and feasibility studies for a proposed Noro port, with a view to leveraging AIFFP financing</w:t>
      </w:r>
      <w:r w:rsidR="00AD3C59">
        <w:rPr>
          <w:rStyle w:val="HeadlinefindingChar"/>
          <w:b w:val="0"/>
          <w:bCs w:val="0"/>
        </w:rPr>
        <w:t xml:space="preserve"> of construction</w:t>
      </w:r>
      <w:r>
        <w:rPr>
          <w:rStyle w:val="HeadlinefindingChar"/>
          <w:b w:val="0"/>
          <w:bCs w:val="0"/>
        </w:rPr>
        <w:t xml:space="preserve">. The SC has endorsed potential SIIP investments in Gizo water and the Fiu </w:t>
      </w:r>
      <w:r w:rsidR="00CE30F7">
        <w:rPr>
          <w:rStyle w:val="HeadlinefindingChar"/>
          <w:b w:val="0"/>
          <w:bCs w:val="0"/>
        </w:rPr>
        <w:t xml:space="preserve">River </w:t>
      </w:r>
      <w:r>
        <w:rPr>
          <w:rStyle w:val="HeadlinefindingChar"/>
          <w:b w:val="0"/>
          <w:bCs w:val="0"/>
        </w:rPr>
        <w:t xml:space="preserve">bridge, which had previously been identified by ADB and World Bank respectively as possibly activities under broader water and transport programs, although both are currently paused while the funding situation is assessed. DFAT is also considering possible SIIP funding for a new phase of </w:t>
      </w:r>
      <w:r w:rsidR="00C844E9">
        <w:rPr>
          <w:rStyle w:val="HeadlinefindingChar"/>
          <w:b w:val="0"/>
          <w:bCs w:val="0"/>
        </w:rPr>
        <w:t>the World Bank led community and urban infrastructure program.</w:t>
      </w:r>
    </w:p>
    <w:p w14:paraId="351CBE66" w14:textId="004FFA0F" w:rsidR="00B12212" w:rsidRPr="00C2550B" w:rsidRDefault="00C844E9" w:rsidP="00E02126">
      <w:pPr>
        <w:rPr>
          <w:rStyle w:val="HeadlinefindingChar"/>
          <w:b w:val="0"/>
          <w:bCs w:val="0"/>
        </w:rPr>
      </w:pPr>
      <w:r>
        <w:rPr>
          <w:rStyle w:val="HeadlinefindingChar"/>
        </w:rPr>
        <w:t>SIIP’s capacity to mobilise further investments from facilities like AIFFP, however, will depend on decisions about future SIIP priorities</w:t>
      </w:r>
      <w:r w:rsidR="00831A91">
        <w:rPr>
          <w:rStyle w:val="HeadlinefindingChar"/>
        </w:rPr>
        <w:t xml:space="preserve"> and budget limitations of AIFFP</w:t>
      </w:r>
      <w:r w:rsidR="00343FBA">
        <w:rPr>
          <w:rStyle w:val="HeadlinefindingChar"/>
        </w:rPr>
        <w:t>, as discussed further in Section 2.5.4 below</w:t>
      </w:r>
      <w:r w:rsidRPr="00C2550B">
        <w:rPr>
          <w:rStyle w:val="HeadlinefindingChar"/>
          <w:b w:val="0"/>
          <w:bCs w:val="0"/>
        </w:rPr>
        <w:t xml:space="preserve">.  </w:t>
      </w:r>
      <w:r>
        <w:rPr>
          <w:rStyle w:val="HeadlinefindingChar"/>
          <w:b w:val="0"/>
          <w:bCs w:val="0"/>
        </w:rPr>
        <w:t xml:space="preserve">Although </w:t>
      </w:r>
      <w:r w:rsidRPr="00C2550B">
        <w:rPr>
          <w:rStyle w:val="HeadlinefindingChar"/>
          <w:b w:val="0"/>
          <w:bCs w:val="0"/>
        </w:rPr>
        <w:t>AIFF</w:t>
      </w:r>
      <w:r>
        <w:rPr>
          <w:rStyle w:val="HeadlinefindingChar"/>
          <w:b w:val="0"/>
          <w:bCs w:val="0"/>
        </w:rPr>
        <w:t xml:space="preserve">P is intended to support major strategic infrastructure projects, </w:t>
      </w:r>
      <w:r w:rsidR="00D8460A">
        <w:rPr>
          <w:rStyle w:val="HeadlinefindingChar"/>
          <w:b w:val="0"/>
          <w:bCs w:val="0"/>
        </w:rPr>
        <w:t>it</w:t>
      </w:r>
      <w:r>
        <w:rPr>
          <w:rStyle w:val="HeadlinefindingChar"/>
          <w:b w:val="0"/>
          <w:bCs w:val="0"/>
        </w:rPr>
        <w:t xml:space="preserve"> is primarily a lending facility.  Across 14 eligible Pacific countries, AIFFP has a lending average capacity of almost AUD 400 million per year but grants of only AUD 125 million per annum.  Given Solomon Islands’ risk of debt distress, AIFFP currently needs to provide over 60% of all financing as grants in order to be a responsible lender and to be competitive with the terms offered by the MDBs.  With a Solomon</w:t>
      </w:r>
      <w:r w:rsidR="00FC5EDA">
        <w:rPr>
          <w:rStyle w:val="HeadlinefindingChar"/>
          <w:b w:val="0"/>
          <w:bCs w:val="0"/>
        </w:rPr>
        <w:t xml:space="preserve"> Island</w:t>
      </w:r>
      <w:r>
        <w:rPr>
          <w:rStyle w:val="HeadlinefindingChar"/>
          <w:b w:val="0"/>
          <w:bCs w:val="0"/>
        </w:rPr>
        <w:t xml:space="preserve">s portfolio and pipeline already approaching AUD 140 million (of which about AUD 80 million is expected to be grants), AIFFP’s capacity to finance further investments in Solomon Islands in the near terms will be limited </w:t>
      </w:r>
      <w:r w:rsidR="00DD02CA">
        <w:rPr>
          <w:rStyle w:val="HeadlinefindingChar"/>
          <w:b w:val="0"/>
          <w:bCs w:val="0"/>
        </w:rPr>
        <w:t xml:space="preserve">based on its existing </w:t>
      </w:r>
      <w:r w:rsidR="00AC697D">
        <w:rPr>
          <w:rStyle w:val="HeadlinefindingChar"/>
          <w:b w:val="0"/>
          <w:bCs w:val="0"/>
        </w:rPr>
        <w:t>budget</w:t>
      </w:r>
      <w:r w:rsidR="00220640">
        <w:rPr>
          <w:rStyle w:val="HeadlinefindingChar"/>
          <w:b w:val="0"/>
          <w:bCs w:val="0"/>
        </w:rPr>
        <w:t xml:space="preserve"> and without additional grant financing from within DFAT</w:t>
      </w:r>
      <w:r>
        <w:rPr>
          <w:rStyle w:val="HeadlinefindingChar"/>
          <w:b w:val="0"/>
          <w:bCs w:val="0"/>
        </w:rPr>
        <w:t>.</w:t>
      </w:r>
      <w:r w:rsidR="00AC697D">
        <w:rPr>
          <w:rStyle w:val="HeadlinefindingChar"/>
          <w:b w:val="0"/>
          <w:bCs w:val="0"/>
        </w:rPr>
        <w:t xml:space="preserve"> </w:t>
      </w:r>
      <w:r>
        <w:rPr>
          <w:rStyle w:val="HeadlinefindingChar"/>
          <w:b w:val="0"/>
          <w:bCs w:val="0"/>
        </w:rPr>
        <w:t xml:space="preserve"> </w:t>
      </w:r>
    </w:p>
    <w:p w14:paraId="4BE431AE" w14:textId="4BAA90B6" w:rsidR="006759EF" w:rsidRPr="00B66B6B" w:rsidRDefault="00627CE1" w:rsidP="00A26C46">
      <w:pPr>
        <w:pStyle w:val="Heading2"/>
      </w:pPr>
      <w:bookmarkStart w:id="55" w:name="_Ref165123822"/>
      <w:bookmarkStart w:id="56" w:name="_Toc165140743"/>
      <w:r w:rsidRPr="00B66B6B">
        <w:t>Impact</w:t>
      </w:r>
      <w:r w:rsidR="00701B0F">
        <w:t xml:space="preserve"> and Sustainability</w:t>
      </w:r>
      <w:bookmarkEnd w:id="55"/>
      <w:bookmarkEnd w:id="56"/>
    </w:p>
    <w:p w14:paraId="316FB85B" w14:textId="7D9D4C9E" w:rsidR="00701B0F" w:rsidRDefault="0069699B" w:rsidP="009D70F2">
      <w:r w:rsidRPr="00B66B6B">
        <w:t xml:space="preserve">This set of </w:t>
      </w:r>
      <w:r w:rsidR="00C90C45">
        <w:t>EQs</w:t>
      </w:r>
      <w:r w:rsidRPr="00B66B6B">
        <w:t xml:space="preserve"> seeks to answer</w:t>
      </w:r>
      <w:r w:rsidR="00701B0F">
        <w:t xml:space="preserve"> the following </w:t>
      </w:r>
      <w:r w:rsidRPr="00B66B6B">
        <w:t>question</w:t>
      </w:r>
      <w:r w:rsidR="00701B0F">
        <w:t>s</w:t>
      </w:r>
      <w:r w:rsidRPr="00B66B6B">
        <w:t xml:space="preserve">: </w:t>
      </w:r>
    </w:p>
    <w:p w14:paraId="5CFA412B" w14:textId="77777777" w:rsidR="003B1207" w:rsidRDefault="00701B0F" w:rsidP="00864DDD">
      <w:pPr>
        <w:pStyle w:val="ListParagraph"/>
        <w:numPr>
          <w:ilvl w:val="0"/>
          <w:numId w:val="24"/>
        </w:numPr>
      </w:pPr>
      <w:r>
        <w:t>W</w:t>
      </w:r>
      <w:r w:rsidR="007A5D16" w:rsidRPr="00B66B6B">
        <w:t>hat difference does the intervention make?</w:t>
      </w:r>
    </w:p>
    <w:p w14:paraId="6879C38D" w14:textId="707F8E07" w:rsidR="00701B0F" w:rsidRDefault="003B1207" w:rsidP="00864DDD">
      <w:pPr>
        <w:pStyle w:val="ListParagraph"/>
        <w:numPr>
          <w:ilvl w:val="0"/>
          <w:numId w:val="24"/>
        </w:numPr>
      </w:pPr>
      <w:r w:rsidRPr="003B1207">
        <w:t>Will the benefits last?</w:t>
      </w:r>
      <w:r w:rsidR="0024452E">
        <w:t xml:space="preserve"> </w:t>
      </w:r>
    </w:p>
    <w:p w14:paraId="601F4F35" w14:textId="17BD99FD" w:rsidR="006759EF" w:rsidRDefault="00900AAE" w:rsidP="009D70F2">
      <w:r>
        <w:lastRenderedPageBreak/>
        <w:t xml:space="preserve">The findings </w:t>
      </w:r>
      <w:r w:rsidR="007E06AE">
        <w:t xml:space="preserve">in response </w:t>
      </w:r>
      <w:r>
        <w:t xml:space="preserve">to the </w:t>
      </w:r>
      <w:r w:rsidR="00C14218">
        <w:t>four impact and sustainability</w:t>
      </w:r>
      <w:r>
        <w:t xml:space="preserve"> EQs have been bundled together, given the strategic nature of the </w:t>
      </w:r>
      <w:r w:rsidR="007E06AE">
        <w:t>issues discussed</w:t>
      </w:r>
      <w:r w:rsidR="00736DDC">
        <w:t>,</w:t>
      </w:r>
      <w:r w:rsidR="007E06AE">
        <w:t xml:space="preserve"> how they </w:t>
      </w:r>
      <w:r w:rsidR="003B1207">
        <w:t>relate</w:t>
      </w:r>
      <w:r w:rsidR="007E06AE">
        <w:t xml:space="preserve"> to delivery of both EOPOs and the overarching goal</w:t>
      </w:r>
      <w:r w:rsidR="00C14218">
        <w:t>, and their longevity beyond the life of SIIP</w:t>
      </w:r>
      <w:r w:rsidR="007E06AE">
        <w:t xml:space="preserve">. </w:t>
      </w:r>
      <w:r w:rsidR="003B1207">
        <w:t xml:space="preserve">The EQs are noted here </w:t>
      </w:r>
      <w:r w:rsidR="00047638">
        <w:t xml:space="preserve">in </w:t>
      </w:r>
      <w:r w:rsidR="00047638">
        <w:fldChar w:fldCharType="begin"/>
      </w:r>
      <w:r w:rsidR="00047638">
        <w:instrText xml:space="preserve"> REF _Ref165125927 \h </w:instrText>
      </w:r>
      <w:r w:rsidR="00047638">
        <w:fldChar w:fldCharType="separate"/>
      </w:r>
      <w:r w:rsidR="00DC1E3F">
        <w:t xml:space="preserve">Figure </w:t>
      </w:r>
      <w:r w:rsidR="00DC1E3F">
        <w:rPr>
          <w:noProof/>
        </w:rPr>
        <w:t>5</w:t>
      </w:r>
      <w:r w:rsidR="00047638">
        <w:fldChar w:fldCharType="end"/>
      </w:r>
      <w:r w:rsidR="00047638">
        <w:t xml:space="preserve">, </w:t>
      </w:r>
      <w:r w:rsidR="003B1207">
        <w:t xml:space="preserve">and the </w:t>
      </w:r>
      <w:r w:rsidR="00736DDC">
        <w:t>subheadings</w:t>
      </w:r>
      <w:r w:rsidR="00C327A8">
        <w:t xml:space="preserve"> in this section relate to the findings and options following analysis of the evidence. </w:t>
      </w:r>
    </w:p>
    <w:tbl>
      <w:tblPr>
        <w:tblStyle w:val="GridTable4-Accent1"/>
        <w:tblW w:w="0" w:type="auto"/>
        <w:tblLook w:val="04A0" w:firstRow="1" w:lastRow="0" w:firstColumn="1" w:lastColumn="0" w:noHBand="0" w:noVBand="1"/>
      </w:tblPr>
      <w:tblGrid>
        <w:gridCol w:w="1696"/>
        <w:gridCol w:w="7314"/>
      </w:tblGrid>
      <w:tr w:rsidR="005B5A5A" w14:paraId="3746A5C3" w14:textId="77777777" w:rsidTr="00047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CC22829" w14:textId="218A8A0D" w:rsidR="005B5A5A" w:rsidRDefault="005B5A5A" w:rsidP="005B5A5A">
            <w:pPr>
              <w:pStyle w:val="TableText"/>
            </w:pPr>
            <w:r>
              <w:t>Evaluation Criteria</w:t>
            </w:r>
          </w:p>
        </w:tc>
        <w:tc>
          <w:tcPr>
            <w:tcW w:w="7314" w:type="dxa"/>
          </w:tcPr>
          <w:p w14:paraId="4F8B8A54" w14:textId="494EE8FA" w:rsidR="005B5A5A" w:rsidRDefault="005B5A5A" w:rsidP="005B5A5A">
            <w:pPr>
              <w:pStyle w:val="TableText"/>
              <w:cnfStyle w:val="100000000000" w:firstRow="1" w:lastRow="0" w:firstColumn="0" w:lastColumn="0" w:oddVBand="0" w:evenVBand="0" w:oddHBand="0" w:evenHBand="0" w:firstRowFirstColumn="0" w:firstRowLastColumn="0" w:lastRowFirstColumn="0" w:lastRowLastColumn="0"/>
            </w:pPr>
            <w:r>
              <w:t>Evaluation Questions</w:t>
            </w:r>
          </w:p>
        </w:tc>
      </w:tr>
      <w:tr w:rsidR="005B5A5A" w14:paraId="7E068F18" w14:textId="77777777" w:rsidTr="00047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96BA0B0" w14:textId="734C89F8" w:rsidR="005B5A5A" w:rsidRDefault="005B5A5A" w:rsidP="005B5A5A">
            <w:pPr>
              <w:pStyle w:val="TableText"/>
            </w:pPr>
            <w:r>
              <w:t xml:space="preserve">Impact </w:t>
            </w:r>
          </w:p>
        </w:tc>
        <w:tc>
          <w:tcPr>
            <w:tcW w:w="7314" w:type="dxa"/>
          </w:tcPr>
          <w:p w14:paraId="35CFCCE8" w14:textId="77777777" w:rsidR="005B5A5A" w:rsidRDefault="005B5A5A" w:rsidP="005B5A5A">
            <w:pPr>
              <w:pStyle w:val="TableText"/>
              <w:cnfStyle w:val="000000100000" w:firstRow="0" w:lastRow="0" w:firstColumn="0" w:lastColumn="0" w:oddVBand="0" w:evenVBand="0" w:oddHBand="1" w:evenHBand="0" w:firstRowFirstColumn="0" w:firstRowLastColumn="0" w:lastRowFirstColumn="0" w:lastRowLastColumn="0"/>
            </w:pPr>
            <w:r w:rsidRPr="00EE539D">
              <w:rPr>
                <w:b/>
                <w:bCs/>
              </w:rPr>
              <w:t>EQ15</w:t>
            </w:r>
            <w:r>
              <w:t>. To what extent is the Program on track to contribute to the delivery of high quality, accessible and resilience economic infrastructure? (EOPOs)</w:t>
            </w:r>
          </w:p>
          <w:p w14:paraId="010027E1" w14:textId="4D195BC9" w:rsidR="005B5A5A" w:rsidRDefault="005B5A5A" w:rsidP="005B5A5A">
            <w:pPr>
              <w:pStyle w:val="TableText"/>
              <w:cnfStyle w:val="000000100000" w:firstRow="0" w:lastRow="0" w:firstColumn="0" w:lastColumn="0" w:oddVBand="0" w:evenVBand="0" w:oddHBand="1" w:evenHBand="0" w:firstRowFirstColumn="0" w:firstRowLastColumn="0" w:lastRowFirstColumn="0" w:lastRowLastColumn="0"/>
            </w:pPr>
            <w:r w:rsidRPr="00EE539D">
              <w:rPr>
                <w:b/>
                <w:bCs/>
              </w:rPr>
              <w:t>EQ16</w:t>
            </w:r>
            <w:r>
              <w:t xml:space="preserve">. To what extent is the Program on track to contribute to its overarching goal? (Improved quality and accessibility of economic infrastructure to contribute to broad-based, </w:t>
            </w:r>
            <w:r w:rsidR="00BE0ECE">
              <w:t>inclusive,</w:t>
            </w:r>
            <w:r>
              <w:t xml:space="preserve"> and sustainable economic growth in Solomon Islands)</w:t>
            </w:r>
          </w:p>
        </w:tc>
      </w:tr>
      <w:tr w:rsidR="005B5A5A" w14:paraId="1D69EB5E" w14:textId="77777777" w:rsidTr="00047638">
        <w:tc>
          <w:tcPr>
            <w:cnfStyle w:val="001000000000" w:firstRow="0" w:lastRow="0" w:firstColumn="1" w:lastColumn="0" w:oddVBand="0" w:evenVBand="0" w:oddHBand="0" w:evenHBand="0" w:firstRowFirstColumn="0" w:firstRowLastColumn="0" w:lastRowFirstColumn="0" w:lastRowLastColumn="0"/>
            <w:tcW w:w="1696" w:type="dxa"/>
          </w:tcPr>
          <w:p w14:paraId="5CAC79F0" w14:textId="5A55F66A" w:rsidR="005B5A5A" w:rsidRDefault="005B5A5A" w:rsidP="005B5A5A">
            <w:pPr>
              <w:pStyle w:val="TableText"/>
            </w:pPr>
            <w:r>
              <w:t xml:space="preserve">Sustainability </w:t>
            </w:r>
          </w:p>
        </w:tc>
        <w:tc>
          <w:tcPr>
            <w:tcW w:w="7314" w:type="dxa"/>
          </w:tcPr>
          <w:p w14:paraId="5D5B1B1B" w14:textId="77777777" w:rsidR="005B5A5A" w:rsidRDefault="005B5A5A" w:rsidP="005B5A5A">
            <w:pPr>
              <w:pStyle w:val="TableText"/>
              <w:cnfStyle w:val="000000000000" w:firstRow="0" w:lastRow="0" w:firstColumn="0" w:lastColumn="0" w:oddVBand="0" w:evenVBand="0" w:oddHBand="0" w:evenHBand="0" w:firstRowFirstColumn="0" w:firstRowLastColumn="0" w:lastRowFirstColumn="0" w:lastRowLastColumn="0"/>
            </w:pPr>
            <w:r w:rsidRPr="00EE539D">
              <w:rPr>
                <w:b/>
                <w:bCs/>
              </w:rPr>
              <w:t>EQ17</w:t>
            </w:r>
            <w:r>
              <w:t>. Is the Program contributing to positive recognition in the Solomon Islands community of Australia’s long-term infrastructure support? How can it increase positive recognition (i.e., through public diplomacy, community outreach)?</w:t>
            </w:r>
          </w:p>
          <w:p w14:paraId="5FCED90F" w14:textId="59DDCFC9" w:rsidR="005B5A5A" w:rsidRDefault="005B5A5A" w:rsidP="005B5A5A">
            <w:pPr>
              <w:pStyle w:val="TableText"/>
              <w:cnfStyle w:val="000000000000" w:firstRow="0" w:lastRow="0" w:firstColumn="0" w:lastColumn="0" w:oddVBand="0" w:evenVBand="0" w:oddHBand="0" w:evenHBand="0" w:firstRowFirstColumn="0" w:firstRowLastColumn="0" w:lastRowFirstColumn="0" w:lastRowLastColumn="0"/>
            </w:pPr>
            <w:r w:rsidRPr="00EE539D">
              <w:rPr>
                <w:b/>
                <w:bCs/>
              </w:rPr>
              <w:t>EQ18</w:t>
            </w:r>
            <w:r>
              <w:t>. To what extent will the EOPOs be sustained beyond the life of the Program</w:t>
            </w:r>
            <w:r w:rsidR="00032A63">
              <w:t>?</w:t>
            </w:r>
          </w:p>
        </w:tc>
      </w:tr>
    </w:tbl>
    <w:p w14:paraId="0A3A156C" w14:textId="30169E60" w:rsidR="00047638" w:rsidRDefault="00047638" w:rsidP="00047638">
      <w:pPr>
        <w:pStyle w:val="Caption"/>
      </w:pPr>
      <w:bookmarkStart w:id="57" w:name="_Ref165125927"/>
      <w:bookmarkStart w:id="58" w:name="_Toc166101372"/>
      <w:r>
        <w:t xml:space="preserve">Figure </w:t>
      </w:r>
      <w:r w:rsidR="00C23BCA">
        <w:fldChar w:fldCharType="begin"/>
      </w:r>
      <w:r w:rsidR="00C23BCA">
        <w:instrText xml:space="preserve"> SEQ Figure \* ARABIC </w:instrText>
      </w:r>
      <w:r w:rsidR="00C23BCA">
        <w:fldChar w:fldCharType="separate"/>
      </w:r>
      <w:r w:rsidR="00DC1E3F">
        <w:rPr>
          <w:noProof/>
        </w:rPr>
        <w:t>5</w:t>
      </w:r>
      <w:r w:rsidR="00C23BCA">
        <w:rPr>
          <w:noProof/>
        </w:rPr>
        <w:fldChar w:fldCharType="end"/>
      </w:r>
      <w:bookmarkEnd w:id="57"/>
      <w:r>
        <w:t>: Summary of Impact and Sustainability EQs</w:t>
      </w:r>
      <w:bookmarkEnd w:id="58"/>
    </w:p>
    <w:p w14:paraId="0531134A" w14:textId="0121D6CD" w:rsidR="00C14218" w:rsidRPr="00C14218" w:rsidRDefault="00C327A8" w:rsidP="00C327A8">
      <w:pPr>
        <w:pStyle w:val="Heading3"/>
      </w:pPr>
      <w:r>
        <w:t>Overall findings</w:t>
      </w:r>
    </w:p>
    <w:p w14:paraId="2F82CAEB" w14:textId="77777777" w:rsidR="00343FBA" w:rsidRPr="00093B3A" w:rsidRDefault="00977F21" w:rsidP="00343FBA">
      <w:r w:rsidRPr="00B66B6B">
        <w:rPr>
          <w:rStyle w:val="HeadlinefindingChar"/>
        </w:rPr>
        <w:t>The review found that the program is well on track to deliver aspects of EOPO1</w:t>
      </w:r>
      <w:r w:rsidRPr="00AD1E01">
        <w:t xml:space="preserve">, </w:t>
      </w:r>
      <w:r w:rsidR="00AD1E01" w:rsidRPr="00AD1E01">
        <w:rPr>
          <w:rStyle w:val="HeadlinefindingChar"/>
        </w:rPr>
        <w:t>but</w:t>
      </w:r>
      <w:r w:rsidR="00AD1E01">
        <w:rPr>
          <w:rStyle w:val="HeadlinefindingChar"/>
        </w:rPr>
        <w:t xml:space="preserve"> </w:t>
      </w:r>
      <w:r w:rsidR="00335F6D" w:rsidRPr="00B66B6B">
        <w:rPr>
          <w:rStyle w:val="HeadlinefindingChar"/>
        </w:rPr>
        <w:t>SIIP has a limited remaining window to bring the program back on track to deliver against EOPO2</w:t>
      </w:r>
      <w:r w:rsidR="00335F6D" w:rsidRPr="00B66B6B">
        <w:t xml:space="preserve">. </w:t>
      </w:r>
      <w:r w:rsidR="00343FBA" w:rsidRPr="00B66B6B">
        <w:t>Evidence suggests that to bring delivery back on track, a</w:t>
      </w:r>
      <w:r w:rsidR="00343FBA" w:rsidRPr="00093B3A">
        <w:t xml:space="preserve">t a minimum, </w:t>
      </w:r>
      <w:r w:rsidR="00343FBA" w:rsidRPr="00B66B6B">
        <w:t xml:space="preserve">the following is needed to be completed </w:t>
      </w:r>
      <w:r w:rsidR="00343FBA" w:rsidRPr="00093B3A">
        <w:t>by end 2024:</w:t>
      </w:r>
    </w:p>
    <w:p w14:paraId="47AF72D6" w14:textId="77777777" w:rsidR="00343FBA" w:rsidRPr="00B66B6B" w:rsidRDefault="00343FBA" w:rsidP="00343FBA">
      <w:pPr>
        <w:pStyle w:val="ListParagraph"/>
        <w:numPr>
          <w:ilvl w:val="0"/>
          <w:numId w:val="19"/>
        </w:numPr>
      </w:pPr>
      <w:r w:rsidRPr="00B66B6B">
        <w:t>Three markets (Honiara</w:t>
      </w:r>
      <w:r>
        <w:t xml:space="preserve"> Central Market</w:t>
      </w:r>
      <w:r w:rsidRPr="00B66B6B">
        <w:t>, Buala, and Tulagi) completed as currently planned</w:t>
      </w:r>
    </w:p>
    <w:p w14:paraId="30D550F0" w14:textId="77777777" w:rsidR="00343FBA" w:rsidRPr="00B66B6B" w:rsidRDefault="00343FBA" w:rsidP="00343FBA">
      <w:pPr>
        <w:pStyle w:val="ListParagraph"/>
        <w:numPr>
          <w:ilvl w:val="0"/>
          <w:numId w:val="19"/>
        </w:numPr>
      </w:pPr>
      <w:r>
        <w:t>Honiara b</w:t>
      </w:r>
      <w:r w:rsidRPr="00B66B6B">
        <w:t>us stops completed</w:t>
      </w:r>
    </w:p>
    <w:p w14:paraId="028ECED3" w14:textId="77777777" w:rsidR="00343FBA" w:rsidRPr="00B66B6B" w:rsidRDefault="00343FBA" w:rsidP="00343FBA">
      <w:pPr>
        <w:pStyle w:val="ListParagraph"/>
        <w:numPr>
          <w:ilvl w:val="0"/>
          <w:numId w:val="19"/>
        </w:numPr>
      </w:pPr>
      <w:r w:rsidRPr="00B66B6B">
        <w:t xml:space="preserve">Naha </w:t>
      </w:r>
      <w:r>
        <w:t>B</w:t>
      </w:r>
      <w:r w:rsidRPr="00B66B6B">
        <w:t xml:space="preserve">irthing </w:t>
      </w:r>
      <w:r>
        <w:t>and Urban Health Centre</w:t>
      </w:r>
      <w:r w:rsidRPr="00B66B6B">
        <w:t xml:space="preserve">: contractor mobilization and demonstrated activity critical. </w:t>
      </w:r>
    </w:p>
    <w:p w14:paraId="7750C775" w14:textId="1738C7A0" w:rsidR="00AF0F4C" w:rsidRPr="00B66B6B" w:rsidRDefault="00343FBA" w:rsidP="00977F21">
      <w:r w:rsidRPr="00AD1E01">
        <w:rPr>
          <w:rStyle w:val="HeadlinefindingChar"/>
        </w:rPr>
        <w:t xml:space="preserve">The second half of 2024 provides a unique opportunity to identify </w:t>
      </w:r>
      <w:r>
        <w:rPr>
          <w:rStyle w:val="HeadlinefindingChar"/>
        </w:rPr>
        <w:t xml:space="preserve">SIIP’s </w:t>
      </w:r>
      <w:r w:rsidRPr="00343FBA">
        <w:rPr>
          <w:rStyle w:val="HeadlinefindingChar"/>
        </w:rPr>
        <w:t>strategic focus</w:t>
      </w:r>
      <w:r w:rsidRPr="00C2550B">
        <w:rPr>
          <w:b/>
        </w:rPr>
        <w:t>, which will be critical to influence the design of future program phases</w:t>
      </w:r>
      <w:r>
        <w:t xml:space="preserve">.  Key enabling factors are now in place with </w:t>
      </w:r>
      <w:r w:rsidRPr="00B66B6B">
        <w:t xml:space="preserve">a new Solomon Islands Government formed following April elections and </w:t>
      </w:r>
      <w:r>
        <w:t xml:space="preserve">the SIIP Hub supported SINIPP </w:t>
      </w:r>
      <w:r w:rsidRPr="00B66B6B">
        <w:t xml:space="preserve">provides a strong technical base for project prioritisation that could feed into policy discussions. </w:t>
      </w:r>
      <w:r>
        <w:t xml:space="preserve"> As discussed in Section 2.1.3, despite the SC endorsement of the SIIP Roadmap, t</w:t>
      </w:r>
      <w:r w:rsidR="00335F6D" w:rsidRPr="00B66B6B">
        <w:t xml:space="preserve">he review found that in </w:t>
      </w:r>
      <w:r>
        <w:t xml:space="preserve">practice there does not appear to be a consensus either across SIG or DFAT interlocutors on SIIP’s strategic focus or comparative advantage.  </w:t>
      </w:r>
      <w:r w:rsidR="00AF0F4C" w:rsidRPr="00B66B6B">
        <w:t xml:space="preserve">SIIP’s current </w:t>
      </w:r>
      <w:r w:rsidR="00F14789">
        <w:t>P</w:t>
      </w:r>
      <w:r w:rsidR="00F14789" w:rsidRPr="00B66B6B">
        <w:t xml:space="preserve">hase </w:t>
      </w:r>
      <w:r w:rsidR="00AF0F4C" w:rsidRPr="00B66B6B">
        <w:t>1 pipeline covers a mix of economic and social infrastructure</w:t>
      </w:r>
      <w:r w:rsidR="00335F6D" w:rsidRPr="00B66B6B">
        <w:t xml:space="preserve"> </w:t>
      </w:r>
      <w:r w:rsidR="00AF0F4C" w:rsidRPr="00B66B6B">
        <w:t>works</w:t>
      </w:r>
      <w:r w:rsidR="00335F6D" w:rsidRPr="00B66B6B">
        <w:t>,</w:t>
      </w:r>
      <w:r w:rsidR="00AF0F4C" w:rsidRPr="00B66B6B">
        <w:t xml:space="preserve"> ranging from medical facilities, market buildings, airports, roads</w:t>
      </w:r>
      <w:r w:rsidR="0074386D">
        <w:t>, and</w:t>
      </w:r>
      <w:r w:rsidR="00AF0F4C" w:rsidRPr="00B66B6B">
        <w:t xml:space="preserve"> water; and projects from </w:t>
      </w:r>
      <w:r w:rsidR="007208A7">
        <w:t>AUD</w:t>
      </w:r>
      <w:r w:rsidR="00AF0F4C" w:rsidRPr="00B66B6B">
        <w:t>0.5</w:t>
      </w:r>
      <w:r w:rsidR="007208A7">
        <w:t xml:space="preserve"> </w:t>
      </w:r>
      <w:r w:rsidR="00AF0F4C" w:rsidRPr="00B66B6B">
        <w:t>m</w:t>
      </w:r>
      <w:r w:rsidR="007208A7">
        <w:t>illion</w:t>
      </w:r>
      <w:r w:rsidR="00AF0F4C" w:rsidRPr="00B66B6B">
        <w:t xml:space="preserve"> to </w:t>
      </w:r>
      <w:r w:rsidR="007208A7">
        <w:t>AUD</w:t>
      </w:r>
      <w:r w:rsidR="00AF0F4C" w:rsidRPr="00B66B6B">
        <w:t>40</w:t>
      </w:r>
      <w:r w:rsidR="007208A7">
        <w:t xml:space="preserve"> </w:t>
      </w:r>
      <w:r w:rsidR="00AF0F4C" w:rsidRPr="00B66B6B">
        <w:t>m</w:t>
      </w:r>
      <w:r w:rsidR="007208A7">
        <w:t>illion</w:t>
      </w:r>
      <w:r w:rsidR="004B1377" w:rsidRPr="00B66B6B">
        <w:t xml:space="preserve">. </w:t>
      </w:r>
    </w:p>
    <w:p w14:paraId="2A7DAE0E" w14:textId="751C11ED" w:rsidR="00364BDC" w:rsidRPr="00B66B6B" w:rsidRDefault="00D92540" w:rsidP="00520067">
      <w:r>
        <w:rPr>
          <w:rStyle w:val="HeadlinefindingChar"/>
        </w:rPr>
        <w:t xml:space="preserve">Accelerating implementation and reaching agreement on the principles to guide the development of future phases of SIIP will require </w:t>
      </w:r>
      <w:r w:rsidR="001B0BB1" w:rsidRPr="00AD1E01">
        <w:rPr>
          <w:rStyle w:val="HeadlinefindingChar"/>
        </w:rPr>
        <w:t xml:space="preserve">two </w:t>
      </w:r>
      <w:r>
        <w:rPr>
          <w:rStyle w:val="HeadlinefindingChar"/>
        </w:rPr>
        <w:t>high level strategic discussions</w:t>
      </w:r>
      <w:r>
        <w:t>:</w:t>
      </w:r>
    </w:p>
    <w:p w14:paraId="27265137" w14:textId="50E8ABAE" w:rsidR="006D06D4" w:rsidRPr="00B66B6B" w:rsidRDefault="006D06D4" w:rsidP="00864DDD">
      <w:pPr>
        <w:pStyle w:val="ListParagraph"/>
        <w:numPr>
          <w:ilvl w:val="0"/>
          <w:numId w:val="21"/>
        </w:numPr>
      </w:pPr>
      <w:r w:rsidRPr="00AD1E01">
        <w:t>What is the acceptable tolerance for a more proportionate approach to risk management?</w:t>
      </w:r>
      <w:r w:rsidR="00C54F4E" w:rsidRPr="00B66B6B">
        <w:t xml:space="preserve"> </w:t>
      </w:r>
      <w:r w:rsidR="00900AAE">
        <w:t xml:space="preserve">This requires a </w:t>
      </w:r>
      <w:r w:rsidR="00D92540">
        <w:t xml:space="preserve">senior institutional </w:t>
      </w:r>
      <w:r w:rsidR="00900AAE">
        <w:t xml:space="preserve">conversation between DFAT </w:t>
      </w:r>
      <w:r w:rsidR="00D92540">
        <w:t xml:space="preserve">and </w:t>
      </w:r>
      <w:r w:rsidR="00900AAE">
        <w:t xml:space="preserve">DT Global representatives. </w:t>
      </w:r>
    </w:p>
    <w:p w14:paraId="04067311" w14:textId="40941FE9" w:rsidR="006D06D4" w:rsidRPr="00B66B6B" w:rsidRDefault="006D06D4" w:rsidP="00864DDD">
      <w:pPr>
        <w:pStyle w:val="ListParagraph"/>
        <w:numPr>
          <w:ilvl w:val="0"/>
          <w:numId w:val="21"/>
        </w:numPr>
      </w:pPr>
      <w:r w:rsidRPr="00AD1E01">
        <w:t>What is the appropriate strategic focus for SIIP, and the program’s comparative advantage</w:t>
      </w:r>
      <w:r w:rsidR="00900AAE" w:rsidRPr="00AD1E01">
        <w:t>?</w:t>
      </w:r>
      <w:r w:rsidR="00900AAE">
        <w:t xml:space="preserve"> This </w:t>
      </w:r>
      <w:r w:rsidR="00D92540">
        <w:t xml:space="preserve">will </w:t>
      </w:r>
      <w:r w:rsidR="00D8460A">
        <w:t>require</w:t>
      </w:r>
      <w:r w:rsidR="00900AAE">
        <w:t xml:space="preserve"> a </w:t>
      </w:r>
      <w:r w:rsidR="00D92540">
        <w:t xml:space="preserve">senior level policy </w:t>
      </w:r>
      <w:r w:rsidR="00900AAE">
        <w:t xml:space="preserve">conversation between DFAT and </w:t>
      </w:r>
      <w:r w:rsidR="00D92540">
        <w:t xml:space="preserve">relevant ne </w:t>
      </w:r>
      <w:r w:rsidR="00900AAE">
        <w:t>SIG</w:t>
      </w:r>
      <w:r w:rsidR="00D92540">
        <w:t xml:space="preserve"> Ministers as well as officials</w:t>
      </w:r>
      <w:r w:rsidR="00900AAE">
        <w:t>.</w:t>
      </w:r>
    </w:p>
    <w:p w14:paraId="6E54DD02" w14:textId="573874A4" w:rsidR="00032A63" w:rsidRPr="00032A63" w:rsidRDefault="00032A63" w:rsidP="00032A63">
      <w:pPr>
        <w:pStyle w:val="Heading3"/>
        <w:rPr>
          <w:rStyle w:val="HeadlinefindingChar"/>
          <w:b/>
          <w:bCs/>
        </w:rPr>
      </w:pPr>
      <w:bookmarkStart w:id="59" w:name="_Ref165118778"/>
      <w:r>
        <w:rPr>
          <w:rStyle w:val="HeadlinefindingChar"/>
          <w:b/>
          <w:bCs/>
        </w:rPr>
        <w:t>A more proportionate approach to managing risk</w:t>
      </w:r>
      <w:bookmarkEnd w:id="59"/>
    </w:p>
    <w:p w14:paraId="5C7099B0" w14:textId="1906BC23" w:rsidR="00BD0BC2" w:rsidRPr="00B66B6B" w:rsidRDefault="00C54F4E" w:rsidP="00BD0BC2">
      <w:r w:rsidRPr="00B66B6B">
        <w:rPr>
          <w:rStyle w:val="HeadlinefindingChar"/>
        </w:rPr>
        <w:t>A more proportionate approach to managing project level risks will be important to improve speed of delivery</w:t>
      </w:r>
      <w:r w:rsidR="00627EF5" w:rsidRPr="00B66B6B">
        <w:rPr>
          <w:rStyle w:val="HeadlinefindingChar"/>
        </w:rPr>
        <w:t>.</w:t>
      </w:r>
      <w:r w:rsidR="00627EF5" w:rsidRPr="00B66B6B">
        <w:t xml:space="preserve"> There are </w:t>
      </w:r>
      <w:r w:rsidR="00770FA5" w:rsidRPr="00B66B6B">
        <w:t>trade-offs</w:t>
      </w:r>
      <w:r w:rsidR="00627EF5" w:rsidRPr="00B66B6B">
        <w:t xml:space="preserve"> needed between the policy objectives of infrastructure development within SIIP</w:t>
      </w:r>
      <w:r w:rsidR="00047638">
        <w:t xml:space="preserve"> as illustrated in </w:t>
      </w:r>
      <w:r w:rsidR="00047638">
        <w:fldChar w:fldCharType="begin"/>
      </w:r>
      <w:r w:rsidR="00047638">
        <w:instrText xml:space="preserve"> REF _Ref165125986 \h </w:instrText>
      </w:r>
      <w:r w:rsidR="00047638">
        <w:fldChar w:fldCharType="separate"/>
      </w:r>
      <w:r w:rsidR="00DC1E3F">
        <w:t xml:space="preserve">Figure </w:t>
      </w:r>
      <w:r w:rsidR="00DC1E3F">
        <w:rPr>
          <w:noProof/>
        </w:rPr>
        <w:t>6</w:t>
      </w:r>
      <w:r w:rsidR="00047638">
        <w:fldChar w:fldCharType="end"/>
      </w:r>
      <w:r w:rsidR="00770FA5" w:rsidRPr="00B66B6B">
        <w:t>:</w:t>
      </w:r>
    </w:p>
    <w:tbl>
      <w:tblPr>
        <w:tblW w:w="4394" w:type="dxa"/>
        <w:jc w:val="center"/>
        <w:tblCellMar>
          <w:left w:w="0" w:type="dxa"/>
          <w:right w:w="0" w:type="dxa"/>
        </w:tblCellMar>
        <w:tblLook w:val="04A0" w:firstRow="1" w:lastRow="0" w:firstColumn="1" w:lastColumn="0" w:noHBand="0" w:noVBand="1"/>
      </w:tblPr>
      <w:tblGrid>
        <w:gridCol w:w="2240"/>
        <w:gridCol w:w="2154"/>
      </w:tblGrid>
      <w:tr w:rsidR="00770FA5" w:rsidRPr="00B66B6B" w14:paraId="4A4D7545" w14:textId="77777777" w:rsidTr="00770FA5">
        <w:trPr>
          <w:trHeight w:val="263"/>
          <w:jc w:val="center"/>
        </w:trPr>
        <w:tc>
          <w:tcPr>
            <w:tcW w:w="2240"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hideMark/>
          </w:tcPr>
          <w:p w14:paraId="6C7A879F" w14:textId="77777777" w:rsidR="00770FA5" w:rsidRPr="00B66B6B" w:rsidRDefault="00770FA5" w:rsidP="00304FCE">
            <w:pPr>
              <w:pStyle w:val="TableText"/>
              <w:jc w:val="center"/>
              <w:rPr>
                <w:rFonts w:ascii="Arial" w:hAnsi="Arial" w:cs="Arial"/>
                <w:b/>
                <w:bCs/>
                <w:sz w:val="36"/>
                <w:szCs w:val="36"/>
                <w:lang w:eastAsia="en-AU"/>
              </w:rPr>
            </w:pPr>
            <w:r w:rsidRPr="00B66B6B">
              <w:rPr>
                <w:b/>
                <w:bCs/>
                <w:lang w:eastAsia="en-AU"/>
              </w:rPr>
              <w:lastRenderedPageBreak/>
              <w:t>Quality/ Risk Tolerance</w:t>
            </w:r>
          </w:p>
        </w:tc>
        <w:tc>
          <w:tcPr>
            <w:tcW w:w="2154" w:type="dxa"/>
            <w:tcBorders>
              <w:top w:val="single" w:sz="8" w:space="0" w:color="4472C4"/>
              <w:left w:val="single" w:sz="8" w:space="0" w:color="4472C4"/>
              <w:bottom w:val="single" w:sz="8" w:space="0" w:color="4472C4"/>
              <w:right w:val="single" w:sz="8" w:space="0" w:color="4472C4"/>
            </w:tcBorders>
            <w:shd w:val="clear" w:color="auto" w:fill="E9EBF5"/>
            <w:tcMar>
              <w:top w:w="15" w:type="dxa"/>
              <w:left w:w="108" w:type="dxa"/>
              <w:bottom w:w="0" w:type="dxa"/>
              <w:right w:w="108" w:type="dxa"/>
            </w:tcMar>
            <w:hideMark/>
          </w:tcPr>
          <w:p w14:paraId="33B1E290" w14:textId="77777777" w:rsidR="00770FA5" w:rsidRPr="00B66B6B" w:rsidRDefault="00770FA5" w:rsidP="00304FCE">
            <w:pPr>
              <w:pStyle w:val="TableText"/>
              <w:jc w:val="center"/>
              <w:rPr>
                <w:rFonts w:ascii="Arial" w:hAnsi="Arial" w:cs="Arial"/>
                <w:b/>
                <w:bCs/>
                <w:sz w:val="36"/>
                <w:szCs w:val="36"/>
                <w:lang w:eastAsia="en-AU"/>
              </w:rPr>
            </w:pPr>
            <w:r w:rsidRPr="00B66B6B">
              <w:rPr>
                <w:b/>
                <w:bCs/>
                <w:lang w:eastAsia="en-AU"/>
              </w:rPr>
              <w:t>Cost</w:t>
            </w:r>
          </w:p>
        </w:tc>
      </w:tr>
      <w:tr w:rsidR="00770FA5" w:rsidRPr="00B66B6B" w14:paraId="29156944" w14:textId="77777777" w:rsidTr="00770FA5">
        <w:trPr>
          <w:trHeight w:val="263"/>
          <w:jc w:val="center"/>
        </w:trPr>
        <w:tc>
          <w:tcPr>
            <w:tcW w:w="2240" w:type="dxa"/>
            <w:tcBorders>
              <w:top w:val="single" w:sz="8" w:space="0" w:color="4472C4"/>
              <w:left w:val="single" w:sz="8" w:space="0" w:color="4472C4"/>
              <w:bottom w:val="single" w:sz="8" w:space="0" w:color="4472C4"/>
              <w:right w:val="single" w:sz="8" w:space="0" w:color="4472C4"/>
            </w:tcBorders>
            <w:shd w:val="clear" w:color="auto" w:fill="CFD5EA"/>
            <w:tcMar>
              <w:top w:w="15" w:type="dxa"/>
              <w:left w:w="108" w:type="dxa"/>
              <w:bottom w:w="0" w:type="dxa"/>
              <w:right w:w="108" w:type="dxa"/>
            </w:tcMar>
            <w:hideMark/>
          </w:tcPr>
          <w:p w14:paraId="1898B26F" w14:textId="77777777" w:rsidR="00770FA5" w:rsidRPr="00B66B6B" w:rsidRDefault="00770FA5" w:rsidP="00304FCE">
            <w:pPr>
              <w:pStyle w:val="TableText"/>
              <w:jc w:val="center"/>
              <w:rPr>
                <w:rFonts w:ascii="Arial" w:hAnsi="Arial" w:cs="Arial"/>
                <w:b/>
                <w:bCs/>
                <w:sz w:val="36"/>
                <w:szCs w:val="36"/>
                <w:lang w:eastAsia="en-AU"/>
              </w:rPr>
            </w:pPr>
            <w:r w:rsidRPr="00B66B6B">
              <w:rPr>
                <w:b/>
                <w:bCs/>
                <w:lang w:eastAsia="en-AU"/>
              </w:rPr>
              <w:t>Speed</w:t>
            </w:r>
          </w:p>
        </w:tc>
        <w:tc>
          <w:tcPr>
            <w:tcW w:w="2154" w:type="dxa"/>
            <w:tcBorders>
              <w:top w:val="single" w:sz="8" w:space="0" w:color="4472C4"/>
              <w:left w:val="single" w:sz="8" w:space="0" w:color="4472C4"/>
              <w:bottom w:val="single" w:sz="8" w:space="0" w:color="4472C4"/>
              <w:right w:val="single" w:sz="8" w:space="0" w:color="4472C4"/>
            </w:tcBorders>
            <w:shd w:val="clear" w:color="auto" w:fill="CFD5EA"/>
            <w:tcMar>
              <w:top w:w="15" w:type="dxa"/>
              <w:left w:w="108" w:type="dxa"/>
              <w:bottom w:w="0" w:type="dxa"/>
              <w:right w:w="108" w:type="dxa"/>
            </w:tcMar>
            <w:hideMark/>
          </w:tcPr>
          <w:p w14:paraId="3502020C" w14:textId="77777777" w:rsidR="00770FA5" w:rsidRPr="00B66B6B" w:rsidRDefault="00770FA5" w:rsidP="00304FCE">
            <w:pPr>
              <w:pStyle w:val="TableText"/>
              <w:jc w:val="center"/>
              <w:rPr>
                <w:rFonts w:ascii="Arial" w:hAnsi="Arial" w:cs="Arial"/>
                <w:b/>
                <w:bCs/>
                <w:sz w:val="36"/>
                <w:szCs w:val="36"/>
                <w:lang w:eastAsia="en-AU"/>
              </w:rPr>
            </w:pPr>
            <w:r w:rsidRPr="00B66B6B">
              <w:rPr>
                <w:b/>
                <w:bCs/>
                <w:lang w:eastAsia="en-AU"/>
              </w:rPr>
              <w:t>Local participation</w:t>
            </w:r>
          </w:p>
        </w:tc>
      </w:tr>
    </w:tbl>
    <w:p w14:paraId="3B9E2B68" w14:textId="14DA5761" w:rsidR="00304FCE" w:rsidRPr="00B66B6B" w:rsidRDefault="00047638" w:rsidP="00047638">
      <w:pPr>
        <w:pStyle w:val="Caption"/>
        <w:jc w:val="center"/>
      </w:pPr>
      <w:bookmarkStart w:id="60" w:name="_Ref165125986"/>
      <w:bookmarkStart w:id="61" w:name="_Toc166101373"/>
      <w:r>
        <w:t xml:space="preserve">Figure </w:t>
      </w:r>
      <w:r w:rsidR="00C23BCA">
        <w:fldChar w:fldCharType="begin"/>
      </w:r>
      <w:r w:rsidR="00C23BCA">
        <w:instrText xml:space="preserve"> SEQ Figure \* ARABIC </w:instrText>
      </w:r>
      <w:r w:rsidR="00C23BCA">
        <w:fldChar w:fldCharType="separate"/>
      </w:r>
      <w:r w:rsidR="00DC1E3F">
        <w:rPr>
          <w:noProof/>
        </w:rPr>
        <w:t>6</w:t>
      </w:r>
      <w:r w:rsidR="00C23BCA">
        <w:rPr>
          <w:noProof/>
        </w:rPr>
        <w:fldChar w:fldCharType="end"/>
      </w:r>
      <w:bookmarkEnd w:id="60"/>
      <w:r>
        <w:t>: Policy Objectives of SIIP</w:t>
      </w:r>
      <w:bookmarkEnd w:id="61"/>
    </w:p>
    <w:p w14:paraId="120604E0" w14:textId="410D1D90" w:rsidR="00E1189C" w:rsidRDefault="00E1189C" w:rsidP="00AE0815">
      <w:r w:rsidRPr="00B66B6B">
        <w:t>The review found that the priority “levers”</w:t>
      </w:r>
      <w:r w:rsidR="00DE63B1">
        <w:t>, noted above in Figure 6 as Policy Objectives,</w:t>
      </w:r>
      <w:r w:rsidRPr="00B66B6B">
        <w:t xml:space="preserve"> for delivering SIIP cannot all be</w:t>
      </w:r>
      <w:r w:rsidR="00DB3FEF">
        <w:t xml:space="preserve"> </w:t>
      </w:r>
      <w:r w:rsidR="004F12B1">
        <w:t>pulled to their most advantageous level</w:t>
      </w:r>
      <w:r w:rsidR="00AD1E01">
        <w:t xml:space="preserve"> at once</w:t>
      </w:r>
      <w:r w:rsidR="004D2FDD" w:rsidRPr="00B66B6B">
        <w:t xml:space="preserve">, </w:t>
      </w:r>
      <w:r w:rsidR="00835C1E">
        <w:t xml:space="preserve">because of the </w:t>
      </w:r>
      <w:r w:rsidR="004D2FDD" w:rsidRPr="00B66B6B">
        <w:t>tensions between them. For example,</w:t>
      </w:r>
      <w:r w:rsidR="00DB3FEF">
        <w:t xml:space="preserve"> setting</w:t>
      </w:r>
      <w:r w:rsidR="004D2FDD" w:rsidRPr="00B66B6B">
        <w:t xml:space="preserve"> high quality</w:t>
      </w:r>
      <w:r w:rsidR="00DB3FEF">
        <w:t xml:space="preserve"> objectives </w:t>
      </w:r>
      <w:r w:rsidR="004D2FDD" w:rsidRPr="00B66B6B">
        <w:t xml:space="preserve">will </w:t>
      </w:r>
      <w:r w:rsidR="00DB3FEF">
        <w:t xml:space="preserve">likely </w:t>
      </w:r>
      <w:r w:rsidR="004D2FDD" w:rsidRPr="00B66B6B">
        <w:t xml:space="preserve">lead to high costs and </w:t>
      </w:r>
      <w:r w:rsidR="004F12B1">
        <w:t xml:space="preserve">limit </w:t>
      </w:r>
      <w:r w:rsidR="004D2FDD" w:rsidRPr="00B66B6B">
        <w:t xml:space="preserve">local participation; </w:t>
      </w:r>
      <w:r w:rsidR="00470ADC" w:rsidRPr="00B66B6B">
        <w:t xml:space="preserve">rapid delivery </w:t>
      </w:r>
      <w:r w:rsidR="004F12B1">
        <w:t>is unlikely to</w:t>
      </w:r>
      <w:r w:rsidR="00470ADC" w:rsidRPr="00B66B6B">
        <w:t xml:space="preserve"> be achieved at low cost and high quality</w:t>
      </w:r>
      <w:r w:rsidR="004F12B1">
        <w:t xml:space="preserve"> in </w:t>
      </w:r>
      <w:r w:rsidR="00154D45">
        <w:t>Solomon Islands</w:t>
      </w:r>
      <w:r w:rsidR="00470ADC" w:rsidRPr="00B66B6B">
        <w:t>; and a low risk tolerance is in tension with local participation</w:t>
      </w:r>
      <w:r w:rsidR="004F12B1">
        <w:t xml:space="preserve"> and speed, given the constraints in the </w:t>
      </w:r>
      <w:r w:rsidR="00154D45">
        <w:t xml:space="preserve">Solomon Islands </w:t>
      </w:r>
      <w:r w:rsidR="004F12B1">
        <w:t>context.</w:t>
      </w:r>
      <w:r w:rsidR="00AE0815">
        <w:t xml:space="preserve"> The lack of detailed and explicit agreement on trade-offs between SIIP Hub and DFAT mean that, in practice, the focus has largely been on minimising risk, with implications for both project cost and timeframes. Avoiding risk at the activity level has broader reputational risks as noted above. </w:t>
      </w:r>
    </w:p>
    <w:p w14:paraId="1468B60E" w14:textId="5AB6F2A2" w:rsidR="00996625" w:rsidRDefault="00996625" w:rsidP="00996625">
      <w:r w:rsidRPr="00996625">
        <w:rPr>
          <w:rStyle w:val="HeadlinefindingChar"/>
        </w:rPr>
        <w:t>Priorities need to be balanced differently for different activities</w:t>
      </w:r>
      <w:r>
        <w:t>, such that l</w:t>
      </w:r>
      <w:r w:rsidRPr="00996625">
        <w:t>arge and complex investments (</w:t>
      </w:r>
      <w:r>
        <w:t>i.e.</w:t>
      </w:r>
      <w:r w:rsidRPr="00996625">
        <w:t xml:space="preserve"> major marine infrastructure requiring geotech</w:t>
      </w:r>
      <w:r>
        <w:t>nical review</w:t>
      </w:r>
      <w:r w:rsidRPr="00996625">
        <w:t>) will inevitably require a strict approach to minimising risk</w:t>
      </w:r>
      <w:r w:rsidR="00A6565D">
        <w:t xml:space="preserve">. </w:t>
      </w:r>
      <w:r w:rsidRPr="00996625">
        <w:t xml:space="preserve">For smaller projects, a more proportionate approach to risk management </w:t>
      </w:r>
      <w:r w:rsidR="00A6565D">
        <w:t>may</w:t>
      </w:r>
      <w:r w:rsidRPr="00996625">
        <w:t xml:space="preserve"> be considered throughout the project cycle</w:t>
      </w:r>
      <w:r w:rsidR="00A6565D">
        <w:t>,</w:t>
      </w:r>
      <w:r w:rsidRPr="00996625">
        <w:t xml:space="preserve"> from design, to procurement, to implementation.</w:t>
      </w:r>
    </w:p>
    <w:p w14:paraId="18CDC126" w14:textId="1DEB3A0F" w:rsidR="00E1189C" w:rsidRPr="00E1189C" w:rsidRDefault="00D2305F" w:rsidP="00E1189C">
      <w:r w:rsidRPr="00B66B6B">
        <w:t xml:space="preserve">The review found a number of </w:t>
      </w:r>
      <w:r w:rsidR="00FF7B67" w:rsidRPr="00B66B6B">
        <w:t xml:space="preserve">potential </w:t>
      </w:r>
      <w:r w:rsidR="004F12B1">
        <w:t>avenues</w:t>
      </w:r>
      <w:r w:rsidR="00304FCE" w:rsidRPr="00B66B6B">
        <w:t xml:space="preserve"> that SIIP could </w:t>
      </w:r>
      <w:r w:rsidR="004F12B1">
        <w:t xml:space="preserve">consider </w:t>
      </w:r>
      <w:r w:rsidR="006526BB">
        <w:t>exploring</w:t>
      </w:r>
      <w:r w:rsidR="004F12B1">
        <w:t xml:space="preserve"> </w:t>
      </w:r>
      <w:r w:rsidR="006526BB">
        <w:t>in</w:t>
      </w:r>
      <w:r w:rsidR="00304FCE" w:rsidRPr="00B66B6B">
        <w:t xml:space="preserve"> the remainder of the program</w:t>
      </w:r>
      <w:r w:rsidRPr="00B66B6B">
        <w:t>:</w:t>
      </w:r>
    </w:p>
    <w:p w14:paraId="287785CE" w14:textId="77C16BAF" w:rsidR="00E1189C" w:rsidRDefault="00C42871" w:rsidP="00864DDD">
      <w:pPr>
        <w:pStyle w:val="ListParagraph"/>
        <w:numPr>
          <w:ilvl w:val="0"/>
          <w:numId w:val="20"/>
        </w:numPr>
      </w:pPr>
      <w:r w:rsidRPr="00C42871">
        <w:t>Independent technical reviews are important for larger contracts, although for smaller works (i</w:t>
      </w:r>
      <w:r w:rsidR="006258CC">
        <w:t>.</w:t>
      </w:r>
      <w:r w:rsidRPr="00C42871">
        <w:t>e</w:t>
      </w:r>
      <w:r w:rsidR="006258CC">
        <w:t>.</w:t>
      </w:r>
      <w:r w:rsidRPr="00C42871">
        <w:t xml:space="preserve"> bus shelters, markets) there may be scope to reply on the professional indemnity insurance of design engineer.</w:t>
      </w:r>
    </w:p>
    <w:p w14:paraId="19316CC4" w14:textId="1A04F850" w:rsidR="004D2858" w:rsidRPr="00B66B6B" w:rsidRDefault="001E2117" w:rsidP="00864DDD">
      <w:pPr>
        <w:pStyle w:val="ListParagraph"/>
        <w:numPr>
          <w:ilvl w:val="0"/>
          <w:numId w:val="20"/>
        </w:numPr>
      </w:pPr>
      <w:r w:rsidRPr="001E2117">
        <w:t>Geotechnical</w:t>
      </w:r>
      <w:r w:rsidR="00BC1038">
        <w:t xml:space="preserve"> </w:t>
      </w:r>
      <w:r w:rsidR="006F284F">
        <w:t xml:space="preserve">studies </w:t>
      </w:r>
      <w:r w:rsidR="00D07F9E">
        <w:t>–</w:t>
      </w:r>
      <w:r w:rsidR="00BC1038">
        <w:t xml:space="preserve"> </w:t>
      </w:r>
      <w:r w:rsidR="00D07F9E">
        <w:t>while</w:t>
      </w:r>
      <w:r w:rsidR="0042493D">
        <w:t xml:space="preserve"> the</w:t>
      </w:r>
      <w:r w:rsidR="00D07F9E">
        <w:t xml:space="preserve"> SIIP Hub advise that </w:t>
      </w:r>
      <w:r w:rsidRPr="001E2117">
        <w:t xml:space="preserve">for smaller works </w:t>
      </w:r>
      <w:r w:rsidR="00D07F9E">
        <w:rPr>
          <w:rFonts w:ascii="Calibri Light" w:hAnsi="Calibri Light" w:cs="Calibri Light"/>
        </w:rPr>
        <w:t xml:space="preserve">simple </w:t>
      </w:r>
      <w:r w:rsidR="00D07F9E" w:rsidRPr="001319E1">
        <w:rPr>
          <w:rFonts w:ascii="Calibri Light" w:hAnsi="Calibri Light" w:cs="Calibri Light"/>
        </w:rPr>
        <w:t>geotechnical studies using Dynamic Cone Penetration (DCP) testing</w:t>
      </w:r>
      <w:r w:rsidR="00D07F9E" w:rsidRPr="001E2117">
        <w:t xml:space="preserve"> </w:t>
      </w:r>
      <w:r w:rsidR="00D07F9E">
        <w:t xml:space="preserve">is used, </w:t>
      </w:r>
      <w:r w:rsidRPr="001E2117">
        <w:t xml:space="preserve">there is potentially </w:t>
      </w:r>
      <w:proofErr w:type="gramStart"/>
      <w:r w:rsidRPr="001E2117">
        <w:t>scope</w:t>
      </w:r>
      <w:proofErr w:type="gramEnd"/>
      <w:r w:rsidRPr="001E2117">
        <w:t xml:space="preserve"> to </w:t>
      </w:r>
      <w:r w:rsidR="00D07F9E">
        <w:t xml:space="preserve">simplify even further by </w:t>
      </w:r>
      <w:r w:rsidRPr="001E2117">
        <w:t>rely</w:t>
      </w:r>
      <w:r w:rsidR="00D07F9E">
        <w:t>ing</w:t>
      </w:r>
      <w:r w:rsidRPr="001E2117">
        <w:t xml:space="preserve"> on </w:t>
      </w:r>
      <w:r w:rsidR="00BC1038">
        <w:t xml:space="preserve">the </w:t>
      </w:r>
      <w:r w:rsidRPr="001E2117">
        <w:t>qualified supervising engineer and their insurance</w:t>
      </w:r>
      <w:r w:rsidR="00A12021">
        <w:t>.</w:t>
      </w:r>
    </w:p>
    <w:p w14:paraId="0C54EFC1" w14:textId="7F78C378" w:rsidR="00E1189C" w:rsidRPr="00B66B6B" w:rsidRDefault="00E1189C" w:rsidP="00864DDD">
      <w:pPr>
        <w:pStyle w:val="ListParagraph"/>
        <w:numPr>
          <w:ilvl w:val="0"/>
          <w:numId w:val="20"/>
        </w:numPr>
      </w:pPr>
      <w:r w:rsidRPr="00B66B6B">
        <w:t>Clarity on appropriate building codes and standards</w:t>
      </w:r>
      <w:r w:rsidR="00A12021">
        <w:t>.</w:t>
      </w:r>
    </w:p>
    <w:p w14:paraId="317E7044" w14:textId="6158EB95" w:rsidR="00E1189C" w:rsidRPr="00B66B6B" w:rsidRDefault="00E1189C" w:rsidP="00864DDD">
      <w:pPr>
        <w:pStyle w:val="ListParagraph"/>
        <w:numPr>
          <w:ilvl w:val="0"/>
          <w:numId w:val="20"/>
        </w:numPr>
      </w:pPr>
      <w:r w:rsidRPr="00B66B6B">
        <w:t>Potential scope to “bundle” procurement for some works, although with some trade-offs on local content</w:t>
      </w:r>
      <w:r w:rsidR="00A12021">
        <w:t>.</w:t>
      </w:r>
    </w:p>
    <w:p w14:paraId="697928DD" w14:textId="0C879D2F" w:rsidR="00627EF5" w:rsidRDefault="00D92540" w:rsidP="00864DDD">
      <w:pPr>
        <w:pStyle w:val="ListParagraph"/>
        <w:numPr>
          <w:ilvl w:val="0"/>
          <w:numId w:val="20"/>
        </w:numPr>
      </w:pPr>
      <w:r>
        <w:t>More s</w:t>
      </w:r>
      <w:r w:rsidR="00E1189C" w:rsidRPr="00B66B6B">
        <w:t>tandardised contracts formats</w:t>
      </w:r>
      <w:r>
        <w:t>.</w:t>
      </w:r>
    </w:p>
    <w:p w14:paraId="764F2B72" w14:textId="61CAB720" w:rsidR="00BE5DBD" w:rsidRDefault="00BE5DBD" w:rsidP="00C2550B">
      <w:r w:rsidRPr="00C2550B">
        <w:rPr>
          <w:b/>
          <w:bCs/>
        </w:rPr>
        <w:t>Reaching agreement on how to take a more proportionate approach to managing risk is likely to require an institutional discussion between DFAT and DT Global</w:t>
      </w:r>
      <w:r>
        <w:t xml:space="preserve">.  As a start, the MTR team recommends that DFAT request DT Global, through the SIIP Hub, to prepare an initial assessment of opportunities to streamline risk management and the agreements – whether contractual or expectations – that would be required to address each issue. </w:t>
      </w:r>
    </w:p>
    <w:p w14:paraId="1769DCCF" w14:textId="68910960" w:rsidR="00032A63" w:rsidRPr="00B66B6B" w:rsidRDefault="004604B0" w:rsidP="00032A63">
      <w:pPr>
        <w:pStyle w:val="Heading3"/>
      </w:pPr>
      <w:bookmarkStart w:id="62" w:name="_Ref165137506"/>
      <w:r>
        <w:t xml:space="preserve">Managing Short Term </w:t>
      </w:r>
      <w:r w:rsidR="00382A4B">
        <w:t>Financing</w:t>
      </w:r>
      <w:r>
        <w:t xml:space="preserve"> Pressures</w:t>
      </w:r>
      <w:bookmarkEnd w:id="62"/>
    </w:p>
    <w:p w14:paraId="445C075A" w14:textId="7CBCACD4" w:rsidR="004604B0" w:rsidRDefault="004604B0" w:rsidP="004604B0">
      <w:r w:rsidRPr="00481405">
        <w:rPr>
          <w:rStyle w:val="HeadlinefindingChar"/>
        </w:rPr>
        <w:t xml:space="preserve">Strategic decisions on SIIP’s comparative advantage and medium-term investment pipeline in the second half of 2024 will be important to design a future phase. </w:t>
      </w:r>
      <w:r>
        <w:t>The review found that funding available to be programmed will depend on several factors: how DFAT and SIG agree to meet short-term pressures, and whether SIIP’s funding envelope is extended beyond the initial</w:t>
      </w:r>
      <w:r w:rsidR="00B26E09">
        <w:t xml:space="preserve"> AUD</w:t>
      </w:r>
      <w:r>
        <w:t xml:space="preserve">250 million/ 10 year timeframe, which appears likely. </w:t>
      </w:r>
    </w:p>
    <w:p w14:paraId="1992F026" w14:textId="6D3F4377" w:rsidR="004604B0" w:rsidRDefault="004604B0" w:rsidP="004604B0">
      <w:r>
        <w:t xml:space="preserve">Funding available to be programmed over the next </w:t>
      </w:r>
      <w:r w:rsidR="00047638">
        <w:t>five</w:t>
      </w:r>
      <w:r>
        <w:t xml:space="preserve"> years </w:t>
      </w:r>
      <w:r w:rsidR="00047638">
        <w:t xml:space="preserve">was found to be potentially </w:t>
      </w:r>
      <w:r>
        <w:t>limited if all current projects remain in the pipeline, with adjustments to reflect risks of cost increases</w:t>
      </w:r>
      <w:r w:rsidR="00047638">
        <w:t>, and if</w:t>
      </w:r>
      <w:r>
        <w:t xml:space="preserve"> SIIP </w:t>
      </w:r>
      <w:r w:rsidR="00047638">
        <w:t>is</w:t>
      </w:r>
      <w:r>
        <w:t xml:space="preserve"> also required to meet costs of new activities under consideration, such as further contributions to the World Bank </w:t>
      </w:r>
      <w:r w:rsidR="0039400F">
        <w:t>Community Access and Urban Services Enhancement project</w:t>
      </w:r>
      <w:r w:rsidR="00667C22">
        <w:t xml:space="preserve"> (CAUSE)</w:t>
      </w:r>
      <w:r>
        <w:t xml:space="preserve">. </w:t>
      </w:r>
      <w:r w:rsidR="00047638">
        <w:t xml:space="preserve">The review found </w:t>
      </w:r>
      <w:r w:rsidR="00047638">
        <w:lastRenderedPageBreak/>
        <w:t>that p</w:t>
      </w:r>
      <w:r>
        <w:t xml:space="preserve">rogramming flexibility could be as high as </w:t>
      </w:r>
      <w:r w:rsidR="007208A7">
        <w:t>AUD</w:t>
      </w:r>
      <w:r>
        <w:t>100</w:t>
      </w:r>
      <w:r w:rsidR="007208A7">
        <w:t xml:space="preserve"> </w:t>
      </w:r>
      <w:r>
        <w:t>m</w:t>
      </w:r>
      <w:r w:rsidR="007208A7">
        <w:t>illion and beyond</w:t>
      </w:r>
      <w:r>
        <w:t xml:space="preserve">, however, in the event that other program pressures </w:t>
      </w:r>
      <w:r w:rsidR="00382A4B">
        <w:t>are</w:t>
      </w:r>
      <w:r>
        <w:t xml:space="preserve"> managed carefully</w:t>
      </w:r>
      <w:r w:rsidR="00382A4B">
        <w:t>,</w:t>
      </w:r>
      <w:r>
        <w:t xml:space="preserve"> and a longer-term timeframe considered.</w:t>
      </w:r>
    </w:p>
    <w:p w14:paraId="6544D39F" w14:textId="21E9BE57" w:rsidR="00B527E2" w:rsidRDefault="00B527E2" w:rsidP="00B527E2">
      <w:r w:rsidRPr="003A156B">
        <w:rPr>
          <w:rStyle w:val="HeadlinefindingChar"/>
        </w:rPr>
        <w:t xml:space="preserve">The review found that </w:t>
      </w:r>
      <w:r w:rsidR="003A156B" w:rsidRPr="003A156B">
        <w:rPr>
          <w:rStyle w:val="HeadlinefindingChar"/>
        </w:rPr>
        <w:t>managing short-term financing pressures will require building a consensus with a new Government to avoid risks of SIIP further falling short of expectations</w:t>
      </w:r>
      <w:r w:rsidR="003A156B">
        <w:t xml:space="preserve">. </w:t>
      </w:r>
      <w:r w:rsidRPr="003A156B">
        <w:t>SIIP is unlikely to be able to fund any substantial new activities until at least 2026.</w:t>
      </w:r>
      <w:r w:rsidR="003A156B">
        <w:t xml:space="preserve"> As mentioned above, d</w:t>
      </w:r>
      <w:r>
        <w:t>elays and cost overruns to current projects are causing significant short-term disbursement pressures</w:t>
      </w:r>
      <w:r w:rsidR="003A156B">
        <w:t xml:space="preserve">. </w:t>
      </w:r>
      <w:r>
        <w:t xml:space="preserve">DFAT and SIG will need to agree on how to manage several activities already approved by the </w:t>
      </w:r>
      <w:r w:rsidR="00FC1809">
        <w:t>SC</w:t>
      </w:r>
      <w:r>
        <w:t xml:space="preserve"> but currently on hold, </w:t>
      </w:r>
      <w:r w:rsidR="00DC1CBA">
        <w:t xml:space="preserve">as outlined in </w:t>
      </w:r>
      <w:r w:rsidR="00047638">
        <w:fldChar w:fldCharType="begin"/>
      </w:r>
      <w:r w:rsidR="00047638">
        <w:instrText xml:space="preserve"> REF _Ref165126090 \h </w:instrText>
      </w:r>
      <w:r w:rsidR="00047638">
        <w:fldChar w:fldCharType="separate"/>
      </w:r>
      <w:r w:rsidR="00DC1E3F">
        <w:t xml:space="preserve">Figure </w:t>
      </w:r>
      <w:r w:rsidR="00DC1E3F">
        <w:rPr>
          <w:noProof/>
        </w:rPr>
        <w:t>7</w:t>
      </w:r>
      <w:r w:rsidR="00047638">
        <w:fldChar w:fldCharType="end"/>
      </w:r>
      <w:r w:rsidR="00047638">
        <w:t>.</w:t>
      </w:r>
    </w:p>
    <w:tbl>
      <w:tblPr>
        <w:tblStyle w:val="GridTable4-Accent1"/>
        <w:tblW w:w="0" w:type="auto"/>
        <w:tblLook w:val="04A0" w:firstRow="1" w:lastRow="0" w:firstColumn="1" w:lastColumn="0" w:noHBand="0" w:noVBand="1"/>
      </w:tblPr>
      <w:tblGrid>
        <w:gridCol w:w="2405"/>
        <w:gridCol w:w="6605"/>
      </w:tblGrid>
      <w:tr w:rsidR="00DC1CBA" w14:paraId="15155995" w14:textId="77777777" w:rsidTr="00B96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F2B960" w14:textId="5A2D10D2" w:rsidR="00DC1CBA" w:rsidRDefault="00B96DEE" w:rsidP="00B96DEE">
            <w:pPr>
              <w:pStyle w:val="TableText"/>
            </w:pPr>
            <w:r>
              <w:t>Activity on hold</w:t>
            </w:r>
          </w:p>
        </w:tc>
        <w:tc>
          <w:tcPr>
            <w:tcW w:w="6605" w:type="dxa"/>
          </w:tcPr>
          <w:p w14:paraId="04BE56D2" w14:textId="6AFF1505" w:rsidR="00DC1CBA" w:rsidRDefault="00B96DEE" w:rsidP="00B96DEE">
            <w:pPr>
              <w:pStyle w:val="TableText"/>
              <w:cnfStyle w:val="100000000000" w:firstRow="1" w:lastRow="0" w:firstColumn="0" w:lastColumn="0" w:oddVBand="0" w:evenVBand="0" w:oddHBand="0" w:evenHBand="0" w:firstRowFirstColumn="0" w:firstRowLastColumn="0" w:lastRowFirstColumn="0" w:lastRowLastColumn="0"/>
            </w:pPr>
            <w:r>
              <w:t>Challenge and possible solution</w:t>
            </w:r>
          </w:p>
        </w:tc>
      </w:tr>
      <w:tr w:rsidR="00DC1CBA" w14:paraId="0E61C0B6" w14:textId="77777777" w:rsidTr="00B96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1A71CF" w14:textId="496922F9" w:rsidR="00DC1CBA" w:rsidRDefault="00B96DEE" w:rsidP="00B96DEE">
            <w:pPr>
              <w:pStyle w:val="TableText"/>
            </w:pPr>
            <w:r>
              <w:t>Markets</w:t>
            </w:r>
          </w:p>
        </w:tc>
        <w:tc>
          <w:tcPr>
            <w:tcW w:w="6605" w:type="dxa"/>
          </w:tcPr>
          <w:p w14:paraId="648CF361" w14:textId="0A841664" w:rsidR="00DC1CBA" w:rsidRDefault="00B96DEE" w:rsidP="00B96DEE">
            <w:pPr>
              <w:pStyle w:val="TableText"/>
              <w:cnfStyle w:val="000000100000" w:firstRow="0" w:lastRow="0" w:firstColumn="0" w:lastColumn="0" w:oddVBand="0" w:evenVBand="0" w:oddHBand="1" w:evenHBand="0" w:firstRowFirstColumn="0" w:firstRowLastColumn="0" w:lastRowFirstColumn="0" w:lastRowLastColumn="0"/>
            </w:pPr>
            <w:r w:rsidRPr="00B96DEE">
              <w:t xml:space="preserve">The current budget of </w:t>
            </w:r>
            <w:r w:rsidR="007208A7">
              <w:t>AUD</w:t>
            </w:r>
            <w:r w:rsidRPr="00B96DEE">
              <w:t>21.3</w:t>
            </w:r>
            <w:r w:rsidR="007208A7">
              <w:t xml:space="preserve"> </w:t>
            </w:r>
            <w:r w:rsidRPr="00B96DEE">
              <w:t>m</w:t>
            </w:r>
            <w:r w:rsidR="007208A7">
              <w:t>illion</w:t>
            </w:r>
            <w:r w:rsidRPr="00B96DEE">
              <w:t xml:space="preserve"> will not cover all </w:t>
            </w:r>
            <w:r w:rsidR="0042493D">
              <w:t>seven</w:t>
            </w:r>
            <w:r w:rsidRPr="00B96DEE">
              <w:t xml:space="preserve"> markets although </w:t>
            </w:r>
            <w:r w:rsidR="0042493D">
              <w:t>two</w:t>
            </w:r>
            <w:r w:rsidRPr="00B96DEE">
              <w:t xml:space="preserve"> are unlikely to start construction before 2025</w:t>
            </w:r>
            <w:r w:rsidR="0042493D">
              <w:t>.</w:t>
            </w:r>
          </w:p>
        </w:tc>
      </w:tr>
      <w:tr w:rsidR="00DC1CBA" w14:paraId="6D77CB39" w14:textId="77777777" w:rsidTr="00B96DEE">
        <w:tc>
          <w:tcPr>
            <w:cnfStyle w:val="001000000000" w:firstRow="0" w:lastRow="0" w:firstColumn="1" w:lastColumn="0" w:oddVBand="0" w:evenVBand="0" w:oddHBand="0" w:evenHBand="0" w:firstRowFirstColumn="0" w:firstRowLastColumn="0" w:lastRowFirstColumn="0" w:lastRowLastColumn="0"/>
            <w:tcW w:w="2405" w:type="dxa"/>
          </w:tcPr>
          <w:p w14:paraId="572AABE1" w14:textId="35E8DAB5" w:rsidR="00DC1CBA" w:rsidRDefault="00B96DEE" w:rsidP="00B96DEE">
            <w:pPr>
              <w:pStyle w:val="TableText"/>
            </w:pPr>
            <w:r w:rsidRPr="00B96DEE">
              <w:t>Malaita South Road</w:t>
            </w:r>
          </w:p>
        </w:tc>
        <w:tc>
          <w:tcPr>
            <w:tcW w:w="6605" w:type="dxa"/>
          </w:tcPr>
          <w:p w14:paraId="1B10C58F" w14:textId="74A7FB79" w:rsidR="00DC1CBA" w:rsidRDefault="00B96DEE" w:rsidP="00B96DEE">
            <w:pPr>
              <w:pStyle w:val="TableText"/>
              <w:cnfStyle w:val="000000000000" w:firstRow="0" w:lastRow="0" w:firstColumn="0" w:lastColumn="0" w:oddVBand="0" w:evenVBand="0" w:oddHBand="0" w:evenHBand="0" w:firstRowFirstColumn="0" w:firstRowLastColumn="0" w:lastRowFirstColumn="0" w:lastRowLastColumn="0"/>
            </w:pPr>
            <w:r w:rsidRPr="00B96DEE">
              <w:t>There is scope for immediate repairs although the need to undertake detailed design and disbursement pressures will mean more significant upgrades likely to require 18-24 months before starting.</w:t>
            </w:r>
          </w:p>
        </w:tc>
      </w:tr>
      <w:tr w:rsidR="00DC1CBA" w14:paraId="6C6E72B7" w14:textId="77777777" w:rsidTr="00B96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7BC4677" w14:textId="4864B072" w:rsidR="00DC1CBA" w:rsidRDefault="00B96DEE" w:rsidP="00B96DEE">
            <w:pPr>
              <w:pStyle w:val="TableText"/>
            </w:pPr>
            <w:r w:rsidRPr="00B96DEE">
              <w:t xml:space="preserve">Fiu </w:t>
            </w:r>
            <w:r w:rsidR="0042493D">
              <w:t xml:space="preserve">River </w:t>
            </w:r>
            <w:r w:rsidRPr="00B96DEE">
              <w:t>bridge</w:t>
            </w:r>
          </w:p>
        </w:tc>
        <w:tc>
          <w:tcPr>
            <w:tcW w:w="6605" w:type="dxa"/>
          </w:tcPr>
          <w:p w14:paraId="7CE80756" w14:textId="15BFF18B" w:rsidR="00DC1CBA" w:rsidRDefault="00B96DEE" w:rsidP="00B96DEE">
            <w:pPr>
              <w:pStyle w:val="TableText"/>
              <w:cnfStyle w:val="000000100000" w:firstRow="0" w:lastRow="0" w:firstColumn="0" w:lastColumn="0" w:oddVBand="0" w:evenVBand="0" w:oddHBand="1" w:evenHBand="0" w:firstRowFirstColumn="0" w:firstRowLastColumn="0" w:lastRowFirstColumn="0" w:lastRowLastColumn="0"/>
            </w:pPr>
            <w:r w:rsidRPr="00B96DEE">
              <w:t xml:space="preserve">Like roads, current pressures mean SIIP </w:t>
            </w:r>
            <w:r>
              <w:t xml:space="preserve">is </w:t>
            </w:r>
            <w:r w:rsidR="00B26E09">
              <w:t>unable</w:t>
            </w:r>
            <w:r w:rsidR="00B26E09" w:rsidRPr="00B96DEE">
              <w:t xml:space="preserve"> </w:t>
            </w:r>
            <w:r w:rsidRPr="00B96DEE">
              <w:t>to start construction until 2026. The World Bank has indicated that they could fund this under SIRAP, although because of procurement issues would prefer to fully fund rather than try to cofinance with Australia</w:t>
            </w:r>
          </w:p>
        </w:tc>
      </w:tr>
      <w:tr w:rsidR="00DC1CBA" w14:paraId="56952F41" w14:textId="77777777" w:rsidTr="00B96DEE">
        <w:tc>
          <w:tcPr>
            <w:cnfStyle w:val="001000000000" w:firstRow="0" w:lastRow="0" w:firstColumn="1" w:lastColumn="0" w:oddVBand="0" w:evenVBand="0" w:oddHBand="0" w:evenHBand="0" w:firstRowFirstColumn="0" w:firstRowLastColumn="0" w:lastRowFirstColumn="0" w:lastRowLastColumn="0"/>
            <w:tcW w:w="2405" w:type="dxa"/>
          </w:tcPr>
          <w:p w14:paraId="6433B5B6" w14:textId="664B5E42" w:rsidR="00DC1CBA" w:rsidRDefault="00B96DEE" w:rsidP="00B96DEE">
            <w:pPr>
              <w:pStyle w:val="TableText"/>
            </w:pPr>
            <w:r w:rsidRPr="00B96DEE">
              <w:t>Gizo water</w:t>
            </w:r>
          </w:p>
        </w:tc>
        <w:tc>
          <w:tcPr>
            <w:tcW w:w="6605" w:type="dxa"/>
          </w:tcPr>
          <w:p w14:paraId="2ECF023A" w14:textId="748B926B" w:rsidR="00DC1CBA" w:rsidRDefault="00B96DEE" w:rsidP="00B96DEE">
            <w:pPr>
              <w:pStyle w:val="TableText"/>
              <w:cnfStyle w:val="000000000000" w:firstRow="0" w:lastRow="0" w:firstColumn="0" w:lastColumn="0" w:oddVBand="0" w:evenVBand="0" w:oddHBand="0" w:evenHBand="0" w:firstRowFirstColumn="0" w:firstRowLastColumn="0" w:lastRowFirstColumn="0" w:lastRowLastColumn="0"/>
            </w:pPr>
            <w:r w:rsidRPr="00B96DEE">
              <w:t xml:space="preserve">ADB estimates suggest this is likely to cost closer to </w:t>
            </w:r>
            <w:r w:rsidR="007208A7">
              <w:t>AUD</w:t>
            </w:r>
            <w:r w:rsidRPr="00B96DEE">
              <w:t>40</w:t>
            </w:r>
            <w:r w:rsidR="007208A7">
              <w:t xml:space="preserve"> </w:t>
            </w:r>
            <w:r w:rsidRPr="00B96DEE">
              <w:t>m</w:t>
            </w:r>
            <w:r w:rsidR="007208A7">
              <w:t>illion</w:t>
            </w:r>
            <w:r w:rsidRPr="00B96DEE">
              <w:t xml:space="preserve"> than the currently SIIP costing of </w:t>
            </w:r>
            <w:r w:rsidR="007208A7">
              <w:t>AUD</w:t>
            </w:r>
            <w:r w:rsidRPr="00B96DEE">
              <w:t>10</w:t>
            </w:r>
            <w:r w:rsidR="007208A7">
              <w:t xml:space="preserve"> </w:t>
            </w:r>
            <w:r w:rsidRPr="00B96DEE">
              <w:t>m</w:t>
            </w:r>
            <w:r w:rsidR="007208A7">
              <w:t>illion</w:t>
            </w:r>
            <w:r w:rsidRPr="00B96DEE">
              <w:t>. ADB could possibly include this activity although would be reluctant to try to jointly finance with Australia because of procurement uncertainties</w:t>
            </w:r>
            <w:r>
              <w:t>.</w:t>
            </w:r>
          </w:p>
        </w:tc>
      </w:tr>
      <w:tr w:rsidR="00B96DEE" w14:paraId="3A569A50" w14:textId="77777777" w:rsidTr="00B96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FE5CDFD" w14:textId="026CCD6F" w:rsidR="00B96DEE" w:rsidRPr="00B96DEE" w:rsidRDefault="00B96DEE" w:rsidP="00B96DEE">
            <w:pPr>
              <w:pStyle w:val="TableText"/>
            </w:pPr>
            <w:r w:rsidRPr="00B96DEE">
              <w:t>Moli wharf</w:t>
            </w:r>
          </w:p>
        </w:tc>
        <w:tc>
          <w:tcPr>
            <w:tcW w:w="6605" w:type="dxa"/>
          </w:tcPr>
          <w:p w14:paraId="1E1C2F7D" w14:textId="67ECE249" w:rsidR="00B96DEE" w:rsidRPr="00B96DEE" w:rsidRDefault="00B96DEE" w:rsidP="00B96DEE">
            <w:pPr>
              <w:pStyle w:val="TableText"/>
              <w:cnfStyle w:val="000000100000" w:firstRow="0" w:lastRow="0" w:firstColumn="0" w:lastColumn="0" w:oddVBand="0" w:evenVBand="0" w:oddHBand="1" w:evenHBand="0" w:firstRowFirstColumn="0" w:firstRowLastColumn="0" w:lastRowFirstColumn="0" w:lastRowLastColumn="0"/>
            </w:pPr>
            <w:r>
              <w:t>D</w:t>
            </w:r>
            <w:r w:rsidRPr="00B96DEE">
              <w:t>oes not appear a priority despite previous SC approval</w:t>
            </w:r>
            <w:r w:rsidR="0042493D">
              <w:t>.</w:t>
            </w:r>
          </w:p>
        </w:tc>
      </w:tr>
    </w:tbl>
    <w:p w14:paraId="1C102B3C" w14:textId="16A063F2" w:rsidR="00047638" w:rsidRDefault="00047638" w:rsidP="00047638">
      <w:pPr>
        <w:pStyle w:val="Caption"/>
      </w:pPr>
      <w:bookmarkStart w:id="63" w:name="_Ref165126090"/>
      <w:bookmarkStart w:id="64" w:name="_Toc166101374"/>
      <w:r>
        <w:t xml:space="preserve">Figure </w:t>
      </w:r>
      <w:r w:rsidR="00C23BCA">
        <w:fldChar w:fldCharType="begin"/>
      </w:r>
      <w:r w:rsidR="00C23BCA">
        <w:instrText xml:space="preserve"> SEQ Figure \* ARABIC </w:instrText>
      </w:r>
      <w:r w:rsidR="00C23BCA">
        <w:fldChar w:fldCharType="separate"/>
      </w:r>
      <w:r w:rsidR="00DC1E3F">
        <w:rPr>
          <w:noProof/>
        </w:rPr>
        <w:t>7</w:t>
      </w:r>
      <w:r w:rsidR="00C23BCA">
        <w:rPr>
          <w:noProof/>
        </w:rPr>
        <w:fldChar w:fldCharType="end"/>
      </w:r>
      <w:bookmarkEnd w:id="63"/>
      <w:r>
        <w:t>: SIIP Activities currently on hold</w:t>
      </w:r>
      <w:bookmarkEnd w:id="64"/>
    </w:p>
    <w:p w14:paraId="084B1FDD" w14:textId="189B6220" w:rsidR="004604B0" w:rsidRDefault="004604B0" w:rsidP="004604B0">
      <w:pPr>
        <w:pStyle w:val="Heading3"/>
      </w:pPr>
      <w:r>
        <w:t>Defining SIIP’s Strategic Focus and Comparative Advantage</w:t>
      </w:r>
    </w:p>
    <w:p w14:paraId="737DF74C" w14:textId="62373E01" w:rsidR="004604B0" w:rsidRDefault="004604B0" w:rsidP="004604B0">
      <w:r w:rsidRPr="004604B0">
        <w:rPr>
          <w:rStyle w:val="HeadlinefindingChar"/>
        </w:rPr>
        <w:t>The review found that a clear strategic view of SIIP’s comparative advantage will be critical to design the second phase and determine appropriate contracting modalities</w:t>
      </w:r>
      <w:r>
        <w:t xml:space="preserve">, namely what infrastructure investments the program should be financing over the short and medium-term. </w:t>
      </w:r>
      <w:r w:rsidR="00B54109">
        <w:t xml:space="preserve">Despite SC endorsement in December 2022 of the SIIP Roadmap vision for </w:t>
      </w:r>
      <w:r w:rsidR="00B54109" w:rsidRPr="00F35CE6">
        <w:rPr>
          <w:lang w:val="en-GB"/>
        </w:rPr>
        <w:t>medium sized infrastructure activities in high growth potential economic nodes and their strategic connections</w:t>
      </w:r>
      <w:r w:rsidR="00B54109">
        <w:rPr>
          <w:lang w:val="en-GB"/>
        </w:rPr>
        <w:t xml:space="preserve">, both SIG and Australian priorities appear to have evolved and there does not appear to be a consensus on this approach.  </w:t>
      </w:r>
      <w:r>
        <w:t xml:space="preserve">SIIP’s current </w:t>
      </w:r>
      <w:r w:rsidR="0042493D">
        <w:t>Phase One</w:t>
      </w:r>
      <w:r>
        <w:t xml:space="preserve"> pipeline covers a mix of economic and social infrastructure; with projects ranging from </w:t>
      </w:r>
      <w:r w:rsidR="007208A7">
        <w:t>AUD</w:t>
      </w:r>
      <w:r>
        <w:t>0.5</w:t>
      </w:r>
      <w:r w:rsidR="007208A7">
        <w:t xml:space="preserve"> </w:t>
      </w:r>
      <w:r>
        <w:t>m</w:t>
      </w:r>
      <w:r w:rsidR="007208A7">
        <w:t>illion</w:t>
      </w:r>
      <w:r>
        <w:t xml:space="preserve"> to </w:t>
      </w:r>
      <w:r w:rsidR="007208A7">
        <w:t>AUD</w:t>
      </w:r>
      <w:r>
        <w:t>40</w:t>
      </w:r>
      <w:r w:rsidR="007208A7">
        <w:t xml:space="preserve"> </w:t>
      </w:r>
      <w:r>
        <w:t>m</w:t>
      </w:r>
      <w:r w:rsidR="007208A7">
        <w:t>illion</w:t>
      </w:r>
      <w:r>
        <w:t xml:space="preserve"> spread across </w:t>
      </w:r>
      <w:r w:rsidR="00606C5A">
        <w:t xml:space="preserve">eight </w:t>
      </w:r>
      <w:r>
        <w:t xml:space="preserve">of </w:t>
      </w:r>
      <w:r w:rsidR="00606C5A">
        <w:t>nine</w:t>
      </w:r>
      <w:r>
        <w:t xml:space="preserve"> provinces of </w:t>
      </w:r>
      <w:r w:rsidR="00B905EB">
        <w:t>Solomon Islands</w:t>
      </w:r>
      <w:r>
        <w:t xml:space="preserve">. </w:t>
      </w:r>
    </w:p>
    <w:p w14:paraId="428508DC" w14:textId="77A5005F" w:rsidR="004604B0" w:rsidRDefault="004604B0" w:rsidP="004604B0">
      <w:pPr>
        <w:pStyle w:val="Headlinefinding"/>
      </w:pPr>
      <w:r>
        <w:t>Strategic decisions on investment priorities need to be made by the Australian and SIG, ideally by direct policy discussions between the high commissioner and relevant ministers</w:t>
      </w:r>
      <w:r w:rsidR="008D11A4">
        <w:t>.</w:t>
      </w:r>
    </w:p>
    <w:p w14:paraId="04B1A948" w14:textId="6F699252" w:rsidR="004604B0" w:rsidRDefault="004604B0" w:rsidP="00864DDD">
      <w:pPr>
        <w:pStyle w:val="ListParagraph"/>
        <w:numPr>
          <w:ilvl w:val="0"/>
          <w:numId w:val="22"/>
        </w:numPr>
      </w:pPr>
      <w:r>
        <w:t xml:space="preserve">The </w:t>
      </w:r>
      <w:r w:rsidR="00B905EB">
        <w:t>SC</w:t>
      </w:r>
      <w:r>
        <w:t>, while useful to ensure broad SIG ownership and oversight, would ideally be reviewing and confirming ministerial level agreements</w:t>
      </w:r>
      <w:r w:rsidR="00A12021">
        <w:t>.</w:t>
      </w:r>
    </w:p>
    <w:p w14:paraId="17C0F135" w14:textId="4FFEA117" w:rsidR="00A751AC" w:rsidRDefault="004604B0" w:rsidP="00864DDD">
      <w:pPr>
        <w:pStyle w:val="ListParagraph"/>
        <w:numPr>
          <w:ilvl w:val="0"/>
          <w:numId w:val="22"/>
        </w:numPr>
      </w:pPr>
      <w:r>
        <w:t>The SIIP Hub itself is best placed to undertake technical reviews and manage implementation rather than being expected to lead policy discussions on priorities or to build “bottom up” list of potential activities for SC review and decisions</w:t>
      </w:r>
      <w:r w:rsidR="00A12021">
        <w:t>.</w:t>
      </w:r>
    </w:p>
    <w:p w14:paraId="141A65CC" w14:textId="2B31ACE8" w:rsidR="00517B2F" w:rsidRDefault="00517B2F" w:rsidP="00517B2F">
      <w:r>
        <w:fldChar w:fldCharType="begin"/>
      </w:r>
      <w:r>
        <w:instrText xml:space="preserve"> REF _Ref165127223 \h </w:instrText>
      </w:r>
      <w:r>
        <w:fldChar w:fldCharType="separate"/>
      </w:r>
      <w:r w:rsidR="00DC1E3F">
        <w:t xml:space="preserve">Figure </w:t>
      </w:r>
      <w:r w:rsidR="00DC1E3F">
        <w:rPr>
          <w:noProof/>
        </w:rPr>
        <w:t>8</w:t>
      </w:r>
      <w:r>
        <w:fldChar w:fldCharType="end"/>
      </w:r>
      <w:r>
        <w:t xml:space="preserve"> below shows the geographical and sector spread of currently funded SIIP Projects.</w:t>
      </w:r>
    </w:p>
    <w:p w14:paraId="605DB49B" w14:textId="19D2C82E" w:rsidR="00517B2F" w:rsidRDefault="00517B2F" w:rsidP="00517B2F">
      <w:pPr>
        <w:jc w:val="center"/>
      </w:pPr>
      <w:r>
        <w:rPr>
          <w:noProof/>
        </w:rPr>
        <w:lastRenderedPageBreak/>
        <w:drawing>
          <wp:inline distT="0" distB="0" distL="0" distR="0" wp14:anchorId="46564236" wp14:editId="2AF7D80C">
            <wp:extent cx="5270500" cy="2820670"/>
            <wp:effectExtent l="0" t="0" r="6350" b="0"/>
            <wp:docPr id="245581249" name="Picture 245581249" descr="A map of Solomon Islands identifying the SIIP funded projects in their respective locations, with a list of projects categorised by s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81249" name="Picture 245581249" descr="A map of Solomon Islands identifying the SIIP funded projects in their respective locations, with a list of projects categorised by sector. "/>
                    <pic:cNvPicPr/>
                  </pic:nvPicPr>
                  <pic:blipFill>
                    <a:blip r:embed="rId19">
                      <a:extLst>
                        <a:ext uri="{28A0092B-C50C-407E-A947-70E740481C1C}">
                          <a14:useLocalDpi xmlns:a14="http://schemas.microsoft.com/office/drawing/2010/main" val="0"/>
                        </a:ext>
                      </a:extLst>
                    </a:blip>
                    <a:stretch>
                      <a:fillRect/>
                    </a:stretch>
                  </pic:blipFill>
                  <pic:spPr>
                    <a:xfrm>
                      <a:off x="0" y="0"/>
                      <a:ext cx="5270500" cy="2820670"/>
                    </a:xfrm>
                    <a:prstGeom prst="rect">
                      <a:avLst/>
                    </a:prstGeom>
                  </pic:spPr>
                </pic:pic>
              </a:graphicData>
            </a:graphic>
          </wp:inline>
        </w:drawing>
      </w:r>
    </w:p>
    <w:p w14:paraId="699DB395" w14:textId="7DC07640" w:rsidR="00806E37" w:rsidRDefault="00D73C90" w:rsidP="00517B2F">
      <w:pPr>
        <w:pStyle w:val="Caption"/>
        <w:jc w:val="center"/>
      </w:pPr>
      <w:bookmarkStart w:id="65" w:name="_Ref165127223"/>
      <w:bookmarkStart w:id="66" w:name="_Toc166101375"/>
      <w:r>
        <w:t xml:space="preserve">Figure </w:t>
      </w:r>
      <w:r w:rsidR="00C23BCA">
        <w:fldChar w:fldCharType="begin"/>
      </w:r>
      <w:r w:rsidR="00C23BCA">
        <w:instrText xml:space="preserve"> SEQ Figure \* ARABIC </w:instrText>
      </w:r>
      <w:r w:rsidR="00C23BCA">
        <w:fldChar w:fldCharType="separate"/>
      </w:r>
      <w:r w:rsidR="00DC1E3F">
        <w:rPr>
          <w:noProof/>
        </w:rPr>
        <w:t>8</w:t>
      </w:r>
      <w:r w:rsidR="00C23BCA">
        <w:rPr>
          <w:noProof/>
        </w:rPr>
        <w:fldChar w:fldCharType="end"/>
      </w:r>
      <w:bookmarkEnd w:id="65"/>
      <w:r>
        <w:t>: Spread of SIIP projects as at Nov 2023</w:t>
      </w:r>
      <w:r w:rsidR="00434555">
        <w:rPr>
          <w:rStyle w:val="FootnoteReference"/>
        </w:rPr>
        <w:footnoteReference w:id="12"/>
      </w:r>
      <w:bookmarkEnd w:id="66"/>
    </w:p>
    <w:p w14:paraId="58456C6E" w14:textId="0D8A565D" w:rsidR="00E51F1B" w:rsidRPr="00E51F1B" w:rsidRDefault="00E51F1B" w:rsidP="00E51F1B">
      <w:pPr>
        <w:pStyle w:val="Heading3"/>
        <w:rPr>
          <w:rStyle w:val="HeadlinefindingChar"/>
          <w:rFonts w:cstheme="majorBidi"/>
          <w:b/>
          <w:bCs/>
        </w:rPr>
      </w:pPr>
      <w:bookmarkStart w:id="67" w:name="_Ref165118559"/>
      <w:r w:rsidRPr="00E51F1B">
        <w:rPr>
          <w:rStyle w:val="HeadlinefindingChar"/>
          <w:rFonts w:cstheme="majorBidi"/>
          <w:b/>
          <w:bCs/>
        </w:rPr>
        <w:t>Options to focus SIIP in the medium term</w:t>
      </w:r>
      <w:bookmarkEnd w:id="67"/>
    </w:p>
    <w:p w14:paraId="45FB9DCA" w14:textId="2233C8B9" w:rsidR="00BE5DBD" w:rsidRDefault="00E1745E" w:rsidP="00481405">
      <w:r w:rsidRPr="00313198">
        <w:rPr>
          <w:rStyle w:val="HeadlinefindingChar"/>
        </w:rPr>
        <w:t>The review team has landed</w:t>
      </w:r>
      <w:r w:rsidR="00E74597" w:rsidRPr="00313198">
        <w:rPr>
          <w:rStyle w:val="HeadlinefindingChar"/>
        </w:rPr>
        <w:t xml:space="preserve"> broadly</w:t>
      </w:r>
      <w:r w:rsidRPr="00313198">
        <w:rPr>
          <w:rStyle w:val="HeadlinefindingChar"/>
        </w:rPr>
        <w:t xml:space="preserve"> on a set of three </w:t>
      </w:r>
      <w:r w:rsidR="0000400E" w:rsidRPr="00313198">
        <w:rPr>
          <w:rStyle w:val="HeadlinefindingChar"/>
        </w:rPr>
        <w:t xml:space="preserve">strategic options for </w:t>
      </w:r>
      <w:r w:rsidR="006D2450" w:rsidRPr="00313198">
        <w:rPr>
          <w:rStyle w:val="HeadlinefindingChar"/>
        </w:rPr>
        <w:t xml:space="preserve">focusing </w:t>
      </w:r>
      <w:r w:rsidR="0000400E" w:rsidRPr="00313198">
        <w:rPr>
          <w:rStyle w:val="HeadlinefindingChar"/>
        </w:rPr>
        <w:t>SIIP</w:t>
      </w:r>
      <w:r w:rsidR="006D2450" w:rsidRPr="00313198">
        <w:rPr>
          <w:rStyle w:val="HeadlinefindingChar"/>
        </w:rPr>
        <w:t xml:space="preserve"> in the medium term</w:t>
      </w:r>
      <w:r w:rsidR="0052209D">
        <w:t xml:space="preserve">, </w:t>
      </w:r>
      <w:r w:rsidR="0052209D" w:rsidRPr="0052209D">
        <w:t>although inevitably this is likely to require a balance rather than</w:t>
      </w:r>
      <w:r w:rsidR="00EA08F6">
        <w:t xml:space="preserve"> selecting one option</w:t>
      </w:r>
      <w:r w:rsidR="00ED502D">
        <w:t xml:space="preserve">. </w:t>
      </w:r>
      <w:r w:rsidR="00BE5DBD">
        <w:t xml:space="preserve">As </w:t>
      </w:r>
      <w:r w:rsidR="00ED502D">
        <w:t xml:space="preserve">presented </w:t>
      </w:r>
      <w:r w:rsidR="0042037A">
        <w:t xml:space="preserve">in </w:t>
      </w:r>
      <w:r w:rsidR="00BE5DBD">
        <w:t xml:space="preserve">more detail in </w:t>
      </w:r>
      <w:r w:rsidR="00BB15A1">
        <w:fldChar w:fldCharType="begin"/>
      </w:r>
      <w:r w:rsidR="00BB15A1">
        <w:instrText xml:space="preserve"> REF _Ref165114787 \h </w:instrText>
      </w:r>
      <w:r w:rsidR="00BB15A1">
        <w:fldChar w:fldCharType="separate"/>
      </w:r>
      <w:r w:rsidR="00DC1E3F">
        <w:t xml:space="preserve">Figure </w:t>
      </w:r>
      <w:r w:rsidR="00DC1E3F">
        <w:rPr>
          <w:noProof/>
        </w:rPr>
        <w:t>9</w:t>
      </w:r>
      <w:r w:rsidR="00BB15A1">
        <w:fldChar w:fldCharType="end"/>
      </w:r>
      <w:r w:rsidR="00BB15A1">
        <w:t xml:space="preserve"> </w:t>
      </w:r>
      <w:r w:rsidR="0042037A">
        <w:t>below</w:t>
      </w:r>
      <w:r w:rsidR="00F043D2">
        <w:t xml:space="preserve">, </w:t>
      </w:r>
      <w:r w:rsidR="00BE5DBD">
        <w:t>broad options include:</w:t>
      </w:r>
    </w:p>
    <w:p w14:paraId="6F3DBDA3" w14:textId="244A810E" w:rsidR="006646B0" w:rsidRDefault="00BE5DBD" w:rsidP="00BE5DBD">
      <w:pPr>
        <w:pStyle w:val="ListParagraph"/>
        <w:numPr>
          <w:ilvl w:val="0"/>
          <w:numId w:val="36"/>
        </w:numPr>
      </w:pPr>
      <w:r>
        <w:t xml:space="preserve">a sharper focus on a smaller number of larger, nation-building investments, with SIIP being used more actively to leverage financing from other Australian programs such as </w:t>
      </w:r>
      <w:proofErr w:type="gramStart"/>
      <w:r>
        <w:t>AIFFP;</w:t>
      </w:r>
      <w:proofErr w:type="gramEnd"/>
    </w:p>
    <w:p w14:paraId="57247B20" w14:textId="6441763B" w:rsidR="00BE5DBD" w:rsidRDefault="00BE5DBD" w:rsidP="00BE5DBD">
      <w:pPr>
        <w:pStyle w:val="ListParagraph"/>
        <w:numPr>
          <w:ilvl w:val="0"/>
          <w:numId w:val="36"/>
        </w:numPr>
      </w:pPr>
      <w:r>
        <w:t>SIIP financing being used to support a wide range of smaller activities</w:t>
      </w:r>
      <w:r w:rsidR="00B54109">
        <w:t xml:space="preserve"> across Solomon Islands</w:t>
      </w:r>
      <w:r>
        <w:t xml:space="preserve">, with high visibility and public diplomacy impact, </w:t>
      </w:r>
      <w:r w:rsidR="00B54109">
        <w:t xml:space="preserve">although possibly with a stronger focus around a place-based approach, or economic </w:t>
      </w:r>
      <w:proofErr w:type="gramStart"/>
      <w:r w:rsidR="00B54109">
        <w:t>infrastructure;</w:t>
      </w:r>
      <w:proofErr w:type="gramEnd"/>
    </w:p>
    <w:p w14:paraId="580D5B27" w14:textId="07034183" w:rsidR="00B54109" w:rsidRDefault="00B54109" w:rsidP="00C2550B">
      <w:pPr>
        <w:pStyle w:val="ListParagraph"/>
        <w:numPr>
          <w:ilvl w:val="0"/>
          <w:numId w:val="36"/>
        </w:numPr>
      </w:pPr>
      <w:r>
        <w:t>Ensuring that SIIP remains highly responsive to emerging priorities rather than trying to identify activities for a future phase in advance.</w:t>
      </w:r>
    </w:p>
    <w:p w14:paraId="3FA583C4" w14:textId="77777777" w:rsidR="006016AA" w:rsidRDefault="006016AA" w:rsidP="00481405"/>
    <w:p w14:paraId="3B386E00" w14:textId="77777777" w:rsidR="006016AA" w:rsidRDefault="006016AA" w:rsidP="00481405">
      <w:pPr>
        <w:sectPr w:rsidR="006016AA" w:rsidSect="002F081F">
          <w:footerReference w:type="default" r:id="rId20"/>
          <w:type w:val="continuous"/>
          <w:pgSz w:w="11900" w:h="16840"/>
          <w:pgMar w:top="1418" w:right="1440" w:bottom="1440" w:left="1440" w:header="709" w:footer="709" w:gutter="0"/>
          <w:pgNumType w:start="1"/>
          <w:cols w:space="708"/>
          <w:docGrid w:linePitch="360"/>
        </w:sectPr>
      </w:pPr>
    </w:p>
    <w:p w14:paraId="24DA4FE9" w14:textId="77777777" w:rsidR="00E27082" w:rsidRDefault="00E27082" w:rsidP="00481405"/>
    <w:tbl>
      <w:tblPr>
        <w:tblStyle w:val="ListTable4-Accent1"/>
        <w:tblW w:w="0" w:type="auto"/>
        <w:tblLook w:val="04A0" w:firstRow="1" w:lastRow="0" w:firstColumn="1" w:lastColumn="0" w:noHBand="0" w:noVBand="1"/>
      </w:tblPr>
      <w:tblGrid>
        <w:gridCol w:w="2689"/>
        <w:gridCol w:w="11056"/>
      </w:tblGrid>
      <w:tr w:rsidR="0042037A" w14:paraId="4DF4CC36" w14:textId="77777777" w:rsidTr="00694F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324EDF96" w14:textId="06FD0EE4" w:rsidR="0042037A" w:rsidRDefault="0042037A" w:rsidP="0042037A">
            <w:pPr>
              <w:pStyle w:val="TableText"/>
              <w:tabs>
                <w:tab w:val="left" w:pos="1282"/>
              </w:tabs>
            </w:pPr>
            <w:r>
              <w:t xml:space="preserve">Medium Term </w:t>
            </w:r>
            <w:r w:rsidR="00BB15A1">
              <w:t xml:space="preserve">Strategic </w:t>
            </w:r>
            <w:r>
              <w:t>Option</w:t>
            </w:r>
          </w:p>
        </w:tc>
        <w:tc>
          <w:tcPr>
            <w:tcW w:w="11056" w:type="dxa"/>
          </w:tcPr>
          <w:p w14:paraId="16E44341" w14:textId="34CD5C51" w:rsidR="0042037A" w:rsidRDefault="00BB15A1" w:rsidP="0042037A">
            <w:pPr>
              <w:pStyle w:val="TableText"/>
              <w:cnfStyle w:val="100000000000" w:firstRow="1" w:lastRow="0" w:firstColumn="0" w:lastColumn="0" w:oddVBand="0" w:evenVBand="0" w:oddHBand="0" w:evenHBand="0" w:firstRowFirstColumn="0" w:firstRowLastColumn="0" w:lastRowFirstColumn="0" w:lastRowLastColumn="0"/>
            </w:pPr>
            <w:r>
              <w:t xml:space="preserve">What it </w:t>
            </w:r>
            <w:r w:rsidR="006F674B">
              <w:t xml:space="preserve">would </w:t>
            </w:r>
            <w:r>
              <w:t>mean for SIIP</w:t>
            </w:r>
          </w:p>
        </w:tc>
      </w:tr>
      <w:tr w:rsidR="00AB0BA4" w14:paraId="4CA15733" w14:textId="77777777" w:rsidTr="00694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34B04EA" w14:textId="17F2304D" w:rsidR="00AB0BA4" w:rsidRPr="00E27082" w:rsidRDefault="00AB0BA4" w:rsidP="006860E1">
            <w:pPr>
              <w:pStyle w:val="TableText"/>
            </w:pPr>
            <w:r w:rsidRPr="00E27082">
              <w:t>Option 1: A sharper focus on a smaller number of nation</w:t>
            </w:r>
            <w:r w:rsidR="00E27082">
              <w:t>-</w:t>
            </w:r>
            <w:r w:rsidRPr="00E27082">
              <w:t>building activities</w:t>
            </w:r>
          </w:p>
        </w:tc>
        <w:tc>
          <w:tcPr>
            <w:tcW w:w="11056" w:type="dxa"/>
          </w:tcPr>
          <w:p w14:paraId="5C7A3855" w14:textId="77777777" w:rsidR="00E27082" w:rsidRDefault="00E27082"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t>Engagement on larger activities critical for nation building, as well as to ensure Australian engagement on strategic infrastructure priorities.</w:t>
            </w:r>
          </w:p>
          <w:p w14:paraId="57CFFDA1" w14:textId="0115C696" w:rsidR="00E27082" w:rsidRDefault="00E27082"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t>Larger infrastructure investments in Solomon</w:t>
            </w:r>
            <w:r w:rsidR="003A121B">
              <w:t xml:space="preserve"> Island</w:t>
            </w:r>
            <w:r>
              <w:t>s have tended to be financed in addition to the bilateral program (Coral Sea cable, AIFFP, Defence Cooperation) or by the multilateral development banks (although with risks of adverse procurement outcomes, such as with Honiara port and Henderson airport upgrades)</w:t>
            </w:r>
          </w:p>
          <w:p w14:paraId="6141E0C7" w14:textId="3EDE6B3D" w:rsidR="00E27082" w:rsidRDefault="00E27082"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t xml:space="preserve">AIFFP expects to commit up to </w:t>
            </w:r>
            <w:r w:rsidR="007208A7">
              <w:t>AUD</w:t>
            </w:r>
            <w:r>
              <w:t>140</w:t>
            </w:r>
            <w:r w:rsidR="007208A7">
              <w:t xml:space="preserve"> </w:t>
            </w:r>
            <w:r>
              <w:t>m</w:t>
            </w:r>
            <w:r w:rsidR="007208A7">
              <w:t>illion</w:t>
            </w:r>
            <w:r>
              <w:t xml:space="preserve"> to Solomon Islands</w:t>
            </w:r>
            <w:r w:rsidR="007208A7">
              <w:t>.</w:t>
            </w:r>
            <w:r w:rsidRPr="007208A7">
              <w:rPr>
                <w:vertAlign w:val="superscript"/>
              </w:rPr>
              <w:footnoteReference w:id="13"/>
            </w:r>
            <w:r>
              <w:t xml:space="preserve"> However, </w:t>
            </w:r>
            <w:r w:rsidRPr="00F72F15">
              <w:t xml:space="preserve">SIG’s limited capacity to take on new debt means AIFFP is becoming grants constrained. </w:t>
            </w:r>
            <w:r w:rsidR="007208A7">
              <w:t>AUD</w:t>
            </w:r>
            <w:r w:rsidRPr="00F72F15">
              <w:t>80</w:t>
            </w:r>
            <w:r w:rsidR="007208A7">
              <w:t xml:space="preserve"> </w:t>
            </w:r>
            <w:r w:rsidRPr="00F72F15">
              <w:t>m</w:t>
            </w:r>
            <w:r w:rsidR="007208A7">
              <w:t>illion</w:t>
            </w:r>
            <w:r w:rsidRPr="00F72F15">
              <w:t xml:space="preserve"> of AIFFP grants needed to mobilise </w:t>
            </w:r>
            <w:r w:rsidR="007208A7">
              <w:t>AUD</w:t>
            </w:r>
            <w:r w:rsidRPr="00F72F15">
              <w:t>60</w:t>
            </w:r>
            <w:r w:rsidR="007208A7">
              <w:t xml:space="preserve"> </w:t>
            </w:r>
            <w:r w:rsidRPr="00F72F15">
              <w:t>m</w:t>
            </w:r>
            <w:r w:rsidR="007208A7">
              <w:t>illion</w:t>
            </w:r>
            <w:r w:rsidRPr="00F72F15">
              <w:t xml:space="preserve"> lending, and grant proportion increasing. AIFFP unlikely to be able to finance any new investments in Solomon Islands beyond current pipeline</w:t>
            </w:r>
          </w:p>
          <w:p w14:paraId="37592396" w14:textId="4603CB67" w:rsidR="00E27082" w:rsidRDefault="00E27082"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t xml:space="preserve">SIIP burden sharing with AIFFP could increase total Australian finance for SIG. Every </w:t>
            </w:r>
            <w:r w:rsidR="007208A7">
              <w:t>AUD</w:t>
            </w:r>
            <w:r>
              <w:t xml:space="preserve">1 of SIIP grants could help mobilise up to </w:t>
            </w:r>
            <w:r w:rsidR="007208A7">
              <w:t>AUD</w:t>
            </w:r>
            <w:r>
              <w:t>1 of AIFFP that would otherwise not be available</w:t>
            </w:r>
          </w:p>
          <w:p w14:paraId="71B6FD8B" w14:textId="77777777" w:rsidR="00E27082" w:rsidRDefault="00E27082"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t>Opportunities: Australian engagement on strategic maritime priorities (Noro port, possibly Bina harbour) likely to require SIIP and AIFFP working in tandem.</w:t>
            </w:r>
          </w:p>
          <w:p w14:paraId="300861EC" w14:textId="5AF2691B" w:rsidR="00E27082" w:rsidRDefault="00E27082"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t>Risks: engagement across Solomon</w:t>
            </w:r>
            <w:r w:rsidR="003F618F">
              <w:t xml:space="preserve"> Islands</w:t>
            </w:r>
            <w:r>
              <w:t xml:space="preserve"> would be more limited to community development grants or other mechanisms outside SIIP</w:t>
            </w:r>
            <w:r w:rsidR="00023344">
              <w:t xml:space="preserve"> as </w:t>
            </w:r>
            <w:r w:rsidR="00F56587">
              <w:t xml:space="preserve">a </w:t>
            </w:r>
            <w:r w:rsidR="00C5351C">
              <w:t xml:space="preserve">smaller </w:t>
            </w:r>
            <w:r w:rsidR="00F56587">
              <w:t xml:space="preserve">number of nation-building activities would be multi-year </w:t>
            </w:r>
            <w:r w:rsidR="004E5FA9">
              <w:t>commitments</w:t>
            </w:r>
          </w:p>
        </w:tc>
      </w:tr>
      <w:tr w:rsidR="00AB0BA4" w14:paraId="64B58AFC" w14:textId="77777777" w:rsidTr="00694FB0">
        <w:tc>
          <w:tcPr>
            <w:cnfStyle w:val="001000000000" w:firstRow="0" w:lastRow="0" w:firstColumn="1" w:lastColumn="0" w:oddVBand="0" w:evenVBand="0" w:oddHBand="0" w:evenHBand="0" w:firstRowFirstColumn="0" w:firstRowLastColumn="0" w:lastRowFirstColumn="0" w:lastRowLastColumn="0"/>
            <w:tcW w:w="2689" w:type="dxa"/>
          </w:tcPr>
          <w:p w14:paraId="649B2FC5" w14:textId="307D92DA" w:rsidR="00AB0BA4" w:rsidRDefault="00AB0BA4" w:rsidP="006860E1">
            <w:pPr>
              <w:pStyle w:val="TableText"/>
            </w:pPr>
            <w:r w:rsidRPr="002E369C">
              <w:t xml:space="preserve">Option 2: </w:t>
            </w:r>
            <w:r w:rsidR="006860E1">
              <w:t>W</w:t>
            </w:r>
            <w:r w:rsidRPr="002E369C">
              <w:t xml:space="preserve">ide range of smaller activities across </w:t>
            </w:r>
            <w:r w:rsidR="003A121B">
              <w:t>Solomon Islands</w:t>
            </w:r>
            <w:r w:rsidR="005D3E96">
              <w:t xml:space="preserve">, </w:t>
            </w:r>
            <w:r w:rsidRPr="002E369C">
              <w:t>with greater sectoral or geographic coherence</w:t>
            </w:r>
          </w:p>
        </w:tc>
        <w:tc>
          <w:tcPr>
            <w:tcW w:w="11056" w:type="dxa"/>
          </w:tcPr>
          <w:p w14:paraId="01DEEA0A" w14:textId="4F28A839" w:rsidR="00355650" w:rsidRDefault="00355650" w:rsidP="00864DDD">
            <w:pPr>
              <w:pStyle w:val="TableText"/>
              <w:numPr>
                <w:ilvl w:val="0"/>
                <w:numId w:val="22"/>
              </w:numPr>
              <w:ind w:left="456"/>
              <w:cnfStyle w:val="000000000000" w:firstRow="0" w:lastRow="0" w:firstColumn="0" w:lastColumn="0" w:oddVBand="0" w:evenVBand="0" w:oddHBand="0" w:evenHBand="0" w:firstRowFirstColumn="0" w:firstRowLastColumn="0" w:lastRowFirstColumn="0" w:lastRowLastColumn="0"/>
            </w:pPr>
            <w:r>
              <w:t>Could allow a steady “drumbeat” of project announcements supporting Australia’s public diplomacy efforts</w:t>
            </w:r>
            <w:r w:rsidR="00B54109">
              <w:t>, although risks that this could generate smaller “sugar hits” rather than the same long-term impact of larger investments</w:t>
            </w:r>
          </w:p>
          <w:p w14:paraId="5FC53482" w14:textId="77777777" w:rsidR="00355650" w:rsidRDefault="00355650" w:rsidP="00864DDD">
            <w:pPr>
              <w:pStyle w:val="TableText"/>
              <w:numPr>
                <w:ilvl w:val="0"/>
                <w:numId w:val="22"/>
              </w:numPr>
              <w:ind w:left="456"/>
              <w:cnfStyle w:val="000000000000" w:firstRow="0" w:lastRow="0" w:firstColumn="0" w:lastColumn="0" w:oddVBand="0" w:evenVBand="0" w:oddHBand="0" w:evenHBand="0" w:firstRowFirstColumn="0" w:firstRowLastColumn="0" w:lastRowFirstColumn="0" w:lastRowLastColumn="0"/>
            </w:pPr>
            <w:r>
              <w:t>Greater sectoral or geographic coherence would allow for efficiencies in delivery, potentially reducing current risks of delays</w:t>
            </w:r>
          </w:p>
          <w:p w14:paraId="30847627" w14:textId="7097AADF" w:rsidR="00FC7BF6" w:rsidRDefault="00355650" w:rsidP="00864DDD">
            <w:pPr>
              <w:pStyle w:val="TableText"/>
              <w:numPr>
                <w:ilvl w:val="0"/>
                <w:numId w:val="22"/>
              </w:numPr>
              <w:ind w:left="456"/>
              <w:cnfStyle w:val="000000000000" w:firstRow="0" w:lastRow="0" w:firstColumn="0" w:lastColumn="0" w:oddVBand="0" w:evenVBand="0" w:oddHBand="0" w:evenHBand="0" w:firstRowFirstColumn="0" w:firstRowLastColumn="0" w:lastRowFirstColumn="0" w:lastRowLastColumn="0"/>
            </w:pPr>
            <w:r>
              <w:t>Risks: If implemented through MDB cofinancing (i</w:t>
            </w:r>
            <w:r w:rsidR="003F08FB">
              <w:t>.</w:t>
            </w:r>
            <w:r>
              <w:t>e</w:t>
            </w:r>
            <w:r w:rsidR="003F08FB">
              <w:t>.</w:t>
            </w:r>
            <w:r>
              <w:t xml:space="preserve"> CAUSE) Australian visibility can be negotiated but will be more limited than bilateral. Publicity around smaller projects risks being regular sugar hits, rather than sustained</w:t>
            </w:r>
          </w:p>
        </w:tc>
      </w:tr>
      <w:tr w:rsidR="00AB0BA4" w14:paraId="12E79E0F" w14:textId="77777777" w:rsidTr="00694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3A1D711" w14:textId="7839BEBB" w:rsidR="00AB0BA4" w:rsidRDefault="00AB0BA4" w:rsidP="00AB0BA4">
            <w:pPr>
              <w:pStyle w:val="TableText"/>
            </w:pPr>
            <w:r w:rsidRPr="002E369C">
              <w:t>Option 3: Ensuring that SIIP remains highly responsive to demand and able to fund a variety of projects rather than seeking to identify priorities top down in advance</w:t>
            </w:r>
          </w:p>
        </w:tc>
        <w:tc>
          <w:tcPr>
            <w:tcW w:w="11056" w:type="dxa"/>
          </w:tcPr>
          <w:p w14:paraId="7326300D" w14:textId="7C529C3A" w:rsidR="00694FB0" w:rsidRDefault="00694FB0"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rsidRPr="00694FB0">
              <w:t xml:space="preserve">Maximising flexibility to respond to “bottom up” priorities emerging during SIIP Phase </w:t>
            </w:r>
            <w:r w:rsidR="008D11A4">
              <w:t>Two</w:t>
            </w:r>
            <w:r w:rsidR="008D11A4" w:rsidRPr="00694FB0">
              <w:t xml:space="preserve"> </w:t>
            </w:r>
            <w:r w:rsidRPr="00694FB0">
              <w:t xml:space="preserve">implementation </w:t>
            </w:r>
          </w:p>
          <w:p w14:paraId="3C148683" w14:textId="27C2B1A8" w:rsidR="006860E1" w:rsidRDefault="006860E1"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t>Ensures responsiveness to changing SIG or Australian priorities</w:t>
            </w:r>
          </w:p>
          <w:p w14:paraId="7A79138C" w14:textId="07F3FBE2" w:rsidR="006860E1" w:rsidRDefault="006860E1"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t>Activities can be included or adjusted relatively easily</w:t>
            </w:r>
          </w:p>
          <w:p w14:paraId="12C461C6" w14:textId="4AC6BF5D" w:rsidR="00AB0BA4" w:rsidRDefault="006860E1" w:rsidP="00864DDD">
            <w:pPr>
              <w:pStyle w:val="TableText"/>
              <w:numPr>
                <w:ilvl w:val="0"/>
                <w:numId w:val="22"/>
              </w:numPr>
              <w:ind w:left="456"/>
              <w:cnfStyle w:val="000000100000" w:firstRow="0" w:lastRow="0" w:firstColumn="0" w:lastColumn="0" w:oddVBand="0" w:evenVBand="0" w:oddHBand="1" w:evenHBand="0" w:firstRowFirstColumn="0" w:firstRowLastColumn="0" w:lastRowFirstColumn="0" w:lastRowLastColumn="0"/>
            </w:pPr>
            <w:r>
              <w:t>Risks: Limited ability to engage on strategic infrastructure priorities or to plan in advance. Lack of coherence across program risks limiting scope of efficiencies in delivery resulting in delays and higher costs.</w:t>
            </w:r>
          </w:p>
        </w:tc>
      </w:tr>
    </w:tbl>
    <w:p w14:paraId="0BAA4B8B" w14:textId="2DEE888F" w:rsidR="0042037A" w:rsidRDefault="00BB15A1" w:rsidP="00BB15A1">
      <w:pPr>
        <w:pStyle w:val="Caption"/>
      </w:pPr>
      <w:bookmarkStart w:id="70" w:name="_Ref165114787"/>
      <w:bookmarkStart w:id="71" w:name="_Toc166101376"/>
      <w:r>
        <w:t xml:space="preserve">Figure </w:t>
      </w:r>
      <w:r w:rsidR="00C23BCA">
        <w:fldChar w:fldCharType="begin"/>
      </w:r>
      <w:r w:rsidR="00C23BCA">
        <w:instrText xml:space="preserve"> SEQ Figure \* ARABIC </w:instrText>
      </w:r>
      <w:r w:rsidR="00C23BCA">
        <w:fldChar w:fldCharType="separate"/>
      </w:r>
      <w:r w:rsidR="00DC1E3F">
        <w:rPr>
          <w:noProof/>
        </w:rPr>
        <w:t>9</w:t>
      </w:r>
      <w:r w:rsidR="00C23BCA">
        <w:rPr>
          <w:noProof/>
        </w:rPr>
        <w:fldChar w:fldCharType="end"/>
      </w:r>
      <w:bookmarkEnd w:id="70"/>
      <w:r>
        <w:t>: Strategic options to refocus SIIP in the medium term</w:t>
      </w:r>
      <w:bookmarkEnd w:id="71"/>
    </w:p>
    <w:p w14:paraId="0781129C" w14:textId="77777777" w:rsidR="00E27082" w:rsidRDefault="00E27082" w:rsidP="00481405">
      <w:pPr>
        <w:sectPr w:rsidR="00E27082" w:rsidSect="002F081F">
          <w:pgSz w:w="16840" w:h="11900" w:orient="landscape"/>
          <w:pgMar w:top="1440" w:right="1418" w:bottom="1440" w:left="1440" w:header="709" w:footer="709" w:gutter="0"/>
          <w:cols w:space="708"/>
          <w:docGrid w:linePitch="360"/>
        </w:sectPr>
      </w:pPr>
    </w:p>
    <w:p w14:paraId="40900213" w14:textId="48CDFAC4" w:rsidR="004604B0" w:rsidRDefault="00C61185" w:rsidP="00C61185">
      <w:pPr>
        <w:pStyle w:val="Heading3"/>
      </w:pPr>
      <w:bookmarkStart w:id="72" w:name="_Ref165119698"/>
      <w:r>
        <w:lastRenderedPageBreak/>
        <w:t>What does this mean for the program modalities?</w:t>
      </w:r>
      <w:bookmarkEnd w:id="72"/>
    </w:p>
    <w:p w14:paraId="0B3C4735" w14:textId="0840648B" w:rsidR="001D41F9" w:rsidRDefault="005248A1" w:rsidP="00E46172">
      <w:r>
        <w:t xml:space="preserve">The Effectiveness </w:t>
      </w:r>
      <w:r w:rsidR="009608D6">
        <w:t xml:space="preserve">question </w:t>
      </w:r>
      <w:r>
        <w:t>EQ</w:t>
      </w:r>
      <w:r w:rsidR="00BF3EC8">
        <w:t>8 ask</w:t>
      </w:r>
      <w:r w:rsidR="00E46172">
        <w:t xml:space="preserve">s the extent to which the </w:t>
      </w:r>
      <w:r w:rsidR="0013408F">
        <w:t>program’s</w:t>
      </w:r>
      <w:r w:rsidR="00E46172">
        <w:t xml:space="preserve"> </w:t>
      </w:r>
      <w:r w:rsidR="00E46172" w:rsidRPr="00E46172">
        <w:t xml:space="preserve">modalities </w:t>
      </w:r>
      <w:r w:rsidR="00E46172">
        <w:t xml:space="preserve">area </w:t>
      </w:r>
      <w:r w:rsidR="00E46172" w:rsidRPr="00E46172">
        <w:t>the most effective for delivering infrastructure in Solomon Islands</w:t>
      </w:r>
      <w:r w:rsidR="00E46172">
        <w:t>, and the response direct</w:t>
      </w:r>
      <w:r w:rsidR="00C61185">
        <w:t>s</w:t>
      </w:r>
      <w:r w:rsidR="00E46172">
        <w:t xml:space="preserve"> the reader to this section. This is because </w:t>
      </w:r>
      <w:r w:rsidR="00BF3EC8" w:rsidRPr="009608D6">
        <w:rPr>
          <w:rStyle w:val="HeadlinefindingChar"/>
        </w:rPr>
        <w:t xml:space="preserve">the </w:t>
      </w:r>
      <w:r w:rsidR="009608D6" w:rsidRPr="009608D6">
        <w:rPr>
          <w:rStyle w:val="HeadlinefindingChar"/>
        </w:rPr>
        <w:t xml:space="preserve">review team found that the most fit for purpose </w:t>
      </w:r>
      <w:r w:rsidR="00E46172" w:rsidRPr="009608D6">
        <w:rPr>
          <w:rStyle w:val="HeadlinefindingChar"/>
        </w:rPr>
        <w:t>c</w:t>
      </w:r>
      <w:r w:rsidR="001D41F9" w:rsidRPr="009608D6">
        <w:rPr>
          <w:rStyle w:val="HeadlinefindingChar"/>
        </w:rPr>
        <w:t>ontracting modalities will fall out of strategic decisions</w:t>
      </w:r>
      <w:r w:rsidR="009608D6" w:rsidRPr="009608D6">
        <w:rPr>
          <w:rStyle w:val="HeadlinefindingChar"/>
        </w:rPr>
        <w:t xml:space="preserve"> yet to be made</w:t>
      </w:r>
      <w:r w:rsidR="009608D6">
        <w:t xml:space="preserve">. Here we present a </w:t>
      </w:r>
      <w:r w:rsidR="0041070E">
        <w:t>summary of the ways in which future contracting modalities will be influenced by those decisions:</w:t>
      </w:r>
      <w:r w:rsidR="009608D6">
        <w:t xml:space="preserve"> </w:t>
      </w:r>
    </w:p>
    <w:p w14:paraId="64BCD206" w14:textId="7CFFF80F" w:rsidR="0041070E" w:rsidRDefault="001D41F9" w:rsidP="00864DDD">
      <w:pPr>
        <w:pStyle w:val="ListParagraph"/>
        <w:numPr>
          <w:ilvl w:val="0"/>
          <w:numId w:val="23"/>
        </w:numPr>
      </w:pPr>
      <w:r w:rsidRPr="0032760F">
        <w:rPr>
          <w:b/>
          <w:bCs/>
        </w:rPr>
        <w:t>“Bigger ticket” infra</w:t>
      </w:r>
      <w:r w:rsidR="0041070E" w:rsidRPr="0032760F">
        <w:rPr>
          <w:b/>
          <w:bCs/>
        </w:rPr>
        <w:t>structure projects</w:t>
      </w:r>
      <w:r w:rsidRPr="0032760F">
        <w:rPr>
          <w:b/>
          <w:bCs/>
        </w:rPr>
        <w:t xml:space="preserve"> will need a specialised </w:t>
      </w:r>
      <w:r w:rsidR="00D8460A" w:rsidRPr="0032760F">
        <w:rPr>
          <w:b/>
          <w:bCs/>
        </w:rPr>
        <w:t>owner’s</w:t>
      </w:r>
      <w:r w:rsidRPr="0032760F">
        <w:rPr>
          <w:b/>
          <w:bCs/>
        </w:rPr>
        <w:t xml:space="preserve"> engineer </w:t>
      </w:r>
      <w:r>
        <w:t>undertaking design, procurement of works contractor, and supervision for individual projects</w:t>
      </w:r>
      <w:r w:rsidR="0041070E">
        <w:t>. This would look s</w:t>
      </w:r>
      <w:r>
        <w:t>imilar to MDB, AIFFP, or NZ airports contracting structures</w:t>
      </w:r>
      <w:r w:rsidR="0041070E">
        <w:t>.</w:t>
      </w:r>
    </w:p>
    <w:p w14:paraId="7B383BD2" w14:textId="77777777" w:rsidR="004C7A47" w:rsidRDefault="001D41F9" w:rsidP="00864DDD">
      <w:pPr>
        <w:pStyle w:val="ListParagraph"/>
        <w:numPr>
          <w:ilvl w:val="0"/>
          <w:numId w:val="23"/>
        </w:numPr>
      </w:pPr>
      <w:r w:rsidRPr="0032760F">
        <w:rPr>
          <w:b/>
          <w:bCs/>
        </w:rPr>
        <w:t>For smaller scale infrastructure with a degree of coherence in project selection, a construction firm led model</w:t>
      </w:r>
      <w:r>
        <w:t xml:space="preserve"> could be considered</w:t>
      </w:r>
      <w:r w:rsidR="000D79A7">
        <w:t>. For example, a</w:t>
      </w:r>
      <w:r>
        <w:t xml:space="preserve"> single Australian contractor recruited to undertake all small scale activities in a way that would be more difficult for larger, specialised works</w:t>
      </w:r>
      <w:r w:rsidR="000D79A7">
        <w:t>. This would m</w:t>
      </w:r>
      <w:r>
        <w:t xml:space="preserve">aximise speed, although with some potential risks </w:t>
      </w:r>
      <w:r w:rsidR="000D79A7">
        <w:t xml:space="preserve">such as </w:t>
      </w:r>
      <w:r>
        <w:t>some independent supervision needed</w:t>
      </w:r>
      <w:r w:rsidR="000D79A7">
        <w:t xml:space="preserve">. </w:t>
      </w:r>
      <w:r>
        <w:t>Local participation could still be substantial, although would mean local firms sub-contracted rather than head contractors</w:t>
      </w:r>
    </w:p>
    <w:p w14:paraId="2A95ADBC" w14:textId="513CD5FC" w:rsidR="004810EB" w:rsidRDefault="001D41F9" w:rsidP="00864DDD">
      <w:pPr>
        <w:pStyle w:val="ListParagraph"/>
        <w:numPr>
          <w:ilvl w:val="0"/>
          <w:numId w:val="23"/>
        </w:numPr>
      </w:pPr>
      <w:r w:rsidRPr="004C7A47">
        <w:rPr>
          <w:b/>
          <w:bCs/>
        </w:rPr>
        <w:t>A managing contractor likely to be required again if priority is on responding flexibly</w:t>
      </w:r>
      <w:r>
        <w:t xml:space="preserve"> and responsively to a wide range of activities identified only during implementation</w:t>
      </w:r>
      <w:r w:rsidR="004C7A47">
        <w:t xml:space="preserve">. </w:t>
      </w:r>
      <w:r>
        <w:t xml:space="preserve">Even with a </w:t>
      </w:r>
      <w:r w:rsidR="00FB2A3D">
        <w:t>Managing Contractor (</w:t>
      </w:r>
      <w:r>
        <w:t>MC</w:t>
      </w:r>
      <w:r w:rsidR="00FB2A3D">
        <w:t>)</w:t>
      </w:r>
      <w:r>
        <w:t xml:space="preserve"> model, priority could be given to a firm able to do “in house” engineering design/supervision rather than contracting out even small projects</w:t>
      </w:r>
      <w:r w:rsidR="004C7A47">
        <w:t>.</w:t>
      </w:r>
    </w:p>
    <w:p w14:paraId="51B1790E" w14:textId="77777777" w:rsidR="004810EB" w:rsidRPr="004810EB" w:rsidRDefault="004810EB" w:rsidP="004810EB">
      <w:pPr>
        <w:pStyle w:val="Heading3"/>
      </w:pPr>
      <w:bookmarkStart w:id="73" w:name="_Ref165118914"/>
      <w:r w:rsidRPr="004810EB">
        <w:t>Managing the transition from Phase 1 to Phase 2</w:t>
      </w:r>
      <w:bookmarkEnd w:id="73"/>
    </w:p>
    <w:p w14:paraId="17AA929F" w14:textId="2DF0F3B1" w:rsidR="004810EB" w:rsidRPr="004810EB" w:rsidRDefault="004810EB" w:rsidP="004810EB">
      <w:r w:rsidRPr="004810EB">
        <w:rPr>
          <w:b/>
          <w:bCs/>
        </w:rPr>
        <w:t xml:space="preserve">The review found that the transition from SIIP </w:t>
      </w:r>
      <w:r w:rsidR="008D11A4">
        <w:rPr>
          <w:b/>
          <w:bCs/>
        </w:rPr>
        <w:t>P</w:t>
      </w:r>
      <w:r w:rsidR="008D11A4" w:rsidRPr="004810EB">
        <w:rPr>
          <w:b/>
          <w:bCs/>
        </w:rPr>
        <w:t xml:space="preserve">hase </w:t>
      </w:r>
      <w:r w:rsidR="008D11A4">
        <w:rPr>
          <w:b/>
          <w:bCs/>
        </w:rPr>
        <w:t>One</w:t>
      </w:r>
      <w:r w:rsidRPr="004810EB">
        <w:rPr>
          <w:b/>
          <w:bCs/>
        </w:rPr>
        <w:t xml:space="preserve"> to </w:t>
      </w:r>
      <w:r w:rsidR="008D11A4">
        <w:rPr>
          <w:b/>
          <w:bCs/>
        </w:rPr>
        <w:t>P</w:t>
      </w:r>
      <w:r w:rsidRPr="004810EB">
        <w:rPr>
          <w:b/>
          <w:bCs/>
        </w:rPr>
        <w:t xml:space="preserve">hase </w:t>
      </w:r>
      <w:r w:rsidR="008D11A4">
        <w:rPr>
          <w:b/>
          <w:bCs/>
        </w:rPr>
        <w:t>Two</w:t>
      </w:r>
      <w:r w:rsidRPr="004810EB">
        <w:rPr>
          <w:b/>
          <w:bCs/>
        </w:rPr>
        <w:t xml:space="preserve"> is crucial </w:t>
      </w:r>
      <w:r w:rsidRPr="004810EB">
        <w:t xml:space="preserve">to maintain current momentum and ensure that the redefined strategic focus and program arrangements are in place to deliver sustainable change against the EOPOs and overarching goal. Planning for </w:t>
      </w:r>
      <w:r w:rsidR="008D11A4">
        <w:t>P</w:t>
      </w:r>
      <w:r w:rsidRPr="004810EB">
        <w:t xml:space="preserve">hase </w:t>
      </w:r>
      <w:r w:rsidR="008D11A4">
        <w:t>Two</w:t>
      </w:r>
      <w:r w:rsidRPr="004810EB">
        <w:t xml:space="preserve"> will be needed to commence in quarter 2 of 2024, with the short term strategic questions discussed above needing to be addressed. Key considerations in the planning stage for Phase </w:t>
      </w:r>
      <w:r w:rsidR="002A7D9C">
        <w:t>Two</w:t>
      </w:r>
      <w:r w:rsidR="002A7D9C" w:rsidRPr="004810EB">
        <w:t xml:space="preserve"> </w:t>
      </w:r>
      <w:r w:rsidRPr="004810EB">
        <w:t>are summarised below:</w:t>
      </w:r>
    </w:p>
    <w:p w14:paraId="05C78A0C" w14:textId="30C79B55" w:rsidR="004810EB" w:rsidRPr="004810EB" w:rsidRDefault="004810EB" w:rsidP="00864DDD">
      <w:pPr>
        <w:numPr>
          <w:ilvl w:val="0"/>
          <w:numId w:val="25"/>
        </w:numPr>
      </w:pPr>
      <w:r w:rsidRPr="004810EB">
        <w:t xml:space="preserve">It is likely that DT Global may require a further extension to parts of </w:t>
      </w:r>
      <w:r w:rsidR="002A7D9C">
        <w:t xml:space="preserve">the </w:t>
      </w:r>
      <w:r w:rsidRPr="004810EB">
        <w:t xml:space="preserve">current SIIP Hub to complete </w:t>
      </w:r>
      <w:r w:rsidR="002A7D9C">
        <w:t>P</w:t>
      </w:r>
      <w:r w:rsidR="002A7D9C" w:rsidRPr="004810EB">
        <w:t xml:space="preserve">hase </w:t>
      </w:r>
      <w:r w:rsidR="002A7D9C">
        <w:t>One</w:t>
      </w:r>
      <w:r w:rsidRPr="004810EB">
        <w:t xml:space="preserve"> activities, if a change in delivery modality is decided upon and procurement of alternative providers takes place. For example, </w:t>
      </w:r>
      <w:r w:rsidR="003F08FB">
        <w:t>Naha Birthing</w:t>
      </w:r>
      <w:r w:rsidR="002A7D9C">
        <w:t xml:space="preserve"> and Urban Health</w:t>
      </w:r>
      <w:r w:rsidR="003F08FB">
        <w:t xml:space="preserve"> Clinic</w:t>
      </w:r>
      <w:r w:rsidRPr="004810EB">
        <w:t xml:space="preserve"> is likely to still be in construction until </w:t>
      </w:r>
      <w:r w:rsidR="002A7D9C">
        <w:t xml:space="preserve">early </w:t>
      </w:r>
      <w:r w:rsidRPr="004810EB">
        <w:t xml:space="preserve">2026, and bringing in another firm to take over supervision mid-way will be messy. Any extension might be limited to specific activities, with overall wind-down of Phase </w:t>
      </w:r>
      <w:r w:rsidR="002A7D9C">
        <w:t>One</w:t>
      </w:r>
      <w:r w:rsidRPr="004810EB">
        <w:t xml:space="preserve">. </w:t>
      </w:r>
    </w:p>
    <w:p w14:paraId="5307AF3F" w14:textId="749ED96D" w:rsidR="004810EB" w:rsidRPr="004810EB" w:rsidRDefault="004810EB" w:rsidP="00864DDD">
      <w:pPr>
        <w:numPr>
          <w:ilvl w:val="0"/>
          <w:numId w:val="25"/>
        </w:numPr>
      </w:pPr>
      <w:r w:rsidRPr="004810EB">
        <w:t xml:space="preserve">With Phase </w:t>
      </w:r>
      <w:r w:rsidR="002A7D9C">
        <w:t>Two</w:t>
      </w:r>
      <w:r w:rsidR="002A7D9C" w:rsidRPr="004810EB">
        <w:t xml:space="preserve"> </w:t>
      </w:r>
      <w:r w:rsidRPr="004810EB">
        <w:t xml:space="preserve">design likely to take place in late 2024, and contracting in 2025, this may potentially allow an alternative provider to take over engineering supervision as other activities move from design/procurement to implementation. These include Buala wharf, current “on hold activities”, and Kirakira/Tenaru markets. </w:t>
      </w:r>
    </w:p>
    <w:p w14:paraId="68DAE943" w14:textId="77777777" w:rsidR="004810EB" w:rsidRPr="004810EB" w:rsidRDefault="004810EB" w:rsidP="00864DDD">
      <w:pPr>
        <w:numPr>
          <w:ilvl w:val="0"/>
          <w:numId w:val="25"/>
        </w:numPr>
      </w:pPr>
      <w:r w:rsidRPr="004810EB">
        <w:t>It will be critical to have a firm contracted by late second quarter 2025 to avoid the transition resulting in delays ,or leaving little option other than to extend current arrangements through 2027.</w:t>
      </w:r>
    </w:p>
    <w:p w14:paraId="3133A654" w14:textId="41B98BFA" w:rsidR="004810EB" w:rsidRPr="004810EB" w:rsidRDefault="004810EB" w:rsidP="004810EB">
      <w:r w:rsidRPr="004810EB">
        <w:rPr>
          <w:b/>
          <w:bCs/>
        </w:rPr>
        <w:t>More widely, the review found that phasing of SIIP does not reflect lead times for infrastructure design and construction</w:t>
      </w:r>
      <w:r w:rsidRPr="004810EB">
        <w:t>, currently set as three phases</w:t>
      </w:r>
      <w:r w:rsidR="00A96262">
        <w:t xml:space="preserve"> </w:t>
      </w:r>
      <w:r w:rsidRPr="004810EB">
        <w:t>over 10 years consisting of 4 years, 3 years, and 3 years</w:t>
      </w:r>
      <w:r w:rsidR="00A96262">
        <w:t xml:space="preserve"> </w:t>
      </w:r>
      <w:r w:rsidR="00A96262" w:rsidRPr="00A96262">
        <w:t>(according to the design document)</w:t>
      </w:r>
      <w:r w:rsidRPr="004810EB">
        <w:t xml:space="preserve">. It may benefit the program to reframe the contracting arrangements such that Phase 2 contracting sees out the remaining years of program delivery. </w:t>
      </w:r>
    </w:p>
    <w:p w14:paraId="129C564B" w14:textId="3818CCDF" w:rsidR="00E73AC1" w:rsidRPr="00B90C47" w:rsidRDefault="00E73AC1" w:rsidP="004810EB">
      <w:r w:rsidRPr="00B66B6B">
        <w:br w:type="page"/>
      </w:r>
    </w:p>
    <w:p w14:paraId="4E9404B3" w14:textId="3D80D5F1" w:rsidR="00FB2C3C" w:rsidRPr="00B66B6B" w:rsidRDefault="00BE09F4" w:rsidP="00881A99">
      <w:pPr>
        <w:pStyle w:val="Heading1"/>
      </w:pPr>
      <w:bookmarkStart w:id="74" w:name="_Toc165140744"/>
      <w:r w:rsidRPr="00B66B6B">
        <w:lastRenderedPageBreak/>
        <w:t>RECOMMENDATIONS</w:t>
      </w:r>
      <w:bookmarkEnd w:id="52"/>
      <w:bookmarkEnd w:id="74"/>
    </w:p>
    <w:p w14:paraId="17150397" w14:textId="3E97A3B5" w:rsidR="005457C6" w:rsidRDefault="00FC730B" w:rsidP="00FC730B">
      <w:bookmarkStart w:id="75" w:name="_Toc520113657"/>
      <w:bookmarkStart w:id="76" w:name="_Toc520113947"/>
      <w:bookmarkStart w:id="77" w:name="_Toc520292699"/>
      <w:r>
        <w:t>This section provides recommendations for improving SIIP</w:t>
      </w:r>
      <w:r w:rsidR="00FC2252">
        <w:t xml:space="preserve">, to support its trajectory towards achieving the program’s EOPOs and overall goal. As much of the discussion around options and a ‘way forward’ was presented in the Findings section, </w:t>
      </w:r>
      <w:r w:rsidR="005E0A4D">
        <w:t xml:space="preserve">a set of </w:t>
      </w:r>
      <w:r w:rsidR="006934B5">
        <w:t>ten</w:t>
      </w:r>
      <w:r w:rsidR="00FC2252">
        <w:t xml:space="preserve"> recommendations for the program are summarised </w:t>
      </w:r>
      <w:r w:rsidR="002D7C1D">
        <w:t>below</w:t>
      </w:r>
      <w:r w:rsidR="00FC2252">
        <w:t xml:space="preserve">, with reference to the relevant discussion in the wider document where additional rationale or context may be needed. </w:t>
      </w:r>
      <w:r w:rsidR="00786692">
        <w:t xml:space="preserve"> </w:t>
      </w:r>
    </w:p>
    <w:tbl>
      <w:tblPr>
        <w:tblStyle w:val="TableGridLigh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946"/>
        <w:gridCol w:w="1701"/>
      </w:tblGrid>
      <w:tr w:rsidR="001B3E58" w:rsidRPr="001B3E58" w14:paraId="74AD9FB5" w14:textId="77777777" w:rsidTr="006934B5">
        <w:tc>
          <w:tcPr>
            <w:tcW w:w="567" w:type="dxa"/>
            <w:shd w:val="clear" w:color="auto" w:fill="2F5496" w:themeFill="accent1" w:themeFillShade="BF"/>
          </w:tcPr>
          <w:p w14:paraId="129BA27A" w14:textId="5CDC855B" w:rsidR="001B3E58" w:rsidRPr="001B3E58" w:rsidRDefault="00915042" w:rsidP="00FE1D00">
            <w:pPr>
              <w:rPr>
                <w:b/>
                <w:bCs/>
                <w:color w:val="FFFFFF" w:themeColor="background1"/>
              </w:rPr>
            </w:pPr>
            <w:r>
              <w:rPr>
                <w:b/>
                <w:bCs/>
                <w:color w:val="FFFFFF" w:themeColor="background1"/>
              </w:rPr>
              <w:t>#</w:t>
            </w:r>
          </w:p>
        </w:tc>
        <w:tc>
          <w:tcPr>
            <w:tcW w:w="6946" w:type="dxa"/>
            <w:shd w:val="clear" w:color="auto" w:fill="2F5496" w:themeFill="accent1" w:themeFillShade="BF"/>
          </w:tcPr>
          <w:p w14:paraId="77B4F02B" w14:textId="24C66177" w:rsidR="001B3E58" w:rsidRPr="001B3E58" w:rsidRDefault="001B3E58" w:rsidP="00FE1D00">
            <w:pPr>
              <w:rPr>
                <w:b/>
                <w:bCs/>
                <w:color w:val="FFFFFF" w:themeColor="background1"/>
              </w:rPr>
            </w:pPr>
            <w:r w:rsidRPr="001B3E58">
              <w:rPr>
                <w:b/>
                <w:bCs/>
                <w:color w:val="FFFFFF" w:themeColor="background1"/>
              </w:rPr>
              <w:t>Recommendation</w:t>
            </w:r>
          </w:p>
        </w:tc>
        <w:tc>
          <w:tcPr>
            <w:tcW w:w="1701" w:type="dxa"/>
            <w:shd w:val="clear" w:color="auto" w:fill="2F5496" w:themeFill="accent1" w:themeFillShade="BF"/>
          </w:tcPr>
          <w:p w14:paraId="736E9741" w14:textId="517258E7" w:rsidR="001B3E58" w:rsidRPr="001B3E58" w:rsidRDefault="001B3E58" w:rsidP="00FE1D00">
            <w:pPr>
              <w:rPr>
                <w:b/>
                <w:bCs/>
                <w:color w:val="FFFFFF" w:themeColor="background1"/>
              </w:rPr>
            </w:pPr>
            <w:r w:rsidRPr="001B3E58">
              <w:rPr>
                <w:b/>
                <w:bCs/>
                <w:color w:val="FFFFFF" w:themeColor="background1"/>
              </w:rPr>
              <w:t>Relevant Section</w:t>
            </w:r>
          </w:p>
        </w:tc>
      </w:tr>
      <w:tr w:rsidR="006934B5" w14:paraId="7B556B3A" w14:textId="77777777" w:rsidTr="006934B5">
        <w:tc>
          <w:tcPr>
            <w:tcW w:w="567" w:type="dxa"/>
            <w:shd w:val="clear" w:color="auto" w:fill="auto"/>
          </w:tcPr>
          <w:p w14:paraId="74128504" w14:textId="33581F4A" w:rsidR="00707BC2" w:rsidRDefault="00707BC2" w:rsidP="00707BC2">
            <w:r>
              <w:t xml:space="preserve">1. </w:t>
            </w:r>
          </w:p>
        </w:tc>
        <w:tc>
          <w:tcPr>
            <w:tcW w:w="6946" w:type="dxa"/>
            <w:shd w:val="clear" w:color="auto" w:fill="auto"/>
          </w:tcPr>
          <w:p w14:paraId="0585E63D" w14:textId="7BEF9AD9" w:rsidR="002A1E7A" w:rsidRDefault="002A1E7A" w:rsidP="00FE1D00">
            <w:r w:rsidRPr="003569A6">
              <w:t xml:space="preserve">It is recommended that </w:t>
            </w:r>
            <w:r w:rsidR="007208A7">
              <w:t>DFAT</w:t>
            </w:r>
            <w:r w:rsidRPr="003569A6">
              <w:t xml:space="preserve"> considers the </w:t>
            </w:r>
            <w:r w:rsidR="00FE1D00">
              <w:t xml:space="preserve">set of strategic medium term </w:t>
            </w:r>
            <w:r w:rsidRPr="003569A6">
              <w:t xml:space="preserve">options presented </w:t>
            </w:r>
            <w:r w:rsidR="00FE1D00">
              <w:t xml:space="preserve">in the report, </w:t>
            </w:r>
            <w:r w:rsidRPr="003569A6">
              <w:t xml:space="preserve">and </w:t>
            </w:r>
            <w:r>
              <w:t>arranges</w:t>
            </w:r>
            <w:r w:rsidRPr="003569A6">
              <w:t xml:space="preserve"> a conversation with SIG in the coming months to redefine the strategic focus of SIIP</w:t>
            </w:r>
            <w:r w:rsidR="00FE1D00">
              <w:t>.</w:t>
            </w:r>
          </w:p>
        </w:tc>
        <w:tc>
          <w:tcPr>
            <w:tcW w:w="1701" w:type="dxa"/>
            <w:shd w:val="clear" w:color="auto" w:fill="auto"/>
          </w:tcPr>
          <w:p w14:paraId="7CDE6854" w14:textId="6141732D" w:rsidR="002A1E7A" w:rsidRDefault="002A1E7A" w:rsidP="00FE1D00">
            <w:r w:rsidRPr="003569A6">
              <w:t xml:space="preserve">Section </w:t>
            </w:r>
            <w:r w:rsidRPr="003569A6">
              <w:fldChar w:fldCharType="begin"/>
            </w:r>
            <w:r w:rsidRPr="003569A6">
              <w:instrText xml:space="preserve"> REF _Ref165118559 \n \h </w:instrText>
            </w:r>
            <w:r w:rsidR="00FE1D00">
              <w:instrText xml:space="preserve"> \* MERGEFORMAT </w:instrText>
            </w:r>
            <w:r w:rsidRPr="003569A6">
              <w:fldChar w:fldCharType="separate"/>
            </w:r>
            <w:r w:rsidR="00DC1E3F">
              <w:t>2.5.5</w:t>
            </w:r>
            <w:r w:rsidRPr="003569A6">
              <w:fldChar w:fldCharType="end"/>
            </w:r>
          </w:p>
        </w:tc>
      </w:tr>
      <w:tr w:rsidR="001B3E58" w14:paraId="7A02C855" w14:textId="77777777" w:rsidTr="006934B5">
        <w:tc>
          <w:tcPr>
            <w:tcW w:w="567" w:type="dxa"/>
            <w:shd w:val="clear" w:color="auto" w:fill="E7E6E6" w:themeFill="background2"/>
          </w:tcPr>
          <w:p w14:paraId="55820103" w14:textId="01AD84F3" w:rsidR="001B3E58" w:rsidRDefault="00707BC2" w:rsidP="00FE1D00">
            <w:r>
              <w:t>2.</w:t>
            </w:r>
          </w:p>
        </w:tc>
        <w:tc>
          <w:tcPr>
            <w:tcW w:w="6946" w:type="dxa"/>
            <w:shd w:val="clear" w:color="auto" w:fill="E7E6E6" w:themeFill="background2"/>
          </w:tcPr>
          <w:p w14:paraId="776DAB93" w14:textId="4D482F75" w:rsidR="001B3E58" w:rsidRPr="003569A6" w:rsidRDefault="001B3E58" w:rsidP="00FE1D00">
            <w:r>
              <w:t xml:space="preserve">It is recommended that as a result of </w:t>
            </w:r>
            <w:r w:rsidR="00707BC2">
              <w:t xml:space="preserve">redefining the strategic focus of SIIP, decisions are to be made by </w:t>
            </w:r>
            <w:r w:rsidR="007208A7">
              <w:t>DFAT</w:t>
            </w:r>
            <w:r w:rsidR="00707BC2">
              <w:t xml:space="preserve"> as to the best suited delivery model for the program</w:t>
            </w:r>
            <w:r w:rsidR="002A7D9C">
              <w:t>.</w:t>
            </w:r>
          </w:p>
        </w:tc>
        <w:tc>
          <w:tcPr>
            <w:tcW w:w="1701" w:type="dxa"/>
            <w:shd w:val="clear" w:color="auto" w:fill="E7E6E6" w:themeFill="background2"/>
          </w:tcPr>
          <w:p w14:paraId="455C1E4A" w14:textId="59FA6D56" w:rsidR="001B3E58" w:rsidRPr="003569A6" w:rsidRDefault="00707BC2" w:rsidP="00FE1D00">
            <w:r>
              <w:t xml:space="preserve">Section </w:t>
            </w:r>
            <w:r>
              <w:fldChar w:fldCharType="begin"/>
            </w:r>
            <w:r>
              <w:instrText xml:space="preserve"> REF _Ref165119698 \n \h  \* MERGEFORMAT </w:instrText>
            </w:r>
            <w:r>
              <w:fldChar w:fldCharType="separate"/>
            </w:r>
            <w:r w:rsidR="00DC1E3F">
              <w:t>2.5.6</w:t>
            </w:r>
            <w:r>
              <w:fldChar w:fldCharType="end"/>
            </w:r>
          </w:p>
        </w:tc>
      </w:tr>
      <w:tr w:rsidR="002A1E7A" w14:paraId="64EE33D5" w14:textId="77777777" w:rsidTr="006934B5">
        <w:tc>
          <w:tcPr>
            <w:tcW w:w="567" w:type="dxa"/>
          </w:tcPr>
          <w:p w14:paraId="16FF9512" w14:textId="2F6A1A7E" w:rsidR="002A1E7A" w:rsidRDefault="00707BC2" w:rsidP="00FE1D00">
            <w:r>
              <w:t>3.</w:t>
            </w:r>
          </w:p>
        </w:tc>
        <w:tc>
          <w:tcPr>
            <w:tcW w:w="6946" w:type="dxa"/>
          </w:tcPr>
          <w:p w14:paraId="660696E6" w14:textId="3F18AFD6" w:rsidR="002A1E7A" w:rsidRDefault="002A1E7A" w:rsidP="00FE1D00">
            <w:r w:rsidRPr="003569A6">
              <w:t xml:space="preserve">It is recommended that </w:t>
            </w:r>
            <w:r w:rsidR="007208A7">
              <w:t>DFAT</w:t>
            </w:r>
            <w:r w:rsidRPr="003569A6">
              <w:t xml:space="preserve"> considers the findings </w:t>
            </w:r>
            <w:r>
              <w:t xml:space="preserve">presented </w:t>
            </w:r>
            <w:r w:rsidRPr="003569A6">
              <w:t xml:space="preserve">and </w:t>
            </w:r>
            <w:r>
              <w:t>arranges</w:t>
            </w:r>
            <w:r w:rsidRPr="003569A6">
              <w:t xml:space="preserve"> a conversation with </w:t>
            </w:r>
            <w:r>
              <w:t xml:space="preserve">senior </w:t>
            </w:r>
            <w:r w:rsidRPr="003569A6">
              <w:t xml:space="preserve">DT Global </w:t>
            </w:r>
            <w:r>
              <w:t xml:space="preserve">representatives </w:t>
            </w:r>
            <w:r w:rsidRPr="003569A6">
              <w:t xml:space="preserve">to discuss a proportionate approach to risk. </w:t>
            </w:r>
          </w:p>
        </w:tc>
        <w:tc>
          <w:tcPr>
            <w:tcW w:w="1701" w:type="dxa"/>
          </w:tcPr>
          <w:p w14:paraId="25D7DAB6" w14:textId="1F96208E" w:rsidR="002A1E7A" w:rsidRDefault="002A1E7A" w:rsidP="00FE1D00">
            <w:r w:rsidRPr="003569A6">
              <w:t xml:space="preserve">Section </w:t>
            </w:r>
            <w:r w:rsidRPr="003569A6">
              <w:fldChar w:fldCharType="begin"/>
            </w:r>
            <w:r w:rsidRPr="003569A6">
              <w:instrText xml:space="preserve"> REF _Ref165118778 \w \h </w:instrText>
            </w:r>
            <w:r w:rsidR="00FE1D00">
              <w:instrText xml:space="preserve"> \* MERGEFORMAT </w:instrText>
            </w:r>
            <w:r w:rsidRPr="003569A6">
              <w:fldChar w:fldCharType="separate"/>
            </w:r>
            <w:r w:rsidR="00DC1E3F">
              <w:t>2.5.2</w:t>
            </w:r>
            <w:r w:rsidRPr="003569A6">
              <w:fldChar w:fldCharType="end"/>
            </w:r>
          </w:p>
        </w:tc>
      </w:tr>
      <w:tr w:rsidR="002A1E7A" w14:paraId="326C9862" w14:textId="77777777" w:rsidTr="006934B5">
        <w:tc>
          <w:tcPr>
            <w:tcW w:w="567" w:type="dxa"/>
            <w:shd w:val="clear" w:color="auto" w:fill="E7E6E6" w:themeFill="background2"/>
          </w:tcPr>
          <w:p w14:paraId="214769AB" w14:textId="213E2E17" w:rsidR="002A1E7A" w:rsidRDefault="00707BC2" w:rsidP="00FE1D00">
            <w:r>
              <w:t>4.</w:t>
            </w:r>
          </w:p>
        </w:tc>
        <w:tc>
          <w:tcPr>
            <w:tcW w:w="6946" w:type="dxa"/>
            <w:shd w:val="clear" w:color="auto" w:fill="E7E6E6" w:themeFill="background2"/>
          </w:tcPr>
          <w:p w14:paraId="4BAD7F31" w14:textId="20FD0800" w:rsidR="002A1E7A" w:rsidRDefault="002A1E7A" w:rsidP="00FE1D00">
            <w:r w:rsidRPr="003569A6">
              <w:t xml:space="preserve">It is recommended that </w:t>
            </w:r>
            <w:r w:rsidR="007208A7">
              <w:t>DFAT</w:t>
            </w:r>
            <w:r w:rsidRPr="003569A6">
              <w:t xml:space="preserve"> requests DT Global to present an options paper on risk for DFAT’s institutional level consideration</w:t>
            </w:r>
            <w:r w:rsidR="002A7D9C">
              <w:t>.</w:t>
            </w:r>
          </w:p>
        </w:tc>
        <w:tc>
          <w:tcPr>
            <w:tcW w:w="1701" w:type="dxa"/>
            <w:shd w:val="clear" w:color="auto" w:fill="E7E6E6" w:themeFill="background2"/>
          </w:tcPr>
          <w:p w14:paraId="59F54BDF" w14:textId="0616F03F" w:rsidR="002A1E7A" w:rsidRDefault="004D3E28" w:rsidP="00FE1D00">
            <w:r>
              <w:t xml:space="preserve">Section </w:t>
            </w:r>
            <w:r>
              <w:fldChar w:fldCharType="begin"/>
            </w:r>
            <w:r>
              <w:instrText xml:space="preserve"> REF _Ref165123748 \n \h </w:instrText>
            </w:r>
            <w:r w:rsidR="001B3E58">
              <w:instrText xml:space="preserve"> \* MERGEFORMAT </w:instrText>
            </w:r>
            <w:r>
              <w:fldChar w:fldCharType="separate"/>
            </w:r>
            <w:r w:rsidR="00DC1E3F">
              <w:t>2.3.4</w:t>
            </w:r>
            <w:r>
              <w:fldChar w:fldCharType="end"/>
            </w:r>
          </w:p>
        </w:tc>
      </w:tr>
      <w:tr w:rsidR="002A1E7A" w14:paraId="645F2CC7" w14:textId="77777777" w:rsidTr="006934B5">
        <w:tc>
          <w:tcPr>
            <w:tcW w:w="567" w:type="dxa"/>
          </w:tcPr>
          <w:p w14:paraId="0B1EB06F" w14:textId="29338D59" w:rsidR="002A1E7A" w:rsidRDefault="00707BC2" w:rsidP="00FE1D00">
            <w:r>
              <w:t>5.</w:t>
            </w:r>
          </w:p>
        </w:tc>
        <w:tc>
          <w:tcPr>
            <w:tcW w:w="6946" w:type="dxa"/>
          </w:tcPr>
          <w:p w14:paraId="33635B15" w14:textId="18D54F99" w:rsidR="002A1E7A" w:rsidRDefault="002A1E7A" w:rsidP="00FE1D00">
            <w:r w:rsidRPr="003569A6">
              <w:t>It is recommended that planning for SIIP Phase 2 begins in the second quarter of 2024</w:t>
            </w:r>
            <w:r>
              <w:t>.</w:t>
            </w:r>
            <w:r w:rsidRPr="003569A6">
              <w:t xml:space="preserve"> </w:t>
            </w:r>
          </w:p>
        </w:tc>
        <w:tc>
          <w:tcPr>
            <w:tcW w:w="1701" w:type="dxa"/>
          </w:tcPr>
          <w:p w14:paraId="05A9F66B" w14:textId="7FE1A5C9" w:rsidR="002A1E7A" w:rsidRDefault="002A1E7A" w:rsidP="00FE1D00">
            <w:r>
              <w:t xml:space="preserve">Section </w:t>
            </w:r>
            <w:r w:rsidRPr="003569A6">
              <w:fldChar w:fldCharType="begin"/>
            </w:r>
            <w:r w:rsidRPr="003569A6">
              <w:instrText xml:space="preserve"> REF _Ref165118914 \w \h </w:instrText>
            </w:r>
            <w:r w:rsidR="00FE1D00">
              <w:instrText xml:space="preserve"> \* MERGEFORMAT </w:instrText>
            </w:r>
            <w:r w:rsidRPr="003569A6">
              <w:fldChar w:fldCharType="separate"/>
            </w:r>
            <w:r w:rsidR="00DC1E3F">
              <w:t>2.5.7</w:t>
            </w:r>
            <w:r w:rsidRPr="003569A6">
              <w:fldChar w:fldCharType="end"/>
            </w:r>
          </w:p>
        </w:tc>
      </w:tr>
      <w:tr w:rsidR="002A1E7A" w14:paraId="03C19523" w14:textId="77777777" w:rsidTr="006934B5">
        <w:tc>
          <w:tcPr>
            <w:tcW w:w="567" w:type="dxa"/>
            <w:shd w:val="clear" w:color="auto" w:fill="E7E6E6" w:themeFill="background2"/>
          </w:tcPr>
          <w:p w14:paraId="3245BA31" w14:textId="6CE5CCBB" w:rsidR="002A1E7A" w:rsidRDefault="00707BC2" w:rsidP="00FE1D00">
            <w:r>
              <w:t>6.</w:t>
            </w:r>
          </w:p>
        </w:tc>
        <w:tc>
          <w:tcPr>
            <w:tcW w:w="6946" w:type="dxa"/>
            <w:shd w:val="clear" w:color="auto" w:fill="E7E6E6" w:themeFill="background2"/>
          </w:tcPr>
          <w:p w14:paraId="3804B2DB" w14:textId="15F0C5BF" w:rsidR="002A1E7A" w:rsidRDefault="002A1E7A" w:rsidP="00FE1D00">
            <w:r w:rsidRPr="003569A6">
              <w:t xml:space="preserve">It is recommended that </w:t>
            </w:r>
            <w:r w:rsidR="007208A7">
              <w:t>DFAT</w:t>
            </w:r>
            <w:r w:rsidRPr="003569A6">
              <w:t xml:space="preserve"> explore</w:t>
            </w:r>
            <w:r>
              <w:t>s</w:t>
            </w:r>
            <w:r w:rsidRPr="003569A6">
              <w:t xml:space="preserve"> options with SIG for improving the efficiency and effectiveness of the Steering Committee in decision making and communication with other line ministries.</w:t>
            </w:r>
          </w:p>
        </w:tc>
        <w:tc>
          <w:tcPr>
            <w:tcW w:w="1701" w:type="dxa"/>
            <w:shd w:val="clear" w:color="auto" w:fill="E7E6E6" w:themeFill="background2"/>
          </w:tcPr>
          <w:p w14:paraId="274E5939" w14:textId="796F36CC" w:rsidR="002A1E7A" w:rsidRDefault="002A1E7A" w:rsidP="00FE1D00">
            <w:r w:rsidRPr="003569A6">
              <w:t xml:space="preserve">Section </w:t>
            </w:r>
            <w:r w:rsidRPr="003569A6">
              <w:fldChar w:fldCharType="begin"/>
            </w:r>
            <w:r w:rsidRPr="003569A6">
              <w:instrText xml:space="preserve"> REF _Ref165119046 \w \h </w:instrText>
            </w:r>
            <w:r w:rsidR="00FE1D00">
              <w:instrText xml:space="preserve"> \* MERGEFORMAT </w:instrText>
            </w:r>
            <w:r w:rsidRPr="003569A6">
              <w:fldChar w:fldCharType="separate"/>
            </w:r>
            <w:r w:rsidR="00DC1E3F">
              <w:t>2.3.3</w:t>
            </w:r>
            <w:r w:rsidRPr="003569A6">
              <w:fldChar w:fldCharType="end"/>
            </w:r>
          </w:p>
        </w:tc>
      </w:tr>
      <w:tr w:rsidR="002A1E7A" w14:paraId="780AA3ED" w14:textId="77777777" w:rsidTr="006934B5">
        <w:tc>
          <w:tcPr>
            <w:tcW w:w="567" w:type="dxa"/>
          </w:tcPr>
          <w:p w14:paraId="52FC8728" w14:textId="69514834" w:rsidR="002A1E7A" w:rsidRDefault="00707BC2" w:rsidP="00FE1D00">
            <w:r>
              <w:t>7.</w:t>
            </w:r>
          </w:p>
        </w:tc>
        <w:tc>
          <w:tcPr>
            <w:tcW w:w="6946" w:type="dxa"/>
          </w:tcPr>
          <w:p w14:paraId="3CD9FBB9" w14:textId="4B3A2AA4" w:rsidR="002A1E7A" w:rsidRDefault="002A1E7A" w:rsidP="00FE1D00">
            <w:r w:rsidRPr="003569A6">
              <w:t>It is recommended that SIIP explores options to provide more on</w:t>
            </w:r>
            <w:r w:rsidR="002D7C1D">
              <w:t>-</w:t>
            </w:r>
            <w:r w:rsidRPr="003569A6">
              <w:t>the</w:t>
            </w:r>
            <w:r w:rsidR="002D7C1D">
              <w:t>-</w:t>
            </w:r>
            <w:r w:rsidRPr="003569A6">
              <w:t xml:space="preserve">job training, </w:t>
            </w:r>
            <w:r w:rsidR="006E5100" w:rsidRPr="003569A6">
              <w:t>certification,</w:t>
            </w:r>
            <w:r w:rsidRPr="003569A6">
              <w:t xml:space="preserve"> and engagement with specialist providers. </w:t>
            </w:r>
          </w:p>
        </w:tc>
        <w:tc>
          <w:tcPr>
            <w:tcW w:w="1701" w:type="dxa"/>
          </w:tcPr>
          <w:p w14:paraId="119ABB28" w14:textId="2D6C6E89" w:rsidR="002A1E7A" w:rsidRDefault="002D7C1D" w:rsidP="00FE1D00">
            <w:r>
              <w:t xml:space="preserve">Section </w:t>
            </w:r>
            <w:r>
              <w:fldChar w:fldCharType="begin"/>
            </w:r>
            <w:r>
              <w:instrText xml:space="preserve"> REF _Ref165136557 \n \h </w:instrText>
            </w:r>
            <w:r w:rsidR="00707BC2">
              <w:instrText xml:space="preserve"> \* MERGEFORMAT </w:instrText>
            </w:r>
            <w:r>
              <w:fldChar w:fldCharType="separate"/>
            </w:r>
            <w:r w:rsidR="00DC1E3F">
              <w:t>2.3.1</w:t>
            </w:r>
            <w:r>
              <w:fldChar w:fldCharType="end"/>
            </w:r>
          </w:p>
        </w:tc>
      </w:tr>
      <w:tr w:rsidR="002D7C1D" w14:paraId="116423D4" w14:textId="77777777" w:rsidTr="006934B5">
        <w:tc>
          <w:tcPr>
            <w:tcW w:w="567" w:type="dxa"/>
            <w:shd w:val="clear" w:color="auto" w:fill="E7E6E6" w:themeFill="background2"/>
          </w:tcPr>
          <w:p w14:paraId="78932D0A" w14:textId="72049989" w:rsidR="002D7C1D" w:rsidRDefault="00707BC2" w:rsidP="00FE1D00">
            <w:r>
              <w:t>8.</w:t>
            </w:r>
          </w:p>
        </w:tc>
        <w:tc>
          <w:tcPr>
            <w:tcW w:w="6946" w:type="dxa"/>
            <w:shd w:val="clear" w:color="auto" w:fill="E7E6E6" w:themeFill="background2"/>
          </w:tcPr>
          <w:p w14:paraId="4133CD26" w14:textId="26A4E405" w:rsidR="002D7C1D" w:rsidRPr="003569A6" w:rsidRDefault="002D7C1D" w:rsidP="00FE1D00">
            <w:r>
              <w:t xml:space="preserve">It is recommended that SIIP reports on the program’s overarching progress, outputs, </w:t>
            </w:r>
            <w:r w:rsidR="006E5100">
              <w:t>challenges,</w:t>
            </w:r>
            <w:r>
              <w:t xml:space="preserve"> and lessons </w:t>
            </w:r>
            <w:r w:rsidR="001B3E58">
              <w:t xml:space="preserve">that </w:t>
            </w:r>
            <w:proofErr w:type="gramStart"/>
            <w:r w:rsidR="001B3E58">
              <w:t>takes into account</w:t>
            </w:r>
            <w:proofErr w:type="gramEnd"/>
            <w:r w:rsidR="001B3E58">
              <w:t xml:space="preserve"> both SIIP Hub and non-SIIP Hub activities. </w:t>
            </w:r>
          </w:p>
        </w:tc>
        <w:tc>
          <w:tcPr>
            <w:tcW w:w="1701" w:type="dxa"/>
            <w:shd w:val="clear" w:color="auto" w:fill="E7E6E6" w:themeFill="background2"/>
          </w:tcPr>
          <w:p w14:paraId="7B51EFA9" w14:textId="30459869" w:rsidR="002D7C1D" w:rsidRDefault="001B3E58" w:rsidP="00FE1D00">
            <w:r>
              <w:t xml:space="preserve">Section </w:t>
            </w:r>
            <w:r>
              <w:fldChar w:fldCharType="begin"/>
            </w:r>
            <w:r>
              <w:instrText xml:space="preserve"> REF _Ref165123748 \n \h  \* MERGEFORMAT </w:instrText>
            </w:r>
            <w:r>
              <w:fldChar w:fldCharType="separate"/>
            </w:r>
            <w:r w:rsidR="00DC1E3F">
              <w:t>2.3.4</w:t>
            </w:r>
            <w:r>
              <w:fldChar w:fldCharType="end"/>
            </w:r>
          </w:p>
        </w:tc>
      </w:tr>
      <w:tr w:rsidR="006F284F" w14:paraId="3BF64C60" w14:textId="77777777" w:rsidTr="006934B5">
        <w:tc>
          <w:tcPr>
            <w:tcW w:w="567" w:type="dxa"/>
            <w:shd w:val="clear" w:color="auto" w:fill="auto"/>
          </w:tcPr>
          <w:p w14:paraId="0B6AED8B" w14:textId="72DCDB7C" w:rsidR="006F284F" w:rsidRDefault="006F284F" w:rsidP="00FE1D00">
            <w:r>
              <w:t>9</w:t>
            </w:r>
          </w:p>
        </w:tc>
        <w:tc>
          <w:tcPr>
            <w:tcW w:w="6946" w:type="dxa"/>
            <w:shd w:val="clear" w:color="auto" w:fill="auto"/>
          </w:tcPr>
          <w:p w14:paraId="20279C2E" w14:textId="18DDAE8F" w:rsidR="006F284F" w:rsidRDefault="006F284F" w:rsidP="00FE1D00">
            <w:r>
              <w:t xml:space="preserve">It is recommended that </w:t>
            </w:r>
            <w:r w:rsidR="007208A7">
              <w:t>DFAT</w:t>
            </w:r>
            <w:r w:rsidR="005E0A4D">
              <w:t xml:space="preserve"> prioritises </w:t>
            </w:r>
            <w:r w:rsidRPr="006F284F">
              <w:t>managing short-term financing pressures</w:t>
            </w:r>
            <w:r w:rsidR="005E0A4D">
              <w:t xml:space="preserve">, through </w:t>
            </w:r>
            <w:r w:rsidRPr="006F284F">
              <w:t>building a consensus with a new Government to avoid risks of SIIP further falling short of expectations.</w:t>
            </w:r>
          </w:p>
        </w:tc>
        <w:tc>
          <w:tcPr>
            <w:tcW w:w="1701" w:type="dxa"/>
            <w:shd w:val="clear" w:color="auto" w:fill="auto"/>
          </w:tcPr>
          <w:p w14:paraId="2A9F4A68" w14:textId="612D7E20" w:rsidR="006F284F" w:rsidRDefault="005E0A4D" w:rsidP="00FE1D00">
            <w:r>
              <w:t xml:space="preserve">Section </w:t>
            </w:r>
            <w:r>
              <w:fldChar w:fldCharType="begin"/>
            </w:r>
            <w:r>
              <w:instrText xml:space="preserve"> REF _Ref165137506 \n \h </w:instrText>
            </w:r>
            <w:r>
              <w:fldChar w:fldCharType="separate"/>
            </w:r>
            <w:r w:rsidR="00DC1E3F">
              <w:t>2.5.3</w:t>
            </w:r>
            <w:r>
              <w:fldChar w:fldCharType="end"/>
            </w:r>
          </w:p>
        </w:tc>
      </w:tr>
      <w:tr w:rsidR="00D06482" w14:paraId="06FCA209" w14:textId="77777777" w:rsidTr="00A96262">
        <w:tc>
          <w:tcPr>
            <w:tcW w:w="567" w:type="dxa"/>
            <w:shd w:val="clear" w:color="auto" w:fill="E7E6E6" w:themeFill="background2"/>
          </w:tcPr>
          <w:p w14:paraId="181212BC" w14:textId="64CFCA3C" w:rsidR="00D06482" w:rsidRDefault="00D06482" w:rsidP="00FE1D00">
            <w:r>
              <w:t>10</w:t>
            </w:r>
          </w:p>
        </w:tc>
        <w:tc>
          <w:tcPr>
            <w:tcW w:w="6946" w:type="dxa"/>
            <w:shd w:val="clear" w:color="auto" w:fill="E7E6E6" w:themeFill="background2"/>
          </w:tcPr>
          <w:p w14:paraId="08657DDB" w14:textId="62FC47C6" w:rsidR="00D06482" w:rsidRDefault="00D06482" w:rsidP="00D06482">
            <w:r>
              <w:t>I</w:t>
            </w:r>
            <w:r w:rsidR="0EBFD8BE">
              <w:t>t</w:t>
            </w:r>
            <w:r>
              <w:t xml:space="preserve"> is recommended that SIIP Hub prepare a </w:t>
            </w:r>
            <w:r w:rsidRPr="00D06482">
              <w:t>VfM Framework using DFAT’s existing VfM criteria to inform their decision-making</w:t>
            </w:r>
            <w:r w:rsidR="002A7D9C">
              <w:t>.</w:t>
            </w:r>
          </w:p>
        </w:tc>
        <w:tc>
          <w:tcPr>
            <w:tcW w:w="1701" w:type="dxa"/>
            <w:shd w:val="clear" w:color="auto" w:fill="E7E6E6" w:themeFill="background2"/>
          </w:tcPr>
          <w:p w14:paraId="3899FFF1" w14:textId="74EE7873" w:rsidR="00D06482" w:rsidRDefault="006934B5" w:rsidP="00FE1D00">
            <w:r>
              <w:t xml:space="preserve">Section </w:t>
            </w:r>
            <w:r>
              <w:fldChar w:fldCharType="begin"/>
            </w:r>
            <w:r>
              <w:instrText xml:space="preserve"> REF _Ref165144387 \n \h </w:instrText>
            </w:r>
            <w:r w:rsidR="00A96262">
              <w:instrText xml:space="preserve"> \* MERGEFORMAT </w:instrText>
            </w:r>
            <w:r>
              <w:fldChar w:fldCharType="separate"/>
            </w:r>
            <w:r w:rsidR="00DC1E3F">
              <w:t>2.4.1</w:t>
            </w:r>
            <w:r>
              <w:fldChar w:fldCharType="end"/>
            </w:r>
          </w:p>
        </w:tc>
      </w:tr>
    </w:tbl>
    <w:p w14:paraId="4328C290" w14:textId="20249B76" w:rsidR="00846243" w:rsidRPr="00B66B6B" w:rsidRDefault="00846243" w:rsidP="00FC730B">
      <w:pPr>
        <w:rPr>
          <w:rStyle w:val="Heading"/>
        </w:rPr>
      </w:pPr>
      <w:bookmarkStart w:id="78" w:name="_Toc156506668"/>
      <w:bookmarkEnd w:id="75"/>
      <w:bookmarkEnd w:id="76"/>
      <w:bookmarkEnd w:id="77"/>
      <w:r w:rsidRPr="00B66B6B">
        <w:rPr>
          <w:rStyle w:val="Heading"/>
        </w:rPr>
        <w:br w:type="page"/>
      </w:r>
    </w:p>
    <w:p w14:paraId="6B31E5B0" w14:textId="5E7ED7C6" w:rsidR="00D31AD2" w:rsidRPr="00B66B6B" w:rsidRDefault="00884C0D" w:rsidP="000659F4">
      <w:pPr>
        <w:pStyle w:val="Heading1"/>
        <w:numPr>
          <w:ilvl w:val="0"/>
          <w:numId w:val="0"/>
        </w:numPr>
        <w:ind w:left="567" w:hanging="567"/>
        <w:rPr>
          <w:rStyle w:val="Heading"/>
        </w:rPr>
      </w:pPr>
      <w:bookmarkStart w:id="79" w:name="_Toc165140745"/>
      <w:r w:rsidRPr="00B66B6B">
        <w:rPr>
          <w:rStyle w:val="Heading"/>
        </w:rPr>
        <w:lastRenderedPageBreak/>
        <w:t>Annex 1 – Evaluation Questions</w:t>
      </w:r>
      <w:bookmarkEnd w:id="78"/>
      <w:bookmarkEnd w:id="79"/>
    </w:p>
    <w:tbl>
      <w:tblPr>
        <w:tblStyle w:val="ListTable4-Accent5"/>
        <w:tblW w:w="9209" w:type="dxa"/>
        <w:tblLook w:val="04A0" w:firstRow="1" w:lastRow="0" w:firstColumn="1" w:lastColumn="0" w:noHBand="0" w:noVBand="1"/>
      </w:tblPr>
      <w:tblGrid>
        <w:gridCol w:w="1383"/>
        <w:gridCol w:w="7826"/>
      </w:tblGrid>
      <w:tr w:rsidR="000117E1" w:rsidRPr="00B66B6B" w14:paraId="7CD5EE08" w14:textId="77777777" w:rsidTr="00B63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2E74B5" w:themeFill="accent5" w:themeFillShade="BF"/>
          </w:tcPr>
          <w:p w14:paraId="1638546E" w14:textId="77777777" w:rsidR="000117E1" w:rsidRPr="00B66B6B" w:rsidRDefault="000117E1">
            <w:pPr>
              <w:autoSpaceDE w:val="0"/>
              <w:autoSpaceDN w:val="0"/>
              <w:adjustRightInd w:val="0"/>
              <w:spacing w:after="0"/>
              <w:rPr>
                <w:rFonts w:ascii="Calibri Light" w:hAnsi="Calibri Light" w:cs="Calibri Light"/>
              </w:rPr>
            </w:pPr>
            <w:r w:rsidRPr="00B66B6B">
              <w:rPr>
                <w:rFonts w:ascii="Calibri Light" w:hAnsi="Calibri Light" w:cs="Calibri Light"/>
              </w:rPr>
              <w:t>Evaluation Criteria</w:t>
            </w:r>
          </w:p>
        </w:tc>
        <w:tc>
          <w:tcPr>
            <w:tcW w:w="7938" w:type="dxa"/>
            <w:shd w:val="clear" w:color="auto" w:fill="2E74B5" w:themeFill="accent5" w:themeFillShade="BF"/>
          </w:tcPr>
          <w:p w14:paraId="0A0BAC19" w14:textId="77777777" w:rsidR="000117E1" w:rsidRPr="00B66B6B" w:rsidRDefault="000117E1">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B66B6B">
              <w:rPr>
                <w:rFonts w:ascii="Calibri Light" w:hAnsi="Calibri Light" w:cs="Calibri Light"/>
              </w:rPr>
              <w:t>Evaluation Question</w:t>
            </w:r>
          </w:p>
        </w:tc>
      </w:tr>
      <w:tr w:rsidR="000117E1" w:rsidRPr="00B66B6B" w14:paraId="3BE61A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6199687" w14:textId="77777777" w:rsidR="000117E1" w:rsidRPr="00B66B6B" w:rsidRDefault="000117E1">
            <w:pPr>
              <w:autoSpaceDE w:val="0"/>
              <w:autoSpaceDN w:val="0"/>
              <w:adjustRightInd w:val="0"/>
              <w:spacing w:after="0"/>
              <w:rPr>
                <w:rFonts w:ascii="Calibri Light" w:hAnsi="Calibri Light" w:cs="Calibri Light"/>
                <w:color w:val="000000"/>
              </w:rPr>
            </w:pPr>
            <w:r w:rsidRPr="00B66B6B">
              <w:rPr>
                <w:rFonts w:ascii="Calibri Light" w:hAnsi="Calibri Light" w:cs="Calibri Light"/>
                <w:color w:val="000000"/>
              </w:rPr>
              <w:t>Relevance</w:t>
            </w:r>
          </w:p>
          <w:p w14:paraId="0EB088FF" w14:textId="77777777" w:rsidR="000117E1" w:rsidRPr="00B66B6B" w:rsidRDefault="000117E1">
            <w:pPr>
              <w:autoSpaceDE w:val="0"/>
              <w:autoSpaceDN w:val="0"/>
              <w:adjustRightInd w:val="0"/>
              <w:spacing w:after="0"/>
              <w:rPr>
                <w:rFonts w:ascii="Calibri Light" w:hAnsi="Calibri Light" w:cs="Calibri Light"/>
                <w:b w:val="0"/>
                <w:bCs w:val="0"/>
                <w:i/>
                <w:iCs/>
                <w:color w:val="000000"/>
              </w:rPr>
            </w:pPr>
            <w:r w:rsidRPr="00B66B6B">
              <w:rPr>
                <w:rFonts w:ascii="Calibri Light" w:hAnsi="Calibri Light" w:cs="Calibri Light"/>
                <w:b w:val="0"/>
                <w:bCs w:val="0"/>
                <w:i/>
                <w:iCs/>
                <w:color w:val="000000"/>
                <w:sz w:val="20"/>
                <w:szCs w:val="20"/>
              </w:rPr>
              <w:t>Is the intervention doing the right things?</w:t>
            </w:r>
          </w:p>
        </w:tc>
        <w:tc>
          <w:tcPr>
            <w:tcW w:w="7938" w:type="dxa"/>
          </w:tcPr>
          <w:p w14:paraId="25844AD9" w14:textId="77777777" w:rsidR="000117E1" w:rsidRPr="00B66B6B" w:rsidRDefault="000117E1" w:rsidP="00864DDD">
            <w:pPr>
              <w:numPr>
                <w:ilvl w:val="0"/>
                <w:numId w:val="3"/>
              </w:numPr>
              <w:autoSpaceDE w:val="0"/>
              <w:autoSpaceDN w:val="0"/>
              <w:adjustRightInd w:val="0"/>
              <w:spacing w:after="0"/>
              <w:ind w:left="456" w:hanging="425"/>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 xml:space="preserve">To what extent does the design of the Program respond to the priorities and needs of its beneficiaries, namely the Solomon Islands Government, local construction industry, and Solomon Islands communities? </w:t>
            </w:r>
          </w:p>
          <w:p w14:paraId="5F3820C0" w14:textId="77777777" w:rsidR="000117E1" w:rsidRPr="00B66B6B" w:rsidRDefault="000117E1" w:rsidP="00864DDD">
            <w:pPr>
              <w:numPr>
                <w:ilvl w:val="0"/>
                <w:numId w:val="3"/>
              </w:numPr>
              <w:autoSpaceDE w:val="0"/>
              <w:autoSpaceDN w:val="0"/>
              <w:adjustRightInd w:val="0"/>
              <w:spacing w:after="0"/>
              <w:ind w:left="456" w:hanging="425"/>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To what extent does the design of the Program respond to the priorities and needs of the donor, namely the Australian Government?</w:t>
            </w:r>
          </w:p>
          <w:p w14:paraId="074D4F41" w14:textId="77777777" w:rsidR="000117E1" w:rsidRPr="00B66B6B" w:rsidRDefault="000117E1" w:rsidP="00864DDD">
            <w:pPr>
              <w:numPr>
                <w:ilvl w:val="0"/>
                <w:numId w:val="3"/>
              </w:numPr>
              <w:autoSpaceDE w:val="0"/>
              <w:autoSpaceDN w:val="0"/>
              <w:adjustRightInd w:val="0"/>
              <w:spacing w:after="0"/>
              <w:ind w:left="456" w:hanging="425"/>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 xml:space="preserve">How does the design of the Program remain responsive to changes in those priorities and needs? </w:t>
            </w:r>
          </w:p>
        </w:tc>
      </w:tr>
      <w:tr w:rsidR="000117E1" w:rsidRPr="00B66B6B" w14:paraId="0FA4A305" w14:textId="77777777">
        <w:trPr>
          <w:trHeight w:val="1026"/>
        </w:trPr>
        <w:tc>
          <w:tcPr>
            <w:cnfStyle w:val="001000000000" w:firstRow="0" w:lastRow="0" w:firstColumn="1" w:lastColumn="0" w:oddVBand="0" w:evenVBand="0" w:oddHBand="0" w:evenHBand="0" w:firstRowFirstColumn="0" w:firstRowLastColumn="0" w:lastRowFirstColumn="0" w:lastRowLastColumn="0"/>
            <w:tcW w:w="1271" w:type="dxa"/>
          </w:tcPr>
          <w:p w14:paraId="05936896" w14:textId="77777777" w:rsidR="000117E1" w:rsidRPr="00B66B6B" w:rsidRDefault="000117E1">
            <w:pPr>
              <w:autoSpaceDE w:val="0"/>
              <w:autoSpaceDN w:val="0"/>
              <w:adjustRightInd w:val="0"/>
              <w:spacing w:after="0"/>
              <w:rPr>
                <w:rFonts w:ascii="Calibri Light" w:hAnsi="Calibri Light" w:cs="Calibri Light"/>
                <w:color w:val="000000"/>
              </w:rPr>
            </w:pPr>
            <w:r w:rsidRPr="00B66B6B">
              <w:rPr>
                <w:rFonts w:ascii="Calibri Light" w:hAnsi="Calibri Light" w:cs="Calibri Light"/>
                <w:color w:val="000000"/>
              </w:rPr>
              <w:t>Coherence</w:t>
            </w:r>
          </w:p>
          <w:p w14:paraId="031FEBEE" w14:textId="77777777" w:rsidR="000117E1" w:rsidRPr="00B66B6B" w:rsidRDefault="000117E1">
            <w:pPr>
              <w:autoSpaceDE w:val="0"/>
              <w:autoSpaceDN w:val="0"/>
              <w:adjustRightInd w:val="0"/>
              <w:spacing w:after="0"/>
              <w:rPr>
                <w:rFonts w:ascii="Calibri Light" w:hAnsi="Calibri Light" w:cs="Calibri Light"/>
                <w:b w:val="0"/>
                <w:bCs w:val="0"/>
                <w:i/>
                <w:iCs/>
                <w:color w:val="000000"/>
              </w:rPr>
            </w:pPr>
            <w:r w:rsidRPr="00B66B6B">
              <w:rPr>
                <w:rFonts w:ascii="Calibri Light" w:hAnsi="Calibri Light" w:cs="Calibri Light"/>
                <w:b w:val="0"/>
                <w:bCs w:val="0"/>
                <w:i/>
                <w:iCs/>
                <w:color w:val="000000"/>
                <w:sz w:val="20"/>
                <w:szCs w:val="20"/>
              </w:rPr>
              <w:t>How well does the intervention fit?</w:t>
            </w:r>
          </w:p>
        </w:tc>
        <w:tc>
          <w:tcPr>
            <w:tcW w:w="7938" w:type="dxa"/>
          </w:tcPr>
          <w:p w14:paraId="7AAACE18" w14:textId="77777777" w:rsidR="000117E1" w:rsidRPr="00B66B6B" w:rsidRDefault="000117E1" w:rsidP="00864DDD">
            <w:pPr>
              <w:numPr>
                <w:ilvl w:val="0"/>
                <w:numId w:val="3"/>
              </w:numPr>
              <w:autoSpaceDE w:val="0"/>
              <w:autoSpaceDN w:val="0"/>
              <w:adjustRightInd w:val="0"/>
              <w:spacing w:after="160"/>
              <w:ind w:left="456" w:hanging="425"/>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How does the Program fit within Australia’s overall infrastructure support to Solomon Islands as well as broader infrastructure financing from other international partners?</w:t>
            </w:r>
          </w:p>
          <w:p w14:paraId="05B15740" w14:textId="73FD326F" w:rsidR="000117E1" w:rsidRPr="00B66B6B" w:rsidRDefault="000117E1" w:rsidP="00864DDD">
            <w:pPr>
              <w:numPr>
                <w:ilvl w:val="0"/>
                <w:numId w:val="3"/>
              </w:numPr>
              <w:autoSpaceDE w:val="0"/>
              <w:autoSpaceDN w:val="0"/>
              <w:adjustRightInd w:val="0"/>
              <w:spacing w:after="160"/>
              <w:ind w:left="456" w:hanging="425"/>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 xml:space="preserve">Are the EOPOs still relevant to the current budgetary, </w:t>
            </w:r>
            <w:r w:rsidR="006E5100" w:rsidRPr="00B66B6B">
              <w:rPr>
                <w:rFonts w:ascii="Calibri Light" w:hAnsi="Calibri Light" w:cs="Calibri Light"/>
                <w:color w:val="000000"/>
              </w:rPr>
              <w:t>political,</w:t>
            </w:r>
            <w:r w:rsidRPr="00B66B6B">
              <w:rPr>
                <w:rFonts w:ascii="Calibri Light" w:hAnsi="Calibri Light" w:cs="Calibri Light"/>
                <w:color w:val="000000"/>
              </w:rPr>
              <w:t xml:space="preserve"> and strategic environment in Solomon Islands?</w:t>
            </w:r>
          </w:p>
          <w:p w14:paraId="7F6CE546" w14:textId="3EC7DA49" w:rsidR="000117E1" w:rsidRPr="00B66B6B" w:rsidRDefault="000117E1" w:rsidP="00864DDD">
            <w:pPr>
              <w:numPr>
                <w:ilvl w:val="0"/>
                <w:numId w:val="3"/>
              </w:numPr>
              <w:autoSpaceDE w:val="0"/>
              <w:autoSpaceDN w:val="0"/>
              <w:adjustRightInd w:val="0"/>
              <w:spacing w:after="0"/>
              <w:ind w:left="456" w:hanging="425"/>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How well is the program balancing and prioritising efforts to deliver on the program’s parallel EOPOs?</w:t>
            </w:r>
            <w:r w:rsidR="00D728FA" w:rsidRPr="00B66B6B">
              <w:rPr>
                <w:rFonts w:ascii="Calibri Light" w:hAnsi="Calibri Light" w:cs="Calibri Light"/>
                <w:color w:val="000000"/>
              </w:rPr>
              <w:t xml:space="preserve"> </w:t>
            </w:r>
          </w:p>
        </w:tc>
      </w:tr>
      <w:tr w:rsidR="000117E1" w:rsidRPr="00B66B6B" w14:paraId="3A4E8F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A0EC292" w14:textId="77777777" w:rsidR="000117E1" w:rsidRPr="00B66B6B" w:rsidRDefault="000117E1">
            <w:pPr>
              <w:autoSpaceDE w:val="0"/>
              <w:autoSpaceDN w:val="0"/>
              <w:adjustRightInd w:val="0"/>
              <w:spacing w:after="0"/>
              <w:rPr>
                <w:rFonts w:ascii="Calibri Light" w:hAnsi="Calibri Light" w:cs="Calibri Light"/>
                <w:color w:val="000000"/>
              </w:rPr>
            </w:pPr>
            <w:r w:rsidRPr="00B66B6B">
              <w:rPr>
                <w:rFonts w:ascii="Calibri Light" w:hAnsi="Calibri Light" w:cs="Calibri Light"/>
                <w:color w:val="000000"/>
              </w:rPr>
              <w:t>Effectiveness</w:t>
            </w:r>
          </w:p>
          <w:p w14:paraId="634B2704" w14:textId="77777777" w:rsidR="000117E1" w:rsidRPr="00B66B6B" w:rsidRDefault="000117E1">
            <w:pPr>
              <w:autoSpaceDE w:val="0"/>
              <w:autoSpaceDN w:val="0"/>
              <w:adjustRightInd w:val="0"/>
              <w:spacing w:after="0"/>
              <w:rPr>
                <w:rFonts w:ascii="Calibri Light" w:hAnsi="Calibri Light" w:cs="Calibri Light"/>
                <w:b w:val="0"/>
                <w:bCs w:val="0"/>
                <w:i/>
                <w:iCs/>
                <w:color w:val="000000"/>
              </w:rPr>
            </w:pPr>
            <w:r w:rsidRPr="00B66B6B">
              <w:rPr>
                <w:rFonts w:ascii="Calibri Light" w:hAnsi="Calibri Light" w:cs="Calibri Light"/>
                <w:b w:val="0"/>
                <w:bCs w:val="0"/>
                <w:i/>
                <w:iCs/>
                <w:color w:val="000000"/>
                <w:sz w:val="20"/>
                <w:szCs w:val="20"/>
              </w:rPr>
              <w:t>Is the intervention achieving its objectives?</w:t>
            </w:r>
          </w:p>
        </w:tc>
        <w:tc>
          <w:tcPr>
            <w:tcW w:w="7938" w:type="dxa"/>
          </w:tcPr>
          <w:p w14:paraId="5524A556" w14:textId="77777777" w:rsidR="000117E1" w:rsidRPr="00B66B6B" w:rsidRDefault="000117E1" w:rsidP="00864DDD">
            <w:pPr>
              <w:numPr>
                <w:ilvl w:val="0"/>
                <w:numId w:val="3"/>
              </w:numPr>
              <w:autoSpaceDE w:val="0"/>
              <w:autoSpaceDN w:val="0"/>
              <w:adjustRightInd w:val="0"/>
              <w:spacing w:after="0"/>
              <w:ind w:left="456" w:hanging="42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To what extent is the Program achieving its outputs and intermediate outcomes? Are they the right outputs to achieve the intermediate and end of program outcomes?</w:t>
            </w:r>
          </w:p>
          <w:p w14:paraId="79E7A8C2" w14:textId="77777777" w:rsidR="000117E1" w:rsidRPr="00B66B6B" w:rsidRDefault="000117E1" w:rsidP="00864DDD">
            <w:pPr>
              <w:numPr>
                <w:ilvl w:val="0"/>
                <w:numId w:val="3"/>
              </w:numPr>
              <w:autoSpaceDE w:val="0"/>
              <w:autoSpaceDN w:val="0"/>
              <w:adjustRightInd w:val="0"/>
              <w:spacing w:after="0"/>
              <w:ind w:left="456" w:hanging="42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Are the program's modalities the most effective for delivering infrastructure in the Solomon Islands? What alternative designs or modality (or mix of modalities) could be adopted to achieve the intermediate and end of program outcomes?</w:t>
            </w:r>
          </w:p>
          <w:p w14:paraId="4742167C" w14:textId="77777777" w:rsidR="000117E1" w:rsidRPr="00B66B6B" w:rsidRDefault="000117E1" w:rsidP="00864DDD">
            <w:pPr>
              <w:numPr>
                <w:ilvl w:val="0"/>
                <w:numId w:val="3"/>
              </w:numPr>
              <w:autoSpaceDE w:val="0"/>
              <w:autoSpaceDN w:val="0"/>
              <w:adjustRightInd w:val="0"/>
              <w:spacing w:after="0"/>
              <w:ind w:left="456" w:hanging="42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To what extent is the Program’s governance mechanism impacting the efficiency or effectiveness of the Program? What have been the strengths and weaknesses of the governance mechanism?</w:t>
            </w:r>
          </w:p>
          <w:p w14:paraId="4D655E33" w14:textId="77777777" w:rsidR="000117E1" w:rsidRPr="00B66B6B" w:rsidRDefault="000117E1" w:rsidP="00864DDD">
            <w:pPr>
              <w:numPr>
                <w:ilvl w:val="0"/>
                <w:numId w:val="3"/>
              </w:numPr>
              <w:autoSpaceDE w:val="0"/>
              <w:autoSpaceDN w:val="0"/>
              <w:adjustRightInd w:val="0"/>
              <w:spacing w:after="0"/>
              <w:ind w:left="456" w:hanging="42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To what extent are the Program’s processes and procedures impacting the efficiency or effectiveness of the Program?</w:t>
            </w:r>
          </w:p>
          <w:p w14:paraId="44DBAB7C" w14:textId="77777777" w:rsidR="000117E1" w:rsidRPr="00B66B6B" w:rsidRDefault="000117E1" w:rsidP="00864DDD">
            <w:pPr>
              <w:numPr>
                <w:ilvl w:val="0"/>
                <w:numId w:val="3"/>
              </w:numPr>
              <w:autoSpaceDE w:val="0"/>
              <w:autoSpaceDN w:val="0"/>
              <w:adjustRightInd w:val="0"/>
              <w:spacing w:after="0"/>
              <w:ind w:left="456" w:hanging="42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 xml:space="preserve">How well are cross cutting themes of climate change and disaster resilience (CCDR) and gender equality, </w:t>
            </w:r>
            <w:proofErr w:type="gramStart"/>
            <w:r w:rsidRPr="00B66B6B">
              <w:rPr>
                <w:rFonts w:ascii="Calibri Light" w:hAnsi="Calibri Light" w:cs="Calibri Light"/>
                <w:color w:val="000000"/>
              </w:rPr>
              <w:t>disability</w:t>
            </w:r>
            <w:proofErr w:type="gramEnd"/>
            <w:r w:rsidRPr="00B66B6B">
              <w:rPr>
                <w:rFonts w:ascii="Calibri Light" w:hAnsi="Calibri Light" w:cs="Calibri Light"/>
                <w:color w:val="000000"/>
              </w:rPr>
              <w:t xml:space="preserve"> and social inclusion (GEDSI) integrated into Program delivery?</w:t>
            </w:r>
          </w:p>
        </w:tc>
      </w:tr>
      <w:tr w:rsidR="000117E1" w:rsidRPr="00B66B6B" w14:paraId="62CB2703" w14:textId="77777777">
        <w:tc>
          <w:tcPr>
            <w:cnfStyle w:val="001000000000" w:firstRow="0" w:lastRow="0" w:firstColumn="1" w:lastColumn="0" w:oddVBand="0" w:evenVBand="0" w:oddHBand="0" w:evenHBand="0" w:firstRowFirstColumn="0" w:firstRowLastColumn="0" w:lastRowFirstColumn="0" w:lastRowLastColumn="0"/>
            <w:tcW w:w="1271" w:type="dxa"/>
          </w:tcPr>
          <w:p w14:paraId="72E54C4A" w14:textId="77777777" w:rsidR="000117E1" w:rsidRPr="00B66B6B" w:rsidRDefault="000117E1">
            <w:pPr>
              <w:autoSpaceDE w:val="0"/>
              <w:autoSpaceDN w:val="0"/>
              <w:adjustRightInd w:val="0"/>
              <w:spacing w:after="0"/>
              <w:rPr>
                <w:rFonts w:ascii="Calibri Light" w:hAnsi="Calibri Light" w:cs="Calibri Light"/>
                <w:color w:val="000000"/>
              </w:rPr>
            </w:pPr>
            <w:r w:rsidRPr="00B66B6B">
              <w:rPr>
                <w:rFonts w:ascii="Calibri Light" w:hAnsi="Calibri Light" w:cs="Calibri Light"/>
                <w:color w:val="000000"/>
              </w:rPr>
              <w:t>Efficiency</w:t>
            </w:r>
          </w:p>
          <w:p w14:paraId="61ACA4B2" w14:textId="77777777" w:rsidR="000117E1" w:rsidRPr="00B66B6B" w:rsidRDefault="000117E1">
            <w:pPr>
              <w:autoSpaceDE w:val="0"/>
              <w:autoSpaceDN w:val="0"/>
              <w:adjustRightInd w:val="0"/>
              <w:spacing w:after="0"/>
              <w:rPr>
                <w:rFonts w:ascii="Calibri Light" w:hAnsi="Calibri Light" w:cs="Calibri Light"/>
                <w:b w:val="0"/>
                <w:bCs w:val="0"/>
                <w:i/>
                <w:iCs/>
                <w:color w:val="000000"/>
              </w:rPr>
            </w:pPr>
            <w:r w:rsidRPr="00B66B6B">
              <w:rPr>
                <w:rFonts w:ascii="Calibri Light" w:hAnsi="Calibri Light" w:cs="Calibri Light"/>
                <w:b w:val="0"/>
                <w:bCs w:val="0"/>
                <w:i/>
                <w:iCs/>
                <w:color w:val="000000"/>
                <w:sz w:val="20"/>
                <w:szCs w:val="20"/>
              </w:rPr>
              <w:t>How well are resources being used?</w:t>
            </w:r>
          </w:p>
        </w:tc>
        <w:tc>
          <w:tcPr>
            <w:tcW w:w="7938" w:type="dxa"/>
          </w:tcPr>
          <w:p w14:paraId="37373D92" w14:textId="77777777" w:rsidR="000117E1" w:rsidRPr="00B66B6B" w:rsidRDefault="000117E1" w:rsidP="00864DDD">
            <w:pPr>
              <w:numPr>
                <w:ilvl w:val="0"/>
                <w:numId w:val="3"/>
              </w:numPr>
              <w:autoSpaceDE w:val="0"/>
              <w:autoSpaceDN w:val="0"/>
              <w:adjustRightInd w:val="0"/>
              <w:spacing w:after="0"/>
              <w:ind w:left="456" w:hanging="425"/>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To what extent are resources being allocated efficiently across the program to achieve the EOPOs?</w:t>
            </w:r>
          </w:p>
          <w:p w14:paraId="5D41DC02" w14:textId="77777777" w:rsidR="000117E1" w:rsidRPr="00B66B6B" w:rsidRDefault="000117E1" w:rsidP="00864DDD">
            <w:pPr>
              <w:numPr>
                <w:ilvl w:val="0"/>
                <w:numId w:val="3"/>
              </w:numPr>
              <w:autoSpaceDE w:val="0"/>
              <w:autoSpaceDN w:val="0"/>
              <w:adjustRightInd w:val="0"/>
              <w:spacing w:after="0"/>
              <w:ind w:left="456" w:hanging="425"/>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Are Program outcomes being delivered in a timely manner, and what options might further increase delivery speed? What impediments are there to deliver program outcomes in a timely manner?</w:t>
            </w:r>
          </w:p>
          <w:p w14:paraId="42A22DFD" w14:textId="77777777" w:rsidR="000117E1" w:rsidRPr="00B66B6B" w:rsidRDefault="000117E1" w:rsidP="00864DDD">
            <w:pPr>
              <w:numPr>
                <w:ilvl w:val="0"/>
                <w:numId w:val="3"/>
              </w:numPr>
              <w:autoSpaceDE w:val="0"/>
              <w:autoSpaceDN w:val="0"/>
              <w:adjustRightInd w:val="0"/>
              <w:spacing w:after="0"/>
              <w:ind w:left="456" w:hanging="425"/>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 xml:space="preserve">How well is the Program coordinating with other Australian initiatives and major partners to deliver value for money? </w:t>
            </w:r>
          </w:p>
        </w:tc>
      </w:tr>
      <w:tr w:rsidR="000117E1" w:rsidRPr="00B66B6B" w14:paraId="05BC60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6A491B5" w14:textId="77777777" w:rsidR="000117E1" w:rsidRPr="00B66B6B" w:rsidRDefault="000117E1">
            <w:pPr>
              <w:autoSpaceDE w:val="0"/>
              <w:autoSpaceDN w:val="0"/>
              <w:adjustRightInd w:val="0"/>
              <w:spacing w:after="0"/>
              <w:rPr>
                <w:rFonts w:ascii="Calibri Light" w:hAnsi="Calibri Light" w:cs="Calibri Light"/>
                <w:color w:val="000000"/>
              </w:rPr>
            </w:pPr>
            <w:r w:rsidRPr="00B66B6B">
              <w:rPr>
                <w:rFonts w:ascii="Calibri Light" w:hAnsi="Calibri Light" w:cs="Calibri Light"/>
                <w:color w:val="000000"/>
              </w:rPr>
              <w:t>Impact</w:t>
            </w:r>
          </w:p>
          <w:p w14:paraId="12768AA6" w14:textId="77777777" w:rsidR="000117E1" w:rsidRPr="00B66B6B" w:rsidRDefault="000117E1">
            <w:pPr>
              <w:autoSpaceDE w:val="0"/>
              <w:autoSpaceDN w:val="0"/>
              <w:adjustRightInd w:val="0"/>
              <w:spacing w:after="0"/>
              <w:rPr>
                <w:rFonts w:ascii="Calibri Light" w:hAnsi="Calibri Light" w:cs="Calibri Light"/>
                <w:b w:val="0"/>
                <w:bCs w:val="0"/>
                <w:i/>
                <w:iCs/>
                <w:color w:val="000000"/>
              </w:rPr>
            </w:pPr>
            <w:r w:rsidRPr="00B66B6B">
              <w:rPr>
                <w:rFonts w:ascii="Calibri Light" w:hAnsi="Calibri Light" w:cs="Calibri Light"/>
                <w:b w:val="0"/>
                <w:bCs w:val="0"/>
                <w:i/>
                <w:iCs/>
                <w:color w:val="000000"/>
                <w:sz w:val="20"/>
                <w:szCs w:val="20"/>
              </w:rPr>
              <w:t>What difference does the intervention make?</w:t>
            </w:r>
          </w:p>
        </w:tc>
        <w:tc>
          <w:tcPr>
            <w:tcW w:w="7938" w:type="dxa"/>
          </w:tcPr>
          <w:p w14:paraId="68B1B721" w14:textId="77777777" w:rsidR="000117E1" w:rsidRPr="00B66B6B" w:rsidRDefault="000117E1" w:rsidP="00864DDD">
            <w:pPr>
              <w:numPr>
                <w:ilvl w:val="0"/>
                <w:numId w:val="3"/>
              </w:numPr>
              <w:autoSpaceDE w:val="0"/>
              <w:autoSpaceDN w:val="0"/>
              <w:adjustRightInd w:val="0"/>
              <w:spacing w:after="0"/>
              <w:ind w:left="456" w:hanging="425"/>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To what extent is the Program on track to contribute to the delivery of high quality, accessible and resilience economic infrastructure? (EOPOs)</w:t>
            </w:r>
          </w:p>
          <w:p w14:paraId="04CB4901" w14:textId="77777777" w:rsidR="000117E1" w:rsidRPr="00B66B6B" w:rsidRDefault="000117E1" w:rsidP="00864DDD">
            <w:pPr>
              <w:numPr>
                <w:ilvl w:val="0"/>
                <w:numId w:val="3"/>
              </w:numPr>
              <w:autoSpaceDE w:val="0"/>
              <w:autoSpaceDN w:val="0"/>
              <w:adjustRightInd w:val="0"/>
              <w:spacing w:after="0"/>
              <w:ind w:left="456" w:hanging="425"/>
              <w:contextualSpacing/>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 xml:space="preserve">To what extent is the Program on track to contribute to its overarching goal? (Improved quality and accessibility of economic infrastructure to contribute to broad-based, </w:t>
            </w:r>
            <w:proofErr w:type="gramStart"/>
            <w:r w:rsidRPr="00B66B6B">
              <w:rPr>
                <w:rFonts w:ascii="Calibri Light" w:hAnsi="Calibri Light" w:cs="Calibri Light"/>
                <w:color w:val="000000"/>
              </w:rPr>
              <w:t>inclusive</w:t>
            </w:r>
            <w:proofErr w:type="gramEnd"/>
            <w:r w:rsidRPr="00B66B6B">
              <w:rPr>
                <w:rFonts w:ascii="Calibri Light" w:hAnsi="Calibri Light" w:cs="Calibri Light"/>
                <w:color w:val="000000"/>
              </w:rPr>
              <w:t xml:space="preserve"> and sustainable economic growth in Solomon Islands)</w:t>
            </w:r>
          </w:p>
        </w:tc>
      </w:tr>
      <w:tr w:rsidR="000117E1" w:rsidRPr="00B66B6B" w14:paraId="7AB6F76D" w14:textId="77777777">
        <w:tc>
          <w:tcPr>
            <w:cnfStyle w:val="001000000000" w:firstRow="0" w:lastRow="0" w:firstColumn="1" w:lastColumn="0" w:oddVBand="0" w:evenVBand="0" w:oddHBand="0" w:evenHBand="0" w:firstRowFirstColumn="0" w:firstRowLastColumn="0" w:lastRowFirstColumn="0" w:lastRowLastColumn="0"/>
            <w:tcW w:w="1271" w:type="dxa"/>
          </w:tcPr>
          <w:p w14:paraId="26DFAC28" w14:textId="77777777" w:rsidR="000117E1" w:rsidRPr="00B66B6B" w:rsidRDefault="000117E1">
            <w:pPr>
              <w:autoSpaceDE w:val="0"/>
              <w:autoSpaceDN w:val="0"/>
              <w:adjustRightInd w:val="0"/>
              <w:spacing w:after="0"/>
              <w:rPr>
                <w:rFonts w:ascii="Calibri Light" w:hAnsi="Calibri Light" w:cs="Calibri Light"/>
                <w:color w:val="000000"/>
              </w:rPr>
            </w:pPr>
            <w:r w:rsidRPr="00B66B6B">
              <w:rPr>
                <w:rFonts w:ascii="Calibri Light" w:hAnsi="Calibri Light" w:cs="Calibri Light"/>
                <w:color w:val="000000"/>
              </w:rPr>
              <w:t>Sustainability</w:t>
            </w:r>
          </w:p>
          <w:p w14:paraId="6DDC539E" w14:textId="77777777" w:rsidR="000117E1" w:rsidRPr="00B66B6B" w:rsidRDefault="000117E1">
            <w:pPr>
              <w:autoSpaceDE w:val="0"/>
              <w:autoSpaceDN w:val="0"/>
              <w:adjustRightInd w:val="0"/>
              <w:spacing w:after="0"/>
              <w:rPr>
                <w:rFonts w:ascii="Calibri Light" w:hAnsi="Calibri Light" w:cs="Calibri Light"/>
                <w:b w:val="0"/>
                <w:bCs w:val="0"/>
                <w:i/>
                <w:iCs/>
                <w:color w:val="000000"/>
              </w:rPr>
            </w:pPr>
            <w:r w:rsidRPr="00B66B6B">
              <w:rPr>
                <w:rFonts w:ascii="Calibri Light" w:hAnsi="Calibri Light" w:cs="Calibri Light"/>
                <w:b w:val="0"/>
                <w:bCs w:val="0"/>
                <w:i/>
                <w:iCs/>
                <w:color w:val="000000"/>
                <w:sz w:val="20"/>
                <w:szCs w:val="20"/>
              </w:rPr>
              <w:t>Will the benefits last?</w:t>
            </w:r>
          </w:p>
        </w:tc>
        <w:tc>
          <w:tcPr>
            <w:tcW w:w="7938" w:type="dxa"/>
          </w:tcPr>
          <w:p w14:paraId="3880D37A" w14:textId="77777777" w:rsidR="000117E1" w:rsidRPr="00B66B6B" w:rsidRDefault="000117E1" w:rsidP="00864DDD">
            <w:pPr>
              <w:numPr>
                <w:ilvl w:val="0"/>
                <w:numId w:val="3"/>
              </w:numPr>
              <w:autoSpaceDE w:val="0"/>
              <w:autoSpaceDN w:val="0"/>
              <w:adjustRightInd w:val="0"/>
              <w:spacing w:after="0"/>
              <w:ind w:left="456" w:hanging="425"/>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Is the Program contributing to positive recognition in the Solomon Islands community of Australia’s long-term infrastructure support? How can it increase positive recognition (i.e., through public diplomacy, community outreach)?</w:t>
            </w:r>
          </w:p>
          <w:p w14:paraId="413DCB8F" w14:textId="77777777" w:rsidR="000117E1" w:rsidRPr="00B66B6B" w:rsidRDefault="000117E1" w:rsidP="00864DDD">
            <w:pPr>
              <w:numPr>
                <w:ilvl w:val="0"/>
                <w:numId w:val="3"/>
              </w:numPr>
              <w:autoSpaceDE w:val="0"/>
              <w:autoSpaceDN w:val="0"/>
              <w:adjustRightInd w:val="0"/>
              <w:spacing w:after="0"/>
              <w:ind w:left="456" w:hanging="425"/>
              <w:contextualSpacing/>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rPr>
            </w:pPr>
            <w:r w:rsidRPr="00B66B6B">
              <w:rPr>
                <w:rFonts w:ascii="Calibri Light" w:hAnsi="Calibri Light" w:cs="Calibri Light"/>
                <w:color w:val="000000"/>
              </w:rPr>
              <w:t>To what extent will the EOPOs be sustained beyond the life of the Program?</w:t>
            </w:r>
          </w:p>
        </w:tc>
      </w:tr>
    </w:tbl>
    <w:p w14:paraId="4CE2F9FE" w14:textId="77777777" w:rsidR="00D31AD2" w:rsidRPr="00B66B6B" w:rsidRDefault="00D31AD2" w:rsidP="00370438"/>
    <w:p w14:paraId="356844E9" w14:textId="23C248A8" w:rsidR="00D31AD2" w:rsidRPr="00B66B6B" w:rsidRDefault="00884C0D" w:rsidP="000659F4">
      <w:pPr>
        <w:pStyle w:val="Heading1"/>
        <w:numPr>
          <w:ilvl w:val="0"/>
          <w:numId w:val="0"/>
        </w:numPr>
        <w:ind w:left="567" w:hanging="567"/>
        <w:rPr>
          <w:rStyle w:val="Heading"/>
        </w:rPr>
      </w:pPr>
      <w:bookmarkStart w:id="80" w:name="_Toc156506669"/>
      <w:bookmarkStart w:id="81" w:name="_Toc165140746"/>
      <w:r w:rsidRPr="00B66B6B">
        <w:rPr>
          <w:rStyle w:val="Heading"/>
        </w:rPr>
        <w:lastRenderedPageBreak/>
        <w:t>Annex 2 – Stakeholder Consultations</w:t>
      </w:r>
      <w:bookmarkEnd w:id="80"/>
      <w:bookmarkEnd w:id="81"/>
    </w:p>
    <w:p w14:paraId="0AE90031" w14:textId="2B25349B" w:rsidR="00C0280A" w:rsidRPr="00B66B6B" w:rsidRDefault="001C3ACA" w:rsidP="00370438">
      <w:pPr>
        <w:rPr>
          <w:b/>
          <w:bCs/>
        </w:rPr>
      </w:pPr>
      <w:r>
        <w:rPr>
          <w:b/>
          <w:bCs/>
        </w:rPr>
        <w:t xml:space="preserve">List of Key Informant Interviews (KIIs) undertaken </w:t>
      </w:r>
    </w:p>
    <w:tbl>
      <w:tblPr>
        <w:tblStyle w:val="TableGrid"/>
        <w:tblW w:w="9067" w:type="dxa"/>
        <w:tblLook w:val="04A0" w:firstRow="1" w:lastRow="0" w:firstColumn="1" w:lastColumn="0" w:noHBand="0" w:noVBand="1"/>
        <w:tblCaption w:val="Key Informant Interviews with Decision Makers"/>
        <w:tblDescription w:val="Name, Organisation, Country, and Project "/>
      </w:tblPr>
      <w:tblGrid>
        <w:gridCol w:w="3964"/>
        <w:gridCol w:w="3686"/>
        <w:gridCol w:w="1417"/>
      </w:tblGrid>
      <w:tr w:rsidR="00666DEA" w:rsidRPr="00EC42CA" w14:paraId="4BAF7B88" w14:textId="77777777" w:rsidTr="001F6404">
        <w:tc>
          <w:tcPr>
            <w:tcW w:w="3964" w:type="dxa"/>
            <w:shd w:val="clear" w:color="auto" w:fill="D9E2F3" w:themeFill="accent1" w:themeFillTint="33"/>
          </w:tcPr>
          <w:p w14:paraId="3919DF3B" w14:textId="77777777" w:rsidR="00666DEA" w:rsidRPr="00EC42CA" w:rsidRDefault="00666DEA" w:rsidP="00651777">
            <w:pPr>
              <w:pStyle w:val="TableText"/>
              <w:rPr>
                <w:b/>
                <w:bCs/>
              </w:rPr>
            </w:pPr>
            <w:bookmarkStart w:id="82" w:name="_Hlk165137620"/>
            <w:r w:rsidRPr="00EC42CA">
              <w:rPr>
                <w:b/>
                <w:bCs/>
              </w:rPr>
              <w:t>Name</w:t>
            </w:r>
          </w:p>
        </w:tc>
        <w:tc>
          <w:tcPr>
            <w:tcW w:w="3686" w:type="dxa"/>
            <w:shd w:val="clear" w:color="auto" w:fill="D9E2F3" w:themeFill="accent1" w:themeFillTint="33"/>
          </w:tcPr>
          <w:p w14:paraId="3095BE17" w14:textId="77777777" w:rsidR="00666DEA" w:rsidRPr="00EC42CA" w:rsidRDefault="00666DEA" w:rsidP="00651777">
            <w:pPr>
              <w:pStyle w:val="TableText"/>
              <w:rPr>
                <w:b/>
                <w:bCs/>
              </w:rPr>
            </w:pPr>
            <w:r w:rsidRPr="00EC42CA">
              <w:rPr>
                <w:b/>
                <w:bCs/>
              </w:rPr>
              <w:t>Organisation</w:t>
            </w:r>
          </w:p>
        </w:tc>
        <w:tc>
          <w:tcPr>
            <w:tcW w:w="1417" w:type="dxa"/>
            <w:shd w:val="clear" w:color="auto" w:fill="D9E2F3" w:themeFill="accent1" w:themeFillTint="33"/>
          </w:tcPr>
          <w:p w14:paraId="4DB8F583" w14:textId="40FD0BC9" w:rsidR="00666DEA" w:rsidRPr="00EC42CA" w:rsidRDefault="001A3925" w:rsidP="00651777">
            <w:pPr>
              <w:pStyle w:val="TableText"/>
              <w:rPr>
                <w:b/>
                <w:bCs/>
              </w:rPr>
            </w:pPr>
            <w:r w:rsidRPr="00EC42CA">
              <w:rPr>
                <w:b/>
                <w:bCs/>
              </w:rPr>
              <w:t>Remote / in person</w:t>
            </w:r>
          </w:p>
        </w:tc>
      </w:tr>
      <w:bookmarkEnd w:id="82"/>
      <w:tr w:rsidR="00651777" w:rsidRPr="00B66B6B" w14:paraId="295B0122" w14:textId="77777777" w:rsidTr="001F6404">
        <w:tc>
          <w:tcPr>
            <w:tcW w:w="3964" w:type="dxa"/>
          </w:tcPr>
          <w:p w14:paraId="777B0998" w14:textId="07A40B48" w:rsidR="00651777" w:rsidRPr="00B66B6B" w:rsidRDefault="00651777" w:rsidP="00651777">
            <w:pPr>
              <w:pStyle w:val="TableText"/>
            </w:pPr>
            <w:r w:rsidRPr="007F6362">
              <w:t>Rod Hilton</w:t>
            </w:r>
            <w:r>
              <w:t xml:space="preserve">, </w:t>
            </w:r>
            <w:r w:rsidRPr="00651777">
              <w:t>High Commissioner</w:t>
            </w:r>
          </w:p>
        </w:tc>
        <w:tc>
          <w:tcPr>
            <w:tcW w:w="3686" w:type="dxa"/>
          </w:tcPr>
          <w:p w14:paraId="462BFFAF" w14:textId="2A16C3D7" w:rsidR="00651777" w:rsidRPr="00B66B6B" w:rsidRDefault="00651777" w:rsidP="00651777">
            <w:pPr>
              <w:pStyle w:val="TableText"/>
            </w:pPr>
            <w:r w:rsidRPr="00651777">
              <w:t>DFAT</w:t>
            </w:r>
          </w:p>
        </w:tc>
        <w:tc>
          <w:tcPr>
            <w:tcW w:w="1417" w:type="dxa"/>
          </w:tcPr>
          <w:p w14:paraId="196A9822" w14:textId="25A5CA90" w:rsidR="00651777" w:rsidRPr="00B66B6B" w:rsidRDefault="00594821" w:rsidP="00651777">
            <w:pPr>
              <w:pStyle w:val="TableText"/>
            </w:pPr>
            <w:r w:rsidRPr="00594821">
              <w:t>In person</w:t>
            </w:r>
          </w:p>
        </w:tc>
      </w:tr>
      <w:tr w:rsidR="00651777" w:rsidRPr="00B66B6B" w14:paraId="3D24C7A4" w14:textId="77777777" w:rsidTr="001F6404">
        <w:tc>
          <w:tcPr>
            <w:tcW w:w="3964" w:type="dxa"/>
          </w:tcPr>
          <w:p w14:paraId="23473258" w14:textId="0B8DA313" w:rsidR="00651777" w:rsidRPr="00B66B6B" w:rsidRDefault="00651777" w:rsidP="00651777">
            <w:pPr>
              <w:pStyle w:val="TableText"/>
            </w:pPr>
            <w:r w:rsidRPr="007F6362">
              <w:t>Andrew Schloeffel</w:t>
            </w:r>
            <w:r>
              <w:t xml:space="preserve">, </w:t>
            </w:r>
            <w:r w:rsidRPr="00651777">
              <w:t>Deputy High Commissioner</w:t>
            </w:r>
          </w:p>
        </w:tc>
        <w:tc>
          <w:tcPr>
            <w:tcW w:w="3686" w:type="dxa"/>
          </w:tcPr>
          <w:p w14:paraId="7D632E42" w14:textId="4663D95C" w:rsidR="00651777" w:rsidRPr="00B66B6B" w:rsidRDefault="00651777" w:rsidP="00651777">
            <w:pPr>
              <w:pStyle w:val="TableText"/>
            </w:pPr>
            <w:r w:rsidRPr="00651777">
              <w:t>DFAT</w:t>
            </w:r>
          </w:p>
        </w:tc>
        <w:tc>
          <w:tcPr>
            <w:tcW w:w="1417" w:type="dxa"/>
          </w:tcPr>
          <w:p w14:paraId="580E717E" w14:textId="72C92680" w:rsidR="00651777" w:rsidRPr="00B66B6B" w:rsidRDefault="00594821" w:rsidP="00651777">
            <w:pPr>
              <w:pStyle w:val="TableText"/>
            </w:pPr>
            <w:r w:rsidRPr="00594821">
              <w:t>In person</w:t>
            </w:r>
          </w:p>
        </w:tc>
      </w:tr>
      <w:tr w:rsidR="005C6426" w:rsidRPr="00B66B6B" w14:paraId="3768D4CF" w14:textId="77777777" w:rsidTr="001F6404">
        <w:tc>
          <w:tcPr>
            <w:tcW w:w="3964" w:type="dxa"/>
          </w:tcPr>
          <w:p w14:paraId="09F9CB2B" w14:textId="0D5FF136" w:rsidR="005C6426" w:rsidRPr="007F6362" w:rsidRDefault="005C6426" w:rsidP="005C6426">
            <w:pPr>
              <w:pStyle w:val="TableText"/>
            </w:pPr>
            <w:r>
              <w:t xml:space="preserve">Craig Gillies, Counsellor </w:t>
            </w:r>
          </w:p>
        </w:tc>
        <w:tc>
          <w:tcPr>
            <w:tcW w:w="3686" w:type="dxa"/>
          </w:tcPr>
          <w:p w14:paraId="4EF3F0E9" w14:textId="7F96787B" w:rsidR="005C6426" w:rsidRPr="00651777" w:rsidRDefault="005C6426" w:rsidP="005C6426">
            <w:pPr>
              <w:pStyle w:val="TableText"/>
            </w:pPr>
            <w:r>
              <w:t>DFAT</w:t>
            </w:r>
          </w:p>
        </w:tc>
        <w:tc>
          <w:tcPr>
            <w:tcW w:w="1417" w:type="dxa"/>
          </w:tcPr>
          <w:p w14:paraId="7F6DEEA3" w14:textId="2AA5A90B" w:rsidR="005C6426" w:rsidRPr="00594821" w:rsidRDefault="005C6426" w:rsidP="005C6426">
            <w:pPr>
              <w:pStyle w:val="TableText"/>
            </w:pPr>
            <w:r>
              <w:t>In person</w:t>
            </w:r>
          </w:p>
        </w:tc>
      </w:tr>
      <w:tr w:rsidR="005C6426" w:rsidRPr="00B66B6B" w14:paraId="06419493" w14:textId="77777777" w:rsidTr="001F6404">
        <w:tc>
          <w:tcPr>
            <w:tcW w:w="3964" w:type="dxa"/>
          </w:tcPr>
          <w:p w14:paraId="470BA263" w14:textId="273C0454" w:rsidR="005C6426" w:rsidRPr="00B66B6B" w:rsidRDefault="005C6426" w:rsidP="005C6426">
            <w:pPr>
              <w:pStyle w:val="TableText"/>
            </w:pPr>
            <w:r w:rsidRPr="003A6EB3">
              <w:t>Elise Newton</w:t>
            </w:r>
            <w:r>
              <w:t>,</w:t>
            </w:r>
            <w:r w:rsidRPr="003A6EB3">
              <w:t xml:space="preserve"> First Secretary, Health</w:t>
            </w:r>
          </w:p>
        </w:tc>
        <w:tc>
          <w:tcPr>
            <w:tcW w:w="3686" w:type="dxa"/>
          </w:tcPr>
          <w:p w14:paraId="24619891" w14:textId="4A9913A0" w:rsidR="005C6426" w:rsidRPr="00B66B6B" w:rsidRDefault="005C6426" w:rsidP="005C6426">
            <w:pPr>
              <w:pStyle w:val="TableText"/>
            </w:pPr>
            <w:r w:rsidRPr="00651777">
              <w:t>DFAT</w:t>
            </w:r>
          </w:p>
        </w:tc>
        <w:tc>
          <w:tcPr>
            <w:tcW w:w="1417" w:type="dxa"/>
          </w:tcPr>
          <w:p w14:paraId="1C085214" w14:textId="0950E49E" w:rsidR="005C6426" w:rsidRPr="00B66B6B" w:rsidRDefault="005C6426" w:rsidP="005C6426">
            <w:pPr>
              <w:pStyle w:val="TableText"/>
            </w:pPr>
            <w:r w:rsidRPr="00594821">
              <w:t>In person</w:t>
            </w:r>
          </w:p>
        </w:tc>
      </w:tr>
      <w:tr w:rsidR="005C6426" w:rsidRPr="00B66B6B" w14:paraId="35C3153A" w14:textId="77777777" w:rsidTr="001F6404">
        <w:tc>
          <w:tcPr>
            <w:tcW w:w="3964" w:type="dxa"/>
          </w:tcPr>
          <w:p w14:paraId="1CED6D92" w14:textId="50395106" w:rsidR="005C6426" w:rsidRPr="00B66B6B" w:rsidRDefault="005C6426" w:rsidP="005C6426">
            <w:pPr>
              <w:pStyle w:val="TableText"/>
            </w:pPr>
            <w:r w:rsidRPr="003A6EB3">
              <w:t>Zina Fefera</w:t>
            </w:r>
            <w:r>
              <w:t xml:space="preserve">, </w:t>
            </w:r>
            <w:r w:rsidRPr="003A6EB3">
              <w:t>Senior Program Manager, Health</w:t>
            </w:r>
          </w:p>
        </w:tc>
        <w:tc>
          <w:tcPr>
            <w:tcW w:w="3686" w:type="dxa"/>
          </w:tcPr>
          <w:p w14:paraId="5B914D48" w14:textId="6D92AE39" w:rsidR="005C6426" w:rsidRPr="00B66B6B" w:rsidRDefault="005C6426" w:rsidP="005C6426">
            <w:pPr>
              <w:pStyle w:val="TableText"/>
            </w:pPr>
            <w:r w:rsidRPr="00651777">
              <w:t>DFAT</w:t>
            </w:r>
          </w:p>
        </w:tc>
        <w:tc>
          <w:tcPr>
            <w:tcW w:w="1417" w:type="dxa"/>
          </w:tcPr>
          <w:p w14:paraId="17871F29" w14:textId="0542471B" w:rsidR="005C6426" w:rsidRPr="00B66B6B" w:rsidRDefault="005C6426" w:rsidP="005C6426">
            <w:pPr>
              <w:pStyle w:val="TableText"/>
            </w:pPr>
            <w:r w:rsidRPr="00594821">
              <w:t>In person</w:t>
            </w:r>
          </w:p>
        </w:tc>
      </w:tr>
      <w:tr w:rsidR="005C6426" w:rsidRPr="00B66B6B" w14:paraId="73E6A19F" w14:textId="77777777" w:rsidTr="001F6404">
        <w:tc>
          <w:tcPr>
            <w:tcW w:w="3964" w:type="dxa"/>
          </w:tcPr>
          <w:p w14:paraId="181227CB" w14:textId="231CC140" w:rsidR="005C6426" w:rsidRPr="00B66B6B" w:rsidRDefault="005C6426" w:rsidP="005C6426">
            <w:pPr>
              <w:pStyle w:val="TableText"/>
            </w:pPr>
            <w:r w:rsidRPr="006369D0">
              <w:t>Joe McCarter</w:t>
            </w:r>
            <w:r>
              <w:t>,</w:t>
            </w:r>
            <w:r w:rsidRPr="006369D0">
              <w:t xml:space="preserve"> First Secretary</w:t>
            </w:r>
          </w:p>
        </w:tc>
        <w:tc>
          <w:tcPr>
            <w:tcW w:w="3686" w:type="dxa"/>
          </w:tcPr>
          <w:p w14:paraId="0B8D426F" w14:textId="1F6215F7" w:rsidR="005C6426" w:rsidRPr="00B66B6B" w:rsidRDefault="005C6426" w:rsidP="005C6426">
            <w:pPr>
              <w:pStyle w:val="TableText"/>
            </w:pPr>
            <w:r>
              <w:t>NZ High Commission</w:t>
            </w:r>
          </w:p>
        </w:tc>
        <w:tc>
          <w:tcPr>
            <w:tcW w:w="1417" w:type="dxa"/>
          </w:tcPr>
          <w:p w14:paraId="687BE3FF" w14:textId="7556CFDD" w:rsidR="005C6426" w:rsidRPr="00B66B6B" w:rsidRDefault="005C6426" w:rsidP="005C6426">
            <w:pPr>
              <w:pStyle w:val="TableText"/>
            </w:pPr>
            <w:r w:rsidRPr="003B24DD">
              <w:t>In person</w:t>
            </w:r>
          </w:p>
        </w:tc>
      </w:tr>
      <w:tr w:rsidR="005C6426" w:rsidRPr="00B66B6B" w14:paraId="292CE965" w14:textId="77777777" w:rsidTr="001F6404">
        <w:tc>
          <w:tcPr>
            <w:tcW w:w="3964" w:type="dxa"/>
          </w:tcPr>
          <w:p w14:paraId="71D357DB" w14:textId="7B8E9804" w:rsidR="005C6426" w:rsidRPr="00B66B6B" w:rsidRDefault="005C6426" w:rsidP="005C6426">
            <w:pPr>
              <w:pStyle w:val="TableText"/>
            </w:pPr>
            <w:r w:rsidRPr="006369D0">
              <w:t xml:space="preserve">Luke </w:t>
            </w:r>
            <w:proofErr w:type="spellStart"/>
            <w:r w:rsidRPr="006369D0">
              <w:t>Familton</w:t>
            </w:r>
            <w:proofErr w:type="spellEnd"/>
            <w:r>
              <w:t xml:space="preserve">, </w:t>
            </w:r>
            <w:r w:rsidRPr="006369D0">
              <w:t xml:space="preserve">Infrastructure Project Manager </w:t>
            </w:r>
          </w:p>
        </w:tc>
        <w:tc>
          <w:tcPr>
            <w:tcW w:w="3686" w:type="dxa"/>
          </w:tcPr>
          <w:p w14:paraId="53DE5994" w14:textId="22A748DB" w:rsidR="005C6426" w:rsidRPr="00B66B6B" w:rsidRDefault="005C6426" w:rsidP="005C6426">
            <w:pPr>
              <w:pStyle w:val="TableText"/>
            </w:pPr>
            <w:r w:rsidRPr="00763B76">
              <w:t>NZ High Commission</w:t>
            </w:r>
          </w:p>
        </w:tc>
        <w:tc>
          <w:tcPr>
            <w:tcW w:w="1417" w:type="dxa"/>
          </w:tcPr>
          <w:p w14:paraId="13D9E4D8" w14:textId="1E714F64" w:rsidR="005C6426" w:rsidRPr="00B66B6B" w:rsidRDefault="005C6426" w:rsidP="005C6426">
            <w:pPr>
              <w:pStyle w:val="TableText"/>
            </w:pPr>
            <w:r w:rsidRPr="003B24DD">
              <w:t>In person</w:t>
            </w:r>
          </w:p>
        </w:tc>
      </w:tr>
      <w:tr w:rsidR="005C6426" w:rsidRPr="00B66B6B" w14:paraId="33A693BE" w14:textId="77777777" w:rsidTr="001F6404">
        <w:tc>
          <w:tcPr>
            <w:tcW w:w="3964" w:type="dxa"/>
          </w:tcPr>
          <w:p w14:paraId="3B0280A3" w14:textId="3DFB62B3" w:rsidR="005C6426" w:rsidRPr="00B66B6B" w:rsidRDefault="005C6426" w:rsidP="005C6426">
            <w:pPr>
              <w:pStyle w:val="TableText"/>
            </w:pPr>
            <w:r>
              <w:t xml:space="preserve">Patrick </w:t>
            </w:r>
            <w:proofErr w:type="spellStart"/>
            <w:r>
              <w:t>Reoka</w:t>
            </w:r>
            <w:proofErr w:type="spellEnd"/>
            <w:r>
              <w:t>, Planning Officer</w:t>
            </w:r>
          </w:p>
        </w:tc>
        <w:tc>
          <w:tcPr>
            <w:tcW w:w="3686" w:type="dxa"/>
          </w:tcPr>
          <w:p w14:paraId="6A0DC8DA" w14:textId="62080E1E" w:rsidR="005C6426" w:rsidRPr="00B66B6B" w:rsidRDefault="005C6426" w:rsidP="005C6426">
            <w:pPr>
              <w:pStyle w:val="TableText"/>
            </w:pPr>
            <w:r w:rsidRPr="00EC42CA">
              <w:t>Ministry of Infrastructure Development (MID</w:t>
            </w:r>
            <w:r w:rsidR="004D5D09">
              <w:t>)</w:t>
            </w:r>
          </w:p>
        </w:tc>
        <w:tc>
          <w:tcPr>
            <w:tcW w:w="1417" w:type="dxa"/>
          </w:tcPr>
          <w:p w14:paraId="66A71A3D" w14:textId="7BFF7DC6" w:rsidR="005C6426" w:rsidRPr="00B66B6B" w:rsidRDefault="005C6426" w:rsidP="005C6426">
            <w:pPr>
              <w:pStyle w:val="TableText"/>
            </w:pPr>
            <w:r w:rsidRPr="003B24DD">
              <w:t>In person</w:t>
            </w:r>
          </w:p>
        </w:tc>
      </w:tr>
      <w:tr w:rsidR="005C6426" w:rsidRPr="00B66B6B" w14:paraId="2C6E19CD" w14:textId="77777777" w:rsidTr="001F6404">
        <w:tc>
          <w:tcPr>
            <w:tcW w:w="3964" w:type="dxa"/>
          </w:tcPr>
          <w:p w14:paraId="4F8CAD69" w14:textId="5EF05DE2" w:rsidR="005C6426" w:rsidRPr="00B66B6B" w:rsidRDefault="005C6426" w:rsidP="005C6426">
            <w:pPr>
              <w:pStyle w:val="TableText"/>
            </w:pPr>
            <w:r>
              <w:t xml:space="preserve">Mr </w:t>
            </w:r>
            <w:proofErr w:type="spellStart"/>
            <w:r>
              <w:t>Mckinnie</w:t>
            </w:r>
            <w:proofErr w:type="spellEnd"/>
            <w:r>
              <w:t xml:space="preserve"> </w:t>
            </w:r>
            <w:proofErr w:type="spellStart"/>
            <w:r>
              <w:t>Dentana</w:t>
            </w:r>
            <w:proofErr w:type="spellEnd"/>
            <w:r>
              <w:t>, Permanent Secretary</w:t>
            </w:r>
          </w:p>
        </w:tc>
        <w:tc>
          <w:tcPr>
            <w:tcW w:w="3686" w:type="dxa"/>
          </w:tcPr>
          <w:p w14:paraId="62E57679" w14:textId="1A154F80" w:rsidR="005C6426" w:rsidRPr="00B66B6B" w:rsidRDefault="005C6426" w:rsidP="005C6426">
            <w:pPr>
              <w:pStyle w:val="TableText"/>
            </w:pPr>
            <w:r w:rsidRPr="001F24F9">
              <w:t>Ministry of Finance and Treasury (MOFT)</w:t>
            </w:r>
          </w:p>
        </w:tc>
        <w:tc>
          <w:tcPr>
            <w:tcW w:w="1417" w:type="dxa"/>
          </w:tcPr>
          <w:p w14:paraId="17FEFE4A" w14:textId="13891BF4" w:rsidR="005C6426" w:rsidRPr="00B66B6B" w:rsidRDefault="005C6426" w:rsidP="005C6426">
            <w:pPr>
              <w:pStyle w:val="TableText"/>
            </w:pPr>
            <w:r w:rsidRPr="003B24DD">
              <w:t>In person</w:t>
            </w:r>
          </w:p>
        </w:tc>
      </w:tr>
      <w:tr w:rsidR="005C6426" w:rsidRPr="00B66B6B" w14:paraId="10738DE0" w14:textId="77777777" w:rsidTr="001F6404">
        <w:tc>
          <w:tcPr>
            <w:tcW w:w="3964" w:type="dxa"/>
          </w:tcPr>
          <w:p w14:paraId="4A503CFA" w14:textId="4D000D1E" w:rsidR="005C6426" w:rsidRPr="00B66B6B" w:rsidRDefault="005C6426" w:rsidP="005C6426">
            <w:pPr>
              <w:pStyle w:val="TableText"/>
            </w:pPr>
            <w:r w:rsidRPr="00A22B04">
              <w:t>Justus Denni</w:t>
            </w:r>
            <w:r>
              <w:t>,</w:t>
            </w:r>
            <w:r w:rsidRPr="00A22B04">
              <w:t xml:space="preserve"> Honiara City Clerk</w:t>
            </w:r>
          </w:p>
        </w:tc>
        <w:tc>
          <w:tcPr>
            <w:tcW w:w="3686" w:type="dxa"/>
          </w:tcPr>
          <w:p w14:paraId="0340297A" w14:textId="01078374" w:rsidR="005C6426" w:rsidRPr="00B66B6B" w:rsidRDefault="005C6426" w:rsidP="005C6426">
            <w:pPr>
              <w:pStyle w:val="TableText"/>
            </w:pPr>
            <w:r w:rsidRPr="00B14E33">
              <w:t>Honiara City Council</w:t>
            </w:r>
          </w:p>
        </w:tc>
        <w:tc>
          <w:tcPr>
            <w:tcW w:w="1417" w:type="dxa"/>
          </w:tcPr>
          <w:p w14:paraId="4F83DAF3" w14:textId="0E021F68" w:rsidR="005C6426" w:rsidRPr="00B66B6B" w:rsidRDefault="005C6426" w:rsidP="005C6426">
            <w:pPr>
              <w:pStyle w:val="TableText"/>
            </w:pPr>
            <w:r w:rsidRPr="003B24DD">
              <w:t>In person</w:t>
            </w:r>
          </w:p>
        </w:tc>
      </w:tr>
      <w:tr w:rsidR="005C6426" w:rsidRPr="00B66B6B" w14:paraId="71F63D67" w14:textId="77777777" w:rsidTr="001F6404">
        <w:tc>
          <w:tcPr>
            <w:tcW w:w="3964" w:type="dxa"/>
          </w:tcPr>
          <w:p w14:paraId="33F6DD54" w14:textId="10E0A7EF" w:rsidR="005C6426" w:rsidRPr="00B66B6B" w:rsidRDefault="005C6426" w:rsidP="005C6426">
            <w:pPr>
              <w:pStyle w:val="TableText"/>
            </w:pPr>
            <w:r w:rsidRPr="0042521B">
              <w:t>Dr Jimmie Rodgers</w:t>
            </w:r>
            <w:r>
              <w:t>,</w:t>
            </w:r>
            <w:r w:rsidRPr="0042521B">
              <w:t xml:space="preserve"> Special Secretary to the Prime Minister</w:t>
            </w:r>
          </w:p>
        </w:tc>
        <w:tc>
          <w:tcPr>
            <w:tcW w:w="3686" w:type="dxa"/>
          </w:tcPr>
          <w:p w14:paraId="2095A56D" w14:textId="63539BD1" w:rsidR="005C6426" w:rsidRPr="00B66B6B" w:rsidRDefault="005C6426" w:rsidP="005C6426">
            <w:pPr>
              <w:pStyle w:val="TableText"/>
            </w:pPr>
            <w:r w:rsidRPr="00CB2E8C">
              <w:t>Office of the Prime Minister and Cabinet</w:t>
            </w:r>
          </w:p>
        </w:tc>
        <w:tc>
          <w:tcPr>
            <w:tcW w:w="1417" w:type="dxa"/>
          </w:tcPr>
          <w:p w14:paraId="27F80C22" w14:textId="027BA25D" w:rsidR="005C6426" w:rsidRPr="00B66B6B" w:rsidRDefault="005C6426" w:rsidP="005C6426">
            <w:pPr>
              <w:pStyle w:val="TableText"/>
            </w:pPr>
            <w:r w:rsidRPr="003B24DD">
              <w:t>In person</w:t>
            </w:r>
          </w:p>
        </w:tc>
      </w:tr>
      <w:tr w:rsidR="005C6426" w:rsidRPr="00B66B6B" w14:paraId="29783779" w14:textId="77777777" w:rsidTr="001F6404">
        <w:tc>
          <w:tcPr>
            <w:tcW w:w="3964" w:type="dxa"/>
          </w:tcPr>
          <w:p w14:paraId="1D10E079" w14:textId="6354D646" w:rsidR="005C6426" w:rsidRPr="00B66B6B" w:rsidRDefault="005C6426" w:rsidP="005C6426">
            <w:pPr>
              <w:pStyle w:val="TableText"/>
            </w:pPr>
            <w:r w:rsidRPr="00326BDA">
              <w:t xml:space="preserve">Dr Melchior </w:t>
            </w:r>
            <w:proofErr w:type="spellStart"/>
            <w:r w:rsidRPr="00326BDA">
              <w:t>Mataki</w:t>
            </w:r>
            <w:proofErr w:type="spellEnd"/>
            <w:r>
              <w:t>,</w:t>
            </w:r>
            <w:r w:rsidRPr="00326BDA">
              <w:t xml:space="preserve"> Permanent Secretary</w:t>
            </w:r>
          </w:p>
        </w:tc>
        <w:tc>
          <w:tcPr>
            <w:tcW w:w="3686" w:type="dxa"/>
          </w:tcPr>
          <w:p w14:paraId="2B804385" w14:textId="043F3BB2" w:rsidR="005C6426" w:rsidRPr="00B66B6B" w:rsidRDefault="005C6426" w:rsidP="005C6426">
            <w:pPr>
              <w:pStyle w:val="TableText"/>
            </w:pPr>
            <w:r w:rsidRPr="003E28CF">
              <w:t>Ministry of Environment, Climate Change, Disaster and Meteorology</w:t>
            </w:r>
          </w:p>
        </w:tc>
        <w:tc>
          <w:tcPr>
            <w:tcW w:w="1417" w:type="dxa"/>
          </w:tcPr>
          <w:p w14:paraId="72AB1CAE" w14:textId="5C108B7F" w:rsidR="005C6426" w:rsidRPr="00B66B6B" w:rsidRDefault="005C6426" w:rsidP="005C6426">
            <w:pPr>
              <w:pStyle w:val="TableText"/>
            </w:pPr>
            <w:r w:rsidRPr="003B24DD">
              <w:t>In person</w:t>
            </w:r>
          </w:p>
        </w:tc>
      </w:tr>
      <w:tr w:rsidR="005C6426" w:rsidRPr="00B66B6B" w14:paraId="42C2230A" w14:textId="77777777" w:rsidTr="001F6404">
        <w:tc>
          <w:tcPr>
            <w:tcW w:w="3964" w:type="dxa"/>
          </w:tcPr>
          <w:p w14:paraId="0AD3F5E6" w14:textId="0E2944B1" w:rsidR="005C6426" w:rsidRPr="00B66B6B" w:rsidRDefault="005C6426" w:rsidP="005C6426">
            <w:pPr>
              <w:pStyle w:val="TableText"/>
            </w:pPr>
            <w:r w:rsidRPr="00A90311">
              <w:t xml:space="preserve">John </w:t>
            </w:r>
            <w:proofErr w:type="spellStart"/>
            <w:r w:rsidRPr="00A90311">
              <w:t>Niroa</w:t>
            </w:r>
            <w:proofErr w:type="spellEnd"/>
            <w:r w:rsidRPr="00A90311">
              <w:t xml:space="preserve"> </w:t>
            </w:r>
            <w:proofErr w:type="spellStart"/>
            <w:r w:rsidRPr="00A90311">
              <w:t>Misitee</w:t>
            </w:r>
            <w:proofErr w:type="spellEnd"/>
            <w:r w:rsidRPr="00A90311">
              <w:t>, Deputy Secretary</w:t>
            </w:r>
          </w:p>
        </w:tc>
        <w:tc>
          <w:tcPr>
            <w:tcW w:w="3686" w:type="dxa"/>
          </w:tcPr>
          <w:p w14:paraId="008D39D2" w14:textId="631465AA" w:rsidR="005C6426" w:rsidRPr="00B66B6B" w:rsidRDefault="005C6426" w:rsidP="005C6426">
            <w:pPr>
              <w:pStyle w:val="TableText"/>
            </w:pPr>
            <w:r w:rsidRPr="004919A6">
              <w:t>Ministry of Provincial Government and Institutional Strengthening (MPGIS)</w:t>
            </w:r>
          </w:p>
        </w:tc>
        <w:tc>
          <w:tcPr>
            <w:tcW w:w="1417" w:type="dxa"/>
          </w:tcPr>
          <w:p w14:paraId="44EFE8C8" w14:textId="01C46C72" w:rsidR="005C6426" w:rsidRPr="00B66B6B" w:rsidRDefault="005C6426" w:rsidP="005C6426">
            <w:pPr>
              <w:pStyle w:val="TableText"/>
            </w:pPr>
            <w:r w:rsidRPr="003B24DD">
              <w:t>In person</w:t>
            </w:r>
          </w:p>
        </w:tc>
      </w:tr>
      <w:tr w:rsidR="005C6426" w:rsidRPr="00B66B6B" w14:paraId="3AC32920" w14:textId="77777777" w:rsidTr="001F6404">
        <w:tc>
          <w:tcPr>
            <w:tcW w:w="3964" w:type="dxa"/>
          </w:tcPr>
          <w:p w14:paraId="501CA5AF" w14:textId="251FBB13" w:rsidR="005C6426" w:rsidRPr="00B66B6B" w:rsidRDefault="005C6426" w:rsidP="005C6426">
            <w:pPr>
              <w:pStyle w:val="TableText"/>
            </w:pPr>
            <w:r w:rsidRPr="005745EA">
              <w:t>Carmine Piantedosi</w:t>
            </w:r>
            <w:r>
              <w:t>,</w:t>
            </w:r>
            <w:r w:rsidRPr="005745EA">
              <w:t xml:space="preserve"> CEO</w:t>
            </w:r>
          </w:p>
        </w:tc>
        <w:tc>
          <w:tcPr>
            <w:tcW w:w="3686" w:type="dxa"/>
          </w:tcPr>
          <w:p w14:paraId="760CF8CC" w14:textId="01C1A0B1" w:rsidR="005C6426" w:rsidRPr="00B66B6B" w:rsidRDefault="005C6426" w:rsidP="005C6426">
            <w:pPr>
              <w:pStyle w:val="TableText"/>
            </w:pPr>
            <w:r w:rsidRPr="009069B8">
              <w:t>Solomon Water</w:t>
            </w:r>
          </w:p>
        </w:tc>
        <w:tc>
          <w:tcPr>
            <w:tcW w:w="1417" w:type="dxa"/>
          </w:tcPr>
          <w:p w14:paraId="6AB19C39" w14:textId="67810BB5" w:rsidR="005C6426" w:rsidRPr="00B66B6B" w:rsidRDefault="005C6426" w:rsidP="005C6426">
            <w:pPr>
              <w:pStyle w:val="TableText"/>
            </w:pPr>
            <w:r w:rsidRPr="003B24DD">
              <w:t>In person</w:t>
            </w:r>
          </w:p>
        </w:tc>
      </w:tr>
      <w:tr w:rsidR="005C6426" w:rsidRPr="00B66B6B" w14:paraId="725160D6" w14:textId="77777777" w:rsidTr="001F6404">
        <w:tc>
          <w:tcPr>
            <w:tcW w:w="3964" w:type="dxa"/>
          </w:tcPr>
          <w:p w14:paraId="775EE472" w14:textId="7BCEC3D2" w:rsidR="005C6426" w:rsidRPr="00B66B6B" w:rsidRDefault="005C6426" w:rsidP="005C6426">
            <w:pPr>
              <w:pStyle w:val="TableText"/>
            </w:pPr>
            <w:r w:rsidRPr="005745EA">
              <w:t>Finance Co</w:t>
            </w:r>
            <w:r>
              <w:t>n</w:t>
            </w:r>
            <w:r w:rsidRPr="005745EA">
              <w:t>troller</w:t>
            </w:r>
          </w:p>
        </w:tc>
        <w:tc>
          <w:tcPr>
            <w:tcW w:w="3686" w:type="dxa"/>
          </w:tcPr>
          <w:p w14:paraId="0E6EE772" w14:textId="12F10D41" w:rsidR="005C6426" w:rsidRPr="009069B8" w:rsidRDefault="005C6426" w:rsidP="005C6426">
            <w:pPr>
              <w:pStyle w:val="TableText"/>
            </w:pPr>
            <w:r w:rsidRPr="00426F5E">
              <w:t>Solomon Water</w:t>
            </w:r>
          </w:p>
        </w:tc>
        <w:tc>
          <w:tcPr>
            <w:tcW w:w="1417" w:type="dxa"/>
          </w:tcPr>
          <w:p w14:paraId="4FB1C7F8" w14:textId="5CAB04BB" w:rsidR="005C6426" w:rsidRPr="00B66B6B" w:rsidRDefault="005C6426" w:rsidP="005C6426">
            <w:pPr>
              <w:pStyle w:val="TableText"/>
            </w:pPr>
            <w:r w:rsidRPr="003B24DD">
              <w:t>In person</w:t>
            </w:r>
          </w:p>
        </w:tc>
      </w:tr>
      <w:tr w:rsidR="005C6426" w:rsidRPr="00B66B6B" w14:paraId="434C9EBD" w14:textId="77777777" w:rsidTr="001F6404">
        <w:tc>
          <w:tcPr>
            <w:tcW w:w="3964" w:type="dxa"/>
          </w:tcPr>
          <w:p w14:paraId="753729A9" w14:textId="0B39D17C" w:rsidR="005C6426" w:rsidRPr="005745EA" w:rsidRDefault="005C6426" w:rsidP="005C6426">
            <w:pPr>
              <w:pStyle w:val="TableText"/>
            </w:pPr>
            <w:r w:rsidRPr="004A13F3">
              <w:t>Freda Waki</w:t>
            </w:r>
            <w:r>
              <w:t xml:space="preserve">, </w:t>
            </w:r>
            <w:r w:rsidRPr="004A13F3">
              <w:t>Engineer</w:t>
            </w:r>
          </w:p>
        </w:tc>
        <w:tc>
          <w:tcPr>
            <w:tcW w:w="3686" w:type="dxa"/>
          </w:tcPr>
          <w:p w14:paraId="604624D0" w14:textId="4A26DBC8" w:rsidR="005C6426" w:rsidRPr="00426F5E" w:rsidRDefault="005C6426" w:rsidP="005C6426">
            <w:pPr>
              <w:pStyle w:val="TableText"/>
            </w:pPr>
            <w:r w:rsidRPr="00F5099C">
              <w:t>Alrico Construction Group</w:t>
            </w:r>
          </w:p>
        </w:tc>
        <w:tc>
          <w:tcPr>
            <w:tcW w:w="1417" w:type="dxa"/>
          </w:tcPr>
          <w:p w14:paraId="7DFF3978" w14:textId="27E172F2" w:rsidR="005C6426" w:rsidRPr="00B66B6B" w:rsidRDefault="005C6426" w:rsidP="005C6426">
            <w:pPr>
              <w:pStyle w:val="TableText"/>
            </w:pPr>
            <w:r w:rsidRPr="003B24DD">
              <w:t>In person</w:t>
            </w:r>
          </w:p>
        </w:tc>
      </w:tr>
      <w:tr w:rsidR="005C6426" w:rsidRPr="00B66B6B" w14:paraId="6E972577" w14:textId="77777777" w:rsidTr="001F6404">
        <w:tc>
          <w:tcPr>
            <w:tcW w:w="3964" w:type="dxa"/>
          </w:tcPr>
          <w:p w14:paraId="7EA3DE8E" w14:textId="6A53FF47" w:rsidR="005C6426" w:rsidRDefault="005C6426" w:rsidP="005C6426">
            <w:pPr>
              <w:pStyle w:val="TableText"/>
            </w:pPr>
            <w:r>
              <w:t xml:space="preserve">Michael Palmer, Senior Technical Officer </w:t>
            </w:r>
          </w:p>
          <w:p w14:paraId="5F890DA5" w14:textId="6F9DD941" w:rsidR="005C6426" w:rsidRPr="004A13F3" w:rsidRDefault="005C6426" w:rsidP="005C6426">
            <w:pPr>
              <w:pStyle w:val="TableText"/>
            </w:pPr>
            <w:r>
              <w:t>Project Staff</w:t>
            </w:r>
          </w:p>
        </w:tc>
        <w:tc>
          <w:tcPr>
            <w:tcW w:w="3686" w:type="dxa"/>
          </w:tcPr>
          <w:p w14:paraId="27DD4D15" w14:textId="741B1A39" w:rsidR="005C6426" w:rsidRPr="00F5099C" w:rsidRDefault="005C6426" w:rsidP="005C6426">
            <w:pPr>
              <w:pStyle w:val="TableText"/>
            </w:pPr>
            <w:r w:rsidRPr="001F4727">
              <w:t>Our Telekom</w:t>
            </w:r>
          </w:p>
        </w:tc>
        <w:tc>
          <w:tcPr>
            <w:tcW w:w="1417" w:type="dxa"/>
          </w:tcPr>
          <w:p w14:paraId="6FE2E5CF" w14:textId="0F036ECE" w:rsidR="005C6426" w:rsidRPr="00B66B6B" w:rsidRDefault="005C6426" w:rsidP="005C6426">
            <w:pPr>
              <w:pStyle w:val="TableText"/>
            </w:pPr>
            <w:r w:rsidRPr="003B24DD">
              <w:t>In person</w:t>
            </w:r>
          </w:p>
        </w:tc>
      </w:tr>
      <w:tr w:rsidR="005C6426" w:rsidRPr="00B66B6B" w14:paraId="6A6B7AFA" w14:textId="77777777" w:rsidTr="001F6404">
        <w:tc>
          <w:tcPr>
            <w:tcW w:w="3964" w:type="dxa"/>
          </w:tcPr>
          <w:p w14:paraId="24962164" w14:textId="34F7D03C" w:rsidR="005C6426" w:rsidRDefault="005C6426" w:rsidP="005C6426">
            <w:pPr>
              <w:pStyle w:val="TableText"/>
            </w:pPr>
            <w:r>
              <w:t>Susan Sulu, Permanent Secretary</w:t>
            </w:r>
          </w:p>
          <w:p w14:paraId="3E631121" w14:textId="25DC8264" w:rsidR="005C6426" w:rsidRDefault="005C6426" w:rsidP="005C6426">
            <w:pPr>
              <w:pStyle w:val="TableText"/>
            </w:pPr>
          </w:p>
        </w:tc>
        <w:tc>
          <w:tcPr>
            <w:tcW w:w="3686" w:type="dxa"/>
          </w:tcPr>
          <w:p w14:paraId="7994F394" w14:textId="23931A98" w:rsidR="005C6426" w:rsidRPr="001F4727" w:rsidRDefault="005C6426" w:rsidP="005C6426">
            <w:pPr>
              <w:pStyle w:val="TableText"/>
            </w:pPr>
            <w:r w:rsidRPr="0092472E">
              <w:t>Ministry of National Planning and Development Coordination (MNPDC)</w:t>
            </w:r>
          </w:p>
        </w:tc>
        <w:tc>
          <w:tcPr>
            <w:tcW w:w="1417" w:type="dxa"/>
          </w:tcPr>
          <w:p w14:paraId="625177BD" w14:textId="11BE93DB" w:rsidR="005C6426" w:rsidRPr="00B66B6B" w:rsidRDefault="005C6426" w:rsidP="005C6426">
            <w:pPr>
              <w:pStyle w:val="TableText"/>
            </w:pPr>
            <w:r w:rsidRPr="003B24DD">
              <w:t>In person</w:t>
            </w:r>
          </w:p>
        </w:tc>
      </w:tr>
      <w:tr w:rsidR="005C6426" w:rsidRPr="00B66B6B" w14:paraId="64FB220B" w14:textId="77777777" w:rsidTr="001F6404">
        <w:tc>
          <w:tcPr>
            <w:tcW w:w="3964" w:type="dxa"/>
          </w:tcPr>
          <w:p w14:paraId="7D27618F" w14:textId="24916A28" w:rsidR="005C6426" w:rsidRDefault="005C6426" w:rsidP="005C6426">
            <w:pPr>
              <w:pStyle w:val="TableText"/>
            </w:pPr>
            <w:r w:rsidRPr="0092472E">
              <w:t>Nichola Namo, Director, Economic Productive Sector</w:t>
            </w:r>
          </w:p>
        </w:tc>
        <w:tc>
          <w:tcPr>
            <w:tcW w:w="3686" w:type="dxa"/>
          </w:tcPr>
          <w:p w14:paraId="6AD6A947" w14:textId="5ED90A8A" w:rsidR="005C6426" w:rsidRPr="00246978" w:rsidRDefault="005C6426" w:rsidP="005C6426">
            <w:pPr>
              <w:pStyle w:val="TableText"/>
            </w:pPr>
            <w:r w:rsidRPr="0092472E">
              <w:t>Ministry of National Planning and Development Coordination (MNPDC)</w:t>
            </w:r>
          </w:p>
        </w:tc>
        <w:tc>
          <w:tcPr>
            <w:tcW w:w="1417" w:type="dxa"/>
          </w:tcPr>
          <w:p w14:paraId="4828EC39" w14:textId="573AE2D1" w:rsidR="005C6426" w:rsidRPr="00B66B6B" w:rsidRDefault="005C6426" w:rsidP="005C6426">
            <w:pPr>
              <w:pStyle w:val="TableText"/>
            </w:pPr>
            <w:r w:rsidRPr="003B24DD">
              <w:t>In person</w:t>
            </w:r>
          </w:p>
        </w:tc>
      </w:tr>
      <w:tr w:rsidR="005C6426" w:rsidRPr="00B66B6B" w14:paraId="7E777D86" w14:textId="77777777" w:rsidTr="001F6404">
        <w:tc>
          <w:tcPr>
            <w:tcW w:w="3964" w:type="dxa"/>
          </w:tcPr>
          <w:p w14:paraId="269702CB" w14:textId="4D6CBD7B" w:rsidR="005C6426" w:rsidRPr="0092472E" w:rsidRDefault="005C6426" w:rsidP="005C6426">
            <w:pPr>
              <w:pStyle w:val="TableText"/>
            </w:pPr>
            <w:r w:rsidRPr="007518E6">
              <w:t>Eranda Kotelawala</w:t>
            </w:r>
            <w:r>
              <w:t xml:space="preserve">, </w:t>
            </w:r>
            <w:r w:rsidRPr="007518E6">
              <w:t>CEO</w:t>
            </w:r>
          </w:p>
        </w:tc>
        <w:tc>
          <w:tcPr>
            <w:tcW w:w="3686" w:type="dxa"/>
          </w:tcPr>
          <w:p w14:paraId="0A52EC7B" w14:textId="5C95029E" w:rsidR="005C6426" w:rsidRPr="0092472E" w:rsidRDefault="005C6426" w:rsidP="005C6426">
            <w:pPr>
              <w:pStyle w:val="TableText"/>
            </w:pPr>
            <w:r w:rsidRPr="001120A6">
              <w:t>Solomon Islands Ports Authority</w:t>
            </w:r>
          </w:p>
        </w:tc>
        <w:tc>
          <w:tcPr>
            <w:tcW w:w="1417" w:type="dxa"/>
          </w:tcPr>
          <w:p w14:paraId="2A46F025" w14:textId="39202583" w:rsidR="005C6426" w:rsidRPr="00B66B6B" w:rsidRDefault="005C6426" w:rsidP="005C6426">
            <w:pPr>
              <w:pStyle w:val="TableText"/>
            </w:pPr>
            <w:r>
              <w:t xml:space="preserve">Remote </w:t>
            </w:r>
          </w:p>
        </w:tc>
      </w:tr>
      <w:tr w:rsidR="005C6426" w:rsidRPr="00B66B6B" w14:paraId="0C7A8B8D" w14:textId="77777777" w:rsidTr="001F6404">
        <w:tc>
          <w:tcPr>
            <w:tcW w:w="3964" w:type="dxa"/>
          </w:tcPr>
          <w:p w14:paraId="61C30E4D" w14:textId="443B5D76" w:rsidR="005C6426" w:rsidRPr="007518E6" w:rsidRDefault="005C6426" w:rsidP="005C6426">
            <w:pPr>
              <w:pStyle w:val="TableText"/>
            </w:pPr>
            <w:r w:rsidRPr="00EC627E">
              <w:t>Elmar Elbing</w:t>
            </w:r>
            <w:r>
              <w:t>, Country Representative</w:t>
            </w:r>
          </w:p>
        </w:tc>
        <w:tc>
          <w:tcPr>
            <w:tcW w:w="3686" w:type="dxa"/>
          </w:tcPr>
          <w:p w14:paraId="13089BD5" w14:textId="17946C5F" w:rsidR="005C6426" w:rsidRPr="001120A6" w:rsidRDefault="005C6426" w:rsidP="005C6426">
            <w:pPr>
              <w:pStyle w:val="TableText"/>
            </w:pPr>
            <w:r>
              <w:t>Asian Development Bank</w:t>
            </w:r>
          </w:p>
        </w:tc>
        <w:tc>
          <w:tcPr>
            <w:tcW w:w="1417" w:type="dxa"/>
          </w:tcPr>
          <w:p w14:paraId="4C4EF785" w14:textId="66B7F45D" w:rsidR="005C6426" w:rsidRDefault="005C6426" w:rsidP="005C6426">
            <w:pPr>
              <w:pStyle w:val="TableText"/>
            </w:pPr>
            <w:r>
              <w:t>In person</w:t>
            </w:r>
          </w:p>
        </w:tc>
      </w:tr>
      <w:tr w:rsidR="005C6426" w:rsidRPr="00B66B6B" w14:paraId="38E74FB2" w14:textId="77777777" w:rsidTr="001F6404">
        <w:tc>
          <w:tcPr>
            <w:tcW w:w="3964" w:type="dxa"/>
          </w:tcPr>
          <w:p w14:paraId="1F5E855F" w14:textId="5324B1D8" w:rsidR="005C6426" w:rsidRPr="00EC627E" w:rsidRDefault="005C6426" w:rsidP="005C6426">
            <w:pPr>
              <w:pStyle w:val="TableText"/>
            </w:pPr>
            <w:r w:rsidRPr="00B4256E">
              <w:t xml:space="preserve">Nikolas </w:t>
            </w:r>
            <w:proofErr w:type="spellStart"/>
            <w:r w:rsidRPr="00B4256E">
              <w:t>Yiannakopoulos</w:t>
            </w:r>
            <w:proofErr w:type="spellEnd"/>
            <w:r w:rsidRPr="00B4256E">
              <w:t xml:space="preserve"> </w:t>
            </w:r>
          </w:p>
        </w:tc>
        <w:tc>
          <w:tcPr>
            <w:tcW w:w="3686" w:type="dxa"/>
          </w:tcPr>
          <w:p w14:paraId="082F4869" w14:textId="0B0B72BE" w:rsidR="005C6426" w:rsidRDefault="005C6426" w:rsidP="005C6426">
            <w:pPr>
              <w:pStyle w:val="TableText"/>
            </w:pPr>
            <w:r>
              <w:t>AIFFP, DFAT</w:t>
            </w:r>
          </w:p>
        </w:tc>
        <w:tc>
          <w:tcPr>
            <w:tcW w:w="1417" w:type="dxa"/>
          </w:tcPr>
          <w:p w14:paraId="18F98EC8" w14:textId="50E065F0" w:rsidR="005C6426" w:rsidRDefault="005C6426" w:rsidP="005C6426">
            <w:pPr>
              <w:pStyle w:val="TableText"/>
            </w:pPr>
            <w:r w:rsidRPr="00214B4B">
              <w:t>Remote</w:t>
            </w:r>
          </w:p>
        </w:tc>
      </w:tr>
      <w:tr w:rsidR="005C6426" w:rsidRPr="00B66B6B" w14:paraId="39D168C4" w14:textId="77777777" w:rsidTr="001F6404">
        <w:tc>
          <w:tcPr>
            <w:tcW w:w="3964" w:type="dxa"/>
          </w:tcPr>
          <w:p w14:paraId="6F38CB76" w14:textId="4C91DC9E" w:rsidR="005C6426" w:rsidRPr="00EC627E" w:rsidRDefault="005C6426" w:rsidP="005C6426">
            <w:pPr>
              <w:pStyle w:val="TableText"/>
            </w:pPr>
            <w:r w:rsidRPr="00B4256E">
              <w:t xml:space="preserve">Peter Kelly  </w:t>
            </w:r>
          </w:p>
        </w:tc>
        <w:tc>
          <w:tcPr>
            <w:tcW w:w="3686" w:type="dxa"/>
          </w:tcPr>
          <w:p w14:paraId="70E26F91" w14:textId="1162C404" w:rsidR="005C6426" w:rsidRDefault="005C6426" w:rsidP="005C6426">
            <w:pPr>
              <w:pStyle w:val="TableText"/>
            </w:pPr>
            <w:r w:rsidRPr="00F65BA4">
              <w:t>AIFFP, DFAT</w:t>
            </w:r>
          </w:p>
        </w:tc>
        <w:tc>
          <w:tcPr>
            <w:tcW w:w="1417" w:type="dxa"/>
          </w:tcPr>
          <w:p w14:paraId="39DEF7B3" w14:textId="70F6E605" w:rsidR="005C6426" w:rsidRDefault="005C6426" w:rsidP="005C6426">
            <w:pPr>
              <w:pStyle w:val="TableText"/>
            </w:pPr>
            <w:r w:rsidRPr="00214B4B">
              <w:t>Remote</w:t>
            </w:r>
          </w:p>
        </w:tc>
      </w:tr>
      <w:tr w:rsidR="005C6426" w:rsidRPr="00B66B6B" w14:paraId="09C5BD19" w14:textId="77777777" w:rsidTr="001F6404">
        <w:tc>
          <w:tcPr>
            <w:tcW w:w="3964" w:type="dxa"/>
          </w:tcPr>
          <w:p w14:paraId="1334A940" w14:textId="1FE276C8" w:rsidR="005C6426" w:rsidRPr="00EC627E" w:rsidRDefault="005C6426" w:rsidP="005C6426">
            <w:pPr>
              <w:pStyle w:val="TableText"/>
            </w:pPr>
            <w:r w:rsidRPr="00B4256E">
              <w:t xml:space="preserve">Louise Babovic </w:t>
            </w:r>
          </w:p>
        </w:tc>
        <w:tc>
          <w:tcPr>
            <w:tcW w:w="3686" w:type="dxa"/>
          </w:tcPr>
          <w:p w14:paraId="664DC0BC" w14:textId="430E8A75" w:rsidR="005C6426" w:rsidRDefault="005C6426" w:rsidP="005C6426">
            <w:pPr>
              <w:pStyle w:val="TableText"/>
            </w:pPr>
            <w:r w:rsidRPr="00F65BA4">
              <w:t>AIFFP, DFAT</w:t>
            </w:r>
          </w:p>
        </w:tc>
        <w:tc>
          <w:tcPr>
            <w:tcW w:w="1417" w:type="dxa"/>
          </w:tcPr>
          <w:p w14:paraId="4FE7C6E2" w14:textId="79663AE7" w:rsidR="005C6426" w:rsidRDefault="005C6426" w:rsidP="005C6426">
            <w:pPr>
              <w:pStyle w:val="TableText"/>
            </w:pPr>
            <w:r w:rsidRPr="00214B4B">
              <w:t>Remote</w:t>
            </w:r>
          </w:p>
        </w:tc>
      </w:tr>
      <w:tr w:rsidR="005C6426" w:rsidRPr="00B66B6B" w14:paraId="50BACFB3" w14:textId="77777777" w:rsidTr="001F6404">
        <w:tc>
          <w:tcPr>
            <w:tcW w:w="3964" w:type="dxa"/>
          </w:tcPr>
          <w:p w14:paraId="28CD0543" w14:textId="19BE73D2" w:rsidR="005C6426" w:rsidRPr="00B4256E" w:rsidRDefault="005C6426" w:rsidP="005C6426">
            <w:pPr>
              <w:pStyle w:val="TableText"/>
            </w:pPr>
            <w:r>
              <w:t>David Carpenter</w:t>
            </w:r>
          </w:p>
        </w:tc>
        <w:tc>
          <w:tcPr>
            <w:tcW w:w="3686" w:type="dxa"/>
          </w:tcPr>
          <w:p w14:paraId="5C4F9F73" w14:textId="27E58D29" w:rsidR="005C6426" w:rsidRPr="00F65BA4" w:rsidRDefault="005C6426" w:rsidP="005C6426">
            <w:pPr>
              <w:pStyle w:val="TableText"/>
            </w:pPr>
            <w:r w:rsidRPr="007A5311">
              <w:t>Independent Expert</w:t>
            </w:r>
          </w:p>
        </w:tc>
        <w:tc>
          <w:tcPr>
            <w:tcW w:w="1417" w:type="dxa"/>
          </w:tcPr>
          <w:p w14:paraId="75A4DCE2" w14:textId="52C247AC" w:rsidR="005C6426" w:rsidRDefault="005C6426" w:rsidP="005C6426">
            <w:pPr>
              <w:pStyle w:val="TableText"/>
            </w:pPr>
            <w:r>
              <w:t>Remote</w:t>
            </w:r>
          </w:p>
        </w:tc>
      </w:tr>
      <w:tr w:rsidR="005C6426" w:rsidRPr="00B66B6B" w14:paraId="3E0D703A" w14:textId="77777777" w:rsidTr="001F6404">
        <w:tc>
          <w:tcPr>
            <w:tcW w:w="3964" w:type="dxa"/>
          </w:tcPr>
          <w:p w14:paraId="3CD1E432" w14:textId="238DA567" w:rsidR="005C6426" w:rsidRDefault="005C6426" w:rsidP="005C6426">
            <w:pPr>
              <w:pStyle w:val="TableText"/>
            </w:pPr>
            <w:r>
              <w:t xml:space="preserve">Rory Garland, Senior Infrastructure Advisor </w:t>
            </w:r>
          </w:p>
        </w:tc>
        <w:tc>
          <w:tcPr>
            <w:tcW w:w="3686" w:type="dxa"/>
          </w:tcPr>
          <w:p w14:paraId="5B2C35E4" w14:textId="0048602E" w:rsidR="005C6426" w:rsidRPr="007A5311" w:rsidRDefault="005C6426" w:rsidP="005C6426">
            <w:pPr>
              <w:pStyle w:val="TableText"/>
            </w:pPr>
            <w:r>
              <w:t>DT Global (SIIP Hub)</w:t>
            </w:r>
          </w:p>
        </w:tc>
        <w:tc>
          <w:tcPr>
            <w:tcW w:w="1417" w:type="dxa"/>
          </w:tcPr>
          <w:p w14:paraId="4A1C62F7" w14:textId="5AC85FAA" w:rsidR="005C6426" w:rsidRDefault="005C6426" w:rsidP="005C6426">
            <w:pPr>
              <w:pStyle w:val="TableText"/>
            </w:pPr>
            <w:r w:rsidRPr="00214B4B">
              <w:t>Remote</w:t>
            </w:r>
          </w:p>
        </w:tc>
      </w:tr>
      <w:tr w:rsidR="005C6426" w:rsidRPr="00B66B6B" w14:paraId="0E4378A2" w14:textId="77777777" w:rsidTr="001F6404">
        <w:tc>
          <w:tcPr>
            <w:tcW w:w="3964" w:type="dxa"/>
          </w:tcPr>
          <w:p w14:paraId="66FDA803" w14:textId="4D588BDD" w:rsidR="005C6426" w:rsidRDefault="005C6426" w:rsidP="005C6426">
            <w:pPr>
              <w:pStyle w:val="TableText"/>
            </w:pPr>
            <w:r w:rsidRPr="00B11A94">
              <w:t>Jo Bawde</w:t>
            </w:r>
            <w:r>
              <w:t>n</w:t>
            </w:r>
            <w:r w:rsidRPr="00B11A94">
              <w:t>, DTL Program Management and Performance Workstream</w:t>
            </w:r>
          </w:p>
        </w:tc>
        <w:tc>
          <w:tcPr>
            <w:tcW w:w="3686" w:type="dxa"/>
          </w:tcPr>
          <w:p w14:paraId="2C23711A" w14:textId="6C1A1A0D" w:rsidR="005C6426" w:rsidRDefault="005C6426" w:rsidP="005C6426">
            <w:pPr>
              <w:pStyle w:val="TableText"/>
            </w:pPr>
            <w:r>
              <w:t>DT Global (SIIP Hub)</w:t>
            </w:r>
          </w:p>
        </w:tc>
        <w:tc>
          <w:tcPr>
            <w:tcW w:w="1417" w:type="dxa"/>
          </w:tcPr>
          <w:p w14:paraId="66B6CF81" w14:textId="309344F5" w:rsidR="005C6426" w:rsidRDefault="005C6426" w:rsidP="005C6426">
            <w:pPr>
              <w:pStyle w:val="TableText"/>
            </w:pPr>
            <w:r w:rsidRPr="00214B4B">
              <w:t>Remote</w:t>
            </w:r>
          </w:p>
        </w:tc>
      </w:tr>
      <w:tr w:rsidR="005C6426" w:rsidRPr="00B66B6B" w14:paraId="4014E14C" w14:textId="77777777" w:rsidTr="001F6404">
        <w:tc>
          <w:tcPr>
            <w:tcW w:w="3964" w:type="dxa"/>
          </w:tcPr>
          <w:p w14:paraId="6DF5F014" w14:textId="2B96B28F" w:rsidR="005C6426" w:rsidRDefault="005C6426" w:rsidP="005C6426">
            <w:pPr>
              <w:pStyle w:val="TableText"/>
            </w:pPr>
            <w:r w:rsidRPr="00B11A94">
              <w:t xml:space="preserve">Damien Sweeney, Capacity Building and MEL Lead </w:t>
            </w:r>
          </w:p>
        </w:tc>
        <w:tc>
          <w:tcPr>
            <w:tcW w:w="3686" w:type="dxa"/>
          </w:tcPr>
          <w:p w14:paraId="0F081CBD" w14:textId="6B8F673B" w:rsidR="005C6426" w:rsidRDefault="005C6426" w:rsidP="005C6426">
            <w:pPr>
              <w:pStyle w:val="TableText"/>
            </w:pPr>
            <w:r w:rsidRPr="007E4B7C">
              <w:t>DT Global</w:t>
            </w:r>
            <w:r>
              <w:t xml:space="preserve"> (SIIP Hub)</w:t>
            </w:r>
          </w:p>
        </w:tc>
        <w:tc>
          <w:tcPr>
            <w:tcW w:w="1417" w:type="dxa"/>
          </w:tcPr>
          <w:p w14:paraId="454340AC" w14:textId="01D6F092" w:rsidR="005C6426" w:rsidRDefault="005C6426" w:rsidP="005C6426">
            <w:pPr>
              <w:pStyle w:val="TableText"/>
            </w:pPr>
            <w:r w:rsidRPr="00214B4B">
              <w:t>Remote</w:t>
            </w:r>
          </w:p>
        </w:tc>
      </w:tr>
      <w:tr w:rsidR="005C6426" w:rsidRPr="00B66B6B" w14:paraId="08BDDF08" w14:textId="77777777" w:rsidTr="001F6404">
        <w:tc>
          <w:tcPr>
            <w:tcW w:w="3964" w:type="dxa"/>
          </w:tcPr>
          <w:p w14:paraId="0F04C09A" w14:textId="398BF596" w:rsidR="005C6426" w:rsidRDefault="005C6426" w:rsidP="005C6426">
            <w:pPr>
              <w:pStyle w:val="TableText"/>
            </w:pPr>
            <w:r w:rsidRPr="005A2E31">
              <w:t>Stephani</w:t>
            </w:r>
            <w:r w:rsidR="004D5D09">
              <w:t>e</w:t>
            </w:r>
            <w:r w:rsidRPr="005A2E31">
              <w:t xml:space="preserve"> Symon, Contract</w:t>
            </w:r>
            <w:r>
              <w:t>or Representative</w:t>
            </w:r>
            <w:r w:rsidRPr="005A2E31">
              <w:t xml:space="preserve"> </w:t>
            </w:r>
          </w:p>
        </w:tc>
        <w:tc>
          <w:tcPr>
            <w:tcW w:w="3686" w:type="dxa"/>
          </w:tcPr>
          <w:p w14:paraId="445D7EF4" w14:textId="26F003ED" w:rsidR="005C6426" w:rsidRDefault="005C6426" w:rsidP="005C6426">
            <w:pPr>
              <w:pStyle w:val="TableText"/>
            </w:pPr>
            <w:r w:rsidRPr="007E4B7C">
              <w:t>DT Global</w:t>
            </w:r>
            <w:r>
              <w:t xml:space="preserve"> </w:t>
            </w:r>
          </w:p>
        </w:tc>
        <w:tc>
          <w:tcPr>
            <w:tcW w:w="1417" w:type="dxa"/>
          </w:tcPr>
          <w:p w14:paraId="51DC3A85" w14:textId="0A0D9570" w:rsidR="005C6426" w:rsidRDefault="005C6426" w:rsidP="005C6426">
            <w:pPr>
              <w:pStyle w:val="TableText"/>
            </w:pPr>
            <w:r>
              <w:t xml:space="preserve">In person </w:t>
            </w:r>
          </w:p>
        </w:tc>
      </w:tr>
      <w:tr w:rsidR="005C6426" w:rsidRPr="00B66B6B" w14:paraId="43A60A71" w14:textId="77777777" w:rsidTr="001F6404">
        <w:tc>
          <w:tcPr>
            <w:tcW w:w="3964" w:type="dxa"/>
          </w:tcPr>
          <w:p w14:paraId="01B38DB9" w14:textId="1A4608FC" w:rsidR="005C6426" w:rsidRDefault="005C6426" w:rsidP="005C6426">
            <w:pPr>
              <w:pStyle w:val="TableText"/>
            </w:pPr>
            <w:r w:rsidRPr="005A2E31">
              <w:t>Sam Spur</w:t>
            </w:r>
            <w:r>
              <w:t>r</w:t>
            </w:r>
            <w:r w:rsidRPr="005A2E31">
              <w:t>ett</w:t>
            </w:r>
            <w:r>
              <w:t>, Head of Pacific</w:t>
            </w:r>
          </w:p>
        </w:tc>
        <w:tc>
          <w:tcPr>
            <w:tcW w:w="3686" w:type="dxa"/>
          </w:tcPr>
          <w:p w14:paraId="60509054" w14:textId="3CB8AA57" w:rsidR="005C6426" w:rsidRDefault="005C6426" w:rsidP="005C6426">
            <w:pPr>
              <w:pStyle w:val="TableText"/>
            </w:pPr>
            <w:r w:rsidRPr="007E4B7C">
              <w:t>DT Global</w:t>
            </w:r>
          </w:p>
        </w:tc>
        <w:tc>
          <w:tcPr>
            <w:tcW w:w="1417" w:type="dxa"/>
          </w:tcPr>
          <w:p w14:paraId="0DBDC11C" w14:textId="3891FE54" w:rsidR="005C6426" w:rsidRDefault="005C6426" w:rsidP="005C6426">
            <w:pPr>
              <w:pStyle w:val="TableText"/>
            </w:pPr>
            <w:r>
              <w:t>In person</w:t>
            </w:r>
          </w:p>
        </w:tc>
      </w:tr>
      <w:tr w:rsidR="005C6426" w:rsidRPr="00B66B6B" w14:paraId="2607FF1A" w14:textId="77777777" w:rsidTr="001F6404">
        <w:tc>
          <w:tcPr>
            <w:tcW w:w="3964" w:type="dxa"/>
          </w:tcPr>
          <w:p w14:paraId="4C3B3120" w14:textId="1C4CA660" w:rsidR="005C6426" w:rsidRDefault="005C6426" w:rsidP="005C6426">
            <w:pPr>
              <w:pStyle w:val="TableText"/>
            </w:pPr>
            <w:r w:rsidRPr="00576BD1">
              <w:t>Annette Leith</w:t>
            </w:r>
            <w:r>
              <w:t xml:space="preserve">, </w:t>
            </w:r>
            <w:r w:rsidRPr="00336E37">
              <w:t>Country Representative</w:t>
            </w:r>
          </w:p>
        </w:tc>
        <w:tc>
          <w:tcPr>
            <w:tcW w:w="3686" w:type="dxa"/>
          </w:tcPr>
          <w:p w14:paraId="15D885CC" w14:textId="08A46234" w:rsidR="005C6426" w:rsidRDefault="005C6426" w:rsidP="005C6426">
            <w:pPr>
              <w:pStyle w:val="TableText"/>
            </w:pPr>
            <w:r>
              <w:t>World Bank Group</w:t>
            </w:r>
          </w:p>
        </w:tc>
        <w:tc>
          <w:tcPr>
            <w:tcW w:w="1417" w:type="dxa"/>
          </w:tcPr>
          <w:p w14:paraId="2E91AF8A" w14:textId="1CC19E4F" w:rsidR="005C6426" w:rsidRDefault="005C6426" w:rsidP="005C6426">
            <w:pPr>
              <w:pStyle w:val="TableText"/>
            </w:pPr>
            <w:r>
              <w:t>In person</w:t>
            </w:r>
          </w:p>
        </w:tc>
      </w:tr>
      <w:tr w:rsidR="005C6426" w:rsidRPr="00B66B6B" w14:paraId="6BFC1BC9" w14:textId="77777777" w:rsidTr="001F6404">
        <w:tc>
          <w:tcPr>
            <w:tcW w:w="3964" w:type="dxa"/>
          </w:tcPr>
          <w:p w14:paraId="02CDDED5" w14:textId="716DCBB3" w:rsidR="005C6426" w:rsidRDefault="005C6426" w:rsidP="005C6426">
            <w:pPr>
              <w:pStyle w:val="TableText"/>
            </w:pPr>
            <w:r w:rsidRPr="00576BD1">
              <w:t>Naoki Kakuta</w:t>
            </w:r>
            <w:r>
              <w:t xml:space="preserve">, </w:t>
            </w:r>
            <w:r w:rsidRPr="00336E37">
              <w:t>Senior Transport Specialist</w:t>
            </w:r>
          </w:p>
        </w:tc>
        <w:tc>
          <w:tcPr>
            <w:tcW w:w="3686" w:type="dxa"/>
          </w:tcPr>
          <w:p w14:paraId="2EEA5604" w14:textId="2F8DC64D" w:rsidR="005C6426" w:rsidRDefault="005C6426" w:rsidP="005C6426">
            <w:pPr>
              <w:pStyle w:val="TableText"/>
            </w:pPr>
            <w:r w:rsidRPr="00C35EA7">
              <w:t>World Bank Group</w:t>
            </w:r>
          </w:p>
        </w:tc>
        <w:tc>
          <w:tcPr>
            <w:tcW w:w="1417" w:type="dxa"/>
          </w:tcPr>
          <w:p w14:paraId="6EF2999D" w14:textId="14539262" w:rsidR="005C6426" w:rsidRDefault="005C6426" w:rsidP="005C6426">
            <w:pPr>
              <w:pStyle w:val="TableText"/>
            </w:pPr>
            <w:r>
              <w:t>In person</w:t>
            </w:r>
          </w:p>
        </w:tc>
      </w:tr>
      <w:tr w:rsidR="005C6426" w:rsidRPr="00B66B6B" w14:paraId="1913B5F8" w14:textId="77777777" w:rsidTr="001F6404">
        <w:tc>
          <w:tcPr>
            <w:tcW w:w="3964" w:type="dxa"/>
          </w:tcPr>
          <w:p w14:paraId="50252F92" w14:textId="43B85306" w:rsidR="005C6426" w:rsidRDefault="005C6426" w:rsidP="005C6426">
            <w:pPr>
              <w:pStyle w:val="TableText"/>
            </w:pPr>
            <w:r w:rsidRPr="00576BD1">
              <w:t>Keelye Hanmer</w:t>
            </w:r>
            <w:r>
              <w:t xml:space="preserve">, </w:t>
            </w:r>
            <w:r w:rsidRPr="00336E37">
              <w:t>Transport Specialist</w:t>
            </w:r>
          </w:p>
        </w:tc>
        <w:tc>
          <w:tcPr>
            <w:tcW w:w="3686" w:type="dxa"/>
          </w:tcPr>
          <w:p w14:paraId="3D9EC3FD" w14:textId="1A2FBB4C" w:rsidR="005C6426" w:rsidRDefault="005C6426" w:rsidP="005C6426">
            <w:pPr>
              <w:pStyle w:val="TableText"/>
            </w:pPr>
            <w:r w:rsidRPr="00C35EA7">
              <w:t>World Bank Group</w:t>
            </w:r>
          </w:p>
        </w:tc>
        <w:tc>
          <w:tcPr>
            <w:tcW w:w="1417" w:type="dxa"/>
          </w:tcPr>
          <w:p w14:paraId="0ED1937C" w14:textId="65236BCD" w:rsidR="005C6426" w:rsidRDefault="005C6426" w:rsidP="005C6426">
            <w:pPr>
              <w:pStyle w:val="TableText"/>
            </w:pPr>
            <w:r>
              <w:t>In person</w:t>
            </w:r>
          </w:p>
        </w:tc>
      </w:tr>
      <w:tr w:rsidR="005C6426" w:rsidRPr="00B66B6B" w14:paraId="7ACBF330" w14:textId="77777777" w:rsidTr="001F6404">
        <w:tc>
          <w:tcPr>
            <w:tcW w:w="3964" w:type="dxa"/>
          </w:tcPr>
          <w:p w14:paraId="778B56B0" w14:textId="1062AFDD" w:rsidR="005C6426" w:rsidRDefault="005C6426" w:rsidP="005C6426">
            <w:pPr>
              <w:pStyle w:val="TableText"/>
            </w:pPr>
            <w:r w:rsidRPr="00336E37">
              <w:t>Renee Berthome</w:t>
            </w:r>
            <w:r>
              <w:t xml:space="preserve">, </w:t>
            </w:r>
            <w:r w:rsidRPr="00576BD1">
              <w:t xml:space="preserve">Operations Analyst </w:t>
            </w:r>
          </w:p>
        </w:tc>
        <w:tc>
          <w:tcPr>
            <w:tcW w:w="3686" w:type="dxa"/>
          </w:tcPr>
          <w:p w14:paraId="3789930D" w14:textId="5DC5BF41" w:rsidR="005C6426" w:rsidRDefault="005C6426" w:rsidP="005C6426">
            <w:pPr>
              <w:pStyle w:val="TableText"/>
            </w:pPr>
            <w:r w:rsidRPr="00C35EA7">
              <w:t>World Bank Group</w:t>
            </w:r>
          </w:p>
        </w:tc>
        <w:tc>
          <w:tcPr>
            <w:tcW w:w="1417" w:type="dxa"/>
          </w:tcPr>
          <w:p w14:paraId="33DB2FF7" w14:textId="1AEB8C23" w:rsidR="005C6426" w:rsidRDefault="005C6426" w:rsidP="005C6426">
            <w:pPr>
              <w:pStyle w:val="TableText"/>
            </w:pPr>
            <w:r>
              <w:t>In person</w:t>
            </w:r>
          </w:p>
        </w:tc>
      </w:tr>
    </w:tbl>
    <w:p w14:paraId="1BC2A609" w14:textId="77777777" w:rsidR="001F6404" w:rsidRDefault="001F6404">
      <w:pPr>
        <w:spacing w:after="0"/>
        <w:rPr>
          <w:b/>
          <w:bCs/>
        </w:rPr>
      </w:pPr>
      <w:r>
        <w:rPr>
          <w:b/>
          <w:bCs/>
        </w:rPr>
        <w:br w:type="page"/>
      </w:r>
    </w:p>
    <w:p w14:paraId="1C64A1A8" w14:textId="045A6ADF" w:rsidR="00614438" w:rsidRPr="00B66B6B" w:rsidRDefault="00666DEA" w:rsidP="00370438">
      <w:pPr>
        <w:rPr>
          <w:b/>
          <w:bCs/>
        </w:rPr>
      </w:pPr>
      <w:r w:rsidRPr="00B66B6B">
        <w:rPr>
          <w:b/>
          <w:bCs/>
        </w:rPr>
        <w:lastRenderedPageBreak/>
        <w:t>Round Tables</w:t>
      </w:r>
      <w:r w:rsidR="00D454AD">
        <w:rPr>
          <w:b/>
          <w:bCs/>
        </w:rPr>
        <w:t xml:space="preserve"> Carried Out</w:t>
      </w:r>
    </w:p>
    <w:tbl>
      <w:tblPr>
        <w:tblStyle w:val="TableGrid"/>
        <w:tblW w:w="9067" w:type="dxa"/>
        <w:tblLook w:val="04A0" w:firstRow="1" w:lastRow="0" w:firstColumn="1" w:lastColumn="0" w:noHBand="0" w:noVBand="1"/>
        <w:tblCaption w:val="Key Informant Interviews with Decision Makers"/>
        <w:tblDescription w:val="Name, Organisation, Country, and Project "/>
      </w:tblPr>
      <w:tblGrid>
        <w:gridCol w:w="2689"/>
        <w:gridCol w:w="6378"/>
      </w:tblGrid>
      <w:tr w:rsidR="00C366B4" w:rsidRPr="00B66B6B" w14:paraId="2407BE38" w14:textId="5360A8F7" w:rsidTr="00D454AD">
        <w:tc>
          <w:tcPr>
            <w:tcW w:w="2689" w:type="dxa"/>
            <w:shd w:val="clear" w:color="auto" w:fill="D9E2F3" w:themeFill="accent1" w:themeFillTint="33"/>
          </w:tcPr>
          <w:p w14:paraId="4E1AF767" w14:textId="3DDC36D3" w:rsidR="00C366B4" w:rsidRPr="00B66B6B" w:rsidRDefault="00C366B4">
            <w:pPr>
              <w:spacing w:after="0"/>
              <w:rPr>
                <w:b/>
                <w:bCs/>
                <w:sz w:val="20"/>
                <w:szCs w:val="20"/>
              </w:rPr>
            </w:pPr>
            <w:r>
              <w:rPr>
                <w:b/>
                <w:bCs/>
                <w:sz w:val="20"/>
                <w:szCs w:val="20"/>
              </w:rPr>
              <w:t>Roundtable Focus</w:t>
            </w:r>
          </w:p>
        </w:tc>
        <w:tc>
          <w:tcPr>
            <w:tcW w:w="6378" w:type="dxa"/>
            <w:shd w:val="clear" w:color="auto" w:fill="D9E2F3" w:themeFill="accent1" w:themeFillTint="33"/>
          </w:tcPr>
          <w:p w14:paraId="3E3EF11C" w14:textId="60DD6B11" w:rsidR="00C366B4" w:rsidRPr="001A3925" w:rsidRDefault="00C366B4">
            <w:pPr>
              <w:spacing w:after="0"/>
              <w:rPr>
                <w:b/>
                <w:bCs/>
                <w:sz w:val="20"/>
                <w:szCs w:val="20"/>
              </w:rPr>
            </w:pPr>
            <w:r>
              <w:rPr>
                <w:b/>
                <w:bCs/>
                <w:sz w:val="20"/>
                <w:szCs w:val="20"/>
              </w:rPr>
              <w:t xml:space="preserve">Participants </w:t>
            </w:r>
          </w:p>
        </w:tc>
      </w:tr>
      <w:tr w:rsidR="00C366B4" w:rsidRPr="00B66B6B" w14:paraId="127D9711" w14:textId="3C0006AE" w:rsidTr="00D454AD">
        <w:tc>
          <w:tcPr>
            <w:tcW w:w="2689" w:type="dxa"/>
          </w:tcPr>
          <w:p w14:paraId="581937D2" w14:textId="22BB76C1" w:rsidR="00C366B4" w:rsidRPr="00B66B6B" w:rsidRDefault="00C366B4">
            <w:pPr>
              <w:spacing w:after="0"/>
              <w:rPr>
                <w:sz w:val="20"/>
                <w:szCs w:val="20"/>
              </w:rPr>
            </w:pPr>
            <w:r>
              <w:rPr>
                <w:sz w:val="20"/>
                <w:szCs w:val="20"/>
              </w:rPr>
              <w:t>AHC Infrastructure Team</w:t>
            </w:r>
          </w:p>
        </w:tc>
        <w:tc>
          <w:tcPr>
            <w:tcW w:w="6378" w:type="dxa"/>
          </w:tcPr>
          <w:p w14:paraId="3DF8E62E" w14:textId="1F611187" w:rsidR="00C366B4" w:rsidRPr="00E15116" w:rsidRDefault="00C366B4" w:rsidP="00E15116">
            <w:pPr>
              <w:spacing w:after="0"/>
              <w:rPr>
                <w:sz w:val="20"/>
                <w:szCs w:val="20"/>
              </w:rPr>
            </w:pPr>
            <w:r w:rsidRPr="00E15116">
              <w:rPr>
                <w:sz w:val="20"/>
                <w:szCs w:val="20"/>
              </w:rPr>
              <w:t>Craig Gillies</w:t>
            </w:r>
            <w:r>
              <w:rPr>
                <w:sz w:val="20"/>
                <w:szCs w:val="20"/>
              </w:rPr>
              <w:t>,</w:t>
            </w:r>
            <w:r w:rsidRPr="00E15116">
              <w:rPr>
                <w:sz w:val="20"/>
                <w:szCs w:val="20"/>
              </w:rPr>
              <w:t xml:space="preserve"> Counsellor </w:t>
            </w:r>
          </w:p>
          <w:p w14:paraId="10A359E4" w14:textId="5E43F3C8" w:rsidR="00C366B4" w:rsidRPr="00E15116" w:rsidRDefault="00C366B4" w:rsidP="00E15116">
            <w:pPr>
              <w:spacing w:after="0"/>
              <w:rPr>
                <w:sz w:val="20"/>
                <w:szCs w:val="20"/>
              </w:rPr>
            </w:pPr>
            <w:r w:rsidRPr="00E15116">
              <w:rPr>
                <w:sz w:val="20"/>
                <w:szCs w:val="20"/>
              </w:rPr>
              <w:t>Samantha Bell</w:t>
            </w:r>
            <w:r>
              <w:rPr>
                <w:sz w:val="20"/>
                <w:szCs w:val="20"/>
              </w:rPr>
              <w:t xml:space="preserve">, </w:t>
            </w:r>
            <w:r w:rsidRPr="00E15116">
              <w:rPr>
                <w:sz w:val="20"/>
                <w:szCs w:val="20"/>
              </w:rPr>
              <w:t>First Secretary, Infrastructure</w:t>
            </w:r>
          </w:p>
          <w:p w14:paraId="65BC37DF" w14:textId="3E80776E" w:rsidR="00C366B4" w:rsidRPr="00E15116" w:rsidRDefault="00C366B4" w:rsidP="00E15116">
            <w:pPr>
              <w:spacing w:after="0"/>
              <w:rPr>
                <w:sz w:val="20"/>
                <w:szCs w:val="20"/>
              </w:rPr>
            </w:pPr>
            <w:r w:rsidRPr="00E15116">
              <w:rPr>
                <w:sz w:val="20"/>
                <w:szCs w:val="20"/>
              </w:rPr>
              <w:t>Dr Lazar Maric</w:t>
            </w:r>
            <w:r>
              <w:rPr>
                <w:sz w:val="20"/>
                <w:szCs w:val="20"/>
              </w:rPr>
              <w:t xml:space="preserve">, </w:t>
            </w:r>
            <w:r w:rsidRPr="00E15116">
              <w:rPr>
                <w:sz w:val="20"/>
                <w:szCs w:val="20"/>
              </w:rPr>
              <w:t>First Secretary, infrastructure</w:t>
            </w:r>
          </w:p>
          <w:p w14:paraId="00B86120" w14:textId="6041F1F6" w:rsidR="00C366B4" w:rsidRPr="00E15116" w:rsidRDefault="00C366B4" w:rsidP="00E15116">
            <w:pPr>
              <w:spacing w:after="0"/>
              <w:rPr>
                <w:sz w:val="20"/>
                <w:szCs w:val="20"/>
              </w:rPr>
            </w:pPr>
            <w:r w:rsidRPr="00E15116">
              <w:rPr>
                <w:sz w:val="20"/>
                <w:szCs w:val="20"/>
              </w:rPr>
              <w:t>Kate Chapman</w:t>
            </w:r>
            <w:r>
              <w:rPr>
                <w:sz w:val="20"/>
                <w:szCs w:val="20"/>
              </w:rPr>
              <w:t>,</w:t>
            </w:r>
            <w:r w:rsidRPr="00E15116">
              <w:rPr>
                <w:sz w:val="20"/>
                <w:szCs w:val="20"/>
              </w:rPr>
              <w:t xml:space="preserve"> Second Secretary, Infrastructure</w:t>
            </w:r>
          </w:p>
          <w:p w14:paraId="3C72A672" w14:textId="77FB0DAC" w:rsidR="00C366B4" w:rsidRPr="00E15116" w:rsidRDefault="00C366B4" w:rsidP="00E15116">
            <w:pPr>
              <w:spacing w:after="0"/>
              <w:rPr>
                <w:sz w:val="20"/>
                <w:szCs w:val="20"/>
              </w:rPr>
            </w:pPr>
            <w:r w:rsidRPr="00E15116">
              <w:rPr>
                <w:sz w:val="20"/>
                <w:szCs w:val="20"/>
              </w:rPr>
              <w:t>Eric Lui</w:t>
            </w:r>
            <w:r>
              <w:rPr>
                <w:sz w:val="20"/>
                <w:szCs w:val="20"/>
              </w:rPr>
              <w:t xml:space="preserve">, </w:t>
            </w:r>
            <w:r w:rsidRPr="00E15116">
              <w:rPr>
                <w:sz w:val="20"/>
                <w:szCs w:val="20"/>
              </w:rPr>
              <w:t>Senior Adviser, Infrastructure</w:t>
            </w:r>
          </w:p>
          <w:p w14:paraId="1568487F" w14:textId="52EE15B7" w:rsidR="00C366B4" w:rsidRPr="00E15116" w:rsidRDefault="00C366B4" w:rsidP="00E15116">
            <w:pPr>
              <w:spacing w:after="0"/>
              <w:rPr>
                <w:sz w:val="20"/>
                <w:szCs w:val="20"/>
              </w:rPr>
            </w:pPr>
            <w:r w:rsidRPr="00E15116">
              <w:rPr>
                <w:sz w:val="20"/>
                <w:szCs w:val="20"/>
              </w:rPr>
              <w:t>Buddley Ronnie</w:t>
            </w:r>
            <w:r>
              <w:rPr>
                <w:sz w:val="20"/>
                <w:szCs w:val="20"/>
              </w:rPr>
              <w:t>,</w:t>
            </w:r>
            <w:r w:rsidRPr="00E15116">
              <w:rPr>
                <w:sz w:val="20"/>
                <w:szCs w:val="20"/>
              </w:rPr>
              <w:t xml:space="preserve"> Senior Program Manager, Infrastructure</w:t>
            </w:r>
          </w:p>
          <w:p w14:paraId="5CB1F059" w14:textId="77C94281" w:rsidR="00C366B4" w:rsidRPr="00E15116" w:rsidRDefault="00C366B4" w:rsidP="00E15116">
            <w:pPr>
              <w:spacing w:after="0"/>
              <w:rPr>
                <w:sz w:val="20"/>
                <w:szCs w:val="20"/>
              </w:rPr>
            </w:pPr>
            <w:r w:rsidRPr="00E15116">
              <w:rPr>
                <w:sz w:val="20"/>
                <w:szCs w:val="20"/>
              </w:rPr>
              <w:t>Starling Konainao</w:t>
            </w:r>
            <w:r>
              <w:rPr>
                <w:sz w:val="20"/>
                <w:szCs w:val="20"/>
              </w:rPr>
              <w:t xml:space="preserve">, </w:t>
            </w:r>
            <w:r w:rsidRPr="00E15116">
              <w:rPr>
                <w:sz w:val="20"/>
                <w:szCs w:val="20"/>
              </w:rPr>
              <w:t>Program Manager, Infrastructure</w:t>
            </w:r>
          </w:p>
          <w:p w14:paraId="680D07B7" w14:textId="7377012E" w:rsidR="00C366B4" w:rsidRPr="00B66B6B" w:rsidRDefault="00C366B4" w:rsidP="00E15116">
            <w:pPr>
              <w:spacing w:after="0"/>
              <w:rPr>
                <w:sz w:val="20"/>
                <w:szCs w:val="20"/>
              </w:rPr>
            </w:pPr>
            <w:r w:rsidRPr="00E15116">
              <w:rPr>
                <w:sz w:val="20"/>
                <w:szCs w:val="20"/>
              </w:rPr>
              <w:t>Vivolyn Dolarii</w:t>
            </w:r>
            <w:r>
              <w:rPr>
                <w:sz w:val="20"/>
                <w:szCs w:val="20"/>
              </w:rPr>
              <w:t xml:space="preserve">, </w:t>
            </w:r>
            <w:r w:rsidRPr="00E15116">
              <w:rPr>
                <w:sz w:val="20"/>
                <w:szCs w:val="20"/>
              </w:rPr>
              <w:t>Program Manager, Infrastructure</w:t>
            </w:r>
          </w:p>
        </w:tc>
      </w:tr>
      <w:tr w:rsidR="00D7401F" w:rsidRPr="00B66B6B" w14:paraId="3B9AC2BA" w14:textId="77777777" w:rsidTr="00D454AD">
        <w:tc>
          <w:tcPr>
            <w:tcW w:w="2689" w:type="dxa"/>
          </w:tcPr>
          <w:p w14:paraId="063F4289" w14:textId="32A8377E" w:rsidR="00D7401F" w:rsidRDefault="00D7401F">
            <w:pPr>
              <w:spacing w:after="0"/>
              <w:rPr>
                <w:sz w:val="20"/>
                <w:szCs w:val="20"/>
              </w:rPr>
            </w:pPr>
            <w:r>
              <w:rPr>
                <w:sz w:val="20"/>
                <w:szCs w:val="20"/>
              </w:rPr>
              <w:t>SIIP Hub Team</w:t>
            </w:r>
          </w:p>
        </w:tc>
        <w:tc>
          <w:tcPr>
            <w:tcW w:w="6378" w:type="dxa"/>
          </w:tcPr>
          <w:p w14:paraId="5D52F352" w14:textId="77777777" w:rsidR="00D7401F" w:rsidRPr="00D7401F" w:rsidRDefault="00D7401F" w:rsidP="00D7401F">
            <w:pPr>
              <w:spacing w:after="0"/>
              <w:rPr>
                <w:sz w:val="20"/>
                <w:szCs w:val="20"/>
              </w:rPr>
            </w:pPr>
            <w:r w:rsidRPr="00D7401F">
              <w:rPr>
                <w:sz w:val="20"/>
                <w:szCs w:val="20"/>
              </w:rPr>
              <w:t>Tony Mellen, Team Leader</w:t>
            </w:r>
          </w:p>
          <w:p w14:paraId="524D71AC" w14:textId="77777777" w:rsidR="00D7401F" w:rsidRPr="00D7401F" w:rsidRDefault="00D7401F" w:rsidP="00D7401F">
            <w:pPr>
              <w:spacing w:after="0"/>
              <w:rPr>
                <w:sz w:val="20"/>
                <w:szCs w:val="20"/>
              </w:rPr>
            </w:pPr>
            <w:r w:rsidRPr="00D7401F">
              <w:rPr>
                <w:sz w:val="20"/>
                <w:szCs w:val="20"/>
              </w:rPr>
              <w:t>Tony Telford, Deputy Team Leader</w:t>
            </w:r>
          </w:p>
          <w:p w14:paraId="000EA802" w14:textId="77777777" w:rsidR="00D7401F" w:rsidRPr="00D7401F" w:rsidRDefault="00D7401F" w:rsidP="00D7401F">
            <w:pPr>
              <w:spacing w:after="0"/>
              <w:rPr>
                <w:sz w:val="20"/>
                <w:szCs w:val="20"/>
              </w:rPr>
            </w:pPr>
            <w:r w:rsidRPr="00D7401F">
              <w:rPr>
                <w:sz w:val="20"/>
                <w:szCs w:val="20"/>
              </w:rPr>
              <w:t>Parimal Joshi, Policy and Governance Lead</w:t>
            </w:r>
          </w:p>
          <w:p w14:paraId="4D500401" w14:textId="77777777" w:rsidR="00D7401F" w:rsidRPr="00D7401F" w:rsidRDefault="00D7401F" w:rsidP="00D7401F">
            <w:pPr>
              <w:spacing w:after="0"/>
              <w:rPr>
                <w:sz w:val="20"/>
                <w:szCs w:val="20"/>
              </w:rPr>
            </w:pPr>
            <w:r w:rsidRPr="00D7401F">
              <w:rPr>
                <w:sz w:val="20"/>
                <w:szCs w:val="20"/>
              </w:rPr>
              <w:t xml:space="preserve">Sandy Bottrall, Senior </w:t>
            </w:r>
            <w:proofErr w:type="gramStart"/>
            <w:r w:rsidRPr="00D7401F">
              <w:rPr>
                <w:sz w:val="20"/>
                <w:szCs w:val="20"/>
              </w:rPr>
              <w:t>Budget</w:t>
            </w:r>
            <w:proofErr w:type="gramEnd"/>
            <w:r w:rsidRPr="00D7401F">
              <w:rPr>
                <w:sz w:val="20"/>
                <w:szCs w:val="20"/>
              </w:rPr>
              <w:t xml:space="preserve"> and Finance Manager</w:t>
            </w:r>
          </w:p>
          <w:p w14:paraId="11B68BCF" w14:textId="77777777" w:rsidR="00D7401F" w:rsidRPr="00D7401F" w:rsidRDefault="00D7401F" w:rsidP="00D7401F">
            <w:pPr>
              <w:spacing w:after="0"/>
              <w:rPr>
                <w:sz w:val="20"/>
                <w:szCs w:val="20"/>
              </w:rPr>
            </w:pPr>
            <w:r w:rsidRPr="00D7401F">
              <w:rPr>
                <w:sz w:val="20"/>
                <w:szCs w:val="20"/>
              </w:rPr>
              <w:t>Rory Garland, Senior Infrastructure Adviser</w:t>
            </w:r>
          </w:p>
          <w:p w14:paraId="231E4577" w14:textId="4362BC94" w:rsidR="00D7401F" w:rsidRPr="00D7401F" w:rsidRDefault="00D7401F" w:rsidP="00D7401F">
            <w:pPr>
              <w:spacing w:after="0"/>
              <w:rPr>
                <w:sz w:val="20"/>
                <w:szCs w:val="20"/>
              </w:rPr>
            </w:pPr>
            <w:r w:rsidRPr="00D7401F">
              <w:rPr>
                <w:sz w:val="20"/>
                <w:szCs w:val="20"/>
              </w:rPr>
              <w:t>Debbi</w:t>
            </w:r>
            <w:r w:rsidR="003D57FD">
              <w:rPr>
                <w:sz w:val="20"/>
                <w:szCs w:val="20"/>
              </w:rPr>
              <w:t>e</w:t>
            </w:r>
            <w:r w:rsidRPr="00D7401F">
              <w:rPr>
                <w:sz w:val="20"/>
                <w:szCs w:val="20"/>
              </w:rPr>
              <w:t xml:space="preserve"> Kupesan, Program Activity Manager</w:t>
            </w:r>
          </w:p>
          <w:p w14:paraId="5B5BA1B9" w14:textId="77777777" w:rsidR="00D7401F" w:rsidRPr="00D7401F" w:rsidRDefault="00D7401F" w:rsidP="00D7401F">
            <w:pPr>
              <w:spacing w:after="0"/>
              <w:rPr>
                <w:sz w:val="20"/>
                <w:szCs w:val="20"/>
              </w:rPr>
            </w:pPr>
            <w:r w:rsidRPr="00D7401F">
              <w:rPr>
                <w:sz w:val="20"/>
                <w:szCs w:val="20"/>
              </w:rPr>
              <w:t>Hudson Kauhiona, Climate and Community Manager</w:t>
            </w:r>
          </w:p>
          <w:p w14:paraId="65581896" w14:textId="77777777" w:rsidR="00D7401F" w:rsidRPr="00D7401F" w:rsidRDefault="00D7401F" w:rsidP="00D7401F">
            <w:pPr>
              <w:spacing w:after="0"/>
              <w:rPr>
                <w:sz w:val="20"/>
                <w:szCs w:val="20"/>
              </w:rPr>
            </w:pPr>
            <w:r w:rsidRPr="00D7401F">
              <w:rPr>
                <w:sz w:val="20"/>
                <w:szCs w:val="20"/>
              </w:rPr>
              <w:t xml:space="preserve">Damien Sweeney, </w:t>
            </w:r>
            <w:proofErr w:type="gramStart"/>
            <w:r w:rsidRPr="00D7401F">
              <w:rPr>
                <w:sz w:val="20"/>
                <w:szCs w:val="20"/>
              </w:rPr>
              <w:t>MEL</w:t>
            </w:r>
            <w:proofErr w:type="gramEnd"/>
            <w:r w:rsidRPr="00D7401F">
              <w:rPr>
                <w:sz w:val="20"/>
                <w:szCs w:val="20"/>
              </w:rPr>
              <w:t xml:space="preserve"> and CD Manager</w:t>
            </w:r>
          </w:p>
          <w:p w14:paraId="43E82330" w14:textId="0BD3591B" w:rsidR="00D7401F" w:rsidRPr="00E15116" w:rsidRDefault="00BE1D6C" w:rsidP="00D7401F">
            <w:pPr>
              <w:spacing w:after="0"/>
              <w:rPr>
                <w:sz w:val="20"/>
                <w:szCs w:val="20"/>
              </w:rPr>
            </w:pPr>
            <w:r>
              <w:rPr>
                <w:sz w:val="20"/>
                <w:szCs w:val="20"/>
              </w:rPr>
              <w:t xml:space="preserve">Jeremy Miller, </w:t>
            </w:r>
            <w:r w:rsidR="00D7401F" w:rsidRPr="00D7401F">
              <w:rPr>
                <w:sz w:val="20"/>
                <w:szCs w:val="20"/>
              </w:rPr>
              <w:t xml:space="preserve">Communications </w:t>
            </w:r>
            <w:r>
              <w:rPr>
                <w:sz w:val="20"/>
                <w:szCs w:val="20"/>
              </w:rPr>
              <w:t>Specialist</w:t>
            </w:r>
          </w:p>
        </w:tc>
      </w:tr>
      <w:tr w:rsidR="00C366B4" w:rsidRPr="00B66B6B" w14:paraId="3DCDD3E6" w14:textId="77777777" w:rsidTr="00D454AD">
        <w:tc>
          <w:tcPr>
            <w:tcW w:w="2689" w:type="dxa"/>
          </w:tcPr>
          <w:p w14:paraId="17BE6362" w14:textId="306ED502" w:rsidR="00C366B4" w:rsidRDefault="00C366B4">
            <w:pPr>
              <w:spacing w:after="0"/>
              <w:rPr>
                <w:sz w:val="20"/>
                <w:szCs w:val="20"/>
              </w:rPr>
            </w:pPr>
            <w:r>
              <w:rPr>
                <w:sz w:val="20"/>
                <w:szCs w:val="20"/>
              </w:rPr>
              <w:t xml:space="preserve">Construction Industry </w:t>
            </w:r>
          </w:p>
        </w:tc>
        <w:tc>
          <w:tcPr>
            <w:tcW w:w="6378" w:type="dxa"/>
          </w:tcPr>
          <w:p w14:paraId="624DBB4F" w14:textId="77777777" w:rsidR="00C366B4" w:rsidRPr="00C366B4" w:rsidRDefault="00C366B4" w:rsidP="00C366B4">
            <w:pPr>
              <w:spacing w:after="0"/>
              <w:rPr>
                <w:sz w:val="20"/>
                <w:szCs w:val="20"/>
              </w:rPr>
            </w:pPr>
            <w:r w:rsidRPr="00C366B4">
              <w:rPr>
                <w:sz w:val="20"/>
                <w:szCs w:val="20"/>
              </w:rPr>
              <w:t>Daniel Tucker, Kramer Ausenco Pty Ltd</w:t>
            </w:r>
          </w:p>
          <w:p w14:paraId="5B17A887" w14:textId="77777777" w:rsidR="00C366B4" w:rsidRPr="00C366B4" w:rsidRDefault="00C366B4" w:rsidP="00C366B4">
            <w:pPr>
              <w:spacing w:after="0"/>
              <w:rPr>
                <w:sz w:val="20"/>
                <w:szCs w:val="20"/>
              </w:rPr>
            </w:pPr>
            <w:r w:rsidRPr="00C366B4">
              <w:rPr>
                <w:sz w:val="20"/>
                <w:szCs w:val="20"/>
              </w:rPr>
              <w:t>Simon Gorman, Reeves International</w:t>
            </w:r>
          </w:p>
          <w:p w14:paraId="35A93349" w14:textId="77777777" w:rsidR="00C366B4" w:rsidRPr="00C366B4" w:rsidRDefault="00C366B4" w:rsidP="00C366B4">
            <w:pPr>
              <w:spacing w:after="0"/>
              <w:rPr>
                <w:sz w:val="20"/>
                <w:szCs w:val="20"/>
              </w:rPr>
            </w:pPr>
            <w:r w:rsidRPr="00C366B4">
              <w:rPr>
                <w:sz w:val="20"/>
                <w:szCs w:val="20"/>
              </w:rPr>
              <w:t xml:space="preserve">Freda Waki, Alrico </w:t>
            </w:r>
          </w:p>
          <w:p w14:paraId="3721551B" w14:textId="77777777" w:rsidR="00C366B4" w:rsidRPr="00C366B4" w:rsidRDefault="00C366B4" w:rsidP="00C366B4">
            <w:pPr>
              <w:spacing w:after="0"/>
              <w:rPr>
                <w:sz w:val="20"/>
                <w:szCs w:val="20"/>
              </w:rPr>
            </w:pPr>
            <w:r w:rsidRPr="00C366B4">
              <w:rPr>
                <w:sz w:val="20"/>
                <w:szCs w:val="20"/>
              </w:rPr>
              <w:t xml:space="preserve">Rodney </w:t>
            </w:r>
            <w:proofErr w:type="spellStart"/>
            <w:r w:rsidRPr="00C366B4">
              <w:rPr>
                <w:sz w:val="20"/>
                <w:szCs w:val="20"/>
              </w:rPr>
              <w:t>Kavamauri</w:t>
            </w:r>
            <w:proofErr w:type="spellEnd"/>
            <w:r w:rsidRPr="00C366B4">
              <w:rPr>
                <w:sz w:val="20"/>
                <w:szCs w:val="20"/>
              </w:rPr>
              <w:t xml:space="preserve">, </w:t>
            </w:r>
            <w:proofErr w:type="spellStart"/>
            <w:r w:rsidRPr="00C366B4">
              <w:rPr>
                <w:sz w:val="20"/>
                <w:szCs w:val="20"/>
              </w:rPr>
              <w:t>Motawa</w:t>
            </w:r>
            <w:proofErr w:type="spellEnd"/>
            <w:r w:rsidRPr="00C366B4">
              <w:rPr>
                <w:sz w:val="20"/>
                <w:szCs w:val="20"/>
              </w:rPr>
              <w:t xml:space="preserve"> Enterprises Limited</w:t>
            </w:r>
          </w:p>
          <w:p w14:paraId="14CAC1A1" w14:textId="77777777" w:rsidR="00C366B4" w:rsidRPr="00C366B4" w:rsidRDefault="00C366B4" w:rsidP="00C366B4">
            <w:pPr>
              <w:spacing w:after="0"/>
              <w:rPr>
                <w:sz w:val="20"/>
                <w:szCs w:val="20"/>
              </w:rPr>
            </w:pPr>
            <w:r w:rsidRPr="00C366B4">
              <w:rPr>
                <w:sz w:val="20"/>
                <w:szCs w:val="20"/>
              </w:rPr>
              <w:t xml:space="preserve">Justin </w:t>
            </w:r>
            <w:proofErr w:type="spellStart"/>
            <w:r w:rsidRPr="00C366B4">
              <w:rPr>
                <w:sz w:val="20"/>
                <w:szCs w:val="20"/>
              </w:rPr>
              <w:t>Fuo’o</w:t>
            </w:r>
            <w:proofErr w:type="spellEnd"/>
            <w:r w:rsidRPr="00C366B4">
              <w:rPr>
                <w:sz w:val="20"/>
                <w:szCs w:val="20"/>
              </w:rPr>
              <w:t>, Tropical Group Builders</w:t>
            </w:r>
          </w:p>
          <w:p w14:paraId="417308A4" w14:textId="77777777" w:rsidR="00C366B4" w:rsidRPr="00C366B4" w:rsidRDefault="00C366B4" w:rsidP="00C366B4">
            <w:pPr>
              <w:spacing w:after="0"/>
              <w:rPr>
                <w:sz w:val="20"/>
                <w:szCs w:val="20"/>
              </w:rPr>
            </w:pPr>
            <w:r w:rsidRPr="00C366B4">
              <w:rPr>
                <w:sz w:val="20"/>
                <w:szCs w:val="20"/>
              </w:rPr>
              <w:t>Rick Bagby, FMC Pacific</w:t>
            </w:r>
          </w:p>
          <w:p w14:paraId="751F5C88" w14:textId="77777777" w:rsidR="00C366B4" w:rsidRPr="00C366B4" w:rsidRDefault="00C366B4" w:rsidP="00C366B4">
            <w:pPr>
              <w:spacing w:after="0"/>
              <w:rPr>
                <w:sz w:val="20"/>
                <w:szCs w:val="20"/>
              </w:rPr>
            </w:pPr>
            <w:r w:rsidRPr="00C366B4">
              <w:rPr>
                <w:sz w:val="20"/>
                <w:szCs w:val="20"/>
              </w:rPr>
              <w:t xml:space="preserve">Jay Bartlett, </w:t>
            </w:r>
            <w:proofErr w:type="spellStart"/>
            <w:r w:rsidRPr="00C366B4">
              <w:rPr>
                <w:sz w:val="20"/>
                <w:szCs w:val="20"/>
              </w:rPr>
              <w:t>Hatanga</w:t>
            </w:r>
            <w:proofErr w:type="spellEnd"/>
            <w:r w:rsidRPr="00C366B4">
              <w:rPr>
                <w:sz w:val="20"/>
                <w:szCs w:val="20"/>
              </w:rPr>
              <w:t xml:space="preserve"> Group</w:t>
            </w:r>
          </w:p>
          <w:p w14:paraId="183B80ED" w14:textId="4F2DCF42" w:rsidR="00C366B4" w:rsidRPr="00E15116" w:rsidRDefault="00C366B4" w:rsidP="00C366B4">
            <w:pPr>
              <w:spacing w:after="0"/>
              <w:rPr>
                <w:sz w:val="20"/>
                <w:szCs w:val="20"/>
              </w:rPr>
            </w:pPr>
            <w:r w:rsidRPr="00C366B4">
              <w:rPr>
                <w:sz w:val="20"/>
                <w:szCs w:val="20"/>
              </w:rPr>
              <w:t>Francis Nori Nofokava, Nofokava</w:t>
            </w:r>
          </w:p>
        </w:tc>
      </w:tr>
    </w:tbl>
    <w:p w14:paraId="4FFC5ABD" w14:textId="77777777" w:rsidR="00D31AD2" w:rsidRPr="00B66B6B" w:rsidRDefault="00D31AD2" w:rsidP="00370438">
      <w:r w:rsidRPr="00B66B6B">
        <w:br w:type="page"/>
      </w:r>
    </w:p>
    <w:p w14:paraId="7F120D46" w14:textId="77777777" w:rsidR="00024179" w:rsidRPr="00B66B6B" w:rsidRDefault="00024179" w:rsidP="00370438">
      <w:pPr>
        <w:sectPr w:rsidR="00024179" w:rsidRPr="00B66B6B" w:rsidSect="002F081F">
          <w:pgSz w:w="11900" w:h="16840"/>
          <w:pgMar w:top="1418" w:right="1440" w:bottom="1440" w:left="1440" w:header="709" w:footer="709" w:gutter="0"/>
          <w:cols w:space="708"/>
          <w:docGrid w:linePitch="360"/>
        </w:sectPr>
      </w:pPr>
    </w:p>
    <w:p w14:paraId="5CD7AC6E" w14:textId="0781C2C6" w:rsidR="00D31AD2" w:rsidRPr="00B66B6B" w:rsidRDefault="00884C0D" w:rsidP="00727236">
      <w:pPr>
        <w:pStyle w:val="Heading1"/>
        <w:numPr>
          <w:ilvl w:val="0"/>
          <w:numId w:val="0"/>
        </w:numPr>
        <w:ind w:left="567" w:hanging="567"/>
      </w:pPr>
      <w:bookmarkStart w:id="83" w:name="_Toc156506671"/>
      <w:bookmarkStart w:id="84" w:name="_Toc165140747"/>
      <w:r w:rsidRPr="00B66B6B">
        <w:lastRenderedPageBreak/>
        <w:t>Annex</w:t>
      </w:r>
      <w:r w:rsidR="00FB37A4" w:rsidRPr="00B66B6B">
        <w:t xml:space="preserve"> </w:t>
      </w:r>
      <w:r w:rsidR="00D454AD">
        <w:t>3</w:t>
      </w:r>
      <w:r w:rsidRPr="00B66B6B">
        <w:t xml:space="preserve"> </w:t>
      </w:r>
      <w:r w:rsidR="00D31AD2" w:rsidRPr="00B66B6B">
        <w:t xml:space="preserve">– </w:t>
      </w:r>
      <w:r w:rsidRPr="00B66B6B">
        <w:t>List of Documents</w:t>
      </w:r>
      <w:bookmarkEnd w:id="83"/>
      <w:bookmarkEnd w:id="84"/>
    </w:p>
    <w:p w14:paraId="15D2BA79" w14:textId="541E53C3" w:rsidR="00731E87" w:rsidRDefault="00731E87" w:rsidP="00731E87">
      <w:pPr>
        <w:pStyle w:val="TableText"/>
      </w:pPr>
      <w:r>
        <w:t>DFAT</w:t>
      </w:r>
      <w:r>
        <w:tab/>
      </w:r>
      <w:r>
        <w:tab/>
        <w:t>SIIP IMR 2022 (covering 2021)</w:t>
      </w:r>
    </w:p>
    <w:p w14:paraId="504875D1" w14:textId="2A804DFC" w:rsidR="00731E87" w:rsidRDefault="00731E87" w:rsidP="00731E87">
      <w:pPr>
        <w:pStyle w:val="TableText"/>
      </w:pPr>
      <w:r>
        <w:t>DFAT</w:t>
      </w:r>
      <w:r>
        <w:tab/>
      </w:r>
      <w:r>
        <w:tab/>
        <w:t>SIIP IMR 2023 (covering 2022)</w:t>
      </w:r>
    </w:p>
    <w:p w14:paraId="06DCC62B" w14:textId="173C96D7" w:rsidR="00731E87" w:rsidRDefault="00731E87" w:rsidP="00731E87">
      <w:pPr>
        <w:pStyle w:val="TableText"/>
      </w:pPr>
      <w:r>
        <w:t>DFAT</w:t>
      </w:r>
      <w:r>
        <w:tab/>
      </w:r>
      <w:r>
        <w:tab/>
        <w:t>SIIP IMR 2024 (covering 2023)</w:t>
      </w:r>
    </w:p>
    <w:p w14:paraId="5EAB2108" w14:textId="0A7364DD" w:rsidR="00731E87" w:rsidRDefault="00731E87" w:rsidP="00731E87">
      <w:pPr>
        <w:pStyle w:val="TableText"/>
      </w:pPr>
      <w:r>
        <w:t>DFAT</w:t>
      </w:r>
      <w:r>
        <w:tab/>
      </w:r>
      <w:r>
        <w:tab/>
        <w:t>Steering Committee briefing packs (2021-2023)</w:t>
      </w:r>
    </w:p>
    <w:p w14:paraId="661F1FB2" w14:textId="07F132F4" w:rsidR="00731E87" w:rsidRDefault="00731E87" w:rsidP="00731E87">
      <w:pPr>
        <w:pStyle w:val="TableText"/>
      </w:pPr>
      <w:r>
        <w:t>DFAT</w:t>
      </w:r>
      <w:r>
        <w:tab/>
      </w:r>
      <w:r>
        <w:tab/>
        <w:t xml:space="preserve">Solomon Islands COVID-19 Development Response Plan </w:t>
      </w:r>
    </w:p>
    <w:p w14:paraId="530FF02A" w14:textId="66F1F6BC" w:rsidR="00731E87" w:rsidRDefault="00731E87" w:rsidP="00731E87">
      <w:pPr>
        <w:pStyle w:val="TableText"/>
      </w:pPr>
      <w:r>
        <w:t>DFAT</w:t>
      </w:r>
      <w:r>
        <w:tab/>
        <w:t>-</w:t>
      </w:r>
      <w:r>
        <w:tab/>
        <w:t xml:space="preserve">Direct Funding Agreement Process </w:t>
      </w:r>
    </w:p>
    <w:p w14:paraId="257D68CE" w14:textId="6B937418" w:rsidR="00731E87" w:rsidRDefault="00731E87" w:rsidP="00731E87">
      <w:pPr>
        <w:pStyle w:val="TableText"/>
      </w:pPr>
      <w:r>
        <w:t>DFAT</w:t>
      </w:r>
      <w:r>
        <w:tab/>
      </w:r>
      <w:r>
        <w:tab/>
        <w:t>SIIP Financial update - quarterly expenditure 31 Jan 2024</w:t>
      </w:r>
    </w:p>
    <w:p w14:paraId="572A6FBD" w14:textId="12D9A8D8" w:rsidR="00731E87" w:rsidRDefault="00731E87" w:rsidP="00731E87">
      <w:pPr>
        <w:pStyle w:val="TableText"/>
      </w:pPr>
      <w:r>
        <w:t>DFAT</w:t>
      </w:r>
      <w:r>
        <w:tab/>
      </w:r>
      <w:r>
        <w:tab/>
        <w:t>DFAT monitoring and evaluation standards, 2017</w:t>
      </w:r>
    </w:p>
    <w:p w14:paraId="120D9BC0" w14:textId="139890FE" w:rsidR="00731E87" w:rsidRDefault="00731E87" w:rsidP="00731E87">
      <w:pPr>
        <w:pStyle w:val="TableText"/>
      </w:pPr>
      <w:r>
        <w:t>DFAT</w:t>
      </w:r>
      <w:r>
        <w:tab/>
      </w:r>
      <w:r>
        <w:tab/>
        <w:t>Australia’s International Development Policy, 2023</w:t>
      </w:r>
    </w:p>
    <w:p w14:paraId="2F1CD26B" w14:textId="5EFF27AE" w:rsidR="00731E87" w:rsidRDefault="00731E87" w:rsidP="00731E87">
      <w:pPr>
        <w:pStyle w:val="TableText"/>
      </w:pPr>
      <w:r>
        <w:t>DFAT</w:t>
      </w:r>
      <w:r>
        <w:tab/>
      </w:r>
      <w:r>
        <w:tab/>
      </w:r>
      <w:proofErr w:type="gramStart"/>
      <w:r>
        <w:t>Non-SIIP Hub</w:t>
      </w:r>
      <w:proofErr w:type="gramEnd"/>
      <w:r>
        <w:t xml:space="preserve"> agreement tracker </w:t>
      </w:r>
    </w:p>
    <w:p w14:paraId="7FC11926" w14:textId="7DA21C05" w:rsidR="00731E87" w:rsidRDefault="00731E87" w:rsidP="00731E87">
      <w:pPr>
        <w:pStyle w:val="TableText"/>
      </w:pPr>
      <w:r>
        <w:t>DFAT</w:t>
      </w:r>
      <w:r>
        <w:tab/>
      </w:r>
      <w:r>
        <w:tab/>
        <w:t xml:space="preserve">Solomon Islands Infrastructure Roadmap </w:t>
      </w:r>
    </w:p>
    <w:p w14:paraId="2DEED58B" w14:textId="4F19D58A" w:rsidR="00731E87" w:rsidRDefault="00731E87" w:rsidP="00731E87">
      <w:pPr>
        <w:pStyle w:val="TableText"/>
      </w:pPr>
      <w:r>
        <w:t>DFAT</w:t>
      </w:r>
      <w:r>
        <w:tab/>
      </w:r>
      <w:r>
        <w:tab/>
        <w:t>SIIP Audit report Jun 2022</w:t>
      </w:r>
    </w:p>
    <w:p w14:paraId="3E831062" w14:textId="2D21F45D" w:rsidR="00731E87" w:rsidRDefault="00731E87" w:rsidP="00731E87">
      <w:pPr>
        <w:pStyle w:val="TableText"/>
      </w:pPr>
      <w:r>
        <w:t>DFAT</w:t>
      </w:r>
      <w:r>
        <w:tab/>
      </w:r>
      <w:r>
        <w:tab/>
        <w:t>SIIP Audit report Jun 2023</w:t>
      </w:r>
    </w:p>
    <w:p w14:paraId="7A1EB3EF" w14:textId="1E39127C" w:rsidR="000F3A8E" w:rsidRDefault="000F3A8E" w:rsidP="00731E87">
      <w:pPr>
        <w:pStyle w:val="TableText"/>
      </w:pPr>
      <w:r w:rsidRPr="000F3A8E">
        <w:t>DFAT</w:t>
      </w:r>
      <w:r w:rsidRPr="000F3A8E">
        <w:tab/>
      </w:r>
      <w:r w:rsidRPr="000F3A8E">
        <w:tab/>
        <w:t>SIIP Final Design Document 2020</w:t>
      </w:r>
    </w:p>
    <w:p w14:paraId="69F7865B" w14:textId="5507BBE3" w:rsidR="000F3A8E" w:rsidRDefault="000F3A8E" w:rsidP="00731E87">
      <w:pPr>
        <w:pStyle w:val="TableText"/>
      </w:pPr>
      <w:r w:rsidRPr="000F3A8E">
        <w:t>DFAT</w:t>
      </w:r>
      <w:r>
        <w:tab/>
      </w:r>
      <w:r>
        <w:tab/>
      </w:r>
      <w:r w:rsidRPr="000F3A8E">
        <w:t>Aide Memoire, SIIP Emerging Priorities, May 2023</w:t>
      </w:r>
    </w:p>
    <w:p w14:paraId="4518661A" w14:textId="57BFF4C9" w:rsidR="00731E87" w:rsidRDefault="00731E87" w:rsidP="00731E87">
      <w:pPr>
        <w:pStyle w:val="TableText"/>
      </w:pPr>
      <w:r>
        <w:t>SIG</w:t>
      </w:r>
      <w:r>
        <w:tab/>
      </w:r>
      <w:r>
        <w:tab/>
        <w:t>Solomon Islands Priority Pipeline Aug 21</w:t>
      </w:r>
    </w:p>
    <w:p w14:paraId="670B3513" w14:textId="71366B1F" w:rsidR="00731E87" w:rsidRDefault="00731E87" w:rsidP="00731E87">
      <w:pPr>
        <w:pStyle w:val="TableText"/>
      </w:pPr>
      <w:r>
        <w:t>SIG</w:t>
      </w:r>
      <w:r>
        <w:tab/>
      </w:r>
      <w:r w:rsidR="000F3A8E">
        <w:tab/>
      </w:r>
      <w:r>
        <w:t>Solomon Islands National Environment Management Strategy 2020–2023</w:t>
      </w:r>
    </w:p>
    <w:p w14:paraId="33FFF850" w14:textId="4FB87434" w:rsidR="00731E87" w:rsidRDefault="00731E87" w:rsidP="00731E87">
      <w:pPr>
        <w:pStyle w:val="TableText"/>
      </w:pPr>
      <w:r>
        <w:t>SIG</w:t>
      </w:r>
      <w:r w:rsidR="000F3A8E">
        <w:tab/>
      </w:r>
      <w:r>
        <w:tab/>
        <w:t xml:space="preserve">Solomon Islands Long Term Low Emissions Development Strategy </w:t>
      </w:r>
    </w:p>
    <w:p w14:paraId="7DE5E9CE" w14:textId="724ED71D" w:rsidR="00731E87" w:rsidRDefault="00731E87" w:rsidP="00731E87">
      <w:pPr>
        <w:pStyle w:val="TableText"/>
      </w:pPr>
      <w:r>
        <w:t>SIG</w:t>
      </w:r>
      <w:r w:rsidR="000F3A8E">
        <w:tab/>
      </w:r>
      <w:r>
        <w:tab/>
        <w:t>SI National Development Strategy 2016-2035</w:t>
      </w:r>
    </w:p>
    <w:p w14:paraId="78476E62" w14:textId="559F66C6" w:rsidR="00731E87" w:rsidRDefault="00731E87" w:rsidP="00731E87">
      <w:pPr>
        <w:pStyle w:val="TableText"/>
      </w:pPr>
      <w:r>
        <w:t>SIG</w:t>
      </w:r>
      <w:r w:rsidR="000F3A8E">
        <w:tab/>
      </w:r>
      <w:r>
        <w:tab/>
        <w:t>Solomon Islands National Infrastructure Investment Plan 2013</w:t>
      </w:r>
    </w:p>
    <w:p w14:paraId="67628AD4" w14:textId="5F36A1DB" w:rsidR="00731E87" w:rsidRDefault="00731E87" w:rsidP="00731E87">
      <w:pPr>
        <w:pStyle w:val="TableText"/>
      </w:pPr>
      <w:r>
        <w:t>SIG</w:t>
      </w:r>
      <w:r w:rsidR="000F3A8E">
        <w:tab/>
      </w:r>
      <w:r>
        <w:tab/>
        <w:t>Solomon Islands National Infrastructure Investment Plan Summary</w:t>
      </w:r>
    </w:p>
    <w:p w14:paraId="7E61C8D8" w14:textId="7777C6FE" w:rsidR="00731E87" w:rsidRDefault="00731E87" w:rsidP="00731E87">
      <w:pPr>
        <w:pStyle w:val="TableText"/>
      </w:pPr>
      <w:r>
        <w:t>SIG</w:t>
      </w:r>
      <w:r>
        <w:tab/>
      </w:r>
      <w:r w:rsidR="000F3A8E">
        <w:tab/>
      </w:r>
      <w:r>
        <w:t>Solomon Islands National Infrastructure Priority Pipeline 2023</w:t>
      </w:r>
    </w:p>
    <w:p w14:paraId="3C4C5DA3" w14:textId="20E10060" w:rsidR="00731E87" w:rsidRDefault="00731E87" w:rsidP="00731E87">
      <w:pPr>
        <w:pStyle w:val="TableText"/>
      </w:pPr>
      <w:r>
        <w:t>SIIP Hub</w:t>
      </w:r>
      <w:r>
        <w:tab/>
      </w:r>
      <w:r w:rsidR="000F3A8E">
        <w:tab/>
        <w:t>SIIP</w:t>
      </w:r>
      <w:r>
        <w:t xml:space="preserve"> Monitoring, Evaluation and Learning Plan, 2022</w:t>
      </w:r>
    </w:p>
    <w:p w14:paraId="58B10E8E" w14:textId="74CDA385" w:rsidR="00731E87" w:rsidRDefault="00731E87" w:rsidP="00731E87">
      <w:pPr>
        <w:pStyle w:val="TableText"/>
      </w:pPr>
      <w:r>
        <w:t>SIIP Hub</w:t>
      </w:r>
      <w:r>
        <w:tab/>
      </w:r>
      <w:r w:rsidR="000F3A8E">
        <w:tab/>
      </w:r>
      <w:r>
        <w:t>SIIP Climate Change and Disaster Resilience Strategy 2022</w:t>
      </w:r>
    </w:p>
    <w:p w14:paraId="1B883D59" w14:textId="10072C1E" w:rsidR="00731E87" w:rsidRDefault="00731E87" w:rsidP="00731E87">
      <w:pPr>
        <w:pStyle w:val="TableText"/>
      </w:pPr>
      <w:r>
        <w:t>SIIP Hub</w:t>
      </w:r>
      <w:r>
        <w:tab/>
      </w:r>
      <w:r w:rsidR="000F3A8E">
        <w:tab/>
      </w:r>
      <w:r>
        <w:t xml:space="preserve">SIIP Local Content Strategy Oct 2022 </w:t>
      </w:r>
    </w:p>
    <w:p w14:paraId="54A6380D" w14:textId="7E6C0FF0" w:rsidR="00731E87" w:rsidRDefault="00731E87" w:rsidP="00731E87">
      <w:pPr>
        <w:pStyle w:val="TableText"/>
      </w:pPr>
      <w:r>
        <w:t>SIIP Hub</w:t>
      </w:r>
      <w:r>
        <w:tab/>
      </w:r>
      <w:r w:rsidR="000F3A8E">
        <w:tab/>
      </w:r>
      <w:r w:rsidR="000F3A8E" w:rsidRPr="000F3A8E">
        <w:t xml:space="preserve">SIIP </w:t>
      </w:r>
      <w:r w:rsidR="000F3A8E">
        <w:t xml:space="preserve">Draft Investment Framework </w:t>
      </w:r>
      <w:r>
        <w:t>2022</w:t>
      </w:r>
    </w:p>
    <w:p w14:paraId="07C137D2" w14:textId="3196798D" w:rsidR="00731E87" w:rsidRDefault="00731E87" w:rsidP="00731E87">
      <w:pPr>
        <w:pStyle w:val="TableText"/>
      </w:pPr>
      <w:r>
        <w:t>SIIP Hub</w:t>
      </w:r>
      <w:r>
        <w:tab/>
      </w:r>
      <w:r w:rsidR="000F3A8E">
        <w:tab/>
      </w:r>
      <w:r>
        <w:t>SIIP Resourcing Plan: 2023-2025, 2023</w:t>
      </w:r>
    </w:p>
    <w:p w14:paraId="1A8738C0" w14:textId="12AC5BDB" w:rsidR="00731E87" w:rsidRDefault="00731E87" w:rsidP="00731E87">
      <w:pPr>
        <w:pStyle w:val="TableText"/>
      </w:pPr>
      <w:r>
        <w:t>SIIP Hub</w:t>
      </w:r>
      <w:r>
        <w:tab/>
      </w:r>
      <w:r w:rsidR="000F3A8E">
        <w:tab/>
      </w:r>
      <w:r>
        <w:t>SIIP capacity Development Strategy, 2022</w:t>
      </w:r>
    </w:p>
    <w:p w14:paraId="5098DFD6" w14:textId="794CA929" w:rsidR="00731E87" w:rsidRDefault="00731E87" w:rsidP="00731E87">
      <w:pPr>
        <w:pStyle w:val="TableText"/>
      </w:pPr>
      <w:r>
        <w:t>SIIP Hub</w:t>
      </w:r>
      <w:r>
        <w:tab/>
      </w:r>
      <w:r w:rsidR="000F3A8E">
        <w:tab/>
      </w:r>
      <w:r>
        <w:t xml:space="preserve">SIIP Environmental and Social Management Framework, 2022 </w:t>
      </w:r>
    </w:p>
    <w:p w14:paraId="13CFF687" w14:textId="0D028A7A" w:rsidR="00731E87" w:rsidRDefault="00731E87" w:rsidP="00731E87">
      <w:pPr>
        <w:pStyle w:val="TableText"/>
      </w:pPr>
      <w:r>
        <w:t>SIIP Hub</w:t>
      </w:r>
      <w:r>
        <w:tab/>
      </w:r>
      <w:r w:rsidR="000F3A8E">
        <w:tab/>
      </w:r>
      <w:r>
        <w:t>SIIP Gender Equality, Disability and Social Inclusion Strategy, Revised 2023</w:t>
      </w:r>
    </w:p>
    <w:p w14:paraId="2C314E18" w14:textId="3587121C" w:rsidR="00731E87" w:rsidRDefault="00731E87" w:rsidP="00731E87">
      <w:pPr>
        <w:pStyle w:val="TableText"/>
      </w:pPr>
      <w:r>
        <w:t>SIIP Hub</w:t>
      </w:r>
      <w:r>
        <w:tab/>
      </w:r>
      <w:r w:rsidR="000F3A8E">
        <w:tab/>
      </w:r>
      <w:r>
        <w:t>SIIP Operations Manual, 2021</w:t>
      </w:r>
    </w:p>
    <w:p w14:paraId="402F396A" w14:textId="19CE80F5" w:rsidR="00666DEA" w:rsidRDefault="00731E87" w:rsidP="00731E87">
      <w:pPr>
        <w:pStyle w:val="TableText"/>
      </w:pPr>
      <w:r>
        <w:t>SIIP Hub</w:t>
      </w:r>
      <w:r>
        <w:tab/>
      </w:r>
      <w:r w:rsidR="000F3A8E">
        <w:tab/>
      </w:r>
      <w:r>
        <w:t>SIIP Review and Reflection presentations (Feb 2022 - Dec 2023)</w:t>
      </w:r>
    </w:p>
    <w:p w14:paraId="13D56291" w14:textId="77777777" w:rsidR="000F3A8E" w:rsidRDefault="000F3A8E" w:rsidP="000F3A8E">
      <w:pPr>
        <w:pStyle w:val="TableText"/>
      </w:pPr>
      <w:r>
        <w:t>SIIP Hub</w:t>
      </w:r>
      <w:r>
        <w:tab/>
      </w:r>
      <w:r>
        <w:tab/>
        <w:t>SIIP Annual report Dec 2022</w:t>
      </w:r>
    </w:p>
    <w:p w14:paraId="7C332020" w14:textId="77777777" w:rsidR="000F3A8E" w:rsidRDefault="000F3A8E" w:rsidP="000F3A8E">
      <w:pPr>
        <w:pStyle w:val="TableText"/>
      </w:pPr>
      <w:r>
        <w:t>SIIP Hub</w:t>
      </w:r>
      <w:r>
        <w:tab/>
      </w:r>
      <w:r>
        <w:tab/>
        <w:t>SIIP Six Monthly report: Jan-Jun 2023</w:t>
      </w:r>
    </w:p>
    <w:p w14:paraId="50646874" w14:textId="77777777" w:rsidR="000F3A8E" w:rsidRDefault="000F3A8E" w:rsidP="000F3A8E">
      <w:pPr>
        <w:pStyle w:val="TableText"/>
      </w:pPr>
      <w:r>
        <w:t>SIIP Hub</w:t>
      </w:r>
      <w:r>
        <w:tab/>
      </w:r>
      <w:r>
        <w:tab/>
        <w:t>SIIP Annual Report Dec 2023</w:t>
      </w:r>
    </w:p>
    <w:p w14:paraId="37081BA8" w14:textId="77777777" w:rsidR="000F3A8E" w:rsidRDefault="000F3A8E" w:rsidP="000F3A8E">
      <w:pPr>
        <w:pStyle w:val="TableText"/>
      </w:pPr>
      <w:r>
        <w:t>SIIP Hub</w:t>
      </w:r>
      <w:r>
        <w:tab/>
      </w:r>
      <w:r>
        <w:tab/>
        <w:t>SIIP Six Monthly Report Jun 2022</w:t>
      </w:r>
    </w:p>
    <w:p w14:paraId="16D69E0B" w14:textId="4D19DCFD" w:rsidR="000F3A8E" w:rsidRDefault="000F3A8E" w:rsidP="000F3A8E">
      <w:pPr>
        <w:pStyle w:val="TableText"/>
      </w:pPr>
      <w:r>
        <w:t>SIIP Hub</w:t>
      </w:r>
      <w:r>
        <w:tab/>
      </w:r>
      <w:r>
        <w:tab/>
        <w:t>SIIP Six Monthly Report Dec 2022</w:t>
      </w:r>
    </w:p>
    <w:p w14:paraId="5E91284C" w14:textId="77777777" w:rsidR="000F3A8E" w:rsidRDefault="000F3A8E" w:rsidP="000F3A8E">
      <w:pPr>
        <w:pStyle w:val="TableText"/>
      </w:pPr>
      <w:r>
        <w:t>SIIP Hub</w:t>
      </w:r>
      <w:r>
        <w:tab/>
      </w:r>
      <w:r>
        <w:tab/>
        <w:t>SIIP Insurance Briefing Paper_V1.0 FINAL (SS13Sep23)</w:t>
      </w:r>
    </w:p>
    <w:p w14:paraId="6E909FD7" w14:textId="01C3C6F3" w:rsidR="000F3A8E" w:rsidRDefault="000F3A8E" w:rsidP="000F3A8E">
      <w:pPr>
        <w:pStyle w:val="TableText"/>
      </w:pPr>
      <w:r>
        <w:t>SIIP Hub</w:t>
      </w:r>
      <w:r>
        <w:tab/>
      </w:r>
      <w:r>
        <w:tab/>
        <w:t>Monthly project activity reports (numerous)</w:t>
      </w:r>
    </w:p>
    <w:p w14:paraId="07FDDBC8" w14:textId="77777777" w:rsidR="000F3A8E" w:rsidRDefault="000F3A8E" w:rsidP="000F3A8E">
      <w:pPr>
        <w:pStyle w:val="TableText"/>
      </w:pPr>
      <w:r>
        <w:t>ADB</w:t>
      </w:r>
      <w:r>
        <w:tab/>
      </w:r>
      <w:r>
        <w:tab/>
        <w:t>PRIF Pacific Infrastructure Performance Indicators 2016</w:t>
      </w:r>
    </w:p>
    <w:p w14:paraId="6F88A622" w14:textId="07689E5A" w:rsidR="000F3A8E" w:rsidRDefault="000F3A8E" w:rsidP="000F3A8E">
      <w:pPr>
        <w:pStyle w:val="TableText"/>
      </w:pPr>
      <w:r>
        <w:t>Cardno</w:t>
      </w:r>
      <w:r>
        <w:tab/>
      </w:r>
      <w:r>
        <w:tab/>
        <w:t>Final Desktop Study Presentation, SI National Transport Core Concept Study, 2020</w:t>
      </w:r>
    </w:p>
    <w:p w14:paraId="76A34B1A" w14:textId="7D81E9F7" w:rsidR="000659F4" w:rsidRPr="00B66B6B" w:rsidRDefault="000659F4" w:rsidP="000F3A8E">
      <w:pPr>
        <w:pStyle w:val="TableText"/>
      </w:pPr>
      <w:r>
        <w:t>IMF</w:t>
      </w:r>
      <w:r>
        <w:tab/>
      </w:r>
      <w:r>
        <w:tab/>
      </w:r>
      <w:r w:rsidRPr="000659F4">
        <w:t>International Monetary Fund. 2023 Article IV Consultation</w:t>
      </w:r>
    </w:p>
    <w:p w14:paraId="7719F8AD" w14:textId="0704048D" w:rsidR="00941D18" w:rsidRPr="00B66B6B" w:rsidRDefault="00941D18" w:rsidP="00FC2AB8">
      <w:pPr>
        <w:ind w:left="284" w:hanging="284"/>
      </w:pPr>
      <w:r w:rsidRPr="00B66B6B">
        <w:br w:type="page"/>
      </w:r>
    </w:p>
    <w:p w14:paraId="467A42FA" w14:textId="1697F2AD" w:rsidR="003448EB" w:rsidRPr="00B66B6B" w:rsidRDefault="003448EB" w:rsidP="001D7D4C">
      <w:pPr>
        <w:pStyle w:val="Heading1"/>
        <w:numPr>
          <w:ilvl w:val="0"/>
          <w:numId w:val="0"/>
        </w:numPr>
      </w:pPr>
      <w:bookmarkStart w:id="85" w:name="_Toc165140748"/>
      <w:r w:rsidRPr="00B66B6B">
        <w:lastRenderedPageBreak/>
        <w:t>Annex 4 – Non-</w:t>
      </w:r>
      <w:r w:rsidR="001D7D4C" w:rsidRPr="00B66B6B">
        <w:t>Australian</w:t>
      </w:r>
      <w:r w:rsidRPr="00B66B6B">
        <w:t xml:space="preserve"> Bilateral and Multilateral infrastructure support to Solomon Islands</w:t>
      </w:r>
      <w:bookmarkEnd w:id="85"/>
    </w:p>
    <w:tbl>
      <w:tblPr>
        <w:tblStyle w:val="GridTable4-Accent1"/>
        <w:tblW w:w="0" w:type="auto"/>
        <w:tblLook w:val="04A0" w:firstRow="1" w:lastRow="0" w:firstColumn="1" w:lastColumn="0" w:noHBand="0" w:noVBand="1"/>
      </w:tblPr>
      <w:tblGrid>
        <w:gridCol w:w="1838"/>
        <w:gridCol w:w="7172"/>
      </w:tblGrid>
      <w:tr w:rsidR="003448EB" w:rsidRPr="00B66B6B" w14:paraId="1E8BA57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0E3C6DC" w14:textId="77777777" w:rsidR="003448EB" w:rsidRPr="003448EB" w:rsidRDefault="003448EB" w:rsidP="003448EB">
            <w:pPr>
              <w:spacing w:after="0"/>
              <w:rPr>
                <w:sz w:val="20"/>
                <w:szCs w:val="20"/>
              </w:rPr>
            </w:pPr>
            <w:r w:rsidRPr="003448EB">
              <w:rPr>
                <w:sz w:val="20"/>
                <w:szCs w:val="20"/>
              </w:rPr>
              <w:t>Development Partner</w:t>
            </w:r>
          </w:p>
        </w:tc>
        <w:tc>
          <w:tcPr>
            <w:tcW w:w="7172" w:type="dxa"/>
          </w:tcPr>
          <w:p w14:paraId="7D50C467" w14:textId="77777777" w:rsidR="003448EB" w:rsidRPr="003448EB" w:rsidRDefault="003448EB" w:rsidP="003448EB">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3448EB">
              <w:rPr>
                <w:sz w:val="20"/>
                <w:szCs w:val="20"/>
              </w:rPr>
              <w:t>Description</w:t>
            </w:r>
          </w:p>
        </w:tc>
      </w:tr>
      <w:tr w:rsidR="003448EB" w:rsidRPr="003448EB" w14:paraId="5DA19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E58B933" w14:textId="77777777" w:rsidR="003448EB" w:rsidRPr="003448EB" w:rsidRDefault="003448EB" w:rsidP="003448EB">
            <w:pPr>
              <w:spacing w:after="0"/>
              <w:rPr>
                <w:sz w:val="20"/>
                <w:szCs w:val="20"/>
              </w:rPr>
            </w:pPr>
            <w:r w:rsidRPr="003448EB">
              <w:rPr>
                <w:sz w:val="20"/>
                <w:szCs w:val="20"/>
              </w:rPr>
              <w:t>The World Bank Group (WBG)</w:t>
            </w:r>
          </w:p>
        </w:tc>
        <w:tc>
          <w:tcPr>
            <w:tcW w:w="7172" w:type="dxa"/>
          </w:tcPr>
          <w:p w14:paraId="5CC5BEFB" w14:textId="0EB758D3" w:rsidR="003448EB" w:rsidRPr="003448EB" w:rsidRDefault="003448EB" w:rsidP="003448EB">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3448EB">
              <w:rPr>
                <w:sz w:val="20"/>
                <w:szCs w:val="20"/>
              </w:rPr>
              <w:t>The second largest external financier to Solomon Islands since 2018, WBG has committed approximately USD350 million (A</w:t>
            </w:r>
            <w:r w:rsidR="007208A7">
              <w:rPr>
                <w:sz w:val="20"/>
                <w:szCs w:val="20"/>
              </w:rPr>
              <w:t>UD</w:t>
            </w:r>
            <w:r w:rsidRPr="003448EB">
              <w:rPr>
                <w:sz w:val="20"/>
                <w:szCs w:val="20"/>
              </w:rPr>
              <w:t>525 million) of its own resources, including about USD215 million (A</w:t>
            </w:r>
            <w:r w:rsidR="007208A7">
              <w:rPr>
                <w:sz w:val="20"/>
                <w:szCs w:val="20"/>
              </w:rPr>
              <w:t>UD</w:t>
            </w:r>
            <w:r w:rsidRPr="003448EB">
              <w:rPr>
                <w:sz w:val="20"/>
                <w:szCs w:val="20"/>
              </w:rPr>
              <w:t>325 million) for major infrastructure activities. Around half of this has been grants and half highly concessional loans. WBG has also played a key convening role, mobilising significant cofinancing for major nation building projects:</w:t>
            </w:r>
          </w:p>
          <w:p w14:paraId="293C7AED" w14:textId="65118956" w:rsidR="003448EB" w:rsidRPr="003448EB" w:rsidRDefault="003448EB" w:rsidP="00864DDD">
            <w:pPr>
              <w:numPr>
                <w:ilvl w:val="0"/>
                <w:numId w:val="6"/>
              </w:numPr>
              <w:spacing w:after="0"/>
              <w:cnfStyle w:val="000000100000" w:firstRow="0" w:lastRow="0" w:firstColumn="0" w:lastColumn="0" w:oddVBand="0" w:evenVBand="0" w:oddHBand="1" w:evenHBand="0" w:firstRowFirstColumn="0" w:firstRowLastColumn="0" w:lastRowFirstColumn="0" w:lastRowLastColumn="0"/>
              <w:rPr>
                <w:sz w:val="20"/>
                <w:szCs w:val="20"/>
              </w:rPr>
            </w:pPr>
            <w:r w:rsidRPr="003448EB">
              <w:rPr>
                <w:b/>
                <w:bCs/>
                <w:sz w:val="20"/>
                <w:szCs w:val="20"/>
              </w:rPr>
              <w:t>Tina River Hydropower</w:t>
            </w:r>
            <w:r w:rsidRPr="003448EB">
              <w:rPr>
                <w:sz w:val="20"/>
                <w:szCs w:val="20"/>
              </w:rPr>
              <w:t>. WBG has been the coordinating co-financier for this project assisting SIG to mobilise approximately USD200 million (A</w:t>
            </w:r>
            <w:r w:rsidR="007208A7">
              <w:rPr>
                <w:sz w:val="20"/>
                <w:szCs w:val="20"/>
              </w:rPr>
              <w:t>UD</w:t>
            </w:r>
            <w:r w:rsidRPr="003448EB">
              <w:rPr>
                <w:sz w:val="20"/>
                <w:szCs w:val="20"/>
              </w:rPr>
              <w:t>300 million) in additional financing from ADB, Australia, the Green Climate Fund, Korea EXIM Bank, and the Abu Dhabi Fund. WBG also committed USD20 million (A</w:t>
            </w:r>
            <w:r w:rsidR="007208A7">
              <w:rPr>
                <w:sz w:val="20"/>
                <w:szCs w:val="20"/>
              </w:rPr>
              <w:t>UD</w:t>
            </w:r>
            <w:r w:rsidRPr="003448EB">
              <w:rPr>
                <w:sz w:val="20"/>
                <w:szCs w:val="20"/>
              </w:rPr>
              <w:t>30 million) for smaller scale renewable investments in 2018.</w:t>
            </w:r>
          </w:p>
          <w:p w14:paraId="1044A47A" w14:textId="2D207D4D" w:rsidR="003448EB" w:rsidRPr="003448EB" w:rsidRDefault="003448EB" w:rsidP="00864DDD">
            <w:pPr>
              <w:numPr>
                <w:ilvl w:val="0"/>
                <w:numId w:val="6"/>
              </w:numPr>
              <w:spacing w:after="0"/>
              <w:cnfStyle w:val="000000100000" w:firstRow="0" w:lastRow="0" w:firstColumn="0" w:lastColumn="0" w:oddVBand="0" w:evenVBand="0" w:oddHBand="1" w:evenHBand="0" w:firstRowFirstColumn="0" w:firstRowLastColumn="0" w:lastRowFirstColumn="0" w:lastRowLastColumn="0"/>
              <w:rPr>
                <w:sz w:val="20"/>
                <w:szCs w:val="20"/>
              </w:rPr>
            </w:pPr>
            <w:r w:rsidRPr="003448EB">
              <w:rPr>
                <w:b/>
                <w:bCs/>
                <w:sz w:val="20"/>
                <w:szCs w:val="20"/>
              </w:rPr>
              <w:t>Roads and aviation (SIRAP)</w:t>
            </w:r>
            <w:r w:rsidRPr="003448EB">
              <w:rPr>
                <w:sz w:val="20"/>
                <w:szCs w:val="20"/>
              </w:rPr>
              <w:t>. WBG has committed USD140 million (A</w:t>
            </w:r>
            <w:r w:rsidR="007208A7">
              <w:rPr>
                <w:sz w:val="20"/>
                <w:szCs w:val="20"/>
              </w:rPr>
              <w:t>UD</w:t>
            </w:r>
            <w:r w:rsidRPr="003448EB">
              <w:rPr>
                <w:sz w:val="20"/>
                <w:szCs w:val="20"/>
              </w:rPr>
              <w:t>210 million) for transport sector investments in SI, including an initial USD51 million (A</w:t>
            </w:r>
            <w:r w:rsidR="007208A7">
              <w:rPr>
                <w:sz w:val="20"/>
                <w:szCs w:val="20"/>
              </w:rPr>
              <w:t>UD</w:t>
            </w:r>
            <w:r w:rsidRPr="003448EB">
              <w:rPr>
                <w:sz w:val="20"/>
                <w:szCs w:val="20"/>
              </w:rPr>
              <w:t>77 million) in 2019 and a further USD89 million (A</w:t>
            </w:r>
            <w:r w:rsidR="007208A7">
              <w:rPr>
                <w:sz w:val="20"/>
                <w:szCs w:val="20"/>
              </w:rPr>
              <w:t>UD</w:t>
            </w:r>
            <w:r w:rsidRPr="003448EB">
              <w:rPr>
                <w:sz w:val="20"/>
                <w:szCs w:val="20"/>
              </w:rPr>
              <w:t>133 million) in 2023. The project has financed resealing and upgrades to Henderson international airport in Honiara, upgrades to Lata and Munda airports, road resealing in Noro town, and bridge upgrading in Malaita.</w:t>
            </w:r>
          </w:p>
          <w:p w14:paraId="34668FA6" w14:textId="5273CF95" w:rsidR="003448EB" w:rsidRPr="003448EB" w:rsidRDefault="003448EB" w:rsidP="00864DDD">
            <w:pPr>
              <w:numPr>
                <w:ilvl w:val="0"/>
                <w:numId w:val="6"/>
              </w:numPr>
              <w:spacing w:after="0"/>
              <w:cnfStyle w:val="000000100000" w:firstRow="0" w:lastRow="0" w:firstColumn="0" w:lastColumn="0" w:oddVBand="0" w:evenVBand="0" w:oddHBand="1" w:evenHBand="0" w:firstRowFirstColumn="0" w:firstRowLastColumn="0" w:lastRowFirstColumn="0" w:lastRowLastColumn="0"/>
              <w:rPr>
                <w:sz w:val="20"/>
                <w:szCs w:val="20"/>
              </w:rPr>
            </w:pPr>
            <w:r w:rsidRPr="003448EB">
              <w:rPr>
                <w:b/>
                <w:bCs/>
                <w:sz w:val="20"/>
                <w:szCs w:val="20"/>
              </w:rPr>
              <w:t>Urban water and sanitation</w:t>
            </w:r>
            <w:r w:rsidRPr="003448EB">
              <w:rPr>
                <w:sz w:val="20"/>
                <w:szCs w:val="20"/>
              </w:rPr>
              <w:t>. WBG has committed a total of USD30 million in two tranches (2019 and 2023) for this project, coordinated by ADB.</w:t>
            </w:r>
          </w:p>
        </w:tc>
      </w:tr>
      <w:tr w:rsidR="003448EB" w:rsidRPr="003448EB" w14:paraId="489A934B" w14:textId="77777777">
        <w:tc>
          <w:tcPr>
            <w:cnfStyle w:val="001000000000" w:firstRow="0" w:lastRow="0" w:firstColumn="1" w:lastColumn="0" w:oddVBand="0" w:evenVBand="0" w:oddHBand="0" w:evenHBand="0" w:firstRowFirstColumn="0" w:firstRowLastColumn="0" w:lastRowFirstColumn="0" w:lastRowLastColumn="0"/>
            <w:tcW w:w="1838" w:type="dxa"/>
          </w:tcPr>
          <w:p w14:paraId="1B2C3C44" w14:textId="77777777" w:rsidR="003448EB" w:rsidRPr="003448EB" w:rsidRDefault="003448EB" w:rsidP="003448EB">
            <w:pPr>
              <w:spacing w:after="0"/>
              <w:rPr>
                <w:sz w:val="20"/>
                <w:szCs w:val="20"/>
              </w:rPr>
            </w:pPr>
            <w:r w:rsidRPr="003448EB">
              <w:rPr>
                <w:sz w:val="20"/>
                <w:szCs w:val="20"/>
              </w:rPr>
              <w:t>Asian Development Bank (ADB)</w:t>
            </w:r>
          </w:p>
        </w:tc>
        <w:tc>
          <w:tcPr>
            <w:tcW w:w="7172" w:type="dxa"/>
          </w:tcPr>
          <w:p w14:paraId="0B10CA2F" w14:textId="55B1B3A5" w:rsidR="003448EB" w:rsidRPr="003448EB" w:rsidRDefault="003448EB" w:rsidP="003448EB">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3448EB">
              <w:rPr>
                <w:sz w:val="20"/>
                <w:szCs w:val="20"/>
              </w:rPr>
              <w:t>ADB has committed around USD</w:t>
            </w:r>
            <w:r w:rsidR="007208A7">
              <w:rPr>
                <w:sz w:val="20"/>
                <w:szCs w:val="20"/>
              </w:rPr>
              <w:t>2</w:t>
            </w:r>
            <w:r w:rsidRPr="003448EB">
              <w:rPr>
                <w:sz w:val="20"/>
                <w:szCs w:val="20"/>
              </w:rPr>
              <w:t>50 million (approximately A</w:t>
            </w:r>
            <w:r w:rsidR="007208A7">
              <w:rPr>
                <w:sz w:val="20"/>
                <w:szCs w:val="20"/>
              </w:rPr>
              <w:t>UD</w:t>
            </w:r>
            <w:r w:rsidRPr="003448EB">
              <w:rPr>
                <w:sz w:val="20"/>
                <w:szCs w:val="20"/>
              </w:rPr>
              <w:t>375 million) of its own resources to SI since 2018, half of which has been for infrastructure. Similar to the World Bank, this has been half grants and half highly concessional loans. High profile ADB infrastructure investments include:</w:t>
            </w:r>
          </w:p>
          <w:p w14:paraId="1E291982" w14:textId="421BE7D2" w:rsidR="003448EB" w:rsidRPr="003448EB" w:rsidRDefault="003448EB" w:rsidP="00864DDD">
            <w:pPr>
              <w:numPr>
                <w:ilvl w:val="0"/>
                <w:numId w:val="7"/>
              </w:numPr>
              <w:spacing w:after="0"/>
              <w:cnfStyle w:val="000000000000" w:firstRow="0" w:lastRow="0" w:firstColumn="0" w:lastColumn="0" w:oddVBand="0" w:evenVBand="0" w:oddHBand="0" w:evenHBand="0" w:firstRowFirstColumn="0" w:firstRowLastColumn="0" w:lastRowFirstColumn="0" w:lastRowLastColumn="0"/>
              <w:rPr>
                <w:sz w:val="20"/>
                <w:szCs w:val="20"/>
              </w:rPr>
            </w:pPr>
            <w:r w:rsidRPr="003448EB">
              <w:rPr>
                <w:b/>
                <w:bCs/>
                <w:sz w:val="20"/>
                <w:szCs w:val="20"/>
              </w:rPr>
              <w:t>Land and maritime transport</w:t>
            </w:r>
            <w:r w:rsidRPr="003448EB">
              <w:rPr>
                <w:sz w:val="20"/>
                <w:szCs w:val="20"/>
              </w:rPr>
              <w:t>. Following support for rural roads and bridges approved in 2016, ADB approved the first USD44 million (A</w:t>
            </w:r>
            <w:r w:rsidR="007208A7">
              <w:rPr>
                <w:sz w:val="20"/>
                <w:szCs w:val="20"/>
              </w:rPr>
              <w:t>UD</w:t>
            </w:r>
            <w:r w:rsidRPr="003448EB">
              <w:rPr>
                <w:sz w:val="20"/>
                <w:szCs w:val="20"/>
              </w:rPr>
              <w:t>66 million) phase of a planned ling-term USD150 million (A</w:t>
            </w:r>
            <w:r w:rsidR="007208A7">
              <w:rPr>
                <w:sz w:val="20"/>
                <w:szCs w:val="20"/>
              </w:rPr>
              <w:t>UD</w:t>
            </w:r>
            <w:r w:rsidRPr="003448EB">
              <w:rPr>
                <w:sz w:val="20"/>
                <w:szCs w:val="20"/>
              </w:rPr>
              <w:t>225 million) land and maritime transport investment. The first phase of the new investment will focus primarily on the upgrading Honiara port, for which ADB signed a contract in 2022.</w:t>
            </w:r>
          </w:p>
          <w:p w14:paraId="29C45F0E" w14:textId="106C2830" w:rsidR="003448EB" w:rsidRPr="003448EB" w:rsidRDefault="003448EB" w:rsidP="00864DDD">
            <w:pPr>
              <w:numPr>
                <w:ilvl w:val="0"/>
                <w:numId w:val="7"/>
              </w:numPr>
              <w:spacing w:after="0"/>
              <w:cnfStyle w:val="000000000000" w:firstRow="0" w:lastRow="0" w:firstColumn="0" w:lastColumn="0" w:oddVBand="0" w:evenVBand="0" w:oddHBand="0" w:evenHBand="0" w:firstRowFirstColumn="0" w:firstRowLastColumn="0" w:lastRowFirstColumn="0" w:lastRowLastColumn="0"/>
              <w:rPr>
                <w:sz w:val="20"/>
                <w:szCs w:val="20"/>
              </w:rPr>
            </w:pPr>
            <w:r w:rsidRPr="003448EB">
              <w:rPr>
                <w:b/>
                <w:bCs/>
                <w:sz w:val="20"/>
                <w:szCs w:val="20"/>
              </w:rPr>
              <w:t>Urban water and sanitation</w:t>
            </w:r>
            <w:r w:rsidRPr="003448EB">
              <w:rPr>
                <w:sz w:val="20"/>
                <w:szCs w:val="20"/>
              </w:rPr>
              <w:t>. ADB approved a USD37 million investment in 2018 and coordinated additional cofinancing of USD40 million (A</w:t>
            </w:r>
            <w:r w:rsidR="007208A7">
              <w:rPr>
                <w:sz w:val="20"/>
                <w:szCs w:val="20"/>
              </w:rPr>
              <w:t>UD</w:t>
            </w:r>
            <w:r w:rsidRPr="003448EB">
              <w:rPr>
                <w:sz w:val="20"/>
                <w:szCs w:val="20"/>
              </w:rPr>
              <w:t>60 million) from the WBG, European Union and the Global Environment Facility. ADB is planning a new investment of USD15 million (A</w:t>
            </w:r>
            <w:r w:rsidR="007208A7">
              <w:rPr>
                <w:sz w:val="20"/>
                <w:szCs w:val="20"/>
              </w:rPr>
              <w:t>UD</w:t>
            </w:r>
            <w:r w:rsidRPr="003448EB">
              <w:rPr>
                <w:sz w:val="20"/>
                <w:szCs w:val="20"/>
              </w:rPr>
              <w:t>23 million) in 2024 to improve solid waste management.</w:t>
            </w:r>
          </w:p>
          <w:p w14:paraId="6D7F52DB" w14:textId="48FE638E" w:rsidR="003448EB" w:rsidRPr="003448EB" w:rsidRDefault="003448EB" w:rsidP="00864DDD">
            <w:pPr>
              <w:numPr>
                <w:ilvl w:val="0"/>
                <w:numId w:val="7"/>
              </w:numPr>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3448EB">
              <w:rPr>
                <w:b/>
                <w:bCs/>
                <w:sz w:val="20"/>
                <w:szCs w:val="20"/>
              </w:rPr>
              <w:t>Energy</w:t>
            </w:r>
            <w:r w:rsidRPr="003448EB">
              <w:rPr>
                <w:sz w:val="20"/>
                <w:szCs w:val="20"/>
              </w:rPr>
              <w:t>. ADB in 2019 committed USD30 million (A</w:t>
            </w:r>
            <w:r w:rsidR="007208A7">
              <w:rPr>
                <w:sz w:val="20"/>
                <w:szCs w:val="20"/>
              </w:rPr>
              <w:t>UD</w:t>
            </w:r>
            <w:r w:rsidRPr="003448EB">
              <w:rPr>
                <w:sz w:val="20"/>
                <w:szCs w:val="20"/>
              </w:rPr>
              <w:t>45 million) to cofinance the Tina River hydropower project, building on a previously approved USD9 million (A</w:t>
            </w:r>
            <w:r w:rsidR="007208A7">
              <w:rPr>
                <w:sz w:val="20"/>
                <w:szCs w:val="20"/>
              </w:rPr>
              <w:t>UD</w:t>
            </w:r>
            <w:r w:rsidRPr="003448EB">
              <w:rPr>
                <w:sz w:val="20"/>
                <w:szCs w:val="20"/>
              </w:rPr>
              <w:t>14 million) loan and grant to upgrade solar generation. ADB is planning further renewable energy investments of USD15 million (A</w:t>
            </w:r>
            <w:r w:rsidR="007208A7">
              <w:rPr>
                <w:sz w:val="20"/>
                <w:szCs w:val="20"/>
              </w:rPr>
              <w:t>UD</w:t>
            </w:r>
            <w:r w:rsidRPr="003448EB">
              <w:rPr>
                <w:sz w:val="20"/>
                <w:szCs w:val="20"/>
              </w:rPr>
              <w:t>22 million) in 2024.</w:t>
            </w:r>
          </w:p>
        </w:tc>
      </w:tr>
      <w:tr w:rsidR="003448EB" w:rsidRPr="003448EB" w14:paraId="751656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D118846" w14:textId="460E2511" w:rsidR="003448EB" w:rsidRPr="003448EB" w:rsidRDefault="003448EB" w:rsidP="003448EB">
            <w:pPr>
              <w:spacing w:after="0"/>
              <w:rPr>
                <w:sz w:val="20"/>
                <w:szCs w:val="20"/>
              </w:rPr>
            </w:pPr>
            <w:r w:rsidRPr="003448EB">
              <w:rPr>
                <w:sz w:val="20"/>
                <w:szCs w:val="20"/>
              </w:rPr>
              <w:t xml:space="preserve">Peoples Republic of China </w:t>
            </w:r>
          </w:p>
        </w:tc>
        <w:tc>
          <w:tcPr>
            <w:tcW w:w="7172" w:type="dxa"/>
          </w:tcPr>
          <w:p w14:paraId="54A5D213" w14:textId="27B0E939" w:rsidR="003448EB" w:rsidRPr="003448EB" w:rsidRDefault="00667C22" w:rsidP="003448EB">
            <w:p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China</w:t>
            </w:r>
            <w:r w:rsidR="003448EB" w:rsidRPr="003448EB">
              <w:rPr>
                <w:sz w:val="20"/>
                <w:szCs w:val="20"/>
              </w:rPr>
              <w:t xml:space="preserve"> has committed a reported A</w:t>
            </w:r>
            <w:r w:rsidR="007208A7">
              <w:rPr>
                <w:sz w:val="20"/>
                <w:szCs w:val="20"/>
              </w:rPr>
              <w:t>UD</w:t>
            </w:r>
            <w:r w:rsidR="003448EB" w:rsidRPr="003448EB">
              <w:rPr>
                <w:sz w:val="20"/>
                <w:szCs w:val="20"/>
              </w:rPr>
              <w:t>280 million in infrastructure financing since being recognised by Solomon Islands in late 2019, including:</w:t>
            </w:r>
          </w:p>
          <w:p w14:paraId="78790B6D" w14:textId="72CCC1CE" w:rsidR="003448EB" w:rsidRPr="003448EB" w:rsidRDefault="003448EB" w:rsidP="00864DDD">
            <w:pPr>
              <w:numPr>
                <w:ilvl w:val="0"/>
                <w:numId w:val="8"/>
              </w:numPr>
              <w:spacing w:after="0"/>
              <w:cnfStyle w:val="000000100000" w:firstRow="0" w:lastRow="0" w:firstColumn="0" w:lastColumn="0" w:oddVBand="0" w:evenVBand="0" w:oddHBand="1" w:evenHBand="0" w:firstRowFirstColumn="0" w:firstRowLastColumn="0" w:lastRowFirstColumn="0" w:lastRowLastColumn="0"/>
              <w:rPr>
                <w:sz w:val="20"/>
                <w:szCs w:val="20"/>
              </w:rPr>
            </w:pPr>
            <w:r w:rsidRPr="003448EB">
              <w:rPr>
                <w:sz w:val="20"/>
                <w:szCs w:val="20"/>
              </w:rPr>
              <w:t xml:space="preserve">The </w:t>
            </w:r>
            <w:r w:rsidRPr="003448EB">
              <w:rPr>
                <w:b/>
                <w:bCs/>
                <w:sz w:val="20"/>
                <w:szCs w:val="20"/>
              </w:rPr>
              <w:t>national stadium</w:t>
            </w:r>
            <w:r w:rsidRPr="003448EB">
              <w:rPr>
                <w:sz w:val="20"/>
                <w:szCs w:val="20"/>
              </w:rPr>
              <w:t xml:space="preserve"> and other </w:t>
            </w:r>
            <w:r w:rsidRPr="003448EB">
              <w:rPr>
                <w:b/>
                <w:bCs/>
                <w:sz w:val="20"/>
                <w:szCs w:val="20"/>
              </w:rPr>
              <w:t>Pacific Games</w:t>
            </w:r>
            <w:r w:rsidRPr="003448EB">
              <w:rPr>
                <w:sz w:val="20"/>
                <w:szCs w:val="20"/>
              </w:rPr>
              <w:t xml:space="preserve"> infrastructure in Honiara, for which China is reported to have spent as much as SBD1 billion (A</w:t>
            </w:r>
            <w:r w:rsidR="007208A7">
              <w:rPr>
                <w:sz w:val="20"/>
                <w:szCs w:val="20"/>
              </w:rPr>
              <w:t>UD</w:t>
            </w:r>
            <w:r w:rsidRPr="003448EB">
              <w:rPr>
                <w:sz w:val="20"/>
                <w:szCs w:val="20"/>
              </w:rPr>
              <w:t>180 million).</w:t>
            </w:r>
            <w:r w:rsidRPr="003448EB">
              <w:rPr>
                <w:sz w:val="20"/>
                <w:szCs w:val="20"/>
                <w:vertAlign w:val="superscript"/>
              </w:rPr>
              <w:footnoteReference w:id="14"/>
            </w:r>
            <w:r w:rsidRPr="003448EB">
              <w:rPr>
                <w:sz w:val="20"/>
                <w:szCs w:val="20"/>
              </w:rPr>
              <w:t xml:space="preserve"> Chinese support for the Games has been grant financed, although funds have gone directly to Chinese contractors with almost all labour and materials imported.</w:t>
            </w:r>
          </w:p>
          <w:p w14:paraId="56B83D59" w14:textId="5A12C61C" w:rsidR="003448EB" w:rsidRPr="003448EB" w:rsidRDefault="003448EB" w:rsidP="00864DDD">
            <w:pPr>
              <w:numPr>
                <w:ilvl w:val="0"/>
                <w:numId w:val="8"/>
              </w:numPr>
              <w:spacing w:after="0"/>
              <w:cnfStyle w:val="000000100000" w:firstRow="0" w:lastRow="0" w:firstColumn="0" w:lastColumn="0" w:oddVBand="0" w:evenVBand="0" w:oddHBand="1" w:evenHBand="0" w:firstRowFirstColumn="0" w:firstRowLastColumn="0" w:lastRowFirstColumn="0" w:lastRowLastColumn="0"/>
              <w:rPr>
                <w:sz w:val="20"/>
                <w:szCs w:val="20"/>
              </w:rPr>
            </w:pPr>
            <w:r w:rsidRPr="003448EB">
              <w:rPr>
                <w:b/>
                <w:bCs/>
                <w:sz w:val="20"/>
                <w:szCs w:val="20"/>
              </w:rPr>
              <w:lastRenderedPageBreak/>
              <w:t>ICT</w:t>
            </w:r>
            <w:r w:rsidRPr="003448EB">
              <w:rPr>
                <w:sz w:val="20"/>
                <w:szCs w:val="20"/>
              </w:rPr>
              <w:t>. A loan of up to RMB500 million (approximately A</w:t>
            </w:r>
            <w:r w:rsidR="007208A7">
              <w:rPr>
                <w:sz w:val="20"/>
                <w:szCs w:val="20"/>
              </w:rPr>
              <w:t>UD</w:t>
            </w:r>
            <w:r w:rsidRPr="003448EB">
              <w:rPr>
                <w:sz w:val="20"/>
                <w:szCs w:val="20"/>
              </w:rPr>
              <w:t>100 million) to finance the construction of 161 ICT towers.</w:t>
            </w:r>
            <w:r w:rsidRPr="003448EB">
              <w:rPr>
                <w:sz w:val="20"/>
                <w:szCs w:val="20"/>
                <w:vertAlign w:val="superscript"/>
              </w:rPr>
              <w:footnoteReference w:id="15"/>
            </w:r>
            <w:r w:rsidRPr="003448EB">
              <w:rPr>
                <w:sz w:val="20"/>
                <w:szCs w:val="20"/>
              </w:rPr>
              <w:t xml:space="preserve"> To comply with IMF requirements, PRC reportedly offered Solomon Islands an interest rate of 1% instead of the standard 2% that normally apply to EXIM loans with a 20 year maturity and 5 year grace.</w:t>
            </w:r>
          </w:p>
        </w:tc>
      </w:tr>
      <w:tr w:rsidR="003448EB" w:rsidRPr="003448EB" w14:paraId="5C878007" w14:textId="77777777">
        <w:tc>
          <w:tcPr>
            <w:cnfStyle w:val="001000000000" w:firstRow="0" w:lastRow="0" w:firstColumn="1" w:lastColumn="0" w:oddVBand="0" w:evenVBand="0" w:oddHBand="0" w:evenHBand="0" w:firstRowFirstColumn="0" w:firstRowLastColumn="0" w:lastRowFirstColumn="0" w:lastRowLastColumn="0"/>
            <w:tcW w:w="1838" w:type="dxa"/>
          </w:tcPr>
          <w:p w14:paraId="750BC2CB" w14:textId="77777777" w:rsidR="003448EB" w:rsidRPr="003448EB" w:rsidRDefault="003448EB" w:rsidP="003448EB">
            <w:pPr>
              <w:spacing w:after="0"/>
              <w:rPr>
                <w:sz w:val="20"/>
                <w:szCs w:val="20"/>
              </w:rPr>
            </w:pPr>
            <w:r w:rsidRPr="003448EB">
              <w:rPr>
                <w:sz w:val="20"/>
                <w:szCs w:val="20"/>
              </w:rPr>
              <w:lastRenderedPageBreak/>
              <w:t>New Zealand (NZ)</w:t>
            </w:r>
          </w:p>
        </w:tc>
        <w:tc>
          <w:tcPr>
            <w:tcW w:w="7172" w:type="dxa"/>
          </w:tcPr>
          <w:p w14:paraId="5F3CD011" w14:textId="48F006B3" w:rsidR="003448EB" w:rsidRPr="003448EB" w:rsidRDefault="003448EB" w:rsidP="003448EB">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3448EB">
              <w:rPr>
                <w:sz w:val="20"/>
                <w:szCs w:val="20"/>
              </w:rPr>
              <w:t>NZ has been a major long-term partner for Solomon Islands. NZ’s latest development plan for Solomon Islands envisages assistance totalling NZD150 million (A</w:t>
            </w:r>
            <w:r w:rsidR="007208A7">
              <w:rPr>
                <w:sz w:val="20"/>
                <w:szCs w:val="20"/>
              </w:rPr>
              <w:t>UD</w:t>
            </w:r>
            <w:r w:rsidRPr="003448EB">
              <w:rPr>
                <w:sz w:val="20"/>
                <w:szCs w:val="20"/>
              </w:rPr>
              <w:t xml:space="preserve">140 million) over the 4 years from 2021 to 2024. NZ has historically been </w:t>
            </w:r>
            <w:r w:rsidR="00581011">
              <w:rPr>
                <w:sz w:val="20"/>
                <w:szCs w:val="20"/>
              </w:rPr>
              <w:t>involved</w:t>
            </w:r>
            <w:r w:rsidRPr="003448EB">
              <w:rPr>
                <w:sz w:val="20"/>
                <w:szCs w:val="20"/>
              </w:rPr>
              <w:t xml:space="preserve"> in the education sector as well as providing significant assistance, including budget support, to help strengthen overall economic management. Infrastructure support includes:</w:t>
            </w:r>
          </w:p>
          <w:p w14:paraId="3B0712CA" w14:textId="48E24877" w:rsidR="003448EB" w:rsidRPr="003448EB" w:rsidRDefault="003448EB" w:rsidP="00864DDD">
            <w:pPr>
              <w:numPr>
                <w:ilvl w:val="0"/>
                <w:numId w:val="9"/>
              </w:numPr>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3448EB">
              <w:rPr>
                <w:b/>
                <w:bCs/>
                <w:sz w:val="20"/>
                <w:szCs w:val="20"/>
              </w:rPr>
              <w:t>Provincial airports</w:t>
            </w:r>
            <w:r w:rsidRPr="003448EB">
              <w:rPr>
                <w:sz w:val="20"/>
                <w:szCs w:val="20"/>
              </w:rPr>
              <w:t>. Since 2010, NZ has provided approximately NZD40 million (A</w:t>
            </w:r>
            <w:r w:rsidR="007208A7">
              <w:rPr>
                <w:sz w:val="20"/>
                <w:szCs w:val="20"/>
              </w:rPr>
              <w:t>UD</w:t>
            </w:r>
            <w:r w:rsidRPr="003448EB">
              <w:rPr>
                <w:sz w:val="20"/>
                <w:szCs w:val="20"/>
              </w:rPr>
              <w:t>38 million) to assist with upgrades to provincial airports, including Munda, Seghe, and Taro. Along with NZ, these investments have been cofinanced by the WBG and Australia, including A</w:t>
            </w:r>
            <w:r w:rsidR="007208A7">
              <w:rPr>
                <w:sz w:val="20"/>
                <w:szCs w:val="20"/>
              </w:rPr>
              <w:t>UD</w:t>
            </w:r>
            <w:r w:rsidRPr="003448EB">
              <w:rPr>
                <w:sz w:val="20"/>
                <w:szCs w:val="20"/>
              </w:rPr>
              <w:t>23 million for Seghe and Taro through SIIP.</w:t>
            </w:r>
          </w:p>
          <w:p w14:paraId="19689777" w14:textId="3B3DD672" w:rsidR="003448EB" w:rsidRPr="003448EB" w:rsidRDefault="003448EB" w:rsidP="00864DDD">
            <w:pPr>
              <w:numPr>
                <w:ilvl w:val="0"/>
                <w:numId w:val="9"/>
              </w:numPr>
              <w:spacing w:after="0"/>
              <w:contextualSpacing/>
              <w:cnfStyle w:val="000000000000" w:firstRow="0" w:lastRow="0" w:firstColumn="0" w:lastColumn="0" w:oddVBand="0" w:evenVBand="0" w:oddHBand="0" w:evenHBand="0" w:firstRowFirstColumn="0" w:firstRowLastColumn="0" w:lastRowFirstColumn="0" w:lastRowLastColumn="0"/>
              <w:rPr>
                <w:sz w:val="20"/>
                <w:szCs w:val="20"/>
              </w:rPr>
            </w:pPr>
            <w:r w:rsidRPr="003448EB">
              <w:rPr>
                <w:b/>
                <w:bCs/>
                <w:sz w:val="20"/>
                <w:szCs w:val="20"/>
              </w:rPr>
              <w:t>Ports sector project preparation</w:t>
            </w:r>
            <w:r w:rsidRPr="003448EB">
              <w:rPr>
                <w:sz w:val="20"/>
                <w:szCs w:val="20"/>
              </w:rPr>
              <w:t xml:space="preserve">. NZ is leading efforts to plan and design </w:t>
            </w:r>
            <w:r w:rsidR="00581011">
              <w:rPr>
                <w:sz w:val="20"/>
                <w:szCs w:val="20"/>
              </w:rPr>
              <w:t xml:space="preserve">a </w:t>
            </w:r>
            <w:r w:rsidRPr="003448EB">
              <w:rPr>
                <w:sz w:val="20"/>
                <w:szCs w:val="20"/>
              </w:rPr>
              <w:t>significant sovereign infrastructure investment likely to be required at Bina Harbour in Malaita to encourage proposed private sector investment in a fisheries process plant, for which the WBG private sector arm, IFC, is advising government. Along with Tina River hydropower, this is likely to be one of the largest infrastructure investments in Solomons and will require support from a wide range of partners to proceed.</w:t>
            </w:r>
          </w:p>
        </w:tc>
      </w:tr>
      <w:tr w:rsidR="003448EB" w:rsidRPr="003448EB" w14:paraId="14F0FA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547778A" w14:textId="77777777" w:rsidR="003448EB" w:rsidRPr="003448EB" w:rsidRDefault="003448EB" w:rsidP="003448EB">
            <w:pPr>
              <w:spacing w:after="0"/>
              <w:rPr>
                <w:sz w:val="20"/>
                <w:szCs w:val="20"/>
              </w:rPr>
            </w:pPr>
            <w:r w:rsidRPr="003448EB">
              <w:rPr>
                <w:sz w:val="20"/>
                <w:szCs w:val="20"/>
              </w:rPr>
              <w:t>Japan</w:t>
            </w:r>
          </w:p>
        </w:tc>
        <w:tc>
          <w:tcPr>
            <w:tcW w:w="7172" w:type="dxa"/>
          </w:tcPr>
          <w:p w14:paraId="31C1D1A9" w14:textId="494A8DC2" w:rsidR="003448EB" w:rsidRPr="003448EB" w:rsidRDefault="003448EB" w:rsidP="003448EB">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3448EB">
              <w:rPr>
                <w:b/>
                <w:bCs/>
                <w:sz w:val="20"/>
                <w:szCs w:val="20"/>
              </w:rPr>
              <w:t>Japan</w:t>
            </w:r>
            <w:r w:rsidRPr="003448EB">
              <w:rPr>
                <w:sz w:val="20"/>
                <w:szCs w:val="20"/>
              </w:rPr>
              <w:t xml:space="preserve"> has provided significant infrastructure support to Solomon Islands.  Japanese financing has been provided on grant terms, except for a JPY2.5 billion (A</w:t>
            </w:r>
            <w:r w:rsidR="007208A7">
              <w:rPr>
                <w:sz w:val="20"/>
                <w:szCs w:val="20"/>
              </w:rPr>
              <w:t>UD</w:t>
            </w:r>
            <w:r w:rsidRPr="003448EB">
              <w:rPr>
                <w:sz w:val="20"/>
                <w:szCs w:val="20"/>
              </w:rPr>
              <w:t>25 million) concessional loan in 2021 to assist the country’s response to COVID. Japanese investments have focused on infrastructure and, since 2018, have included:</w:t>
            </w:r>
          </w:p>
          <w:p w14:paraId="739502C7" w14:textId="7266AD7E" w:rsidR="003448EB" w:rsidRPr="003448EB" w:rsidRDefault="003448EB" w:rsidP="00864DDD">
            <w:pPr>
              <w:numPr>
                <w:ilvl w:val="0"/>
                <w:numId w:val="11"/>
              </w:numPr>
              <w:spacing w:after="0"/>
              <w:ind w:left="360"/>
              <w:cnfStyle w:val="000000100000" w:firstRow="0" w:lastRow="0" w:firstColumn="0" w:lastColumn="0" w:oddVBand="0" w:evenVBand="0" w:oddHBand="1" w:evenHBand="0" w:firstRowFirstColumn="0" w:firstRowLastColumn="0" w:lastRowFirstColumn="0" w:lastRowLastColumn="0"/>
              <w:rPr>
                <w:sz w:val="20"/>
                <w:szCs w:val="20"/>
              </w:rPr>
            </w:pPr>
            <w:r w:rsidRPr="003448EB">
              <w:rPr>
                <w:b/>
                <w:bCs/>
                <w:sz w:val="20"/>
                <w:szCs w:val="20"/>
              </w:rPr>
              <w:t>Henderson airport</w:t>
            </w:r>
            <w:r w:rsidRPr="003448EB">
              <w:rPr>
                <w:sz w:val="20"/>
                <w:szCs w:val="20"/>
              </w:rPr>
              <w:t>.  Japan in 2018 committed SBD340 million (A</w:t>
            </w:r>
            <w:r w:rsidR="007208A7">
              <w:rPr>
                <w:sz w:val="20"/>
                <w:szCs w:val="20"/>
              </w:rPr>
              <w:t>UD</w:t>
            </w:r>
            <w:r w:rsidRPr="003448EB">
              <w:rPr>
                <w:sz w:val="20"/>
                <w:szCs w:val="20"/>
              </w:rPr>
              <w:t xml:space="preserve">60 million) to upgrades at Henderson international airport, including refurbishing the international terminal, a new domestic terminal, and upgrades to the taxiway and apron.   </w:t>
            </w:r>
          </w:p>
          <w:p w14:paraId="369889F3" w14:textId="031A9C61" w:rsidR="003448EB" w:rsidRPr="003448EB" w:rsidRDefault="003448EB" w:rsidP="00864DDD">
            <w:pPr>
              <w:numPr>
                <w:ilvl w:val="0"/>
                <w:numId w:val="10"/>
              </w:numPr>
              <w:spacing w:after="0"/>
              <w:ind w:left="360"/>
              <w:cnfStyle w:val="000000100000" w:firstRow="0" w:lastRow="0" w:firstColumn="0" w:lastColumn="0" w:oddVBand="0" w:evenVBand="0" w:oddHBand="1" w:evenHBand="0" w:firstRowFirstColumn="0" w:firstRowLastColumn="0" w:lastRowFirstColumn="0" w:lastRowLastColumn="0"/>
              <w:rPr>
                <w:sz w:val="20"/>
                <w:szCs w:val="20"/>
              </w:rPr>
            </w:pPr>
            <w:r w:rsidRPr="003448EB">
              <w:rPr>
                <w:b/>
                <w:bCs/>
                <w:sz w:val="20"/>
                <w:szCs w:val="20"/>
              </w:rPr>
              <w:t>Kukum highway</w:t>
            </w:r>
            <w:r w:rsidRPr="003448EB">
              <w:rPr>
                <w:sz w:val="20"/>
                <w:szCs w:val="20"/>
              </w:rPr>
              <w:t>.  Japan in 2021 committed SBD244 million (A</w:t>
            </w:r>
            <w:r w:rsidR="007208A7">
              <w:rPr>
                <w:sz w:val="20"/>
                <w:szCs w:val="20"/>
              </w:rPr>
              <w:t>UD</w:t>
            </w:r>
            <w:r w:rsidRPr="003448EB">
              <w:rPr>
                <w:sz w:val="20"/>
                <w:szCs w:val="20"/>
              </w:rPr>
              <w:t>44 million) to upgrade the 7km Kukum highway between Henderson international airport and Honiara.  The project was completed in 2023.</w:t>
            </w:r>
          </w:p>
        </w:tc>
      </w:tr>
      <w:tr w:rsidR="003448EB" w:rsidRPr="003448EB" w14:paraId="6CB5D11C" w14:textId="77777777">
        <w:tc>
          <w:tcPr>
            <w:cnfStyle w:val="001000000000" w:firstRow="0" w:lastRow="0" w:firstColumn="1" w:lastColumn="0" w:oddVBand="0" w:evenVBand="0" w:oddHBand="0" w:evenHBand="0" w:firstRowFirstColumn="0" w:firstRowLastColumn="0" w:lastRowFirstColumn="0" w:lastRowLastColumn="0"/>
            <w:tcW w:w="1838" w:type="dxa"/>
          </w:tcPr>
          <w:p w14:paraId="7BBE6F2C" w14:textId="2F32BD64" w:rsidR="003448EB" w:rsidRPr="003448EB" w:rsidRDefault="004D5D09" w:rsidP="003448EB">
            <w:pPr>
              <w:spacing w:after="0"/>
              <w:rPr>
                <w:sz w:val="20"/>
                <w:szCs w:val="20"/>
              </w:rPr>
            </w:pPr>
            <w:r>
              <w:rPr>
                <w:sz w:val="20"/>
                <w:szCs w:val="20"/>
              </w:rPr>
              <w:t>EU</w:t>
            </w:r>
          </w:p>
        </w:tc>
        <w:tc>
          <w:tcPr>
            <w:tcW w:w="7172" w:type="dxa"/>
          </w:tcPr>
          <w:p w14:paraId="53BBF514" w14:textId="295BE271" w:rsidR="003448EB" w:rsidRPr="003448EB" w:rsidRDefault="003448EB" w:rsidP="003448EB">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3448EB">
              <w:rPr>
                <w:sz w:val="20"/>
                <w:szCs w:val="20"/>
              </w:rPr>
              <w:t>The EU has focused primarily on supporting water, sanitation, and hygiene (WASH) improvements in Solomon Islands, including a EUR18 million (A</w:t>
            </w:r>
            <w:r w:rsidR="007208A7">
              <w:rPr>
                <w:sz w:val="20"/>
                <w:szCs w:val="20"/>
              </w:rPr>
              <w:t>UD</w:t>
            </w:r>
            <w:r w:rsidRPr="003448EB">
              <w:rPr>
                <w:sz w:val="20"/>
                <w:szCs w:val="20"/>
              </w:rPr>
              <w:t xml:space="preserve">30 million) grant in 2023 to water and sanitation in urban and peri-urban areas around Honiara.  </w:t>
            </w:r>
          </w:p>
        </w:tc>
      </w:tr>
      <w:tr w:rsidR="003448EB" w:rsidRPr="003448EB" w14:paraId="04A0BD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241F01" w14:textId="48986265" w:rsidR="003448EB" w:rsidRPr="003448EB" w:rsidRDefault="004D5D09" w:rsidP="003448EB">
            <w:pPr>
              <w:spacing w:after="0"/>
              <w:rPr>
                <w:sz w:val="20"/>
                <w:szCs w:val="20"/>
              </w:rPr>
            </w:pPr>
            <w:r>
              <w:rPr>
                <w:sz w:val="20"/>
                <w:szCs w:val="20"/>
              </w:rPr>
              <w:t>US</w:t>
            </w:r>
          </w:p>
        </w:tc>
        <w:tc>
          <w:tcPr>
            <w:tcW w:w="7172" w:type="dxa"/>
          </w:tcPr>
          <w:p w14:paraId="02C61859" w14:textId="77777777" w:rsidR="003448EB" w:rsidRPr="003448EB" w:rsidRDefault="003448EB" w:rsidP="003448EB">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3448EB">
              <w:rPr>
                <w:sz w:val="20"/>
                <w:szCs w:val="20"/>
              </w:rPr>
              <w:t>USA has not traditionally been a major financier for Solomon Islands.  In January 2022, however, Solomon Islands signed a threshold agreement with the US Millennium Challenge Corporation (MCC).  This is intended to support Solomon Islands to access potentially significant financing to help meet infrastructure investment needs, although larger MCC project funding is not assured and unlikely even in a best case until 2027.</w:t>
            </w:r>
          </w:p>
        </w:tc>
      </w:tr>
    </w:tbl>
    <w:p w14:paraId="6F451285" w14:textId="77777777" w:rsidR="003448EB" w:rsidRPr="00B66B6B" w:rsidRDefault="003448EB" w:rsidP="00370438"/>
    <w:sectPr w:rsidR="003448EB" w:rsidRPr="00B66B6B" w:rsidSect="002F081F">
      <w:headerReference w:type="default" r:id="rId21"/>
      <w:footerReference w:type="default" r:id="rId22"/>
      <w:pgSz w:w="11900" w:h="16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38CC" w14:textId="77777777" w:rsidR="002C5AAB" w:rsidRDefault="002C5AAB" w:rsidP="00370438">
      <w:r>
        <w:separator/>
      </w:r>
    </w:p>
  </w:endnote>
  <w:endnote w:type="continuationSeparator" w:id="0">
    <w:p w14:paraId="07BD0564" w14:textId="77777777" w:rsidR="002C5AAB" w:rsidRDefault="002C5AAB" w:rsidP="00370438">
      <w:r>
        <w:continuationSeparator/>
      </w:r>
    </w:p>
  </w:endnote>
  <w:endnote w:type="continuationNotice" w:id="1">
    <w:p w14:paraId="6AA1B844" w14:textId="77777777" w:rsidR="002C5AAB" w:rsidRDefault="002C5AAB" w:rsidP="00370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E00002AF" w:usb1="5000205B" w:usb2="00000000" w:usb3="00000000" w:csb0="0000009F" w:csb1="00000000"/>
  </w:font>
  <w:font w:name="Roboto Light">
    <w:altName w:val="Roboto Light"/>
    <w:charset w:val="00"/>
    <w:family w:val="auto"/>
    <w:pitch w:val="variable"/>
    <w:sig w:usb0="E0000AFF" w:usb1="5000217F" w:usb2="00000021" w:usb3="00000000" w:csb0="0000019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39C1" w14:textId="5B8A74F3" w:rsidR="00A11201" w:rsidRDefault="00A11201" w:rsidP="0037043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F0E5E">
      <w:rPr>
        <w:rStyle w:val="PageNumber"/>
        <w:noProof/>
      </w:rPr>
      <w:t>2</w:t>
    </w:r>
    <w:r>
      <w:rPr>
        <w:rStyle w:val="PageNumber"/>
      </w:rPr>
      <w:fldChar w:fldCharType="end"/>
    </w:r>
  </w:p>
  <w:p w14:paraId="58A4F112" w14:textId="6F3FDA61" w:rsidR="00A11201" w:rsidRDefault="00A11201" w:rsidP="0037043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F0E5E">
      <w:rPr>
        <w:rStyle w:val="PageNumber"/>
        <w:noProof/>
      </w:rPr>
      <w:t>2</w:t>
    </w:r>
    <w:r>
      <w:rPr>
        <w:rStyle w:val="PageNumber"/>
      </w:rPr>
      <w:fldChar w:fldCharType="end"/>
    </w:r>
  </w:p>
  <w:p w14:paraId="7DC200A0" w14:textId="77777777" w:rsidR="00A11201" w:rsidRDefault="00A11201" w:rsidP="003704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351659"/>
      <w:docPartObj>
        <w:docPartGallery w:val="Page Numbers (Bottom of Page)"/>
        <w:docPartUnique/>
      </w:docPartObj>
    </w:sdtPr>
    <w:sdtEndPr>
      <w:rPr>
        <w:rStyle w:val="PageNumber"/>
        <w:color w:val="auto"/>
      </w:rPr>
    </w:sdtEndPr>
    <w:sdtContent>
      <w:p w14:paraId="262EF6C6" w14:textId="0BF399BC" w:rsidR="00A11201" w:rsidRPr="008732AF" w:rsidRDefault="00A11201" w:rsidP="00370438">
        <w:pPr>
          <w:pStyle w:val="Subheading"/>
          <w:rPr>
            <w:rStyle w:val="PageNumber"/>
            <w:color w:val="auto"/>
          </w:rPr>
        </w:pPr>
        <w:r w:rsidRPr="008732AF">
          <w:rPr>
            <w:rStyle w:val="PageNumber"/>
            <w:color w:val="auto"/>
          </w:rPr>
          <w:fldChar w:fldCharType="begin"/>
        </w:r>
        <w:r w:rsidRPr="008732AF">
          <w:rPr>
            <w:rStyle w:val="PageNumber"/>
            <w:color w:val="auto"/>
          </w:rPr>
          <w:instrText xml:space="preserve"> PAGE </w:instrText>
        </w:r>
        <w:r w:rsidRPr="008732AF">
          <w:rPr>
            <w:rStyle w:val="PageNumber"/>
            <w:color w:val="auto"/>
          </w:rPr>
          <w:fldChar w:fldCharType="separate"/>
        </w:r>
        <w:r w:rsidRPr="008732AF">
          <w:rPr>
            <w:rStyle w:val="PageNumber"/>
            <w:noProof/>
            <w:color w:val="auto"/>
          </w:rPr>
          <w:t>2</w:t>
        </w:r>
        <w:r w:rsidRPr="008732AF">
          <w:rPr>
            <w:rStyle w:val="PageNumber"/>
            <w:color w:val="auto"/>
          </w:rPr>
          <w:fldChar w:fldCharType="end"/>
        </w:r>
      </w:p>
    </w:sdtContent>
  </w:sdt>
  <w:p w14:paraId="6160B321" w14:textId="0DAF38C7" w:rsidR="008732AF" w:rsidRPr="00192492" w:rsidRDefault="00480747" w:rsidP="00370438">
    <w:pPr>
      <w:rPr>
        <w:rStyle w:val="Heading"/>
        <w:rFonts w:cstheme="majorHAnsi"/>
        <w:sz w:val="24"/>
        <w:szCs w:val="24"/>
      </w:rPr>
    </w:pPr>
    <w:r>
      <w:rPr>
        <w:rStyle w:val="Heading"/>
        <w:rFonts w:cstheme="majorHAnsi"/>
        <w:sz w:val="24"/>
        <w:szCs w:val="24"/>
      </w:rPr>
      <w:t>Mid Term Review of SARIC – Draft Report</w:t>
    </w:r>
  </w:p>
  <w:p w14:paraId="49CCA923" w14:textId="24F8EA7E" w:rsidR="008732AF" w:rsidRPr="008732AF" w:rsidRDefault="008732AF" w:rsidP="00370438">
    <w:pPr>
      <w:rPr>
        <w:rFonts w:eastAsia="Times New Roman" w:cs="Times New Roman"/>
      </w:rPr>
    </w:pPr>
    <w:r w:rsidRPr="008732AF">
      <w:t>FORWARD THINKING PROJECTS. THRIVING COMMUNITIES.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59BA" w14:textId="7B0D7F83" w:rsidR="00001E7D" w:rsidRPr="00001E7D" w:rsidRDefault="00001E7D" w:rsidP="00370438">
    <w:pPr>
      <w:pStyle w:val="Footer"/>
    </w:pPr>
  </w:p>
  <w:p w14:paraId="26EEB1B6" w14:textId="18D770D1" w:rsidR="00001E7D" w:rsidRPr="00E379D3" w:rsidRDefault="00B067FC" w:rsidP="005E1233">
    <w:pPr>
      <w:jc w:val="center"/>
      <w:rPr>
        <w:rStyle w:val="Heading"/>
        <w:rFonts w:cstheme="majorHAnsi"/>
        <w:sz w:val="24"/>
        <w:szCs w:val="24"/>
      </w:rPr>
    </w:pPr>
    <w:r>
      <w:rPr>
        <w:rStyle w:val="Heading"/>
        <w:rFonts w:cstheme="majorHAnsi"/>
        <w:sz w:val="24"/>
        <w:szCs w:val="24"/>
      </w:rPr>
      <w:t xml:space="preserve">Mid Term Review of </w:t>
    </w:r>
    <w:r w:rsidR="002A067D">
      <w:rPr>
        <w:rStyle w:val="Heading"/>
        <w:rFonts w:cstheme="majorHAnsi"/>
        <w:sz w:val="24"/>
        <w:szCs w:val="24"/>
      </w:rPr>
      <w:t xml:space="preserve">Solomon Islands Infrastructure Program </w:t>
    </w:r>
  </w:p>
  <w:p w14:paraId="2E24489E" w14:textId="46DD460E" w:rsidR="00001E7D" w:rsidRPr="005E1233" w:rsidRDefault="005E1233" w:rsidP="005E1233">
    <w:pPr>
      <w:jc w:val="center"/>
      <w:rPr>
        <w:rFonts w:ascii="Oswald" w:eastAsia="Times New Roman" w:hAnsi="Oswald" w:cs="Times New Roman"/>
        <w:b/>
        <w:bCs/>
        <w:sz w:val="15"/>
        <w:szCs w:val="15"/>
      </w:rPr>
    </w:pPr>
    <w:r w:rsidRPr="002B68BA">
      <w:rPr>
        <w:rFonts w:ascii="Oswald" w:hAnsi="Oswald"/>
        <w:b/>
        <w:bCs/>
        <w:sz w:val="15"/>
        <w:szCs w:val="15"/>
      </w:rPr>
      <w:t>F</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W</w:t>
    </w:r>
    <w:r>
      <w:rPr>
        <w:rFonts w:ascii="Oswald" w:hAnsi="Oswald"/>
        <w:b/>
        <w:bCs/>
        <w:sz w:val="15"/>
        <w:szCs w:val="15"/>
      </w:rPr>
      <w:t xml:space="preserve"> </w:t>
    </w:r>
    <w:r w:rsidRPr="002B68BA">
      <w:rPr>
        <w:rFonts w:ascii="Oswald" w:hAnsi="Oswald"/>
        <w:b/>
        <w:bCs/>
        <w:sz w:val="15"/>
        <w:szCs w:val="15"/>
      </w:rPr>
      <w:t>A</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D</w:t>
    </w:r>
    <w:r w:rsidR="0007653E">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K</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sidR="0007653E">
      <w:rPr>
        <w:rFonts w:ascii="Oswald" w:hAnsi="Oswald"/>
        <w:b/>
        <w:bCs/>
        <w:sz w:val="15"/>
        <w:szCs w:val="15"/>
      </w:rPr>
      <w:t xml:space="preserve"> </w:t>
    </w:r>
    <w:r w:rsidRPr="002B68BA">
      <w:rPr>
        <w:rFonts w:ascii="Oswald" w:hAnsi="Oswald"/>
        <w:b/>
        <w:bCs/>
        <w:sz w:val="15"/>
        <w:szCs w:val="15"/>
      </w:rPr>
      <w:t>P</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J</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sidR="0007653E">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V</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sidR="0007653E">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proofErr w:type="spellStart"/>
    <w:r w:rsidRPr="002B68BA">
      <w:rPr>
        <w:rFonts w:ascii="Oswald" w:hAnsi="Oswald"/>
        <w:b/>
        <w:bCs/>
        <w:sz w:val="15"/>
        <w:szCs w:val="15"/>
      </w:rPr>
      <w:t>M</w:t>
    </w:r>
    <w:proofErr w:type="spellEnd"/>
    <w:r>
      <w:rPr>
        <w:rFonts w:ascii="Oswald" w:hAnsi="Oswald"/>
        <w:b/>
        <w:bCs/>
        <w:sz w:val="15"/>
        <w:szCs w:val="15"/>
      </w:rPr>
      <w:t xml:space="preserve"> </w:t>
    </w:r>
    <w:r w:rsidRPr="002B68BA">
      <w:rPr>
        <w:rFonts w:ascii="Oswald" w:hAnsi="Oswald"/>
        <w:b/>
        <w:bCs/>
        <w:sz w:val="15"/>
        <w:szCs w:val="15"/>
      </w:rPr>
      <w:t>U</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p>
  <w:p w14:paraId="2BBF7296" w14:textId="29109530" w:rsidR="008732AF" w:rsidRPr="0069215C" w:rsidRDefault="008732AF" w:rsidP="0037043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542566"/>
      <w:docPartObj>
        <w:docPartGallery w:val="Page Numbers (Bottom of Page)"/>
        <w:docPartUnique/>
      </w:docPartObj>
    </w:sdtPr>
    <w:sdtEndPr>
      <w:rPr>
        <w:rStyle w:val="PageNumber"/>
        <w:color w:val="auto"/>
      </w:rPr>
    </w:sdtEndPr>
    <w:sdtContent>
      <w:p w14:paraId="676C3051" w14:textId="77777777" w:rsidR="004E5C1A" w:rsidRDefault="004E5C1A" w:rsidP="004E5C1A">
        <w:pPr>
          <w:pStyle w:val="Subheading"/>
          <w:jc w:val="right"/>
          <w:rPr>
            <w:rStyle w:val="PageNumber"/>
          </w:rPr>
        </w:pPr>
        <w:r w:rsidRPr="008732AF">
          <w:rPr>
            <w:rStyle w:val="PageNumber"/>
            <w:color w:val="auto"/>
          </w:rPr>
          <w:fldChar w:fldCharType="begin"/>
        </w:r>
        <w:r w:rsidRPr="008732AF">
          <w:rPr>
            <w:rStyle w:val="PageNumber"/>
            <w:color w:val="auto"/>
          </w:rPr>
          <w:instrText xml:space="preserve"> PAGE </w:instrText>
        </w:r>
        <w:r w:rsidRPr="008732AF">
          <w:rPr>
            <w:rStyle w:val="PageNumber"/>
            <w:color w:val="auto"/>
          </w:rPr>
          <w:fldChar w:fldCharType="separate"/>
        </w:r>
        <w:r>
          <w:rPr>
            <w:rStyle w:val="PageNumber"/>
          </w:rPr>
          <w:t>1</w:t>
        </w:r>
        <w:r w:rsidRPr="008732AF">
          <w:rPr>
            <w:rStyle w:val="PageNumber"/>
            <w:color w:val="auto"/>
          </w:rPr>
          <w:fldChar w:fldCharType="end"/>
        </w:r>
      </w:p>
    </w:sdtContent>
  </w:sdt>
  <w:p w14:paraId="3A9AD682" w14:textId="6213C24D" w:rsidR="00DF0AAE" w:rsidRPr="00192492" w:rsidRDefault="00DF0AAE" w:rsidP="005E1233">
    <w:pPr>
      <w:jc w:val="center"/>
      <w:rPr>
        <w:rStyle w:val="Heading"/>
        <w:rFonts w:cstheme="majorHAnsi"/>
        <w:sz w:val="24"/>
        <w:szCs w:val="24"/>
      </w:rPr>
    </w:pPr>
    <w:r>
      <w:rPr>
        <w:rStyle w:val="Heading"/>
        <w:rFonts w:cstheme="majorHAnsi"/>
        <w:sz w:val="24"/>
        <w:szCs w:val="24"/>
      </w:rPr>
      <w:t xml:space="preserve">Mid Term Review of </w:t>
    </w:r>
    <w:r w:rsidR="00B067FC">
      <w:rPr>
        <w:rStyle w:val="Heading"/>
        <w:rFonts w:cstheme="majorHAnsi"/>
        <w:sz w:val="24"/>
        <w:szCs w:val="24"/>
      </w:rPr>
      <w:t xml:space="preserve">the </w:t>
    </w:r>
    <w:r w:rsidR="0032145C">
      <w:rPr>
        <w:rStyle w:val="Heading"/>
        <w:rFonts w:cstheme="majorHAnsi"/>
        <w:sz w:val="24"/>
        <w:szCs w:val="24"/>
      </w:rPr>
      <w:t>Solomon Islands Infrastructure Program</w:t>
    </w:r>
    <w:r w:rsidR="004C42D7">
      <w:rPr>
        <w:rStyle w:val="Heading"/>
        <w:rFonts w:cstheme="majorHAnsi"/>
        <w:sz w:val="24"/>
        <w:szCs w:val="24"/>
      </w:rPr>
      <w:t xml:space="preserve"> (SIIP)</w:t>
    </w:r>
  </w:p>
  <w:p w14:paraId="612414A3" w14:textId="1A136175" w:rsidR="00DF0AAE" w:rsidRPr="005E1233" w:rsidRDefault="005E1233" w:rsidP="005E1233">
    <w:pPr>
      <w:jc w:val="center"/>
      <w:rPr>
        <w:rFonts w:ascii="Oswald" w:eastAsia="Times New Roman" w:hAnsi="Oswald" w:cs="Times New Roman"/>
        <w:b/>
        <w:bCs/>
        <w:sz w:val="15"/>
        <w:szCs w:val="15"/>
      </w:rPr>
    </w:pPr>
    <w:r w:rsidRPr="002B68BA">
      <w:rPr>
        <w:rFonts w:ascii="Oswald" w:hAnsi="Oswald"/>
        <w:b/>
        <w:bCs/>
        <w:sz w:val="15"/>
        <w:szCs w:val="15"/>
      </w:rPr>
      <w:t>F</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W</w:t>
    </w:r>
    <w:r>
      <w:rPr>
        <w:rFonts w:ascii="Oswald" w:hAnsi="Oswald"/>
        <w:b/>
        <w:bCs/>
        <w:sz w:val="15"/>
        <w:szCs w:val="15"/>
      </w:rPr>
      <w:t xml:space="preserve"> </w:t>
    </w:r>
    <w:r w:rsidRPr="002B68BA">
      <w:rPr>
        <w:rFonts w:ascii="Oswald" w:hAnsi="Oswald"/>
        <w:b/>
        <w:bCs/>
        <w:sz w:val="15"/>
        <w:szCs w:val="15"/>
      </w:rPr>
      <w:t>A</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D</w:t>
    </w:r>
    <w:r w:rsidR="0007653E">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K</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sidR="0007653E">
      <w:rPr>
        <w:rFonts w:ascii="Oswald" w:hAnsi="Oswald"/>
        <w:b/>
        <w:bCs/>
        <w:sz w:val="15"/>
        <w:szCs w:val="15"/>
      </w:rPr>
      <w:t xml:space="preserve"> </w:t>
    </w:r>
    <w:r w:rsidRPr="002B68BA">
      <w:rPr>
        <w:rFonts w:ascii="Oswald" w:hAnsi="Oswald"/>
        <w:b/>
        <w:bCs/>
        <w:sz w:val="15"/>
        <w:szCs w:val="15"/>
      </w:rPr>
      <w:t>P</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J</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sidR="0007653E">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V</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sidR="0007653E">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proofErr w:type="spellStart"/>
    <w:r w:rsidRPr="002B68BA">
      <w:rPr>
        <w:rFonts w:ascii="Oswald" w:hAnsi="Oswald"/>
        <w:b/>
        <w:bCs/>
        <w:sz w:val="15"/>
        <w:szCs w:val="15"/>
      </w:rPr>
      <w:t>M</w:t>
    </w:r>
    <w:proofErr w:type="spellEnd"/>
    <w:r>
      <w:rPr>
        <w:rFonts w:ascii="Oswald" w:hAnsi="Oswald"/>
        <w:b/>
        <w:bCs/>
        <w:sz w:val="15"/>
        <w:szCs w:val="15"/>
      </w:rPr>
      <w:t xml:space="preserve"> </w:t>
    </w:r>
    <w:r w:rsidRPr="002B68BA">
      <w:rPr>
        <w:rFonts w:ascii="Oswald" w:hAnsi="Oswald"/>
        <w:b/>
        <w:bCs/>
        <w:sz w:val="15"/>
        <w:szCs w:val="15"/>
      </w:rPr>
      <w:t>U</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9FBA" w14:textId="1FEBB6D1" w:rsidR="00DF0AAE" w:rsidRPr="008732AF" w:rsidRDefault="00DF0AAE" w:rsidP="00370438">
    <w:pPr>
      <w:pStyle w:val="Subheading"/>
      <w:rPr>
        <w:rStyle w:val="PageNumber"/>
        <w:color w:val="auto"/>
      </w:rPr>
    </w:pPr>
  </w:p>
  <w:p w14:paraId="11D391B1" w14:textId="47ECD4CA" w:rsidR="00DF0AAE" w:rsidRPr="00192492" w:rsidRDefault="009670C2" w:rsidP="004E5C1A">
    <w:pPr>
      <w:jc w:val="center"/>
      <w:rPr>
        <w:rStyle w:val="Heading"/>
        <w:rFonts w:cstheme="majorHAnsi"/>
        <w:sz w:val="24"/>
        <w:szCs w:val="24"/>
      </w:rPr>
    </w:pPr>
    <w:r w:rsidRPr="009670C2">
      <w:rPr>
        <w:rStyle w:val="Heading"/>
        <w:rFonts w:cstheme="majorHAnsi"/>
        <w:sz w:val="24"/>
        <w:szCs w:val="24"/>
      </w:rPr>
      <w:t xml:space="preserve">Mid Term Review of the </w:t>
    </w:r>
    <w:r w:rsidR="0032145C">
      <w:rPr>
        <w:rStyle w:val="Heading"/>
        <w:rFonts w:cstheme="majorHAnsi"/>
        <w:sz w:val="24"/>
        <w:szCs w:val="24"/>
      </w:rPr>
      <w:t>Solomon Islands Infrastructure Program</w:t>
    </w:r>
    <w:r w:rsidR="004C42D7">
      <w:rPr>
        <w:rStyle w:val="Heading"/>
        <w:rFonts w:cstheme="majorHAnsi"/>
        <w:sz w:val="24"/>
        <w:szCs w:val="24"/>
      </w:rPr>
      <w:t xml:space="preserve"> (SIIP)</w:t>
    </w:r>
  </w:p>
  <w:p w14:paraId="7C88F516" w14:textId="28D71F62" w:rsidR="00DF0AAE" w:rsidRPr="004E5C1A" w:rsidRDefault="004E5C1A" w:rsidP="004E5C1A">
    <w:pPr>
      <w:jc w:val="center"/>
      <w:rPr>
        <w:rFonts w:ascii="Oswald" w:eastAsia="Times New Roman" w:hAnsi="Oswald" w:cs="Times New Roman"/>
        <w:b/>
        <w:bCs/>
        <w:sz w:val="15"/>
        <w:szCs w:val="15"/>
      </w:rPr>
    </w:pPr>
    <w:r w:rsidRPr="002B68BA">
      <w:rPr>
        <w:rFonts w:ascii="Oswald" w:hAnsi="Oswald"/>
        <w:b/>
        <w:bCs/>
        <w:sz w:val="15"/>
        <w:szCs w:val="15"/>
      </w:rPr>
      <w:t>F</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W</w:t>
    </w:r>
    <w:r>
      <w:rPr>
        <w:rFonts w:ascii="Oswald" w:hAnsi="Oswald"/>
        <w:b/>
        <w:bCs/>
        <w:sz w:val="15"/>
        <w:szCs w:val="15"/>
      </w:rPr>
      <w:t xml:space="preserve"> </w:t>
    </w:r>
    <w:r w:rsidRPr="002B68BA">
      <w:rPr>
        <w:rFonts w:ascii="Oswald" w:hAnsi="Oswald"/>
        <w:b/>
        <w:bCs/>
        <w:sz w:val="15"/>
        <w:szCs w:val="15"/>
      </w:rPr>
      <w:t>A</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D</w:t>
    </w:r>
    <w:r w:rsidR="0007653E">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K</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sidR="0007653E">
      <w:rPr>
        <w:rFonts w:ascii="Oswald" w:hAnsi="Oswald"/>
        <w:b/>
        <w:bCs/>
        <w:sz w:val="15"/>
        <w:szCs w:val="15"/>
      </w:rPr>
      <w:t xml:space="preserve"> </w:t>
    </w:r>
    <w:r w:rsidRPr="002B68BA">
      <w:rPr>
        <w:rFonts w:ascii="Oswald" w:hAnsi="Oswald"/>
        <w:b/>
        <w:bCs/>
        <w:sz w:val="15"/>
        <w:szCs w:val="15"/>
      </w:rPr>
      <w:t>P</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J</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sidR="0007653E">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V</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sidR="0007653E">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proofErr w:type="spellStart"/>
    <w:r w:rsidRPr="002B68BA">
      <w:rPr>
        <w:rFonts w:ascii="Oswald" w:hAnsi="Oswald"/>
        <w:b/>
        <w:bCs/>
        <w:sz w:val="15"/>
        <w:szCs w:val="15"/>
      </w:rPr>
      <w:t>M</w:t>
    </w:r>
    <w:proofErr w:type="spellEnd"/>
    <w:r>
      <w:rPr>
        <w:rFonts w:ascii="Oswald" w:hAnsi="Oswald"/>
        <w:b/>
        <w:bCs/>
        <w:sz w:val="15"/>
        <w:szCs w:val="15"/>
      </w:rPr>
      <w:t xml:space="preserve"> </w:t>
    </w:r>
    <w:r w:rsidRPr="002B68BA">
      <w:rPr>
        <w:rFonts w:ascii="Oswald" w:hAnsi="Oswald"/>
        <w:b/>
        <w:bCs/>
        <w:sz w:val="15"/>
        <w:szCs w:val="15"/>
      </w:rPr>
      <w:t>U</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29662"/>
      <w:docPartObj>
        <w:docPartGallery w:val="Page Numbers (Bottom of Page)"/>
        <w:docPartUnique/>
      </w:docPartObj>
    </w:sdtPr>
    <w:sdtEndPr>
      <w:rPr>
        <w:rStyle w:val="PageNumber"/>
        <w:color w:val="auto"/>
      </w:rPr>
    </w:sdtEndPr>
    <w:sdtContent>
      <w:p w14:paraId="5D913A8F" w14:textId="77777777" w:rsidR="00DF0AAE" w:rsidRPr="008732AF" w:rsidRDefault="00DF0AAE" w:rsidP="00D72C3B">
        <w:pPr>
          <w:pStyle w:val="Subheading"/>
          <w:jc w:val="right"/>
          <w:rPr>
            <w:rStyle w:val="PageNumber"/>
            <w:color w:val="auto"/>
          </w:rPr>
        </w:pPr>
        <w:r w:rsidRPr="008732AF">
          <w:rPr>
            <w:rStyle w:val="PageNumber"/>
            <w:color w:val="auto"/>
          </w:rPr>
          <w:fldChar w:fldCharType="begin"/>
        </w:r>
        <w:r w:rsidRPr="008732AF">
          <w:rPr>
            <w:rStyle w:val="PageNumber"/>
            <w:color w:val="auto"/>
          </w:rPr>
          <w:instrText xml:space="preserve"> PAGE </w:instrText>
        </w:r>
        <w:r w:rsidRPr="008732AF">
          <w:rPr>
            <w:rStyle w:val="PageNumber"/>
            <w:color w:val="auto"/>
          </w:rPr>
          <w:fldChar w:fldCharType="separate"/>
        </w:r>
        <w:r w:rsidRPr="008732AF">
          <w:rPr>
            <w:rStyle w:val="PageNumber"/>
            <w:noProof/>
            <w:color w:val="auto"/>
          </w:rPr>
          <w:t>2</w:t>
        </w:r>
        <w:r w:rsidRPr="008732AF">
          <w:rPr>
            <w:rStyle w:val="PageNumber"/>
            <w:color w:val="auto"/>
          </w:rPr>
          <w:fldChar w:fldCharType="end"/>
        </w:r>
      </w:p>
    </w:sdtContent>
  </w:sdt>
  <w:p w14:paraId="27805C90" w14:textId="6DA3F9F2" w:rsidR="00DF0AAE" w:rsidRPr="00192492" w:rsidRDefault="009670C2" w:rsidP="00147BF5">
    <w:pPr>
      <w:jc w:val="center"/>
      <w:rPr>
        <w:rStyle w:val="Heading"/>
        <w:rFonts w:cstheme="majorHAnsi"/>
        <w:sz w:val="24"/>
        <w:szCs w:val="24"/>
      </w:rPr>
    </w:pPr>
    <w:r w:rsidRPr="009670C2">
      <w:rPr>
        <w:rStyle w:val="Heading"/>
        <w:rFonts w:cstheme="majorHAnsi"/>
        <w:sz w:val="24"/>
        <w:szCs w:val="24"/>
      </w:rPr>
      <w:t xml:space="preserve">Mid Term Review of the </w:t>
    </w:r>
    <w:r w:rsidR="0032145C">
      <w:rPr>
        <w:rStyle w:val="Heading"/>
        <w:rFonts w:cstheme="majorHAnsi"/>
        <w:sz w:val="24"/>
        <w:szCs w:val="24"/>
      </w:rPr>
      <w:t>Solomon Islands Infrastructure Program</w:t>
    </w:r>
    <w:r w:rsidR="001F5104">
      <w:rPr>
        <w:rStyle w:val="Heading"/>
        <w:rFonts w:cstheme="majorHAnsi"/>
        <w:sz w:val="24"/>
        <w:szCs w:val="24"/>
      </w:rPr>
      <w:t xml:space="preserve"> (SIIP)</w:t>
    </w:r>
  </w:p>
  <w:p w14:paraId="026BC746" w14:textId="186F66E3" w:rsidR="00DF0AAE" w:rsidRPr="002B68BA" w:rsidRDefault="00DF0AAE" w:rsidP="00CF4E97">
    <w:pPr>
      <w:jc w:val="center"/>
      <w:rPr>
        <w:rFonts w:ascii="Oswald" w:eastAsia="Times New Roman" w:hAnsi="Oswald" w:cs="Times New Roman"/>
        <w:b/>
        <w:bCs/>
        <w:sz w:val="15"/>
        <w:szCs w:val="15"/>
      </w:rPr>
    </w:pPr>
    <w:bookmarkStart w:id="68" w:name="_Hlk157764988"/>
    <w:bookmarkStart w:id="69" w:name="_Hlk157764989"/>
    <w:r w:rsidRPr="002B68BA">
      <w:rPr>
        <w:rFonts w:ascii="Oswald" w:hAnsi="Oswald"/>
        <w:b/>
        <w:bCs/>
        <w:sz w:val="15"/>
        <w:szCs w:val="15"/>
      </w:rPr>
      <w:t>F</w:t>
    </w:r>
    <w:r w:rsidR="00CB109A">
      <w:rPr>
        <w:rFonts w:ascii="Oswald" w:hAnsi="Oswald"/>
        <w:b/>
        <w:bCs/>
        <w:sz w:val="15"/>
        <w:szCs w:val="15"/>
      </w:rPr>
      <w:t xml:space="preserve"> </w:t>
    </w:r>
    <w:r w:rsidRPr="002B68BA">
      <w:rPr>
        <w:rFonts w:ascii="Oswald" w:hAnsi="Oswald"/>
        <w:b/>
        <w:bCs/>
        <w:sz w:val="15"/>
        <w:szCs w:val="15"/>
      </w:rPr>
      <w:t>O</w:t>
    </w:r>
    <w:r w:rsidR="00CB109A">
      <w:rPr>
        <w:rFonts w:ascii="Oswald" w:hAnsi="Oswald"/>
        <w:b/>
        <w:bCs/>
        <w:sz w:val="15"/>
        <w:szCs w:val="15"/>
      </w:rPr>
      <w:t xml:space="preserve"> </w:t>
    </w:r>
    <w:r w:rsidRPr="002B68BA">
      <w:rPr>
        <w:rFonts w:ascii="Oswald" w:hAnsi="Oswald"/>
        <w:b/>
        <w:bCs/>
        <w:sz w:val="15"/>
        <w:szCs w:val="15"/>
      </w:rPr>
      <w:t>R</w:t>
    </w:r>
    <w:r w:rsidR="00CB109A">
      <w:rPr>
        <w:rFonts w:ascii="Oswald" w:hAnsi="Oswald"/>
        <w:b/>
        <w:bCs/>
        <w:sz w:val="15"/>
        <w:szCs w:val="15"/>
      </w:rPr>
      <w:t xml:space="preserve"> </w:t>
    </w:r>
    <w:r w:rsidRPr="002B68BA">
      <w:rPr>
        <w:rFonts w:ascii="Oswald" w:hAnsi="Oswald"/>
        <w:b/>
        <w:bCs/>
        <w:sz w:val="15"/>
        <w:szCs w:val="15"/>
      </w:rPr>
      <w:t>W</w:t>
    </w:r>
    <w:r w:rsidR="00CB109A">
      <w:rPr>
        <w:rFonts w:ascii="Oswald" w:hAnsi="Oswald"/>
        <w:b/>
        <w:bCs/>
        <w:sz w:val="15"/>
        <w:szCs w:val="15"/>
      </w:rPr>
      <w:t xml:space="preserve"> </w:t>
    </w:r>
    <w:r w:rsidRPr="002B68BA">
      <w:rPr>
        <w:rFonts w:ascii="Oswald" w:hAnsi="Oswald"/>
        <w:b/>
        <w:bCs/>
        <w:sz w:val="15"/>
        <w:szCs w:val="15"/>
      </w:rPr>
      <w:t>A</w:t>
    </w:r>
    <w:r w:rsidR="00CB109A">
      <w:rPr>
        <w:rFonts w:ascii="Oswald" w:hAnsi="Oswald"/>
        <w:b/>
        <w:bCs/>
        <w:sz w:val="15"/>
        <w:szCs w:val="15"/>
      </w:rPr>
      <w:t xml:space="preserve"> </w:t>
    </w:r>
    <w:r w:rsidRPr="002B68BA">
      <w:rPr>
        <w:rFonts w:ascii="Oswald" w:hAnsi="Oswald"/>
        <w:b/>
        <w:bCs/>
        <w:sz w:val="15"/>
        <w:szCs w:val="15"/>
      </w:rPr>
      <w:t>R</w:t>
    </w:r>
    <w:r w:rsidR="00CB109A">
      <w:rPr>
        <w:rFonts w:ascii="Oswald" w:hAnsi="Oswald"/>
        <w:b/>
        <w:bCs/>
        <w:sz w:val="15"/>
        <w:szCs w:val="15"/>
      </w:rPr>
      <w:t xml:space="preserve"> </w:t>
    </w:r>
    <w:r w:rsidRPr="002B68BA">
      <w:rPr>
        <w:rFonts w:ascii="Oswald" w:hAnsi="Oswald"/>
        <w:b/>
        <w:bCs/>
        <w:sz w:val="15"/>
        <w:szCs w:val="15"/>
      </w:rPr>
      <w:t>D</w:t>
    </w:r>
    <w:r w:rsidR="001F5104">
      <w:rPr>
        <w:rFonts w:ascii="Oswald" w:hAnsi="Oswald"/>
        <w:b/>
        <w:bCs/>
        <w:sz w:val="15"/>
        <w:szCs w:val="15"/>
      </w:rPr>
      <w:t xml:space="preserve"> </w:t>
    </w:r>
    <w:r w:rsidR="0007653E">
      <w:rPr>
        <w:rFonts w:ascii="Oswald" w:hAnsi="Oswald"/>
        <w:b/>
        <w:bCs/>
        <w:sz w:val="15"/>
        <w:szCs w:val="15"/>
      </w:rPr>
      <w:t xml:space="preserve"> </w:t>
    </w:r>
    <w:r w:rsidRPr="002B68BA">
      <w:rPr>
        <w:rFonts w:ascii="Oswald" w:hAnsi="Oswald"/>
        <w:b/>
        <w:bCs/>
        <w:sz w:val="15"/>
        <w:szCs w:val="15"/>
      </w:rPr>
      <w:t>T</w:t>
    </w:r>
    <w:r w:rsidR="00CB109A">
      <w:rPr>
        <w:rFonts w:ascii="Oswald" w:hAnsi="Oswald"/>
        <w:b/>
        <w:bCs/>
        <w:sz w:val="15"/>
        <w:szCs w:val="15"/>
      </w:rPr>
      <w:t xml:space="preserve"> </w:t>
    </w:r>
    <w:r w:rsidRPr="002B68BA">
      <w:rPr>
        <w:rFonts w:ascii="Oswald" w:hAnsi="Oswald"/>
        <w:b/>
        <w:bCs/>
        <w:sz w:val="15"/>
        <w:szCs w:val="15"/>
      </w:rPr>
      <w:t>H</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N</w:t>
    </w:r>
    <w:r w:rsidR="00CB109A">
      <w:rPr>
        <w:rFonts w:ascii="Oswald" w:hAnsi="Oswald"/>
        <w:b/>
        <w:bCs/>
        <w:sz w:val="15"/>
        <w:szCs w:val="15"/>
      </w:rPr>
      <w:t xml:space="preserve"> </w:t>
    </w:r>
    <w:r w:rsidRPr="002B68BA">
      <w:rPr>
        <w:rFonts w:ascii="Oswald" w:hAnsi="Oswald"/>
        <w:b/>
        <w:bCs/>
        <w:sz w:val="15"/>
        <w:szCs w:val="15"/>
      </w:rPr>
      <w:t>K</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N</w:t>
    </w:r>
    <w:r w:rsidR="00CB109A">
      <w:rPr>
        <w:rFonts w:ascii="Oswald" w:hAnsi="Oswald"/>
        <w:b/>
        <w:bCs/>
        <w:sz w:val="15"/>
        <w:szCs w:val="15"/>
      </w:rPr>
      <w:t xml:space="preserve"> </w:t>
    </w:r>
    <w:r w:rsidRPr="002B68BA">
      <w:rPr>
        <w:rFonts w:ascii="Oswald" w:hAnsi="Oswald"/>
        <w:b/>
        <w:bCs/>
        <w:sz w:val="15"/>
        <w:szCs w:val="15"/>
      </w:rPr>
      <w:t>G</w:t>
    </w:r>
    <w:r w:rsidR="0007653E">
      <w:rPr>
        <w:rFonts w:ascii="Oswald" w:hAnsi="Oswald"/>
        <w:b/>
        <w:bCs/>
        <w:sz w:val="15"/>
        <w:szCs w:val="15"/>
      </w:rPr>
      <w:t xml:space="preserve"> </w:t>
    </w:r>
    <w:r w:rsidR="001F5104">
      <w:rPr>
        <w:rFonts w:ascii="Oswald" w:hAnsi="Oswald"/>
        <w:b/>
        <w:bCs/>
        <w:sz w:val="15"/>
        <w:szCs w:val="15"/>
      </w:rPr>
      <w:t xml:space="preserve"> </w:t>
    </w:r>
    <w:r w:rsidRPr="002B68BA">
      <w:rPr>
        <w:rFonts w:ascii="Oswald" w:hAnsi="Oswald"/>
        <w:b/>
        <w:bCs/>
        <w:sz w:val="15"/>
        <w:szCs w:val="15"/>
      </w:rPr>
      <w:t>P</w:t>
    </w:r>
    <w:r w:rsidR="00CB109A">
      <w:rPr>
        <w:rFonts w:ascii="Oswald" w:hAnsi="Oswald"/>
        <w:b/>
        <w:bCs/>
        <w:sz w:val="15"/>
        <w:szCs w:val="15"/>
      </w:rPr>
      <w:t xml:space="preserve"> </w:t>
    </w:r>
    <w:r w:rsidRPr="002B68BA">
      <w:rPr>
        <w:rFonts w:ascii="Oswald" w:hAnsi="Oswald"/>
        <w:b/>
        <w:bCs/>
        <w:sz w:val="15"/>
        <w:szCs w:val="15"/>
      </w:rPr>
      <w:t>R</w:t>
    </w:r>
    <w:r w:rsidR="00CB109A">
      <w:rPr>
        <w:rFonts w:ascii="Oswald" w:hAnsi="Oswald"/>
        <w:b/>
        <w:bCs/>
        <w:sz w:val="15"/>
        <w:szCs w:val="15"/>
      </w:rPr>
      <w:t xml:space="preserve"> </w:t>
    </w:r>
    <w:r w:rsidRPr="002B68BA">
      <w:rPr>
        <w:rFonts w:ascii="Oswald" w:hAnsi="Oswald"/>
        <w:b/>
        <w:bCs/>
        <w:sz w:val="15"/>
        <w:szCs w:val="15"/>
      </w:rPr>
      <w:t>O</w:t>
    </w:r>
    <w:r w:rsidR="00CB109A">
      <w:rPr>
        <w:rFonts w:ascii="Oswald" w:hAnsi="Oswald"/>
        <w:b/>
        <w:bCs/>
        <w:sz w:val="15"/>
        <w:szCs w:val="15"/>
      </w:rPr>
      <w:t xml:space="preserve"> </w:t>
    </w:r>
    <w:r w:rsidRPr="002B68BA">
      <w:rPr>
        <w:rFonts w:ascii="Oswald" w:hAnsi="Oswald"/>
        <w:b/>
        <w:bCs/>
        <w:sz w:val="15"/>
        <w:szCs w:val="15"/>
      </w:rPr>
      <w:t>J</w:t>
    </w:r>
    <w:r w:rsidR="00CB109A">
      <w:rPr>
        <w:rFonts w:ascii="Oswald" w:hAnsi="Oswald"/>
        <w:b/>
        <w:bCs/>
        <w:sz w:val="15"/>
        <w:szCs w:val="15"/>
      </w:rPr>
      <w:t xml:space="preserve"> </w:t>
    </w:r>
    <w:r w:rsidRPr="002B68BA">
      <w:rPr>
        <w:rFonts w:ascii="Oswald" w:hAnsi="Oswald"/>
        <w:b/>
        <w:bCs/>
        <w:sz w:val="15"/>
        <w:szCs w:val="15"/>
      </w:rPr>
      <w:t>E</w:t>
    </w:r>
    <w:r w:rsidR="00CB109A">
      <w:rPr>
        <w:rFonts w:ascii="Oswald" w:hAnsi="Oswald"/>
        <w:b/>
        <w:bCs/>
        <w:sz w:val="15"/>
        <w:szCs w:val="15"/>
      </w:rPr>
      <w:t xml:space="preserve"> </w:t>
    </w:r>
    <w:r w:rsidRPr="002B68BA">
      <w:rPr>
        <w:rFonts w:ascii="Oswald" w:hAnsi="Oswald"/>
        <w:b/>
        <w:bCs/>
        <w:sz w:val="15"/>
        <w:szCs w:val="15"/>
      </w:rPr>
      <w:t>C</w:t>
    </w:r>
    <w:r w:rsidR="00CB109A">
      <w:rPr>
        <w:rFonts w:ascii="Oswald" w:hAnsi="Oswald"/>
        <w:b/>
        <w:bCs/>
        <w:sz w:val="15"/>
        <w:szCs w:val="15"/>
      </w:rPr>
      <w:t xml:space="preserve"> </w:t>
    </w:r>
    <w:r w:rsidRPr="002B68BA">
      <w:rPr>
        <w:rFonts w:ascii="Oswald" w:hAnsi="Oswald"/>
        <w:b/>
        <w:bCs/>
        <w:sz w:val="15"/>
        <w:szCs w:val="15"/>
      </w:rPr>
      <w:t>T</w:t>
    </w:r>
    <w:r w:rsidR="00CB109A">
      <w:rPr>
        <w:rFonts w:ascii="Oswald" w:hAnsi="Oswald"/>
        <w:b/>
        <w:bCs/>
        <w:sz w:val="15"/>
        <w:szCs w:val="15"/>
      </w:rPr>
      <w:t xml:space="preserve"> </w:t>
    </w:r>
    <w:r w:rsidRPr="002B68BA">
      <w:rPr>
        <w:rFonts w:ascii="Oswald" w:hAnsi="Oswald"/>
        <w:b/>
        <w:bCs/>
        <w:sz w:val="15"/>
        <w:szCs w:val="15"/>
      </w:rPr>
      <w:t>S</w:t>
    </w:r>
    <w:r w:rsidR="00CB109A">
      <w:rPr>
        <w:rFonts w:ascii="Oswald" w:hAnsi="Oswald"/>
        <w:b/>
        <w:bCs/>
        <w:sz w:val="15"/>
        <w:szCs w:val="15"/>
      </w:rPr>
      <w:t xml:space="preserve"> </w:t>
    </w:r>
    <w:r w:rsidRPr="002B68BA">
      <w:rPr>
        <w:rFonts w:ascii="Oswald" w:hAnsi="Oswald"/>
        <w:b/>
        <w:bCs/>
        <w:sz w:val="15"/>
        <w:szCs w:val="15"/>
      </w:rPr>
      <w:t>.</w:t>
    </w:r>
    <w:r w:rsidR="0007653E">
      <w:rPr>
        <w:rFonts w:ascii="Oswald" w:hAnsi="Oswald"/>
        <w:b/>
        <w:bCs/>
        <w:sz w:val="15"/>
        <w:szCs w:val="15"/>
      </w:rPr>
      <w:t xml:space="preserve"> </w:t>
    </w:r>
    <w:r w:rsidRPr="002B68BA">
      <w:rPr>
        <w:rFonts w:ascii="Oswald" w:hAnsi="Oswald"/>
        <w:b/>
        <w:bCs/>
        <w:sz w:val="15"/>
        <w:szCs w:val="15"/>
      </w:rPr>
      <w:t>T</w:t>
    </w:r>
    <w:r w:rsidR="00CB109A">
      <w:rPr>
        <w:rFonts w:ascii="Oswald" w:hAnsi="Oswald"/>
        <w:b/>
        <w:bCs/>
        <w:sz w:val="15"/>
        <w:szCs w:val="15"/>
      </w:rPr>
      <w:t xml:space="preserve"> </w:t>
    </w:r>
    <w:r w:rsidRPr="002B68BA">
      <w:rPr>
        <w:rFonts w:ascii="Oswald" w:hAnsi="Oswald"/>
        <w:b/>
        <w:bCs/>
        <w:sz w:val="15"/>
        <w:szCs w:val="15"/>
      </w:rPr>
      <w:t>H</w:t>
    </w:r>
    <w:r w:rsidR="00CB109A">
      <w:rPr>
        <w:rFonts w:ascii="Oswald" w:hAnsi="Oswald"/>
        <w:b/>
        <w:bCs/>
        <w:sz w:val="15"/>
        <w:szCs w:val="15"/>
      </w:rPr>
      <w:t xml:space="preserve"> </w:t>
    </w:r>
    <w:r w:rsidRPr="002B68BA">
      <w:rPr>
        <w:rFonts w:ascii="Oswald" w:hAnsi="Oswald"/>
        <w:b/>
        <w:bCs/>
        <w:sz w:val="15"/>
        <w:szCs w:val="15"/>
      </w:rPr>
      <w:t>R</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V</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N</w:t>
    </w:r>
    <w:r w:rsidR="00CB109A">
      <w:rPr>
        <w:rFonts w:ascii="Oswald" w:hAnsi="Oswald"/>
        <w:b/>
        <w:bCs/>
        <w:sz w:val="15"/>
        <w:szCs w:val="15"/>
      </w:rPr>
      <w:t xml:space="preserve"> </w:t>
    </w:r>
    <w:r w:rsidRPr="002B68BA">
      <w:rPr>
        <w:rFonts w:ascii="Oswald" w:hAnsi="Oswald"/>
        <w:b/>
        <w:bCs/>
        <w:sz w:val="15"/>
        <w:szCs w:val="15"/>
      </w:rPr>
      <w:t>G</w:t>
    </w:r>
    <w:r w:rsidR="001F5104">
      <w:rPr>
        <w:rFonts w:ascii="Oswald" w:hAnsi="Oswald"/>
        <w:b/>
        <w:bCs/>
        <w:sz w:val="15"/>
        <w:szCs w:val="15"/>
      </w:rPr>
      <w:t xml:space="preserve"> </w:t>
    </w:r>
    <w:r w:rsidR="0007653E">
      <w:rPr>
        <w:rFonts w:ascii="Oswald" w:hAnsi="Oswald"/>
        <w:b/>
        <w:bCs/>
        <w:sz w:val="15"/>
        <w:szCs w:val="15"/>
      </w:rPr>
      <w:t xml:space="preserve"> </w:t>
    </w:r>
    <w:r w:rsidRPr="002B68BA">
      <w:rPr>
        <w:rFonts w:ascii="Oswald" w:hAnsi="Oswald"/>
        <w:b/>
        <w:bCs/>
        <w:sz w:val="15"/>
        <w:szCs w:val="15"/>
      </w:rPr>
      <w:t>C</w:t>
    </w:r>
    <w:r w:rsidR="00CB109A">
      <w:rPr>
        <w:rFonts w:ascii="Oswald" w:hAnsi="Oswald"/>
        <w:b/>
        <w:bCs/>
        <w:sz w:val="15"/>
        <w:szCs w:val="15"/>
      </w:rPr>
      <w:t xml:space="preserve"> </w:t>
    </w:r>
    <w:r w:rsidRPr="002B68BA">
      <w:rPr>
        <w:rFonts w:ascii="Oswald" w:hAnsi="Oswald"/>
        <w:b/>
        <w:bCs/>
        <w:sz w:val="15"/>
        <w:szCs w:val="15"/>
      </w:rPr>
      <w:t>O</w:t>
    </w:r>
    <w:r w:rsidR="00CB109A">
      <w:rPr>
        <w:rFonts w:ascii="Oswald" w:hAnsi="Oswald"/>
        <w:b/>
        <w:bCs/>
        <w:sz w:val="15"/>
        <w:szCs w:val="15"/>
      </w:rPr>
      <w:t xml:space="preserve"> </w:t>
    </w:r>
    <w:r w:rsidRPr="002B68BA">
      <w:rPr>
        <w:rFonts w:ascii="Oswald" w:hAnsi="Oswald"/>
        <w:b/>
        <w:bCs/>
        <w:sz w:val="15"/>
        <w:szCs w:val="15"/>
      </w:rPr>
      <w:t>M</w:t>
    </w:r>
    <w:r w:rsidR="00CB109A">
      <w:rPr>
        <w:rFonts w:ascii="Oswald" w:hAnsi="Oswald"/>
        <w:b/>
        <w:bCs/>
        <w:sz w:val="15"/>
        <w:szCs w:val="15"/>
      </w:rPr>
      <w:t xml:space="preserve"> </w:t>
    </w:r>
    <w:proofErr w:type="spellStart"/>
    <w:r w:rsidRPr="002B68BA">
      <w:rPr>
        <w:rFonts w:ascii="Oswald" w:hAnsi="Oswald"/>
        <w:b/>
        <w:bCs/>
        <w:sz w:val="15"/>
        <w:szCs w:val="15"/>
      </w:rPr>
      <w:t>M</w:t>
    </w:r>
    <w:proofErr w:type="spellEnd"/>
    <w:r w:rsidR="00CB109A">
      <w:rPr>
        <w:rFonts w:ascii="Oswald" w:hAnsi="Oswald"/>
        <w:b/>
        <w:bCs/>
        <w:sz w:val="15"/>
        <w:szCs w:val="15"/>
      </w:rPr>
      <w:t xml:space="preserve"> </w:t>
    </w:r>
    <w:r w:rsidRPr="002B68BA">
      <w:rPr>
        <w:rFonts w:ascii="Oswald" w:hAnsi="Oswald"/>
        <w:b/>
        <w:bCs/>
        <w:sz w:val="15"/>
        <w:szCs w:val="15"/>
      </w:rPr>
      <w:t>U</w:t>
    </w:r>
    <w:r w:rsidR="00CB109A">
      <w:rPr>
        <w:rFonts w:ascii="Oswald" w:hAnsi="Oswald"/>
        <w:b/>
        <w:bCs/>
        <w:sz w:val="15"/>
        <w:szCs w:val="15"/>
      </w:rPr>
      <w:t xml:space="preserve"> </w:t>
    </w:r>
    <w:r w:rsidRPr="002B68BA">
      <w:rPr>
        <w:rFonts w:ascii="Oswald" w:hAnsi="Oswald"/>
        <w:b/>
        <w:bCs/>
        <w:sz w:val="15"/>
        <w:szCs w:val="15"/>
      </w:rPr>
      <w:t>N</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T</w:t>
    </w:r>
    <w:r w:rsidR="00CB109A">
      <w:rPr>
        <w:rFonts w:ascii="Oswald" w:hAnsi="Oswald"/>
        <w:b/>
        <w:bCs/>
        <w:sz w:val="15"/>
        <w:szCs w:val="15"/>
      </w:rPr>
      <w:t xml:space="preserve"> </w:t>
    </w:r>
    <w:r w:rsidRPr="002B68BA">
      <w:rPr>
        <w:rFonts w:ascii="Oswald" w:hAnsi="Oswald"/>
        <w:b/>
        <w:bCs/>
        <w:sz w:val="15"/>
        <w:szCs w:val="15"/>
      </w:rPr>
      <w:t>I</w:t>
    </w:r>
    <w:r w:rsidR="00CB109A">
      <w:rPr>
        <w:rFonts w:ascii="Oswald" w:hAnsi="Oswald"/>
        <w:b/>
        <w:bCs/>
        <w:sz w:val="15"/>
        <w:szCs w:val="15"/>
      </w:rPr>
      <w:t xml:space="preserve"> </w:t>
    </w:r>
    <w:r w:rsidRPr="002B68BA">
      <w:rPr>
        <w:rFonts w:ascii="Oswald" w:hAnsi="Oswald"/>
        <w:b/>
        <w:bCs/>
        <w:sz w:val="15"/>
        <w:szCs w:val="15"/>
      </w:rPr>
      <w:t>E</w:t>
    </w:r>
    <w:r w:rsidR="00CB109A">
      <w:rPr>
        <w:rFonts w:ascii="Oswald" w:hAnsi="Oswald"/>
        <w:b/>
        <w:bCs/>
        <w:sz w:val="15"/>
        <w:szCs w:val="15"/>
      </w:rPr>
      <w:t xml:space="preserve"> </w:t>
    </w:r>
    <w:r w:rsidRPr="002B68BA">
      <w:rPr>
        <w:rFonts w:ascii="Oswald" w:hAnsi="Oswald"/>
        <w:b/>
        <w:bCs/>
        <w:sz w:val="15"/>
        <w:szCs w:val="15"/>
      </w:rPr>
      <w:t>S</w:t>
    </w:r>
    <w:r w:rsidR="00CB109A">
      <w:rPr>
        <w:rFonts w:ascii="Oswald" w:hAnsi="Oswald"/>
        <w:b/>
        <w:bCs/>
        <w:sz w:val="15"/>
        <w:szCs w:val="15"/>
      </w:rPr>
      <w:t xml:space="preserve"> </w:t>
    </w:r>
    <w:r w:rsidRPr="002B68BA">
      <w:rPr>
        <w:rFonts w:ascii="Oswald" w:hAnsi="Oswald"/>
        <w:b/>
        <w:bCs/>
        <w:sz w:val="15"/>
        <w:szCs w:val="15"/>
      </w:rPr>
      <w:t>.</w:t>
    </w:r>
    <w:r w:rsidR="00CB109A">
      <w:rPr>
        <w:rFonts w:ascii="Oswald" w:hAnsi="Oswald"/>
        <w:b/>
        <w:bCs/>
        <w:sz w:val="15"/>
        <w:szCs w:val="15"/>
      </w:rPr>
      <w:t xml:space="preserve"> </w:t>
    </w:r>
    <w:bookmarkEnd w:id="68"/>
    <w:bookmarkEnd w:id="69"/>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0203813"/>
      <w:docPartObj>
        <w:docPartGallery w:val="Page Numbers (Bottom of Page)"/>
        <w:docPartUnique/>
      </w:docPartObj>
    </w:sdtPr>
    <w:sdtEndPr>
      <w:rPr>
        <w:rStyle w:val="PageNumber"/>
        <w:color w:val="auto"/>
      </w:rPr>
    </w:sdtEndPr>
    <w:sdtContent>
      <w:p w14:paraId="2D08FBBE" w14:textId="0EC3B7B0" w:rsidR="00A11201" w:rsidRPr="00F414FE" w:rsidRDefault="00A11201" w:rsidP="00FB4729">
        <w:pPr>
          <w:pStyle w:val="Subheading"/>
          <w:jc w:val="right"/>
          <w:rPr>
            <w:rStyle w:val="PageNumber"/>
            <w:color w:val="auto"/>
          </w:rPr>
        </w:pPr>
        <w:r w:rsidRPr="00F414FE">
          <w:rPr>
            <w:rStyle w:val="PageNumber"/>
            <w:color w:val="auto"/>
          </w:rPr>
          <w:fldChar w:fldCharType="begin"/>
        </w:r>
        <w:r w:rsidRPr="00F414FE">
          <w:rPr>
            <w:rStyle w:val="PageNumber"/>
            <w:color w:val="auto"/>
          </w:rPr>
          <w:instrText xml:space="preserve"> PAGE </w:instrText>
        </w:r>
        <w:r w:rsidRPr="00F414FE">
          <w:rPr>
            <w:rStyle w:val="PageNumber"/>
            <w:color w:val="auto"/>
          </w:rPr>
          <w:fldChar w:fldCharType="separate"/>
        </w:r>
        <w:r w:rsidRPr="00F414FE">
          <w:rPr>
            <w:rStyle w:val="PageNumber"/>
            <w:noProof/>
            <w:color w:val="auto"/>
          </w:rPr>
          <w:t>3</w:t>
        </w:r>
        <w:r w:rsidRPr="00F414FE">
          <w:rPr>
            <w:rStyle w:val="PageNumber"/>
            <w:color w:val="auto"/>
          </w:rPr>
          <w:fldChar w:fldCharType="end"/>
        </w:r>
      </w:p>
    </w:sdtContent>
  </w:sdt>
  <w:p w14:paraId="298AFDC8" w14:textId="49090652" w:rsidR="00F62BA9" w:rsidRPr="00E379D3" w:rsidRDefault="009670C2" w:rsidP="00FB4729">
    <w:pPr>
      <w:jc w:val="center"/>
      <w:rPr>
        <w:rStyle w:val="Heading"/>
        <w:rFonts w:cstheme="majorHAnsi"/>
        <w:sz w:val="24"/>
        <w:szCs w:val="24"/>
      </w:rPr>
    </w:pPr>
    <w:r w:rsidRPr="009670C2">
      <w:rPr>
        <w:rStyle w:val="Heading"/>
        <w:rFonts w:cstheme="majorHAnsi"/>
        <w:sz w:val="24"/>
        <w:szCs w:val="24"/>
      </w:rPr>
      <w:t xml:space="preserve">Mid Term Review of the </w:t>
    </w:r>
    <w:r w:rsidR="00666DEA">
      <w:rPr>
        <w:rStyle w:val="Heading"/>
        <w:rFonts w:cstheme="majorHAnsi"/>
        <w:sz w:val="24"/>
        <w:szCs w:val="24"/>
      </w:rPr>
      <w:t>Solomon Islands Infrastructure Program</w:t>
    </w:r>
  </w:p>
  <w:p w14:paraId="67E9A215" w14:textId="06BB7B10" w:rsidR="002E027A" w:rsidRPr="00FB4729" w:rsidRDefault="00FB4729" w:rsidP="00FB4729">
    <w:pPr>
      <w:jc w:val="center"/>
      <w:rPr>
        <w:rFonts w:ascii="Oswald" w:eastAsia="Times New Roman" w:hAnsi="Oswald" w:cs="Times New Roman"/>
        <w:b/>
        <w:bCs/>
        <w:sz w:val="15"/>
        <w:szCs w:val="15"/>
      </w:rPr>
    </w:pPr>
    <w:r w:rsidRPr="002B68BA">
      <w:rPr>
        <w:rFonts w:ascii="Oswald" w:hAnsi="Oswald"/>
        <w:b/>
        <w:bCs/>
        <w:sz w:val="15"/>
        <w:szCs w:val="15"/>
      </w:rPr>
      <w:t>F</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W</w:t>
    </w:r>
    <w:r>
      <w:rPr>
        <w:rFonts w:ascii="Oswald" w:hAnsi="Oswald"/>
        <w:b/>
        <w:bCs/>
        <w:sz w:val="15"/>
        <w:szCs w:val="15"/>
      </w:rPr>
      <w:t xml:space="preserve"> </w:t>
    </w:r>
    <w:r w:rsidRPr="002B68BA">
      <w:rPr>
        <w:rFonts w:ascii="Oswald" w:hAnsi="Oswald"/>
        <w:b/>
        <w:bCs/>
        <w:sz w:val="15"/>
        <w:szCs w:val="15"/>
      </w:rPr>
      <w:t>A</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D</w:t>
    </w:r>
    <w:r w:rsidR="0007653E">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K</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sidR="0007653E">
      <w:rPr>
        <w:rFonts w:ascii="Oswald" w:hAnsi="Oswald"/>
        <w:b/>
        <w:bCs/>
        <w:sz w:val="15"/>
        <w:szCs w:val="15"/>
      </w:rPr>
      <w:t xml:space="preserve"> </w:t>
    </w:r>
    <w:r w:rsidRPr="002B68BA">
      <w:rPr>
        <w:rFonts w:ascii="Oswald" w:hAnsi="Oswald"/>
        <w:b/>
        <w:bCs/>
        <w:sz w:val="15"/>
        <w:szCs w:val="15"/>
      </w:rPr>
      <w:t>P</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J</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sidR="0007653E">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H</w:t>
    </w:r>
    <w:r>
      <w:rPr>
        <w:rFonts w:ascii="Oswald" w:hAnsi="Oswald"/>
        <w:b/>
        <w:bCs/>
        <w:sz w:val="15"/>
        <w:szCs w:val="15"/>
      </w:rPr>
      <w:t xml:space="preserve"> </w:t>
    </w:r>
    <w:r w:rsidRPr="002B68BA">
      <w:rPr>
        <w:rFonts w:ascii="Oswald" w:hAnsi="Oswald"/>
        <w:b/>
        <w:bCs/>
        <w:sz w:val="15"/>
        <w:szCs w:val="15"/>
      </w:rPr>
      <w:t>R</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V</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G</w:t>
    </w:r>
    <w:r w:rsidR="0007653E">
      <w:rPr>
        <w:rFonts w:ascii="Oswald" w:hAnsi="Oswald"/>
        <w:b/>
        <w:bCs/>
        <w:sz w:val="15"/>
        <w:szCs w:val="15"/>
      </w:rPr>
      <w:t xml:space="preserve"> </w:t>
    </w:r>
    <w:r w:rsidRPr="002B68BA">
      <w:rPr>
        <w:rFonts w:ascii="Oswald" w:hAnsi="Oswald"/>
        <w:b/>
        <w:bCs/>
        <w:sz w:val="15"/>
        <w:szCs w:val="15"/>
      </w:rPr>
      <w:t>C</w:t>
    </w:r>
    <w:r>
      <w:rPr>
        <w:rFonts w:ascii="Oswald" w:hAnsi="Oswald"/>
        <w:b/>
        <w:bCs/>
        <w:sz w:val="15"/>
        <w:szCs w:val="15"/>
      </w:rPr>
      <w:t xml:space="preserve"> </w:t>
    </w:r>
    <w:r w:rsidRPr="002B68BA">
      <w:rPr>
        <w:rFonts w:ascii="Oswald" w:hAnsi="Oswald"/>
        <w:b/>
        <w:bCs/>
        <w:sz w:val="15"/>
        <w:szCs w:val="15"/>
      </w:rPr>
      <w:t>O</w:t>
    </w:r>
    <w:r>
      <w:rPr>
        <w:rFonts w:ascii="Oswald" w:hAnsi="Oswald"/>
        <w:b/>
        <w:bCs/>
        <w:sz w:val="15"/>
        <w:szCs w:val="15"/>
      </w:rPr>
      <w:t xml:space="preserve"> </w:t>
    </w:r>
    <w:r w:rsidRPr="002B68BA">
      <w:rPr>
        <w:rFonts w:ascii="Oswald" w:hAnsi="Oswald"/>
        <w:b/>
        <w:bCs/>
        <w:sz w:val="15"/>
        <w:szCs w:val="15"/>
      </w:rPr>
      <w:t>M</w:t>
    </w:r>
    <w:r>
      <w:rPr>
        <w:rFonts w:ascii="Oswald" w:hAnsi="Oswald"/>
        <w:b/>
        <w:bCs/>
        <w:sz w:val="15"/>
        <w:szCs w:val="15"/>
      </w:rPr>
      <w:t xml:space="preserve"> </w:t>
    </w:r>
    <w:proofErr w:type="spellStart"/>
    <w:r w:rsidRPr="002B68BA">
      <w:rPr>
        <w:rFonts w:ascii="Oswald" w:hAnsi="Oswald"/>
        <w:b/>
        <w:bCs/>
        <w:sz w:val="15"/>
        <w:szCs w:val="15"/>
      </w:rPr>
      <w:t>M</w:t>
    </w:r>
    <w:proofErr w:type="spellEnd"/>
    <w:r>
      <w:rPr>
        <w:rFonts w:ascii="Oswald" w:hAnsi="Oswald"/>
        <w:b/>
        <w:bCs/>
        <w:sz w:val="15"/>
        <w:szCs w:val="15"/>
      </w:rPr>
      <w:t xml:space="preserve"> </w:t>
    </w:r>
    <w:r w:rsidRPr="002B68BA">
      <w:rPr>
        <w:rFonts w:ascii="Oswald" w:hAnsi="Oswald"/>
        <w:b/>
        <w:bCs/>
        <w:sz w:val="15"/>
        <w:szCs w:val="15"/>
      </w:rPr>
      <w:t>U</w:t>
    </w:r>
    <w:r>
      <w:rPr>
        <w:rFonts w:ascii="Oswald" w:hAnsi="Oswald"/>
        <w:b/>
        <w:bCs/>
        <w:sz w:val="15"/>
        <w:szCs w:val="15"/>
      </w:rPr>
      <w:t xml:space="preserve"> </w:t>
    </w:r>
    <w:r w:rsidRPr="002B68BA">
      <w:rPr>
        <w:rFonts w:ascii="Oswald" w:hAnsi="Oswald"/>
        <w:b/>
        <w:bCs/>
        <w:sz w:val="15"/>
        <w:szCs w:val="15"/>
      </w:rPr>
      <w:t>N</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T</w:t>
    </w:r>
    <w:r>
      <w:rPr>
        <w:rFonts w:ascii="Oswald" w:hAnsi="Oswald"/>
        <w:b/>
        <w:bCs/>
        <w:sz w:val="15"/>
        <w:szCs w:val="15"/>
      </w:rPr>
      <w:t xml:space="preserve"> </w:t>
    </w:r>
    <w:r w:rsidRPr="002B68BA">
      <w:rPr>
        <w:rFonts w:ascii="Oswald" w:hAnsi="Oswald"/>
        <w:b/>
        <w:bCs/>
        <w:sz w:val="15"/>
        <w:szCs w:val="15"/>
      </w:rPr>
      <w:t>I</w:t>
    </w:r>
    <w:r>
      <w:rPr>
        <w:rFonts w:ascii="Oswald" w:hAnsi="Oswald"/>
        <w:b/>
        <w:bCs/>
        <w:sz w:val="15"/>
        <w:szCs w:val="15"/>
      </w:rPr>
      <w:t xml:space="preserve"> </w:t>
    </w:r>
    <w:r w:rsidRPr="002B68BA">
      <w:rPr>
        <w:rFonts w:ascii="Oswald" w:hAnsi="Oswald"/>
        <w:b/>
        <w:bCs/>
        <w:sz w:val="15"/>
        <w:szCs w:val="15"/>
      </w:rPr>
      <w:t>E</w:t>
    </w:r>
    <w:r>
      <w:rPr>
        <w:rFonts w:ascii="Oswald" w:hAnsi="Oswald"/>
        <w:b/>
        <w:bCs/>
        <w:sz w:val="15"/>
        <w:szCs w:val="15"/>
      </w:rPr>
      <w:t xml:space="preserve"> </w:t>
    </w:r>
    <w:r w:rsidRPr="002B68BA">
      <w:rPr>
        <w:rFonts w:ascii="Oswald" w:hAnsi="Oswald"/>
        <w:b/>
        <w:bCs/>
        <w:sz w:val="15"/>
        <w:szCs w:val="15"/>
      </w:rPr>
      <w:t>S</w:t>
    </w:r>
    <w:r>
      <w:rPr>
        <w:rFonts w:ascii="Oswald" w:hAnsi="Oswald"/>
        <w:b/>
        <w:bCs/>
        <w:sz w:val="15"/>
        <w:szCs w:val="15"/>
      </w:rPr>
      <w:t xml:space="preserve"> </w:t>
    </w:r>
    <w:r w:rsidRPr="002B68BA">
      <w:rPr>
        <w:rFonts w:ascii="Oswald" w:hAnsi="Oswald"/>
        <w:b/>
        <w:bCs/>
        <w:sz w:val="15"/>
        <w:szCs w:val="15"/>
      </w:rPr>
      <w:t>.</w:t>
    </w:r>
    <w:r>
      <w:rPr>
        <w:rFonts w:ascii="Oswald" w:hAnsi="Oswald"/>
        <w:b/>
        <w:bCs/>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BD42" w14:textId="77777777" w:rsidR="002C5AAB" w:rsidRDefault="002C5AAB" w:rsidP="00370438">
      <w:r>
        <w:separator/>
      </w:r>
    </w:p>
  </w:footnote>
  <w:footnote w:type="continuationSeparator" w:id="0">
    <w:p w14:paraId="3245E3C7" w14:textId="77777777" w:rsidR="002C5AAB" w:rsidRDefault="002C5AAB" w:rsidP="00370438">
      <w:r>
        <w:continuationSeparator/>
      </w:r>
    </w:p>
  </w:footnote>
  <w:footnote w:type="continuationNotice" w:id="1">
    <w:p w14:paraId="3BA7F702" w14:textId="77777777" w:rsidR="002C5AAB" w:rsidRDefault="002C5AAB" w:rsidP="00370438"/>
  </w:footnote>
  <w:footnote w:id="2">
    <w:p w14:paraId="323EFEB9" w14:textId="6A23658F" w:rsidR="00F67ACF" w:rsidRPr="00F67ACF" w:rsidRDefault="00F67ACF" w:rsidP="00F67ACF">
      <w:pPr>
        <w:pStyle w:val="FootnoteText"/>
        <w:spacing w:after="0"/>
        <w:rPr>
          <w:sz w:val="18"/>
          <w:szCs w:val="18"/>
        </w:rPr>
      </w:pPr>
      <w:r>
        <w:rPr>
          <w:rStyle w:val="FootnoteReference"/>
        </w:rPr>
        <w:footnoteRef/>
      </w:r>
      <w:r>
        <w:t xml:space="preserve"> </w:t>
      </w:r>
      <w:r w:rsidRPr="00F67ACF">
        <w:rPr>
          <w:sz w:val="18"/>
          <w:szCs w:val="18"/>
        </w:rPr>
        <w:t xml:space="preserve">The term SIIP Hub will be used to refer to the DT Global team delivering this component of the program. </w:t>
      </w:r>
    </w:p>
  </w:footnote>
  <w:footnote w:id="3">
    <w:p w14:paraId="7F477377" w14:textId="742FF52A" w:rsidR="0054565F" w:rsidRPr="0054565F" w:rsidRDefault="0054565F">
      <w:pPr>
        <w:pStyle w:val="FootnoteText"/>
        <w:rPr>
          <w:lang w:val="en-US"/>
        </w:rPr>
      </w:pPr>
      <w:r w:rsidRPr="004C42D7">
        <w:rPr>
          <w:rStyle w:val="FootnoteReference"/>
        </w:rPr>
        <w:footnoteRef/>
      </w:r>
      <w:r w:rsidRPr="004C42D7">
        <w:t xml:space="preserve"> </w:t>
      </w:r>
      <w:hyperlink r:id="rId1" w:history="1">
        <w:r w:rsidR="00710E0F" w:rsidRPr="004C42D7">
          <w:rPr>
            <w:rStyle w:val="Hyperlink"/>
            <w:sz w:val="18"/>
            <w:szCs w:val="18"/>
          </w:rPr>
          <w:t>https://www.oecd.org/dac/evaluation/daccriteriaforevaluatingdevelopmentassistance.htm</w:t>
        </w:r>
      </w:hyperlink>
    </w:p>
  </w:footnote>
  <w:footnote w:id="4">
    <w:p w14:paraId="7DAFC08B" w14:textId="54930C49" w:rsidR="00E327C4" w:rsidRPr="00DD4C95" w:rsidRDefault="00E327C4" w:rsidP="000E02F0">
      <w:pPr>
        <w:pStyle w:val="FootnoteText2"/>
      </w:pPr>
      <w:r w:rsidRPr="00A85FB4">
        <w:rPr>
          <w:rStyle w:val="FootnoteReference"/>
        </w:rPr>
        <w:footnoteRef/>
      </w:r>
      <w:r w:rsidR="0007653E">
        <w:t xml:space="preserve"> </w:t>
      </w:r>
      <w:r w:rsidRPr="00DD4C95">
        <w:t>International Monetary Fund.</w:t>
      </w:r>
      <w:r w:rsidR="0007653E">
        <w:t xml:space="preserve"> </w:t>
      </w:r>
      <w:r w:rsidRPr="00DD4C95">
        <w:t xml:space="preserve">2023 Article IV Consultation. </w:t>
      </w:r>
    </w:p>
  </w:footnote>
  <w:footnote w:id="5">
    <w:p w14:paraId="5A7A7E4B" w14:textId="290E59C7" w:rsidR="00E327C4" w:rsidRPr="00DD4C95" w:rsidRDefault="00E327C4" w:rsidP="000E02F0">
      <w:pPr>
        <w:pStyle w:val="FootnoteText2"/>
      </w:pPr>
      <w:r w:rsidRPr="00A85FB4">
        <w:rPr>
          <w:rStyle w:val="FootnoteReference"/>
        </w:rPr>
        <w:footnoteRef/>
      </w:r>
      <w:r w:rsidR="0007653E">
        <w:rPr>
          <w:rStyle w:val="FootnoteReference"/>
        </w:rPr>
        <w:t xml:space="preserve"> </w:t>
      </w:r>
      <w:r w:rsidRPr="00DD4C95">
        <w:t>International Monetary Fund.</w:t>
      </w:r>
      <w:r w:rsidR="0007653E">
        <w:t xml:space="preserve"> </w:t>
      </w:r>
      <w:r w:rsidRPr="00DD4C95">
        <w:t>2023 Article IV Consultation</w:t>
      </w:r>
    </w:p>
  </w:footnote>
  <w:footnote w:id="6">
    <w:p w14:paraId="284BEF5F" w14:textId="6A734F91" w:rsidR="00E327C4" w:rsidRPr="00DD4C95" w:rsidRDefault="00E327C4" w:rsidP="00482AB6">
      <w:pPr>
        <w:pStyle w:val="FootnoteText2"/>
      </w:pPr>
      <w:r w:rsidRPr="00A85FB4">
        <w:rPr>
          <w:rStyle w:val="FootnoteReference"/>
        </w:rPr>
        <w:footnoteRef/>
      </w:r>
      <w:r w:rsidR="0007653E">
        <w:rPr>
          <w:rStyle w:val="FootnoteReference"/>
        </w:rPr>
        <w:t xml:space="preserve"> </w:t>
      </w:r>
      <w:r w:rsidRPr="00DD4C95">
        <w:t>MDB loan terms to Solomon Islands for investment projects currently carry fees or approximately 1% per annum and have a 40 year maturity with a 10-12 year grace period.</w:t>
      </w:r>
      <w:r w:rsidR="0007653E">
        <w:t xml:space="preserve"> </w:t>
      </w:r>
      <w:r w:rsidRPr="00DD4C95">
        <w:t>This is equivalent to a grant element of over 50%.</w:t>
      </w:r>
    </w:p>
  </w:footnote>
  <w:footnote w:id="7">
    <w:p w14:paraId="042AC71D" w14:textId="20D5E81D" w:rsidR="00E327C4" w:rsidRPr="00DD4C95" w:rsidRDefault="00E327C4" w:rsidP="00482AB6">
      <w:pPr>
        <w:pStyle w:val="FootnoteText2"/>
      </w:pPr>
      <w:r w:rsidRPr="00A85FB4">
        <w:rPr>
          <w:rStyle w:val="FootnoteReference"/>
        </w:rPr>
        <w:footnoteRef/>
      </w:r>
      <w:r w:rsidR="0007653E">
        <w:rPr>
          <w:rStyle w:val="FootnoteReference"/>
        </w:rPr>
        <w:t xml:space="preserve"> </w:t>
      </w:r>
      <w:r w:rsidRPr="00DD4C95">
        <w:t>The IMF defines loans as concessional if they have a grant element of 35% using a standard discount rate of 5%.</w:t>
      </w:r>
      <w:r w:rsidR="0007653E">
        <w:t xml:space="preserve"> </w:t>
      </w:r>
      <w:r w:rsidRPr="00DD4C95">
        <w:t>Using this methodology, a loan with an interest rate of 1%, a 20 year maturity, and a 5 year grace period would have a concessional element of about 36%.</w:t>
      </w:r>
    </w:p>
  </w:footnote>
  <w:footnote w:id="8">
    <w:p w14:paraId="18DEF103" w14:textId="7DD56814" w:rsidR="0092544D" w:rsidRPr="00DD4C95" w:rsidRDefault="0092544D" w:rsidP="00DD4C95">
      <w:pPr>
        <w:pStyle w:val="FootnoteText"/>
        <w:spacing w:after="0"/>
        <w:ind w:left="142" w:hanging="142"/>
        <w:rPr>
          <w:sz w:val="18"/>
          <w:szCs w:val="18"/>
        </w:rPr>
      </w:pPr>
      <w:r w:rsidRPr="00A85FB4">
        <w:rPr>
          <w:rStyle w:val="FootnoteReference"/>
        </w:rPr>
        <w:footnoteRef/>
      </w:r>
      <w:r w:rsidR="00D728FA">
        <w:t xml:space="preserve"> </w:t>
      </w:r>
      <w:r w:rsidRPr="00DD4C95">
        <w:rPr>
          <w:rStyle w:val="FootnotetextChar0"/>
        </w:rPr>
        <w:t>Ministry of National Planning and Development Coordination, Government of Solomon Islands, February 2021</w:t>
      </w:r>
      <w:r w:rsidRPr="00DD4C95">
        <w:rPr>
          <w:sz w:val="18"/>
          <w:szCs w:val="18"/>
        </w:rPr>
        <w:t>.</w:t>
      </w:r>
    </w:p>
  </w:footnote>
  <w:footnote w:id="9">
    <w:p w14:paraId="3BD0B165" w14:textId="005FA896" w:rsidR="0092544D" w:rsidRPr="00DD4C95" w:rsidRDefault="0092544D" w:rsidP="00DD4C95">
      <w:pPr>
        <w:pStyle w:val="FootnoteText"/>
        <w:spacing w:after="0"/>
        <w:ind w:left="142" w:hanging="142"/>
        <w:rPr>
          <w:sz w:val="18"/>
          <w:szCs w:val="18"/>
        </w:rPr>
      </w:pPr>
      <w:r>
        <w:rPr>
          <w:rStyle w:val="FootnoteReference"/>
        </w:rPr>
        <w:footnoteRef/>
      </w:r>
      <w:r w:rsidR="00D728FA">
        <w:t xml:space="preserve"> </w:t>
      </w:r>
      <w:r w:rsidRPr="00DD4C95">
        <w:rPr>
          <w:rStyle w:val="FootnotetextChar0"/>
        </w:rPr>
        <w:t>Solomon Islands Infrastructure Program Investment Design Document.</w:t>
      </w:r>
      <w:r w:rsidR="00D728FA" w:rsidRPr="00DD4C95">
        <w:rPr>
          <w:rStyle w:val="FootnotetextChar0"/>
        </w:rPr>
        <w:t xml:space="preserve"> </w:t>
      </w:r>
      <w:r w:rsidRPr="00DD4C95">
        <w:rPr>
          <w:rStyle w:val="FootnotetextChar0"/>
        </w:rPr>
        <w:t>Australian Department of Foreign Affairs and Trade.</w:t>
      </w:r>
      <w:r w:rsidR="00D728FA" w:rsidRPr="00DD4C95">
        <w:rPr>
          <w:rStyle w:val="FootnotetextChar0"/>
        </w:rPr>
        <w:t xml:space="preserve"> </w:t>
      </w:r>
      <w:r w:rsidRPr="00DD4C95">
        <w:rPr>
          <w:rStyle w:val="FootnotetextChar0"/>
        </w:rPr>
        <w:t>November 2020</w:t>
      </w:r>
      <w:r w:rsidRPr="00DD4C95">
        <w:rPr>
          <w:sz w:val="18"/>
          <w:szCs w:val="18"/>
        </w:rPr>
        <w:t>.</w:t>
      </w:r>
      <w:r w:rsidR="00D728FA" w:rsidRPr="00DD4C95">
        <w:rPr>
          <w:sz w:val="18"/>
          <w:szCs w:val="18"/>
        </w:rPr>
        <w:t xml:space="preserve"> </w:t>
      </w:r>
    </w:p>
  </w:footnote>
  <w:footnote w:id="10">
    <w:p w14:paraId="1493F4DC" w14:textId="2A13EA62" w:rsidR="003A3035" w:rsidRDefault="003A3035">
      <w:pPr>
        <w:pStyle w:val="FootnoteText"/>
      </w:pPr>
      <w:r>
        <w:rPr>
          <w:rStyle w:val="FootnoteReference"/>
        </w:rPr>
        <w:footnoteRef/>
      </w:r>
      <w:r w:rsidR="00061394">
        <w:t xml:space="preserve"> DFAT </w:t>
      </w:r>
      <w:r w:rsidR="00061394" w:rsidRPr="00061394">
        <w:rPr>
          <w:rStyle w:val="FootnotetextChar0"/>
        </w:rPr>
        <w:t>Solomon Islands Infrastructure Program Investment Design Document Final</w:t>
      </w:r>
      <w:r w:rsidR="00061394">
        <w:rPr>
          <w:rStyle w:val="FootnotetextChar0"/>
        </w:rPr>
        <w:t xml:space="preserve"> (p12)</w:t>
      </w:r>
    </w:p>
  </w:footnote>
  <w:footnote w:id="11">
    <w:p w14:paraId="74ED0EAC" w14:textId="6CDA48E3" w:rsidR="0049285E" w:rsidRDefault="0049285E">
      <w:pPr>
        <w:pStyle w:val="FootnoteText"/>
      </w:pPr>
      <w:r>
        <w:rPr>
          <w:rStyle w:val="FootnoteReference"/>
        </w:rPr>
        <w:footnoteRef/>
      </w:r>
      <w:r>
        <w:t xml:space="preserve"> </w:t>
      </w:r>
      <w:r w:rsidRPr="009F3EB1">
        <w:rPr>
          <w:rStyle w:val="FootnotetextChar0"/>
        </w:rPr>
        <w:t>DFAT, Aide Memoire, SIIP Emerging Priorities, May 2023</w:t>
      </w:r>
    </w:p>
  </w:footnote>
  <w:footnote w:id="12">
    <w:p w14:paraId="3F29B867" w14:textId="1358DF64" w:rsidR="00434555" w:rsidRPr="00434555" w:rsidRDefault="00434555">
      <w:pPr>
        <w:pStyle w:val="FootnoteText"/>
        <w:rPr>
          <w:lang w:val="en-US"/>
        </w:rPr>
      </w:pPr>
      <w:r>
        <w:rPr>
          <w:rStyle w:val="FootnoteReference"/>
        </w:rPr>
        <w:footnoteRef/>
      </w:r>
      <w:r>
        <w:t xml:space="preserve"> </w:t>
      </w:r>
      <w:r w:rsidRPr="00517B2F">
        <w:rPr>
          <w:rStyle w:val="FootnotetextChar0"/>
        </w:rPr>
        <w:t xml:space="preserve">Figure copied from SIIP Hub Annual Report 2023, page </w:t>
      </w:r>
      <w:r w:rsidR="00517B2F" w:rsidRPr="00517B2F">
        <w:rPr>
          <w:rStyle w:val="FootnotetextChar0"/>
        </w:rPr>
        <w:t>16</w:t>
      </w:r>
    </w:p>
  </w:footnote>
  <w:footnote w:id="13">
    <w:p w14:paraId="1D7E8E1B" w14:textId="4BCB6F8C" w:rsidR="00E27082" w:rsidRDefault="00E27082">
      <w:pPr>
        <w:pStyle w:val="FootnoteText"/>
      </w:pPr>
      <w:r>
        <w:rPr>
          <w:rStyle w:val="FootnoteReference"/>
        </w:rPr>
        <w:footnoteRef/>
      </w:r>
      <w:r>
        <w:t xml:space="preserve"> </w:t>
      </w:r>
      <w:r w:rsidR="007208A7">
        <w:rPr>
          <w:rStyle w:val="FootnotetextChar0"/>
        </w:rPr>
        <w:t>AUD</w:t>
      </w:r>
      <w:r w:rsidRPr="00E27082">
        <w:rPr>
          <w:rStyle w:val="FootnotetextChar0"/>
        </w:rPr>
        <w:t>32</w:t>
      </w:r>
      <w:r w:rsidR="007208A7">
        <w:rPr>
          <w:rStyle w:val="FootnotetextChar0"/>
        </w:rPr>
        <w:t xml:space="preserve"> </w:t>
      </w:r>
      <w:r w:rsidRPr="00E27082">
        <w:rPr>
          <w:rStyle w:val="FootnotetextChar0"/>
        </w:rPr>
        <w:t>m</w:t>
      </w:r>
      <w:r w:rsidR="007208A7">
        <w:rPr>
          <w:rStyle w:val="FootnotetextChar0"/>
        </w:rPr>
        <w:t>illion</w:t>
      </w:r>
      <w:r w:rsidRPr="00E27082">
        <w:rPr>
          <w:rStyle w:val="FootnotetextChar0"/>
        </w:rPr>
        <w:t xml:space="preserve"> </w:t>
      </w:r>
      <w:r w:rsidR="006C03C9" w:rsidRPr="00E27082">
        <w:rPr>
          <w:rStyle w:val="FootnotetextChar0"/>
        </w:rPr>
        <w:t>Tina River</w:t>
      </w:r>
      <w:r w:rsidRPr="00E27082">
        <w:rPr>
          <w:rStyle w:val="FootnotetextChar0"/>
        </w:rPr>
        <w:t xml:space="preserve"> transmission, </w:t>
      </w:r>
      <w:r w:rsidR="007208A7">
        <w:rPr>
          <w:rStyle w:val="FootnotetextChar0"/>
        </w:rPr>
        <w:t>AUD</w:t>
      </w:r>
      <w:r w:rsidRPr="00E27082">
        <w:rPr>
          <w:rStyle w:val="FootnotetextChar0"/>
        </w:rPr>
        <w:t>9</w:t>
      </w:r>
      <w:r w:rsidR="007208A7">
        <w:rPr>
          <w:rStyle w:val="FootnotetextChar0"/>
        </w:rPr>
        <w:t xml:space="preserve"> </w:t>
      </w:r>
      <w:r w:rsidRPr="00E27082">
        <w:rPr>
          <w:rStyle w:val="FootnotetextChar0"/>
        </w:rPr>
        <w:t>m</w:t>
      </w:r>
      <w:r w:rsidR="007208A7">
        <w:rPr>
          <w:rStyle w:val="FootnotetextChar0"/>
        </w:rPr>
        <w:t>illion</w:t>
      </w:r>
      <w:r w:rsidRPr="00E27082">
        <w:rPr>
          <w:rStyle w:val="FootnotetextChar0"/>
        </w:rPr>
        <w:t xml:space="preserve"> Sasape shipyard, up to </w:t>
      </w:r>
      <w:r w:rsidR="007208A7">
        <w:rPr>
          <w:rStyle w:val="FootnotetextChar0"/>
        </w:rPr>
        <w:t>AUD</w:t>
      </w:r>
      <w:r w:rsidRPr="00E27082">
        <w:rPr>
          <w:rStyle w:val="FootnotetextChar0"/>
        </w:rPr>
        <w:t>100</w:t>
      </w:r>
      <w:r w:rsidR="007208A7">
        <w:rPr>
          <w:rStyle w:val="FootnotetextChar0"/>
        </w:rPr>
        <w:t xml:space="preserve"> </w:t>
      </w:r>
      <w:r w:rsidRPr="00E27082">
        <w:rPr>
          <w:rStyle w:val="FootnotetextChar0"/>
        </w:rPr>
        <w:t>m</w:t>
      </w:r>
      <w:r w:rsidR="007208A7">
        <w:rPr>
          <w:rStyle w:val="FootnotetextChar0"/>
        </w:rPr>
        <w:t>illion</w:t>
      </w:r>
      <w:r w:rsidRPr="00E27082">
        <w:rPr>
          <w:rStyle w:val="FootnotetextChar0"/>
        </w:rPr>
        <w:t xml:space="preserve"> in late 2024 for a new ICT cable</w:t>
      </w:r>
    </w:p>
  </w:footnote>
  <w:footnote w:id="14">
    <w:p w14:paraId="25941B3F" w14:textId="77777777" w:rsidR="003448EB" w:rsidRDefault="003448EB" w:rsidP="003448EB">
      <w:pPr>
        <w:pStyle w:val="FootnoteText"/>
      </w:pPr>
      <w:r>
        <w:rPr>
          <w:rStyle w:val="FootnoteReference"/>
        </w:rPr>
        <w:footnoteRef/>
      </w:r>
      <w:r>
        <w:t xml:space="preserve">  The Guardian, 4 September 2023.</w:t>
      </w:r>
    </w:p>
  </w:footnote>
  <w:footnote w:id="15">
    <w:p w14:paraId="3DE60EA1" w14:textId="77777777" w:rsidR="003448EB" w:rsidRDefault="003448EB" w:rsidP="003448EB">
      <w:pPr>
        <w:pStyle w:val="FootnoteText"/>
      </w:pPr>
      <w:r>
        <w:rPr>
          <w:rStyle w:val="FootnoteReference"/>
        </w:rPr>
        <w:footnoteRef/>
      </w:r>
      <w:r>
        <w:t xml:space="preserve">  The Guardian, 22 August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AE69" w14:textId="1ED060DD" w:rsidR="004E5C1A" w:rsidRDefault="004E5C1A">
    <w:pPr>
      <w:pStyle w:val="Header"/>
    </w:pPr>
    <w:r>
      <w:rPr>
        <w:noProof/>
      </w:rPr>
      <w:drawing>
        <wp:anchor distT="0" distB="0" distL="114300" distR="114300" simplePos="0" relativeHeight="251658242" behindDoc="0" locked="0" layoutInCell="1" allowOverlap="1" wp14:anchorId="3B20B61B" wp14:editId="70F71002">
          <wp:simplePos x="0" y="0"/>
          <wp:positionH relativeFrom="rightMargin">
            <wp:posOffset>0</wp:posOffset>
          </wp:positionH>
          <wp:positionV relativeFrom="paragraph">
            <wp:posOffset>75565</wp:posOffset>
          </wp:positionV>
          <wp:extent cx="346841" cy="346841"/>
          <wp:effectExtent l="0" t="0" r="0" b="0"/>
          <wp:wrapSquare wrapText="bothSides"/>
          <wp:docPr id="1681355200" name="Picture 1681355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D0A7" w14:textId="0811068C" w:rsidR="00CD3D4D" w:rsidRDefault="00CD3D4D" w:rsidP="00370438">
    <w:pPr>
      <w:pStyle w:val="Header"/>
    </w:pPr>
    <w:r>
      <w:rPr>
        <w:noProof/>
      </w:rPr>
      <w:drawing>
        <wp:anchor distT="0" distB="0" distL="114300" distR="114300" simplePos="0" relativeHeight="251658240" behindDoc="0" locked="0" layoutInCell="1" allowOverlap="1" wp14:anchorId="1034F0F2" wp14:editId="4A0E0D25">
          <wp:simplePos x="0" y="0"/>
          <wp:positionH relativeFrom="rightMargin">
            <wp:align>left</wp:align>
          </wp:positionH>
          <wp:positionV relativeFrom="paragraph">
            <wp:posOffset>75565</wp:posOffset>
          </wp:positionV>
          <wp:extent cx="346841" cy="346841"/>
          <wp:effectExtent l="0" t="0" r="0" b="0"/>
          <wp:wrapSquare wrapText="bothSides"/>
          <wp:docPr id="435235755" name="Picture 4352357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5528" w14:textId="198AD3C6" w:rsidR="001C0238" w:rsidRDefault="001C0238" w:rsidP="00370438">
    <w:pPr>
      <w:pStyle w:val="Header"/>
    </w:pPr>
    <w:r>
      <w:rPr>
        <w:noProof/>
      </w:rPr>
      <w:drawing>
        <wp:anchor distT="0" distB="0" distL="114300" distR="114300" simplePos="0" relativeHeight="251658241" behindDoc="0" locked="0" layoutInCell="1" allowOverlap="1" wp14:anchorId="544429E7" wp14:editId="6D1F5056">
          <wp:simplePos x="0" y="0"/>
          <wp:positionH relativeFrom="column">
            <wp:posOffset>5633720</wp:posOffset>
          </wp:positionH>
          <wp:positionV relativeFrom="paragraph">
            <wp:posOffset>102870</wp:posOffset>
          </wp:positionV>
          <wp:extent cx="346841" cy="346841"/>
          <wp:effectExtent l="0" t="0" r="0" b="0"/>
          <wp:wrapSquare wrapText="bothSides"/>
          <wp:docPr id="469533731" name="Picture 469533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6841" cy="3468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1CF"/>
    <w:multiLevelType w:val="hybridMultilevel"/>
    <w:tmpl w:val="B720B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54BEA"/>
    <w:multiLevelType w:val="hybridMultilevel"/>
    <w:tmpl w:val="0AA25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81166"/>
    <w:multiLevelType w:val="multilevel"/>
    <w:tmpl w:val="94CA795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42AE3"/>
    <w:multiLevelType w:val="hybridMultilevel"/>
    <w:tmpl w:val="27DED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E2C09"/>
    <w:multiLevelType w:val="hybridMultilevel"/>
    <w:tmpl w:val="01FC8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A6384D"/>
    <w:multiLevelType w:val="hybridMultilevel"/>
    <w:tmpl w:val="2446E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CE786E"/>
    <w:multiLevelType w:val="hybridMultilevel"/>
    <w:tmpl w:val="441EB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BF1F24"/>
    <w:multiLevelType w:val="hybridMultilevel"/>
    <w:tmpl w:val="B930D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C32837"/>
    <w:multiLevelType w:val="hybridMultilevel"/>
    <w:tmpl w:val="ED3E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2A50F1"/>
    <w:multiLevelType w:val="hybridMultilevel"/>
    <w:tmpl w:val="08F2B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C945A5"/>
    <w:multiLevelType w:val="hybridMultilevel"/>
    <w:tmpl w:val="3B8E0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51551"/>
    <w:multiLevelType w:val="hybridMultilevel"/>
    <w:tmpl w:val="FBA8E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1C7A26"/>
    <w:multiLevelType w:val="hybridMultilevel"/>
    <w:tmpl w:val="C070F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D7C0E9F"/>
    <w:multiLevelType w:val="hybridMultilevel"/>
    <w:tmpl w:val="32C28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5F01E4"/>
    <w:multiLevelType w:val="hybridMultilevel"/>
    <w:tmpl w:val="847CF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705BC4"/>
    <w:multiLevelType w:val="hybridMultilevel"/>
    <w:tmpl w:val="51C8F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257596"/>
    <w:multiLevelType w:val="hybridMultilevel"/>
    <w:tmpl w:val="BB228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3B6B43"/>
    <w:multiLevelType w:val="hybridMultilevel"/>
    <w:tmpl w:val="6790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64009"/>
    <w:multiLevelType w:val="hybridMultilevel"/>
    <w:tmpl w:val="D1483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8442BB"/>
    <w:multiLevelType w:val="hybridMultilevel"/>
    <w:tmpl w:val="A9F25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D11279"/>
    <w:multiLevelType w:val="hybridMultilevel"/>
    <w:tmpl w:val="C61A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57575"/>
    <w:multiLevelType w:val="hybridMultilevel"/>
    <w:tmpl w:val="D186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225119"/>
    <w:multiLevelType w:val="hybridMultilevel"/>
    <w:tmpl w:val="F4540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D83815"/>
    <w:multiLevelType w:val="hybridMultilevel"/>
    <w:tmpl w:val="64AC76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7D6595"/>
    <w:multiLevelType w:val="hybridMultilevel"/>
    <w:tmpl w:val="85C6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CC5B9E"/>
    <w:multiLevelType w:val="hybridMultilevel"/>
    <w:tmpl w:val="1E1435A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286512"/>
    <w:multiLevelType w:val="multilevel"/>
    <w:tmpl w:val="714E25C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AAB7937"/>
    <w:multiLevelType w:val="hybridMultilevel"/>
    <w:tmpl w:val="246E1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D07E8D"/>
    <w:multiLevelType w:val="hybridMultilevel"/>
    <w:tmpl w:val="BF54A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8465C6"/>
    <w:multiLevelType w:val="hybridMultilevel"/>
    <w:tmpl w:val="636C9052"/>
    <w:lvl w:ilvl="0" w:tplc="FFFFFFFF">
      <w:start w:val="1"/>
      <w:numFmt w:val="bullet"/>
      <w:lvlText w:val=""/>
      <w:lvlJc w:val="left"/>
      <w:pPr>
        <w:ind w:left="720" w:hanging="360"/>
      </w:pPr>
      <w:rPr>
        <w:rFonts w:ascii="Symbol" w:hAnsi="Symbol" w:hint="default"/>
        <w:color w:val="auto"/>
      </w:rPr>
    </w:lvl>
    <w:lvl w:ilvl="1" w:tplc="09403132">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0" w15:restartNumberingAfterBreak="0">
    <w:nsid w:val="721720C3"/>
    <w:multiLevelType w:val="hybridMultilevel"/>
    <w:tmpl w:val="42E6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6E166A"/>
    <w:multiLevelType w:val="hybridMultilevel"/>
    <w:tmpl w:val="1EC61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02694A"/>
    <w:multiLevelType w:val="hybridMultilevel"/>
    <w:tmpl w:val="1EB4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B80C11"/>
    <w:multiLevelType w:val="hybridMultilevel"/>
    <w:tmpl w:val="43546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6C7C2D"/>
    <w:multiLevelType w:val="hybridMultilevel"/>
    <w:tmpl w:val="A120F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3022009">
    <w:abstractNumId w:val="26"/>
  </w:num>
  <w:num w:numId="2" w16cid:durableId="886456686">
    <w:abstractNumId w:val="29"/>
  </w:num>
  <w:num w:numId="3" w16cid:durableId="1588423456">
    <w:abstractNumId w:val="28"/>
  </w:num>
  <w:num w:numId="4" w16cid:durableId="1230504319">
    <w:abstractNumId w:val="2"/>
  </w:num>
  <w:num w:numId="5" w16cid:durableId="600652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2478396">
    <w:abstractNumId w:val="23"/>
  </w:num>
  <w:num w:numId="7" w16cid:durableId="1808275438">
    <w:abstractNumId w:val="12"/>
  </w:num>
  <w:num w:numId="8" w16cid:durableId="301809628">
    <w:abstractNumId w:val="5"/>
  </w:num>
  <w:num w:numId="9" w16cid:durableId="1735008193">
    <w:abstractNumId w:val="33"/>
  </w:num>
  <w:num w:numId="10" w16cid:durableId="864366834">
    <w:abstractNumId w:val="27"/>
  </w:num>
  <w:num w:numId="11" w16cid:durableId="1253926693">
    <w:abstractNumId w:val="20"/>
  </w:num>
  <w:num w:numId="12" w16cid:durableId="2145345523">
    <w:abstractNumId w:val="15"/>
  </w:num>
  <w:num w:numId="13" w16cid:durableId="362947440">
    <w:abstractNumId w:val="19"/>
  </w:num>
  <w:num w:numId="14" w16cid:durableId="554851077">
    <w:abstractNumId w:val="1"/>
  </w:num>
  <w:num w:numId="15" w16cid:durableId="1807887789">
    <w:abstractNumId w:val="4"/>
  </w:num>
  <w:num w:numId="16" w16cid:durableId="2102870439">
    <w:abstractNumId w:val="30"/>
  </w:num>
  <w:num w:numId="17" w16cid:durableId="2001083125">
    <w:abstractNumId w:val="22"/>
  </w:num>
  <w:num w:numId="18" w16cid:durableId="969362012">
    <w:abstractNumId w:val="24"/>
  </w:num>
  <w:num w:numId="19" w16cid:durableId="2101218461">
    <w:abstractNumId w:val="25"/>
  </w:num>
  <w:num w:numId="20" w16cid:durableId="2111048214">
    <w:abstractNumId w:val="7"/>
  </w:num>
  <w:num w:numId="21" w16cid:durableId="1222669187">
    <w:abstractNumId w:val="18"/>
  </w:num>
  <w:num w:numId="22" w16cid:durableId="1730882155">
    <w:abstractNumId w:val="34"/>
  </w:num>
  <w:num w:numId="23" w16cid:durableId="1701205372">
    <w:abstractNumId w:val="14"/>
  </w:num>
  <w:num w:numId="24" w16cid:durableId="280378963">
    <w:abstractNumId w:val="9"/>
  </w:num>
  <w:num w:numId="25" w16cid:durableId="1335693200">
    <w:abstractNumId w:val="10"/>
  </w:num>
  <w:num w:numId="26" w16cid:durableId="87510795">
    <w:abstractNumId w:val="8"/>
  </w:num>
  <w:num w:numId="27" w16cid:durableId="1973053407">
    <w:abstractNumId w:val="6"/>
  </w:num>
  <w:num w:numId="28" w16cid:durableId="584412039">
    <w:abstractNumId w:val="31"/>
  </w:num>
  <w:num w:numId="29" w16cid:durableId="2025201003">
    <w:abstractNumId w:val="16"/>
  </w:num>
  <w:num w:numId="30" w16cid:durableId="1029767509">
    <w:abstractNumId w:val="17"/>
  </w:num>
  <w:num w:numId="31" w16cid:durableId="1890871177">
    <w:abstractNumId w:val="11"/>
  </w:num>
  <w:num w:numId="32" w16cid:durableId="1257399102">
    <w:abstractNumId w:val="0"/>
  </w:num>
  <w:num w:numId="33" w16cid:durableId="835346563">
    <w:abstractNumId w:val="13"/>
  </w:num>
  <w:num w:numId="34" w16cid:durableId="2013340435">
    <w:abstractNumId w:val="21"/>
  </w:num>
  <w:num w:numId="35" w16cid:durableId="2109307715">
    <w:abstractNumId w:val="3"/>
  </w:num>
  <w:num w:numId="36" w16cid:durableId="180677988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3C"/>
    <w:rsid w:val="0000072D"/>
    <w:rsid w:val="00001219"/>
    <w:rsid w:val="0000198B"/>
    <w:rsid w:val="00001B9C"/>
    <w:rsid w:val="00001E5B"/>
    <w:rsid w:val="00001E7D"/>
    <w:rsid w:val="00001EA3"/>
    <w:rsid w:val="00002448"/>
    <w:rsid w:val="0000295E"/>
    <w:rsid w:val="00003780"/>
    <w:rsid w:val="0000400E"/>
    <w:rsid w:val="00004530"/>
    <w:rsid w:val="00004B51"/>
    <w:rsid w:val="00006352"/>
    <w:rsid w:val="00006650"/>
    <w:rsid w:val="00006D94"/>
    <w:rsid w:val="000114F6"/>
    <w:rsid w:val="00011603"/>
    <w:rsid w:val="000117E1"/>
    <w:rsid w:val="00012A78"/>
    <w:rsid w:val="00012D4A"/>
    <w:rsid w:val="00012EAF"/>
    <w:rsid w:val="000133B6"/>
    <w:rsid w:val="00013577"/>
    <w:rsid w:val="00013A1F"/>
    <w:rsid w:val="000141AF"/>
    <w:rsid w:val="000147FF"/>
    <w:rsid w:val="00015087"/>
    <w:rsid w:val="00015D6D"/>
    <w:rsid w:val="00015E2E"/>
    <w:rsid w:val="0001600C"/>
    <w:rsid w:val="000165CD"/>
    <w:rsid w:val="0001794F"/>
    <w:rsid w:val="00021085"/>
    <w:rsid w:val="000211C4"/>
    <w:rsid w:val="00021BAD"/>
    <w:rsid w:val="000221B8"/>
    <w:rsid w:val="00022979"/>
    <w:rsid w:val="00022E82"/>
    <w:rsid w:val="000232E2"/>
    <w:rsid w:val="00023344"/>
    <w:rsid w:val="00023815"/>
    <w:rsid w:val="0002382E"/>
    <w:rsid w:val="000238DB"/>
    <w:rsid w:val="00024179"/>
    <w:rsid w:val="000242AB"/>
    <w:rsid w:val="00024A62"/>
    <w:rsid w:val="00024B59"/>
    <w:rsid w:val="00025458"/>
    <w:rsid w:val="00025511"/>
    <w:rsid w:val="0002683F"/>
    <w:rsid w:val="0002690F"/>
    <w:rsid w:val="0002693B"/>
    <w:rsid w:val="00026965"/>
    <w:rsid w:val="00027679"/>
    <w:rsid w:val="00027984"/>
    <w:rsid w:val="00030233"/>
    <w:rsid w:val="0003049B"/>
    <w:rsid w:val="0003063E"/>
    <w:rsid w:val="00030FAA"/>
    <w:rsid w:val="00031569"/>
    <w:rsid w:val="0003178A"/>
    <w:rsid w:val="00031E84"/>
    <w:rsid w:val="0003291A"/>
    <w:rsid w:val="000329FA"/>
    <w:rsid w:val="00032A63"/>
    <w:rsid w:val="00032F9E"/>
    <w:rsid w:val="0003406A"/>
    <w:rsid w:val="00034211"/>
    <w:rsid w:val="000344CD"/>
    <w:rsid w:val="00035B90"/>
    <w:rsid w:val="000363B0"/>
    <w:rsid w:val="0003777F"/>
    <w:rsid w:val="00037EDF"/>
    <w:rsid w:val="000401CE"/>
    <w:rsid w:val="00040836"/>
    <w:rsid w:val="00041D7D"/>
    <w:rsid w:val="0004218B"/>
    <w:rsid w:val="00042349"/>
    <w:rsid w:val="00042D66"/>
    <w:rsid w:val="00043228"/>
    <w:rsid w:val="000433CF"/>
    <w:rsid w:val="00043F4D"/>
    <w:rsid w:val="0004559E"/>
    <w:rsid w:val="0004584F"/>
    <w:rsid w:val="00046519"/>
    <w:rsid w:val="00047638"/>
    <w:rsid w:val="00047FA7"/>
    <w:rsid w:val="00051C06"/>
    <w:rsid w:val="00053A5C"/>
    <w:rsid w:val="000543D5"/>
    <w:rsid w:val="000546F2"/>
    <w:rsid w:val="00054C62"/>
    <w:rsid w:val="0005770C"/>
    <w:rsid w:val="0006074F"/>
    <w:rsid w:val="00061394"/>
    <w:rsid w:val="00061F5F"/>
    <w:rsid w:val="000620A1"/>
    <w:rsid w:val="000623E1"/>
    <w:rsid w:val="0006293E"/>
    <w:rsid w:val="00062ABE"/>
    <w:rsid w:val="0006357C"/>
    <w:rsid w:val="0006388B"/>
    <w:rsid w:val="00063C7F"/>
    <w:rsid w:val="000645C9"/>
    <w:rsid w:val="00065163"/>
    <w:rsid w:val="00065508"/>
    <w:rsid w:val="000659F4"/>
    <w:rsid w:val="00065BC2"/>
    <w:rsid w:val="00066785"/>
    <w:rsid w:val="000669F4"/>
    <w:rsid w:val="00066F96"/>
    <w:rsid w:val="00067843"/>
    <w:rsid w:val="00067C4F"/>
    <w:rsid w:val="00067D54"/>
    <w:rsid w:val="00070010"/>
    <w:rsid w:val="00070016"/>
    <w:rsid w:val="000707FD"/>
    <w:rsid w:val="00071058"/>
    <w:rsid w:val="00071086"/>
    <w:rsid w:val="000710A9"/>
    <w:rsid w:val="000711FD"/>
    <w:rsid w:val="000717D4"/>
    <w:rsid w:val="0007329E"/>
    <w:rsid w:val="00074C21"/>
    <w:rsid w:val="00075B05"/>
    <w:rsid w:val="0007653E"/>
    <w:rsid w:val="00076D40"/>
    <w:rsid w:val="0007797B"/>
    <w:rsid w:val="00080476"/>
    <w:rsid w:val="000809E7"/>
    <w:rsid w:val="00081387"/>
    <w:rsid w:val="000813CB"/>
    <w:rsid w:val="00081D08"/>
    <w:rsid w:val="000821FD"/>
    <w:rsid w:val="000840B4"/>
    <w:rsid w:val="00085371"/>
    <w:rsid w:val="00085651"/>
    <w:rsid w:val="0008579B"/>
    <w:rsid w:val="00085B2F"/>
    <w:rsid w:val="000867F2"/>
    <w:rsid w:val="00091182"/>
    <w:rsid w:val="00091BC2"/>
    <w:rsid w:val="00091D9C"/>
    <w:rsid w:val="00092FCF"/>
    <w:rsid w:val="00093754"/>
    <w:rsid w:val="00093B3A"/>
    <w:rsid w:val="00093B86"/>
    <w:rsid w:val="000951DA"/>
    <w:rsid w:val="000961AC"/>
    <w:rsid w:val="000962F8"/>
    <w:rsid w:val="00097916"/>
    <w:rsid w:val="000A03C0"/>
    <w:rsid w:val="000A0AA4"/>
    <w:rsid w:val="000A0EAE"/>
    <w:rsid w:val="000A1C72"/>
    <w:rsid w:val="000A1CB2"/>
    <w:rsid w:val="000A20DF"/>
    <w:rsid w:val="000A2AFF"/>
    <w:rsid w:val="000A3444"/>
    <w:rsid w:val="000A3818"/>
    <w:rsid w:val="000A3825"/>
    <w:rsid w:val="000A4AE6"/>
    <w:rsid w:val="000A4C04"/>
    <w:rsid w:val="000A4C5B"/>
    <w:rsid w:val="000A4F2D"/>
    <w:rsid w:val="000A50E2"/>
    <w:rsid w:val="000A5103"/>
    <w:rsid w:val="000A5331"/>
    <w:rsid w:val="000A5447"/>
    <w:rsid w:val="000A624B"/>
    <w:rsid w:val="000A695A"/>
    <w:rsid w:val="000A7734"/>
    <w:rsid w:val="000A78FD"/>
    <w:rsid w:val="000A7B9F"/>
    <w:rsid w:val="000A7D0A"/>
    <w:rsid w:val="000B0005"/>
    <w:rsid w:val="000B0BAA"/>
    <w:rsid w:val="000B20A1"/>
    <w:rsid w:val="000B23E6"/>
    <w:rsid w:val="000B3A73"/>
    <w:rsid w:val="000B418B"/>
    <w:rsid w:val="000B483C"/>
    <w:rsid w:val="000B48D0"/>
    <w:rsid w:val="000B4D11"/>
    <w:rsid w:val="000B592F"/>
    <w:rsid w:val="000B5ADE"/>
    <w:rsid w:val="000B6276"/>
    <w:rsid w:val="000B65E1"/>
    <w:rsid w:val="000B67BB"/>
    <w:rsid w:val="000B6FAC"/>
    <w:rsid w:val="000B6FE4"/>
    <w:rsid w:val="000B71A6"/>
    <w:rsid w:val="000B75F8"/>
    <w:rsid w:val="000C057E"/>
    <w:rsid w:val="000C0C0A"/>
    <w:rsid w:val="000C1139"/>
    <w:rsid w:val="000C23D8"/>
    <w:rsid w:val="000C2488"/>
    <w:rsid w:val="000C2F3B"/>
    <w:rsid w:val="000C4586"/>
    <w:rsid w:val="000C4814"/>
    <w:rsid w:val="000C6084"/>
    <w:rsid w:val="000C6222"/>
    <w:rsid w:val="000C649C"/>
    <w:rsid w:val="000C73B2"/>
    <w:rsid w:val="000C7BA0"/>
    <w:rsid w:val="000D0499"/>
    <w:rsid w:val="000D0549"/>
    <w:rsid w:val="000D0E54"/>
    <w:rsid w:val="000D24E4"/>
    <w:rsid w:val="000D27D7"/>
    <w:rsid w:val="000D379C"/>
    <w:rsid w:val="000D4097"/>
    <w:rsid w:val="000D4291"/>
    <w:rsid w:val="000D47EF"/>
    <w:rsid w:val="000D4930"/>
    <w:rsid w:val="000D50CA"/>
    <w:rsid w:val="000D6428"/>
    <w:rsid w:val="000D6A3E"/>
    <w:rsid w:val="000D79A7"/>
    <w:rsid w:val="000D7B76"/>
    <w:rsid w:val="000E02F0"/>
    <w:rsid w:val="000E035E"/>
    <w:rsid w:val="000E103C"/>
    <w:rsid w:val="000E3026"/>
    <w:rsid w:val="000E3C8D"/>
    <w:rsid w:val="000E5263"/>
    <w:rsid w:val="000E6077"/>
    <w:rsid w:val="000E693D"/>
    <w:rsid w:val="000E73F0"/>
    <w:rsid w:val="000E77FD"/>
    <w:rsid w:val="000F0B4B"/>
    <w:rsid w:val="000F1ECD"/>
    <w:rsid w:val="000F3A8E"/>
    <w:rsid w:val="000F44B4"/>
    <w:rsid w:val="000F47C0"/>
    <w:rsid w:val="000F5B14"/>
    <w:rsid w:val="000F6079"/>
    <w:rsid w:val="000F6296"/>
    <w:rsid w:val="000F655B"/>
    <w:rsid w:val="000F656E"/>
    <w:rsid w:val="000F66CB"/>
    <w:rsid w:val="000F6737"/>
    <w:rsid w:val="000F6AA2"/>
    <w:rsid w:val="000F6E9F"/>
    <w:rsid w:val="000F7051"/>
    <w:rsid w:val="000F71A6"/>
    <w:rsid w:val="000F75A6"/>
    <w:rsid w:val="000F784E"/>
    <w:rsid w:val="000F7E50"/>
    <w:rsid w:val="00100D5B"/>
    <w:rsid w:val="00100EA0"/>
    <w:rsid w:val="00101424"/>
    <w:rsid w:val="00101C85"/>
    <w:rsid w:val="00101D1A"/>
    <w:rsid w:val="00101F45"/>
    <w:rsid w:val="0010226F"/>
    <w:rsid w:val="001024A3"/>
    <w:rsid w:val="00102C63"/>
    <w:rsid w:val="00102F2D"/>
    <w:rsid w:val="0010392A"/>
    <w:rsid w:val="00103FBE"/>
    <w:rsid w:val="00104262"/>
    <w:rsid w:val="001042A1"/>
    <w:rsid w:val="00105439"/>
    <w:rsid w:val="0010627D"/>
    <w:rsid w:val="001072E2"/>
    <w:rsid w:val="00110309"/>
    <w:rsid w:val="001110CC"/>
    <w:rsid w:val="00111139"/>
    <w:rsid w:val="0011140B"/>
    <w:rsid w:val="00112031"/>
    <w:rsid w:val="001120A6"/>
    <w:rsid w:val="00112389"/>
    <w:rsid w:val="001133B9"/>
    <w:rsid w:val="001142BF"/>
    <w:rsid w:val="001153C7"/>
    <w:rsid w:val="00115EF9"/>
    <w:rsid w:val="0011613A"/>
    <w:rsid w:val="0011682D"/>
    <w:rsid w:val="00116ED1"/>
    <w:rsid w:val="00117EFA"/>
    <w:rsid w:val="0012055F"/>
    <w:rsid w:val="00121508"/>
    <w:rsid w:val="0012490F"/>
    <w:rsid w:val="00124982"/>
    <w:rsid w:val="00124B75"/>
    <w:rsid w:val="001255D3"/>
    <w:rsid w:val="00125884"/>
    <w:rsid w:val="00126A67"/>
    <w:rsid w:val="00126DE3"/>
    <w:rsid w:val="0012715B"/>
    <w:rsid w:val="00130AD8"/>
    <w:rsid w:val="00131402"/>
    <w:rsid w:val="00132DE5"/>
    <w:rsid w:val="00132FEE"/>
    <w:rsid w:val="001330FE"/>
    <w:rsid w:val="0013408F"/>
    <w:rsid w:val="001347E0"/>
    <w:rsid w:val="00134EAE"/>
    <w:rsid w:val="00137C94"/>
    <w:rsid w:val="00140862"/>
    <w:rsid w:val="0014160B"/>
    <w:rsid w:val="00141671"/>
    <w:rsid w:val="001416B4"/>
    <w:rsid w:val="001417E6"/>
    <w:rsid w:val="0014273E"/>
    <w:rsid w:val="00142A9F"/>
    <w:rsid w:val="00142F8E"/>
    <w:rsid w:val="001431AD"/>
    <w:rsid w:val="001443C4"/>
    <w:rsid w:val="001449E4"/>
    <w:rsid w:val="00144AE7"/>
    <w:rsid w:val="00144E6D"/>
    <w:rsid w:val="00145342"/>
    <w:rsid w:val="001457E4"/>
    <w:rsid w:val="00146268"/>
    <w:rsid w:val="00146E15"/>
    <w:rsid w:val="001471DC"/>
    <w:rsid w:val="00147957"/>
    <w:rsid w:val="00147BF5"/>
    <w:rsid w:val="00147FAE"/>
    <w:rsid w:val="00151213"/>
    <w:rsid w:val="00151765"/>
    <w:rsid w:val="00153114"/>
    <w:rsid w:val="001532A5"/>
    <w:rsid w:val="00153EB0"/>
    <w:rsid w:val="00154D45"/>
    <w:rsid w:val="00155041"/>
    <w:rsid w:val="00155161"/>
    <w:rsid w:val="0015625D"/>
    <w:rsid w:val="001572FA"/>
    <w:rsid w:val="00157935"/>
    <w:rsid w:val="00157E84"/>
    <w:rsid w:val="001607E0"/>
    <w:rsid w:val="00162BA0"/>
    <w:rsid w:val="00163EBC"/>
    <w:rsid w:val="00164828"/>
    <w:rsid w:val="00164E39"/>
    <w:rsid w:val="00164ECF"/>
    <w:rsid w:val="001666AD"/>
    <w:rsid w:val="00166D6C"/>
    <w:rsid w:val="00166ED3"/>
    <w:rsid w:val="001675E9"/>
    <w:rsid w:val="00170B4D"/>
    <w:rsid w:val="00170C25"/>
    <w:rsid w:val="00170E3A"/>
    <w:rsid w:val="00171081"/>
    <w:rsid w:val="001717B1"/>
    <w:rsid w:val="0017184F"/>
    <w:rsid w:val="00171E5E"/>
    <w:rsid w:val="001720E4"/>
    <w:rsid w:val="0017417E"/>
    <w:rsid w:val="001741BE"/>
    <w:rsid w:val="00174504"/>
    <w:rsid w:val="00175053"/>
    <w:rsid w:val="0017597A"/>
    <w:rsid w:val="00175DD4"/>
    <w:rsid w:val="00176ABA"/>
    <w:rsid w:val="00176B57"/>
    <w:rsid w:val="00177512"/>
    <w:rsid w:val="001805CA"/>
    <w:rsid w:val="00180A9C"/>
    <w:rsid w:val="00180CEC"/>
    <w:rsid w:val="00180FEF"/>
    <w:rsid w:val="0018149A"/>
    <w:rsid w:val="0018187B"/>
    <w:rsid w:val="0018245A"/>
    <w:rsid w:val="00182992"/>
    <w:rsid w:val="00183723"/>
    <w:rsid w:val="00184281"/>
    <w:rsid w:val="001848AE"/>
    <w:rsid w:val="00184E46"/>
    <w:rsid w:val="00185ACE"/>
    <w:rsid w:val="00185BD1"/>
    <w:rsid w:val="00187B63"/>
    <w:rsid w:val="00187CD2"/>
    <w:rsid w:val="001902C3"/>
    <w:rsid w:val="0019068C"/>
    <w:rsid w:val="00190851"/>
    <w:rsid w:val="00190FC0"/>
    <w:rsid w:val="00191287"/>
    <w:rsid w:val="001916D0"/>
    <w:rsid w:val="001916DF"/>
    <w:rsid w:val="0019196A"/>
    <w:rsid w:val="00191A11"/>
    <w:rsid w:val="00192492"/>
    <w:rsid w:val="001928BE"/>
    <w:rsid w:val="00192CBF"/>
    <w:rsid w:val="00192DB7"/>
    <w:rsid w:val="001930A9"/>
    <w:rsid w:val="00193F2D"/>
    <w:rsid w:val="001942FC"/>
    <w:rsid w:val="001974CF"/>
    <w:rsid w:val="0019792C"/>
    <w:rsid w:val="00197C58"/>
    <w:rsid w:val="00197C5D"/>
    <w:rsid w:val="00197F1D"/>
    <w:rsid w:val="001A030D"/>
    <w:rsid w:val="001A0C89"/>
    <w:rsid w:val="001A118F"/>
    <w:rsid w:val="001A201A"/>
    <w:rsid w:val="001A21EF"/>
    <w:rsid w:val="001A308C"/>
    <w:rsid w:val="001A30C3"/>
    <w:rsid w:val="001A3137"/>
    <w:rsid w:val="001A35F8"/>
    <w:rsid w:val="001A3925"/>
    <w:rsid w:val="001A3A0B"/>
    <w:rsid w:val="001A6B8E"/>
    <w:rsid w:val="001A739B"/>
    <w:rsid w:val="001A7A5C"/>
    <w:rsid w:val="001A7D00"/>
    <w:rsid w:val="001B0B6B"/>
    <w:rsid w:val="001B0BB1"/>
    <w:rsid w:val="001B1C5C"/>
    <w:rsid w:val="001B2A45"/>
    <w:rsid w:val="001B2B20"/>
    <w:rsid w:val="001B3E58"/>
    <w:rsid w:val="001B401C"/>
    <w:rsid w:val="001B4100"/>
    <w:rsid w:val="001B4761"/>
    <w:rsid w:val="001B4B48"/>
    <w:rsid w:val="001B4CE0"/>
    <w:rsid w:val="001B532A"/>
    <w:rsid w:val="001B6195"/>
    <w:rsid w:val="001B69D0"/>
    <w:rsid w:val="001B77D4"/>
    <w:rsid w:val="001C0238"/>
    <w:rsid w:val="001C08C7"/>
    <w:rsid w:val="001C09D5"/>
    <w:rsid w:val="001C0BCA"/>
    <w:rsid w:val="001C10A7"/>
    <w:rsid w:val="001C1439"/>
    <w:rsid w:val="001C1D02"/>
    <w:rsid w:val="001C1ED6"/>
    <w:rsid w:val="001C25B4"/>
    <w:rsid w:val="001C2706"/>
    <w:rsid w:val="001C2D57"/>
    <w:rsid w:val="001C30B0"/>
    <w:rsid w:val="001C38B0"/>
    <w:rsid w:val="001C3ACA"/>
    <w:rsid w:val="001C3AFB"/>
    <w:rsid w:val="001C40DD"/>
    <w:rsid w:val="001C48FA"/>
    <w:rsid w:val="001C6666"/>
    <w:rsid w:val="001C71B1"/>
    <w:rsid w:val="001C758E"/>
    <w:rsid w:val="001D0243"/>
    <w:rsid w:val="001D067D"/>
    <w:rsid w:val="001D155C"/>
    <w:rsid w:val="001D1DF0"/>
    <w:rsid w:val="001D1E6B"/>
    <w:rsid w:val="001D2E9F"/>
    <w:rsid w:val="001D3AD0"/>
    <w:rsid w:val="001D3E66"/>
    <w:rsid w:val="001D41F9"/>
    <w:rsid w:val="001D42AA"/>
    <w:rsid w:val="001D460E"/>
    <w:rsid w:val="001D4A48"/>
    <w:rsid w:val="001D6353"/>
    <w:rsid w:val="001D6554"/>
    <w:rsid w:val="001D7D4C"/>
    <w:rsid w:val="001E0078"/>
    <w:rsid w:val="001E092F"/>
    <w:rsid w:val="001E11BE"/>
    <w:rsid w:val="001E14CD"/>
    <w:rsid w:val="001E2117"/>
    <w:rsid w:val="001E25F9"/>
    <w:rsid w:val="001E2ADF"/>
    <w:rsid w:val="001E37F9"/>
    <w:rsid w:val="001E3D2D"/>
    <w:rsid w:val="001E3D9A"/>
    <w:rsid w:val="001E4499"/>
    <w:rsid w:val="001E4886"/>
    <w:rsid w:val="001E49C1"/>
    <w:rsid w:val="001E54B6"/>
    <w:rsid w:val="001E64ED"/>
    <w:rsid w:val="001E6827"/>
    <w:rsid w:val="001E6F13"/>
    <w:rsid w:val="001E7710"/>
    <w:rsid w:val="001E789A"/>
    <w:rsid w:val="001F06EC"/>
    <w:rsid w:val="001F0DC1"/>
    <w:rsid w:val="001F0E5E"/>
    <w:rsid w:val="001F0F93"/>
    <w:rsid w:val="001F24F9"/>
    <w:rsid w:val="001F432F"/>
    <w:rsid w:val="001F442A"/>
    <w:rsid w:val="001F4727"/>
    <w:rsid w:val="001F5104"/>
    <w:rsid w:val="001F5732"/>
    <w:rsid w:val="001F62E1"/>
    <w:rsid w:val="001F6404"/>
    <w:rsid w:val="001F687E"/>
    <w:rsid w:val="001F7119"/>
    <w:rsid w:val="001F73AF"/>
    <w:rsid w:val="001F7CD2"/>
    <w:rsid w:val="002000B4"/>
    <w:rsid w:val="00200EF5"/>
    <w:rsid w:val="00201438"/>
    <w:rsid w:val="00203250"/>
    <w:rsid w:val="002038F0"/>
    <w:rsid w:val="0020415A"/>
    <w:rsid w:val="00205316"/>
    <w:rsid w:val="002053EB"/>
    <w:rsid w:val="00205575"/>
    <w:rsid w:val="002058C6"/>
    <w:rsid w:val="00205B06"/>
    <w:rsid w:val="00205FDD"/>
    <w:rsid w:val="002073D1"/>
    <w:rsid w:val="00207523"/>
    <w:rsid w:val="0020794C"/>
    <w:rsid w:val="00210158"/>
    <w:rsid w:val="00210ABE"/>
    <w:rsid w:val="00210E62"/>
    <w:rsid w:val="0021121D"/>
    <w:rsid w:val="002115D0"/>
    <w:rsid w:val="00211B66"/>
    <w:rsid w:val="00211B83"/>
    <w:rsid w:val="00212706"/>
    <w:rsid w:val="002136FF"/>
    <w:rsid w:val="00213888"/>
    <w:rsid w:val="002143BB"/>
    <w:rsid w:val="002144D8"/>
    <w:rsid w:val="00214B4B"/>
    <w:rsid w:val="00214C32"/>
    <w:rsid w:val="002154BB"/>
    <w:rsid w:val="00216314"/>
    <w:rsid w:val="00216497"/>
    <w:rsid w:val="00216915"/>
    <w:rsid w:val="00216B9A"/>
    <w:rsid w:val="00216E24"/>
    <w:rsid w:val="002177F1"/>
    <w:rsid w:val="00217AED"/>
    <w:rsid w:val="00220640"/>
    <w:rsid w:val="00220DD9"/>
    <w:rsid w:val="002210B6"/>
    <w:rsid w:val="00221460"/>
    <w:rsid w:val="00221A54"/>
    <w:rsid w:val="00222354"/>
    <w:rsid w:val="002226C2"/>
    <w:rsid w:val="00223343"/>
    <w:rsid w:val="002235B1"/>
    <w:rsid w:val="00223634"/>
    <w:rsid w:val="00223939"/>
    <w:rsid w:val="0022522C"/>
    <w:rsid w:val="00225545"/>
    <w:rsid w:val="00225677"/>
    <w:rsid w:val="0022617D"/>
    <w:rsid w:val="0022621C"/>
    <w:rsid w:val="00226522"/>
    <w:rsid w:val="00226E01"/>
    <w:rsid w:val="00227760"/>
    <w:rsid w:val="00227AD1"/>
    <w:rsid w:val="002319DA"/>
    <w:rsid w:val="00232343"/>
    <w:rsid w:val="0023315D"/>
    <w:rsid w:val="002336F5"/>
    <w:rsid w:val="00233778"/>
    <w:rsid w:val="00233C5B"/>
    <w:rsid w:val="0023439C"/>
    <w:rsid w:val="0023599C"/>
    <w:rsid w:val="00235F06"/>
    <w:rsid w:val="00236283"/>
    <w:rsid w:val="002368AF"/>
    <w:rsid w:val="002370DC"/>
    <w:rsid w:val="00240256"/>
    <w:rsid w:val="00240D2A"/>
    <w:rsid w:val="00241A8A"/>
    <w:rsid w:val="00241DBD"/>
    <w:rsid w:val="002421C5"/>
    <w:rsid w:val="00242A06"/>
    <w:rsid w:val="00242EA0"/>
    <w:rsid w:val="0024452E"/>
    <w:rsid w:val="00244B68"/>
    <w:rsid w:val="00244BC5"/>
    <w:rsid w:val="002453D0"/>
    <w:rsid w:val="00245E98"/>
    <w:rsid w:val="00246978"/>
    <w:rsid w:val="00247002"/>
    <w:rsid w:val="00247439"/>
    <w:rsid w:val="00247A76"/>
    <w:rsid w:val="00247D7C"/>
    <w:rsid w:val="002500A6"/>
    <w:rsid w:val="00250479"/>
    <w:rsid w:val="00250E65"/>
    <w:rsid w:val="0025174C"/>
    <w:rsid w:val="00251F98"/>
    <w:rsid w:val="00252312"/>
    <w:rsid w:val="00252397"/>
    <w:rsid w:val="0025248B"/>
    <w:rsid w:val="002534CD"/>
    <w:rsid w:val="002540AE"/>
    <w:rsid w:val="002543C4"/>
    <w:rsid w:val="002544AA"/>
    <w:rsid w:val="002545C6"/>
    <w:rsid w:val="00256101"/>
    <w:rsid w:val="002573F4"/>
    <w:rsid w:val="0026090D"/>
    <w:rsid w:val="00261C9B"/>
    <w:rsid w:val="002626D7"/>
    <w:rsid w:val="00262FB6"/>
    <w:rsid w:val="002630B5"/>
    <w:rsid w:val="002637C5"/>
    <w:rsid w:val="002638C2"/>
    <w:rsid w:val="00263F40"/>
    <w:rsid w:val="002645C5"/>
    <w:rsid w:val="00264A21"/>
    <w:rsid w:val="00265A84"/>
    <w:rsid w:val="00265B4E"/>
    <w:rsid w:val="0026668A"/>
    <w:rsid w:val="0026668E"/>
    <w:rsid w:val="00266F0F"/>
    <w:rsid w:val="0026727A"/>
    <w:rsid w:val="00267550"/>
    <w:rsid w:val="002676D9"/>
    <w:rsid w:val="002706D1"/>
    <w:rsid w:val="00270E7F"/>
    <w:rsid w:val="00271713"/>
    <w:rsid w:val="0027242A"/>
    <w:rsid w:val="00272E26"/>
    <w:rsid w:val="002754ED"/>
    <w:rsid w:val="00275983"/>
    <w:rsid w:val="00275DF4"/>
    <w:rsid w:val="00275EA4"/>
    <w:rsid w:val="00276782"/>
    <w:rsid w:val="00277933"/>
    <w:rsid w:val="002779BB"/>
    <w:rsid w:val="002800F3"/>
    <w:rsid w:val="00281141"/>
    <w:rsid w:val="0028124E"/>
    <w:rsid w:val="00282522"/>
    <w:rsid w:val="00282662"/>
    <w:rsid w:val="002838D8"/>
    <w:rsid w:val="00284C9C"/>
    <w:rsid w:val="00286C1B"/>
    <w:rsid w:val="0028726F"/>
    <w:rsid w:val="00287619"/>
    <w:rsid w:val="002900E9"/>
    <w:rsid w:val="00291516"/>
    <w:rsid w:val="0029183F"/>
    <w:rsid w:val="00292422"/>
    <w:rsid w:val="002929A2"/>
    <w:rsid w:val="00293D04"/>
    <w:rsid w:val="00293DF1"/>
    <w:rsid w:val="0029431B"/>
    <w:rsid w:val="0029460C"/>
    <w:rsid w:val="00295B04"/>
    <w:rsid w:val="00296324"/>
    <w:rsid w:val="0029658A"/>
    <w:rsid w:val="00297741"/>
    <w:rsid w:val="00297A3D"/>
    <w:rsid w:val="00297D36"/>
    <w:rsid w:val="002A0000"/>
    <w:rsid w:val="002A01FA"/>
    <w:rsid w:val="002A067D"/>
    <w:rsid w:val="002A1465"/>
    <w:rsid w:val="002A14D2"/>
    <w:rsid w:val="002A168D"/>
    <w:rsid w:val="002A1E7A"/>
    <w:rsid w:val="002A1EA7"/>
    <w:rsid w:val="002A200B"/>
    <w:rsid w:val="002A22B2"/>
    <w:rsid w:val="002A2A8E"/>
    <w:rsid w:val="002A32DB"/>
    <w:rsid w:val="002A3A9B"/>
    <w:rsid w:val="002A3E4D"/>
    <w:rsid w:val="002A4366"/>
    <w:rsid w:val="002A474B"/>
    <w:rsid w:val="002A475A"/>
    <w:rsid w:val="002A5ACA"/>
    <w:rsid w:val="002A63AD"/>
    <w:rsid w:val="002A65A5"/>
    <w:rsid w:val="002A7513"/>
    <w:rsid w:val="002A7D9C"/>
    <w:rsid w:val="002B0733"/>
    <w:rsid w:val="002B15C8"/>
    <w:rsid w:val="002B27D5"/>
    <w:rsid w:val="002B36A3"/>
    <w:rsid w:val="002B6018"/>
    <w:rsid w:val="002B68BA"/>
    <w:rsid w:val="002B6CDB"/>
    <w:rsid w:val="002B7339"/>
    <w:rsid w:val="002B7DCE"/>
    <w:rsid w:val="002C2117"/>
    <w:rsid w:val="002C37C3"/>
    <w:rsid w:val="002C5028"/>
    <w:rsid w:val="002C52D3"/>
    <w:rsid w:val="002C5AAB"/>
    <w:rsid w:val="002C5C25"/>
    <w:rsid w:val="002C66F5"/>
    <w:rsid w:val="002C6D12"/>
    <w:rsid w:val="002C6FF4"/>
    <w:rsid w:val="002C767B"/>
    <w:rsid w:val="002C7C3D"/>
    <w:rsid w:val="002D1C0F"/>
    <w:rsid w:val="002D1F6F"/>
    <w:rsid w:val="002D2026"/>
    <w:rsid w:val="002D211C"/>
    <w:rsid w:val="002D2DDA"/>
    <w:rsid w:val="002D3E73"/>
    <w:rsid w:val="002D4A8D"/>
    <w:rsid w:val="002D5714"/>
    <w:rsid w:val="002D5881"/>
    <w:rsid w:val="002D5C4B"/>
    <w:rsid w:val="002D649D"/>
    <w:rsid w:val="002D65DC"/>
    <w:rsid w:val="002D6CAB"/>
    <w:rsid w:val="002D7841"/>
    <w:rsid w:val="002D7B66"/>
    <w:rsid w:val="002D7C1D"/>
    <w:rsid w:val="002E027A"/>
    <w:rsid w:val="002E0EEF"/>
    <w:rsid w:val="002E1560"/>
    <w:rsid w:val="002E1931"/>
    <w:rsid w:val="002E4024"/>
    <w:rsid w:val="002E47DF"/>
    <w:rsid w:val="002E4B44"/>
    <w:rsid w:val="002E51A8"/>
    <w:rsid w:val="002E53DB"/>
    <w:rsid w:val="002E5E3F"/>
    <w:rsid w:val="002E5FC7"/>
    <w:rsid w:val="002E6A51"/>
    <w:rsid w:val="002E72A5"/>
    <w:rsid w:val="002E7498"/>
    <w:rsid w:val="002E7CA8"/>
    <w:rsid w:val="002F0156"/>
    <w:rsid w:val="002F081F"/>
    <w:rsid w:val="002F09C2"/>
    <w:rsid w:val="002F0EE6"/>
    <w:rsid w:val="002F1F57"/>
    <w:rsid w:val="002F2574"/>
    <w:rsid w:val="002F3685"/>
    <w:rsid w:val="002F3A78"/>
    <w:rsid w:val="002F47F5"/>
    <w:rsid w:val="002F4C0C"/>
    <w:rsid w:val="002F5791"/>
    <w:rsid w:val="002F5862"/>
    <w:rsid w:val="002F5B64"/>
    <w:rsid w:val="002F70D0"/>
    <w:rsid w:val="002F72CC"/>
    <w:rsid w:val="002F74BB"/>
    <w:rsid w:val="002F752E"/>
    <w:rsid w:val="00300A6C"/>
    <w:rsid w:val="00300C62"/>
    <w:rsid w:val="0030118F"/>
    <w:rsid w:val="00302093"/>
    <w:rsid w:val="00302632"/>
    <w:rsid w:val="003026B9"/>
    <w:rsid w:val="00303616"/>
    <w:rsid w:val="003037A0"/>
    <w:rsid w:val="003037CE"/>
    <w:rsid w:val="003037F2"/>
    <w:rsid w:val="00304414"/>
    <w:rsid w:val="00304FCE"/>
    <w:rsid w:val="003069B5"/>
    <w:rsid w:val="003070D8"/>
    <w:rsid w:val="0030719E"/>
    <w:rsid w:val="00307C67"/>
    <w:rsid w:val="00307E25"/>
    <w:rsid w:val="00312766"/>
    <w:rsid w:val="00312F1A"/>
    <w:rsid w:val="00312FD1"/>
    <w:rsid w:val="00313198"/>
    <w:rsid w:val="003137FF"/>
    <w:rsid w:val="00313ACE"/>
    <w:rsid w:val="003149B5"/>
    <w:rsid w:val="00314B4E"/>
    <w:rsid w:val="00315695"/>
    <w:rsid w:val="00315BA1"/>
    <w:rsid w:val="003166D3"/>
    <w:rsid w:val="00316A61"/>
    <w:rsid w:val="003173C0"/>
    <w:rsid w:val="00320322"/>
    <w:rsid w:val="00320534"/>
    <w:rsid w:val="0032145C"/>
    <w:rsid w:val="0032255B"/>
    <w:rsid w:val="0032273A"/>
    <w:rsid w:val="00325315"/>
    <w:rsid w:val="00325526"/>
    <w:rsid w:val="00326286"/>
    <w:rsid w:val="00326BDA"/>
    <w:rsid w:val="00326DCB"/>
    <w:rsid w:val="0032760F"/>
    <w:rsid w:val="00327BB3"/>
    <w:rsid w:val="00327C4C"/>
    <w:rsid w:val="0033001E"/>
    <w:rsid w:val="00330404"/>
    <w:rsid w:val="003310D8"/>
    <w:rsid w:val="00331744"/>
    <w:rsid w:val="00331984"/>
    <w:rsid w:val="003338EA"/>
    <w:rsid w:val="00334877"/>
    <w:rsid w:val="00334C30"/>
    <w:rsid w:val="00335016"/>
    <w:rsid w:val="003354CA"/>
    <w:rsid w:val="00335F1A"/>
    <w:rsid w:val="00335F6D"/>
    <w:rsid w:val="0033603B"/>
    <w:rsid w:val="003369ED"/>
    <w:rsid w:val="00336E37"/>
    <w:rsid w:val="00336E60"/>
    <w:rsid w:val="00337027"/>
    <w:rsid w:val="00337354"/>
    <w:rsid w:val="00340ABB"/>
    <w:rsid w:val="00341501"/>
    <w:rsid w:val="003421D7"/>
    <w:rsid w:val="00342C91"/>
    <w:rsid w:val="00343269"/>
    <w:rsid w:val="00343FBA"/>
    <w:rsid w:val="00344443"/>
    <w:rsid w:val="003448EB"/>
    <w:rsid w:val="003449CA"/>
    <w:rsid w:val="003457C4"/>
    <w:rsid w:val="00345E13"/>
    <w:rsid w:val="00346DFF"/>
    <w:rsid w:val="003474FA"/>
    <w:rsid w:val="00350C6E"/>
    <w:rsid w:val="003515DF"/>
    <w:rsid w:val="003523B4"/>
    <w:rsid w:val="00352CA5"/>
    <w:rsid w:val="00355650"/>
    <w:rsid w:val="00356F77"/>
    <w:rsid w:val="00356FAC"/>
    <w:rsid w:val="003571A3"/>
    <w:rsid w:val="00357397"/>
    <w:rsid w:val="0035774E"/>
    <w:rsid w:val="0036051C"/>
    <w:rsid w:val="00360F41"/>
    <w:rsid w:val="003618CE"/>
    <w:rsid w:val="00362AEB"/>
    <w:rsid w:val="00363D3A"/>
    <w:rsid w:val="0036412E"/>
    <w:rsid w:val="00364BDC"/>
    <w:rsid w:val="00364EA3"/>
    <w:rsid w:val="00365261"/>
    <w:rsid w:val="00365612"/>
    <w:rsid w:val="00365655"/>
    <w:rsid w:val="003656F8"/>
    <w:rsid w:val="00365710"/>
    <w:rsid w:val="00365BB2"/>
    <w:rsid w:val="00365ECE"/>
    <w:rsid w:val="003667A3"/>
    <w:rsid w:val="003673B7"/>
    <w:rsid w:val="0036774D"/>
    <w:rsid w:val="00370438"/>
    <w:rsid w:val="00370D37"/>
    <w:rsid w:val="00371194"/>
    <w:rsid w:val="0037135D"/>
    <w:rsid w:val="00372DF1"/>
    <w:rsid w:val="00373B70"/>
    <w:rsid w:val="00374328"/>
    <w:rsid w:val="0037481A"/>
    <w:rsid w:val="0037551A"/>
    <w:rsid w:val="003763FC"/>
    <w:rsid w:val="00376CAB"/>
    <w:rsid w:val="0038047B"/>
    <w:rsid w:val="0038124A"/>
    <w:rsid w:val="00382A4B"/>
    <w:rsid w:val="00383859"/>
    <w:rsid w:val="00383CFF"/>
    <w:rsid w:val="00384727"/>
    <w:rsid w:val="00384B0E"/>
    <w:rsid w:val="00385375"/>
    <w:rsid w:val="00385B73"/>
    <w:rsid w:val="00385F42"/>
    <w:rsid w:val="003866DB"/>
    <w:rsid w:val="00390043"/>
    <w:rsid w:val="00390733"/>
    <w:rsid w:val="003908DD"/>
    <w:rsid w:val="00390989"/>
    <w:rsid w:val="00392654"/>
    <w:rsid w:val="00393179"/>
    <w:rsid w:val="003931C3"/>
    <w:rsid w:val="00393C75"/>
    <w:rsid w:val="0039400F"/>
    <w:rsid w:val="00394848"/>
    <w:rsid w:val="00394E57"/>
    <w:rsid w:val="003954E0"/>
    <w:rsid w:val="003956B3"/>
    <w:rsid w:val="003959EF"/>
    <w:rsid w:val="00395FAE"/>
    <w:rsid w:val="003963A0"/>
    <w:rsid w:val="003A01F2"/>
    <w:rsid w:val="003A0568"/>
    <w:rsid w:val="003A0962"/>
    <w:rsid w:val="003A121B"/>
    <w:rsid w:val="003A13F7"/>
    <w:rsid w:val="003A156B"/>
    <w:rsid w:val="003A187B"/>
    <w:rsid w:val="003A1DE6"/>
    <w:rsid w:val="003A1DF6"/>
    <w:rsid w:val="003A292E"/>
    <w:rsid w:val="003A3035"/>
    <w:rsid w:val="003A3BD5"/>
    <w:rsid w:val="003A46D2"/>
    <w:rsid w:val="003A4C6D"/>
    <w:rsid w:val="003A565F"/>
    <w:rsid w:val="003A5E68"/>
    <w:rsid w:val="003B1207"/>
    <w:rsid w:val="003B18F8"/>
    <w:rsid w:val="003B1FF4"/>
    <w:rsid w:val="003B2AB6"/>
    <w:rsid w:val="003B342D"/>
    <w:rsid w:val="003B40C0"/>
    <w:rsid w:val="003B4626"/>
    <w:rsid w:val="003B6FD3"/>
    <w:rsid w:val="003B7361"/>
    <w:rsid w:val="003B780F"/>
    <w:rsid w:val="003B78D5"/>
    <w:rsid w:val="003C0814"/>
    <w:rsid w:val="003C1258"/>
    <w:rsid w:val="003C16BD"/>
    <w:rsid w:val="003C2034"/>
    <w:rsid w:val="003C281C"/>
    <w:rsid w:val="003C383C"/>
    <w:rsid w:val="003C4F60"/>
    <w:rsid w:val="003C542D"/>
    <w:rsid w:val="003C5D4D"/>
    <w:rsid w:val="003C6C85"/>
    <w:rsid w:val="003C7C1C"/>
    <w:rsid w:val="003D0127"/>
    <w:rsid w:val="003D0502"/>
    <w:rsid w:val="003D1C80"/>
    <w:rsid w:val="003D1D51"/>
    <w:rsid w:val="003D2732"/>
    <w:rsid w:val="003D27B7"/>
    <w:rsid w:val="003D3188"/>
    <w:rsid w:val="003D447F"/>
    <w:rsid w:val="003D4852"/>
    <w:rsid w:val="003D49FF"/>
    <w:rsid w:val="003D4C20"/>
    <w:rsid w:val="003D4D71"/>
    <w:rsid w:val="003D5321"/>
    <w:rsid w:val="003D57FD"/>
    <w:rsid w:val="003D687F"/>
    <w:rsid w:val="003D7ABF"/>
    <w:rsid w:val="003D7ACD"/>
    <w:rsid w:val="003E16C7"/>
    <w:rsid w:val="003E1B01"/>
    <w:rsid w:val="003E1B0B"/>
    <w:rsid w:val="003E1B82"/>
    <w:rsid w:val="003E22F3"/>
    <w:rsid w:val="003E28CF"/>
    <w:rsid w:val="003E2941"/>
    <w:rsid w:val="003E2F4C"/>
    <w:rsid w:val="003E397C"/>
    <w:rsid w:val="003E3CD6"/>
    <w:rsid w:val="003E4EF5"/>
    <w:rsid w:val="003E6842"/>
    <w:rsid w:val="003E7084"/>
    <w:rsid w:val="003F08FB"/>
    <w:rsid w:val="003F1520"/>
    <w:rsid w:val="003F1812"/>
    <w:rsid w:val="003F31DE"/>
    <w:rsid w:val="003F43B1"/>
    <w:rsid w:val="003F4FB5"/>
    <w:rsid w:val="003F618F"/>
    <w:rsid w:val="003F67C2"/>
    <w:rsid w:val="003F7722"/>
    <w:rsid w:val="003F775E"/>
    <w:rsid w:val="00401B09"/>
    <w:rsid w:val="00401D6B"/>
    <w:rsid w:val="0040257A"/>
    <w:rsid w:val="004042B8"/>
    <w:rsid w:val="004043BE"/>
    <w:rsid w:val="00404768"/>
    <w:rsid w:val="004049D5"/>
    <w:rsid w:val="0040511C"/>
    <w:rsid w:val="00405597"/>
    <w:rsid w:val="004058C9"/>
    <w:rsid w:val="00407BD1"/>
    <w:rsid w:val="004102A4"/>
    <w:rsid w:val="0041070E"/>
    <w:rsid w:val="00410DF1"/>
    <w:rsid w:val="004112CC"/>
    <w:rsid w:val="00411A6C"/>
    <w:rsid w:val="00411A84"/>
    <w:rsid w:val="004129EE"/>
    <w:rsid w:val="00412BC6"/>
    <w:rsid w:val="004138D2"/>
    <w:rsid w:val="00414868"/>
    <w:rsid w:val="004148D4"/>
    <w:rsid w:val="004151C5"/>
    <w:rsid w:val="004155A3"/>
    <w:rsid w:val="00415BF3"/>
    <w:rsid w:val="0041663F"/>
    <w:rsid w:val="004166A8"/>
    <w:rsid w:val="00417266"/>
    <w:rsid w:val="004177D3"/>
    <w:rsid w:val="004178CE"/>
    <w:rsid w:val="004179B6"/>
    <w:rsid w:val="0042037A"/>
    <w:rsid w:val="00420A9B"/>
    <w:rsid w:val="0042202C"/>
    <w:rsid w:val="0042217E"/>
    <w:rsid w:val="00422218"/>
    <w:rsid w:val="00422BC3"/>
    <w:rsid w:val="00422F22"/>
    <w:rsid w:val="00422FA6"/>
    <w:rsid w:val="004231F5"/>
    <w:rsid w:val="00423232"/>
    <w:rsid w:val="00423BA8"/>
    <w:rsid w:val="0042427F"/>
    <w:rsid w:val="0042493D"/>
    <w:rsid w:val="00424DF0"/>
    <w:rsid w:val="0042521B"/>
    <w:rsid w:val="004261DF"/>
    <w:rsid w:val="00426BD1"/>
    <w:rsid w:val="00426F52"/>
    <w:rsid w:val="00426F5E"/>
    <w:rsid w:val="00426FA9"/>
    <w:rsid w:val="004277E1"/>
    <w:rsid w:val="00427BAF"/>
    <w:rsid w:val="00430957"/>
    <w:rsid w:val="004311F5"/>
    <w:rsid w:val="004313F1"/>
    <w:rsid w:val="004318A7"/>
    <w:rsid w:val="00431E96"/>
    <w:rsid w:val="00432567"/>
    <w:rsid w:val="00433717"/>
    <w:rsid w:val="00433AEB"/>
    <w:rsid w:val="00433D05"/>
    <w:rsid w:val="00433D85"/>
    <w:rsid w:val="00433ECE"/>
    <w:rsid w:val="00434066"/>
    <w:rsid w:val="00434555"/>
    <w:rsid w:val="00435F0A"/>
    <w:rsid w:val="00436824"/>
    <w:rsid w:val="00437E19"/>
    <w:rsid w:val="0044016C"/>
    <w:rsid w:val="00441A84"/>
    <w:rsid w:val="00441D3A"/>
    <w:rsid w:val="0044316D"/>
    <w:rsid w:val="004431A0"/>
    <w:rsid w:val="004451DD"/>
    <w:rsid w:val="0044536A"/>
    <w:rsid w:val="0044549A"/>
    <w:rsid w:val="004458C1"/>
    <w:rsid w:val="004459E6"/>
    <w:rsid w:val="00445B45"/>
    <w:rsid w:val="0044677B"/>
    <w:rsid w:val="00446847"/>
    <w:rsid w:val="00446A63"/>
    <w:rsid w:val="004472E9"/>
    <w:rsid w:val="00447475"/>
    <w:rsid w:val="00452151"/>
    <w:rsid w:val="00452163"/>
    <w:rsid w:val="004528FB"/>
    <w:rsid w:val="00453705"/>
    <w:rsid w:val="004540E5"/>
    <w:rsid w:val="004544B9"/>
    <w:rsid w:val="004545E5"/>
    <w:rsid w:val="00454A4E"/>
    <w:rsid w:val="00454AF3"/>
    <w:rsid w:val="00456187"/>
    <w:rsid w:val="004561EF"/>
    <w:rsid w:val="004562F4"/>
    <w:rsid w:val="0045667E"/>
    <w:rsid w:val="00456AED"/>
    <w:rsid w:val="00456D64"/>
    <w:rsid w:val="00457122"/>
    <w:rsid w:val="0045736C"/>
    <w:rsid w:val="00457421"/>
    <w:rsid w:val="00457EBE"/>
    <w:rsid w:val="004602FC"/>
    <w:rsid w:val="004604B0"/>
    <w:rsid w:val="00460A9D"/>
    <w:rsid w:val="00460CF5"/>
    <w:rsid w:val="00461479"/>
    <w:rsid w:val="004615E0"/>
    <w:rsid w:val="00462435"/>
    <w:rsid w:val="00462D27"/>
    <w:rsid w:val="00463DF2"/>
    <w:rsid w:val="004645DE"/>
    <w:rsid w:val="00464F6D"/>
    <w:rsid w:val="00465234"/>
    <w:rsid w:val="0046582A"/>
    <w:rsid w:val="0046598F"/>
    <w:rsid w:val="004662C8"/>
    <w:rsid w:val="00467566"/>
    <w:rsid w:val="00467E1D"/>
    <w:rsid w:val="00467F57"/>
    <w:rsid w:val="00470738"/>
    <w:rsid w:val="00470ADC"/>
    <w:rsid w:val="00471CE0"/>
    <w:rsid w:val="00472049"/>
    <w:rsid w:val="004725CB"/>
    <w:rsid w:val="004727FA"/>
    <w:rsid w:val="00472981"/>
    <w:rsid w:val="004729C3"/>
    <w:rsid w:val="004729D5"/>
    <w:rsid w:val="004731F6"/>
    <w:rsid w:val="004742F3"/>
    <w:rsid w:val="00474915"/>
    <w:rsid w:val="00474FA4"/>
    <w:rsid w:val="00475C35"/>
    <w:rsid w:val="00475D44"/>
    <w:rsid w:val="0047623D"/>
    <w:rsid w:val="004763A7"/>
    <w:rsid w:val="0047663D"/>
    <w:rsid w:val="00476920"/>
    <w:rsid w:val="004769B7"/>
    <w:rsid w:val="0048046E"/>
    <w:rsid w:val="0048066A"/>
    <w:rsid w:val="00480747"/>
    <w:rsid w:val="004810EB"/>
    <w:rsid w:val="00481377"/>
    <w:rsid w:val="00481405"/>
    <w:rsid w:val="00481C81"/>
    <w:rsid w:val="00482AB6"/>
    <w:rsid w:val="00482C6B"/>
    <w:rsid w:val="00482E05"/>
    <w:rsid w:val="00483077"/>
    <w:rsid w:val="0048323C"/>
    <w:rsid w:val="004844A2"/>
    <w:rsid w:val="004845F0"/>
    <w:rsid w:val="0048475F"/>
    <w:rsid w:val="00484C78"/>
    <w:rsid w:val="004852AC"/>
    <w:rsid w:val="00485D63"/>
    <w:rsid w:val="00486BD7"/>
    <w:rsid w:val="00486BE1"/>
    <w:rsid w:val="0049012B"/>
    <w:rsid w:val="004908EF"/>
    <w:rsid w:val="004909FF"/>
    <w:rsid w:val="00490F43"/>
    <w:rsid w:val="0049152D"/>
    <w:rsid w:val="004919A6"/>
    <w:rsid w:val="00491F49"/>
    <w:rsid w:val="0049202B"/>
    <w:rsid w:val="0049285E"/>
    <w:rsid w:val="00493990"/>
    <w:rsid w:val="00493EAD"/>
    <w:rsid w:val="0049436D"/>
    <w:rsid w:val="00494FD3"/>
    <w:rsid w:val="00495651"/>
    <w:rsid w:val="004963AD"/>
    <w:rsid w:val="00496778"/>
    <w:rsid w:val="004A083F"/>
    <w:rsid w:val="004A09F8"/>
    <w:rsid w:val="004A0DAA"/>
    <w:rsid w:val="004A0F04"/>
    <w:rsid w:val="004A13F3"/>
    <w:rsid w:val="004A1699"/>
    <w:rsid w:val="004A1D0F"/>
    <w:rsid w:val="004A25D0"/>
    <w:rsid w:val="004A2E8A"/>
    <w:rsid w:val="004A3966"/>
    <w:rsid w:val="004A3D86"/>
    <w:rsid w:val="004A3DA5"/>
    <w:rsid w:val="004A4169"/>
    <w:rsid w:val="004A46DC"/>
    <w:rsid w:val="004A4D49"/>
    <w:rsid w:val="004A538C"/>
    <w:rsid w:val="004A56BC"/>
    <w:rsid w:val="004A620A"/>
    <w:rsid w:val="004A69EE"/>
    <w:rsid w:val="004A7048"/>
    <w:rsid w:val="004A732C"/>
    <w:rsid w:val="004B0111"/>
    <w:rsid w:val="004B0D2F"/>
    <w:rsid w:val="004B0F7B"/>
    <w:rsid w:val="004B1377"/>
    <w:rsid w:val="004B15D8"/>
    <w:rsid w:val="004B1650"/>
    <w:rsid w:val="004B1AF5"/>
    <w:rsid w:val="004B3987"/>
    <w:rsid w:val="004B40B7"/>
    <w:rsid w:val="004B4B22"/>
    <w:rsid w:val="004B4C25"/>
    <w:rsid w:val="004B5808"/>
    <w:rsid w:val="004B5C4B"/>
    <w:rsid w:val="004B672C"/>
    <w:rsid w:val="004B7A05"/>
    <w:rsid w:val="004B7C98"/>
    <w:rsid w:val="004C06B5"/>
    <w:rsid w:val="004C09E9"/>
    <w:rsid w:val="004C0A65"/>
    <w:rsid w:val="004C17B0"/>
    <w:rsid w:val="004C1CF1"/>
    <w:rsid w:val="004C2552"/>
    <w:rsid w:val="004C2BD9"/>
    <w:rsid w:val="004C398F"/>
    <w:rsid w:val="004C3E83"/>
    <w:rsid w:val="004C3EF2"/>
    <w:rsid w:val="004C42D7"/>
    <w:rsid w:val="004C4AC9"/>
    <w:rsid w:val="004C58D8"/>
    <w:rsid w:val="004C6C32"/>
    <w:rsid w:val="004C7A47"/>
    <w:rsid w:val="004D09DF"/>
    <w:rsid w:val="004D177D"/>
    <w:rsid w:val="004D1B05"/>
    <w:rsid w:val="004D1C77"/>
    <w:rsid w:val="004D2858"/>
    <w:rsid w:val="004D2BC8"/>
    <w:rsid w:val="004D2FDD"/>
    <w:rsid w:val="004D3CE3"/>
    <w:rsid w:val="004D3D87"/>
    <w:rsid w:val="004D3E28"/>
    <w:rsid w:val="004D5BC6"/>
    <w:rsid w:val="004D5C97"/>
    <w:rsid w:val="004D5D09"/>
    <w:rsid w:val="004D5FDA"/>
    <w:rsid w:val="004D61B7"/>
    <w:rsid w:val="004D6417"/>
    <w:rsid w:val="004D69F7"/>
    <w:rsid w:val="004D6F16"/>
    <w:rsid w:val="004D70B3"/>
    <w:rsid w:val="004D7306"/>
    <w:rsid w:val="004D7ACE"/>
    <w:rsid w:val="004E00B2"/>
    <w:rsid w:val="004E0B5D"/>
    <w:rsid w:val="004E1F84"/>
    <w:rsid w:val="004E2BC2"/>
    <w:rsid w:val="004E320C"/>
    <w:rsid w:val="004E3E8F"/>
    <w:rsid w:val="004E40D9"/>
    <w:rsid w:val="004E4303"/>
    <w:rsid w:val="004E5AB3"/>
    <w:rsid w:val="004E5C1A"/>
    <w:rsid w:val="004E5FA9"/>
    <w:rsid w:val="004E6C0A"/>
    <w:rsid w:val="004E6C78"/>
    <w:rsid w:val="004E6D7B"/>
    <w:rsid w:val="004E782D"/>
    <w:rsid w:val="004E78DB"/>
    <w:rsid w:val="004F01AD"/>
    <w:rsid w:val="004F12B1"/>
    <w:rsid w:val="004F1568"/>
    <w:rsid w:val="004F19D3"/>
    <w:rsid w:val="004F2520"/>
    <w:rsid w:val="004F3729"/>
    <w:rsid w:val="004F3A86"/>
    <w:rsid w:val="004F3F78"/>
    <w:rsid w:val="004F457A"/>
    <w:rsid w:val="004F45F8"/>
    <w:rsid w:val="004F4D52"/>
    <w:rsid w:val="004F542B"/>
    <w:rsid w:val="004F6A2B"/>
    <w:rsid w:val="004F717B"/>
    <w:rsid w:val="004F796C"/>
    <w:rsid w:val="00500899"/>
    <w:rsid w:val="00500F5F"/>
    <w:rsid w:val="0050101A"/>
    <w:rsid w:val="00501463"/>
    <w:rsid w:val="00501E43"/>
    <w:rsid w:val="00501FBE"/>
    <w:rsid w:val="00502F5B"/>
    <w:rsid w:val="0050359C"/>
    <w:rsid w:val="0050450E"/>
    <w:rsid w:val="00504625"/>
    <w:rsid w:val="00504650"/>
    <w:rsid w:val="00504854"/>
    <w:rsid w:val="00505B8B"/>
    <w:rsid w:val="0050601A"/>
    <w:rsid w:val="00506090"/>
    <w:rsid w:val="0050642E"/>
    <w:rsid w:val="00506773"/>
    <w:rsid w:val="005068E4"/>
    <w:rsid w:val="00506A5B"/>
    <w:rsid w:val="00506E29"/>
    <w:rsid w:val="00506EC0"/>
    <w:rsid w:val="00507737"/>
    <w:rsid w:val="00507CCA"/>
    <w:rsid w:val="00510922"/>
    <w:rsid w:val="005109BF"/>
    <w:rsid w:val="00511138"/>
    <w:rsid w:val="0051166F"/>
    <w:rsid w:val="005128E9"/>
    <w:rsid w:val="00512CDC"/>
    <w:rsid w:val="00513BB5"/>
    <w:rsid w:val="005143FC"/>
    <w:rsid w:val="00514E25"/>
    <w:rsid w:val="005159CC"/>
    <w:rsid w:val="00517B2F"/>
    <w:rsid w:val="00520067"/>
    <w:rsid w:val="005200D2"/>
    <w:rsid w:val="0052036E"/>
    <w:rsid w:val="00520645"/>
    <w:rsid w:val="00520ABA"/>
    <w:rsid w:val="0052173E"/>
    <w:rsid w:val="00521D17"/>
    <w:rsid w:val="00521E99"/>
    <w:rsid w:val="0052209D"/>
    <w:rsid w:val="005248A1"/>
    <w:rsid w:val="00524CC4"/>
    <w:rsid w:val="00525BAE"/>
    <w:rsid w:val="00525DC5"/>
    <w:rsid w:val="00525E93"/>
    <w:rsid w:val="00526297"/>
    <w:rsid w:val="00526328"/>
    <w:rsid w:val="00526AF9"/>
    <w:rsid w:val="005274AE"/>
    <w:rsid w:val="00530B06"/>
    <w:rsid w:val="005311EC"/>
    <w:rsid w:val="00531F86"/>
    <w:rsid w:val="00532822"/>
    <w:rsid w:val="005329EE"/>
    <w:rsid w:val="00532ED2"/>
    <w:rsid w:val="00532F1F"/>
    <w:rsid w:val="005331C8"/>
    <w:rsid w:val="005335A5"/>
    <w:rsid w:val="005335AA"/>
    <w:rsid w:val="005341C3"/>
    <w:rsid w:val="00534CDE"/>
    <w:rsid w:val="0053594C"/>
    <w:rsid w:val="0053609A"/>
    <w:rsid w:val="00536BBD"/>
    <w:rsid w:val="00536C57"/>
    <w:rsid w:val="00536D38"/>
    <w:rsid w:val="00536EF2"/>
    <w:rsid w:val="0053781C"/>
    <w:rsid w:val="005409CE"/>
    <w:rsid w:val="00540B75"/>
    <w:rsid w:val="00541164"/>
    <w:rsid w:val="005411CD"/>
    <w:rsid w:val="005417D4"/>
    <w:rsid w:val="00541C2F"/>
    <w:rsid w:val="00541D1B"/>
    <w:rsid w:val="00542107"/>
    <w:rsid w:val="0054277A"/>
    <w:rsid w:val="00542925"/>
    <w:rsid w:val="005429CD"/>
    <w:rsid w:val="00542C42"/>
    <w:rsid w:val="005436CB"/>
    <w:rsid w:val="00543ADE"/>
    <w:rsid w:val="00544EFA"/>
    <w:rsid w:val="0054565F"/>
    <w:rsid w:val="005457C6"/>
    <w:rsid w:val="00545F94"/>
    <w:rsid w:val="00546753"/>
    <w:rsid w:val="00546DFE"/>
    <w:rsid w:val="00546EFD"/>
    <w:rsid w:val="0054714B"/>
    <w:rsid w:val="00547C7A"/>
    <w:rsid w:val="00551343"/>
    <w:rsid w:val="005529BF"/>
    <w:rsid w:val="00553233"/>
    <w:rsid w:val="0055323C"/>
    <w:rsid w:val="00553D97"/>
    <w:rsid w:val="00554629"/>
    <w:rsid w:val="00554E30"/>
    <w:rsid w:val="0055599D"/>
    <w:rsid w:val="00555AC9"/>
    <w:rsid w:val="00555C5D"/>
    <w:rsid w:val="00555D41"/>
    <w:rsid w:val="00555F2F"/>
    <w:rsid w:val="00555F35"/>
    <w:rsid w:val="005562FD"/>
    <w:rsid w:val="00560645"/>
    <w:rsid w:val="00560FDE"/>
    <w:rsid w:val="0056140F"/>
    <w:rsid w:val="005616E5"/>
    <w:rsid w:val="00561C3D"/>
    <w:rsid w:val="00562051"/>
    <w:rsid w:val="00563B4A"/>
    <w:rsid w:val="00564463"/>
    <w:rsid w:val="00564638"/>
    <w:rsid w:val="00564850"/>
    <w:rsid w:val="00564C10"/>
    <w:rsid w:val="005652D5"/>
    <w:rsid w:val="005653F0"/>
    <w:rsid w:val="005656D0"/>
    <w:rsid w:val="0056626F"/>
    <w:rsid w:val="0056671F"/>
    <w:rsid w:val="00566C32"/>
    <w:rsid w:val="00567210"/>
    <w:rsid w:val="005672A6"/>
    <w:rsid w:val="00570111"/>
    <w:rsid w:val="005702DF"/>
    <w:rsid w:val="00570367"/>
    <w:rsid w:val="00570BE0"/>
    <w:rsid w:val="00570F9B"/>
    <w:rsid w:val="00571423"/>
    <w:rsid w:val="00571935"/>
    <w:rsid w:val="00572F07"/>
    <w:rsid w:val="00573BEE"/>
    <w:rsid w:val="00573E83"/>
    <w:rsid w:val="0057408C"/>
    <w:rsid w:val="005747C1"/>
    <w:rsid w:val="00574AA7"/>
    <w:rsid w:val="00574F16"/>
    <w:rsid w:val="00575AB9"/>
    <w:rsid w:val="00575CC5"/>
    <w:rsid w:val="0057636F"/>
    <w:rsid w:val="00576C8A"/>
    <w:rsid w:val="00576FA1"/>
    <w:rsid w:val="00576FC3"/>
    <w:rsid w:val="0057731D"/>
    <w:rsid w:val="0058042C"/>
    <w:rsid w:val="00581011"/>
    <w:rsid w:val="0058108D"/>
    <w:rsid w:val="0058131E"/>
    <w:rsid w:val="005817DD"/>
    <w:rsid w:val="005817E3"/>
    <w:rsid w:val="00581AAF"/>
    <w:rsid w:val="005825E2"/>
    <w:rsid w:val="005828F9"/>
    <w:rsid w:val="00583086"/>
    <w:rsid w:val="0058336F"/>
    <w:rsid w:val="00583C1F"/>
    <w:rsid w:val="00583FF5"/>
    <w:rsid w:val="0058462C"/>
    <w:rsid w:val="00584711"/>
    <w:rsid w:val="005857EA"/>
    <w:rsid w:val="005859B2"/>
    <w:rsid w:val="00585D2B"/>
    <w:rsid w:val="00586820"/>
    <w:rsid w:val="005869EC"/>
    <w:rsid w:val="00586D30"/>
    <w:rsid w:val="00586D38"/>
    <w:rsid w:val="0059072F"/>
    <w:rsid w:val="0059211B"/>
    <w:rsid w:val="00594821"/>
    <w:rsid w:val="00595505"/>
    <w:rsid w:val="00595E2F"/>
    <w:rsid w:val="005962C3"/>
    <w:rsid w:val="005976E2"/>
    <w:rsid w:val="005A106B"/>
    <w:rsid w:val="005A1E08"/>
    <w:rsid w:val="005A42E0"/>
    <w:rsid w:val="005A440E"/>
    <w:rsid w:val="005A4650"/>
    <w:rsid w:val="005A5382"/>
    <w:rsid w:val="005A7C9B"/>
    <w:rsid w:val="005A7DDD"/>
    <w:rsid w:val="005A7F17"/>
    <w:rsid w:val="005B135F"/>
    <w:rsid w:val="005B188C"/>
    <w:rsid w:val="005B2EE9"/>
    <w:rsid w:val="005B5384"/>
    <w:rsid w:val="005B590A"/>
    <w:rsid w:val="005B5A5A"/>
    <w:rsid w:val="005B5CE2"/>
    <w:rsid w:val="005B624E"/>
    <w:rsid w:val="005B64B5"/>
    <w:rsid w:val="005B7323"/>
    <w:rsid w:val="005B752C"/>
    <w:rsid w:val="005B7555"/>
    <w:rsid w:val="005B7A9E"/>
    <w:rsid w:val="005B7C91"/>
    <w:rsid w:val="005B7E02"/>
    <w:rsid w:val="005B7F55"/>
    <w:rsid w:val="005C09EF"/>
    <w:rsid w:val="005C1445"/>
    <w:rsid w:val="005C2288"/>
    <w:rsid w:val="005C3028"/>
    <w:rsid w:val="005C354D"/>
    <w:rsid w:val="005C3E3B"/>
    <w:rsid w:val="005C4090"/>
    <w:rsid w:val="005C50EF"/>
    <w:rsid w:val="005C549F"/>
    <w:rsid w:val="005C6048"/>
    <w:rsid w:val="005C6426"/>
    <w:rsid w:val="005C7681"/>
    <w:rsid w:val="005D06C2"/>
    <w:rsid w:val="005D169E"/>
    <w:rsid w:val="005D2ED3"/>
    <w:rsid w:val="005D3490"/>
    <w:rsid w:val="005D3BC1"/>
    <w:rsid w:val="005D3C29"/>
    <w:rsid w:val="005D3E96"/>
    <w:rsid w:val="005D41B2"/>
    <w:rsid w:val="005D4379"/>
    <w:rsid w:val="005D4504"/>
    <w:rsid w:val="005D4AA5"/>
    <w:rsid w:val="005D52B3"/>
    <w:rsid w:val="005E0A4D"/>
    <w:rsid w:val="005E1233"/>
    <w:rsid w:val="005E145B"/>
    <w:rsid w:val="005E2F6A"/>
    <w:rsid w:val="005E353A"/>
    <w:rsid w:val="005E3560"/>
    <w:rsid w:val="005E43F5"/>
    <w:rsid w:val="005E45CE"/>
    <w:rsid w:val="005E4C35"/>
    <w:rsid w:val="005E535D"/>
    <w:rsid w:val="005E54CD"/>
    <w:rsid w:val="005E5B11"/>
    <w:rsid w:val="005E773B"/>
    <w:rsid w:val="005E7D06"/>
    <w:rsid w:val="005E7E2F"/>
    <w:rsid w:val="005F05EF"/>
    <w:rsid w:val="005F0DED"/>
    <w:rsid w:val="005F14B1"/>
    <w:rsid w:val="005F1856"/>
    <w:rsid w:val="005F1E76"/>
    <w:rsid w:val="005F2252"/>
    <w:rsid w:val="005F31AE"/>
    <w:rsid w:val="005F3790"/>
    <w:rsid w:val="005F3933"/>
    <w:rsid w:val="005F46A0"/>
    <w:rsid w:val="005F5428"/>
    <w:rsid w:val="005F5D7C"/>
    <w:rsid w:val="005F6410"/>
    <w:rsid w:val="005F6C27"/>
    <w:rsid w:val="005F6EBF"/>
    <w:rsid w:val="005F7B54"/>
    <w:rsid w:val="006003EE"/>
    <w:rsid w:val="006005AE"/>
    <w:rsid w:val="006008F3"/>
    <w:rsid w:val="0060112E"/>
    <w:rsid w:val="0060128F"/>
    <w:rsid w:val="006013D7"/>
    <w:rsid w:val="006016AA"/>
    <w:rsid w:val="006016F3"/>
    <w:rsid w:val="00602359"/>
    <w:rsid w:val="006024CE"/>
    <w:rsid w:val="00602517"/>
    <w:rsid w:val="00602BAF"/>
    <w:rsid w:val="006034F0"/>
    <w:rsid w:val="0060398B"/>
    <w:rsid w:val="00603E75"/>
    <w:rsid w:val="00604901"/>
    <w:rsid w:val="00604E70"/>
    <w:rsid w:val="006051F5"/>
    <w:rsid w:val="0060556D"/>
    <w:rsid w:val="00605C3A"/>
    <w:rsid w:val="00605E3E"/>
    <w:rsid w:val="006061D2"/>
    <w:rsid w:val="00606455"/>
    <w:rsid w:val="00606C5A"/>
    <w:rsid w:val="00607140"/>
    <w:rsid w:val="006071F5"/>
    <w:rsid w:val="006072A3"/>
    <w:rsid w:val="00607359"/>
    <w:rsid w:val="00607B26"/>
    <w:rsid w:val="00607E5F"/>
    <w:rsid w:val="00610240"/>
    <w:rsid w:val="006104CA"/>
    <w:rsid w:val="006106A5"/>
    <w:rsid w:val="0061096E"/>
    <w:rsid w:val="0061146C"/>
    <w:rsid w:val="006129D9"/>
    <w:rsid w:val="00612DD5"/>
    <w:rsid w:val="00613068"/>
    <w:rsid w:val="00613490"/>
    <w:rsid w:val="0061354C"/>
    <w:rsid w:val="00614115"/>
    <w:rsid w:val="00614438"/>
    <w:rsid w:val="00614AF6"/>
    <w:rsid w:val="00614DB6"/>
    <w:rsid w:val="00614F45"/>
    <w:rsid w:val="00614F90"/>
    <w:rsid w:val="00615DF2"/>
    <w:rsid w:val="0061785F"/>
    <w:rsid w:val="006209C6"/>
    <w:rsid w:val="00620A79"/>
    <w:rsid w:val="00621ECF"/>
    <w:rsid w:val="006228C2"/>
    <w:rsid w:val="00622DC4"/>
    <w:rsid w:val="00622F0E"/>
    <w:rsid w:val="006234EF"/>
    <w:rsid w:val="00623BDF"/>
    <w:rsid w:val="006245B3"/>
    <w:rsid w:val="00625544"/>
    <w:rsid w:val="006258CC"/>
    <w:rsid w:val="00625F43"/>
    <w:rsid w:val="006260BE"/>
    <w:rsid w:val="006264BE"/>
    <w:rsid w:val="00626911"/>
    <w:rsid w:val="00626B07"/>
    <w:rsid w:val="00627A95"/>
    <w:rsid w:val="00627C98"/>
    <w:rsid w:val="00627CE1"/>
    <w:rsid w:val="00627EF5"/>
    <w:rsid w:val="006301E7"/>
    <w:rsid w:val="00631294"/>
    <w:rsid w:val="006312B5"/>
    <w:rsid w:val="00631E59"/>
    <w:rsid w:val="00632B01"/>
    <w:rsid w:val="00632C4C"/>
    <w:rsid w:val="006331BB"/>
    <w:rsid w:val="00633E98"/>
    <w:rsid w:val="006341D6"/>
    <w:rsid w:val="0063481F"/>
    <w:rsid w:val="0063543A"/>
    <w:rsid w:val="006354DB"/>
    <w:rsid w:val="00636037"/>
    <w:rsid w:val="00637ED1"/>
    <w:rsid w:val="006400AB"/>
    <w:rsid w:val="00643097"/>
    <w:rsid w:val="00643304"/>
    <w:rsid w:val="00643393"/>
    <w:rsid w:val="00643F49"/>
    <w:rsid w:val="00644543"/>
    <w:rsid w:val="0064499F"/>
    <w:rsid w:val="00645669"/>
    <w:rsid w:val="00645F6F"/>
    <w:rsid w:val="00646816"/>
    <w:rsid w:val="00646EC5"/>
    <w:rsid w:val="00646F73"/>
    <w:rsid w:val="006478C0"/>
    <w:rsid w:val="006503FA"/>
    <w:rsid w:val="006506D1"/>
    <w:rsid w:val="00650D94"/>
    <w:rsid w:val="006516A7"/>
    <w:rsid w:val="00651777"/>
    <w:rsid w:val="00651C73"/>
    <w:rsid w:val="006526BB"/>
    <w:rsid w:val="00652A84"/>
    <w:rsid w:val="00652B40"/>
    <w:rsid w:val="0065504D"/>
    <w:rsid w:val="006551FB"/>
    <w:rsid w:val="00655E1C"/>
    <w:rsid w:val="00655F1D"/>
    <w:rsid w:val="00656472"/>
    <w:rsid w:val="0065668D"/>
    <w:rsid w:val="00656A1C"/>
    <w:rsid w:val="00656D05"/>
    <w:rsid w:val="00656D6C"/>
    <w:rsid w:val="0065752A"/>
    <w:rsid w:val="006606F2"/>
    <w:rsid w:val="00661131"/>
    <w:rsid w:val="00661556"/>
    <w:rsid w:val="00661944"/>
    <w:rsid w:val="00662069"/>
    <w:rsid w:val="00662F32"/>
    <w:rsid w:val="006638E8"/>
    <w:rsid w:val="006646B0"/>
    <w:rsid w:val="00664829"/>
    <w:rsid w:val="00664992"/>
    <w:rsid w:val="006653C3"/>
    <w:rsid w:val="00665CA3"/>
    <w:rsid w:val="00665DBE"/>
    <w:rsid w:val="00666DEA"/>
    <w:rsid w:val="006672B3"/>
    <w:rsid w:val="00667C22"/>
    <w:rsid w:val="00673AAD"/>
    <w:rsid w:val="00673DE9"/>
    <w:rsid w:val="00673F87"/>
    <w:rsid w:val="006743AF"/>
    <w:rsid w:val="00674F8A"/>
    <w:rsid w:val="00675996"/>
    <w:rsid w:val="006759EF"/>
    <w:rsid w:val="00675AC1"/>
    <w:rsid w:val="006762B7"/>
    <w:rsid w:val="00676D7B"/>
    <w:rsid w:val="00680E72"/>
    <w:rsid w:val="00680ECF"/>
    <w:rsid w:val="00681420"/>
    <w:rsid w:val="00681C9D"/>
    <w:rsid w:val="006826A3"/>
    <w:rsid w:val="00682F13"/>
    <w:rsid w:val="00684016"/>
    <w:rsid w:val="006842C0"/>
    <w:rsid w:val="00684D4C"/>
    <w:rsid w:val="006860E1"/>
    <w:rsid w:val="00686A3F"/>
    <w:rsid w:val="00686AD9"/>
    <w:rsid w:val="00686B2C"/>
    <w:rsid w:val="00687A64"/>
    <w:rsid w:val="00687D1A"/>
    <w:rsid w:val="00687DBF"/>
    <w:rsid w:val="006906DC"/>
    <w:rsid w:val="00691C01"/>
    <w:rsid w:val="0069215C"/>
    <w:rsid w:val="006934B5"/>
    <w:rsid w:val="0069350E"/>
    <w:rsid w:val="00693BBA"/>
    <w:rsid w:val="00693CBC"/>
    <w:rsid w:val="0069436C"/>
    <w:rsid w:val="00694950"/>
    <w:rsid w:val="00694DCB"/>
    <w:rsid w:val="00694FB0"/>
    <w:rsid w:val="006951C8"/>
    <w:rsid w:val="006952F3"/>
    <w:rsid w:val="0069633F"/>
    <w:rsid w:val="0069699B"/>
    <w:rsid w:val="006A0316"/>
    <w:rsid w:val="006A053B"/>
    <w:rsid w:val="006A0A36"/>
    <w:rsid w:val="006A0BCE"/>
    <w:rsid w:val="006A1769"/>
    <w:rsid w:val="006A2EE5"/>
    <w:rsid w:val="006A347C"/>
    <w:rsid w:val="006A4032"/>
    <w:rsid w:val="006A42D0"/>
    <w:rsid w:val="006A4417"/>
    <w:rsid w:val="006A50C1"/>
    <w:rsid w:val="006A519A"/>
    <w:rsid w:val="006A60CD"/>
    <w:rsid w:val="006A65CE"/>
    <w:rsid w:val="006A6ED9"/>
    <w:rsid w:val="006A783F"/>
    <w:rsid w:val="006B0F7E"/>
    <w:rsid w:val="006B303D"/>
    <w:rsid w:val="006B3516"/>
    <w:rsid w:val="006B3626"/>
    <w:rsid w:val="006B41A2"/>
    <w:rsid w:val="006B5100"/>
    <w:rsid w:val="006B54D5"/>
    <w:rsid w:val="006B72AF"/>
    <w:rsid w:val="006B7874"/>
    <w:rsid w:val="006C03C9"/>
    <w:rsid w:val="006C0475"/>
    <w:rsid w:val="006C0856"/>
    <w:rsid w:val="006C0ADC"/>
    <w:rsid w:val="006C113C"/>
    <w:rsid w:val="006C15C4"/>
    <w:rsid w:val="006C2A66"/>
    <w:rsid w:val="006C41DE"/>
    <w:rsid w:val="006C4739"/>
    <w:rsid w:val="006C5A13"/>
    <w:rsid w:val="006C5CC2"/>
    <w:rsid w:val="006C6550"/>
    <w:rsid w:val="006C69FB"/>
    <w:rsid w:val="006C6C73"/>
    <w:rsid w:val="006D06D4"/>
    <w:rsid w:val="006D077C"/>
    <w:rsid w:val="006D1FE5"/>
    <w:rsid w:val="006D2450"/>
    <w:rsid w:val="006D2519"/>
    <w:rsid w:val="006D333A"/>
    <w:rsid w:val="006D399A"/>
    <w:rsid w:val="006D4475"/>
    <w:rsid w:val="006D4D08"/>
    <w:rsid w:val="006D5436"/>
    <w:rsid w:val="006D5592"/>
    <w:rsid w:val="006D6989"/>
    <w:rsid w:val="006D6F92"/>
    <w:rsid w:val="006D7068"/>
    <w:rsid w:val="006D78DB"/>
    <w:rsid w:val="006E11F9"/>
    <w:rsid w:val="006E3DCA"/>
    <w:rsid w:val="006E5100"/>
    <w:rsid w:val="006E5C0C"/>
    <w:rsid w:val="006E5E31"/>
    <w:rsid w:val="006E71B7"/>
    <w:rsid w:val="006E74F5"/>
    <w:rsid w:val="006F03DB"/>
    <w:rsid w:val="006F0AC2"/>
    <w:rsid w:val="006F1A8B"/>
    <w:rsid w:val="006F24B5"/>
    <w:rsid w:val="006F284F"/>
    <w:rsid w:val="006F2BAA"/>
    <w:rsid w:val="006F2ED8"/>
    <w:rsid w:val="006F3452"/>
    <w:rsid w:val="006F366D"/>
    <w:rsid w:val="006F429C"/>
    <w:rsid w:val="006F47AA"/>
    <w:rsid w:val="006F51B4"/>
    <w:rsid w:val="006F51BD"/>
    <w:rsid w:val="006F54F2"/>
    <w:rsid w:val="006F54FA"/>
    <w:rsid w:val="006F6462"/>
    <w:rsid w:val="006F674B"/>
    <w:rsid w:val="006F799D"/>
    <w:rsid w:val="006F79D7"/>
    <w:rsid w:val="00700034"/>
    <w:rsid w:val="007008F7"/>
    <w:rsid w:val="00700A97"/>
    <w:rsid w:val="00700BF3"/>
    <w:rsid w:val="00701064"/>
    <w:rsid w:val="00701B0F"/>
    <w:rsid w:val="00702D15"/>
    <w:rsid w:val="00703DB6"/>
    <w:rsid w:val="007056C4"/>
    <w:rsid w:val="00706418"/>
    <w:rsid w:val="00706A57"/>
    <w:rsid w:val="0070769B"/>
    <w:rsid w:val="00707BC2"/>
    <w:rsid w:val="00707EEC"/>
    <w:rsid w:val="00710E0F"/>
    <w:rsid w:val="00712675"/>
    <w:rsid w:val="00713351"/>
    <w:rsid w:val="00714291"/>
    <w:rsid w:val="00715330"/>
    <w:rsid w:val="007153D3"/>
    <w:rsid w:val="007158BE"/>
    <w:rsid w:val="00720568"/>
    <w:rsid w:val="007208A7"/>
    <w:rsid w:val="00720EFC"/>
    <w:rsid w:val="0072106D"/>
    <w:rsid w:val="0072183A"/>
    <w:rsid w:val="00722EC3"/>
    <w:rsid w:val="00722F21"/>
    <w:rsid w:val="0072449F"/>
    <w:rsid w:val="00724922"/>
    <w:rsid w:val="00724A32"/>
    <w:rsid w:val="007254E8"/>
    <w:rsid w:val="0072583E"/>
    <w:rsid w:val="0072589A"/>
    <w:rsid w:val="00725DDF"/>
    <w:rsid w:val="007264AC"/>
    <w:rsid w:val="0072693F"/>
    <w:rsid w:val="0072697F"/>
    <w:rsid w:val="00726C4C"/>
    <w:rsid w:val="00727236"/>
    <w:rsid w:val="00731880"/>
    <w:rsid w:val="00731C5F"/>
    <w:rsid w:val="00731CCA"/>
    <w:rsid w:val="00731E87"/>
    <w:rsid w:val="007323AF"/>
    <w:rsid w:val="0073327F"/>
    <w:rsid w:val="00733D0D"/>
    <w:rsid w:val="00733D28"/>
    <w:rsid w:val="007341BE"/>
    <w:rsid w:val="007348A0"/>
    <w:rsid w:val="00734F9C"/>
    <w:rsid w:val="00734FB7"/>
    <w:rsid w:val="00735FB4"/>
    <w:rsid w:val="00736956"/>
    <w:rsid w:val="00736D52"/>
    <w:rsid w:val="00736DDC"/>
    <w:rsid w:val="00736E4B"/>
    <w:rsid w:val="00737C10"/>
    <w:rsid w:val="00741EB7"/>
    <w:rsid w:val="00742C53"/>
    <w:rsid w:val="00742E25"/>
    <w:rsid w:val="00742FD3"/>
    <w:rsid w:val="00743132"/>
    <w:rsid w:val="0074374D"/>
    <w:rsid w:val="0074386D"/>
    <w:rsid w:val="00744C05"/>
    <w:rsid w:val="00746591"/>
    <w:rsid w:val="0074671D"/>
    <w:rsid w:val="00746D54"/>
    <w:rsid w:val="0074725D"/>
    <w:rsid w:val="00747479"/>
    <w:rsid w:val="00747B50"/>
    <w:rsid w:val="007518E6"/>
    <w:rsid w:val="00752311"/>
    <w:rsid w:val="0075323A"/>
    <w:rsid w:val="00753476"/>
    <w:rsid w:val="00753790"/>
    <w:rsid w:val="007541DD"/>
    <w:rsid w:val="00754513"/>
    <w:rsid w:val="0075546A"/>
    <w:rsid w:val="0075550B"/>
    <w:rsid w:val="00756286"/>
    <w:rsid w:val="00756815"/>
    <w:rsid w:val="00757A6F"/>
    <w:rsid w:val="00757D57"/>
    <w:rsid w:val="007606C8"/>
    <w:rsid w:val="007608D2"/>
    <w:rsid w:val="00760A57"/>
    <w:rsid w:val="0076167C"/>
    <w:rsid w:val="00763B76"/>
    <w:rsid w:val="00764F7D"/>
    <w:rsid w:val="00766271"/>
    <w:rsid w:val="00766797"/>
    <w:rsid w:val="00767E26"/>
    <w:rsid w:val="00767E53"/>
    <w:rsid w:val="00767EE9"/>
    <w:rsid w:val="00770693"/>
    <w:rsid w:val="007707CB"/>
    <w:rsid w:val="00770FA5"/>
    <w:rsid w:val="00771389"/>
    <w:rsid w:val="007717E0"/>
    <w:rsid w:val="007728D7"/>
    <w:rsid w:val="007731A4"/>
    <w:rsid w:val="00773515"/>
    <w:rsid w:val="00773D75"/>
    <w:rsid w:val="007742D4"/>
    <w:rsid w:val="007749B8"/>
    <w:rsid w:val="0077590D"/>
    <w:rsid w:val="00776404"/>
    <w:rsid w:val="00776D0C"/>
    <w:rsid w:val="00776FAC"/>
    <w:rsid w:val="00777784"/>
    <w:rsid w:val="00777BA7"/>
    <w:rsid w:val="00777CB1"/>
    <w:rsid w:val="007804CA"/>
    <w:rsid w:val="007815E0"/>
    <w:rsid w:val="00781B6F"/>
    <w:rsid w:val="00782725"/>
    <w:rsid w:val="00782E70"/>
    <w:rsid w:val="00783676"/>
    <w:rsid w:val="00783885"/>
    <w:rsid w:val="0078424F"/>
    <w:rsid w:val="007845CC"/>
    <w:rsid w:val="00784834"/>
    <w:rsid w:val="00785724"/>
    <w:rsid w:val="00785A15"/>
    <w:rsid w:val="00785BE1"/>
    <w:rsid w:val="00786692"/>
    <w:rsid w:val="0078736F"/>
    <w:rsid w:val="007874F7"/>
    <w:rsid w:val="00787D4A"/>
    <w:rsid w:val="00791040"/>
    <w:rsid w:val="007925D9"/>
    <w:rsid w:val="00792CCB"/>
    <w:rsid w:val="007930B0"/>
    <w:rsid w:val="0079361C"/>
    <w:rsid w:val="0079374C"/>
    <w:rsid w:val="00793856"/>
    <w:rsid w:val="00793AB1"/>
    <w:rsid w:val="00793D76"/>
    <w:rsid w:val="0079467C"/>
    <w:rsid w:val="0079545B"/>
    <w:rsid w:val="00795646"/>
    <w:rsid w:val="007964B3"/>
    <w:rsid w:val="007974EF"/>
    <w:rsid w:val="00797FD7"/>
    <w:rsid w:val="007A024A"/>
    <w:rsid w:val="007A21AB"/>
    <w:rsid w:val="007A2219"/>
    <w:rsid w:val="007A2853"/>
    <w:rsid w:val="007A28DB"/>
    <w:rsid w:val="007A300B"/>
    <w:rsid w:val="007A347B"/>
    <w:rsid w:val="007A3C67"/>
    <w:rsid w:val="007A3C8A"/>
    <w:rsid w:val="007A3F94"/>
    <w:rsid w:val="007A5311"/>
    <w:rsid w:val="007A5628"/>
    <w:rsid w:val="007A5D16"/>
    <w:rsid w:val="007A6D52"/>
    <w:rsid w:val="007A78FF"/>
    <w:rsid w:val="007B0ABC"/>
    <w:rsid w:val="007B0D65"/>
    <w:rsid w:val="007B1076"/>
    <w:rsid w:val="007B17F4"/>
    <w:rsid w:val="007B1DFE"/>
    <w:rsid w:val="007B1EF0"/>
    <w:rsid w:val="007B263B"/>
    <w:rsid w:val="007B2A39"/>
    <w:rsid w:val="007B2D1E"/>
    <w:rsid w:val="007B2EC5"/>
    <w:rsid w:val="007B346B"/>
    <w:rsid w:val="007B3872"/>
    <w:rsid w:val="007B401F"/>
    <w:rsid w:val="007B4056"/>
    <w:rsid w:val="007B4F3C"/>
    <w:rsid w:val="007B6188"/>
    <w:rsid w:val="007B6610"/>
    <w:rsid w:val="007B6DA2"/>
    <w:rsid w:val="007C0CBC"/>
    <w:rsid w:val="007C18FD"/>
    <w:rsid w:val="007C19A6"/>
    <w:rsid w:val="007C2065"/>
    <w:rsid w:val="007C2FCC"/>
    <w:rsid w:val="007C3212"/>
    <w:rsid w:val="007C33FB"/>
    <w:rsid w:val="007C3C25"/>
    <w:rsid w:val="007C3CAB"/>
    <w:rsid w:val="007C4A80"/>
    <w:rsid w:val="007C4EEC"/>
    <w:rsid w:val="007C5013"/>
    <w:rsid w:val="007C54F3"/>
    <w:rsid w:val="007C6AC0"/>
    <w:rsid w:val="007D0098"/>
    <w:rsid w:val="007D0BA0"/>
    <w:rsid w:val="007D0D5E"/>
    <w:rsid w:val="007D0E25"/>
    <w:rsid w:val="007D15F5"/>
    <w:rsid w:val="007D183E"/>
    <w:rsid w:val="007D2328"/>
    <w:rsid w:val="007D2B87"/>
    <w:rsid w:val="007D2CA7"/>
    <w:rsid w:val="007D2EE5"/>
    <w:rsid w:val="007D3D7C"/>
    <w:rsid w:val="007D4286"/>
    <w:rsid w:val="007D44B7"/>
    <w:rsid w:val="007D4916"/>
    <w:rsid w:val="007D4AE6"/>
    <w:rsid w:val="007D4D67"/>
    <w:rsid w:val="007D4D75"/>
    <w:rsid w:val="007D4DCE"/>
    <w:rsid w:val="007D574B"/>
    <w:rsid w:val="007D57B8"/>
    <w:rsid w:val="007D5BEB"/>
    <w:rsid w:val="007D66F9"/>
    <w:rsid w:val="007D6A36"/>
    <w:rsid w:val="007D6F7A"/>
    <w:rsid w:val="007D6FDA"/>
    <w:rsid w:val="007D6FE8"/>
    <w:rsid w:val="007D7461"/>
    <w:rsid w:val="007D752A"/>
    <w:rsid w:val="007D7729"/>
    <w:rsid w:val="007D7731"/>
    <w:rsid w:val="007D798F"/>
    <w:rsid w:val="007D7A09"/>
    <w:rsid w:val="007D7C36"/>
    <w:rsid w:val="007D7CAA"/>
    <w:rsid w:val="007E06AE"/>
    <w:rsid w:val="007E1046"/>
    <w:rsid w:val="007E12E5"/>
    <w:rsid w:val="007E2108"/>
    <w:rsid w:val="007E33CD"/>
    <w:rsid w:val="007E3BF3"/>
    <w:rsid w:val="007E485B"/>
    <w:rsid w:val="007E4B7C"/>
    <w:rsid w:val="007E5445"/>
    <w:rsid w:val="007E5E05"/>
    <w:rsid w:val="007E6104"/>
    <w:rsid w:val="007E628D"/>
    <w:rsid w:val="007E63B1"/>
    <w:rsid w:val="007E6879"/>
    <w:rsid w:val="007E6B47"/>
    <w:rsid w:val="007E6CE4"/>
    <w:rsid w:val="007E6CFD"/>
    <w:rsid w:val="007E6E35"/>
    <w:rsid w:val="007E7806"/>
    <w:rsid w:val="007E7CA8"/>
    <w:rsid w:val="007F096E"/>
    <w:rsid w:val="007F0E6B"/>
    <w:rsid w:val="007F0E8B"/>
    <w:rsid w:val="007F0E98"/>
    <w:rsid w:val="007F12E1"/>
    <w:rsid w:val="007F1CDB"/>
    <w:rsid w:val="007F1E9C"/>
    <w:rsid w:val="007F1F70"/>
    <w:rsid w:val="007F2ECD"/>
    <w:rsid w:val="007F3DC3"/>
    <w:rsid w:val="007F46B9"/>
    <w:rsid w:val="007F54C6"/>
    <w:rsid w:val="007F5951"/>
    <w:rsid w:val="007F5B51"/>
    <w:rsid w:val="007F6D80"/>
    <w:rsid w:val="007F7FC3"/>
    <w:rsid w:val="00800021"/>
    <w:rsid w:val="0080144D"/>
    <w:rsid w:val="00801851"/>
    <w:rsid w:val="008021D1"/>
    <w:rsid w:val="0080271C"/>
    <w:rsid w:val="00802997"/>
    <w:rsid w:val="0080359A"/>
    <w:rsid w:val="00804035"/>
    <w:rsid w:val="0080424A"/>
    <w:rsid w:val="00806650"/>
    <w:rsid w:val="00806E37"/>
    <w:rsid w:val="00806F06"/>
    <w:rsid w:val="008116C1"/>
    <w:rsid w:val="00811A5C"/>
    <w:rsid w:val="00812E4B"/>
    <w:rsid w:val="00813F60"/>
    <w:rsid w:val="00814262"/>
    <w:rsid w:val="0081456A"/>
    <w:rsid w:val="00815C5B"/>
    <w:rsid w:val="00817598"/>
    <w:rsid w:val="008179E0"/>
    <w:rsid w:val="00820588"/>
    <w:rsid w:val="00820660"/>
    <w:rsid w:val="0082088F"/>
    <w:rsid w:val="00820F23"/>
    <w:rsid w:val="00822055"/>
    <w:rsid w:val="00822B23"/>
    <w:rsid w:val="0082461C"/>
    <w:rsid w:val="0082500A"/>
    <w:rsid w:val="008250D7"/>
    <w:rsid w:val="00826E25"/>
    <w:rsid w:val="00827D57"/>
    <w:rsid w:val="00830E05"/>
    <w:rsid w:val="00830E10"/>
    <w:rsid w:val="00831A91"/>
    <w:rsid w:val="008324DE"/>
    <w:rsid w:val="00832B02"/>
    <w:rsid w:val="00833E91"/>
    <w:rsid w:val="00835543"/>
    <w:rsid w:val="00835561"/>
    <w:rsid w:val="008355EB"/>
    <w:rsid w:val="008359BE"/>
    <w:rsid w:val="00835B44"/>
    <w:rsid w:val="00835C1E"/>
    <w:rsid w:val="00835FCA"/>
    <w:rsid w:val="00836CEB"/>
    <w:rsid w:val="008370DB"/>
    <w:rsid w:val="0083727D"/>
    <w:rsid w:val="00840650"/>
    <w:rsid w:val="00840C94"/>
    <w:rsid w:val="008410F2"/>
    <w:rsid w:val="0084131C"/>
    <w:rsid w:val="008418AE"/>
    <w:rsid w:val="00841BCC"/>
    <w:rsid w:val="00842199"/>
    <w:rsid w:val="0084234B"/>
    <w:rsid w:val="008428CE"/>
    <w:rsid w:val="00842A4B"/>
    <w:rsid w:val="00843795"/>
    <w:rsid w:val="00843B28"/>
    <w:rsid w:val="00845025"/>
    <w:rsid w:val="0084533F"/>
    <w:rsid w:val="00845709"/>
    <w:rsid w:val="00846243"/>
    <w:rsid w:val="00847642"/>
    <w:rsid w:val="00850CC5"/>
    <w:rsid w:val="00850DD6"/>
    <w:rsid w:val="0085146C"/>
    <w:rsid w:val="008518F5"/>
    <w:rsid w:val="00852ECA"/>
    <w:rsid w:val="00853224"/>
    <w:rsid w:val="0085337B"/>
    <w:rsid w:val="0085392B"/>
    <w:rsid w:val="00854713"/>
    <w:rsid w:val="00854BF1"/>
    <w:rsid w:val="00855144"/>
    <w:rsid w:val="008559FB"/>
    <w:rsid w:val="00855D73"/>
    <w:rsid w:val="00855DEE"/>
    <w:rsid w:val="00855E32"/>
    <w:rsid w:val="00855F04"/>
    <w:rsid w:val="008563ED"/>
    <w:rsid w:val="008573D2"/>
    <w:rsid w:val="0085795F"/>
    <w:rsid w:val="00862971"/>
    <w:rsid w:val="00862E02"/>
    <w:rsid w:val="00863968"/>
    <w:rsid w:val="0086411A"/>
    <w:rsid w:val="008642B6"/>
    <w:rsid w:val="0086453B"/>
    <w:rsid w:val="00864A48"/>
    <w:rsid w:val="00864CCF"/>
    <w:rsid w:val="00864DDD"/>
    <w:rsid w:val="00864E28"/>
    <w:rsid w:val="00865BB1"/>
    <w:rsid w:val="00865C15"/>
    <w:rsid w:val="0086600D"/>
    <w:rsid w:val="00866ABA"/>
    <w:rsid w:val="00867308"/>
    <w:rsid w:val="00867BBD"/>
    <w:rsid w:val="008704C6"/>
    <w:rsid w:val="00870794"/>
    <w:rsid w:val="00870BB7"/>
    <w:rsid w:val="00871318"/>
    <w:rsid w:val="0087138E"/>
    <w:rsid w:val="0087250A"/>
    <w:rsid w:val="00872D4B"/>
    <w:rsid w:val="00872D9A"/>
    <w:rsid w:val="008732AF"/>
    <w:rsid w:val="00874210"/>
    <w:rsid w:val="008744D3"/>
    <w:rsid w:val="00874757"/>
    <w:rsid w:val="00874804"/>
    <w:rsid w:val="0087484E"/>
    <w:rsid w:val="00874ABE"/>
    <w:rsid w:val="00874D70"/>
    <w:rsid w:val="0087518E"/>
    <w:rsid w:val="008755F0"/>
    <w:rsid w:val="008756AB"/>
    <w:rsid w:val="008757A5"/>
    <w:rsid w:val="008757CC"/>
    <w:rsid w:val="00876E35"/>
    <w:rsid w:val="00877C3D"/>
    <w:rsid w:val="008804A5"/>
    <w:rsid w:val="0088076A"/>
    <w:rsid w:val="00880E90"/>
    <w:rsid w:val="00880EDC"/>
    <w:rsid w:val="00881011"/>
    <w:rsid w:val="00881203"/>
    <w:rsid w:val="00881494"/>
    <w:rsid w:val="00881650"/>
    <w:rsid w:val="00881A99"/>
    <w:rsid w:val="0088278A"/>
    <w:rsid w:val="00882878"/>
    <w:rsid w:val="008838BE"/>
    <w:rsid w:val="00883B16"/>
    <w:rsid w:val="0088450A"/>
    <w:rsid w:val="00884C0D"/>
    <w:rsid w:val="00885E98"/>
    <w:rsid w:val="00886C54"/>
    <w:rsid w:val="00886F98"/>
    <w:rsid w:val="008870F5"/>
    <w:rsid w:val="008911FF"/>
    <w:rsid w:val="008919F1"/>
    <w:rsid w:val="00892034"/>
    <w:rsid w:val="0089289A"/>
    <w:rsid w:val="008934C5"/>
    <w:rsid w:val="008937C0"/>
    <w:rsid w:val="00893AF8"/>
    <w:rsid w:val="00893B45"/>
    <w:rsid w:val="00893C31"/>
    <w:rsid w:val="00894011"/>
    <w:rsid w:val="008946B6"/>
    <w:rsid w:val="0089514E"/>
    <w:rsid w:val="00896214"/>
    <w:rsid w:val="008972EB"/>
    <w:rsid w:val="0089786B"/>
    <w:rsid w:val="00897FBC"/>
    <w:rsid w:val="008A175D"/>
    <w:rsid w:val="008A1851"/>
    <w:rsid w:val="008A2C0A"/>
    <w:rsid w:val="008A31FC"/>
    <w:rsid w:val="008A40DC"/>
    <w:rsid w:val="008A41B4"/>
    <w:rsid w:val="008A51D9"/>
    <w:rsid w:val="008A55E1"/>
    <w:rsid w:val="008A5897"/>
    <w:rsid w:val="008A6392"/>
    <w:rsid w:val="008A69E6"/>
    <w:rsid w:val="008A7195"/>
    <w:rsid w:val="008A752F"/>
    <w:rsid w:val="008A7867"/>
    <w:rsid w:val="008B02C7"/>
    <w:rsid w:val="008B06A7"/>
    <w:rsid w:val="008B0747"/>
    <w:rsid w:val="008B0D4A"/>
    <w:rsid w:val="008B14B4"/>
    <w:rsid w:val="008B1C5D"/>
    <w:rsid w:val="008B23B6"/>
    <w:rsid w:val="008B2D39"/>
    <w:rsid w:val="008B333B"/>
    <w:rsid w:val="008B5321"/>
    <w:rsid w:val="008B584C"/>
    <w:rsid w:val="008B5CB0"/>
    <w:rsid w:val="008B60BA"/>
    <w:rsid w:val="008B6663"/>
    <w:rsid w:val="008B6D34"/>
    <w:rsid w:val="008B6E96"/>
    <w:rsid w:val="008B765A"/>
    <w:rsid w:val="008C08F6"/>
    <w:rsid w:val="008C1ADF"/>
    <w:rsid w:val="008C1CA1"/>
    <w:rsid w:val="008C1D0D"/>
    <w:rsid w:val="008C2205"/>
    <w:rsid w:val="008C2652"/>
    <w:rsid w:val="008C2FD0"/>
    <w:rsid w:val="008C30F2"/>
    <w:rsid w:val="008C31EE"/>
    <w:rsid w:val="008C38E2"/>
    <w:rsid w:val="008C399C"/>
    <w:rsid w:val="008C3A11"/>
    <w:rsid w:val="008C3D7A"/>
    <w:rsid w:val="008C4934"/>
    <w:rsid w:val="008C5102"/>
    <w:rsid w:val="008C51F6"/>
    <w:rsid w:val="008C7105"/>
    <w:rsid w:val="008C73B5"/>
    <w:rsid w:val="008C73E2"/>
    <w:rsid w:val="008D1115"/>
    <w:rsid w:val="008D11A4"/>
    <w:rsid w:val="008D15E6"/>
    <w:rsid w:val="008D187E"/>
    <w:rsid w:val="008D19DB"/>
    <w:rsid w:val="008D3604"/>
    <w:rsid w:val="008D3F91"/>
    <w:rsid w:val="008D4B37"/>
    <w:rsid w:val="008D5543"/>
    <w:rsid w:val="008D7472"/>
    <w:rsid w:val="008D7558"/>
    <w:rsid w:val="008E2BEF"/>
    <w:rsid w:val="008E33F4"/>
    <w:rsid w:val="008E449F"/>
    <w:rsid w:val="008E5981"/>
    <w:rsid w:val="008E5DA5"/>
    <w:rsid w:val="008E6233"/>
    <w:rsid w:val="008E6461"/>
    <w:rsid w:val="008E65D7"/>
    <w:rsid w:val="008E695E"/>
    <w:rsid w:val="008F0E25"/>
    <w:rsid w:val="008F144A"/>
    <w:rsid w:val="008F15DC"/>
    <w:rsid w:val="008F1AF4"/>
    <w:rsid w:val="008F2032"/>
    <w:rsid w:val="008F20AF"/>
    <w:rsid w:val="008F2115"/>
    <w:rsid w:val="008F588D"/>
    <w:rsid w:val="008F5A24"/>
    <w:rsid w:val="008F696D"/>
    <w:rsid w:val="008F731C"/>
    <w:rsid w:val="008F7374"/>
    <w:rsid w:val="008F7776"/>
    <w:rsid w:val="008F7DB1"/>
    <w:rsid w:val="00900AAE"/>
    <w:rsid w:val="009015FA"/>
    <w:rsid w:val="009018B7"/>
    <w:rsid w:val="00903019"/>
    <w:rsid w:val="0090334E"/>
    <w:rsid w:val="009048D9"/>
    <w:rsid w:val="009050F3"/>
    <w:rsid w:val="00905163"/>
    <w:rsid w:val="00905B16"/>
    <w:rsid w:val="00905F2D"/>
    <w:rsid w:val="009065B8"/>
    <w:rsid w:val="00906774"/>
    <w:rsid w:val="009068B3"/>
    <w:rsid w:val="009069B8"/>
    <w:rsid w:val="009076CA"/>
    <w:rsid w:val="00910D96"/>
    <w:rsid w:val="009111B7"/>
    <w:rsid w:val="00912142"/>
    <w:rsid w:val="00912334"/>
    <w:rsid w:val="00912753"/>
    <w:rsid w:val="00912C52"/>
    <w:rsid w:val="00913EE2"/>
    <w:rsid w:val="00914A35"/>
    <w:rsid w:val="00915042"/>
    <w:rsid w:val="00915720"/>
    <w:rsid w:val="00915A12"/>
    <w:rsid w:val="00915E99"/>
    <w:rsid w:val="00916A19"/>
    <w:rsid w:val="00916A41"/>
    <w:rsid w:val="00916EBD"/>
    <w:rsid w:val="00917468"/>
    <w:rsid w:val="00917EBB"/>
    <w:rsid w:val="0092043C"/>
    <w:rsid w:val="00920BCF"/>
    <w:rsid w:val="00920D53"/>
    <w:rsid w:val="00920F4D"/>
    <w:rsid w:val="009217D5"/>
    <w:rsid w:val="009228A3"/>
    <w:rsid w:val="00922A5F"/>
    <w:rsid w:val="0092441A"/>
    <w:rsid w:val="0092472E"/>
    <w:rsid w:val="009249BF"/>
    <w:rsid w:val="00924CE5"/>
    <w:rsid w:val="0092511A"/>
    <w:rsid w:val="0092544D"/>
    <w:rsid w:val="00925D57"/>
    <w:rsid w:val="00925E68"/>
    <w:rsid w:val="009261EA"/>
    <w:rsid w:val="00926D32"/>
    <w:rsid w:val="0093034F"/>
    <w:rsid w:val="009318C0"/>
    <w:rsid w:val="00931AA3"/>
    <w:rsid w:val="00931CF4"/>
    <w:rsid w:val="0093220F"/>
    <w:rsid w:val="00932FEA"/>
    <w:rsid w:val="0093381B"/>
    <w:rsid w:val="00933C89"/>
    <w:rsid w:val="00934619"/>
    <w:rsid w:val="00936E70"/>
    <w:rsid w:val="0093731D"/>
    <w:rsid w:val="0094069C"/>
    <w:rsid w:val="00941432"/>
    <w:rsid w:val="00941D18"/>
    <w:rsid w:val="00942187"/>
    <w:rsid w:val="00942F1F"/>
    <w:rsid w:val="00943F0E"/>
    <w:rsid w:val="00944534"/>
    <w:rsid w:val="009448E6"/>
    <w:rsid w:val="00944DEF"/>
    <w:rsid w:val="00944F39"/>
    <w:rsid w:val="009450D9"/>
    <w:rsid w:val="0094519D"/>
    <w:rsid w:val="00945CDE"/>
    <w:rsid w:val="009464A8"/>
    <w:rsid w:val="009466EF"/>
    <w:rsid w:val="00946DDE"/>
    <w:rsid w:val="0094758C"/>
    <w:rsid w:val="00947BBD"/>
    <w:rsid w:val="009505EC"/>
    <w:rsid w:val="00950D2A"/>
    <w:rsid w:val="0095162C"/>
    <w:rsid w:val="00953A52"/>
    <w:rsid w:val="00953DFF"/>
    <w:rsid w:val="009541D2"/>
    <w:rsid w:val="009553CE"/>
    <w:rsid w:val="00955872"/>
    <w:rsid w:val="009558E2"/>
    <w:rsid w:val="00955AD4"/>
    <w:rsid w:val="00957541"/>
    <w:rsid w:val="0095766B"/>
    <w:rsid w:val="00960018"/>
    <w:rsid w:val="0096010E"/>
    <w:rsid w:val="00960166"/>
    <w:rsid w:val="009608D6"/>
    <w:rsid w:val="00960A2F"/>
    <w:rsid w:val="009615F9"/>
    <w:rsid w:val="00961762"/>
    <w:rsid w:val="00961C2F"/>
    <w:rsid w:val="009620A9"/>
    <w:rsid w:val="009622DD"/>
    <w:rsid w:val="00962471"/>
    <w:rsid w:val="009625D2"/>
    <w:rsid w:val="0096354B"/>
    <w:rsid w:val="00963C87"/>
    <w:rsid w:val="00964080"/>
    <w:rsid w:val="00964DF6"/>
    <w:rsid w:val="00965DFD"/>
    <w:rsid w:val="00965E5A"/>
    <w:rsid w:val="00966032"/>
    <w:rsid w:val="00966A61"/>
    <w:rsid w:val="009670C2"/>
    <w:rsid w:val="00967523"/>
    <w:rsid w:val="00967D66"/>
    <w:rsid w:val="00967FD9"/>
    <w:rsid w:val="0097089C"/>
    <w:rsid w:val="0097255B"/>
    <w:rsid w:val="0097279B"/>
    <w:rsid w:val="00972AB0"/>
    <w:rsid w:val="009733F5"/>
    <w:rsid w:val="00973DD5"/>
    <w:rsid w:val="009744CA"/>
    <w:rsid w:val="009750FB"/>
    <w:rsid w:val="00976096"/>
    <w:rsid w:val="0097618A"/>
    <w:rsid w:val="0097667D"/>
    <w:rsid w:val="00976980"/>
    <w:rsid w:val="00976C85"/>
    <w:rsid w:val="00977740"/>
    <w:rsid w:val="00977837"/>
    <w:rsid w:val="00977F21"/>
    <w:rsid w:val="00980004"/>
    <w:rsid w:val="009801A0"/>
    <w:rsid w:val="00980BE8"/>
    <w:rsid w:val="00981174"/>
    <w:rsid w:val="00981D11"/>
    <w:rsid w:val="009826C0"/>
    <w:rsid w:val="009835F4"/>
    <w:rsid w:val="00983D27"/>
    <w:rsid w:val="00984358"/>
    <w:rsid w:val="00984A89"/>
    <w:rsid w:val="009855D4"/>
    <w:rsid w:val="00986348"/>
    <w:rsid w:val="00986487"/>
    <w:rsid w:val="00987715"/>
    <w:rsid w:val="00987BAD"/>
    <w:rsid w:val="00987F7E"/>
    <w:rsid w:val="00990CCD"/>
    <w:rsid w:val="0099164D"/>
    <w:rsid w:val="00991C7C"/>
    <w:rsid w:val="00991E8D"/>
    <w:rsid w:val="009921A7"/>
    <w:rsid w:val="00992964"/>
    <w:rsid w:val="00993129"/>
    <w:rsid w:val="00993B24"/>
    <w:rsid w:val="00993CC1"/>
    <w:rsid w:val="009940C8"/>
    <w:rsid w:val="00996268"/>
    <w:rsid w:val="00996368"/>
    <w:rsid w:val="009964F4"/>
    <w:rsid w:val="00996625"/>
    <w:rsid w:val="00997E49"/>
    <w:rsid w:val="009A08FA"/>
    <w:rsid w:val="009A0C85"/>
    <w:rsid w:val="009A0F1C"/>
    <w:rsid w:val="009A30E2"/>
    <w:rsid w:val="009A338A"/>
    <w:rsid w:val="009A33F4"/>
    <w:rsid w:val="009A47A0"/>
    <w:rsid w:val="009A548F"/>
    <w:rsid w:val="009A5586"/>
    <w:rsid w:val="009A57E7"/>
    <w:rsid w:val="009A58F3"/>
    <w:rsid w:val="009A5CCF"/>
    <w:rsid w:val="009A5F2A"/>
    <w:rsid w:val="009A5F34"/>
    <w:rsid w:val="009A7DF6"/>
    <w:rsid w:val="009B1CB1"/>
    <w:rsid w:val="009B1EBD"/>
    <w:rsid w:val="009B2452"/>
    <w:rsid w:val="009B29AF"/>
    <w:rsid w:val="009B32B7"/>
    <w:rsid w:val="009B3BE2"/>
    <w:rsid w:val="009B3C21"/>
    <w:rsid w:val="009B454A"/>
    <w:rsid w:val="009B549F"/>
    <w:rsid w:val="009B5682"/>
    <w:rsid w:val="009B60E3"/>
    <w:rsid w:val="009B66EE"/>
    <w:rsid w:val="009B677A"/>
    <w:rsid w:val="009B7010"/>
    <w:rsid w:val="009C024B"/>
    <w:rsid w:val="009C0991"/>
    <w:rsid w:val="009C1D4D"/>
    <w:rsid w:val="009C2359"/>
    <w:rsid w:val="009C2638"/>
    <w:rsid w:val="009C2D2B"/>
    <w:rsid w:val="009C2E97"/>
    <w:rsid w:val="009C466A"/>
    <w:rsid w:val="009C4BB0"/>
    <w:rsid w:val="009C52E1"/>
    <w:rsid w:val="009C63BA"/>
    <w:rsid w:val="009C6FF2"/>
    <w:rsid w:val="009C76B1"/>
    <w:rsid w:val="009D0272"/>
    <w:rsid w:val="009D0293"/>
    <w:rsid w:val="009D06CB"/>
    <w:rsid w:val="009D0D0F"/>
    <w:rsid w:val="009D1104"/>
    <w:rsid w:val="009D184E"/>
    <w:rsid w:val="009D3723"/>
    <w:rsid w:val="009D377F"/>
    <w:rsid w:val="009D40EF"/>
    <w:rsid w:val="009D4897"/>
    <w:rsid w:val="009D52E9"/>
    <w:rsid w:val="009D54E2"/>
    <w:rsid w:val="009D5704"/>
    <w:rsid w:val="009D5D74"/>
    <w:rsid w:val="009D6280"/>
    <w:rsid w:val="009D648A"/>
    <w:rsid w:val="009D709F"/>
    <w:rsid w:val="009D70F2"/>
    <w:rsid w:val="009D73A7"/>
    <w:rsid w:val="009D7473"/>
    <w:rsid w:val="009D784C"/>
    <w:rsid w:val="009E18C5"/>
    <w:rsid w:val="009E200A"/>
    <w:rsid w:val="009E265E"/>
    <w:rsid w:val="009E434D"/>
    <w:rsid w:val="009E4A2B"/>
    <w:rsid w:val="009E52C2"/>
    <w:rsid w:val="009E64A1"/>
    <w:rsid w:val="009E6653"/>
    <w:rsid w:val="009F0998"/>
    <w:rsid w:val="009F12D6"/>
    <w:rsid w:val="009F133F"/>
    <w:rsid w:val="009F3EB1"/>
    <w:rsid w:val="009F499B"/>
    <w:rsid w:val="009F4A80"/>
    <w:rsid w:val="009F4B03"/>
    <w:rsid w:val="009F5476"/>
    <w:rsid w:val="009F5F90"/>
    <w:rsid w:val="009F7C8C"/>
    <w:rsid w:val="00A00289"/>
    <w:rsid w:val="00A00EDB"/>
    <w:rsid w:val="00A0202C"/>
    <w:rsid w:val="00A03323"/>
    <w:rsid w:val="00A034AE"/>
    <w:rsid w:val="00A036F5"/>
    <w:rsid w:val="00A03FFD"/>
    <w:rsid w:val="00A04105"/>
    <w:rsid w:val="00A044DB"/>
    <w:rsid w:val="00A046AF"/>
    <w:rsid w:val="00A04A48"/>
    <w:rsid w:val="00A04B03"/>
    <w:rsid w:val="00A04F9B"/>
    <w:rsid w:val="00A05042"/>
    <w:rsid w:val="00A053B7"/>
    <w:rsid w:val="00A064D2"/>
    <w:rsid w:val="00A0727F"/>
    <w:rsid w:val="00A07305"/>
    <w:rsid w:val="00A11201"/>
    <w:rsid w:val="00A12021"/>
    <w:rsid w:val="00A120A9"/>
    <w:rsid w:val="00A12250"/>
    <w:rsid w:val="00A12627"/>
    <w:rsid w:val="00A12EA2"/>
    <w:rsid w:val="00A13AD7"/>
    <w:rsid w:val="00A146F4"/>
    <w:rsid w:val="00A148A2"/>
    <w:rsid w:val="00A14B08"/>
    <w:rsid w:val="00A14C62"/>
    <w:rsid w:val="00A15099"/>
    <w:rsid w:val="00A16002"/>
    <w:rsid w:val="00A165EA"/>
    <w:rsid w:val="00A16936"/>
    <w:rsid w:val="00A17562"/>
    <w:rsid w:val="00A17962"/>
    <w:rsid w:val="00A17CE5"/>
    <w:rsid w:val="00A20404"/>
    <w:rsid w:val="00A2084A"/>
    <w:rsid w:val="00A21C3D"/>
    <w:rsid w:val="00A22302"/>
    <w:rsid w:val="00A2273C"/>
    <w:rsid w:val="00A22917"/>
    <w:rsid w:val="00A22929"/>
    <w:rsid w:val="00A22B04"/>
    <w:rsid w:val="00A22F52"/>
    <w:rsid w:val="00A23046"/>
    <w:rsid w:val="00A2351B"/>
    <w:rsid w:val="00A2393D"/>
    <w:rsid w:val="00A23D5D"/>
    <w:rsid w:val="00A24478"/>
    <w:rsid w:val="00A2475B"/>
    <w:rsid w:val="00A2614D"/>
    <w:rsid w:val="00A2626C"/>
    <w:rsid w:val="00A26C46"/>
    <w:rsid w:val="00A26C93"/>
    <w:rsid w:val="00A27408"/>
    <w:rsid w:val="00A31448"/>
    <w:rsid w:val="00A31F08"/>
    <w:rsid w:val="00A32478"/>
    <w:rsid w:val="00A3348B"/>
    <w:rsid w:val="00A3377F"/>
    <w:rsid w:val="00A345A2"/>
    <w:rsid w:val="00A352EB"/>
    <w:rsid w:val="00A35370"/>
    <w:rsid w:val="00A35DF3"/>
    <w:rsid w:val="00A36B13"/>
    <w:rsid w:val="00A379AF"/>
    <w:rsid w:val="00A37EC9"/>
    <w:rsid w:val="00A4086B"/>
    <w:rsid w:val="00A409AC"/>
    <w:rsid w:val="00A42F29"/>
    <w:rsid w:val="00A4310E"/>
    <w:rsid w:val="00A43228"/>
    <w:rsid w:val="00A435BF"/>
    <w:rsid w:val="00A44412"/>
    <w:rsid w:val="00A44CB7"/>
    <w:rsid w:val="00A45200"/>
    <w:rsid w:val="00A4529C"/>
    <w:rsid w:val="00A45A31"/>
    <w:rsid w:val="00A4601D"/>
    <w:rsid w:val="00A46744"/>
    <w:rsid w:val="00A4752B"/>
    <w:rsid w:val="00A50151"/>
    <w:rsid w:val="00A502D4"/>
    <w:rsid w:val="00A51591"/>
    <w:rsid w:val="00A52282"/>
    <w:rsid w:val="00A53577"/>
    <w:rsid w:val="00A53596"/>
    <w:rsid w:val="00A5370A"/>
    <w:rsid w:val="00A5399B"/>
    <w:rsid w:val="00A53D91"/>
    <w:rsid w:val="00A53DF2"/>
    <w:rsid w:val="00A5437D"/>
    <w:rsid w:val="00A55662"/>
    <w:rsid w:val="00A55B5D"/>
    <w:rsid w:val="00A57791"/>
    <w:rsid w:val="00A5788E"/>
    <w:rsid w:val="00A600C3"/>
    <w:rsid w:val="00A60D15"/>
    <w:rsid w:val="00A613E0"/>
    <w:rsid w:val="00A61678"/>
    <w:rsid w:val="00A61B4F"/>
    <w:rsid w:val="00A6239D"/>
    <w:rsid w:val="00A6253B"/>
    <w:rsid w:val="00A63707"/>
    <w:rsid w:val="00A63A00"/>
    <w:rsid w:val="00A63E0D"/>
    <w:rsid w:val="00A64CF8"/>
    <w:rsid w:val="00A6565D"/>
    <w:rsid w:val="00A6565E"/>
    <w:rsid w:val="00A66719"/>
    <w:rsid w:val="00A66B80"/>
    <w:rsid w:val="00A66D26"/>
    <w:rsid w:val="00A66E5F"/>
    <w:rsid w:val="00A67422"/>
    <w:rsid w:val="00A67FE6"/>
    <w:rsid w:val="00A713E6"/>
    <w:rsid w:val="00A751AC"/>
    <w:rsid w:val="00A759FA"/>
    <w:rsid w:val="00A75E60"/>
    <w:rsid w:val="00A76345"/>
    <w:rsid w:val="00A7636B"/>
    <w:rsid w:val="00A76478"/>
    <w:rsid w:val="00A76AFF"/>
    <w:rsid w:val="00A771E4"/>
    <w:rsid w:val="00A800BD"/>
    <w:rsid w:val="00A801C0"/>
    <w:rsid w:val="00A8065C"/>
    <w:rsid w:val="00A80B81"/>
    <w:rsid w:val="00A80DC4"/>
    <w:rsid w:val="00A811CD"/>
    <w:rsid w:val="00A8157D"/>
    <w:rsid w:val="00A82119"/>
    <w:rsid w:val="00A823EA"/>
    <w:rsid w:val="00A823F4"/>
    <w:rsid w:val="00A82433"/>
    <w:rsid w:val="00A82847"/>
    <w:rsid w:val="00A8444F"/>
    <w:rsid w:val="00A85FB4"/>
    <w:rsid w:val="00A86492"/>
    <w:rsid w:val="00A87103"/>
    <w:rsid w:val="00A90311"/>
    <w:rsid w:val="00A91313"/>
    <w:rsid w:val="00A9152E"/>
    <w:rsid w:val="00A93223"/>
    <w:rsid w:val="00A933AB"/>
    <w:rsid w:val="00A94F4D"/>
    <w:rsid w:val="00A96262"/>
    <w:rsid w:val="00A967D2"/>
    <w:rsid w:val="00AA0CB7"/>
    <w:rsid w:val="00AA1EC7"/>
    <w:rsid w:val="00AA2085"/>
    <w:rsid w:val="00AA21D7"/>
    <w:rsid w:val="00AA2C50"/>
    <w:rsid w:val="00AA3556"/>
    <w:rsid w:val="00AA3594"/>
    <w:rsid w:val="00AA3968"/>
    <w:rsid w:val="00AA3F40"/>
    <w:rsid w:val="00AA50FF"/>
    <w:rsid w:val="00AA55C4"/>
    <w:rsid w:val="00AA5DB4"/>
    <w:rsid w:val="00AA613F"/>
    <w:rsid w:val="00AA6542"/>
    <w:rsid w:val="00AA6D62"/>
    <w:rsid w:val="00AA6F08"/>
    <w:rsid w:val="00AA7B10"/>
    <w:rsid w:val="00AA7E94"/>
    <w:rsid w:val="00AB007F"/>
    <w:rsid w:val="00AB0BA4"/>
    <w:rsid w:val="00AB0D3B"/>
    <w:rsid w:val="00AB0E4F"/>
    <w:rsid w:val="00AB1C3C"/>
    <w:rsid w:val="00AB2075"/>
    <w:rsid w:val="00AB21DB"/>
    <w:rsid w:val="00AB31C8"/>
    <w:rsid w:val="00AB325B"/>
    <w:rsid w:val="00AB48B1"/>
    <w:rsid w:val="00AB4C6D"/>
    <w:rsid w:val="00AB57E4"/>
    <w:rsid w:val="00AB58FF"/>
    <w:rsid w:val="00AB5A53"/>
    <w:rsid w:val="00AB6095"/>
    <w:rsid w:val="00AC02A4"/>
    <w:rsid w:val="00AC0B63"/>
    <w:rsid w:val="00AC0B80"/>
    <w:rsid w:val="00AC12DF"/>
    <w:rsid w:val="00AC1D12"/>
    <w:rsid w:val="00AC2319"/>
    <w:rsid w:val="00AC284F"/>
    <w:rsid w:val="00AC3142"/>
    <w:rsid w:val="00AC33EC"/>
    <w:rsid w:val="00AC5CE7"/>
    <w:rsid w:val="00AC6002"/>
    <w:rsid w:val="00AC611C"/>
    <w:rsid w:val="00AC697D"/>
    <w:rsid w:val="00AC6D23"/>
    <w:rsid w:val="00AC717E"/>
    <w:rsid w:val="00AC71DE"/>
    <w:rsid w:val="00AD0467"/>
    <w:rsid w:val="00AD0643"/>
    <w:rsid w:val="00AD0932"/>
    <w:rsid w:val="00AD0A0C"/>
    <w:rsid w:val="00AD1CDC"/>
    <w:rsid w:val="00AD1E01"/>
    <w:rsid w:val="00AD2252"/>
    <w:rsid w:val="00AD278E"/>
    <w:rsid w:val="00AD2AD4"/>
    <w:rsid w:val="00AD2E03"/>
    <w:rsid w:val="00AD3B36"/>
    <w:rsid w:val="00AD3B41"/>
    <w:rsid w:val="00AD3C59"/>
    <w:rsid w:val="00AD4CAA"/>
    <w:rsid w:val="00AD4EA6"/>
    <w:rsid w:val="00AD532B"/>
    <w:rsid w:val="00AD54BD"/>
    <w:rsid w:val="00AD616C"/>
    <w:rsid w:val="00AD68BE"/>
    <w:rsid w:val="00AD7919"/>
    <w:rsid w:val="00AE0322"/>
    <w:rsid w:val="00AE055C"/>
    <w:rsid w:val="00AE0815"/>
    <w:rsid w:val="00AE102F"/>
    <w:rsid w:val="00AE37A2"/>
    <w:rsid w:val="00AE4BE8"/>
    <w:rsid w:val="00AE5522"/>
    <w:rsid w:val="00AE60BC"/>
    <w:rsid w:val="00AE72EF"/>
    <w:rsid w:val="00AE73C5"/>
    <w:rsid w:val="00AE7EC5"/>
    <w:rsid w:val="00AF0F4C"/>
    <w:rsid w:val="00AF1078"/>
    <w:rsid w:val="00AF137E"/>
    <w:rsid w:val="00AF20B0"/>
    <w:rsid w:val="00AF2733"/>
    <w:rsid w:val="00AF310F"/>
    <w:rsid w:val="00AF394E"/>
    <w:rsid w:val="00AF3BBC"/>
    <w:rsid w:val="00AF3F12"/>
    <w:rsid w:val="00AF4494"/>
    <w:rsid w:val="00AF4F54"/>
    <w:rsid w:val="00AF5914"/>
    <w:rsid w:val="00AF6338"/>
    <w:rsid w:val="00AF6539"/>
    <w:rsid w:val="00AF6D0B"/>
    <w:rsid w:val="00AF701D"/>
    <w:rsid w:val="00AF70DE"/>
    <w:rsid w:val="00AF754E"/>
    <w:rsid w:val="00AF77DA"/>
    <w:rsid w:val="00AF79FF"/>
    <w:rsid w:val="00B007A2"/>
    <w:rsid w:val="00B00F84"/>
    <w:rsid w:val="00B01508"/>
    <w:rsid w:val="00B02438"/>
    <w:rsid w:val="00B02544"/>
    <w:rsid w:val="00B02A96"/>
    <w:rsid w:val="00B02B96"/>
    <w:rsid w:val="00B02E20"/>
    <w:rsid w:val="00B036FC"/>
    <w:rsid w:val="00B03D2D"/>
    <w:rsid w:val="00B03E3E"/>
    <w:rsid w:val="00B044E8"/>
    <w:rsid w:val="00B04B13"/>
    <w:rsid w:val="00B04B28"/>
    <w:rsid w:val="00B058DF"/>
    <w:rsid w:val="00B067FC"/>
    <w:rsid w:val="00B0776B"/>
    <w:rsid w:val="00B10081"/>
    <w:rsid w:val="00B10479"/>
    <w:rsid w:val="00B106B6"/>
    <w:rsid w:val="00B10745"/>
    <w:rsid w:val="00B11B08"/>
    <w:rsid w:val="00B12212"/>
    <w:rsid w:val="00B12ECF"/>
    <w:rsid w:val="00B13370"/>
    <w:rsid w:val="00B1366C"/>
    <w:rsid w:val="00B13F6A"/>
    <w:rsid w:val="00B14907"/>
    <w:rsid w:val="00B14CB2"/>
    <w:rsid w:val="00B14E33"/>
    <w:rsid w:val="00B15AEE"/>
    <w:rsid w:val="00B162EE"/>
    <w:rsid w:val="00B16373"/>
    <w:rsid w:val="00B179F7"/>
    <w:rsid w:val="00B17CE8"/>
    <w:rsid w:val="00B20537"/>
    <w:rsid w:val="00B21257"/>
    <w:rsid w:val="00B217FD"/>
    <w:rsid w:val="00B2220D"/>
    <w:rsid w:val="00B24453"/>
    <w:rsid w:val="00B2532F"/>
    <w:rsid w:val="00B2592F"/>
    <w:rsid w:val="00B25F7D"/>
    <w:rsid w:val="00B26E09"/>
    <w:rsid w:val="00B305E3"/>
    <w:rsid w:val="00B30654"/>
    <w:rsid w:val="00B312F4"/>
    <w:rsid w:val="00B31BC4"/>
    <w:rsid w:val="00B31F4C"/>
    <w:rsid w:val="00B32600"/>
    <w:rsid w:val="00B3267F"/>
    <w:rsid w:val="00B32917"/>
    <w:rsid w:val="00B32E5D"/>
    <w:rsid w:val="00B330E3"/>
    <w:rsid w:val="00B33255"/>
    <w:rsid w:val="00B333DE"/>
    <w:rsid w:val="00B33835"/>
    <w:rsid w:val="00B33BFF"/>
    <w:rsid w:val="00B33E74"/>
    <w:rsid w:val="00B34532"/>
    <w:rsid w:val="00B3460C"/>
    <w:rsid w:val="00B349D0"/>
    <w:rsid w:val="00B34DDD"/>
    <w:rsid w:val="00B3500B"/>
    <w:rsid w:val="00B3636D"/>
    <w:rsid w:val="00B36AB5"/>
    <w:rsid w:val="00B37675"/>
    <w:rsid w:val="00B40B5B"/>
    <w:rsid w:val="00B40DAB"/>
    <w:rsid w:val="00B41724"/>
    <w:rsid w:val="00B42279"/>
    <w:rsid w:val="00B423DC"/>
    <w:rsid w:val="00B42CE6"/>
    <w:rsid w:val="00B43123"/>
    <w:rsid w:val="00B43A75"/>
    <w:rsid w:val="00B43F82"/>
    <w:rsid w:val="00B45893"/>
    <w:rsid w:val="00B45BCC"/>
    <w:rsid w:val="00B4621B"/>
    <w:rsid w:val="00B462C8"/>
    <w:rsid w:val="00B46A75"/>
    <w:rsid w:val="00B47478"/>
    <w:rsid w:val="00B47772"/>
    <w:rsid w:val="00B503F6"/>
    <w:rsid w:val="00B50BF8"/>
    <w:rsid w:val="00B51B72"/>
    <w:rsid w:val="00B51CAC"/>
    <w:rsid w:val="00B527E2"/>
    <w:rsid w:val="00B52A42"/>
    <w:rsid w:val="00B5345E"/>
    <w:rsid w:val="00B53BEE"/>
    <w:rsid w:val="00B540D8"/>
    <w:rsid w:val="00B54109"/>
    <w:rsid w:val="00B5459E"/>
    <w:rsid w:val="00B54F41"/>
    <w:rsid w:val="00B56501"/>
    <w:rsid w:val="00B56B26"/>
    <w:rsid w:val="00B5760B"/>
    <w:rsid w:val="00B60C7F"/>
    <w:rsid w:val="00B614E4"/>
    <w:rsid w:val="00B616BD"/>
    <w:rsid w:val="00B617A7"/>
    <w:rsid w:val="00B619B2"/>
    <w:rsid w:val="00B61E6C"/>
    <w:rsid w:val="00B62105"/>
    <w:rsid w:val="00B62E68"/>
    <w:rsid w:val="00B63885"/>
    <w:rsid w:val="00B638DB"/>
    <w:rsid w:val="00B63BAE"/>
    <w:rsid w:val="00B64ACC"/>
    <w:rsid w:val="00B64B2F"/>
    <w:rsid w:val="00B65345"/>
    <w:rsid w:val="00B65512"/>
    <w:rsid w:val="00B66B6B"/>
    <w:rsid w:val="00B66D48"/>
    <w:rsid w:val="00B66D7F"/>
    <w:rsid w:val="00B66F2A"/>
    <w:rsid w:val="00B67AAC"/>
    <w:rsid w:val="00B67E4B"/>
    <w:rsid w:val="00B701B7"/>
    <w:rsid w:val="00B70850"/>
    <w:rsid w:val="00B71A2D"/>
    <w:rsid w:val="00B71F6D"/>
    <w:rsid w:val="00B72174"/>
    <w:rsid w:val="00B72A74"/>
    <w:rsid w:val="00B72B5C"/>
    <w:rsid w:val="00B73B76"/>
    <w:rsid w:val="00B74230"/>
    <w:rsid w:val="00B74460"/>
    <w:rsid w:val="00B74579"/>
    <w:rsid w:val="00B745A5"/>
    <w:rsid w:val="00B761F0"/>
    <w:rsid w:val="00B800A8"/>
    <w:rsid w:val="00B800AC"/>
    <w:rsid w:val="00B80C70"/>
    <w:rsid w:val="00B81CAF"/>
    <w:rsid w:val="00B82A1D"/>
    <w:rsid w:val="00B82A4D"/>
    <w:rsid w:val="00B852E5"/>
    <w:rsid w:val="00B854CA"/>
    <w:rsid w:val="00B8690A"/>
    <w:rsid w:val="00B872CC"/>
    <w:rsid w:val="00B87989"/>
    <w:rsid w:val="00B90173"/>
    <w:rsid w:val="00B90500"/>
    <w:rsid w:val="00B905EB"/>
    <w:rsid w:val="00B90AD4"/>
    <w:rsid w:val="00B90C47"/>
    <w:rsid w:val="00B91762"/>
    <w:rsid w:val="00B92556"/>
    <w:rsid w:val="00B9297A"/>
    <w:rsid w:val="00B93079"/>
    <w:rsid w:val="00B93341"/>
    <w:rsid w:val="00B93510"/>
    <w:rsid w:val="00B94DFF"/>
    <w:rsid w:val="00B94E4F"/>
    <w:rsid w:val="00B95A54"/>
    <w:rsid w:val="00B9607F"/>
    <w:rsid w:val="00B96676"/>
    <w:rsid w:val="00B96DEE"/>
    <w:rsid w:val="00B973AF"/>
    <w:rsid w:val="00B978AA"/>
    <w:rsid w:val="00BA0B6A"/>
    <w:rsid w:val="00BA15B1"/>
    <w:rsid w:val="00BA1718"/>
    <w:rsid w:val="00BA1793"/>
    <w:rsid w:val="00BA1B5D"/>
    <w:rsid w:val="00BA49AB"/>
    <w:rsid w:val="00BA5289"/>
    <w:rsid w:val="00BA63E8"/>
    <w:rsid w:val="00BA6A31"/>
    <w:rsid w:val="00BA6B07"/>
    <w:rsid w:val="00BA7878"/>
    <w:rsid w:val="00BB0664"/>
    <w:rsid w:val="00BB08F5"/>
    <w:rsid w:val="00BB0AC1"/>
    <w:rsid w:val="00BB0C64"/>
    <w:rsid w:val="00BB123D"/>
    <w:rsid w:val="00BB15A1"/>
    <w:rsid w:val="00BB18E7"/>
    <w:rsid w:val="00BB2BE9"/>
    <w:rsid w:val="00BB303A"/>
    <w:rsid w:val="00BB3D0C"/>
    <w:rsid w:val="00BB4D44"/>
    <w:rsid w:val="00BB4E39"/>
    <w:rsid w:val="00BB5626"/>
    <w:rsid w:val="00BB5F43"/>
    <w:rsid w:val="00BB75F6"/>
    <w:rsid w:val="00BB7D4F"/>
    <w:rsid w:val="00BC01AA"/>
    <w:rsid w:val="00BC04C0"/>
    <w:rsid w:val="00BC0BA4"/>
    <w:rsid w:val="00BC1038"/>
    <w:rsid w:val="00BC18F1"/>
    <w:rsid w:val="00BC1E8E"/>
    <w:rsid w:val="00BC2A05"/>
    <w:rsid w:val="00BC3439"/>
    <w:rsid w:val="00BC3753"/>
    <w:rsid w:val="00BC3A3C"/>
    <w:rsid w:val="00BC3A40"/>
    <w:rsid w:val="00BC42C9"/>
    <w:rsid w:val="00BC4A67"/>
    <w:rsid w:val="00BC4BE7"/>
    <w:rsid w:val="00BC4FC4"/>
    <w:rsid w:val="00BC5672"/>
    <w:rsid w:val="00BC5864"/>
    <w:rsid w:val="00BC6965"/>
    <w:rsid w:val="00BC69C6"/>
    <w:rsid w:val="00BC6B18"/>
    <w:rsid w:val="00BC77FD"/>
    <w:rsid w:val="00BC7985"/>
    <w:rsid w:val="00BC7F74"/>
    <w:rsid w:val="00BD0A71"/>
    <w:rsid w:val="00BD0B05"/>
    <w:rsid w:val="00BD0BC2"/>
    <w:rsid w:val="00BD1C56"/>
    <w:rsid w:val="00BD2104"/>
    <w:rsid w:val="00BD29F5"/>
    <w:rsid w:val="00BD2FB2"/>
    <w:rsid w:val="00BD3A05"/>
    <w:rsid w:val="00BD4C26"/>
    <w:rsid w:val="00BD52D9"/>
    <w:rsid w:val="00BD598E"/>
    <w:rsid w:val="00BD5AF4"/>
    <w:rsid w:val="00BD5DF0"/>
    <w:rsid w:val="00BD67A6"/>
    <w:rsid w:val="00BD6CC1"/>
    <w:rsid w:val="00BE09F4"/>
    <w:rsid w:val="00BE0ECE"/>
    <w:rsid w:val="00BE1223"/>
    <w:rsid w:val="00BE155D"/>
    <w:rsid w:val="00BE1C5D"/>
    <w:rsid w:val="00BE1D6C"/>
    <w:rsid w:val="00BE2669"/>
    <w:rsid w:val="00BE2E9A"/>
    <w:rsid w:val="00BE31B2"/>
    <w:rsid w:val="00BE468E"/>
    <w:rsid w:val="00BE4C74"/>
    <w:rsid w:val="00BE51DF"/>
    <w:rsid w:val="00BE5DBD"/>
    <w:rsid w:val="00BE619A"/>
    <w:rsid w:val="00BE6F5D"/>
    <w:rsid w:val="00BE70D8"/>
    <w:rsid w:val="00BF0985"/>
    <w:rsid w:val="00BF122B"/>
    <w:rsid w:val="00BF2C99"/>
    <w:rsid w:val="00BF2D68"/>
    <w:rsid w:val="00BF30B3"/>
    <w:rsid w:val="00BF3EC8"/>
    <w:rsid w:val="00BF4383"/>
    <w:rsid w:val="00BF4596"/>
    <w:rsid w:val="00BF5EEC"/>
    <w:rsid w:val="00BF62B9"/>
    <w:rsid w:val="00BF72BE"/>
    <w:rsid w:val="00BF74DB"/>
    <w:rsid w:val="00C007F5"/>
    <w:rsid w:val="00C0280A"/>
    <w:rsid w:val="00C03036"/>
    <w:rsid w:val="00C0304E"/>
    <w:rsid w:val="00C03B9C"/>
    <w:rsid w:val="00C03C6E"/>
    <w:rsid w:val="00C03DC8"/>
    <w:rsid w:val="00C044C3"/>
    <w:rsid w:val="00C04D06"/>
    <w:rsid w:val="00C05BD1"/>
    <w:rsid w:val="00C060D3"/>
    <w:rsid w:val="00C06CE8"/>
    <w:rsid w:val="00C07E68"/>
    <w:rsid w:val="00C1147F"/>
    <w:rsid w:val="00C128FB"/>
    <w:rsid w:val="00C1338E"/>
    <w:rsid w:val="00C13CDD"/>
    <w:rsid w:val="00C14218"/>
    <w:rsid w:val="00C14B68"/>
    <w:rsid w:val="00C154AE"/>
    <w:rsid w:val="00C1608C"/>
    <w:rsid w:val="00C17FE2"/>
    <w:rsid w:val="00C20B62"/>
    <w:rsid w:val="00C20F5D"/>
    <w:rsid w:val="00C21A55"/>
    <w:rsid w:val="00C225E0"/>
    <w:rsid w:val="00C2266C"/>
    <w:rsid w:val="00C234F1"/>
    <w:rsid w:val="00C23BCA"/>
    <w:rsid w:val="00C2400F"/>
    <w:rsid w:val="00C242B0"/>
    <w:rsid w:val="00C2550B"/>
    <w:rsid w:val="00C26631"/>
    <w:rsid w:val="00C2758A"/>
    <w:rsid w:val="00C2784B"/>
    <w:rsid w:val="00C27A4E"/>
    <w:rsid w:val="00C30D56"/>
    <w:rsid w:val="00C311B5"/>
    <w:rsid w:val="00C326F0"/>
    <w:rsid w:val="00C327A8"/>
    <w:rsid w:val="00C32AC1"/>
    <w:rsid w:val="00C32AF1"/>
    <w:rsid w:val="00C32AF8"/>
    <w:rsid w:val="00C32C87"/>
    <w:rsid w:val="00C32CB3"/>
    <w:rsid w:val="00C3311E"/>
    <w:rsid w:val="00C3409F"/>
    <w:rsid w:val="00C34CF6"/>
    <w:rsid w:val="00C35AE5"/>
    <w:rsid w:val="00C35EA7"/>
    <w:rsid w:val="00C364C7"/>
    <w:rsid w:val="00C366B4"/>
    <w:rsid w:val="00C37ADC"/>
    <w:rsid w:val="00C400FC"/>
    <w:rsid w:val="00C4043D"/>
    <w:rsid w:val="00C40A23"/>
    <w:rsid w:val="00C415A0"/>
    <w:rsid w:val="00C422CB"/>
    <w:rsid w:val="00C42871"/>
    <w:rsid w:val="00C42A20"/>
    <w:rsid w:val="00C43152"/>
    <w:rsid w:val="00C43366"/>
    <w:rsid w:val="00C433AF"/>
    <w:rsid w:val="00C4394D"/>
    <w:rsid w:val="00C43FA4"/>
    <w:rsid w:val="00C443AF"/>
    <w:rsid w:val="00C44655"/>
    <w:rsid w:val="00C458DA"/>
    <w:rsid w:val="00C46E9F"/>
    <w:rsid w:val="00C4726E"/>
    <w:rsid w:val="00C475C9"/>
    <w:rsid w:val="00C47D75"/>
    <w:rsid w:val="00C50211"/>
    <w:rsid w:val="00C52222"/>
    <w:rsid w:val="00C52380"/>
    <w:rsid w:val="00C5270E"/>
    <w:rsid w:val="00C5341D"/>
    <w:rsid w:val="00C5351C"/>
    <w:rsid w:val="00C53942"/>
    <w:rsid w:val="00C540F0"/>
    <w:rsid w:val="00C54E5C"/>
    <w:rsid w:val="00C54F4E"/>
    <w:rsid w:val="00C550CE"/>
    <w:rsid w:val="00C5746B"/>
    <w:rsid w:val="00C60B57"/>
    <w:rsid w:val="00C60D9C"/>
    <w:rsid w:val="00C60F9A"/>
    <w:rsid w:val="00C61185"/>
    <w:rsid w:val="00C6269C"/>
    <w:rsid w:val="00C62C7C"/>
    <w:rsid w:val="00C62F16"/>
    <w:rsid w:val="00C64146"/>
    <w:rsid w:val="00C642C1"/>
    <w:rsid w:val="00C646D1"/>
    <w:rsid w:val="00C64E79"/>
    <w:rsid w:val="00C663A7"/>
    <w:rsid w:val="00C66B7F"/>
    <w:rsid w:val="00C66D11"/>
    <w:rsid w:val="00C675A1"/>
    <w:rsid w:val="00C70C4D"/>
    <w:rsid w:val="00C710B6"/>
    <w:rsid w:val="00C71291"/>
    <w:rsid w:val="00C71D0D"/>
    <w:rsid w:val="00C72868"/>
    <w:rsid w:val="00C73F05"/>
    <w:rsid w:val="00C73FD4"/>
    <w:rsid w:val="00C74237"/>
    <w:rsid w:val="00C745F9"/>
    <w:rsid w:val="00C747FB"/>
    <w:rsid w:val="00C748A8"/>
    <w:rsid w:val="00C74F44"/>
    <w:rsid w:val="00C75A69"/>
    <w:rsid w:val="00C77188"/>
    <w:rsid w:val="00C801CA"/>
    <w:rsid w:val="00C8200E"/>
    <w:rsid w:val="00C82DC7"/>
    <w:rsid w:val="00C839F1"/>
    <w:rsid w:val="00C83BC6"/>
    <w:rsid w:val="00C83BC7"/>
    <w:rsid w:val="00C83C71"/>
    <w:rsid w:val="00C8446F"/>
    <w:rsid w:val="00C844E9"/>
    <w:rsid w:val="00C845E7"/>
    <w:rsid w:val="00C84A9F"/>
    <w:rsid w:val="00C84D39"/>
    <w:rsid w:val="00C85A93"/>
    <w:rsid w:val="00C85CF8"/>
    <w:rsid w:val="00C8613F"/>
    <w:rsid w:val="00C8633C"/>
    <w:rsid w:val="00C86C06"/>
    <w:rsid w:val="00C86C44"/>
    <w:rsid w:val="00C90431"/>
    <w:rsid w:val="00C90984"/>
    <w:rsid w:val="00C90C45"/>
    <w:rsid w:val="00C90FDA"/>
    <w:rsid w:val="00C9168A"/>
    <w:rsid w:val="00C916AD"/>
    <w:rsid w:val="00C92F40"/>
    <w:rsid w:val="00C945F8"/>
    <w:rsid w:val="00C96FEC"/>
    <w:rsid w:val="00C97784"/>
    <w:rsid w:val="00C97CAD"/>
    <w:rsid w:val="00CA00C9"/>
    <w:rsid w:val="00CA012A"/>
    <w:rsid w:val="00CA0601"/>
    <w:rsid w:val="00CA18A2"/>
    <w:rsid w:val="00CA2027"/>
    <w:rsid w:val="00CA22BB"/>
    <w:rsid w:val="00CA3A65"/>
    <w:rsid w:val="00CA3B22"/>
    <w:rsid w:val="00CA4226"/>
    <w:rsid w:val="00CA4890"/>
    <w:rsid w:val="00CA4D9F"/>
    <w:rsid w:val="00CA5444"/>
    <w:rsid w:val="00CA57C0"/>
    <w:rsid w:val="00CA586F"/>
    <w:rsid w:val="00CA6D55"/>
    <w:rsid w:val="00CB00AF"/>
    <w:rsid w:val="00CB049B"/>
    <w:rsid w:val="00CB109A"/>
    <w:rsid w:val="00CB1106"/>
    <w:rsid w:val="00CB1D2C"/>
    <w:rsid w:val="00CB2237"/>
    <w:rsid w:val="00CB24CF"/>
    <w:rsid w:val="00CB297D"/>
    <w:rsid w:val="00CB2A14"/>
    <w:rsid w:val="00CB2E8C"/>
    <w:rsid w:val="00CB37CB"/>
    <w:rsid w:val="00CB5FA1"/>
    <w:rsid w:val="00CB5FD4"/>
    <w:rsid w:val="00CB641B"/>
    <w:rsid w:val="00CC01DB"/>
    <w:rsid w:val="00CC039A"/>
    <w:rsid w:val="00CC057A"/>
    <w:rsid w:val="00CC0DA5"/>
    <w:rsid w:val="00CC1216"/>
    <w:rsid w:val="00CC34DF"/>
    <w:rsid w:val="00CC4C2C"/>
    <w:rsid w:val="00CC5C3A"/>
    <w:rsid w:val="00CC68DA"/>
    <w:rsid w:val="00CC75F7"/>
    <w:rsid w:val="00CC77EE"/>
    <w:rsid w:val="00CC7DD0"/>
    <w:rsid w:val="00CC7FE6"/>
    <w:rsid w:val="00CD0710"/>
    <w:rsid w:val="00CD123E"/>
    <w:rsid w:val="00CD12F5"/>
    <w:rsid w:val="00CD16A4"/>
    <w:rsid w:val="00CD17D4"/>
    <w:rsid w:val="00CD1EC9"/>
    <w:rsid w:val="00CD2020"/>
    <w:rsid w:val="00CD2F32"/>
    <w:rsid w:val="00CD2F9F"/>
    <w:rsid w:val="00CD3D4D"/>
    <w:rsid w:val="00CD517E"/>
    <w:rsid w:val="00CD5A2D"/>
    <w:rsid w:val="00CD5AAC"/>
    <w:rsid w:val="00CD5BA5"/>
    <w:rsid w:val="00CD5C15"/>
    <w:rsid w:val="00CD5C4F"/>
    <w:rsid w:val="00CD5E96"/>
    <w:rsid w:val="00CD6163"/>
    <w:rsid w:val="00CD6DEE"/>
    <w:rsid w:val="00CD6EF4"/>
    <w:rsid w:val="00CD6FDC"/>
    <w:rsid w:val="00CD7743"/>
    <w:rsid w:val="00CD797F"/>
    <w:rsid w:val="00CE000F"/>
    <w:rsid w:val="00CE0BBB"/>
    <w:rsid w:val="00CE0BE0"/>
    <w:rsid w:val="00CE0CE1"/>
    <w:rsid w:val="00CE0F83"/>
    <w:rsid w:val="00CE14FD"/>
    <w:rsid w:val="00CE1A13"/>
    <w:rsid w:val="00CE30F7"/>
    <w:rsid w:val="00CE32E5"/>
    <w:rsid w:val="00CE39EA"/>
    <w:rsid w:val="00CE440D"/>
    <w:rsid w:val="00CE4520"/>
    <w:rsid w:val="00CE4E39"/>
    <w:rsid w:val="00CE5E7E"/>
    <w:rsid w:val="00CF127E"/>
    <w:rsid w:val="00CF129C"/>
    <w:rsid w:val="00CF183F"/>
    <w:rsid w:val="00CF1E44"/>
    <w:rsid w:val="00CF2FB4"/>
    <w:rsid w:val="00CF3274"/>
    <w:rsid w:val="00CF4DB0"/>
    <w:rsid w:val="00CF4E97"/>
    <w:rsid w:val="00CF572C"/>
    <w:rsid w:val="00CF7841"/>
    <w:rsid w:val="00D00532"/>
    <w:rsid w:val="00D00A48"/>
    <w:rsid w:val="00D00B33"/>
    <w:rsid w:val="00D02520"/>
    <w:rsid w:val="00D03641"/>
    <w:rsid w:val="00D03A71"/>
    <w:rsid w:val="00D03F1D"/>
    <w:rsid w:val="00D046B6"/>
    <w:rsid w:val="00D0572D"/>
    <w:rsid w:val="00D06196"/>
    <w:rsid w:val="00D06482"/>
    <w:rsid w:val="00D06B8B"/>
    <w:rsid w:val="00D06FAC"/>
    <w:rsid w:val="00D076F6"/>
    <w:rsid w:val="00D07993"/>
    <w:rsid w:val="00D07F9E"/>
    <w:rsid w:val="00D1034F"/>
    <w:rsid w:val="00D10AA6"/>
    <w:rsid w:val="00D10E01"/>
    <w:rsid w:val="00D12E1A"/>
    <w:rsid w:val="00D14425"/>
    <w:rsid w:val="00D14959"/>
    <w:rsid w:val="00D15144"/>
    <w:rsid w:val="00D15786"/>
    <w:rsid w:val="00D1580A"/>
    <w:rsid w:val="00D15998"/>
    <w:rsid w:val="00D159F8"/>
    <w:rsid w:val="00D15ABD"/>
    <w:rsid w:val="00D15C5A"/>
    <w:rsid w:val="00D16C6C"/>
    <w:rsid w:val="00D17949"/>
    <w:rsid w:val="00D20070"/>
    <w:rsid w:val="00D20424"/>
    <w:rsid w:val="00D204BB"/>
    <w:rsid w:val="00D20CBC"/>
    <w:rsid w:val="00D22092"/>
    <w:rsid w:val="00D22D77"/>
    <w:rsid w:val="00D2305F"/>
    <w:rsid w:val="00D23A4D"/>
    <w:rsid w:val="00D263A7"/>
    <w:rsid w:val="00D26699"/>
    <w:rsid w:val="00D26A2F"/>
    <w:rsid w:val="00D26D54"/>
    <w:rsid w:val="00D278AB"/>
    <w:rsid w:val="00D3072F"/>
    <w:rsid w:val="00D31AD2"/>
    <w:rsid w:val="00D323C3"/>
    <w:rsid w:val="00D32C3B"/>
    <w:rsid w:val="00D32D84"/>
    <w:rsid w:val="00D32EE2"/>
    <w:rsid w:val="00D3404B"/>
    <w:rsid w:val="00D347F1"/>
    <w:rsid w:val="00D34AB4"/>
    <w:rsid w:val="00D35F65"/>
    <w:rsid w:val="00D367B6"/>
    <w:rsid w:val="00D368FA"/>
    <w:rsid w:val="00D36FA9"/>
    <w:rsid w:val="00D378ED"/>
    <w:rsid w:val="00D40D4A"/>
    <w:rsid w:val="00D415B0"/>
    <w:rsid w:val="00D41904"/>
    <w:rsid w:val="00D42F9E"/>
    <w:rsid w:val="00D4331C"/>
    <w:rsid w:val="00D4334F"/>
    <w:rsid w:val="00D437FD"/>
    <w:rsid w:val="00D44111"/>
    <w:rsid w:val="00D4506B"/>
    <w:rsid w:val="00D454AD"/>
    <w:rsid w:val="00D500B4"/>
    <w:rsid w:val="00D5034C"/>
    <w:rsid w:val="00D5045B"/>
    <w:rsid w:val="00D51AAF"/>
    <w:rsid w:val="00D51B07"/>
    <w:rsid w:val="00D5333F"/>
    <w:rsid w:val="00D5516C"/>
    <w:rsid w:val="00D55D3B"/>
    <w:rsid w:val="00D56758"/>
    <w:rsid w:val="00D57311"/>
    <w:rsid w:val="00D5759F"/>
    <w:rsid w:val="00D60E85"/>
    <w:rsid w:val="00D647E2"/>
    <w:rsid w:val="00D649ED"/>
    <w:rsid w:val="00D650C1"/>
    <w:rsid w:val="00D654E1"/>
    <w:rsid w:val="00D657C7"/>
    <w:rsid w:val="00D669FC"/>
    <w:rsid w:val="00D700EB"/>
    <w:rsid w:val="00D706E3"/>
    <w:rsid w:val="00D7251D"/>
    <w:rsid w:val="00D72618"/>
    <w:rsid w:val="00D72731"/>
    <w:rsid w:val="00D728FA"/>
    <w:rsid w:val="00D72C3B"/>
    <w:rsid w:val="00D730ED"/>
    <w:rsid w:val="00D73615"/>
    <w:rsid w:val="00D73C90"/>
    <w:rsid w:val="00D7401F"/>
    <w:rsid w:val="00D75326"/>
    <w:rsid w:val="00D75E0B"/>
    <w:rsid w:val="00D76654"/>
    <w:rsid w:val="00D76C55"/>
    <w:rsid w:val="00D77343"/>
    <w:rsid w:val="00D77403"/>
    <w:rsid w:val="00D77671"/>
    <w:rsid w:val="00D77A23"/>
    <w:rsid w:val="00D77E1D"/>
    <w:rsid w:val="00D815DE"/>
    <w:rsid w:val="00D81E97"/>
    <w:rsid w:val="00D81F29"/>
    <w:rsid w:val="00D824FA"/>
    <w:rsid w:val="00D82962"/>
    <w:rsid w:val="00D82B35"/>
    <w:rsid w:val="00D82ED8"/>
    <w:rsid w:val="00D8327F"/>
    <w:rsid w:val="00D83327"/>
    <w:rsid w:val="00D83BCA"/>
    <w:rsid w:val="00D8401B"/>
    <w:rsid w:val="00D8460A"/>
    <w:rsid w:val="00D85A26"/>
    <w:rsid w:val="00D85C53"/>
    <w:rsid w:val="00D86A26"/>
    <w:rsid w:val="00D86FD7"/>
    <w:rsid w:val="00D87308"/>
    <w:rsid w:val="00D87C3C"/>
    <w:rsid w:val="00D90162"/>
    <w:rsid w:val="00D90177"/>
    <w:rsid w:val="00D908ED"/>
    <w:rsid w:val="00D92540"/>
    <w:rsid w:val="00D92C46"/>
    <w:rsid w:val="00D933E4"/>
    <w:rsid w:val="00D9354E"/>
    <w:rsid w:val="00D9496E"/>
    <w:rsid w:val="00D94EE1"/>
    <w:rsid w:val="00D9510C"/>
    <w:rsid w:val="00D96CE9"/>
    <w:rsid w:val="00D97128"/>
    <w:rsid w:val="00D97254"/>
    <w:rsid w:val="00D973C9"/>
    <w:rsid w:val="00DA047C"/>
    <w:rsid w:val="00DA0E88"/>
    <w:rsid w:val="00DA0ED0"/>
    <w:rsid w:val="00DA14AC"/>
    <w:rsid w:val="00DA1714"/>
    <w:rsid w:val="00DA1DAE"/>
    <w:rsid w:val="00DA21B6"/>
    <w:rsid w:val="00DA295E"/>
    <w:rsid w:val="00DA3172"/>
    <w:rsid w:val="00DA35E0"/>
    <w:rsid w:val="00DA3DD6"/>
    <w:rsid w:val="00DA455B"/>
    <w:rsid w:val="00DA47D8"/>
    <w:rsid w:val="00DA4804"/>
    <w:rsid w:val="00DA623E"/>
    <w:rsid w:val="00DA7281"/>
    <w:rsid w:val="00DA73DF"/>
    <w:rsid w:val="00DB0B73"/>
    <w:rsid w:val="00DB0BC1"/>
    <w:rsid w:val="00DB0CFD"/>
    <w:rsid w:val="00DB134D"/>
    <w:rsid w:val="00DB17A8"/>
    <w:rsid w:val="00DB184A"/>
    <w:rsid w:val="00DB1CBC"/>
    <w:rsid w:val="00DB20C8"/>
    <w:rsid w:val="00DB2535"/>
    <w:rsid w:val="00DB2DCE"/>
    <w:rsid w:val="00DB2DE2"/>
    <w:rsid w:val="00DB3100"/>
    <w:rsid w:val="00DB3707"/>
    <w:rsid w:val="00DB3FEF"/>
    <w:rsid w:val="00DB5DB9"/>
    <w:rsid w:val="00DB626C"/>
    <w:rsid w:val="00DB64B6"/>
    <w:rsid w:val="00DB6A3A"/>
    <w:rsid w:val="00DB73F4"/>
    <w:rsid w:val="00DB7B43"/>
    <w:rsid w:val="00DB7EAE"/>
    <w:rsid w:val="00DC0C48"/>
    <w:rsid w:val="00DC0CE5"/>
    <w:rsid w:val="00DC0EEC"/>
    <w:rsid w:val="00DC112B"/>
    <w:rsid w:val="00DC1B66"/>
    <w:rsid w:val="00DC1CBA"/>
    <w:rsid w:val="00DC1E3F"/>
    <w:rsid w:val="00DC25F0"/>
    <w:rsid w:val="00DC2A5D"/>
    <w:rsid w:val="00DC2E13"/>
    <w:rsid w:val="00DC2F94"/>
    <w:rsid w:val="00DC2FC4"/>
    <w:rsid w:val="00DC3861"/>
    <w:rsid w:val="00DC5AF9"/>
    <w:rsid w:val="00DC5C60"/>
    <w:rsid w:val="00DC6607"/>
    <w:rsid w:val="00DC691A"/>
    <w:rsid w:val="00DC77D9"/>
    <w:rsid w:val="00DD02CA"/>
    <w:rsid w:val="00DD06B3"/>
    <w:rsid w:val="00DD0B0C"/>
    <w:rsid w:val="00DD1928"/>
    <w:rsid w:val="00DD2636"/>
    <w:rsid w:val="00DD2D84"/>
    <w:rsid w:val="00DD2E3E"/>
    <w:rsid w:val="00DD32E3"/>
    <w:rsid w:val="00DD425D"/>
    <w:rsid w:val="00DD4C95"/>
    <w:rsid w:val="00DD54F1"/>
    <w:rsid w:val="00DD5AD4"/>
    <w:rsid w:val="00DD5CED"/>
    <w:rsid w:val="00DD60F5"/>
    <w:rsid w:val="00DD6275"/>
    <w:rsid w:val="00DD6726"/>
    <w:rsid w:val="00DD7857"/>
    <w:rsid w:val="00DE006D"/>
    <w:rsid w:val="00DE06F0"/>
    <w:rsid w:val="00DE17E3"/>
    <w:rsid w:val="00DE1890"/>
    <w:rsid w:val="00DE1FF7"/>
    <w:rsid w:val="00DE31FB"/>
    <w:rsid w:val="00DE43E5"/>
    <w:rsid w:val="00DE4871"/>
    <w:rsid w:val="00DE4EC7"/>
    <w:rsid w:val="00DE5071"/>
    <w:rsid w:val="00DE55BF"/>
    <w:rsid w:val="00DE63B1"/>
    <w:rsid w:val="00DE7AF2"/>
    <w:rsid w:val="00DE7F2F"/>
    <w:rsid w:val="00DF0AAE"/>
    <w:rsid w:val="00DF22F2"/>
    <w:rsid w:val="00DF244E"/>
    <w:rsid w:val="00DF282D"/>
    <w:rsid w:val="00DF28F5"/>
    <w:rsid w:val="00DF2BA6"/>
    <w:rsid w:val="00DF2BFF"/>
    <w:rsid w:val="00DF2F4F"/>
    <w:rsid w:val="00DF3075"/>
    <w:rsid w:val="00DF3724"/>
    <w:rsid w:val="00DF3E5C"/>
    <w:rsid w:val="00DF59B1"/>
    <w:rsid w:val="00DF5A29"/>
    <w:rsid w:val="00DF6472"/>
    <w:rsid w:val="00DF6E82"/>
    <w:rsid w:val="00DF734F"/>
    <w:rsid w:val="00E00C4E"/>
    <w:rsid w:val="00E0118F"/>
    <w:rsid w:val="00E02107"/>
    <w:rsid w:val="00E02126"/>
    <w:rsid w:val="00E024CE"/>
    <w:rsid w:val="00E02633"/>
    <w:rsid w:val="00E0464E"/>
    <w:rsid w:val="00E046FD"/>
    <w:rsid w:val="00E05A91"/>
    <w:rsid w:val="00E06251"/>
    <w:rsid w:val="00E072F8"/>
    <w:rsid w:val="00E07F9C"/>
    <w:rsid w:val="00E07FF7"/>
    <w:rsid w:val="00E10F91"/>
    <w:rsid w:val="00E11609"/>
    <w:rsid w:val="00E1189C"/>
    <w:rsid w:val="00E11DB0"/>
    <w:rsid w:val="00E12096"/>
    <w:rsid w:val="00E1247D"/>
    <w:rsid w:val="00E12D77"/>
    <w:rsid w:val="00E12F06"/>
    <w:rsid w:val="00E1338B"/>
    <w:rsid w:val="00E14372"/>
    <w:rsid w:val="00E15116"/>
    <w:rsid w:val="00E16526"/>
    <w:rsid w:val="00E1677D"/>
    <w:rsid w:val="00E16BF9"/>
    <w:rsid w:val="00E16C82"/>
    <w:rsid w:val="00E1745E"/>
    <w:rsid w:val="00E179C8"/>
    <w:rsid w:val="00E17FD9"/>
    <w:rsid w:val="00E202C3"/>
    <w:rsid w:val="00E209D2"/>
    <w:rsid w:val="00E214A0"/>
    <w:rsid w:val="00E21A4D"/>
    <w:rsid w:val="00E21E70"/>
    <w:rsid w:val="00E21F04"/>
    <w:rsid w:val="00E22A7B"/>
    <w:rsid w:val="00E23192"/>
    <w:rsid w:val="00E25638"/>
    <w:rsid w:val="00E25854"/>
    <w:rsid w:val="00E25B07"/>
    <w:rsid w:val="00E26164"/>
    <w:rsid w:val="00E26FDC"/>
    <w:rsid w:val="00E27082"/>
    <w:rsid w:val="00E271F9"/>
    <w:rsid w:val="00E275E4"/>
    <w:rsid w:val="00E27CC6"/>
    <w:rsid w:val="00E27F1C"/>
    <w:rsid w:val="00E3143B"/>
    <w:rsid w:val="00E323FD"/>
    <w:rsid w:val="00E324A0"/>
    <w:rsid w:val="00E327C4"/>
    <w:rsid w:val="00E330C0"/>
    <w:rsid w:val="00E3315B"/>
    <w:rsid w:val="00E3377D"/>
    <w:rsid w:val="00E33AB7"/>
    <w:rsid w:val="00E344BC"/>
    <w:rsid w:val="00E34DC0"/>
    <w:rsid w:val="00E35293"/>
    <w:rsid w:val="00E359D8"/>
    <w:rsid w:val="00E364FE"/>
    <w:rsid w:val="00E3673C"/>
    <w:rsid w:val="00E379D3"/>
    <w:rsid w:val="00E40357"/>
    <w:rsid w:val="00E408CC"/>
    <w:rsid w:val="00E411C5"/>
    <w:rsid w:val="00E41B33"/>
    <w:rsid w:val="00E42599"/>
    <w:rsid w:val="00E431E8"/>
    <w:rsid w:val="00E43948"/>
    <w:rsid w:val="00E445EE"/>
    <w:rsid w:val="00E4540A"/>
    <w:rsid w:val="00E46172"/>
    <w:rsid w:val="00E4634E"/>
    <w:rsid w:val="00E46EC8"/>
    <w:rsid w:val="00E470C2"/>
    <w:rsid w:val="00E4765D"/>
    <w:rsid w:val="00E4785F"/>
    <w:rsid w:val="00E47979"/>
    <w:rsid w:val="00E47DED"/>
    <w:rsid w:val="00E500C3"/>
    <w:rsid w:val="00E500E3"/>
    <w:rsid w:val="00E50C08"/>
    <w:rsid w:val="00E50D6B"/>
    <w:rsid w:val="00E50D86"/>
    <w:rsid w:val="00E51019"/>
    <w:rsid w:val="00E51812"/>
    <w:rsid w:val="00E51F1B"/>
    <w:rsid w:val="00E51FFD"/>
    <w:rsid w:val="00E52FBC"/>
    <w:rsid w:val="00E5349B"/>
    <w:rsid w:val="00E534BB"/>
    <w:rsid w:val="00E554FC"/>
    <w:rsid w:val="00E5761D"/>
    <w:rsid w:val="00E60903"/>
    <w:rsid w:val="00E6273E"/>
    <w:rsid w:val="00E62C8A"/>
    <w:rsid w:val="00E659B8"/>
    <w:rsid w:val="00E66116"/>
    <w:rsid w:val="00E66B4B"/>
    <w:rsid w:val="00E67418"/>
    <w:rsid w:val="00E67576"/>
    <w:rsid w:val="00E67A40"/>
    <w:rsid w:val="00E67BA5"/>
    <w:rsid w:val="00E70EF5"/>
    <w:rsid w:val="00E71335"/>
    <w:rsid w:val="00E7147C"/>
    <w:rsid w:val="00E7166E"/>
    <w:rsid w:val="00E71A05"/>
    <w:rsid w:val="00E71FBA"/>
    <w:rsid w:val="00E7243F"/>
    <w:rsid w:val="00E72709"/>
    <w:rsid w:val="00E729CB"/>
    <w:rsid w:val="00E72B7F"/>
    <w:rsid w:val="00E73556"/>
    <w:rsid w:val="00E73AC1"/>
    <w:rsid w:val="00E74597"/>
    <w:rsid w:val="00E7481B"/>
    <w:rsid w:val="00E752C3"/>
    <w:rsid w:val="00E7536E"/>
    <w:rsid w:val="00E76152"/>
    <w:rsid w:val="00E76744"/>
    <w:rsid w:val="00E76F46"/>
    <w:rsid w:val="00E77214"/>
    <w:rsid w:val="00E774AD"/>
    <w:rsid w:val="00E8041B"/>
    <w:rsid w:val="00E80440"/>
    <w:rsid w:val="00E81820"/>
    <w:rsid w:val="00E82F9E"/>
    <w:rsid w:val="00E8301B"/>
    <w:rsid w:val="00E84083"/>
    <w:rsid w:val="00E8544B"/>
    <w:rsid w:val="00E85866"/>
    <w:rsid w:val="00E86244"/>
    <w:rsid w:val="00E86592"/>
    <w:rsid w:val="00E8771C"/>
    <w:rsid w:val="00E877B1"/>
    <w:rsid w:val="00E87D4B"/>
    <w:rsid w:val="00E87E7A"/>
    <w:rsid w:val="00E90334"/>
    <w:rsid w:val="00E9034E"/>
    <w:rsid w:val="00E9063C"/>
    <w:rsid w:val="00E90678"/>
    <w:rsid w:val="00E90A19"/>
    <w:rsid w:val="00E90AE2"/>
    <w:rsid w:val="00E91459"/>
    <w:rsid w:val="00E92257"/>
    <w:rsid w:val="00E92442"/>
    <w:rsid w:val="00E92D44"/>
    <w:rsid w:val="00E9400B"/>
    <w:rsid w:val="00E94A90"/>
    <w:rsid w:val="00E94EE7"/>
    <w:rsid w:val="00E94FEF"/>
    <w:rsid w:val="00E95401"/>
    <w:rsid w:val="00E97719"/>
    <w:rsid w:val="00EA04C3"/>
    <w:rsid w:val="00EA07EF"/>
    <w:rsid w:val="00EA08F6"/>
    <w:rsid w:val="00EA1614"/>
    <w:rsid w:val="00EA1D2D"/>
    <w:rsid w:val="00EA1E06"/>
    <w:rsid w:val="00EA2BB6"/>
    <w:rsid w:val="00EA2D9A"/>
    <w:rsid w:val="00EA2FA8"/>
    <w:rsid w:val="00EA3C4E"/>
    <w:rsid w:val="00EA4A2C"/>
    <w:rsid w:val="00EA552C"/>
    <w:rsid w:val="00EA5635"/>
    <w:rsid w:val="00EA5F6E"/>
    <w:rsid w:val="00EA75BE"/>
    <w:rsid w:val="00EB039A"/>
    <w:rsid w:val="00EB05B3"/>
    <w:rsid w:val="00EB068B"/>
    <w:rsid w:val="00EB0AEA"/>
    <w:rsid w:val="00EB0E51"/>
    <w:rsid w:val="00EB1335"/>
    <w:rsid w:val="00EB179B"/>
    <w:rsid w:val="00EB23D3"/>
    <w:rsid w:val="00EB2619"/>
    <w:rsid w:val="00EB38B8"/>
    <w:rsid w:val="00EB423C"/>
    <w:rsid w:val="00EB533F"/>
    <w:rsid w:val="00EB66B8"/>
    <w:rsid w:val="00EB66C6"/>
    <w:rsid w:val="00EB68D5"/>
    <w:rsid w:val="00EB78FB"/>
    <w:rsid w:val="00EC0041"/>
    <w:rsid w:val="00EC0E2A"/>
    <w:rsid w:val="00EC1758"/>
    <w:rsid w:val="00EC19F9"/>
    <w:rsid w:val="00EC3029"/>
    <w:rsid w:val="00EC3CDF"/>
    <w:rsid w:val="00EC3F01"/>
    <w:rsid w:val="00EC42CA"/>
    <w:rsid w:val="00EC4323"/>
    <w:rsid w:val="00EC444A"/>
    <w:rsid w:val="00EC59A6"/>
    <w:rsid w:val="00EC5F44"/>
    <w:rsid w:val="00EC6235"/>
    <w:rsid w:val="00EC627E"/>
    <w:rsid w:val="00EC669C"/>
    <w:rsid w:val="00EC712A"/>
    <w:rsid w:val="00ED08AD"/>
    <w:rsid w:val="00ED259C"/>
    <w:rsid w:val="00ED2B7C"/>
    <w:rsid w:val="00ED3ED7"/>
    <w:rsid w:val="00ED4D25"/>
    <w:rsid w:val="00ED502D"/>
    <w:rsid w:val="00ED50CB"/>
    <w:rsid w:val="00ED5257"/>
    <w:rsid w:val="00ED5894"/>
    <w:rsid w:val="00ED5E70"/>
    <w:rsid w:val="00ED6ECE"/>
    <w:rsid w:val="00ED759B"/>
    <w:rsid w:val="00ED7D7B"/>
    <w:rsid w:val="00EE12FF"/>
    <w:rsid w:val="00EE1A36"/>
    <w:rsid w:val="00EE230B"/>
    <w:rsid w:val="00EE242E"/>
    <w:rsid w:val="00EE3656"/>
    <w:rsid w:val="00EE3951"/>
    <w:rsid w:val="00EE3AC8"/>
    <w:rsid w:val="00EE41D4"/>
    <w:rsid w:val="00EE50DA"/>
    <w:rsid w:val="00EE50DC"/>
    <w:rsid w:val="00EE528F"/>
    <w:rsid w:val="00EE5294"/>
    <w:rsid w:val="00EE539D"/>
    <w:rsid w:val="00EE5540"/>
    <w:rsid w:val="00EE5826"/>
    <w:rsid w:val="00EE5E89"/>
    <w:rsid w:val="00EE798C"/>
    <w:rsid w:val="00EF1571"/>
    <w:rsid w:val="00EF2A69"/>
    <w:rsid w:val="00EF3563"/>
    <w:rsid w:val="00EF3BDF"/>
    <w:rsid w:val="00EF3CCF"/>
    <w:rsid w:val="00EF43BD"/>
    <w:rsid w:val="00EF472C"/>
    <w:rsid w:val="00EF687C"/>
    <w:rsid w:val="00EF69D9"/>
    <w:rsid w:val="00EF7DA0"/>
    <w:rsid w:val="00F00809"/>
    <w:rsid w:val="00F0199B"/>
    <w:rsid w:val="00F02532"/>
    <w:rsid w:val="00F02FDB"/>
    <w:rsid w:val="00F0367A"/>
    <w:rsid w:val="00F036B2"/>
    <w:rsid w:val="00F03FED"/>
    <w:rsid w:val="00F043D2"/>
    <w:rsid w:val="00F05336"/>
    <w:rsid w:val="00F07F64"/>
    <w:rsid w:val="00F11F3B"/>
    <w:rsid w:val="00F125A3"/>
    <w:rsid w:val="00F12AC8"/>
    <w:rsid w:val="00F131AD"/>
    <w:rsid w:val="00F14187"/>
    <w:rsid w:val="00F14789"/>
    <w:rsid w:val="00F15A6A"/>
    <w:rsid w:val="00F15B25"/>
    <w:rsid w:val="00F15F63"/>
    <w:rsid w:val="00F16CF5"/>
    <w:rsid w:val="00F179AC"/>
    <w:rsid w:val="00F17B4D"/>
    <w:rsid w:val="00F17F0C"/>
    <w:rsid w:val="00F21363"/>
    <w:rsid w:val="00F2177B"/>
    <w:rsid w:val="00F21B90"/>
    <w:rsid w:val="00F21DE3"/>
    <w:rsid w:val="00F22125"/>
    <w:rsid w:val="00F22494"/>
    <w:rsid w:val="00F23678"/>
    <w:rsid w:val="00F239A8"/>
    <w:rsid w:val="00F23D10"/>
    <w:rsid w:val="00F248A8"/>
    <w:rsid w:val="00F2509A"/>
    <w:rsid w:val="00F26BD2"/>
    <w:rsid w:val="00F2703A"/>
    <w:rsid w:val="00F2778D"/>
    <w:rsid w:val="00F27998"/>
    <w:rsid w:val="00F304B1"/>
    <w:rsid w:val="00F321E4"/>
    <w:rsid w:val="00F3221E"/>
    <w:rsid w:val="00F328FB"/>
    <w:rsid w:val="00F34707"/>
    <w:rsid w:val="00F34CD8"/>
    <w:rsid w:val="00F352E2"/>
    <w:rsid w:val="00F35CE6"/>
    <w:rsid w:val="00F3609F"/>
    <w:rsid w:val="00F37B0B"/>
    <w:rsid w:val="00F40EC9"/>
    <w:rsid w:val="00F40F23"/>
    <w:rsid w:val="00F4130B"/>
    <w:rsid w:val="00F414FE"/>
    <w:rsid w:val="00F41D8A"/>
    <w:rsid w:val="00F41EC5"/>
    <w:rsid w:val="00F42AB1"/>
    <w:rsid w:val="00F42EA4"/>
    <w:rsid w:val="00F43AD9"/>
    <w:rsid w:val="00F43D8A"/>
    <w:rsid w:val="00F4453D"/>
    <w:rsid w:val="00F44DDB"/>
    <w:rsid w:val="00F45F81"/>
    <w:rsid w:val="00F46874"/>
    <w:rsid w:val="00F468C1"/>
    <w:rsid w:val="00F4694B"/>
    <w:rsid w:val="00F46A53"/>
    <w:rsid w:val="00F46A83"/>
    <w:rsid w:val="00F47CE1"/>
    <w:rsid w:val="00F50094"/>
    <w:rsid w:val="00F5014D"/>
    <w:rsid w:val="00F5099C"/>
    <w:rsid w:val="00F51082"/>
    <w:rsid w:val="00F53328"/>
    <w:rsid w:val="00F5446B"/>
    <w:rsid w:val="00F544B5"/>
    <w:rsid w:val="00F5562B"/>
    <w:rsid w:val="00F557A5"/>
    <w:rsid w:val="00F55AEB"/>
    <w:rsid w:val="00F56587"/>
    <w:rsid w:val="00F576CF"/>
    <w:rsid w:val="00F603FB"/>
    <w:rsid w:val="00F60C4A"/>
    <w:rsid w:val="00F60CFA"/>
    <w:rsid w:val="00F627DD"/>
    <w:rsid w:val="00F6287B"/>
    <w:rsid w:val="00F62B9C"/>
    <w:rsid w:val="00F62BA9"/>
    <w:rsid w:val="00F631AA"/>
    <w:rsid w:val="00F63D20"/>
    <w:rsid w:val="00F64506"/>
    <w:rsid w:val="00F65BA4"/>
    <w:rsid w:val="00F65F65"/>
    <w:rsid w:val="00F66D82"/>
    <w:rsid w:val="00F67063"/>
    <w:rsid w:val="00F67ACF"/>
    <w:rsid w:val="00F70017"/>
    <w:rsid w:val="00F706A9"/>
    <w:rsid w:val="00F70906"/>
    <w:rsid w:val="00F70E43"/>
    <w:rsid w:val="00F70E6B"/>
    <w:rsid w:val="00F71B92"/>
    <w:rsid w:val="00F71C93"/>
    <w:rsid w:val="00F72AA7"/>
    <w:rsid w:val="00F72F15"/>
    <w:rsid w:val="00F72F30"/>
    <w:rsid w:val="00F730B0"/>
    <w:rsid w:val="00F73693"/>
    <w:rsid w:val="00F73D35"/>
    <w:rsid w:val="00F76248"/>
    <w:rsid w:val="00F7665D"/>
    <w:rsid w:val="00F76C98"/>
    <w:rsid w:val="00F777CD"/>
    <w:rsid w:val="00F77DBB"/>
    <w:rsid w:val="00F800CA"/>
    <w:rsid w:val="00F80384"/>
    <w:rsid w:val="00F80572"/>
    <w:rsid w:val="00F810DB"/>
    <w:rsid w:val="00F81C0A"/>
    <w:rsid w:val="00F81EB5"/>
    <w:rsid w:val="00F8271C"/>
    <w:rsid w:val="00F82A4D"/>
    <w:rsid w:val="00F82F0C"/>
    <w:rsid w:val="00F835C1"/>
    <w:rsid w:val="00F83FD0"/>
    <w:rsid w:val="00F84A10"/>
    <w:rsid w:val="00F84CE2"/>
    <w:rsid w:val="00F85939"/>
    <w:rsid w:val="00F86991"/>
    <w:rsid w:val="00F86A16"/>
    <w:rsid w:val="00F86BEB"/>
    <w:rsid w:val="00F86DB1"/>
    <w:rsid w:val="00F87C84"/>
    <w:rsid w:val="00F87CDA"/>
    <w:rsid w:val="00F90E42"/>
    <w:rsid w:val="00F92100"/>
    <w:rsid w:val="00F9271D"/>
    <w:rsid w:val="00F927DA"/>
    <w:rsid w:val="00F928AF"/>
    <w:rsid w:val="00F945A4"/>
    <w:rsid w:val="00F94AB6"/>
    <w:rsid w:val="00F94CE9"/>
    <w:rsid w:val="00F95058"/>
    <w:rsid w:val="00F95B59"/>
    <w:rsid w:val="00F95D20"/>
    <w:rsid w:val="00F961F4"/>
    <w:rsid w:val="00F965F4"/>
    <w:rsid w:val="00F9742E"/>
    <w:rsid w:val="00FA01FD"/>
    <w:rsid w:val="00FA1A0F"/>
    <w:rsid w:val="00FA3523"/>
    <w:rsid w:val="00FA3827"/>
    <w:rsid w:val="00FA3885"/>
    <w:rsid w:val="00FA3BB2"/>
    <w:rsid w:val="00FA4162"/>
    <w:rsid w:val="00FA566E"/>
    <w:rsid w:val="00FA5B63"/>
    <w:rsid w:val="00FA624D"/>
    <w:rsid w:val="00FA64CD"/>
    <w:rsid w:val="00FA6D9F"/>
    <w:rsid w:val="00FA7740"/>
    <w:rsid w:val="00FA7BC4"/>
    <w:rsid w:val="00FB0E0A"/>
    <w:rsid w:val="00FB0EF2"/>
    <w:rsid w:val="00FB1381"/>
    <w:rsid w:val="00FB1A47"/>
    <w:rsid w:val="00FB28A1"/>
    <w:rsid w:val="00FB298F"/>
    <w:rsid w:val="00FB2A3D"/>
    <w:rsid w:val="00FB2C3C"/>
    <w:rsid w:val="00FB34E0"/>
    <w:rsid w:val="00FB373D"/>
    <w:rsid w:val="00FB37A4"/>
    <w:rsid w:val="00FB4729"/>
    <w:rsid w:val="00FB4BFC"/>
    <w:rsid w:val="00FB4C18"/>
    <w:rsid w:val="00FB4E8C"/>
    <w:rsid w:val="00FB71A5"/>
    <w:rsid w:val="00FB7444"/>
    <w:rsid w:val="00FB7B91"/>
    <w:rsid w:val="00FB7D7C"/>
    <w:rsid w:val="00FC0B3C"/>
    <w:rsid w:val="00FC1809"/>
    <w:rsid w:val="00FC2252"/>
    <w:rsid w:val="00FC2882"/>
    <w:rsid w:val="00FC2AB8"/>
    <w:rsid w:val="00FC376C"/>
    <w:rsid w:val="00FC3CB4"/>
    <w:rsid w:val="00FC4625"/>
    <w:rsid w:val="00FC4CF4"/>
    <w:rsid w:val="00FC4F6F"/>
    <w:rsid w:val="00FC552A"/>
    <w:rsid w:val="00FC578D"/>
    <w:rsid w:val="00FC5D81"/>
    <w:rsid w:val="00FC5EDA"/>
    <w:rsid w:val="00FC6003"/>
    <w:rsid w:val="00FC626B"/>
    <w:rsid w:val="00FC6B23"/>
    <w:rsid w:val="00FC730B"/>
    <w:rsid w:val="00FC77C9"/>
    <w:rsid w:val="00FC7BF6"/>
    <w:rsid w:val="00FD058A"/>
    <w:rsid w:val="00FD062E"/>
    <w:rsid w:val="00FD0DDB"/>
    <w:rsid w:val="00FD2601"/>
    <w:rsid w:val="00FD3527"/>
    <w:rsid w:val="00FD3BDC"/>
    <w:rsid w:val="00FD3D79"/>
    <w:rsid w:val="00FD4C55"/>
    <w:rsid w:val="00FD4EF8"/>
    <w:rsid w:val="00FD5543"/>
    <w:rsid w:val="00FD56CA"/>
    <w:rsid w:val="00FD625F"/>
    <w:rsid w:val="00FD6DA8"/>
    <w:rsid w:val="00FD78F7"/>
    <w:rsid w:val="00FD7E5E"/>
    <w:rsid w:val="00FE07A9"/>
    <w:rsid w:val="00FE07FE"/>
    <w:rsid w:val="00FE1D00"/>
    <w:rsid w:val="00FE2221"/>
    <w:rsid w:val="00FE2E51"/>
    <w:rsid w:val="00FE4457"/>
    <w:rsid w:val="00FE4CDB"/>
    <w:rsid w:val="00FE5856"/>
    <w:rsid w:val="00FE5EAF"/>
    <w:rsid w:val="00FE6357"/>
    <w:rsid w:val="00FE67C1"/>
    <w:rsid w:val="00FE79C4"/>
    <w:rsid w:val="00FF0174"/>
    <w:rsid w:val="00FF19AD"/>
    <w:rsid w:val="00FF1DC6"/>
    <w:rsid w:val="00FF2894"/>
    <w:rsid w:val="00FF3EFD"/>
    <w:rsid w:val="00FF4949"/>
    <w:rsid w:val="00FF4F73"/>
    <w:rsid w:val="00FF554D"/>
    <w:rsid w:val="00FF565C"/>
    <w:rsid w:val="00FF668F"/>
    <w:rsid w:val="00FF67FF"/>
    <w:rsid w:val="00FF6BF1"/>
    <w:rsid w:val="00FF7029"/>
    <w:rsid w:val="00FF7724"/>
    <w:rsid w:val="00FF7B67"/>
    <w:rsid w:val="00FF7CAF"/>
    <w:rsid w:val="00FF7CBA"/>
    <w:rsid w:val="0139F1E7"/>
    <w:rsid w:val="018F0186"/>
    <w:rsid w:val="01BFFDC0"/>
    <w:rsid w:val="02B2F88C"/>
    <w:rsid w:val="02DE780A"/>
    <w:rsid w:val="03ADC17E"/>
    <w:rsid w:val="040ECDE2"/>
    <w:rsid w:val="052B0DA8"/>
    <w:rsid w:val="05E8B6A3"/>
    <w:rsid w:val="060FACD2"/>
    <w:rsid w:val="0626A4E1"/>
    <w:rsid w:val="06997AE5"/>
    <w:rsid w:val="06B79B70"/>
    <w:rsid w:val="06B9F5B5"/>
    <w:rsid w:val="06BF87FB"/>
    <w:rsid w:val="076C63FE"/>
    <w:rsid w:val="08063090"/>
    <w:rsid w:val="08BAE8EA"/>
    <w:rsid w:val="08E1EA91"/>
    <w:rsid w:val="09A450F6"/>
    <w:rsid w:val="09B72D7E"/>
    <w:rsid w:val="09EA5C77"/>
    <w:rsid w:val="0A38D388"/>
    <w:rsid w:val="0B2F4A00"/>
    <w:rsid w:val="0B5B702C"/>
    <w:rsid w:val="0BA862D5"/>
    <w:rsid w:val="0D07C480"/>
    <w:rsid w:val="0D70744A"/>
    <w:rsid w:val="0E355409"/>
    <w:rsid w:val="0E71AF87"/>
    <w:rsid w:val="0E7F35B1"/>
    <w:rsid w:val="0EBFD8BE"/>
    <w:rsid w:val="0F563A2F"/>
    <w:rsid w:val="113EE8FB"/>
    <w:rsid w:val="1155CE2A"/>
    <w:rsid w:val="11AD12D6"/>
    <w:rsid w:val="126C63C3"/>
    <w:rsid w:val="126E1DCA"/>
    <w:rsid w:val="12DECE71"/>
    <w:rsid w:val="1348E337"/>
    <w:rsid w:val="1419BC9C"/>
    <w:rsid w:val="15946DE0"/>
    <w:rsid w:val="15B2C9D3"/>
    <w:rsid w:val="164B13E9"/>
    <w:rsid w:val="16CFBC5D"/>
    <w:rsid w:val="17175690"/>
    <w:rsid w:val="179BC80F"/>
    <w:rsid w:val="185757AA"/>
    <w:rsid w:val="19ACA4DF"/>
    <w:rsid w:val="1A9573FD"/>
    <w:rsid w:val="1AF5193D"/>
    <w:rsid w:val="1B3ACCBF"/>
    <w:rsid w:val="1C16A92F"/>
    <w:rsid w:val="1CD32BA9"/>
    <w:rsid w:val="1D690221"/>
    <w:rsid w:val="1DB6FC98"/>
    <w:rsid w:val="1DDAC3C1"/>
    <w:rsid w:val="1DF843F2"/>
    <w:rsid w:val="1EBC21C6"/>
    <w:rsid w:val="1F3FF07F"/>
    <w:rsid w:val="1F49E090"/>
    <w:rsid w:val="1F4E5BFD"/>
    <w:rsid w:val="1F516705"/>
    <w:rsid w:val="2001C473"/>
    <w:rsid w:val="206D199C"/>
    <w:rsid w:val="20806531"/>
    <w:rsid w:val="216952C3"/>
    <w:rsid w:val="2198D36C"/>
    <w:rsid w:val="21B1FBC9"/>
    <w:rsid w:val="22C28057"/>
    <w:rsid w:val="22D41DFF"/>
    <w:rsid w:val="23040203"/>
    <w:rsid w:val="236A017E"/>
    <w:rsid w:val="238010E9"/>
    <w:rsid w:val="249C5C0C"/>
    <w:rsid w:val="2672AC78"/>
    <w:rsid w:val="26FFD785"/>
    <w:rsid w:val="2755C43F"/>
    <w:rsid w:val="28065BF9"/>
    <w:rsid w:val="28D0601D"/>
    <w:rsid w:val="28FDF487"/>
    <w:rsid w:val="299D3132"/>
    <w:rsid w:val="2A66B94B"/>
    <w:rsid w:val="2A7320EA"/>
    <w:rsid w:val="2A975C5C"/>
    <w:rsid w:val="2B94B888"/>
    <w:rsid w:val="2C519E5C"/>
    <w:rsid w:val="2CB49065"/>
    <w:rsid w:val="2CCE2ED8"/>
    <w:rsid w:val="2DED8D8C"/>
    <w:rsid w:val="2ED59AB6"/>
    <w:rsid w:val="2F7C452B"/>
    <w:rsid w:val="3146DAAE"/>
    <w:rsid w:val="31D68A08"/>
    <w:rsid w:val="323AE3C8"/>
    <w:rsid w:val="32636C69"/>
    <w:rsid w:val="334331D8"/>
    <w:rsid w:val="34CA959C"/>
    <w:rsid w:val="34E0968C"/>
    <w:rsid w:val="368582A7"/>
    <w:rsid w:val="3794B8EB"/>
    <w:rsid w:val="379C0386"/>
    <w:rsid w:val="38DDCD13"/>
    <w:rsid w:val="38DFE3C8"/>
    <w:rsid w:val="39C1F6A1"/>
    <w:rsid w:val="3ABBE976"/>
    <w:rsid w:val="3BC1875E"/>
    <w:rsid w:val="3C30CA8F"/>
    <w:rsid w:val="3DA16B6D"/>
    <w:rsid w:val="3E2830C4"/>
    <w:rsid w:val="3EA3D239"/>
    <w:rsid w:val="3EFEA561"/>
    <w:rsid w:val="3F386089"/>
    <w:rsid w:val="3FC21B34"/>
    <w:rsid w:val="40313825"/>
    <w:rsid w:val="40E3C3CF"/>
    <w:rsid w:val="41CD9D4F"/>
    <w:rsid w:val="41E15899"/>
    <w:rsid w:val="43AF1BF4"/>
    <w:rsid w:val="44149049"/>
    <w:rsid w:val="45335F57"/>
    <w:rsid w:val="476CBFEA"/>
    <w:rsid w:val="47DF28E2"/>
    <w:rsid w:val="4843C413"/>
    <w:rsid w:val="487D4F82"/>
    <w:rsid w:val="4887F9D2"/>
    <w:rsid w:val="4888D778"/>
    <w:rsid w:val="49569076"/>
    <w:rsid w:val="499A060D"/>
    <w:rsid w:val="4A1BE26A"/>
    <w:rsid w:val="4A20F66A"/>
    <w:rsid w:val="4B03A015"/>
    <w:rsid w:val="4B73EACC"/>
    <w:rsid w:val="4BC6B4B8"/>
    <w:rsid w:val="4BF928B0"/>
    <w:rsid w:val="4C946A95"/>
    <w:rsid w:val="50489994"/>
    <w:rsid w:val="50F26140"/>
    <w:rsid w:val="511914EB"/>
    <w:rsid w:val="519A484E"/>
    <w:rsid w:val="51CFE4B5"/>
    <w:rsid w:val="520D0D50"/>
    <w:rsid w:val="5222B88F"/>
    <w:rsid w:val="530F4A70"/>
    <w:rsid w:val="543542BE"/>
    <w:rsid w:val="549520A0"/>
    <w:rsid w:val="54A16FF1"/>
    <w:rsid w:val="54BFB322"/>
    <w:rsid w:val="54C307B5"/>
    <w:rsid w:val="552B948F"/>
    <w:rsid w:val="5630F101"/>
    <w:rsid w:val="566A1F85"/>
    <w:rsid w:val="5775F42C"/>
    <w:rsid w:val="57780FAC"/>
    <w:rsid w:val="58A34625"/>
    <w:rsid w:val="59EFDC64"/>
    <w:rsid w:val="5A2F8438"/>
    <w:rsid w:val="5A5EC405"/>
    <w:rsid w:val="5B7F1ED8"/>
    <w:rsid w:val="5BCF8F22"/>
    <w:rsid w:val="5CBA6870"/>
    <w:rsid w:val="5D455247"/>
    <w:rsid w:val="5D98DA1F"/>
    <w:rsid w:val="5E325B4E"/>
    <w:rsid w:val="5F9C49EE"/>
    <w:rsid w:val="6018452E"/>
    <w:rsid w:val="62BAC253"/>
    <w:rsid w:val="63FDAA81"/>
    <w:rsid w:val="64263107"/>
    <w:rsid w:val="644948B8"/>
    <w:rsid w:val="65FC605F"/>
    <w:rsid w:val="66777DBB"/>
    <w:rsid w:val="66CE1428"/>
    <w:rsid w:val="66E62608"/>
    <w:rsid w:val="66F760DF"/>
    <w:rsid w:val="67100297"/>
    <w:rsid w:val="6803A6DC"/>
    <w:rsid w:val="68EEE4D1"/>
    <w:rsid w:val="6A18577C"/>
    <w:rsid w:val="6A97F37A"/>
    <w:rsid w:val="6BDB35B0"/>
    <w:rsid w:val="6CD09A92"/>
    <w:rsid w:val="6D5B6AFE"/>
    <w:rsid w:val="6D66A263"/>
    <w:rsid w:val="6D7698FB"/>
    <w:rsid w:val="6D8B641E"/>
    <w:rsid w:val="6DFD74FA"/>
    <w:rsid w:val="6E88B6BE"/>
    <w:rsid w:val="6E92CB74"/>
    <w:rsid w:val="6EF28BD3"/>
    <w:rsid w:val="6F22190B"/>
    <w:rsid w:val="6F3F3C7C"/>
    <w:rsid w:val="704FBE39"/>
    <w:rsid w:val="70DB727F"/>
    <w:rsid w:val="7150A94A"/>
    <w:rsid w:val="719FA73F"/>
    <w:rsid w:val="72A0D911"/>
    <w:rsid w:val="72D3CD9A"/>
    <w:rsid w:val="72F381BC"/>
    <w:rsid w:val="733B20D4"/>
    <w:rsid w:val="744F3C1E"/>
    <w:rsid w:val="74877D0A"/>
    <w:rsid w:val="75188E25"/>
    <w:rsid w:val="7549D3EA"/>
    <w:rsid w:val="7579A1CE"/>
    <w:rsid w:val="75FCF60C"/>
    <w:rsid w:val="76107465"/>
    <w:rsid w:val="77582031"/>
    <w:rsid w:val="77AA85A3"/>
    <w:rsid w:val="789CFEF9"/>
    <w:rsid w:val="7A732E51"/>
    <w:rsid w:val="7AFFD160"/>
    <w:rsid w:val="7C062BB9"/>
    <w:rsid w:val="7C6155AD"/>
    <w:rsid w:val="7C811AE8"/>
    <w:rsid w:val="7D991275"/>
    <w:rsid w:val="7EFFD2C5"/>
    <w:rsid w:val="7F09C822"/>
    <w:rsid w:val="7F2084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6742"/>
  <w15:chartTrackingRefBased/>
  <w15:docId w15:val="{54D717A4-A7CF-4C85-AA5E-431696D7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925"/>
    <w:pPr>
      <w:spacing w:after="120"/>
    </w:pPr>
    <w:rPr>
      <w:rFonts w:asciiTheme="majorHAnsi" w:hAnsiTheme="majorHAnsi" w:cstheme="majorHAnsi"/>
      <w:sz w:val="22"/>
      <w:szCs w:val="22"/>
    </w:rPr>
  </w:style>
  <w:style w:type="paragraph" w:styleId="Heading1">
    <w:name w:val="heading 1"/>
    <w:basedOn w:val="Normal"/>
    <w:next w:val="Normal"/>
    <w:link w:val="Heading1Char"/>
    <w:uiPriority w:val="9"/>
    <w:qFormat/>
    <w:rsid w:val="00881A99"/>
    <w:pPr>
      <w:keepNext/>
      <w:keepLines/>
      <w:numPr>
        <w:numId w:val="4"/>
      </w:numPr>
      <w:spacing w:before="240"/>
      <w:ind w:left="567" w:hanging="567"/>
      <w:outlineLvl w:val="0"/>
    </w:pPr>
    <w:rPr>
      <w:rFonts w:eastAsiaTheme="majorEastAsia" w:cstheme="majorBidi"/>
      <w:color w:val="2F5496" w:themeColor="accent1" w:themeShade="BF"/>
      <w:sz w:val="36"/>
      <w:szCs w:val="36"/>
    </w:rPr>
  </w:style>
  <w:style w:type="paragraph" w:styleId="Heading2">
    <w:name w:val="heading 2"/>
    <w:basedOn w:val="Heading1"/>
    <w:next w:val="Normal"/>
    <w:link w:val="Heading2Char"/>
    <w:uiPriority w:val="9"/>
    <w:unhideWhenUsed/>
    <w:qFormat/>
    <w:rsid w:val="00881A99"/>
    <w:pPr>
      <w:numPr>
        <w:ilvl w:val="1"/>
      </w:numPr>
      <w:ind w:left="567" w:hanging="567"/>
      <w:outlineLvl w:val="1"/>
    </w:pPr>
    <w:rPr>
      <w:b/>
      <w:bCs/>
      <w:sz w:val="28"/>
      <w:szCs w:val="28"/>
    </w:rPr>
  </w:style>
  <w:style w:type="paragraph" w:styleId="Heading3">
    <w:name w:val="heading 3"/>
    <w:basedOn w:val="Heading2"/>
    <w:next w:val="Normal"/>
    <w:link w:val="Heading3Char"/>
    <w:uiPriority w:val="9"/>
    <w:unhideWhenUsed/>
    <w:qFormat/>
    <w:rsid w:val="00AB58FF"/>
    <w:pPr>
      <w:numPr>
        <w:ilvl w:val="2"/>
      </w:numPr>
      <w:ind w:left="709" w:hanging="709"/>
      <w:outlineLvl w:val="2"/>
    </w:pPr>
    <w:rPr>
      <w:i/>
      <w:iCs/>
      <w:color w:val="1F3864" w:themeColor="accent1" w:themeShade="80"/>
      <w:sz w:val="22"/>
      <w:szCs w:val="22"/>
    </w:rPr>
  </w:style>
  <w:style w:type="paragraph" w:styleId="Heading4">
    <w:name w:val="heading 4"/>
    <w:basedOn w:val="Normal"/>
    <w:next w:val="Normal"/>
    <w:link w:val="Heading4Char"/>
    <w:uiPriority w:val="9"/>
    <w:unhideWhenUsed/>
    <w:qFormat/>
    <w:rsid w:val="00905163"/>
    <w:pPr>
      <w:keepNext/>
      <w:keepLines/>
      <w:spacing w:before="60" w:after="60"/>
      <w:outlineLvl w:val="3"/>
    </w:pPr>
    <w:rPr>
      <w:rFonts w:eastAsiaTheme="majorEastAsia" w:cstheme="majorBidi"/>
      <w:b/>
      <w:bCs/>
      <w:i/>
      <w:iCs/>
      <w:u w:val="single"/>
    </w:rPr>
  </w:style>
  <w:style w:type="paragraph" w:styleId="Heading5">
    <w:name w:val="heading 5"/>
    <w:basedOn w:val="Normal"/>
    <w:next w:val="Normal"/>
    <w:link w:val="Heading5Char"/>
    <w:uiPriority w:val="9"/>
    <w:unhideWhenUsed/>
    <w:qFormat/>
    <w:rsid w:val="003D4852"/>
    <w:pPr>
      <w:outlineLvl w:val="4"/>
    </w:pPr>
    <w:rPr>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2C3C"/>
    <w:rPr>
      <w:rFonts w:eastAsiaTheme="minorEastAsia"/>
      <w:sz w:val="22"/>
      <w:szCs w:val="22"/>
      <w:lang w:val="en-US" w:eastAsia="zh-CN"/>
    </w:rPr>
  </w:style>
  <w:style w:type="character" w:customStyle="1" w:styleId="NoSpacingChar">
    <w:name w:val="No Spacing Char"/>
    <w:basedOn w:val="DefaultParagraphFont"/>
    <w:link w:val="NoSpacing"/>
    <w:uiPriority w:val="1"/>
    <w:rsid w:val="00FB2C3C"/>
    <w:rPr>
      <w:rFonts w:eastAsiaTheme="minorEastAsia"/>
      <w:sz w:val="22"/>
      <w:szCs w:val="22"/>
      <w:lang w:val="en-US" w:eastAsia="zh-CN"/>
    </w:rPr>
  </w:style>
  <w:style w:type="paragraph" w:customStyle="1" w:styleId="Subheading">
    <w:name w:val="Subheading"/>
    <w:basedOn w:val="Normal"/>
    <w:qFormat/>
    <w:rsid w:val="00602359"/>
    <w:pPr>
      <w:tabs>
        <w:tab w:val="left" w:pos="7780"/>
      </w:tabs>
      <w:spacing w:before="120"/>
    </w:pPr>
    <w:rPr>
      <w:rFonts w:cs="Times New Roman (Body CS)"/>
      <w:color w:val="B7432A"/>
      <w:spacing w:val="30"/>
    </w:rPr>
  </w:style>
  <w:style w:type="character" w:customStyle="1" w:styleId="MajorHeading">
    <w:name w:val="Major Heading"/>
    <w:basedOn w:val="DefaultParagraphFont"/>
    <w:uiPriority w:val="1"/>
    <w:qFormat/>
    <w:rsid w:val="002F3685"/>
    <w:rPr>
      <w:rFonts w:asciiTheme="majorHAnsi" w:hAnsiTheme="majorHAnsi" w:cs="Times New Roman (Body CS)"/>
      <w:b/>
      <w:color w:val="0E1428"/>
      <w:spacing w:val="120"/>
      <w:sz w:val="52"/>
      <w:szCs w:val="52"/>
    </w:rPr>
  </w:style>
  <w:style w:type="character" w:customStyle="1" w:styleId="Heading">
    <w:name w:val="Heading"/>
    <w:basedOn w:val="DefaultParagraphFont"/>
    <w:uiPriority w:val="1"/>
    <w:qFormat/>
    <w:rsid w:val="002F3685"/>
    <w:rPr>
      <w:rFonts w:asciiTheme="majorHAnsi" w:hAnsiTheme="majorHAnsi" w:cs="Times New Roman (Body CS)"/>
      <w:color w:val="0E1428"/>
      <w:sz w:val="36"/>
      <w:szCs w:val="36"/>
    </w:rPr>
  </w:style>
  <w:style w:type="paragraph" w:styleId="Header">
    <w:name w:val="header"/>
    <w:basedOn w:val="Normal"/>
    <w:link w:val="HeaderChar"/>
    <w:uiPriority w:val="99"/>
    <w:unhideWhenUsed/>
    <w:rsid w:val="00FB2C3C"/>
    <w:pPr>
      <w:tabs>
        <w:tab w:val="center" w:pos="4680"/>
        <w:tab w:val="right" w:pos="9360"/>
      </w:tabs>
    </w:pPr>
  </w:style>
  <w:style w:type="character" w:customStyle="1" w:styleId="HeaderChar">
    <w:name w:val="Header Char"/>
    <w:basedOn w:val="DefaultParagraphFont"/>
    <w:link w:val="Header"/>
    <w:uiPriority w:val="99"/>
    <w:rsid w:val="00FB2C3C"/>
  </w:style>
  <w:style w:type="paragraph" w:styleId="Footer">
    <w:name w:val="footer"/>
    <w:basedOn w:val="Normal"/>
    <w:link w:val="FooterChar"/>
    <w:uiPriority w:val="99"/>
    <w:unhideWhenUsed/>
    <w:rsid w:val="00FB2C3C"/>
    <w:pPr>
      <w:tabs>
        <w:tab w:val="center" w:pos="4680"/>
        <w:tab w:val="right" w:pos="9360"/>
      </w:tabs>
    </w:pPr>
  </w:style>
  <w:style w:type="character" w:customStyle="1" w:styleId="FooterChar">
    <w:name w:val="Footer Char"/>
    <w:basedOn w:val="DefaultParagraphFont"/>
    <w:link w:val="Footer"/>
    <w:uiPriority w:val="99"/>
    <w:rsid w:val="00FB2C3C"/>
  </w:style>
  <w:style w:type="character" w:styleId="PageNumber">
    <w:name w:val="page number"/>
    <w:basedOn w:val="DefaultParagraphFont"/>
    <w:uiPriority w:val="99"/>
    <w:semiHidden/>
    <w:unhideWhenUsed/>
    <w:rsid w:val="00FB2C3C"/>
  </w:style>
  <w:style w:type="paragraph" w:customStyle="1" w:styleId="BasicParagraph">
    <w:name w:val="[Basic Paragraph]"/>
    <w:basedOn w:val="Normal"/>
    <w:uiPriority w:val="99"/>
    <w:rsid w:val="00FB2C3C"/>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copy">
    <w:name w:val="Body copy"/>
    <w:basedOn w:val="BasicParagraph"/>
    <w:qFormat/>
    <w:rsid w:val="00FB2C3C"/>
    <w:pPr>
      <w:tabs>
        <w:tab w:val="left" w:pos="454"/>
      </w:tabs>
      <w:suppressAutoHyphens/>
    </w:pPr>
    <w:rPr>
      <w:rFonts w:ascii="Roboto Light" w:hAnsi="Roboto Light" w:cs="Roboto Light"/>
      <w:color w:val="0E1428"/>
      <w:sz w:val="18"/>
      <w:szCs w:val="18"/>
    </w:rPr>
  </w:style>
  <w:style w:type="character" w:styleId="Hyperlink">
    <w:name w:val="Hyperlink"/>
    <w:basedOn w:val="DefaultParagraphFont"/>
    <w:uiPriority w:val="99"/>
    <w:unhideWhenUsed/>
    <w:rsid w:val="00FB2C3C"/>
    <w:rPr>
      <w:color w:val="0563C1" w:themeColor="hyperlink"/>
      <w:u w:val="single"/>
    </w:rPr>
  </w:style>
  <w:style w:type="paragraph" w:customStyle="1" w:styleId="BodyCopy1">
    <w:name w:val="Body Copy 1"/>
    <w:basedOn w:val="Normal"/>
    <w:qFormat/>
    <w:rsid w:val="00FB2C3C"/>
    <w:pPr>
      <w:suppressAutoHyphens/>
      <w:autoSpaceDE w:val="0"/>
      <w:autoSpaceDN w:val="0"/>
      <w:adjustRightInd w:val="0"/>
      <w:spacing w:line="288" w:lineRule="auto"/>
      <w:textAlignment w:val="center"/>
    </w:pPr>
    <w:rPr>
      <w:rFonts w:ascii="Roboto Light" w:hAnsi="Roboto Light" w:cs="Roboto Light"/>
      <w:color w:val="00000F"/>
      <w:lang w:val="en-US"/>
    </w:rPr>
  </w:style>
  <w:style w:type="table" w:styleId="GridTable2-Accent2">
    <w:name w:val="Grid Table 2 Accent 2"/>
    <w:basedOn w:val="TableNormal"/>
    <w:uiPriority w:val="47"/>
    <w:rsid w:val="005B64B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5B64B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E86244"/>
    <w:pPr>
      <w:tabs>
        <w:tab w:val="right" w:leader="dot" w:pos="9010"/>
      </w:tabs>
      <w:spacing w:after="100"/>
    </w:pPr>
    <w:rPr>
      <w:b/>
      <w:bCs/>
      <w:noProof/>
    </w:rPr>
  </w:style>
  <w:style w:type="paragraph" w:styleId="TOC2">
    <w:name w:val="toc 2"/>
    <w:basedOn w:val="Normal"/>
    <w:next w:val="Normal"/>
    <w:autoRedefine/>
    <w:uiPriority w:val="39"/>
    <w:unhideWhenUsed/>
    <w:rsid w:val="00C2550B"/>
    <w:pPr>
      <w:tabs>
        <w:tab w:val="left" w:pos="880"/>
        <w:tab w:val="right" w:leader="dot" w:pos="9010"/>
      </w:tabs>
      <w:spacing w:after="100"/>
      <w:ind w:left="240"/>
    </w:pPr>
  </w:style>
  <w:style w:type="paragraph" w:styleId="TOC3">
    <w:name w:val="toc 3"/>
    <w:basedOn w:val="Normal"/>
    <w:next w:val="Normal"/>
    <w:autoRedefine/>
    <w:uiPriority w:val="39"/>
    <w:unhideWhenUsed/>
    <w:rsid w:val="00D77403"/>
    <w:pPr>
      <w:spacing w:after="100"/>
      <w:ind w:left="480"/>
    </w:pPr>
  </w:style>
  <w:style w:type="table" w:styleId="TableGrid">
    <w:name w:val="Table Grid"/>
    <w:basedOn w:val="TableNormal"/>
    <w:uiPriority w:val="39"/>
    <w:rsid w:val="00B36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1,List Paragraph1,Recommendation,List Paragraph11,List Paragraph2,Bulit List -  Paragraph,Colorful Shading - Accent 31,AusAID List Paragraph,Bullets,Bullet paras,Numbered Paragraph,Main numbered paragraph,123 List Paragraph,L,COOP"/>
    <w:basedOn w:val="Normal"/>
    <w:link w:val="ListParagraphChar"/>
    <w:uiPriority w:val="34"/>
    <w:qFormat/>
    <w:rsid w:val="00D82962"/>
    <w:pPr>
      <w:ind w:left="720"/>
      <w:contextualSpacing/>
    </w:pPr>
  </w:style>
  <w:style w:type="character" w:customStyle="1" w:styleId="ListParagraphChar">
    <w:name w:val="List Paragraph Char"/>
    <w:aliases w:val="Bullet1 Char,List Paragraph1 Char,Recommendation Char,List Paragraph11 Char,List Paragraph2 Char,Bulit List -  Paragraph Char,Colorful Shading - Accent 31 Char,AusAID List Paragraph Char,Bullets Char,Bullet paras Char,L Char"/>
    <w:basedOn w:val="DefaultParagraphFont"/>
    <w:link w:val="ListParagraph"/>
    <w:uiPriority w:val="34"/>
    <w:qFormat/>
    <w:locked/>
    <w:rsid w:val="009228A3"/>
  </w:style>
  <w:style w:type="character" w:customStyle="1" w:styleId="normaltextrun">
    <w:name w:val="normaltextrun"/>
    <w:basedOn w:val="DefaultParagraphFont"/>
    <w:rsid w:val="00E12F06"/>
  </w:style>
  <w:style w:type="character" w:styleId="CommentReference">
    <w:name w:val="annotation reference"/>
    <w:basedOn w:val="DefaultParagraphFont"/>
    <w:uiPriority w:val="99"/>
    <w:semiHidden/>
    <w:unhideWhenUsed/>
    <w:rsid w:val="00C03B9C"/>
    <w:rPr>
      <w:sz w:val="16"/>
      <w:szCs w:val="16"/>
    </w:rPr>
  </w:style>
  <w:style w:type="paragraph" w:styleId="CommentText">
    <w:name w:val="annotation text"/>
    <w:basedOn w:val="Normal"/>
    <w:link w:val="CommentTextChar"/>
    <w:uiPriority w:val="99"/>
    <w:unhideWhenUsed/>
    <w:rsid w:val="00C03B9C"/>
    <w:rPr>
      <w:sz w:val="20"/>
      <w:szCs w:val="20"/>
    </w:rPr>
  </w:style>
  <w:style w:type="character" w:customStyle="1" w:styleId="CommentTextChar">
    <w:name w:val="Comment Text Char"/>
    <w:basedOn w:val="DefaultParagraphFont"/>
    <w:link w:val="CommentText"/>
    <w:uiPriority w:val="99"/>
    <w:rsid w:val="00C03B9C"/>
    <w:rPr>
      <w:sz w:val="20"/>
      <w:szCs w:val="20"/>
    </w:rPr>
  </w:style>
  <w:style w:type="paragraph" w:styleId="CommentSubject">
    <w:name w:val="annotation subject"/>
    <w:basedOn w:val="CommentText"/>
    <w:next w:val="CommentText"/>
    <w:link w:val="CommentSubjectChar"/>
    <w:uiPriority w:val="99"/>
    <w:semiHidden/>
    <w:unhideWhenUsed/>
    <w:rsid w:val="00C03B9C"/>
    <w:rPr>
      <w:b/>
      <w:bCs/>
    </w:rPr>
  </w:style>
  <w:style w:type="character" w:customStyle="1" w:styleId="CommentSubjectChar">
    <w:name w:val="Comment Subject Char"/>
    <w:basedOn w:val="CommentTextChar"/>
    <w:link w:val="CommentSubject"/>
    <w:uiPriority w:val="99"/>
    <w:semiHidden/>
    <w:rsid w:val="00C03B9C"/>
    <w:rPr>
      <w:b/>
      <w:bCs/>
      <w:sz w:val="20"/>
      <w:szCs w:val="20"/>
    </w:rPr>
  </w:style>
  <w:style w:type="character" w:styleId="Mention">
    <w:name w:val="Mention"/>
    <w:basedOn w:val="DefaultParagraphFont"/>
    <w:uiPriority w:val="99"/>
    <w:unhideWhenUsed/>
    <w:rsid w:val="00C03B9C"/>
    <w:rPr>
      <w:color w:val="2B579A"/>
      <w:shd w:val="clear" w:color="auto" w:fill="E1DFDD"/>
    </w:rPr>
  </w:style>
  <w:style w:type="paragraph" w:customStyle="1" w:styleId="paragraph">
    <w:name w:val="paragraph"/>
    <w:basedOn w:val="Normal"/>
    <w:rsid w:val="00DC2F94"/>
    <w:pPr>
      <w:spacing w:before="100" w:beforeAutospacing="1" w:after="100" w:afterAutospacing="1"/>
    </w:pPr>
    <w:rPr>
      <w:rFonts w:ascii="Times New Roman" w:eastAsia="Times New Roman" w:hAnsi="Times New Roman" w:cs="Times New Roman"/>
      <w:lang w:eastAsia="en-AU"/>
    </w:rPr>
  </w:style>
  <w:style w:type="character" w:customStyle="1" w:styleId="eop">
    <w:name w:val="eop"/>
    <w:basedOn w:val="DefaultParagraphFont"/>
    <w:rsid w:val="00DC2F94"/>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
    <w:basedOn w:val="Normal"/>
    <w:link w:val="FootnoteTextChar"/>
    <w:uiPriority w:val="99"/>
    <w:unhideWhenUsed/>
    <w:rsid w:val="008B6663"/>
    <w:rPr>
      <w:sz w:val="20"/>
      <w:szCs w:val="20"/>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basedOn w:val="DefaultParagraphFont"/>
    <w:link w:val="FootnoteText"/>
    <w:uiPriority w:val="99"/>
    <w:rsid w:val="008B6663"/>
    <w:rPr>
      <w:sz w:val="20"/>
      <w:szCs w:val="20"/>
    </w:rPr>
  </w:style>
  <w:style w:type="character" w:styleId="FootnoteReference">
    <w:name w:val="footnote reference"/>
    <w:aliases w:val="Normal + Font:9 Point,Superscript 3 Point Times,ftref,BVI fnr,Знак сноски 1,(NECG) Footnote Reference,16 Point,Superscript 6 Point,fr,Footnote + Arial,10 pt,Black,Fußnotenzeichen DISS,Superscript 6 Point + 11 pt,Footnote Ref in FtNote"/>
    <w:basedOn w:val="DefaultParagraphFont"/>
    <w:link w:val="Char2"/>
    <w:uiPriority w:val="99"/>
    <w:unhideWhenUsed/>
    <w:qFormat/>
    <w:rsid w:val="008B6663"/>
    <w:rPr>
      <w:vertAlign w:val="superscript"/>
    </w:rPr>
  </w:style>
  <w:style w:type="character" w:styleId="UnresolvedMention">
    <w:name w:val="Unresolved Mention"/>
    <w:basedOn w:val="DefaultParagraphFont"/>
    <w:uiPriority w:val="99"/>
    <w:semiHidden/>
    <w:unhideWhenUsed/>
    <w:rsid w:val="008B6663"/>
    <w:rPr>
      <w:color w:val="605E5C"/>
      <w:shd w:val="clear" w:color="auto" w:fill="E1DFDD"/>
    </w:rPr>
  </w:style>
  <w:style w:type="paragraph" w:styleId="Caption">
    <w:name w:val="caption"/>
    <w:basedOn w:val="Normal"/>
    <w:next w:val="Normal"/>
    <w:uiPriority w:val="35"/>
    <w:unhideWhenUsed/>
    <w:qFormat/>
    <w:rsid w:val="00BF2C99"/>
    <w:pPr>
      <w:spacing w:after="200"/>
    </w:pPr>
    <w:rPr>
      <w:i/>
      <w:iCs/>
      <w:color w:val="44546A" w:themeColor="text2"/>
      <w:sz w:val="18"/>
      <w:szCs w:val="18"/>
    </w:rPr>
  </w:style>
  <w:style w:type="character" w:customStyle="1" w:styleId="findhit">
    <w:name w:val="findhit"/>
    <w:basedOn w:val="DefaultParagraphFont"/>
    <w:rsid w:val="00024179"/>
  </w:style>
  <w:style w:type="numbering" w:customStyle="1" w:styleId="NoList1">
    <w:name w:val="No List1"/>
    <w:next w:val="NoList"/>
    <w:uiPriority w:val="99"/>
    <w:semiHidden/>
    <w:unhideWhenUsed/>
    <w:rsid w:val="0078736F"/>
  </w:style>
  <w:style w:type="table" w:customStyle="1" w:styleId="TableGrid1">
    <w:name w:val="Table Grid1"/>
    <w:basedOn w:val="TableNormal"/>
    <w:next w:val="TableGrid"/>
    <w:uiPriority w:val="39"/>
    <w:rsid w:val="007873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78736F"/>
    <w:pPr>
      <w:spacing w:after="160" w:line="240" w:lineRule="exact"/>
      <w:jc w:val="both"/>
    </w:pPr>
    <w:rPr>
      <w:vertAlign w:val="superscript"/>
    </w:rPr>
  </w:style>
  <w:style w:type="table" w:styleId="GridTable4-Accent5">
    <w:name w:val="Grid Table 4 Accent 5"/>
    <w:basedOn w:val="TableNormal"/>
    <w:uiPriority w:val="49"/>
    <w:rsid w:val="00C64E7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6">
    <w:name w:val="List Table 3 Accent 6"/>
    <w:basedOn w:val="TableNormal"/>
    <w:uiPriority w:val="48"/>
    <w:rsid w:val="00C6269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C6269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2">
    <w:name w:val="List Table 3 Accent 2"/>
    <w:basedOn w:val="TableNormal"/>
    <w:uiPriority w:val="48"/>
    <w:rsid w:val="00C03036"/>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Revision">
    <w:name w:val="Revision"/>
    <w:hidden/>
    <w:uiPriority w:val="99"/>
    <w:semiHidden/>
    <w:rsid w:val="0090334E"/>
  </w:style>
  <w:style w:type="table" w:styleId="ListTable3-Accent1">
    <w:name w:val="List Table 3 Accent 1"/>
    <w:basedOn w:val="TableNormal"/>
    <w:uiPriority w:val="48"/>
    <w:rsid w:val="00F14187"/>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SubtleEmphasis">
    <w:name w:val="Subtle Emphasis"/>
    <w:basedOn w:val="DefaultParagraphFont"/>
    <w:uiPriority w:val="19"/>
    <w:qFormat/>
    <w:rsid w:val="00137C94"/>
    <w:rPr>
      <w:i/>
      <w:iCs/>
      <w:color w:val="404040" w:themeColor="text1" w:themeTint="BF"/>
    </w:rPr>
  </w:style>
  <w:style w:type="table" w:customStyle="1" w:styleId="TableGrid2">
    <w:name w:val="Table Grid2"/>
    <w:basedOn w:val="TableNormal"/>
    <w:next w:val="TableGrid"/>
    <w:uiPriority w:val="39"/>
    <w:rsid w:val="000C1139"/>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24743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336E6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881A99"/>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881A99"/>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AB58FF"/>
    <w:rPr>
      <w:rFonts w:asciiTheme="majorHAnsi" w:eastAsiaTheme="majorEastAsia" w:hAnsiTheme="majorHAnsi" w:cstheme="majorBidi"/>
      <w:b/>
      <w:bCs/>
      <w:i/>
      <w:iCs/>
      <w:color w:val="1F3864" w:themeColor="accent1" w:themeShade="80"/>
      <w:sz w:val="22"/>
      <w:szCs w:val="22"/>
    </w:rPr>
  </w:style>
  <w:style w:type="character" w:customStyle="1" w:styleId="Heading4Char">
    <w:name w:val="Heading 4 Char"/>
    <w:basedOn w:val="DefaultParagraphFont"/>
    <w:link w:val="Heading4"/>
    <w:uiPriority w:val="9"/>
    <w:rsid w:val="00905163"/>
    <w:rPr>
      <w:rFonts w:asciiTheme="majorHAnsi" w:eastAsiaTheme="majorEastAsia" w:hAnsiTheme="majorHAnsi" w:cstheme="majorBidi"/>
      <w:b/>
      <w:bCs/>
      <w:i/>
      <w:iCs/>
      <w:sz w:val="22"/>
      <w:szCs w:val="22"/>
      <w:u w:val="single"/>
    </w:rPr>
  </w:style>
  <w:style w:type="character" w:customStyle="1" w:styleId="Heading5Char">
    <w:name w:val="Heading 5 Char"/>
    <w:basedOn w:val="DefaultParagraphFont"/>
    <w:link w:val="Heading5"/>
    <w:uiPriority w:val="9"/>
    <w:rsid w:val="003D4852"/>
    <w:rPr>
      <w:rFonts w:asciiTheme="majorHAnsi" w:hAnsiTheme="majorHAnsi" w:cstheme="majorHAnsi"/>
      <w:b/>
      <w:bCs/>
      <w:i/>
      <w:iCs/>
      <w:color w:val="4472C4" w:themeColor="accent1"/>
      <w:sz w:val="22"/>
      <w:szCs w:val="22"/>
    </w:rPr>
  </w:style>
  <w:style w:type="paragraph" w:styleId="TOCHeading">
    <w:name w:val="TOC Heading"/>
    <w:basedOn w:val="Heading1"/>
    <w:next w:val="Normal"/>
    <w:uiPriority w:val="39"/>
    <w:unhideWhenUsed/>
    <w:qFormat/>
    <w:rsid w:val="005C3028"/>
    <w:pPr>
      <w:spacing w:after="0" w:line="259" w:lineRule="auto"/>
      <w:outlineLvl w:val="9"/>
    </w:pPr>
    <w:rPr>
      <w:sz w:val="32"/>
      <w:szCs w:val="32"/>
      <w:lang w:val="en-US"/>
    </w:rPr>
  </w:style>
  <w:style w:type="table" w:styleId="ListTable4-Accent5">
    <w:name w:val="List Table 4 Accent 5"/>
    <w:basedOn w:val="TableNormal"/>
    <w:uiPriority w:val="49"/>
    <w:rsid w:val="000117E1"/>
    <w:rPr>
      <w:kern w:val="2"/>
      <w:sz w:val="22"/>
      <w:szCs w:val="22"/>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xecSumH1">
    <w:name w:val="Exec Sum H1"/>
    <w:basedOn w:val="Heading1"/>
    <w:link w:val="ExecSumH1Char"/>
    <w:qFormat/>
    <w:rsid w:val="00881A99"/>
    <w:pPr>
      <w:numPr>
        <w:numId w:val="0"/>
      </w:numPr>
    </w:pPr>
  </w:style>
  <w:style w:type="character" w:customStyle="1" w:styleId="ExecSumH1Char">
    <w:name w:val="Exec Sum H1 Char"/>
    <w:basedOn w:val="Heading1Char"/>
    <w:link w:val="ExecSumH1"/>
    <w:rsid w:val="00881A99"/>
    <w:rPr>
      <w:rFonts w:asciiTheme="majorHAnsi" w:eastAsiaTheme="majorEastAsia" w:hAnsiTheme="majorHAnsi" w:cstheme="majorBidi"/>
      <w:color w:val="2F5496" w:themeColor="accent1" w:themeShade="BF"/>
      <w:sz w:val="36"/>
      <w:szCs w:val="36"/>
    </w:rPr>
  </w:style>
  <w:style w:type="paragraph" w:customStyle="1" w:styleId="ExecSumH2">
    <w:name w:val="Exec Sum H2"/>
    <w:basedOn w:val="Heading2"/>
    <w:link w:val="ExecSumH2Char"/>
    <w:qFormat/>
    <w:rsid w:val="00881A99"/>
    <w:pPr>
      <w:numPr>
        <w:ilvl w:val="0"/>
        <w:numId w:val="0"/>
      </w:numPr>
    </w:pPr>
  </w:style>
  <w:style w:type="character" w:customStyle="1" w:styleId="ExecSumH2Char">
    <w:name w:val="Exec Sum H2 Char"/>
    <w:basedOn w:val="Heading2Char"/>
    <w:link w:val="ExecSumH2"/>
    <w:rsid w:val="00881A99"/>
    <w:rPr>
      <w:rFonts w:asciiTheme="majorHAnsi" w:eastAsiaTheme="majorEastAsia" w:hAnsiTheme="majorHAnsi" w:cstheme="majorBidi"/>
      <w:b/>
      <w:bCs/>
      <w:color w:val="2F5496" w:themeColor="accent1" w:themeShade="BF"/>
      <w:sz w:val="28"/>
      <w:szCs w:val="28"/>
    </w:rPr>
  </w:style>
  <w:style w:type="paragraph" w:customStyle="1" w:styleId="ExecSumH3">
    <w:name w:val="Exec Sum H3"/>
    <w:basedOn w:val="Heading3"/>
    <w:link w:val="ExecSumH3Char"/>
    <w:qFormat/>
    <w:rsid w:val="00881A99"/>
    <w:pPr>
      <w:numPr>
        <w:ilvl w:val="0"/>
        <w:numId w:val="0"/>
      </w:numPr>
    </w:pPr>
  </w:style>
  <w:style w:type="character" w:customStyle="1" w:styleId="ExecSumH3Char">
    <w:name w:val="Exec Sum H3 Char"/>
    <w:basedOn w:val="Heading3Char"/>
    <w:link w:val="ExecSumH3"/>
    <w:rsid w:val="00881A99"/>
    <w:rPr>
      <w:rFonts w:asciiTheme="majorHAnsi" w:eastAsiaTheme="majorEastAsia" w:hAnsiTheme="majorHAnsi" w:cstheme="majorBidi"/>
      <w:b/>
      <w:bCs/>
      <w:i/>
      <w:iCs/>
      <w:color w:val="1F3864" w:themeColor="accent1" w:themeShade="80"/>
      <w:sz w:val="22"/>
      <w:szCs w:val="22"/>
    </w:rPr>
  </w:style>
  <w:style w:type="paragraph" w:customStyle="1" w:styleId="FootnoteText2">
    <w:name w:val="Footnote Text2"/>
    <w:basedOn w:val="FootnoteText"/>
    <w:link w:val="FootnotetextChar0"/>
    <w:qFormat/>
    <w:rsid w:val="00DD4C95"/>
    <w:pPr>
      <w:spacing w:after="0"/>
      <w:ind w:left="142" w:hanging="142"/>
    </w:pPr>
    <w:rPr>
      <w:sz w:val="18"/>
      <w:szCs w:val="18"/>
    </w:rPr>
  </w:style>
  <w:style w:type="character" w:customStyle="1" w:styleId="FootnotetextChar0">
    <w:name w:val="Footnote text Char"/>
    <w:basedOn w:val="FootnoteTextChar"/>
    <w:link w:val="FootnoteText2"/>
    <w:rsid w:val="00DD4C95"/>
    <w:rPr>
      <w:rFonts w:asciiTheme="majorHAnsi" w:hAnsiTheme="majorHAnsi" w:cstheme="majorHAnsi"/>
      <w:sz w:val="18"/>
      <w:szCs w:val="18"/>
    </w:rPr>
  </w:style>
  <w:style w:type="paragraph" w:customStyle="1" w:styleId="Headlinefinding">
    <w:name w:val="Headline finding"/>
    <w:basedOn w:val="Normal"/>
    <w:link w:val="HeadlinefindingChar"/>
    <w:qFormat/>
    <w:rsid w:val="00AB5A53"/>
    <w:rPr>
      <w:b/>
      <w:bCs/>
    </w:rPr>
  </w:style>
  <w:style w:type="character" w:customStyle="1" w:styleId="HeadlinefindingChar">
    <w:name w:val="Headline finding Char"/>
    <w:basedOn w:val="DefaultParagraphFont"/>
    <w:link w:val="Headlinefinding"/>
    <w:rsid w:val="00AB5A53"/>
    <w:rPr>
      <w:rFonts w:asciiTheme="majorHAnsi" w:hAnsiTheme="majorHAnsi" w:cstheme="majorHAnsi"/>
      <w:b/>
      <w:bCs/>
      <w:sz w:val="22"/>
      <w:szCs w:val="22"/>
    </w:rPr>
  </w:style>
  <w:style w:type="paragraph" w:styleId="Quote">
    <w:name w:val="Quote"/>
    <w:basedOn w:val="Normal"/>
    <w:next w:val="Normal"/>
    <w:link w:val="QuoteChar"/>
    <w:uiPriority w:val="29"/>
    <w:qFormat/>
    <w:rsid w:val="00554629"/>
    <w:pPr>
      <w:shd w:val="clear" w:color="auto" w:fill="F2F2F2" w:themeFill="background1" w:themeFillShade="F2"/>
      <w:spacing w:after="160"/>
      <w:ind w:left="567" w:right="798"/>
    </w:pPr>
    <w:rPr>
      <w:i/>
      <w:iCs/>
      <w:color w:val="404040" w:themeColor="text1" w:themeTint="BF"/>
    </w:rPr>
  </w:style>
  <w:style w:type="character" w:customStyle="1" w:styleId="QuoteChar">
    <w:name w:val="Quote Char"/>
    <w:basedOn w:val="DefaultParagraphFont"/>
    <w:link w:val="Quote"/>
    <w:uiPriority w:val="29"/>
    <w:rsid w:val="00554629"/>
    <w:rPr>
      <w:rFonts w:asciiTheme="majorHAnsi" w:hAnsiTheme="majorHAnsi" w:cstheme="majorHAnsi"/>
      <w:i/>
      <w:iCs/>
      <w:color w:val="404040" w:themeColor="text1" w:themeTint="BF"/>
      <w:sz w:val="22"/>
      <w:szCs w:val="22"/>
      <w:shd w:val="clear" w:color="auto" w:fill="F2F2F2" w:themeFill="background1" w:themeFillShade="F2"/>
    </w:rPr>
  </w:style>
  <w:style w:type="paragraph" w:customStyle="1" w:styleId="TableText">
    <w:name w:val="Table Text"/>
    <w:basedOn w:val="Normal"/>
    <w:link w:val="TableTextChar"/>
    <w:qFormat/>
    <w:rsid w:val="001347E0"/>
    <w:pPr>
      <w:spacing w:after="0"/>
    </w:pPr>
    <w:rPr>
      <w:sz w:val="20"/>
      <w:szCs w:val="20"/>
    </w:rPr>
  </w:style>
  <w:style w:type="character" w:customStyle="1" w:styleId="TableTextChar">
    <w:name w:val="Table Text Char"/>
    <w:basedOn w:val="DefaultParagraphFont"/>
    <w:link w:val="TableText"/>
    <w:rsid w:val="001347E0"/>
    <w:rPr>
      <w:rFonts w:asciiTheme="majorHAnsi" w:hAnsiTheme="majorHAnsi" w:cstheme="majorHAnsi"/>
      <w:sz w:val="20"/>
      <w:szCs w:val="20"/>
    </w:rPr>
  </w:style>
  <w:style w:type="paragraph" w:customStyle="1" w:styleId="Default">
    <w:name w:val="Default"/>
    <w:rsid w:val="007D0D5E"/>
    <w:pPr>
      <w:autoSpaceDE w:val="0"/>
      <w:autoSpaceDN w:val="0"/>
      <w:adjustRightInd w:val="0"/>
    </w:pPr>
    <w:rPr>
      <w:rFonts w:ascii="Calibri Light" w:hAnsi="Calibri Light" w:cs="Calibri Light"/>
      <w:color w:val="000000"/>
    </w:rPr>
  </w:style>
  <w:style w:type="table" w:styleId="GridTable5Dark-Accent1">
    <w:name w:val="Grid Table 5 Dark Accent 1"/>
    <w:basedOn w:val="TableNormal"/>
    <w:uiPriority w:val="50"/>
    <w:rsid w:val="00032A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Light">
    <w:name w:val="Grid Table Light"/>
    <w:basedOn w:val="TableNormal"/>
    <w:uiPriority w:val="40"/>
    <w:rsid w:val="00FE1D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5109BF"/>
    <w:pPr>
      <w:spacing w:after="0"/>
    </w:pPr>
  </w:style>
  <w:style w:type="table" w:customStyle="1" w:styleId="TableGridLight1">
    <w:name w:val="Table Grid Light1"/>
    <w:basedOn w:val="TableNormal"/>
    <w:next w:val="TableGridLight"/>
    <w:uiPriority w:val="40"/>
    <w:rsid w:val="00966A61"/>
    <w:rP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A1718"/>
    <w:pPr>
      <w:spacing w:before="100" w:beforeAutospacing="1" w:after="100" w:afterAutospacing="1"/>
    </w:pPr>
    <w:rPr>
      <w:rFonts w:ascii="Times New Roman" w:eastAsia="Times New Roman" w:hAnsi="Times New Roman" w:cs="Times New Roman"/>
      <w:sz w:val="24"/>
      <w:szCs w:val="24"/>
      <w:lang w:eastAsia="zh-CN" w:bidi="th-TH"/>
    </w:rPr>
  </w:style>
  <w:style w:type="table" w:customStyle="1" w:styleId="TableGrid11">
    <w:name w:val="Table Grid11"/>
    <w:basedOn w:val="TableNormal"/>
    <w:next w:val="TableGrid"/>
    <w:uiPriority w:val="39"/>
    <w:rsid w:val="000C0C0A"/>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4">
    <w:name w:val="Plain Table 4"/>
    <w:basedOn w:val="TableNormal"/>
    <w:uiPriority w:val="44"/>
    <w:rsid w:val="000C0C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141">
      <w:bodyDiv w:val="1"/>
      <w:marLeft w:val="0"/>
      <w:marRight w:val="0"/>
      <w:marTop w:val="0"/>
      <w:marBottom w:val="0"/>
      <w:divBdr>
        <w:top w:val="none" w:sz="0" w:space="0" w:color="auto"/>
        <w:left w:val="none" w:sz="0" w:space="0" w:color="auto"/>
        <w:bottom w:val="none" w:sz="0" w:space="0" w:color="auto"/>
        <w:right w:val="none" w:sz="0" w:space="0" w:color="auto"/>
      </w:divBdr>
      <w:divsChild>
        <w:div w:id="664628859">
          <w:marLeft w:val="547"/>
          <w:marRight w:val="0"/>
          <w:marTop w:val="0"/>
          <w:marBottom w:val="0"/>
          <w:divBdr>
            <w:top w:val="none" w:sz="0" w:space="0" w:color="auto"/>
            <w:left w:val="none" w:sz="0" w:space="0" w:color="auto"/>
            <w:bottom w:val="none" w:sz="0" w:space="0" w:color="auto"/>
            <w:right w:val="none" w:sz="0" w:space="0" w:color="auto"/>
          </w:divBdr>
        </w:div>
        <w:div w:id="1361778443">
          <w:marLeft w:val="1267"/>
          <w:marRight w:val="0"/>
          <w:marTop w:val="0"/>
          <w:marBottom w:val="0"/>
          <w:divBdr>
            <w:top w:val="none" w:sz="0" w:space="0" w:color="auto"/>
            <w:left w:val="none" w:sz="0" w:space="0" w:color="auto"/>
            <w:bottom w:val="none" w:sz="0" w:space="0" w:color="auto"/>
            <w:right w:val="none" w:sz="0" w:space="0" w:color="auto"/>
          </w:divBdr>
        </w:div>
        <w:div w:id="1918515584">
          <w:marLeft w:val="547"/>
          <w:marRight w:val="0"/>
          <w:marTop w:val="0"/>
          <w:marBottom w:val="0"/>
          <w:divBdr>
            <w:top w:val="none" w:sz="0" w:space="0" w:color="auto"/>
            <w:left w:val="none" w:sz="0" w:space="0" w:color="auto"/>
            <w:bottom w:val="none" w:sz="0" w:space="0" w:color="auto"/>
            <w:right w:val="none" w:sz="0" w:space="0" w:color="auto"/>
          </w:divBdr>
        </w:div>
      </w:divsChild>
    </w:div>
    <w:div w:id="58329871">
      <w:bodyDiv w:val="1"/>
      <w:marLeft w:val="0"/>
      <w:marRight w:val="0"/>
      <w:marTop w:val="0"/>
      <w:marBottom w:val="0"/>
      <w:divBdr>
        <w:top w:val="none" w:sz="0" w:space="0" w:color="auto"/>
        <w:left w:val="none" w:sz="0" w:space="0" w:color="auto"/>
        <w:bottom w:val="none" w:sz="0" w:space="0" w:color="auto"/>
        <w:right w:val="none" w:sz="0" w:space="0" w:color="auto"/>
      </w:divBdr>
      <w:divsChild>
        <w:div w:id="737940748">
          <w:marLeft w:val="1296"/>
          <w:marRight w:val="0"/>
          <w:marTop w:val="100"/>
          <w:marBottom w:val="0"/>
          <w:divBdr>
            <w:top w:val="none" w:sz="0" w:space="0" w:color="auto"/>
            <w:left w:val="none" w:sz="0" w:space="0" w:color="auto"/>
            <w:bottom w:val="none" w:sz="0" w:space="0" w:color="auto"/>
            <w:right w:val="none" w:sz="0" w:space="0" w:color="auto"/>
          </w:divBdr>
        </w:div>
      </w:divsChild>
    </w:div>
    <w:div w:id="89011561">
      <w:bodyDiv w:val="1"/>
      <w:marLeft w:val="0"/>
      <w:marRight w:val="0"/>
      <w:marTop w:val="0"/>
      <w:marBottom w:val="0"/>
      <w:divBdr>
        <w:top w:val="none" w:sz="0" w:space="0" w:color="auto"/>
        <w:left w:val="none" w:sz="0" w:space="0" w:color="auto"/>
        <w:bottom w:val="none" w:sz="0" w:space="0" w:color="auto"/>
        <w:right w:val="none" w:sz="0" w:space="0" w:color="auto"/>
      </w:divBdr>
    </w:div>
    <w:div w:id="94906708">
      <w:bodyDiv w:val="1"/>
      <w:marLeft w:val="0"/>
      <w:marRight w:val="0"/>
      <w:marTop w:val="0"/>
      <w:marBottom w:val="0"/>
      <w:divBdr>
        <w:top w:val="none" w:sz="0" w:space="0" w:color="auto"/>
        <w:left w:val="none" w:sz="0" w:space="0" w:color="auto"/>
        <w:bottom w:val="none" w:sz="0" w:space="0" w:color="auto"/>
        <w:right w:val="none" w:sz="0" w:space="0" w:color="auto"/>
      </w:divBdr>
      <w:divsChild>
        <w:div w:id="887376504">
          <w:marLeft w:val="576"/>
          <w:marRight w:val="0"/>
          <w:marTop w:val="200"/>
          <w:marBottom w:val="0"/>
          <w:divBdr>
            <w:top w:val="none" w:sz="0" w:space="0" w:color="auto"/>
            <w:left w:val="none" w:sz="0" w:space="0" w:color="auto"/>
            <w:bottom w:val="none" w:sz="0" w:space="0" w:color="auto"/>
            <w:right w:val="none" w:sz="0" w:space="0" w:color="auto"/>
          </w:divBdr>
        </w:div>
      </w:divsChild>
    </w:div>
    <w:div w:id="155149681">
      <w:bodyDiv w:val="1"/>
      <w:marLeft w:val="0"/>
      <w:marRight w:val="0"/>
      <w:marTop w:val="0"/>
      <w:marBottom w:val="0"/>
      <w:divBdr>
        <w:top w:val="none" w:sz="0" w:space="0" w:color="auto"/>
        <w:left w:val="none" w:sz="0" w:space="0" w:color="auto"/>
        <w:bottom w:val="none" w:sz="0" w:space="0" w:color="auto"/>
        <w:right w:val="none" w:sz="0" w:space="0" w:color="auto"/>
      </w:divBdr>
    </w:div>
    <w:div w:id="184632715">
      <w:bodyDiv w:val="1"/>
      <w:marLeft w:val="0"/>
      <w:marRight w:val="0"/>
      <w:marTop w:val="0"/>
      <w:marBottom w:val="0"/>
      <w:divBdr>
        <w:top w:val="none" w:sz="0" w:space="0" w:color="auto"/>
        <w:left w:val="none" w:sz="0" w:space="0" w:color="auto"/>
        <w:bottom w:val="none" w:sz="0" w:space="0" w:color="auto"/>
        <w:right w:val="none" w:sz="0" w:space="0" w:color="auto"/>
      </w:divBdr>
      <w:divsChild>
        <w:div w:id="1012100217">
          <w:marLeft w:val="1296"/>
          <w:marRight w:val="0"/>
          <w:marTop w:val="200"/>
          <w:marBottom w:val="0"/>
          <w:divBdr>
            <w:top w:val="none" w:sz="0" w:space="0" w:color="auto"/>
            <w:left w:val="none" w:sz="0" w:space="0" w:color="auto"/>
            <w:bottom w:val="none" w:sz="0" w:space="0" w:color="auto"/>
            <w:right w:val="none" w:sz="0" w:space="0" w:color="auto"/>
          </w:divBdr>
        </w:div>
      </w:divsChild>
    </w:div>
    <w:div w:id="200016942">
      <w:bodyDiv w:val="1"/>
      <w:marLeft w:val="0"/>
      <w:marRight w:val="0"/>
      <w:marTop w:val="0"/>
      <w:marBottom w:val="0"/>
      <w:divBdr>
        <w:top w:val="none" w:sz="0" w:space="0" w:color="auto"/>
        <w:left w:val="none" w:sz="0" w:space="0" w:color="auto"/>
        <w:bottom w:val="none" w:sz="0" w:space="0" w:color="auto"/>
        <w:right w:val="none" w:sz="0" w:space="0" w:color="auto"/>
      </w:divBdr>
      <w:divsChild>
        <w:div w:id="51586251">
          <w:marLeft w:val="1296"/>
          <w:marRight w:val="0"/>
          <w:marTop w:val="0"/>
          <w:marBottom w:val="0"/>
          <w:divBdr>
            <w:top w:val="none" w:sz="0" w:space="0" w:color="auto"/>
            <w:left w:val="none" w:sz="0" w:space="0" w:color="auto"/>
            <w:bottom w:val="none" w:sz="0" w:space="0" w:color="auto"/>
            <w:right w:val="none" w:sz="0" w:space="0" w:color="auto"/>
          </w:divBdr>
        </w:div>
        <w:div w:id="128523666">
          <w:marLeft w:val="1296"/>
          <w:marRight w:val="0"/>
          <w:marTop w:val="0"/>
          <w:marBottom w:val="0"/>
          <w:divBdr>
            <w:top w:val="none" w:sz="0" w:space="0" w:color="auto"/>
            <w:left w:val="none" w:sz="0" w:space="0" w:color="auto"/>
            <w:bottom w:val="none" w:sz="0" w:space="0" w:color="auto"/>
            <w:right w:val="none" w:sz="0" w:space="0" w:color="auto"/>
          </w:divBdr>
        </w:div>
        <w:div w:id="249700658">
          <w:marLeft w:val="1296"/>
          <w:marRight w:val="0"/>
          <w:marTop w:val="0"/>
          <w:marBottom w:val="0"/>
          <w:divBdr>
            <w:top w:val="none" w:sz="0" w:space="0" w:color="auto"/>
            <w:left w:val="none" w:sz="0" w:space="0" w:color="auto"/>
            <w:bottom w:val="none" w:sz="0" w:space="0" w:color="auto"/>
            <w:right w:val="none" w:sz="0" w:space="0" w:color="auto"/>
          </w:divBdr>
        </w:div>
      </w:divsChild>
    </w:div>
    <w:div w:id="205725625">
      <w:bodyDiv w:val="1"/>
      <w:marLeft w:val="0"/>
      <w:marRight w:val="0"/>
      <w:marTop w:val="0"/>
      <w:marBottom w:val="0"/>
      <w:divBdr>
        <w:top w:val="none" w:sz="0" w:space="0" w:color="auto"/>
        <w:left w:val="none" w:sz="0" w:space="0" w:color="auto"/>
        <w:bottom w:val="none" w:sz="0" w:space="0" w:color="auto"/>
        <w:right w:val="none" w:sz="0" w:space="0" w:color="auto"/>
      </w:divBdr>
      <w:divsChild>
        <w:div w:id="1661733899">
          <w:marLeft w:val="576"/>
          <w:marRight w:val="0"/>
          <w:marTop w:val="200"/>
          <w:marBottom w:val="0"/>
          <w:divBdr>
            <w:top w:val="none" w:sz="0" w:space="0" w:color="auto"/>
            <w:left w:val="none" w:sz="0" w:space="0" w:color="auto"/>
            <w:bottom w:val="none" w:sz="0" w:space="0" w:color="auto"/>
            <w:right w:val="none" w:sz="0" w:space="0" w:color="auto"/>
          </w:divBdr>
        </w:div>
      </w:divsChild>
    </w:div>
    <w:div w:id="206770187">
      <w:bodyDiv w:val="1"/>
      <w:marLeft w:val="0"/>
      <w:marRight w:val="0"/>
      <w:marTop w:val="0"/>
      <w:marBottom w:val="0"/>
      <w:divBdr>
        <w:top w:val="none" w:sz="0" w:space="0" w:color="auto"/>
        <w:left w:val="none" w:sz="0" w:space="0" w:color="auto"/>
        <w:bottom w:val="none" w:sz="0" w:space="0" w:color="auto"/>
        <w:right w:val="none" w:sz="0" w:space="0" w:color="auto"/>
      </w:divBdr>
      <w:divsChild>
        <w:div w:id="1020155966">
          <w:marLeft w:val="1296"/>
          <w:marRight w:val="0"/>
          <w:marTop w:val="0"/>
          <w:marBottom w:val="0"/>
          <w:divBdr>
            <w:top w:val="none" w:sz="0" w:space="0" w:color="auto"/>
            <w:left w:val="none" w:sz="0" w:space="0" w:color="auto"/>
            <w:bottom w:val="none" w:sz="0" w:space="0" w:color="auto"/>
            <w:right w:val="none" w:sz="0" w:space="0" w:color="auto"/>
          </w:divBdr>
        </w:div>
        <w:div w:id="1323394179">
          <w:marLeft w:val="1296"/>
          <w:marRight w:val="0"/>
          <w:marTop w:val="0"/>
          <w:marBottom w:val="0"/>
          <w:divBdr>
            <w:top w:val="none" w:sz="0" w:space="0" w:color="auto"/>
            <w:left w:val="none" w:sz="0" w:space="0" w:color="auto"/>
            <w:bottom w:val="none" w:sz="0" w:space="0" w:color="auto"/>
            <w:right w:val="none" w:sz="0" w:space="0" w:color="auto"/>
          </w:divBdr>
        </w:div>
      </w:divsChild>
    </w:div>
    <w:div w:id="207843519">
      <w:bodyDiv w:val="1"/>
      <w:marLeft w:val="0"/>
      <w:marRight w:val="0"/>
      <w:marTop w:val="0"/>
      <w:marBottom w:val="0"/>
      <w:divBdr>
        <w:top w:val="none" w:sz="0" w:space="0" w:color="auto"/>
        <w:left w:val="none" w:sz="0" w:space="0" w:color="auto"/>
        <w:bottom w:val="none" w:sz="0" w:space="0" w:color="auto"/>
        <w:right w:val="none" w:sz="0" w:space="0" w:color="auto"/>
      </w:divBdr>
      <w:divsChild>
        <w:div w:id="743185675">
          <w:marLeft w:val="1296"/>
          <w:marRight w:val="0"/>
          <w:marTop w:val="100"/>
          <w:marBottom w:val="0"/>
          <w:divBdr>
            <w:top w:val="none" w:sz="0" w:space="0" w:color="auto"/>
            <w:left w:val="none" w:sz="0" w:space="0" w:color="auto"/>
            <w:bottom w:val="none" w:sz="0" w:space="0" w:color="auto"/>
            <w:right w:val="none" w:sz="0" w:space="0" w:color="auto"/>
          </w:divBdr>
        </w:div>
        <w:div w:id="2110931039">
          <w:marLeft w:val="1296"/>
          <w:marRight w:val="0"/>
          <w:marTop w:val="100"/>
          <w:marBottom w:val="0"/>
          <w:divBdr>
            <w:top w:val="none" w:sz="0" w:space="0" w:color="auto"/>
            <w:left w:val="none" w:sz="0" w:space="0" w:color="auto"/>
            <w:bottom w:val="none" w:sz="0" w:space="0" w:color="auto"/>
            <w:right w:val="none" w:sz="0" w:space="0" w:color="auto"/>
          </w:divBdr>
        </w:div>
      </w:divsChild>
    </w:div>
    <w:div w:id="266546762">
      <w:bodyDiv w:val="1"/>
      <w:marLeft w:val="0"/>
      <w:marRight w:val="0"/>
      <w:marTop w:val="0"/>
      <w:marBottom w:val="0"/>
      <w:divBdr>
        <w:top w:val="none" w:sz="0" w:space="0" w:color="auto"/>
        <w:left w:val="none" w:sz="0" w:space="0" w:color="auto"/>
        <w:bottom w:val="none" w:sz="0" w:space="0" w:color="auto"/>
        <w:right w:val="none" w:sz="0" w:space="0" w:color="auto"/>
      </w:divBdr>
      <w:divsChild>
        <w:div w:id="1024094209">
          <w:marLeft w:val="576"/>
          <w:marRight w:val="0"/>
          <w:marTop w:val="200"/>
          <w:marBottom w:val="0"/>
          <w:divBdr>
            <w:top w:val="none" w:sz="0" w:space="0" w:color="auto"/>
            <w:left w:val="none" w:sz="0" w:space="0" w:color="auto"/>
            <w:bottom w:val="none" w:sz="0" w:space="0" w:color="auto"/>
            <w:right w:val="none" w:sz="0" w:space="0" w:color="auto"/>
          </w:divBdr>
        </w:div>
      </w:divsChild>
    </w:div>
    <w:div w:id="341786894">
      <w:bodyDiv w:val="1"/>
      <w:marLeft w:val="0"/>
      <w:marRight w:val="0"/>
      <w:marTop w:val="0"/>
      <w:marBottom w:val="0"/>
      <w:divBdr>
        <w:top w:val="none" w:sz="0" w:space="0" w:color="auto"/>
        <w:left w:val="none" w:sz="0" w:space="0" w:color="auto"/>
        <w:bottom w:val="none" w:sz="0" w:space="0" w:color="auto"/>
        <w:right w:val="none" w:sz="0" w:space="0" w:color="auto"/>
      </w:divBdr>
      <w:divsChild>
        <w:div w:id="212236184">
          <w:marLeft w:val="1296"/>
          <w:marRight w:val="0"/>
          <w:marTop w:val="100"/>
          <w:marBottom w:val="0"/>
          <w:divBdr>
            <w:top w:val="none" w:sz="0" w:space="0" w:color="auto"/>
            <w:left w:val="none" w:sz="0" w:space="0" w:color="auto"/>
            <w:bottom w:val="none" w:sz="0" w:space="0" w:color="auto"/>
            <w:right w:val="none" w:sz="0" w:space="0" w:color="auto"/>
          </w:divBdr>
        </w:div>
        <w:div w:id="232279533">
          <w:marLeft w:val="1296"/>
          <w:marRight w:val="0"/>
          <w:marTop w:val="100"/>
          <w:marBottom w:val="0"/>
          <w:divBdr>
            <w:top w:val="none" w:sz="0" w:space="0" w:color="auto"/>
            <w:left w:val="none" w:sz="0" w:space="0" w:color="auto"/>
            <w:bottom w:val="none" w:sz="0" w:space="0" w:color="auto"/>
            <w:right w:val="none" w:sz="0" w:space="0" w:color="auto"/>
          </w:divBdr>
        </w:div>
        <w:div w:id="367263918">
          <w:marLeft w:val="1296"/>
          <w:marRight w:val="0"/>
          <w:marTop w:val="100"/>
          <w:marBottom w:val="0"/>
          <w:divBdr>
            <w:top w:val="none" w:sz="0" w:space="0" w:color="auto"/>
            <w:left w:val="none" w:sz="0" w:space="0" w:color="auto"/>
            <w:bottom w:val="none" w:sz="0" w:space="0" w:color="auto"/>
            <w:right w:val="none" w:sz="0" w:space="0" w:color="auto"/>
          </w:divBdr>
        </w:div>
        <w:div w:id="460153316">
          <w:marLeft w:val="576"/>
          <w:marRight w:val="0"/>
          <w:marTop w:val="200"/>
          <w:marBottom w:val="0"/>
          <w:divBdr>
            <w:top w:val="none" w:sz="0" w:space="0" w:color="auto"/>
            <w:left w:val="none" w:sz="0" w:space="0" w:color="auto"/>
            <w:bottom w:val="none" w:sz="0" w:space="0" w:color="auto"/>
            <w:right w:val="none" w:sz="0" w:space="0" w:color="auto"/>
          </w:divBdr>
        </w:div>
        <w:div w:id="751317867">
          <w:marLeft w:val="576"/>
          <w:marRight w:val="0"/>
          <w:marTop w:val="200"/>
          <w:marBottom w:val="0"/>
          <w:divBdr>
            <w:top w:val="none" w:sz="0" w:space="0" w:color="auto"/>
            <w:left w:val="none" w:sz="0" w:space="0" w:color="auto"/>
            <w:bottom w:val="none" w:sz="0" w:space="0" w:color="auto"/>
            <w:right w:val="none" w:sz="0" w:space="0" w:color="auto"/>
          </w:divBdr>
        </w:div>
        <w:div w:id="823014397">
          <w:marLeft w:val="576"/>
          <w:marRight w:val="0"/>
          <w:marTop w:val="200"/>
          <w:marBottom w:val="0"/>
          <w:divBdr>
            <w:top w:val="none" w:sz="0" w:space="0" w:color="auto"/>
            <w:left w:val="none" w:sz="0" w:space="0" w:color="auto"/>
            <w:bottom w:val="none" w:sz="0" w:space="0" w:color="auto"/>
            <w:right w:val="none" w:sz="0" w:space="0" w:color="auto"/>
          </w:divBdr>
        </w:div>
        <w:div w:id="847214929">
          <w:marLeft w:val="576"/>
          <w:marRight w:val="0"/>
          <w:marTop w:val="200"/>
          <w:marBottom w:val="0"/>
          <w:divBdr>
            <w:top w:val="none" w:sz="0" w:space="0" w:color="auto"/>
            <w:left w:val="none" w:sz="0" w:space="0" w:color="auto"/>
            <w:bottom w:val="none" w:sz="0" w:space="0" w:color="auto"/>
            <w:right w:val="none" w:sz="0" w:space="0" w:color="auto"/>
          </w:divBdr>
        </w:div>
        <w:div w:id="893658084">
          <w:marLeft w:val="1296"/>
          <w:marRight w:val="0"/>
          <w:marTop w:val="100"/>
          <w:marBottom w:val="0"/>
          <w:divBdr>
            <w:top w:val="none" w:sz="0" w:space="0" w:color="auto"/>
            <w:left w:val="none" w:sz="0" w:space="0" w:color="auto"/>
            <w:bottom w:val="none" w:sz="0" w:space="0" w:color="auto"/>
            <w:right w:val="none" w:sz="0" w:space="0" w:color="auto"/>
          </w:divBdr>
        </w:div>
        <w:div w:id="905381404">
          <w:marLeft w:val="1296"/>
          <w:marRight w:val="0"/>
          <w:marTop w:val="100"/>
          <w:marBottom w:val="0"/>
          <w:divBdr>
            <w:top w:val="none" w:sz="0" w:space="0" w:color="auto"/>
            <w:left w:val="none" w:sz="0" w:space="0" w:color="auto"/>
            <w:bottom w:val="none" w:sz="0" w:space="0" w:color="auto"/>
            <w:right w:val="none" w:sz="0" w:space="0" w:color="auto"/>
          </w:divBdr>
        </w:div>
        <w:div w:id="2134860408">
          <w:marLeft w:val="1296"/>
          <w:marRight w:val="0"/>
          <w:marTop w:val="100"/>
          <w:marBottom w:val="0"/>
          <w:divBdr>
            <w:top w:val="none" w:sz="0" w:space="0" w:color="auto"/>
            <w:left w:val="none" w:sz="0" w:space="0" w:color="auto"/>
            <w:bottom w:val="none" w:sz="0" w:space="0" w:color="auto"/>
            <w:right w:val="none" w:sz="0" w:space="0" w:color="auto"/>
          </w:divBdr>
        </w:div>
      </w:divsChild>
    </w:div>
    <w:div w:id="345324300">
      <w:bodyDiv w:val="1"/>
      <w:marLeft w:val="0"/>
      <w:marRight w:val="0"/>
      <w:marTop w:val="0"/>
      <w:marBottom w:val="0"/>
      <w:divBdr>
        <w:top w:val="none" w:sz="0" w:space="0" w:color="auto"/>
        <w:left w:val="none" w:sz="0" w:space="0" w:color="auto"/>
        <w:bottom w:val="none" w:sz="0" w:space="0" w:color="auto"/>
        <w:right w:val="none" w:sz="0" w:space="0" w:color="auto"/>
      </w:divBdr>
      <w:divsChild>
        <w:div w:id="258176252">
          <w:marLeft w:val="1296"/>
          <w:marRight w:val="0"/>
          <w:marTop w:val="100"/>
          <w:marBottom w:val="0"/>
          <w:divBdr>
            <w:top w:val="none" w:sz="0" w:space="0" w:color="auto"/>
            <w:left w:val="none" w:sz="0" w:space="0" w:color="auto"/>
            <w:bottom w:val="none" w:sz="0" w:space="0" w:color="auto"/>
            <w:right w:val="none" w:sz="0" w:space="0" w:color="auto"/>
          </w:divBdr>
        </w:div>
        <w:div w:id="1324621223">
          <w:marLeft w:val="1296"/>
          <w:marRight w:val="0"/>
          <w:marTop w:val="100"/>
          <w:marBottom w:val="0"/>
          <w:divBdr>
            <w:top w:val="none" w:sz="0" w:space="0" w:color="auto"/>
            <w:left w:val="none" w:sz="0" w:space="0" w:color="auto"/>
            <w:bottom w:val="none" w:sz="0" w:space="0" w:color="auto"/>
            <w:right w:val="none" w:sz="0" w:space="0" w:color="auto"/>
          </w:divBdr>
        </w:div>
        <w:div w:id="1792430871">
          <w:marLeft w:val="576"/>
          <w:marRight w:val="0"/>
          <w:marTop w:val="200"/>
          <w:marBottom w:val="0"/>
          <w:divBdr>
            <w:top w:val="none" w:sz="0" w:space="0" w:color="auto"/>
            <w:left w:val="none" w:sz="0" w:space="0" w:color="auto"/>
            <w:bottom w:val="none" w:sz="0" w:space="0" w:color="auto"/>
            <w:right w:val="none" w:sz="0" w:space="0" w:color="auto"/>
          </w:divBdr>
        </w:div>
        <w:div w:id="1968316175">
          <w:marLeft w:val="1296"/>
          <w:marRight w:val="0"/>
          <w:marTop w:val="100"/>
          <w:marBottom w:val="0"/>
          <w:divBdr>
            <w:top w:val="none" w:sz="0" w:space="0" w:color="auto"/>
            <w:left w:val="none" w:sz="0" w:space="0" w:color="auto"/>
            <w:bottom w:val="none" w:sz="0" w:space="0" w:color="auto"/>
            <w:right w:val="none" w:sz="0" w:space="0" w:color="auto"/>
          </w:divBdr>
        </w:div>
      </w:divsChild>
    </w:div>
    <w:div w:id="367995553">
      <w:bodyDiv w:val="1"/>
      <w:marLeft w:val="0"/>
      <w:marRight w:val="0"/>
      <w:marTop w:val="0"/>
      <w:marBottom w:val="0"/>
      <w:divBdr>
        <w:top w:val="none" w:sz="0" w:space="0" w:color="auto"/>
        <w:left w:val="none" w:sz="0" w:space="0" w:color="auto"/>
        <w:bottom w:val="none" w:sz="0" w:space="0" w:color="auto"/>
        <w:right w:val="none" w:sz="0" w:space="0" w:color="auto"/>
      </w:divBdr>
      <w:divsChild>
        <w:div w:id="1318148673">
          <w:marLeft w:val="1296"/>
          <w:marRight w:val="0"/>
          <w:marTop w:val="100"/>
          <w:marBottom w:val="0"/>
          <w:divBdr>
            <w:top w:val="none" w:sz="0" w:space="0" w:color="auto"/>
            <w:left w:val="none" w:sz="0" w:space="0" w:color="auto"/>
            <w:bottom w:val="none" w:sz="0" w:space="0" w:color="auto"/>
            <w:right w:val="none" w:sz="0" w:space="0" w:color="auto"/>
          </w:divBdr>
        </w:div>
      </w:divsChild>
    </w:div>
    <w:div w:id="427123816">
      <w:bodyDiv w:val="1"/>
      <w:marLeft w:val="0"/>
      <w:marRight w:val="0"/>
      <w:marTop w:val="0"/>
      <w:marBottom w:val="0"/>
      <w:divBdr>
        <w:top w:val="none" w:sz="0" w:space="0" w:color="auto"/>
        <w:left w:val="none" w:sz="0" w:space="0" w:color="auto"/>
        <w:bottom w:val="none" w:sz="0" w:space="0" w:color="auto"/>
        <w:right w:val="none" w:sz="0" w:space="0" w:color="auto"/>
      </w:divBdr>
    </w:div>
    <w:div w:id="450711331">
      <w:bodyDiv w:val="1"/>
      <w:marLeft w:val="0"/>
      <w:marRight w:val="0"/>
      <w:marTop w:val="0"/>
      <w:marBottom w:val="0"/>
      <w:divBdr>
        <w:top w:val="none" w:sz="0" w:space="0" w:color="auto"/>
        <w:left w:val="none" w:sz="0" w:space="0" w:color="auto"/>
        <w:bottom w:val="none" w:sz="0" w:space="0" w:color="auto"/>
        <w:right w:val="none" w:sz="0" w:space="0" w:color="auto"/>
      </w:divBdr>
      <w:divsChild>
        <w:div w:id="514349790">
          <w:marLeft w:val="576"/>
          <w:marRight w:val="0"/>
          <w:marTop w:val="200"/>
          <w:marBottom w:val="0"/>
          <w:divBdr>
            <w:top w:val="none" w:sz="0" w:space="0" w:color="auto"/>
            <w:left w:val="none" w:sz="0" w:space="0" w:color="auto"/>
            <w:bottom w:val="none" w:sz="0" w:space="0" w:color="auto"/>
            <w:right w:val="none" w:sz="0" w:space="0" w:color="auto"/>
          </w:divBdr>
        </w:div>
        <w:div w:id="607277448">
          <w:marLeft w:val="1296"/>
          <w:marRight w:val="0"/>
          <w:marTop w:val="100"/>
          <w:marBottom w:val="0"/>
          <w:divBdr>
            <w:top w:val="none" w:sz="0" w:space="0" w:color="auto"/>
            <w:left w:val="none" w:sz="0" w:space="0" w:color="auto"/>
            <w:bottom w:val="none" w:sz="0" w:space="0" w:color="auto"/>
            <w:right w:val="none" w:sz="0" w:space="0" w:color="auto"/>
          </w:divBdr>
        </w:div>
        <w:div w:id="965044749">
          <w:marLeft w:val="1296"/>
          <w:marRight w:val="0"/>
          <w:marTop w:val="100"/>
          <w:marBottom w:val="0"/>
          <w:divBdr>
            <w:top w:val="none" w:sz="0" w:space="0" w:color="auto"/>
            <w:left w:val="none" w:sz="0" w:space="0" w:color="auto"/>
            <w:bottom w:val="none" w:sz="0" w:space="0" w:color="auto"/>
            <w:right w:val="none" w:sz="0" w:space="0" w:color="auto"/>
          </w:divBdr>
        </w:div>
      </w:divsChild>
    </w:div>
    <w:div w:id="552233654">
      <w:bodyDiv w:val="1"/>
      <w:marLeft w:val="0"/>
      <w:marRight w:val="0"/>
      <w:marTop w:val="0"/>
      <w:marBottom w:val="0"/>
      <w:divBdr>
        <w:top w:val="none" w:sz="0" w:space="0" w:color="auto"/>
        <w:left w:val="none" w:sz="0" w:space="0" w:color="auto"/>
        <w:bottom w:val="none" w:sz="0" w:space="0" w:color="auto"/>
        <w:right w:val="none" w:sz="0" w:space="0" w:color="auto"/>
      </w:divBdr>
      <w:divsChild>
        <w:div w:id="1938632254">
          <w:marLeft w:val="576"/>
          <w:marRight w:val="0"/>
          <w:marTop w:val="200"/>
          <w:marBottom w:val="0"/>
          <w:divBdr>
            <w:top w:val="none" w:sz="0" w:space="0" w:color="auto"/>
            <w:left w:val="none" w:sz="0" w:space="0" w:color="auto"/>
            <w:bottom w:val="none" w:sz="0" w:space="0" w:color="auto"/>
            <w:right w:val="none" w:sz="0" w:space="0" w:color="auto"/>
          </w:divBdr>
        </w:div>
      </w:divsChild>
    </w:div>
    <w:div w:id="578750896">
      <w:bodyDiv w:val="1"/>
      <w:marLeft w:val="0"/>
      <w:marRight w:val="0"/>
      <w:marTop w:val="0"/>
      <w:marBottom w:val="0"/>
      <w:divBdr>
        <w:top w:val="none" w:sz="0" w:space="0" w:color="auto"/>
        <w:left w:val="none" w:sz="0" w:space="0" w:color="auto"/>
        <w:bottom w:val="none" w:sz="0" w:space="0" w:color="auto"/>
        <w:right w:val="none" w:sz="0" w:space="0" w:color="auto"/>
      </w:divBdr>
      <w:divsChild>
        <w:div w:id="82800715">
          <w:marLeft w:val="1296"/>
          <w:marRight w:val="0"/>
          <w:marTop w:val="0"/>
          <w:marBottom w:val="0"/>
          <w:divBdr>
            <w:top w:val="none" w:sz="0" w:space="0" w:color="auto"/>
            <w:left w:val="none" w:sz="0" w:space="0" w:color="auto"/>
            <w:bottom w:val="none" w:sz="0" w:space="0" w:color="auto"/>
            <w:right w:val="none" w:sz="0" w:space="0" w:color="auto"/>
          </w:divBdr>
        </w:div>
        <w:div w:id="234366108">
          <w:marLeft w:val="1296"/>
          <w:marRight w:val="0"/>
          <w:marTop w:val="0"/>
          <w:marBottom w:val="0"/>
          <w:divBdr>
            <w:top w:val="none" w:sz="0" w:space="0" w:color="auto"/>
            <w:left w:val="none" w:sz="0" w:space="0" w:color="auto"/>
            <w:bottom w:val="none" w:sz="0" w:space="0" w:color="auto"/>
            <w:right w:val="none" w:sz="0" w:space="0" w:color="auto"/>
          </w:divBdr>
        </w:div>
        <w:div w:id="608046759">
          <w:marLeft w:val="1296"/>
          <w:marRight w:val="0"/>
          <w:marTop w:val="0"/>
          <w:marBottom w:val="0"/>
          <w:divBdr>
            <w:top w:val="none" w:sz="0" w:space="0" w:color="auto"/>
            <w:left w:val="none" w:sz="0" w:space="0" w:color="auto"/>
            <w:bottom w:val="none" w:sz="0" w:space="0" w:color="auto"/>
            <w:right w:val="none" w:sz="0" w:space="0" w:color="auto"/>
          </w:divBdr>
        </w:div>
      </w:divsChild>
    </w:div>
    <w:div w:id="600454035">
      <w:bodyDiv w:val="1"/>
      <w:marLeft w:val="0"/>
      <w:marRight w:val="0"/>
      <w:marTop w:val="0"/>
      <w:marBottom w:val="0"/>
      <w:divBdr>
        <w:top w:val="none" w:sz="0" w:space="0" w:color="auto"/>
        <w:left w:val="none" w:sz="0" w:space="0" w:color="auto"/>
        <w:bottom w:val="none" w:sz="0" w:space="0" w:color="auto"/>
        <w:right w:val="none" w:sz="0" w:space="0" w:color="auto"/>
      </w:divBdr>
    </w:div>
    <w:div w:id="623972584">
      <w:bodyDiv w:val="1"/>
      <w:marLeft w:val="0"/>
      <w:marRight w:val="0"/>
      <w:marTop w:val="0"/>
      <w:marBottom w:val="0"/>
      <w:divBdr>
        <w:top w:val="none" w:sz="0" w:space="0" w:color="auto"/>
        <w:left w:val="none" w:sz="0" w:space="0" w:color="auto"/>
        <w:bottom w:val="none" w:sz="0" w:space="0" w:color="auto"/>
        <w:right w:val="none" w:sz="0" w:space="0" w:color="auto"/>
      </w:divBdr>
      <w:divsChild>
        <w:div w:id="85198144">
          <w:marLeft w:val="1296"/>
          <w:marRight w:val="0"/>
          <w:marTop w:val="0"/>
          <w:marBottom w:val="0"/>
          <w:divBdr>
            <w:top w:val="none" w:sz="0" w:space="0" w:color="auto"/>
            <w:left w:val="none" w:sz="0" w:space="0" w:color="auto"/>
            <w:bottom w:val="none" w:sz="0" w:space="0" w:color="auto"/>
            <w:right w:val="none" w:sz="0" w:space="0" w:color="auto"/>
          </w:divBdr>
        </w:div>
        <w:div w:id="795948181">
          <w:marLeft w:val="1296"/>
          <w:marRight w:val="0"/>
          <w:marTop w:val="0"/>
          <w:marBottom w:val="0"/>
          <w:divBdr>
            <w:top w:val="none" w:sz="0" w:space="0" w:color="auto"/>
            <w:left w:val="none" w:sz="0" w:space="0" w:color="auto"/>
            <w:bottom w:val="none" w:sz="0" w:space="0" w:color="auto"/>
            <w:right w:val="none" w:sz="0" w:space="0" w:color="auto"/>
          </w:divBdr>
        </w:div>
        <w:div w:id="1023824743">
          <w:marLeft w:val="1296"/>
          <w:marRight w:val="0"/>
          <w:marTop w:val="0"/>
          <w:marBottom w:val="0"/>
          <w:divBdr>
            <w:top w:val="none" w:sz="0" w:space="0" w:color="auto"/>
            <w:left w:val="none" w:sz="0" w:space="0" w:color="auto"/>
            <w:bottom w:val="none" w:sz="0" w:space="0" w:color="auto"/>
            <w:right w:val="none" w:sz="0" w:space="0" w:color="auto"/>
          </w:divBdr>
        </w:div>
      </w:divsChild>
    </w:div>
    <w:div w:id="658390541">
      <w:bodyDiv w:val="1"/>
      <w:marLeft w:val="0"/>
      <w:marRight w:val="0"/>
      <w:marTop w:val="0"/>
      <w:marBottom w:val="0"/>
      <w:divBdr>
        <w:top w:val="none" w:sz="0" w:space="0" w:color="auto"/>
        <w:left w:val="none" w:sz="0" w:space="0" w:color="auto"/>
        <w:bottom w:val="none" w:sz="0" w:space="0" w:color="auto"/>
        <w:right w:val="none" w:sz="0" w:space="0" w:color="auto"/>
      </w:divBdr>
      <w:divsChild>
        <w:div w:id="59835340">
          <w:marLeft w:val="1296"/>
          <w:marRight w:val="0"/>
          <w:marTop w:val="0"/>
          <w:marBottom w:val="0"/>
          <w:divBdr>
            <w:top w:val="none" w:sz="0" w:space="0" w:color="auto"/>
            <w:left w:val="none" w:sz="0" w:space="0" w:color="auto"/>
            <w:bottom w:val="none" w:sz="0" w:space="0" w:color="auto"/>
            <w:right w:val="none" w:sz="0" w:space="0" w:color="auto"/>
          </w:divBdr>
        </w:div>
        <w:div w:id="204559871">
          <w:marLeft w:val="1296"/>
          <w:marRight w:val="0"/>
          <w:marTop w:val="0"/>
          <w:marBottom w:val="0"/>
          <w:divBdr>
            <w:top w:val="none" w:sz="0" w:space="0" w:color="auto"/>
            <w:left w:val="none" w:sz="0" w:space="0" w:color="auto"/>
            <w:bottom w:val="none" w:sz="0" w:space="0" w:color="auto"/>
            <w:right w:val="none" w:sz="0" w:space="0" w:color="auto"/>
          </w:divBdr>
        </w:div>
      </w:divsChild>
    </w:div>
    <w:div w:id="662855273">
      <w:bodyDiv w:val="1"/>
      <w:marLeft w:val="0"/>
      <w:marRight w:val="0"/>
      <w:marTop w:val="0"/>
      <w:marBottom w:val="0"/>
      <w:divBdr>
        <w:top w:val="none" w:sz="0" w:space="0" w:color="auto"/>
        <w:left w:val="none" w:sz="0" w:space="0" w:color="auto"/>
        <w:bottom w:val="none" w:sz="0" w:space="0" w:color="auto"/>
        <w:right w:val="none" w:sz="0" w:space="0" w:color="auto"/>
      </w:divBdr>
    </w:div>
    <w:div w:id="676928002">
      <w:bodyDiv w:val="1"/>
      <w:marLeft w:val="0"/>
      <w:marRight w:val="0"/>
      <w:marTop w:val="0"/>
      <w:marBottom w:val="0"/>
      <w:divBdr>
        <w:top w:val="none" w:sz="0" w:space="0" w:color="auto"/>
        <w:left w:val="none" w:sz="0" w:space="0" w:color="auto"/>
        <w:bottom w:val="none" w:sz="0" w:space="0" w:color="auto"/>
        <w:right w:val="none" w:sz="0" w:space="0" w:color="auto"/>
      </w:divBdr>
    </w:div>
    <w:div w:id="704210313">
      <w:bodyDiv w:val="1"/>
      <w:marLeft w:val="0"/>
      <w:marRight w:val="0"/>
      <w:marTop w:val="0"/>
      <w:marBottom w:val="0"/>
      <w:divBdr>
        <w:top w:val="none" w:sz="0" w:space="0" w:color="auto"/>
        <w:left w:val="none" w:sz="0" w:space="0" w:color="auto"/>
        <w:bottom w:val="none" w:sz="0" w:space="0" w:color="auto"/>
        <w:right w:val="none" w:sz="0" w:space="0" w:color="auto"/>
      </w:divBdr>
      <w:divsChild>
        <w:div w:id="32309839">
          <w:marLeft w:val="1296"/>
          <w:marRight w:val="0"/>
          <w:marTop w:val="200"/>
          <w:marBottom w:val="0"/>
          <w:divBdr>
            <w:top w:val="none" w:sz="0" w:space="0" w:color="auto"/>
            <w:left w:val="none" w:sz="0" w:space="0" w:color="auto"/>
            <w:bottom w:val="none" w:sz="0" w:space="0" w:color="auto"/>
            <w:right w:val="none" w:sz="0" w:space="0" w:color="auto"/>
          </w:divBdr>
        </w:div>
        <w:div w:id="1479032806">
          <w:marLeft w:val="1296"/>
          <w:marRight w:val="0"/>
          <w:marTop w:val="200"/>
          <w:marBottom w:val="0"/>
          <w:divBdr>
            <w:top w:val="none" w:sz="0" w:space="0" w:color="auto"/>
            <w:left w:val="none" w:sz="0" w:space="0" w:color="auto"/>
            <w:bottom w:val="none" w:sz="0" w:space="0" w:color="auto"/>
            <w:right w:val="none" w:sz="0" w:space="0" w:color="auto"/>
          </w:divBdr>
        </w:div>
      </w:divsChild>
    </w:div>
    <w:div w:id="793333316">
      <w:bodyDiv w:val="1"/>
      <w:marLeft w:val="0"/>
      <w:marRight w:val="0"/>
      <w:marTop w:val="0"/>
      <w:marBottom w:val="0"/>
      <w:divBdr>
        <w:top w:val="none" w:sz="0" w:space="0" w:color="auto"/>
        <w:left w:val="none" w:sz="0" w:space="0" w:color="auto"/>
        <w:bottom w:val="none" w:sz="0" w:space="0" w:color="auto"/>
        <w:right w:val="none" w:sz="0" w:space="0" w:color="auto"/>
      </w:divBdr>
      <w:divsChild>
        <w:div w:id="1584795537">
          <w:marLeft w:val="1267"/>
          <w:marRight w:val="0"/>
          <w:marTop w:val="0"/>
          <w:marBottom w:val="0"/>
          <w:divBdr>
            <w:top w:val="none" w:sz="0" w:space="0" w:color="auto"/>
            <w:left w:val="none" w:sz="0" w:space="0" w:color="auto"/>
            <w:bottom w:val="none" w:sz="0" w:space="0" w:color="auto"/>
            <w:right w:val="none" w:sz="0" w:space="0" w:color="auto"/>
          </w:divBdr>
        </w:div>
      </w:divsChild>
    </w:div>
    <w:div w:id="838664981">
      <w:bodyDiv w:val="1"/>
      <w:marLeft w:val="0"/>
      <w:marRight w:val="0"/>
      <w:marTop w:val="0"/>
      <w:marBottom w:val="0"/>
      <w:divBdr>
        <w:top w:val="none" w:sz="0" w:space="0" w:color="auto"/>
        <w:left w:val="none" w:sz="0" w:space="0" w:color="auto"/>
        <w:bottom w:val="none" w:sz="0" w:space="0" w:color="auto"/>
        <w:right w:val="none" w:sz="0" w:space="0" w:color="auto"/>
      </w:divBdr>
      <w:divsChild>
        <w:div w:id="1677264280">
          <w:marLeft w:val="1296"/>
          <w:marRight w:val="0"/>
          <w:marTop w:val="0"/>
          <w:marBottom w:val="0"/>
          <w:divBdr>
            <w:top w:val="none" w:sz="0" w:space="0" w:color="auto"/>
            <w:left w:val="none" w:sz="0" w:space="0" w:color="auto"/>
            <w:bottom w:val="none" w:sz="0" w:space="0" w:color="auto"/>
            <w:right w:val="none" w:sz="0" w:space="0" w:color="auto"/>
          </w:divBdr>
        </w:div>
      </w:divsChild>
    </w:div>
    <w:div w:id="895504892">
      <w:bodyDiv w:val="1"/>
      <w:marLeft w:val="0"/>
      <w:marRight w:val="0"/>
      <w:marTop w:val="0"/>
      <w:marBottom w:val="0"/>
      <w:divBdr>
        <w:top w:val="none" w:sz="0" w:space="0" w:color="auto"/>
        <w:left w:val="none" w:sz="0" w:space="0" w:color="auto"/>
        <w:bottom w:val="none" w:sz="0" w:space="0" w:color="auto"/>
        <w:right w:val="none" w:sz="0" w:space="0" w:color="auto"/>
      </w:divBdr>
      <w:divsChild>
        <w:div w:id="551581188">
          <w:marLeft w:val="576"/>
          <w:marRight w:val="0"/>
          <w:marTop w:val="200"/>
          <w:marBottom w:val="0"/>
          <w:divBdr>
            <w:top w:val="none" w:sz="0" w:space="0" w:color="auto"/>
            <w:left w:val="none" w:sz="0" w:space="0" w:color="auto"/>
            <w:bottom w:val="none" w:sz="0" w:space="0" w:color="auto"/>
            <w:right w:val="none" w:sz="0" w:space="0" w:color="auto"/>
          </w:divBdr>
        </w:div>
      </w:divsChild>
    </w:div>
    <w:div w:id="938293541">
      <w:bodyDiv w:val="1"/>
      <w:marLeft w:val="0"/>
      <w:marRight w:val="0"/>
      <w:marTop w:val="0"/>
      <w:marBottom w:val="0"/>
      <w:divBdr>
        <w:top w:val="none" w:sz="0" w:space="0" w:color="auto"/>
        <w:left w:val="none" w:sz="0" w:space="0" w:color="auto"/>
        <w:bottom w:val="none" w:sz="0" w:space="0" w:color="auto"/>
        <w:right w:val="none" w:sz="0" w:space="0" w:color="auto"/>
      </w:divBdr>
      <w:divsChild>
        <w:div w:id="445274823">
          <w:marLeft w:val="1440"/>
          <w:marRight w:val="0"/>
          <w:marTop w:val="100"/>
          <w:marBottom w:val="0"/>
          <w:divBdr>
            <w:top w:val="none" w:sz="0" w:space="0" w:color="auto"/>
            <w:left w:val="none" w:sz="0" w:space="0" w:color="auto"/>
            <w:bottom w:val="none" w:sz="0" w:space="0" w:color="auto"/>
            <w:right w:val="none" w:sz="0" w:space="0" w:color="auto"/>
          </w:divBdr>
        </w:div>
        <w:div w:id="481774121">
          <w:marLeft w:val="1440"/>
          <w:marRight w:val="0"/>
          <w:marTop w:val="100"/>
          <w:marBottom w:val="0"/>
          <w:divBdr>
            <w:top w:val="none" w:sz="0" w:space="0" w:color="auto"/>
            <w:left w:val="none" w:sz="0" w:space="0" w:color="auto"/>
            <w:bottom w:val="none" w:sz="0" w:space="0" w:color="auto"/>
            <w:right w:val="none" w:sz="0" w:space="0" w:color="auto"/>
          </w:divBdr>
        </w:div>
        <w:div w:id="1677145597">
          <w:marLeft w:val="1440"/>
          <w:marRight w:val="0"/>
          <w:marTop w:val="100"/>
          <w:marBottom w:val="0"/>
          <w:divBdr>
            <w:top w:val="none" w:sz="0" w:space="0" w:color="auto"/>
            <w:left w:val="none" w:sz="0" w:space="0" w:color="auto"/>
            <w:bottom w:val="none" w:sz="0" w:space="0" w:color="auto"/>
            <w:right w:val="none" w:sz="0" w:space="0" w:color="auto"/>
          </w:divBdr>
        </w:div>
      </w:divsChild>
    </w:div>
    <w:div w:id="955259307">
      <w:bodyDiv w:val="1"/>
      <w:marLeft w:val="0"/>
      <w:marRight w:val="0"/>
      <w:marTop w:val="0"/>
      <w:marBottom w:val="0"/>
      <w:divBdr>
        <w:top w:val="none" w:sz="0" w:space="0" w:color="auto"/>
        <w:left w:val="none" w:sz="0" w:space="0" w:color="auto"/>
        <w:bottom w:val="none" w:sz="0" w:space="0" w:color="auto"/>
        <w:right w:val="none" w:sz="0" w:space="0" w:color="auto"/>
      </w:divBdr>
    </w:div>
    <w:div w:id="1004208167">
      <w:bodyDiv w:val="1"/>
      <w:marLeft w:val="0"/>
      <w:marRight w:val="0"/>
      <w:marTop w:val="0"/>
      <w:marBottom w:val="0"/>
      <w:divBdr>
        <w:top w:val="none" w:sz="0" w:space="0" w:color="auto"/>
        <w:left w:val="none" w:sz="0" w:space="0" w:color="auto"/>
        <w:bottom w:val="none" w:sz="0" w:space="0" w:color="auto"/>
        <w:right w:val="none" w:sz="0" w:space="0" w:color="auto"/>
      </w:divBdr>
      <w:divsChild>
        <w:div w:id="1256204082">
          <w:marLeft w:val="1296"/>
          <w:marRight w:val="0"/>
          <w:marTop w:val="0"/>
          <w:marBottom w:val="0"/>
          <w:divBdr>
            <w:top w:val="none" w:sz="0" w:space="0" w:color="auto"/>
            <w:left w:val="none" w:sz="0" w:space="0" w:color="auto"/>
            <w:bottom w:val="none" w:sz="0" w:space="0" w:color="auto"/>
            <w:right w:val="none" w:sz="0" w:space="0" w:color="auto"/>
          </w:divBdr>
        </w:div>
        <w:div w:id="1867476947">
          <w:marLeft w:val="1296"/>
          <w:marRight w:val="0"/>
          <w:marTop w:val="0"/>
          <w:marBottom w:val="0"/>
          <w:divBdr>
            <w:top w:val="none" w:sz="0" w:space="0" w:color="auto"/>
            <w:left w:val="none" w:sz="0" w:space="0" w:color="auto"/>
            <w:bottom w:val="none" w:sz="0" w:space="0" w:color="auto"/>
            <w:right w:val="none" w:sz="0" w:space="0" w:color="auto"/>
          </w:divBdr>
        </w:div>
      </w:divsChild>
    </w:div>
    <w:div w:id="1033073129">
      <w:bodyDiv w:val="1"/>
      <w:marLeft w:val="0"/>
      <w:marRight w:val="0"/>
      <w:marTop w:val="0"/>
      <w:marBottom w:val="0"/>
      <w:divBdr>
        <w:top w:val="none" w:sz="0" w:space="0" w:color="auto"/>
        <w:left w:val="none" w:sz="0" w:space="0" w:color="auto"/>
        <w:bottom w:val="none" w:sz="0" w:space="0" w:color="auto"/>
        <w:right w:val="none" w:sz="0" w:space="0" w:color="auto"/>
      </w:divBdr>
    </w:div>
    <w:div w:id="1100953162">
      <w:bodyDiv w:val="1"/>
      <w:marLeft w:val="0"/>
      <w:marRight w:val="0"/>
      <w:marTop w:val="0"/>
      <w:marBottom w:val="0"/>
      <w:divBdr>
        <w:top w:val="none" w:sz="0" w:space="0" w:color="auto"/>
        <w:left w:val="none" w:sz="0" w:space="0" w:color="auto"/>
        <w:bottom w:val="none" w:sz="0" w:space="0" w:color="auto"/>
        <w:right w:val="none" w:sz="0" w:space="0" w:color="auto"/>
      </w:divBdr>
      <w:divsChild>
        <w:div w:id="1100300938">
          <w:marLeft w:val="1296"/>
          <w:marRight w:val="0"/>
          <w:marTop w:val="0"/>
          <w:marBottom w:val="0"/>
          <w:divBdr>
            <w:top w:val="none" w:sz="0" w:space="0" w:color="auto"/>
            <w:left w:val="none" w:sz="0" w:space="0" w:color="auto"/>
            <w:bottom w:val="none" w:sz="0" w:space="0" w:color="auto"/>
            <w:right w:val="none" w:sz="0" w:space="0" w:color="auto"/>
          </w:divBdr>
        </w:div>
      </w:divsChild>
    </w:div>
    <w:div w:id="1121411412">
      <w:bodyDiv w:val="1"/>
      <w:marLeft w:val="0"/>
      <w:marRight w:val="0"/>
      <w:marTop w:val="0"/>
      <w:marBottom w:val="0"/>
      <w:divBdr>
        <w:top w:val="none" w:sz="0" w:space="0" w:color="auto"/>
        <w:left w:val="none" w:sz="0" w:space="0" w:color="auto"/>
        <w:bottom w:val="none" w:sz="0" w:space="0" w:color="auto"/>
        <w:right w:val="none" w:sz="0" w:space="0" w:color="auto"/>
      </w:divBdr>
      <w:divsChild>
        <w:div w:id="60370127">
          <w:marLeft w:val="1296"/>
          <w:marRight w:val="0"/>
          <w:marTop w:val="0"/>
          <w:marBottom w:val="0"/>
          <w:divBdr>
            <w:top w:val="none" w:sz="0" w:space="0" w:color="auto"/>
            <w:left w:val="none" w:sz="0" w:space="0" w:color="auto"/>
            <w:bottom w:val="none" w:sz="0" w:space="0" w:color="auto"/>
            <w:right w:val="none" w:sz="0" w:space="0" w:color="auto"/>
          </w:divBdr>
        </w:div>
        <w:div w:id="1830248840">
          <w:marLeft w:val="1296"/>
          <w:marRight w:val="0"/>
          <w:marTop w:val="0"/>
          <w:marBottom w:val="0"/>
          <w:divBdr>
            <w:top w:val="none" w:sz="0" w:space="0" w:color="auto"/>
            <w:left w:val="none" w:sz="0" w:space="0" w:color="auto"/>
            <w:bottom w:val="none" w:sz="0" w:space="0" w:color="auto"/>
            <w:right w:val="none" w:sz="0" w:space="0" w:color="auto"/>
          </w:divBdr>
        </w:div>
      </w:divsChild>
    </w:div>
    <w:div w:id="1332683460">
      <w:bodyDiv w:val="1"/>
      <w:marLeft w:val="0"/>
      <w:marRight w:val="0"/>
      <w:marTop w:val="0"/>
      <w:marBottom w:val="0"/>
      <w:divBdr>
        <w:top w:val="none" w:sz="0" w:space="0" w:color="auto"/>
        <w:left w:val="none" w:sz="0" w:space="0" w:color="auto"/>
        <w:bottom w:val="none" w:sz="0" w:space="0" w:color="auto"/>
        <w:right w:val="none" w:sz="0" w:space="0" w:color="auto"/>
      </w:divBdr>
    </w:div>
    <w:div w:id="1340816708">
      <w:bodyDiv w:val="1"/>
      <w:marLeft w:val="0"/>
      <w:marRight w:val="0"/>
      <w:marTop w:val="0"/>
      <w:marBottom w:val="0"/>
      <w:divBdr>
        <w:top w:val="none" w:sz="0" w:space="0" w:color="auto"/>
        <w:left w:val="none" w:sz="0" w:space="0" w:color="auto"/>
        <w:bottom w:val="none" w:sz="0" w:space="0" w:color="auto"/>
        <w:right w:val="none" w:sz="0" w:space="0" w:color="auto"/>
      </w:divBdr>
      <w:divsChild>
        <w:div w:id="209925862">
          <w:marLeft w:val="1296"/>
          <w:marRight w:val="0"/>
          <w:marTop w:val="100"/>
          <w:marBottom w:val="0"/>
          <w:divBdr>
            <w:top w:val="none" w:sz="0" w:space="0" w:color="auto"/>
            <w:left w:val="none" w:sz="0" w:space="0" w:color="auto"/>
            <w:bottom w:val="none" w:sz="0" w:space="0" w:color="auto"/>
            <w:right w:val="none" w:sz="0" w:space="0" w:color="auto"/>
          </w:divBdr>
        </w:div>
        <w:div w:id="1309558360">
          <w:marLeft w:val="1296"/>
          <w:marRight w:val="0"/>
          <w:marTop w:val="100"/>
          <w:marBottom w:val="0"/>
          <w:divBdr>
            <w:top w:val="none" w:sz="0" w:space="0" w:color="auto"/>
            <w:left w:val="none" w:sz="0" w:space="0" w:color="auto"/>
            <w:bottom w:val="none" w:sz="0" w:space="0" w:color="auto"/>
            <w:right w:val="none" w:sz="0" w:space="0" w:color="auto"/>
          </w:divBdr>
        </w:div>
        <w:div w:id="1350376502">
          <w:marLeft w:val="1296"/>
          <w:marRight w:val="0"/>
          <w:marTop w:val="100"/>
          <w:marBottom w:val="0"/>
          <w:divBdr>
            <w:top w:val="none" w:sz="0" w:space="0" w:color="auto"/>
            <w:left w:val="none" w:sz="0" w:space="0" w:color="auto"/>
            <w:bottom w:val="none" w:sz="0" w:space="0" w:color="auto"/>
            <w:right w:val="none" w:sz="0" w:space="0" w:color="auto"/>
          </w:divBdr>
        </w:div>
        <w:div w:id="1829132619">
          <w:marLeft w:val="576"/>
          <w:marRight w:val="0"/>
          <w:marTop w:val="200"/>
          <w:marBottom w:val="0"/>
          <w:divBdr>
            <w:top w:val="none" w:sz="0" w:space="0" w:color="auto"/>
            <w:left w:val="none" w:sz="0" w:space="0" w:color="auto"/>
            <w:bottom w:val="none" w:sz="0" w:space="0" w:color="auto"/>
            <w:right w:val="none" w:sz="0" w:space="0" w:color="auto"/>
          </w:divBdr>
        </w:div>
      </w:divsChild>
    </w:div>
    <w:div w:id="1360742378">
      <w:bodyDiv w:val="1"/>
      <w:marLeft w:val="0"/>
      <w:marRight w:val="0"/>
      <w:marTop w:val="0"/>
      <w:marBottom w:val="0"/>
      <w:divBdr>
        <w:top w:val="none" w:sz="0" w:space="0" w:color="auto"/>
        <w:left w:val="none" w:sz="0" w:space="0" w:color="auto"/>
        <w:bottom w:val="none" w:sz="0" w:space="0" w:color="auto"/>
        <w:right w:val="none" w:sz="0" w:space="0" w:color="auto"/>
      </w:divBdr>
      <w:divsChild>
        <w:div w:id="504594076">
          <w:marLeft w:val="1296"/>
          <w:marRight w:val="0"/>
          <w:marTop w:val="200"/>
          <w:marBottom w:val="0"/>
          <w:divBdr>
            <w:top w:val="none" w:sz="0" w:space="0" w:color="auto"/>
            <w:left w:val="none" w:sz="0" w:space="0" w:color="auto"/>
            <w:bottom w:val="none" w:sz="0" w:space="0" w:color="auto"/>
            <w:right w:val="none" w:sz="0" w:space="0" w:color="auto"/>
          </w:divBdr>
        </w:div>
        <w:div w:id="2007129580">
          <w:marLeft w:val="1296"/>
          <w:marRight w:val="0"/>
          <w:marTop w:val="200"/>
          <w:marBottom w:val="0"/>
          <w:divBdr>
            <w:top w:val="none" w:sz="0" w:space="0" w:color="auto"/>
            <w:left w:val="none" w:sz="0" w:space="0" w:color="auto"/>
            <w:bottom w:val="none" w:sz="0" w:space="0" w:color="auto"/>
            <w:right w:val="none" w:sz="0" w:space="0" w:color="auto"/>
          </w:divBdr>
        </w:div>
      </w:divsChild>
    </w:div>
    <w:div w:id="1371494335">
      <w:bodyDiv w:val="1"/>
      <w:marLeft w:val="0"/>
      <w:marRight w:val="0"/>
      <w:marTop w:val="0"/>
      <w:marBottom w:val="0"/>
      <w:divBdr>
        <w:top w:val="none" w:sz="0" w:space="0" w:color="auto"/>
        <w:left w:val="none" w:sz="0" w:space="0" w:color="auto"/>
        <w:bottom w:val="none" w:sz="0" w:space="0" w:color="auto"/>
        <w:right w:val="none" w:sz="0" w:space="0" w:color="auto"/>
      </w:divBdr>
      <w:divsChild>
        <w:div w:id="660280140">
          <w:marLeft w:val="1296"/>
          <w:marRight w:val="0"/>
          <w:marTop w:val="200"/>
          <w:marBottom w:val="0"/>
          <w:divBdr>
            <w:top w:val="none" w:sz="0" w:space="0" w:color="auto"/>
            <w:left w:val="none" w:sz="0" w:space="0" w:color="auto"/>
            <w:bottom w:val="none" w:sz="0" w:space="0" w:color="auto"/>
            <w:right w:val="none" w:sz="0" w:space="0" w:color="auto"/>
          </w:divBdr>
        </w:div>
      </w:divsChild>
    </w:div>
    <w:div w:id="1407338100">
      <w:bodyDiv w:val="1"/>
      <w:marLeft w:val="0"/>
      <w:marRight w:val="0"/>
      <w:marTop w:val="0"/>
      <w:marBottom w:val="0"/>
      <w:divBdr>
        <w:top w:val="none" w:sz="0" w:space="0" w:color="auto"/>
        <w:left w:val="none" w:sz="0" w:space="0" w:color="auto"/>
        <w:bottom w:val="none" w:sz="0" w:space="0" w:color="auto"/>
        <w:right w:val="none" w:sz="0" w:space="0" w:color="auto"/>
      </w:divBdr>
      <w:divsChild>
        <w:div w:id="1874726828">
          <w:marLeft w:val="1296"/>
          <w:marRight w:val="0"/>
          <w:marTop w:val="200"/>
          <w:marBottom w:val="0"/>
          <w:divBdr>
            <w:top w:val="none" w:sz="0" w:space="0" w:color="auto"/>
            <w:left w:val="none" w:sz="0" w:space="0" w:color="auto"/>
            <w:bottom w:val="none" w:sz="0" w:space="0" w:color="auto"/>
            <w:right w:val="none" w:sz="0" w:space="0" w:color="auto"/>
          </w:divBdr>
        </w:div>
      </w:divsChild>
    </w:div>
    <w:div w:id="1465852259">
      <w:bodyDiv w:val="1"/>
      <w:marLeft w:val="0"/>
      <w:marRight w:val="0"/>
      <w:marTop w:val="0"/>
      <w:marBottom w:val="0"/>
      <w:divBdr>
        <w:top w:val="none" w:sz="0" w:space="0" w:color="auto"/>
        <w:left w:val="none" w:sz="0" w:space="0" w:color="auto"/>
        <w:bottom w:val="none" w:sz="0" w:space="0" w:color="auto"/>
        <w:right w:val="none" w:sz="0" w:space="0" w:color="auto"/>
      </w:divBdr>
    </w:div>
    <w:div w:id="1480533875">
      <w:bodyDiv w:val="1"/>
      <w:marLeft w:val="0"/>
      <w:marRight w:val="0"/>
      <w:marTop w:val="0"/>
      <w:marBottom w:val="0"/>
      <w:divBdr>
        <w:top w:val="none" w:sz="0" w:space="0" w:color="auto"/>
        <w:left w:val="none" w:sz="0" w:space="0" w:color="auto"/>
        <w:bottom w:val="none" w:sz="0" w:space="0" w:color="auto"/>
        <w:right w:val="none" w:sz="0" w:space="0" w:color="auto"/>
      </w:divBdr>
      <w:divsChild>
        <w:div w:id="891960700">
          <w:marLeft w:val="576"/>
          <w:marRight w:val="0"/>
          <w:marTop w:val="200"/>
          <w:marBottom w:val="0"/>
          <w:divBdr>
            <w:top w:val="none" w:sz="0" w:space="0" w:color="auto"/>
            <w:left w:val="none" w:sz="0" w:space="0" w:color="auto"/>
            <w:bottom w:val="none" w:sz="0" w:space="0" w:color="auto"/>
            <w:right w:val="none" w:sz="0" w:space="0" w:color="auto"/>
          </w:divBdr>
        </w:div>
      </w:divsChild>
    </w:div>
    <w:div w:id="1489051473">
      <w:bodyDiv w:val="1"/>
      <w:marLeft w:val="0"/>
      <w:marRight w:val="0"/>
      <w:marTop w:val="0"/>
      <w:marBottom w:val="0"/>
      <w:divBdr>
        <w:top w:val="none" w:sz="0" w:space="0" w:color="auto"/>
        <w:left w:val="none" w:sz="0" w:space="0" w:color="auto"/>
        <w:bottom w:val="none" w:sz="0" w:space="0" w:color="auto"/>
        <w:right w:val="none" w:sz="0" w:space="0" w:color="auto"/>
      </w:divBdr>
    </w:div>
    <w:div w:id="1540967646">
      <w:bodyDiv w:val="1"/>
      <w:marLeft w:val="0"/>
      <w:marRight w:val="0"/>
      <w:marTop w:val="0"/>
      <w:marBottom w:val="0"/>
      <w:divBdr>
        <w:top w:val="none" w:sz="0" w:space="0" w:color="auto"/>
        <w:left w:val="none" w:sz="0" w:space="0" w:color="auto"/>
        <w:bottom w:val="none" w:sz="0" w:space="0" w:color="auto"/>
        <w:right w:val="none" w:sz="0" w:space="0" w:color="auto"/>
      </w:divBdr>
      <w:divsChild>
        <w:div w:id="776825786">
          <w:marLeft w:val="1296"/>
          <w:marRight w:val="0"/>
          <w:marTop w:val="100"/>
          <w:marBottom w:val="0"/>
          <w:divBdr>
            <w:top w:val="none" w:sz="0" w:space="0" w:color="auto"/>
            <w:left w:val="none" w:sz="0" w:space="0" w:color="auto"/>
            <w:bottom w:val="none" w:sz="0" w:space="0" w:color="auto"/>
            <w:right w:val="none" w:sz="0" w:space="0" w:color="auto"/>
          </w:divBdr>
        </w:div>
        <w:div w:id="777532271">
          <w:marLeft w:val="1296"/>
          <w:marRight w:val="0"/>
          <w:marTop w:val="100"/>
          <w:marBottom w:val="0"/>
          <w:divBdr>
            <w:top w:val="none" w:sz="0" w:space="0" w:color="auto"/>
            <w:left w:val="none" w:sz="0" w:space="0" w:color="auto"/>
            <w:bottom w:val="none" w:sz="0" w:space="0" w:color="auto"/>
            <w:right w:val="none" w:sz="0" w:space="0" w:color="auto"/>
          </w:divBdr>
        </w:div>
        <w:div w:id="1135828794">
          <w:marLeft w:val="1296"/>
          <w:marRight w:val="0"/>
          <w:marTop w:val="100"/>
          <w:marBottom w:val="0"/>
          <w:divBdr>
            <w:top w:val="none" w:sz="0" w:space="0" w:color="auto"/>
            <w:left w:val="none" w:sz="0" w:space="0" w:color="auto"/>
            <w:bottom w:val="none" w:sz="0" w:space="0" w:color="auto"/>
            <w:right w:val="none" w:sz="0" w:space="0" w:color="auto"/>
          </w:divBdr>
        </w:div>
        <w:div w:id="1425878661">
          <w:marLeft w:val="1296"/>
          <w:marRight w:val="0"/>
          <w:marTop w:val="100"/>
          <w:marBottom w:val="0"/>
          <w:divBdr>
            <w:top w:val="none" w:sz="0" w:space="0" w:color="auto"/>
            <w:left w:val="none" w:sz="0" w:space="0" w:color="auto"/>
            <w:bottom w:val="none" w:sz="0" w:space="0" w:color="auto"/>
            <w:right w:val="none" w:sz="0" w:space="0" w:color="auto"/>
          </w:divBdr>
        </w:div>
      </w:divsChild>
    </w:div>
    <w:div w:id="1546914234">
      <w:bodyDiv w:val="1"/>
      <w:marLeft w:val="0"/>
      <w:marRight w:val="0"/>
      <w:marTop w:val="0"/>
      <w:marBottom w:val="0"/>
      <w:divBdr>
        <w:top w:val="none" w:sz="0" w:space="0" w:color="auto"/>
        <w:left w:val="none" w:sz="0" w:space="0" w:color="auto"/>
        <w:bottom w:val="none" w:sz="0" w:space="0" w:color="auto"/>
        <w:right w:val="none" w:sz="0" w:space="0" w:color="auto"/>
      </w:divBdr>
      <w:divsChild>
        <w:div w:id="1858960935">
          <w:marLeft w:val="576"/>
          <w:marRight w:val="0"/>
          <w:marTop w:val="200"/>
          <w:marBottom w:val="0"/>
          <w:divBdr>
            <w:top w:val="none" w:sz="0" w:space="0" w:color="auto"/>
            <w:left w:val="none" w:sz="0" w:space="0" w:color="auto"/>
            <w:bottom w:val="none" w:sz="0" w:space="0" w:color="auto"/>
            <w:right w:val="none" w:sz="0" w:space="0" w:color="auto"/>
          </w:divBdr>
        </w:div>
      </w:divsChild>
    </w:div>
    <w:div w:id="1576162234">
      <w:bodyDiv w:val="1"/>
      <w:marLeft w:val="0"/>
      <w:marRight w:val="0"/>
      <w:marTop w:val="0"/>
      <w:marBottom w:val="0"/>
      <w:divBdr>
        <w:top w:val="none" w:sz="0" w:space="0" w:color="auto"/>
        <w:left w:val="none" w:sz="0" w:space="0" w:color="auto"/>
        <w:bottom w:val="none" w:sz="0" w:space="0" w:color="auto"/>
        <w:right w:val="none" w:sz="0" w:space="0" w:color="auto"/>
      </w:divBdr>
      <w:divsChild>
        <w:div w:id="425463880">
          <w:marLeft w:val="2016"/>
          <w:marRight w:val="0"/>
          <w:marTop w:val="0"/>
          <w:marBottom w:val="0"/>
          <w:divBdr>
            <w:top w:val="none" w:sz="0" w:space="0" w:color="auto"/>
            <w:left w:val="none" w:sz="0" w:space="0" w:color="auto"/>
            <w:bottom w:val="none" w:sz="0" w:space="0" w:color="auto"/>
            <w:right w:val="none" w:sz="0" w:space="0" w:color="auto"/>
          </w:divBdr>
        </w:div>
        <w:div w:id="436029445">
          <w:marLeft w:val="1296"/>
          <w:marRight w:val="0"/>
          <w:marTop w:val="0"/>
          <w:marBottom w:val="0"/>
          <w:divBdr>
            <w:top w:val="none" w:sz="0" w:space="0" w:color="auto"/>
            <w:left w:val="none" w:sz="0" w:space="0" w:color="auto"/>
            <w:bottom w:val="none" w:sz="0" w:space="0" w:color="auto"/>
            <w:right w:val="none" w:sz="0" w:space="0" w:color="auto"/>
          </w:divBdr>
        </w:div>
        <w:div w:id="1180663570">
          <w:marLeft w:val="1296"/>
          <w:marRight w:val="0"/>
          <w:marTop w:val="0"/>
          <w:marBottom w:val="0"/>
          <w:divBdr>
            <w:top w:val="none" w:sz="0" w:space="0" w:color="auto"/>
            <w:left w:val="none" w:sz="0" w:space="0" w:color="auto"/>
            <w:bottom w:val="none" w:sz="0" w:space="0" w:color="auto"/>
            <w:right w:val="none" w:sz="0" w:space="0" w:color="auto"/>
          </w:divBdr>
        </w:div>
        <w:div w:id="1639265610">
          <w:marLeft w:val="2016"/>
          <w:marRight w:val="0"/>
          <w:marTop w:val="0"/>
          <w:marBottom w:val="0"/>
          <w:divBdr>
            <w:top w:val="none" w:sz="0" w:space="0" w:color="auto"/>
            <w:left w:val="none" w:sz="0" w:space="0" w:color="auto"/>
            <w:bottom w:val="none" w:sz="0" w:space="0" w:color="auto"/>
            <w:right w:val="none" w:sz="0" w:space="0" w:color="auto"/>
          </w:divBdr>
        </w:div>
      </w:divsChild>
    </w:div>
    <w:div w:id="1584608470">
      <w:bodyDiv w:val="1"/>
      <w:marLeft w:val="0"/>
      <w:marRight w:val="0"/>
      <w:marTop w:val="0"/>
      <w:marBottom w:val="0"/>
      <w:divBdr>
        <w:top w:val="none" w:sz="0" w:space="0" w:color="auto"/>
        <w:left w:val="none" w:sz="0" w:space="0" w:color="auto"/>
        <w:bottom w:val="none" w:sz="0" w:space="0" w:color="auto"/>
        <w:right w:val="none" w:sz="0" w:space="0" w:color="auto"/>
      </w:divBdr>
      <w:divsChild>
        <w:div w:id="249507529">
          <w:marLeft w:val="1526"/>
          <w:marRight w:val="0"/>
          <w:marTop w:val="0"/>
          <w:marBottom w:val="0"/>
          <w:divBdr>
            <w:top w:val="none" w:sz="0" w:space="0" w:color="auto"/>
            <w:left w:val="none" w:sz="0" w:space="0" w:color="auto"/>
            <w:bottom w:val="none" w:sz="0" w:space="0" w:color="auto"/>
            <w:right w:val="none" w:sz="0" w:space="0" w:color="auto"/>
          </w:divBdr>
        </w:div>
        <w:div w:id="269244389">
          <w:marLeft w:val="576"/>
          <w:marRight w:val="0"/>
          <w:marTop w:val="0"/>
          <w:marBottom w:val="0"/>
          <w:divBdr>
            <w:top w:val="none" w:sz="0" w:space="0" w:color="auto"/>
            <w:left w:val="none" w:sz="0" w:space="0" w:color="auto"/>
            <w:bottom w:val="none" w:sz="0" w:space="0" w:color="auto"/>
            <w:right w:val="none" w:sz="0" w:space="0" w:color="auto"/>
          </w:divBdr>
        </w:div>
        <w:div w:id="1536849832">
          <w:marLeft w:val="1526"/>
          <w:marRight w:val="0"/>
          <w:marTop w:val="0"/>
          <w:marBottom w:val="0"/>
          <w:divBdr>
            <w:top w:val="none" w:sz="0" w:space="0" w:color="auto"/>
            <w:left w:val="none" w:sz="0" w:space="0" w:color="auto"/>
            <w:bottom w:val="none" w:sz="0" w:space="0" w:color="auto"/>
            <w:right w:val="none" w:sz="0" w:space="0" w:color="auto"/>
          </w:divBdr>
        </w:div>
      </w:divsChild>
    </w:div>
    <w:div w:id="1639069008">
      <w:bodyDiv w:val="1"/>
      <w:marLeft w:val="0"/>
      <w:marRight w:val="0"/>
      <w:marTop w:val="0"/>
      <w:marBottom w:val="0"/>
      <w:divBdr>
        <w:top w:val="none" w:sz="0" w:space="0" w:color="auto"/>
        <w:left w:val="none" w:sz="0" w:space="0" w:color="auto"/>
        <w:bottom w:val="none" w:sz="0" w:space="0" w:color="auto"/>
        <w:right w:val="none" w:sz="0" w:space="0" w:color="auto"/>
      </w:divBdr>
      <w:divsChild>
        <w:div w:id="312225785">
          <w:marLeft w:val="1296"/>
          <w:marRight w:val="0"/>
          <w:marTop w:val="100"/>
          <w:marBottom w:val="0"/>
          <w:divBdr>
            <w:top w:val="none" w:sz="0" w:space="0" w:color="auto"/>
            <w:left w:val="none" w:sz="0" w:space="0" w:color="auto"/>
            <w:bottom w:val="none" w:sz="0" w:space="0" w:color="auto"/>
            <w:right w:val="none" w:sz="0" w:space="0" w:color="auto"/>
          </w:divBdr>
        </w:div>
        <w:div w:id="1026370885">
          <w:marLeft w:val="1296"/>
          <w:marRight w:val="0"/>
          <w:marTop w:val="100"/>
          <w:marBottom w:val="0"/>
          <w:divBdr>
            <w:top w:val="none" w:sz="0" w:space="0" w:color="auto"/>
            <w:left w:val="none" w:sz="0" w:space="0" w:color="auto"/>
            <w:bottom w:val="none" w:sz="0" w:space="0" w:color="auto"/>
            <w:right w:val="none" w:sz="0" w:space="0" w:color="auto"/>
          </w:divBdr>
        </w:div>
        <w:div w:id="1123157264">
          <w:marLeft w:val="576"/>
          <w:marRight w:val="0"/>
          <w:marTop w:val="200"/>
          <w:marBottom w:val="0"/>
          <w:divBdr>
            <w:top w:val="none" w:sz="0" w:space="0" w:color="auto"/>
            <w:left w:val="none" w:sz="0" w:space="0" w:color="auto"/>
            <w:bottom w:val="none" w:sz="0" w:space="0" w:color="auto"/>
            <w:right w:val="none" w:sz="0" w:space="0" w:color="auto"/>
          </w:divBdr>
        </w:div>
        <w:div w:id="1220899430">
          <w:marLeft w:val="1296"/>
          <w:marRight w:val="0"/>
          <w:marTop w:val="100"/>
          <w:marBottom w:val="0"/>
          <w:divBdr>
            <w:top w:val="none" w:sz="0" w:space="0" w:color="auto"/>
            <w:left w:val="none" w:sz="0" w:space="0" w:color="auto"/>
            <w:bottom w:val="none" w:sz="0" w:space="0" w:color="auto"/>
            <w:right w:val="none" w:sz="0" w:space="0" w:color="auto"/>
          </w:divBdr>
        </w:div>
        <w:div w:id="1490368210">
          <w:marLeft w:val="1296"/>
          <w:marRight w:val="0"/>
          <w:marTop w:val="100"/>
          <w:marBottom w:val="0"/>
          <w:divBdr>
            <w:top w:val="none" w:sz="0" w:space="0" w:color="auto"/>
            <w:left w:val="none" w:sz="0" w:space="0" w:color="auto"/>
            <w:bottom w:val="none" w:sz="0" w:space="0" w:color="auto"/>
            <w:right w:val="none" w:sz="0" w:space="0" w:color="auto"/>
          </w:divBdr>
        </w:div>
        <w:div w:id="1505899811">
          <w:marLeft w:val="1296"/>
          <w:marRight w:val="0"/>
          <w:marTop w:val="100"/>
          <w:marBottom w:val="0"/>
          <w:divBdr>
            <w:top w:val="none" w:sz="0" w:space="0" w:color="auto"/>
            <w:left w:val="none" w:sz="0" w:space="0" w:color="auto"/>
            <w:bottom w:val="none" w:sz="0" w:space="0" w:color="auto"/>
            <w:right w:val="none" w:sz="0" w:space="0" w:color="auto"/>
          </w:divBdr>
        </w:div>
        <w:div w:id="1784230510">
          <w:marLeft w:val="1296"/>
          <w:marRight w:val="0"/>
          <w:marTop w:val="100"/>
          <w:marBottom w:val="0"/>
          <w:divBdr>
            <w:top w:val="none" w:sz="0" w:space="0" w:color="auto"/>
            <w:left w:val="none" w:sz="0" w:space="0" w:color="auto"/>
            <w:bottom w:val="none" w:sz="0" w:space="0" w:color="auto"/>
            <w:right w:val="none" w:sz="0" w:space="0" w:color="auto"/>
          </w:divBdr>
        </w:div>
      </w:divsChild>
    </w:div>
    <w:div w:id="1799252010">
      <w:bodyDiv w:val="1"/>
      <w:marLeft w:val="0"/>
      <w:marRight w:val="0"/>
      <w:marTop w:val="0"/>
      <w:marBottom w:val="0"/>
      <w:divBdr>
        <w:top w:val="none" w:sz="0" w:space="0" w:color="auto"/>
        <w:left w:val="none" w:sz="0" w:space="0" w:color="auto"/>
        <w:bottom w:val="none" w:sz="0" w:space="0" w:color="auto"/>
        <w:right w:val="none" w:sz="0" w:space="0" w:color="auto"/>
      </w:divBdr>
      <w:divsChild>
        <w:div w:id="247010381">
          <w:marLeft w:val="576"/>
          <w:marRight w:val="0"/>
          <w:marTop w:val="0"/>
          <w:marBottom w:val="0"/>
          <w:divBdr>
            <w:top w:val="none" w:sz="0" w:space="0" w:color="auto"/>
            <w:left w:val="none" w:sz="0" w:space="0" w:color="auto"/>
            <w:bottom w:val="none" w:sz="0" w:space="0" w:color="auto"/>
            <w:right w:val="none" w:sz="0" w:space="0" w:color="auto"/>
          </w:divBdr>
        </w:div>
        <w:div w:id="735980747">
          <w:marLeft w:val="1296"/>
          <w:marRight w:val="0"/>
          <w:marTop w:val="0"/>
          <w:marBottom w:val="0"/>
          <w:divBdr>
            <w:top w:val="none" w:sz="0" w:space="0" w:color="auto"/>
            <w:left w:val="none" w:sz="0" w:space="0" w:color="auto"/>
            <w:bottom w:val="none" w:sz="0" w:space="0" w:color="auto"/>
            <w:right w:val="none" w:sz="0" w:space="0" w:color="auto"/>
          </w:divBdr>
        </w:div>
        <w:div w:id="1841920875">
          <w:marLeft w:val="1296"/>
          <w:marRight w:val="0"/>
          <w:marTop w:val="0"/>
          <w:marBottom w:val="0"/>
          <w:divBdr>
            <w:top w:val="none" w:sz="0" w:space="0" w:color="auto"/>
            <w:left w:val="none" w:sz="0" w:space="0" w:color="auto"/>
            <w:bottom w:val="none" w:sz="0" w:space="0" w:color="auto"/>
            <w:right w:val="none" w:sz="0" w:space="0" w:color="auto"/>
          </w:divBdr>
        </w:div>
        <w:div w:id="1969359200">
          <w:marLeft w:val="1296"/>
          <w:marRight w:val="0"/>
          <w:marTop w:val="0"/>
          <w:marBottom w:val="0"/>
          <w:divBdr>
            <w:top w:val="none" w:sz="0" w:space="0" w:color="auto"/>
            <w:left w:val="none" w:sz="0" w:space="0" w:color="auto"/>
            <w:bottom w:val="none" w:sz="0" w:space="0" w:color="auto"/>
            <w:right w:val="none" w:sz="0" w:space="0" w:color="auto"/>
          </w:divBdr>
        </w:div>
      </w:divsChild>
    </w:div>
    <w:div w:id="1806391652">
      <w:bodyDiv w:val="1"/>
      <w:marLeft w:val="0"/>
      <w:marRight w:val="0"/>
      <w:marTop w:val="0"/>
      <w:marBottom w:val="0"/>
      <w:divBdr>
        <w:top w:val="none" w:sz="0" w:space="0" w:color="auto"/>
        <w:left w:val="none" w:sz="0" w:space="0" w:color="auto"/>
        <w:bottom w:val="none" w:sz="0" w:space="0" w:color="auto"/>
        <w:right w:val="none" w:sz="0" w:space="0" w:color="auto"/>
      </w:divBdr>
      <w:divsChild>
        <w:div w:id="1710686221">
          <w:marLeft w:val="1296"/>
          <w:marRight w:val="0"/>
          <w:marTop w:val="0"/>
          <w:marBottom w:val="0"/>
          <w:divBdr>
            <w:top w:val="none" w:sz="0" w:space="0" w:color="auto"/>
            <w:left w:val="none" w:sz="0" w:space="0" w:color="auto"/>
            <w:bottom w:val="none" w:sz="0" w:space="0" w:color="auto"/>
            <w:right w:val="none" w:sz="0" w:space="0" w:color="auto"/>
          </w:divBdr>
        </w:div>
      </w:divsChild>
    </w:div>
    <w:div w:id="1810705398">
      <w:bodyDiv w:val="1"/>
      <w:marLeft w:val="0"/>
      <w:marRight w:val="0"/>
      <w:marTop w:val="0"/>
      <w:marBottom w:val="0"/>
      <w:divBdr>
        <w:top w:val="none" w:sz="0" w:space="0" w:color="auto"/>
        <w:left w:val="none" w:sz="0" w:space="0" w:color="auto"/>
        <w:bottom w:val="none" w:sz="0" w:space="0" w:color="auto"/>
        <w:right w:val="none" w:sz="0" w:space="0" w:color="auto"/>
      </w:divBdr>
      <w:divsChild>
        <w:div w:id="132798363">
          <w:marLeft w:val="576"/>
          <w:marRight w:val="0"/>
          <w:marTop w:val="0"/>
          <w:marBottom w:val="0"/>
          <w:divBdr>
            <w:top w:val="none" w:sz="0" w:space="0" w:color="auto"/>
            <w:left w:val="none" w:sz="0" w:space="0" w:color="auto"/>
            <w:bottom w:val="none" w:sz="0" w:space="0" w:color="auto"/>
            <w:right w:val="none" w:sz="0" w:space="0" w:color="auto"/>
          </w:divBdr>
        </w:div>
      </w:divsChild>
    </w:div>
    <w:div w:id="1889490487">
      <w:bodyDiv w:val="1"/>
      <w:marLeft w:val="0"/>
      <w:marRight w:val="0"/>
      <w:marTop w:val="0"/>
      <w:marBottom w:val="0"/>
      <w:divBdr>
        <w:top w:val="none" w:sz="0" w:space="0" w:color="auto"/>
        <w:left w:val="none" w:sz="0" w:space="0" w:color="auto"/>
        <w:bottom w:val="none" w:sz="0" w:space="0" w:color="auto"/>
        <w:right w:val="none" w:sz="0" w:space="0" w:color="auto"/>
      </w:divBdr>
      <w:divsChild>
        <w:div w:id="1079593111">
          <w:marLeft w:val="1296"/>
          <w:marRight w:val="0"/>
          <w:marTop w:val="0"/>
          <w:marBottom w:val="0"/>
          <w:divBdr>
            <w:top w:val="none" w:sz="0" w:space="0" w:color="auto"/>
            <w:left w:val="none" w:sz="0" w:space="0" w:color="auto"/>
            <w:bottom w:val="none" w:sz="0" w:space="0" w:color="auto"/>
            <w:right w:val="none" w:sz="0" w:space="0" w:color="auto"/>
          </w:divBdr>
        </w:div>
        <w:div w:id="1430924732">
          <w:marLeft w:val="1296"/>
          <w:marRight w:val="0"/>
          <w:marTop w:val="0"/>
          <w:marBottom w:val="0"/>
          <w:divBdr>
            <w:top w:val="none" w:sz="0" w:space="0" w:color="auto"/>
            <w:left w:val="none" w:sz="0" w:space="0" w:color="auto"/>
            <w:bottom w:val="none" w:sz="0" w:space="0" w:color="auto"/>
            <w:right w:val="none" w:sz="0" w:space="0" w:color="auto"/>
          </w:divBdr>
        </w:div>
        <w:div w:id="1469198973">
          <w:marLeft w:val="1296"/>
          <w:marRight w:val="0"/>
          <w:marTop w:val="0"/>
          <w:marBottom w:val="0"/>
          <w:divBdr>
            <w:top w:val="none" w:sz="0" w:space="0" w:color="auto"/>
            <w:left w:val="none" w:sz="0" w:space="0" w:color="auto"/>
            <w:bottom w:val="none" w:sz="0" w:space="0" w:color="auto"/>
            <w:right w:val="none" w:sz="0" w:space="0" w:color="auto"/>
          </w:divBdr>
        </w:div>
        <w:div w:id="1817409915">
          <w:marLeft w:val="1296"/>
          <w:marRight w:val="0"/>
          <w:marTop w:val="0"/>
          <w:marBottom w:val="0"/>
          <w:divBdr>
            <w:top w:val="none" w:sz="0" w:space="0" w:color="auto"/>
            <w:left w:val="none" w:sz="0" w:space="0" w:color="auto"/>
            <w:bottom w:val="none" w:sz="0" w:space="0" w:color="auto"/>
            <w:right w:val="none" w:sz="0" w:space="0" w:color="auto"/>
          </w:divBdr>
        </w:div>
      </w:divsChild>
    </w:div>
    <w:div w:id="1943344735">
      <w:bodyDiv w:val="1"/>
      <w:marLeft w:val="0"/>
      <w:marRight w:val="0"/>
      <w:marTop w:val="0"/>
      <w:marBottom w:val="0"/>
      <w:divBdr>
        <w:top w:val="none" w:sz="0" w:space="0" w:color="auto"/>
        <w:left w:val="none" w:sz="0" w:space="0" w:color="auto"/>
        <w:bottom w:val="none" w:sz="0" w:space="0" w:color="auto"/>
        <w:right w:val="none" w:sz="0" w:space="0" w:color="auto"/>
      </w:divBdr>
      <w:divsChild>
        <w:div w:id="279999626">
          <w:marLeft w:val="1296"/>
          <w:marRight w:val="0"/>
          <w:marTop w:val="0"/>
          <w:marBottom w:val="0"/>
          <w:divBdr>
            <w:top w:val="none" w:sz="0" w:space="0" w:color="auto"/>
            <w:left w:val="none" w:sz="0" w:space="0" w:color="auto"/>
            <w:bottom w:val="none" w:sz="0" w:space="0" w:color="auto"/>
            <w:right w:val="none" w:sz="0" w:space="0" w:color="auto"/>
          </w:divBdr>
        </w:div>
        <w:div w:id="601568294">
          <w:marLeft w:val="1296"/>
          <w:marRight w:val="0"/>
          <w:marTop w:val="0"/>
          <w:marBottom w:val="0"/>
          <w:divBdr>
            <w:top w:val="none" w:sz="0" w:space="0" w:color="auto"/>
            <w:left w:val="none" w:sz="0" w:space="0" w:color="auto"/>
            <w:bottom w:val="none" w:sz="0" w:space="0" w:color="auto"/>
            <w:right w:val="none" w:sz="0" w:space="0" w:color="auto"/>
          </w:divBdr>
        </w:div>
        <w:div w:id="2054771404">
          <w:marLeft w:val="1296"/>
          <w:marRight w:val="0"/>
          <w:marTop w:val="0"/>
          <w:marBottom w:val="0"/>
          <w:divBdr>
            <w:top w:val="none" w:sz="0" w:space="0" w:color="auto"/>
            <w:left w:val="none" w:sz="0" w:space="0" w:color="auto"/>
            <w:bottom w:val="none" w:sz="0" w:space="0" w:color="auto"/>
            <w:right w:val="none" w:sz="0" w:space="0" w:color="auto"/>
          </w:divBdr>
        </w:div>
      </w:divsChild>
    </w:div>
    <w:div w:id="2111075947">
      <w:bodyDiv w:val="1"/>
      <w:marLeft w:val="0"/>
      <w:marRight w:val="0"/>
      <w:marTop w:val="0"/>
      <w:marBottom w:val="0"/>
      <w:divBdr>
        <w:top w:val="none" w:sz="0" w:space="0" w:color="auto"/>
        <w:left w:val="none" w:sz="0" w:space="0" w:color="auto"/>
        <w:bottom w:val="none" w:sz="0" w:space="0" w:color="auto"/>
        <w:right w:val="none" w:sz="0" w:space="0" w:color="auto"/>
      </w:divBdr>
      <w:divsChild>
        <w:div w:id="626200042">
          <w:marLeft w:val="1296"/>
          <w:marRight w:val="0"/>
          <w:marTop w:val="0"/>
          <w:marBottom w:val="0"/>
          <w:divBdr>
            <w:top w:val="none" w:sz="0" w:space="0" w:color="auto"/>
            <w:left w:val="none" w:sz="0" w:space="0" w:color="auto"/>
            <w:bottom w:val="none" w:sz="0" w:space="0" w:color="auto"/>
            <w:right w:val="none" w:sz="0" w:space="0" w:color="auto"/>
          </w:divBdr>
        </w:div>
        <w:div w:id="950092991">
          <w:marLeft w:val="129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ac/evaluation/daccriteriaforevaluatingdevelopmentassistanc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bb3dd9-7716-4ca1-b6cc-2fb97cc232b2">
      <Terms xmlns="http://schemas.microsoft.com/office/infopath/2007/PartnerControls"/>
    </lcf76f155ced4ddcb4097134ff3c332f>
    <CurrentProject xmlns="6bbb3dd9-7716-4ca1-b6cc-2fb97cc232b2">true</CurrentProject>
    <TaxCatchAll xmlns="8479d073-124d-4fab-9172-72a259666d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D55D72DC206446852EC8CE0569046D" ma:contentTypeVersion="28" ma:contentTypeDescription="Create a new document." ma:contentTypeScope="" ma:versionID="c7ebbac233b8502b46637f65a9b4c876">
  <xsd:schema xmlns:xsd="http://www.w3.org/2001/XMLSchema" xmlns:xs="http://www.w3.org/2001/XMLSchema" xmlns:p="http://schemas.microsoft.com/office/2006/metadata/properties" xmlns:ns2="6bbb3dd9-7716-4ca1-b6cc-2fb97cc232b2" xmlns:ns3="8479d073-124d-4fab-9172-72a259666d8b" targetNamespace="http://schemas.microsoft.com/office/2006/metadata/properties" ma:root="true" ma:fieldsID="b33d34fb812fa2a53b6846a61cb14287" ns2:_="" ns3:_="">
    <xsd:import namespace="6bbb3dd9-7716-4ca1-b6cc-2fb97cc232b2"/>
    <xsd:import namespace="8479d073-124d-4fab-9172-72a259666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CurrentProjec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b3dd9-7716-4ca1-b6cc-2fb97cc23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CurrentProject" ma:index="19" nillable="true" ma:displayName="Current Project" ma:default="1" ma:description="Filter so it is possible to view All or current projects only" ma:format="Dropdown" ma:indexed="true" ma:internalName="CurrentProject">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1d2ab2-8d4f-44c7-90a1-5ae6f42df6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9d073-124d-4fab-9172-72a259666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02f45-c4b2-4f3c-8972-816d495cb903}" ma:internalName="TaxCatchAll" ma:showField="CatchAllData" ma:web="8479d073-124d-4fab-9172-72a259666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49F0B-6A33-4EAE-9410-F16FD7995A70}">
  <ds:schemaRefs>
    <ds:schemaRef ds:uri="http://schemas.openxmlformats.org/officeDocument/2006/bibliography"/>
  </ds:schemaRefs>
</ds:datastoreItem>
</file>

<file path=customXml/itemProps2.xml><?xml version="1.0" encoding="utf-8"?>
<ds:datastoreItem xmlns:ds="http://schemas.openxmlformats.org/officeDocument/2006/customXml" ds:itemID="{A6496432-5A00-44CE-85C7-88DB35FB5A4C}">
  <ds:schemaRefs>
    <ds:schemaRef ds:uri="http://schemas.microsoft.com/office/2006/metadata/properties"/>
    <ds:schemaRef ds:uri="http://schemas.microsoft.com/office/2006/documentManagement/types"/>
    <ds:schemaRef ds:uri="http://purl.org/dc/terms/"/>
    <ds:schemaRef ds:uri="8479d073-124d-4fab-9172-72a259666d8b"/>
    <ds:schemaRef ds:uri="http://schemas.openxmlformats.org/package/2006/metadata/core-properties"/>
    <ds:schemaRef ds:uri="http://purl.org/dc/elements/1.1/"/>
    <ds:schemaRef ds:uri="6bbb3dd9-7716-4ca1-b6cc-2fb97cc232b2"/>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463A1F5-33A2-4242-A70D-AF952A26A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b3dd9-7716-4ca1-b6cc-2fb97cc232b2"/>
    <ds:schemaRef ds:uri="8479d073-124d-4fab-9172-72a25966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D3584-90B6-49BC-8CF5-888FC636E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18553</Words>
  <Characters>105013</Characters>
  <Application>Microsoft Office Word</Application>
  <DocSecurity>4</DocSecurity>
  <Lines>1944</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123149</CharactersWithSpaces>
  <SharedDoc>false</SharedDoc>
  <HLinks>
    <vt:vector size="174" baseType="variant">
      <vt:variant>
        <vt:i4>1507383</vt:i4>
      </vt:variant>
      <vt:variant>
        <vt:i4>191</vt:i4>
      </vt:variant>
      <vt:variant>
        <vt:i4>0</vt:i4>
      </vt:variant>
      <vt:variant>
        <vt:i4>5</vt:i4>
      </vt:variant>
      <vt:variant>
        <vt:lpwstr/>
      </vt:variant>
      <vt:variant>
        <vt:lpwstr>_Toc165140770</vt:lpwstr>
      </vt:variant>
      <vt:variant>
        <vt:i4>1441847</vt:i4>
      </vt:variant>
      <vt:variant>
        <vt:i4>185</vt:i4>
      </vt:variant>
      <vt:variant>
        <vt:i4>0</vt:i4>
      </vt:variant>
      <vt:variant>
        <vt:i4>5</vt:i4>
      </vt:variant>
      <vt:variant>
        <vt:lpwstr/>
      </vt:variant>
      <vt:variant>
        <vt:lpwstr>_Toc165140769</vt:lpwstr>
      </vt:variant>
      <vt:variant>
        <vt:i4>1441847</vt:i4>
      </vt:variant>
      <vt:variant>
        <vt:i4>179</vt:i4>
      </vt:variant>
      <vt:variant>
        <vt:i4>0</vt:i4>
      </vt:variant>
      <vt:variant>
        <vt:i4>5</vt:i4>
      </vt:variant>
      <vt:variant>
        <vt:lpwstr/>
      </vt:variant>
      <vt:variant>
        <vt:lpwstr>_Toc165140768</vt:lpwstr>
      </vt:variant>
      <vt:variant>
        <vt:i4>1441847</vt:i4>
      </vt:variant>
      <vt:variant>
        <vt:i4>173</vt:i4>
      </vt:variant>
      <vt:variant>
        <vt:i4>0</vt:i4>
      </vt:variant>
      <vt:variant>
        <vt:i4>5</vt:i4>
      </vt:variant>
      <vt:variant>
        <vt:lpwstr/>
      </vt:variant>
      <vt:variant>
        <vt:lpwstr>_Toc165140767</vt:lpwstr>
      </vt:variant>
      <vt:variant>
        <vt:i4>1441847</vt:i4>
      </vt:variant>
      <vt:variant>
        <vt:i4>167</vt:i4>
      </vt:variant>
      <vt:variant>
        <vt:i4>0</vt:i4>
      </vt:variant>
      <vt:variant>
        <vt:i4>5</vt:i4>
      </vt:variant>
      <vt:variant>
        <vt:lpwstr/>
      </vt:variant>
      <vt:variant>
        <vt:lpwstr>_Toc165140766</vt:lpwstr>
      </vt:variant>
      <vt:variant>
        <vt:i4>1441847</vt:i4>
      </vt:variant>
      <vt:variant>
        <vt:i4>161</vt:i4>
      </vt:variant>
      <vt:variant>
        <vt:i4>0</vt:i4>
      </vt:variant>
      <vt:variant>
        <vt:i4>5</vt:i4>
      </vt:variant>
      <vt:variant>
        <vt:lpwstr/>
      </vt:variant>
      <vt:variant>
        <vt:lpwstr>_Toc165140765</vt:lpwstr>
      </vt:variant>
      <vt:variant>
        <vt:i4>1441847</vt:i4>
      </vt:variant>
      <vt:variant>
        <vt:i4>155</vt:i4>
      </vt:variant>
      <vt:variant>
        <vt:i4>0</vt:i4>
      </vt:variant>
      <vt:variant>
        <vt:i4>5</vt:i4>
      </vt:variant>
      <vt:variant>
        <vt:lpwstr/>
      </vt:variant>
      <vt:variant>
        <vt:lpwstr>_Toc165140764</vt:lpwstr>
      </vt:variant>
      <vt:variant>
        <vt:i4>1441847</vt:i4>
      </vt:variant>
      <vt:variant>
        <vt:i4>149</vt:i4>
      </vt:variant>
      <vt:variant>
        <vt:i4>0</vt:i4>
      </vt:variant>
      <vt:variant>
        <vt:i4>5</vt:i4>
      </vt:variant>
      <vt:variant>
        <vt:lpwstr/>
      </vt:variant>
      <vt:variant>
        <vt:lpwstr>_Toc165140763</vt:lpwstr>
      </vt:variant>
      <vt:variant>
        <vt:i4>1441847</vt:i4>
      </vt:variant>
      <vt:variant>
        <vt:i4>143</vt:i4>
      </vt:variant>
      <vt:variant>
        <vt:i4>0</vt:i4>
      </vt:variant>
      <vt:variant>
        <vt:i4>5</vt:i4>
      </vt:variant>
      <vt:variant>
        <vt:lpwstr/>
      </vt:variant>
      <vt:variant>
        <vt:lpwstr>_Toc165140762</vt:lpwstr>
      </vt:variant>
      <vt:variant>
        <vt:i4>1310775</vt:i4>
      </vt:variant>
      <vt:variant>
        <vt:i4>134</vt:i4>
      </vt:variant>
      <vt:variant>
        <vt:i4>0</vt:i4>
      </vt:variant>
      <vt:variant>
        <vt:i4>5</vt:i4>
      </vt:variant>
      <vt:variant>
        <vt:lpwstr/>
      </vt:variant>
      <vt:variant>
        <vt:lpwstr>_Toc165140748</vt:lpwstr>
      </vt:variant>
      <vt:variant>
        <vt:i4>1310775</vt:i4>
      </vt:variant>
      <vt:variant>
        <vt:i4>128</vt:i4>
      </vt:variant>
      <vt:variant>
        <vt:i4>0</vt:i4>
      </vt:variant>
      <vt:variant>
        <vt:i4>5</vt:i4>
      </vt:variant>
      <vt:variant>
        <vt:lpwstr/>
      </vt:variant>
      <vt:variant>
        <vt:lpwstr>_Toc165140747</vt:lpwstr>
      </vt:variant>
      <vt:variant>
        <vt:i4>1310775</vt:i4>
      </vt:variant>
      <vt:variant>
        <vt:i4>122</vt:i4>
      </vt:variant>
      <vt:variant>
        <vt:i4>0</vt:i4>
      </vt:variant>
      <vt:variant>
        <vt:i4>5</vt:i4>
      </vt:variant>
      <vt:variant>
        <vt:lpwstr/>
      </vt:variant>
      <vt:variant>
        <vt:lpwstr>_Toc165140746</vt:lpwstr>
      </vt:variant>
      <vt:variant>
        <vt:i4>1310775</vt:i4>
      </vt:variant>
      <vt:variant>
        <vt:i4>116</vt:i4>
      </vt:variant>
      <vt:variant>
        <vt:i4>0</vt:i4>
      </vt:variant>
      <vt:variant>
        <vt:i4>5</vt:i4>
      </vt:variant>
      <vt:variant>
        <vt:lpwstr/>
      </vt:variant>
      <vt:variant>
        <vt:lpwstr>_Toc165140745</vt:lpwstr>
      </vt:variant>
      <vt:variant>
        <vt:i4>1310775</vt:i4>
      </vt:variant>
      <vt:variant>
        <vt:i4>110</vt:i4>
      </vt:variant>
      <vt:variant>
        <vt:i4>0</vt:i4>
      </vt:variant>
      <vt:variant>
        <vt:i4>5</vt:i4>
      </vt:variant>
      <vt:variant>
        <vt:lpwstr/>
      </vt:variant>
      <vt:variant>
        <vt:lpwstr>_Toc165140744</vt:lpwstr>
      </vt:variant>
      <vt:variant>
        <vt:i4>1310775</vt:i4>
      </vt:variant>
      <vt:variant>
        <vt:i4>104</vt:i4>
      </vt:variant>
      <vt:variant>
        <vt:i4>0</vt:i4>
      </vt:variant>
      <vt:variant>
        <vt:i4>5</vt:i4>
      </vt:variant>
      <vt:variant>
        <vt:lpwstr/>
      </vt:variant>
      <vt:variant>
        <vt:lpwstr>_Toc165140743</vt:lpwstr>
      </vt:variant>
      <vt:variant>
        <vt:i4>1310775</vt:i4>
      </vt:variant>
      <vt:variant>
        <vt:i4>98</vt:i4>
      </vt:variant>
      <vt:variant>
        <vt:i4>0</vt:i4>
      </vt:variant>
      <vt:variant>
        <vt:i4>5</vt:i4>
      </vt:variant>
      <vt:variant>
        <vt:lpwstr/>
      </vt:variant>
      <vt:variant>
        <vt:lpwstr>_Toc165140742</vt:lpwstr>
      </vt:variant>
      <vt:variant>
        <vt:i4>1310775</vt:i4>
      </vt:variant>
      <vt:variant>
        <vt:i4>92</vt:i4>
      </vt:variant>
      <vt:variant>
        <vt:i4>0</vt:i4>
      </vt:variant>
      <vt:variant>
        <vt:i4>5</vt:i4>
      </vt:variant>
      <vt:variant>
        <vt:lpwstr/>
      </vt:variant>
      <vt:variant>
        <vt:lpwstr>_Toc165140741</vt:lpwstr>
      </vt:variant>
      <vt:variant>
        <vt:i4>1310775</vt:i4>
      </vt:variant>
      <vt:variant>
        <vt:i4>86</vt:i4>
      </vt:variant>
      <vt:variant>
        <vt:i4>0</vt:i4>
      </vt:variant>
      <vt:variant>
        <vt:i4>5</vt:i4>
      </vt:variant>
      <vt:variant>
        <vt:lpwstr/>
      </vt:variant>
      <vt:variant>
        <vt:lpwstr>_Toc165140740</vt:lpwstr>
      </vt:variant>
      <vt:variant>
        <vt:i4>1245239</vt:i4>
      </vt:variant>
      <vt:variant>
        <vt:i4>80</vt:i4>
      </vt:variant>
      <vt:variant>
        <vt:i4>0</vt:i4>
      </vt:variant>
      <vt:variant>
        <vt:i4>5</vt:i4>
      </vt:variant>
      <vt:variant>
        <vt:lpwstr/>
      </vt:variant>
      <vt:variant>
        <vt:lpwstr>_Toc165140739</vt:lpwstr>
      </vt:variant>
      <vt:variant>
        <vt:i4>1245239</vt:i4>
      </vt:variant>
      <vt:variant>
        <vt:i4>74</vt:i4>
      </vt:variant>
      <vt:variant>
        <vt:i4>0</vt:i4>
      </vt:variant>
      <vt:variant>
        <vt:i4>5</vt:i4>
      </vt:variant>
      <vt:variant>
        <vt:lpwstr/>
      </vt:variant>
      <vt:variant>
        <vt:lpwstr>_Toc165140738</vt:lpwstr>
      </vt:variant>
      <vt:variant>
        <vt:i4>1245239</vt:i4>
      </vt:variant>
      <vt:variant>
        <vt:i4>68</vt:i4>
      </vt:variant>
      <vt:variant>
        <vt:i4>0</vt:i4>
      </vt:variant>
      <vt:variant>
        <vt:i4>5</vt:i4>
      </vt:variant>
      <vt:variant>
        <vt:lpwstr/>
      </vt:variant>
      <vt:variant>
        <vt:lpwstr>_Toc165140737</vt:lpwstr>
      </vt:variant>
      <vt:variant>
        <vt:i4>1245239</vt:i4>
      </vt:variant>
      <vt:variant>
        <vt:i4>62</vt:i4>
      </vt:variant>
      <vt:variant>
        <vt:i4>0</vt:i4>
      </vt:variant>
      <vt:variant>
        <vt:i4>5</vt:i4>
      </vt:variant>
      <vt:variant>
        <vt:lpwstr/>
      </vt:variant>
      <vt:variant>
        <vt:lpwstr>_Toc165140736</vt:lpwstr>
      </vt:variant>
      <vt:variant>
        <vt:i4>1245239</vt:i4>
      </vt:variant>
      <vt:variant>
        <vt:i4>56</vt:i4>
      </vt:variant>
      <vt:variant>
        <vt:i4>0</vt:i4>
      </vt:variant>
      <vt:variant>
        <vt:i4>5</vt:i4>
      </vt:variant>
      <vt:variant>
        <vt:lpwstr/>
      </vt:variant>
      <vt:variant>
        <vt:lpwstr>_Toc165140735</vt:lpwstr>
      </vt:variant>
      <vt:variant>
        <vt:i4>1245239</vt:i4>
      </vt:variant>
      <vt:variant>
        <vt:i4>50</vt:i4>
      </vt:variant>
      <vt:variant>
        <vt:i4>0</vt:i4>
      </vt:variant>
      <vt:variant>
        <vt:i4>5</vt:i4>
      </vt:variant>
      <vt:variant>
        <vt:lpwstr/>
      </vt:variant>
      <vt:variant>
        <vt:lpwstr>_Toc165140734</vt:lpwstr>
      </vt:variant>
      <vt:variant>
        <vt:i4>1245239</vt:i4>
      </vt:variant>
      <vt:variant>
        <vt:i4>44</vt:i4>
      </vt:variant>
      <vt:variant>
        <vt:i4>0</vt:i4>
      </vt:variant>
      <vt:variant>
        <vt:i4>5</vt:i4>
      </vt:variant>
      <vt:variant>
        <vt:lpwstr/>
      </vt:variant>
      <vt:variant>
        <vt:lpwstr>_Toc165140733</vt:lpwstr>
      </vt:variant>
      <vt:variant>
        <vt:i4>1245239</vt:i4>
      </vt:variant>
      <vt:variant>
        <vt:i4>38</vt:i4>
      </vt:variant>
      <vt:variant>
        <vt:i4>0</vt:i4>
      </vt:variant>
      <vt:variant>
        <vt:i4>5</vt:i4>
      </vt:variant>
      <vt:variant>
        <vt:lpwstr/>
      </vt:variant>
      <vt:variant>
        <vt:lpwstr>_Toc165140731</vt:lpwstr>
      </vt:variant>
      <vt:variant>
        <vt:i4>1179703</vt:i4>
      </vt:variant>
      <vt:variant>
        <vt:i4>32</vt:i4>
      </vt:variant>
      <vt:variant>
        <vt:i4>0</vt:i4>
      </vt:variant>
      <vt:variant>
        <vt:i4>5</vt:i4>
      </vt:variant>
      <vt:variant>
        <vt:lpwstr/>
      </vt:variant>
      <vt:variant>
        <vt:lpwstr>_Toc165140727</vt:lpwstr>
      </vt:variant>
      <vt:variant>
        <vt:i4>5242889</vt:i4>
      </vt:variant>
      <vt:variant>
        <vt:i4>0</vt:i4>
      </vt:variant>
      <vt:variant>
        <vt:i4>0</vt:i4>
      </vt:variant>
      <vt:variant>
        <vt:i4>5</vt:i4>
      </vt:variant>
      <vt:variant>
        <vt:lpwstr>https://www.oecd.org/dac/evaluation/daccriteriaforevaluatingdevelopmentassistance.htm</vt:lpwstr>
      </vt:variant>
      <vt:variant>
        <vt:lpwstr/>
      </vt:variant>
      <vt:variant>
        <vt:i4>8323081</vt:i4>
      </vt:variant>
      <vt:variant>
        <vt:i4>0</vt:i4>
      </vt:variant>
      <vt:variant>
        <vt:i4>0</vt:i4>
      </vt:variant>
      <vt:variant>
        <vt:i4>5</vt:i4>
      </vt:variant>
      <vt:variant>
        <vt:lpwstr>mailto:Samantha.Bell2@dfat.gov.au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 Islands Infrastructure Program Mid Term Review</dc:title>
  <dc:subject/>
  <dc:creator>Patrick Baggoley</dc:creator>
  <cp:keywords>[SEC=OFFICIAL]</cp:keywords>
  <dc:description/>
  <cp:lastModifiedBy>Patrick Baggoley</cp:lastModifiedBy>
  <cp:revision>2</cp:revision>
  <cp:lastPrinted>2024-01-23T02:03:00Z</cp:lastPrinted>
  <dcterms:created xsi:type="dcterms:W3CDTF">2024-08-26T07:01:00Z</dcterms:created>
  <dcterms:modified xsi:type="dcterms:W3CDTF">2024-08-26T07:01:00Z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0x010100EBD55D72DC206446852EC8CE0569046D</vt:lpwstr>
  </property>
  <property fmtid="{D5CDD505-2E9C-101B-9397-08002B2CF9AE}" pid="3" name="AuthorIds_UIVersion_1024">
    <vt:lpwstr>277</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2024-01-02T01:11:30Z</vt:lpwstr>
  </property>
  <property fmtid="{D5CDD505-2E9C-101B-9397-08002B2CF9AE}" pid="17" name="PM_Markers">
    <vt:lpwstr/>
  </property>
  <property fmtid="{D5CDD505-2E9C-101B-9397-08002B2CF9AE}" pid="18" name="PM_InsertionValue">
    <vt:lpwstr>OFFICIAL</vt:lpwstr>
  </property>
  <property fmtid="{D5CDD505-2E9C-101B-9397-08002B2CF9AE}" pid="19" name="PM_DisplayValueSecClassificationWithQualifier">
    <vt:lpwstr>OFFICIAL</vt:lpwstr>
  </property>
  <property fmtid="{D5CDD505-2E9C-101B-9397-08002B2CF9AE}" pid="20" name="PM_Originating_FileId">
    <vt:lpwstr>4E340028B13A4170A0630C060B707ED1</vt:lpwstr>
  </property>
  <property fmtid="{D5CDD505-2E9C-101B-9397-08002B2CF9AE}" pid="21" name="PM_ProtectiveMarkingValue_Footer">
    <vt:lpwstr>OFFICIAL</vt:lpwstr>
  </property>
  <property fmtid="{D5CDD505-2E9C-101B-9397-08002B2CF9AE}" pid="22" name="PM_ProtectiveMarkingImage_Header">
    <vt:lpwstr>C:\Program Files (x86)\Common Files\janusNET Shared\janusSEAL\Images\DocumentSlashBlue.png</vt:lpwstr>
  </property>
  <property fmtid="{D5CDD505-2E9C-101B-9397-08002B2CF9AE}" pid="23" name="PM_ProtectiveMarkingImage_Footer">
    <vt:lpwstr>C:\Program Files (x86)\Common Files\janusNET Shared\janusSEAL\Images\DocumentSlashBlue.png</vt:lpwstr>
  </property>
  <property fmtid="{D5CDD505-2E9C-101B-9397-08002B2CF9AE}" pid="24" name="PM_Display">
    <vt:lpwstr>OFFICIAL</vt:lpwstr>
  </property>
  <property fmtid="{D5CDD505-2E9C-101B-9397-08002B2CF9AE}" pid="25" name="PM_OriginatorDomainName_SHA256">
    <vt:lpwstr>6F3591835F3B2A8A025B00B5BA6418010DA3A17C9C26EA9C049FFD28039489A2</vt:lpwstr>
  </property>
  <property fmtid="{D5CDD505-2E9C-101B-9397-08002B2CF9AE}" pid="26" name="PMUuid">
    <vt:lpwstr>v=2022.2;d=gov.au;g=46DD6D7C-8107-577B-BC6E-F348953B2E44</vt:lpwstr>
  </property>
  <property fmtid="{D5CDD505-2E9C-101B-9397-08002B2CF9AE}" pid="27" name="PM_Hash_Version">
    <vt:lpwstr>2022.1</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Originator_Hash_SHA1">
    <vt:lpwstr>E5329D78ADFF18985C404F3A4015F7B7C209C4C5</vt:lpwstr>
  </property>
  <property fmtid="{D5CDD505-2E9C-101B-9397-08002B2CF9AE}" pid="31" name="PM_OriginatorUserAccountName_SHA256">
    <vt:lpwstr>C427463A240001568B1E728057080C091949066E05DD342FA6B5B9F6FF33F8D6</vt:lpwstr>
  </property>
  <property fmtid="{D5CDD505-2E9C-101B-9397-08002B2CF9AE}" pid="32" name="PMHMAC">
    <vt:lpwstr>v=2022.1;a=SHA256;h=12DB0B99829DA22BA2DCC0A950064FF92188A7416F42D049677A847DEDA7E33D</vt:lpwstr>
  </property>
  <property fmtid="{D5CDD505-2E9C-101B-9397-08002B2CF9AE}" pid="33" name="PM_Hash_Salt_Prev">
    <vt:lpwstr>3DEB7B6180B016D9B5D2E746766D319C</vt:lpwstr>
  </property>
  <property fmtid="{D5CDD505-2E9C-101B-9397-08002B2CF9AE}" pid="34" name="PM_Hash_Salt">
    <vt:lpwstr>1EC442C6A3B96B27A3AA8E5C0DE148E3</vt:lpwstr>
  </property>
  <property fmtid="{D5CDD505-2E9C-101B-9397-08002B2CF9AE}" pid="35" name="PM_Hash_SHA1">
    <vt:lpwstr>78BEABA0D4B55E25367EE31FF6179D39B4C5DBD2</vt:lpwstr>
  </property>
</Properties>
</file>