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1.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1.xml" ContentType="application/vnd.openxmlformats-officedocument.wordprocessingml.header+xml"/>
  <Override PartName="/word/header10.xml" ContentType="application/vnd.openxmlformats-officedocument.wordprocessingml.header+xml"/>
  <Override PartName="/word/header9.xml" ContentType="application/vnd.openxmlformats-officedocument.wordprocessingml.header+xml"/>
  <Override PartName="/word/header19.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0.xml" ContentType="application/vnd.openxmlformats-officedocument.wordprocessingml.head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Layout w:type="fixed"/>
        <w:tblLook w:val="0000" w:firstRow="0" w:lastRow="0" w:firstColumn="0" w:lastColumn="0" w:noHBand="0" w:noVBand="0"/>
      </w:tblPr>
      <w:tblGrid>
        <w:gridCol w:w="1951"/>
        <w:gridCol w:w="7088"/>
      </w:tblGrid>
      <w:tr w:rsidR="00664B96" w:rsidRPr="003D1B5E" w:rsidTr="00D73430">
        <w:trPr>
          <w:trHeight w:val="1100"/>
        </w:trPr>
        <w:tc>
          <w:tcPr>
            <w:tcW w:w="1951" w:type="dxa"/>
          </w:tcPr>
          <w:p w:rsidR="00664B96" w:rsidRPr="003D1B5E" w:rsidRDefault="00664B96">
            <w:pPr>
              <w:pStyle w:val="Header"/>
              <w:rPr>
                <w:lang w:val="en-GB"/>
              </w:rPr>
            </w:pPr>
            <w:bookmarkStart w:id="0" w:name="_GoBack"/>
            <w:bookmarkEnd w:id="0"/>
          </w:p>
        </w:tc>
        <w:tc>
          <w:tcPr>
            <w:tcW w:w="7088" w:type="dxa"/>
          </w:tcPr>
          <w:p w:rsidR="00664B96" w:rsidRPr="003D1B5E" w:rsidRDefault="000965D6">
            <w:pPr>
              <w:pStyle w:val="CoverMasthead"/>
              <w:spacing w:after="200"/>
              <w:rPr>
                <w:lang w:val="en-GB"/>
              </w:rPr>
            </w:pPr>
            <w:r>
              <w:fldChar w:fldCharType="begin"/>
            </w:r>
            <w:r>
              <w:instrText xml:space="preserve"> TITLE  \* MERGEFORMAT </w:instrText>
            </w:r>
            <w:r>
              <w:fldChar w:fldCharType="separate"/>
            </w:r>
            <w:r w:rsidR="00A37A51" w:rsidRPr="00A37A51">
              <w:rPr>
                <w:lang w:val="en-GB"/>
              </w:rPr>
              <w:t>Timor-Leste Seeds of Life (Phase 3)</w:t>
            </w:r>
            <w:r>
              <w:rPr>
                <w:lang w:val="en-GB"/>
              </w:rPr>
              <w:fldChar w:fldCharType="end"/>
            </w:r>
          </w:p>
        </w:tc>
      </w:tr>
      <w:tr w:rsidR="00664B96" w:rsidRPr="003D1B5E" w:rsidTr="00D73430">
        <w:trPr>
          <w:trHeight w:val="5800"/>
        </w:trPr>
        <w:tc>
          <w:tcPr>
            <w:tcW w:w="1951" w:type="dxa"/>
          </w:tcPr>
          <w:p w:rsidR="00664B96" w:rsidRPr="003D1B5E" w:rsidRDefault="00664B96">
            <w:pPr>
              <w:rPr>
                <w:lang w:val="en-GB"/>
              </w:rPr>
            </w:pPr>
          </w:p>
        </w:tc>
        <w:tc>
          <w:tcPr>
            <w:tcW w:w="7088" w:type="dxa"/>
          </w:tcPr>
          <w:p w:rsidR="006D001E" w:rsidRPr="003D1B5E" w:rsidRDefault="000965D6">
            <w:pPr>
              <w:pStyle w:val="CoverTitle"/>
              <w:spacing w:before="200"/>
              <w:rPr>
                <w:lang w:val="en-GB"/>
              </w:rPr>
            </w:pPr>
            <w:r>
              <w:fldChar w:fldCharType="begin"/>
            </w:r>
            <w:r>
              <w:instrText xml:space="preserve"> Subject  \* MERGEFORMAT </w:instrText>
            </w:r>
            <w:r>
              <w:fldChar w:fldCharType="separate"/>
            </w:r>
            <w:r w:rsidR="00A37A51" w:rsidRPr="00A37A51">
              <w:rPr>
                <w:lang w:val="en-GB"/>
              </w:rPr>
              <w:t>Technical Advisory Group Report - Second Visit</w:t>
            </w:r>
            <w:r>
              <w:rPr>
                <w:lang w:val="en-GB"/>
              </w:rPr>
              <w:fldChar w:fldCharType="end"/>
            </w:r>
          </w:p>
        </w:tc>
      </w:tr>
      <w:tr w:rsidR="00664B96" w:rsidRPr="003D1B5E" w:rsidTr="00D73430">
        <w:trPr>
          <w:trHeight w:val="1600"/>
        </w:trPr>
        <w:tc>
          <w:tcPr>
            <w:tcW w:w="1951" w:type="dxa"/>
          </w:tcPr>
          <w:p w:rsidR="00664B96" w:rsidRPr="003D1B5E" w:rsidRDefault="00664B96">
            <w:pPr>
              <w:rPr>
                <w:lang w:val="en-GB"/>
              </w:rPr>
            </w:pPr>
          </w:p>
        </w:tc>
        <w:tc>
          <w:tcPr>
            <w:tcW w:w="7088" w:type="dxa"/>
          </w:tcPr>
          <w:p w:rsidR="00664B96" w:rsidRPr="003D1B5E" w:rsidRDefault="00664B96">
            <w:pPr>
              <w:pStyle w:val="BodyText"/>
              <w:spacing w:before="100" w:after="0"/>
              <w:rPr>
                <w:i/>
                <w:lang w:val="en-GB"/>
              </w:rPr>
            </w:pPr>
            <w:r w:rsidRPr="003D1B5E">
              <w:rPr>
                <w:i/>
                <w:lang w:val="en-GB"/>
              </w:rPr>
              <w:t>Prepared for</w:t>
            </w:r>
          </w:p>
          <w:p w:rsidR="00664B96" w:rsidRPr="003D1B5E" w:rsidRDefault="00664B96">
            <w:pPr>
              <w:pStyle w:val="CoverCompany"/>
              <w:rPr>
                <w:lang w:val="en-GB"/>
              </w:rPr>
            </w:pPr>
            <w:r w:rsidRPr="003D1B5E">
              <w:rPr>
                <w:lang w:val="en-GB"/>
              </w:rPr>
              <w:t>AusAID</w:t>
            </w:r>
            <w:r w:rsidR="00FF1A98" w:rsidRPr="003D1B5E">
              <w:rPr>
                <w:lang w:val="en-GB"/>
              </w:rPr>
              <w:t xml:space="preserve"> and ACIAR</w:t>
            </w:r>
          </w:p>
          <w:p w:rsidR="00014068" w:rsidRPr="003D1B5E" w:rsidRDefault="00FF1A98" w:rsidP="0074748E">
            <w:pPr>
              <w:autoSpaceDE w:val="0"/>
              <w:autoSpaceDN w:val="0"/>
              <w:adjustRightInd w:val="0"/>
              <w:jc w:val="left"/>
              <w:rPr>
                <w:rFonts w:ascii="Arial" w:hAnsi="Arial" w:cs="Arial"/>
                <w:sz w:val="20"/>
                <w:lang w:val="en-GB" w:eastAsia="en-GB"/>
              </w:rPr>
            </w:pPr>
            <w:r w:rsidRPr="003D1B5E">
              <w:rPr>
                <w:rFonts w:ascii="Arial" w:hAnsi="Arial" w:cs="Arial"/>
                <w:sz w:val="20"/>
                <w:lang w:val="en-GB" w:eastAsia="en-GB"/>
              </w:rPr>
              <w:t>A</w:t>
            </w:r>
            <w:r w:rsidR="00014068" w:rsidRPr="003D1B5E">
              <w:rPr>
                <w:rFonts w:ascii="Arial" w:hAnsi="Arial" w:cs="Arial"/>
                <w:sz w:val="20"/>
                <w:lang w:val="en-GB" w:eastAsia="en-GB"/>
              </w:rPr>
              <w:t>ustralian Embassy</w:t>
            </w:r>
          </w:p>
          <w:p w:rsidR="0074748E" w:rsidRPr="003D1B5E" w:rsidRDefault="00014068" w:rsidP="0074748E">
            <w:pPr>
              <w:autoSpaceDE w:val="0"/>
              <w:autoSpaceDN w:val="0"/>
              <w:adjustRightInd w:val="0"/>
              <w:jc w:val="left"/>
              <w:rPr>
                <w:rFonts w:ascii="Arial" w:hAnsi="Arial" w:cs="Arial"/>
                <w:sz w:val="20"/>
                <w:lang w:val="en-GB" w:eastAsia="en-GB"/>
              </w:rPr>
            </w:pPr>
            <w:proofErr w:type="spellStart"/>
            <w:r w:rsidRPr="003D1B5E">
              <w:rPr>
                <w:rFonts w:ascii="Arial" w:hAnsi="Arial" w:cs="Arial"/>
                <w:sz w:val="20"/>
                <w:lang w:val="en-GB" w:eastAsia="en-GB"/>
              </w:rPr>
              <w:t>A</w:t>
            </w:r>
            <w:r w:rsidR="00FF1A98" w:rsidRPr="003D1B5E">
              <w:rPr>
                <w:rFonts w:ascii="Arial" w:hAnsi="Arial" w:cs="Arial"/>
                <w:sz w:val="20"/>
                <w:lang w:val="en-GB" w:eastAsia="en-GB"/>
              </w:rPr>
              <w:t>venida</w:t>
            </w:r>
            <w:proofErr w:type="spellEnd"/>
            <w:r w:rsidR="00FF1A98" w:rsidRPr="003D1B5E">
              <w:rPr>
                <w:rFonts w:ascii="Arial" w:hAnsi="Arial" w:cs="Arial"/>
                <w:sz w:val="20"/>
                <w:lang w:val="en-GB" w:eastAsia="en-GB"/>
              </w:rPr>
              <w:t xml:space="preserve"> dos </w:t>
            </w:r>
            <w:proofErr w:type="spellStart"/>
            <w:r w:rsidR="00FF1A98" w:rsidRPr="003D1B5E">
              <w:rPr>
                <w:rFonts w:ascii="Arial" w:hAnsi="Arial" w:cs="Arial"/>
                <w:sz w:val="20"/>
                <w:lang w:val="en-GB" w:eastAsia="en-GB"/>
              </w:rPr>
              <w:t>Martires</w:t>
            </w:r>
            <w:proofErr w:type="spellEnd"/>
            <w:r w:rsidR="00FF1A98" w:rsidRPr="003D1B5E">
              <w:rPr>
                <w:rFonts w:ascii="Arial" w:hAnsi="Arial" w:cs="Arial"/>
                <w:sz w:val="20"/>
                <w:lang w:val="en-GB" w:eastAsia="en-GB"/>
              </w:rPr>
              <w:t xml:space="preserve"> de Patria</w:t>
            </w:r>
          </w:p>
          <w:p w:rsidR="0074748E" w:rsidRPr="003D1B5E" w:rsidRDefault="00FF1A98" w:rsidP="0074748E">
            <w:pPr>
              <w:autoSpaceDE w:val="0"/>
              <w:autoSpaceDN w:val="0"/>
              <w:adjustRightInd w:val="0"/>
              <w:jc w:val="left"/>
              <w:rPr>
                <w:rFonts w:ascii="Arial" w:hAnsi="Arial" w:cs="Arial"/>
                <w:sz w:val="20"/>
                <w:lang w:val="en-GB" w:eastAsia="en-GB"/>
              </w:rPr>
            </w:pPr>
            <w:r w:rsidRPr="003D1B5E">
              <w:rPr>
                <w:rFonts w:ascii="Arial" w:hAnsi="Arial" w:cs="Arial"/>
                <w:sz w:val="20"/>
                <w:lang w:val="en-GB" w:eastAsia="en-GB"/>
              </w:rPr>
              <w:t>Dili</w:t>
            </w:r>
          </w:p>
          <w:p w:rsidR="0074748E" w:rsidRPr="003D1B5E" w:rsidRDefault="00FF1A98" w:rsidP="0074748E">
            <w:pPr>
              <w:autoSpaceDE w:val="0"/>
              <w:autoSpaceDN w:val="0"/>
              <w:adjustRightInd w:val="0"/>
              <w:jc w:val="left"/>
              <w:rPr>
                <w:rFonts w:ascii="Arial" w:hAnsi="Arial" w:cs="Arial"/>
                <w:sz w:val="20"/>
                <w:lang w:val="en-GB" w:eastAsia="en-GB"/>
              </w:rPr>
            </w:pPr>
            <w:r w:rsidRPr="003D1B5E">
              <w:rPr>
                <w:rFonts w:ascii="Arial" w:hAnsi="Arial" w:cs="Arial"/>
                <w:sz w:val="20"/>
                <w:lang w:val="en-GB" w:eastAsia="en-GB"/>
              </w:rPr>
              <w:t>Timor-Leste</w:t>
            </w:r>
          </w:p>
          <w:p w:rsidR="00664B96" w:rsidRPr="003D1B5E" w:rsidRDefault="00664B96" w:rsidP="009260EF">
            <w:pPr>
              <w:pStyle w:val="CoverAddress"/>
              <w:rPr>
                <w:lang w:val="en-GB"/>
              </w:rPr>
            </w:pPr>
          </w:p>
        </w:tc>
      </w:tr>
      <w:tr w:rsidR="00664B96" w:rsidRPr="003D1B5E" w:rsidTr="00D73430">
        <w:trPr>
          <w:trHeight w:val="1164"/>
        </w:trPr>
        <w:tc>
          <w:tcPr>
            <w:tcW w:w="1951" w:type="dxa"/>
          </w:tcPr>
          <w:p w:rsidR="00664B96" w:rsidRPr="003D1B5E" w:rsidRDefault="00664B96">
            <w:pPr>
              <w:rPr>
                <w:lang w:val="en-GB"/>
              </w:rPr>
            </w:pPr>
          </w:p>
        </w:tc>
        <w:tc>
          <w:tcPr>
            <w:tcW w:w="7088" w:type="dxa"/>
          </w:tcPr>
          <w:p w:rsidR="00664B96" w:rsidRPr="003D1B5E" w:rsidRDefault="00FB2DD9">
            <w:pPr>
              <w:pStyle w:val="BodyText"/>
              <w:spacing w:before="100" w:after="100"/>
              <w:rPr>
                <w:rFonts w:ascii="Arial" w:hAnsi="Arial"/>
                <w:sz w:val="20"/>
                <w:lang w:val="en-GB"/>
              </w:rPr>
            </w:pPr>
            <w:r w:rsidRPr="003D1B5E">
              <w:rPr>
                <w:rFonts w:ascii="Arial" w:hAnsi="Arial"/>
                <w:sz w:val="20"/>
                <w:lang w:val="en-GB"/>
              </w:rPr>
              <w:fldChar w:fldCharType="begin"/>
            </w:r>
            <w:r w:rsidR="00664B96" w:rsidRPr="003D1B5E">
              <w:rPr>
                <w:rFonts w:ascii="Arial" w:hAnsi="Arial"/>
                <w:sz w:val="20"/>
                <w:lang w:val="en-GB"/>
              </w:rPr>
              <w:instrText xml:space="preserve"> SAVEDATE \@ "d MMMM yyyy" \* MERGEFORMAT </w:instrText>
            </w:r>
            <w:r w:rsidRPr="003D1B5E">
              <w:rPr>
                <w:rFonts w:ascii="Arial" w:hAnsi="Arial"/>
                <w:sz w:val="20"/>
                <w:lang w:val="en-GB"/>
              </w:rPr>
              <w:fldChar w:fldCharType="separate"/>
            </w:r>
            <w:r w:rsidR="000965D6">
              <w:rPr>
                <w:rFonts w:ascii="Arial" w:hAnsi="Arial"/>
                <w:noProof/>
                <w:sz w:val="20"/>
                <w:lang w:val="en-GB"/>
              </w:rPr>
              <w:t>12 September 2013</w:t>
            </w:r>
            <w:r w:rsidRPr="003D1B5E">
              <w:rPr>
                <w:rFonts w:ascii="Arial" w:hAnsi="Arial"/>
                <w:sz w:val="20"/>
                <w:lang w:val="en-GB"/>
              </w:rPr>
              <w:fldChar w:fldCharType="end"/>
            </w:r>
          </w:p>
          <w:p w:rsidR="00664B96" w:rsidRPr="003D1B5E" w:rsidRDefault="00664B96">
            <w:pPr>
              <w:pStyle w:val="CoverDoc"/>
              <w:rPr>
                <w:caps w:val="0"/>
                <w:lang w:val="en-GB"/>
              </w:rPr>
            </w:pPr>
          </w:p>
          <w:p w:rsidR="00664B96" w:rsidRPr="003D1B5E" w:rsidRDefault="00664B96">
            <w:pPr>
              <w:pStyle w:val="BodyText"/>
              <w:spacing w:before="100" w:after="0"/>
              <w:rPr>
                <w:lang w:val="en-GB"/>
              </w:rPr>
            </w:pPr>
            <w:r w:rsidRPr="003D1B5E">
              <w:rPr>
                <w:i/>
                <w:lang w:val="en-GB"/>
              </w:rPr>
              <w:t>Prepared by</w:t>
            </w:r>
          </w:p>
          <w:p w:rsidR="00664B96" w:rsidRPr="003D1B5E" w:rsidRDefault="009260EF" w:rsidP="00FF1A98">
            <w:pPr>
              <w:pStyle w:val="CoverDoc"/>
              <w:rPr>
                <w:caps w:val="0"/>
                <w:lang w:val="en-GB"/>
              </w:rPr>
            </w:pPr>
            <w:r w:rsidRPr="003D1B5E">
              <w:rPr>
                <w:caps w:val="0"/>
                <w:lang w:val="en-GB"/>
              </w:rPr>
              <w:t>John Fargher</w:t>
            </w:r>
            <w:r w:rsidR="00FF1A98" w:rsidRPr="003D1B5E">
              <w:rPr>
                <w:caps w:val="0"/>
                <w:lang w:val="en-GB"/>
              </w:rPr>
              <w:t xml:space="preserve"> and Greg Edmeades</w:t>
            </w:r>
          </w:p>
        </w:tc>
      </w:tr>
    </w:tbl>
    <w:p w:rsidR="00664B96" w:rsidRPr="003D1B5E" w:rsidRDefault="00664B96">
      <w:pPr>
        <w:jc w:val="center"/>
        <w:rPr>
          <w:b/>
          <w:i/>
          <w:color w:val="FF0000"/>
          <w:sz w:val="28"/>
          <w:lang w:val="en-GB"/>
        </w:rPr>
      </w:pPr>
    </w:p>
    <w:p w:rsidR="00664B96" w:rsidRPr="003D1B5E" w:rsidRDefault="00664B96" w:rsidP="00FD023D">
      <w:pPr>
        <w:jc w:val="left"/>
        <w:rPr>
          <w:lang w:val="en-GB"/>
        </w:rPr>
      </w:pPr>
    </w:p>
    <w:p w:rsidR="00582A5C" w:rsidRPr="003D1B5E" w:rsidRDefault="00582A5C" w:rsidP="00FD023D">
      <w:pPr>
        <w:rPr>
          <w:lang w:val="en-GB"/>
        </w:rPr>
        <w:sectPr w:rsidR="00582A5C" w:rsidRPr="003D1B5E" w:rsidSect="00543746">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851" w:right="1474" w:bottom="851" w:left="1474" w:header="578" w:footer="578" w:gutter="284"/>
          <w:pgNumType w:fmt="lowerRoman" w:start="1"/>
          <w:cols w:space="720"/>
          <w:vAlign w:val="center"/>
        </w:sectPr>
      </w:pPr>
    </w:p>
    <w:p w:rsidR="00664B96" w:rsidRPr="003D1B5E" w:rsidRDefault="00664B96">
      <w:pPr>
        <w:spacing w:before="240"/>
        <w:jc w:val="center"/>
        <w:rPr>
          <w:rFonts w:ascii="Arial" w:hAnsi="Arial"/>
          <w:b/>
          <w:sz w:val="28"/>
          <w:lang w:val="en-GB"/>
        </w:rPr>
      </w:pPr>
      <w:r w:rsidRPr="003D1B5E">
        <w:rPr>
          <w:rFonts w:ascii="Arial" w:hAnsi="Arial"/>
          <w:b/>
          <w:smallCaps/>
          <w:sz w:val="36"/>
          <w:lang w:val="en-GB"/>
        </w:rPr>
        <w:lastRenderedPageBreak/>
        <w:t>Contents</w:t>
      </w:r>
      <w:r w:rsidRPr="003D1B5E">
        <w:rPr>
          <w:rFonts w:ascii="Arial" w:hAnsi="Arial"/>
          <w:b/>
          <w:i/>
          <w:vanish/>
          <w:color w:val="FF0000"/>
          <w:sz w:val="28"/>
          <w:lang w:val="en-GB"/>
        </w:rPr>
        <w:t xml:space="preserve"> (Press F9 to update TOC automatically)</w:t>
      </w:r>
    </w:p>
    <w:p w:rsidR="00A37A51" w:rsidRDefault="00FB2DD9">
      <w:pPr>
        <w:pStyle w:val="TOC1"/>
        <w:rPr>
          <w:rFonts w:asciiTheme="minorHAnsi" w:eastAsiaTheme="minorEastAsia" w:hAnsiTheme="minorHAnsi" w:cstheme="minorBidi"/>
          <w:b w:val="0"/>
          <w:noProof/>
          <w:sz w:val="22"/>
          <w:szCs w:val="22"/>
        </w:rPr>
      </w:pPr>
      <w:r w:rsidRPr="003D1B5E">
        <w:rPr>
          <w:caps/>
          <w:color w:val="0000FF"/>
          <w:lang w:val="en-GB"/>
        </w:rPr>
        <w:fldChar w:fldCharType="begin"/>
      </w:r>
      <w:r w:rsidR="00664B96" w:rsidRPr="003D1B5E">
        <w:rPr>
          <w:caps/>
          <w:color w:val="0000FF"/>
          <w:lang w:val="en-GB"/>
        </w:rPr>
        <w:instrText xml:space="preserve"> TOC \o "1-2" </w:instrText>
      </w:r>
      <w:r w:rsidRPr="003D1B5E">
        <w:rPr>
          <w:caps/>
          <w:color w:val="0000FF"/>
          <w:lang w:val="en-GB"/>
        </w:rPr>
        <w:fldChar w:fldCharType="separate"/>
      </w:r>
      <w:r w:rsidR="00A37A51" w:rsidRPr="00793CC2">
        <w:rPr>
          <w:noProof/>
          <w:lang w:val="en-GB"/>
        </w:rPr>
        <w:t>Executive summary</w:t>
      </w:r>
      <w:r w:rsidR="00A37A51">
        <w:rPr>
          <w:noProof/>
        </w:rPr>
        <w:tab/>
      </w:r>
      <w:r w:rsidR="00A37A51">
        <w:rPr>
          <w:noProof/>
        </w:rPr>
        <w:fldChar w:fldCharType="begin"/>
      </w:r>
      <w:r w:rsidR="00A37A51">
        <w:rPr>
          <w:noProof/>
        </w:rPr>
        <w:instrText xml:space="preserve"> PAGEREF _Toc326845335 \h </w:instrText>
      </w:r>
      <w:r w:rsidR="00A37A51">
        <w:rPr>
          <w:noProof/>
        </w:rPr>
      </w:r>
      <w:r w:rsidR="00A37A51">
        <w:rPr>
          <w:noProof/>
        </w:rPr>
        <w:fldChar w:fldCharType="separate"/>
      </w:r>
      <w:r w:rsidR="00A37A51">
        <w:rPr>
          <w:noProof/>
        </w:rPr>
        <w:t>ii</w:t>
      </w:r>
      <w:r w:rsidR="00A37A51">
        <w:rPr>
          <w:noProof/>
        </w:rPr>
        <w:fldChar w:fldCharType="end"/>
      </w:r>
    </w:p>
    <w:p w:rsidR="00A37A51" w:rsidRDefault="00A37A51">
      <w:pPr>
        <w:pStyle w:val="TOC1"/>
        <w:rPr>
          <w:rFonts w:asciiTheme="minorHAnsi" w:eastAsiaTheme="minorEastAsia" w:hAnsiTheme="minorHAnsi" w:cstheme="minorBidi"/>
          <w:b w:val="0"/>
          <w:noProof/>
          <w:sz w:val="22"/>
          <w:szCs w:val="22"/>
        </w:rPr>
      </w:pPr>
      <w:r w:rsidRPr="00793CC2">
        <w:rPr>
          <w:noProof/>
          <w:lang w:val="en-GB"/>
        </w:rPr>
        <w:t>Acronyms</w:t>
      </w:r>
      <w:r>
        <w:rPr>
          <w:noProof/>
        </w:rPr>
        <w:tab/>
      </w:r>
      <w:r>
        <w:rPr>
          <w:noProof/>
        </w:rPr>
        <w:fldChar w:fldCharType="begin"/>
      </w:r>
      <w:r>
        <w:rPr>
          <w:noProof/>
        </w:rPr>
        <w:instrText xml:space="preserve"> PAGEREF _Toc326845336 \h </w:instrText>
      </w:r>
      <w:r>
        <w:rPr>
          <w:noProof/>
        </w:rPr>
      </w:r>
      <w:r>
        <w:rPr>
          <w:noProof/>
        </w:rPr>
        <w:fldChar w:fldCharType="separate"/>
      </w:r>
      <w:r>
        <w:rPr>
          <w:noProof/>
        </w:rPr>
        <w:t>iv</w:t>
      </w:r>
      <w:r>
        <w:rPr>
          <w:noProof/>
        </w:rPr>
        <w:fldChar w:fldCharType="end"/>
      </w:r>
    </w:p>
    <w:p w:rsidR="00A37A51" w:rsidRDefault="00A37A51">
      <w:pPr>
        <w:pStyle w:val="TOC1"/>
        <w:rPr>
          <w:rFonts w:asciiTheme="minorHAnsi" w:eastAsiaTheme="minorEastAsia" w:hAnsiTheme="minorHAnsi" w:cstheme="minorBidi"/>
          <w:b w:val="0"/>
          <w:noProof/>
          <w:sz w:val="22"/>
          <w:szCs w:val="22"/>
        </w:rPr>
      </w:pPr>
      <w:r w:rsidRPr="00793CC2">
        <w:rPr>
          <w:noProof/>
          <w:lang w:val="en-GB"/>
        </w:rPr>
        <w:t>1</w:t>
      </w:r>
      <w:r>
        <w:rPr>
          <w:rFonts w:asciiTheme="minorHAnsi" w:eastAsiaTheme="minorEastAsia" w:hAnsiTheme="minorHAnsi" w:cstheme="minorBidi"/>
          <w:b w:val="0"/>
          <w:noProof/>
          <w:sz w:val="22"/>
          <w:szCs w:val="22"/>
        </w:rPr>
        <w:tab/>
      </w:r>
      <w:r w:rsidRPr="00793CC2">
        <w:rPr>
          <w:noProof/>
          <w:lang w:val="en-GB"/>
        </w:rPr>
        <w:t>Background</w:t>
      </w:r>
      <w:r>
        <w:rPr>
          <w:noProof/>
        </w:rPr>
        <w:tab/>
      </w:r>
      <w:r>
        <w:rPr>
          <w:noProof/>
        </w:rPr>
        <w:fldChar w:fldCharType="begin"/>
      </w:r>
      <w:r>
        <w:rPr>
          <w:noProof/>
        </w:rPr>
        <w:instrText xml:space="preserve"> PAGEREF _Toc326845337 \h </w:instrText>
      </w:r>
      <w:r>
        <w:rPr>
          <w:noProof/>
        </w:rPr>
      </w:r>
      <w:r>
        <w:rPr>
          <w:noProof/>
        </w:rPr>
        <w:fldChar w:fldCharType="separate"/>
      </w:r>
      <w:r>
        <w:rPr>
          <w:noProof/>
        </w:rPr>
        <w:t>1</w:t>
      </w:r>
      <w:r>
        <w:rPr>
          <w:noProof/>
        </w:rPr>
        <w:fldChar w:fldCharType="end"/>
      </w:r>
    </w:p>
    <w:p w:rsidR="00A37A51" w:rsidRDefault="00A37A51">
      <w:pPr>
        <w:pStyle w:val="TOC1"/>
        <w:rPr>
          <w:rFonts w:asciiTheme="minorHAnsi" w:eastAsiaTheme="minorEastAsia" w:hAnsiTheme="minorHAnsi" w:cstheme="minorBidi"/>
          <w:b w:val="0"/>
          <w:noProof/>
          <w:sz w:val="22"/>
          <w:szCs w:val="22"/>
        </w:rPr>
      </w:pPr>
      <w:r w:rsidRPr="00793CC2">
        <w:rPr>
          <w:noProof/>
          <w:w w:val="105"/>
          <w:lang w:val="en-GB"/>
        </w:rPr>
        <w:t>2</w:t>
      </w:r>
      <w:r>
        <w:rPr>
          <w:rFonts w:asciiTheme="minorHAnsi" w:eastAsiaTheme="minorEastAsia" w:hAnsiTheme="minorHAnsi" w:cstheme="minorBidi"/>
          <w:b w:val="0"/>
          <w:noProof/>
          <w:sz w:val="22"/>
          <w:szCs w:val="22"/>
        </w:rPr>
        <w:tab/>
      </w:r>
      <w:r w:rsidRPr="00793CC2">
        <w:rPr>
          <w:noProof/>
          <w:w w:val="105"/>
          <w:lang w:val="en-GB"/>
        </w:rPr>
        <w:t>Progress and effectiveness of Component 3 activities</w:t>
      </w:r>
      <w:r>
        <w:rPr>
          <w:noProof/>
        </w:rPr>
        <w:tab/>
      </w:r>
      <w:r>
        <w:rPr>
          <w:noProof/>
        </w:rPr>
        <w:fldChar w:fldCharType="begin"/>
      </w:r>
      <w:r>
        <w:rPr>
          <w:noProof/>
        </w:rPr>
        <w:instrText xml:space="preserve"> PAGEREF _Toc326845338 \h </w:instrText>
      </w:r>
      <w:r>
        <w:rPr>
          <w:noProof/>
        </w:rPr>
      </w:r>
      <w:r>
        <w:rPr>
          <w:noProof/>
        </w:rPr>
        <w:fldChar w:fldCharType="separate"/>
      </w:r>
      <w:r>
        <w:rPr>
          <w:noProof/>
        </w:rPr>
        <w:t>2</w:t>
      </w:r>
      <w:r>
        <w:rPr>
          <w:noProof/>
        </w:rPr>
        <w:fldChar w:fldCharType="end"/>
      </w:r>
    </w:p>
    <w:p w:rsidR="00A37A51" w:rsidRDefault="00A37A51">
      <w:pPr>
        <w:pStyle w:val="TOC1"/>
        <w:rPr>
          <w:rFonts w:asciiTheme="minorHAnsi" w:eastAsiaTheme="minorEastAsia" w:hAnsiTheme="minorHAnsi" w:cstheme="minorBidi"/>
          <w:b w:val="0"/>
          <w:noProof/>
          <w:sz w:val="22"/>
          <w:szCs w:val="22"/>
        </w:rPr>
      </w:pPr>
      <w:r w:rsidRPr="00793CC2">
        <w:rPr>
          <w:noProof/>
          <w:w w:val="105"/>
          <w:lang w:val="en-GB"/>
        </w:rPr>
        <w:t>3</w:t>
      </w:r>
      <w:r>
        <w:rPr>
          <w:rFonts w:asciiTheme="minorHAnsi" w:eastAsiaTheme="minorEastAsia" w:hAnsiTheme="minorHAnsi" w:cstheme="minorBidi"/>
          <w:b w:val="0"/>
          <w:noProof/>
          <w:sz w:val="22"/>
          <w:szCs w:val="22"/>
        </w:rPr>
        <w:tab/>
      </w:r>
      <w:r w:rsidRPr="00793CC2">
        <w:rPr>
          <w:noProof/>
          <w:w w:val="105"/>
          <w:lang w:val="en-GB"/>
        </w:rPr>
        <w:t>Progress of the formal transition plan</w:t>
      </w:r>
      <w:r>
        <w:rPr>
          <w:noProof/>
        </w:rPr>
        <w:tab/>
      </w:r>
      <w:r>
        <w:rPr>
          <w:noProof/>
        </w:rPr>
        <w:fldChar w:fldCharType="begin"/>
      </w:r>
      <w:r>
        <w:rPr>
          <w:noProof/>
        </w:rPr>
        <w:instrText xml:space="preserve"> PAGEREF _Toc326845339 \h </w:instrText>
      </w:r>
      <w:r>
        <w:rPr>
          <w:noProof/>
        </w:rPr>
      </w:r>
      <w:r>
        <w:rPr>
          <w:noProof/>
        </w:rPr>
        <w:fldChar w:fldCharType="separate"/>
      </w:r>
      <w:r>
        <w:rPr>
          <w:noProof/>
        </w:rPr>
        <w:t>6</w:t>
      </w:r>
      <w:r>
        <w:rPr>
          <w:noProof/>
        </w:rPr>
        <w:fldChar w:fldCharType="end"/>
      </w:r>
    </w:p>
    <w:p w:rsidR="00A37A51" w:rsidRDefault="00A37A51">
      <w:pPr>
        <w:pStyle w:val="TOC2"/>
        <w:tabs>
          <w:tab w:val="left" w:pos="992"/>
        </w:tabs>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The costs of transition</w:t>
      </w:r>
      <w:r>
        <w:rPr>
          <w:noProof/>
        </w:rPr>
        <w:tab/>
      </w:r>
      <w:r>
        <w:rPr>
          <w:noProof/>
        </w:rPr>
        <w:fldChar w:fldCharType="begin"/>
      </w:r>
      <w:r>
        <w:rPr>
          <w:noProof/>
        </w:rPr>
        <w:instrText xml:space="preserve"> PAGEREF _Toc326845340 \h </w:instrText>
      </w:r>
      <w:r>
        <w:rPr>
          <w:noProof/>
        </w:rPr>
      </w:r>
      <w:r>
        <w:rPr>
          <w:noProof/>
        </w:rPr>
        <w:fldChar w:fldCharType="separate"/>
      </w:r>
      <w:r>
        <w:rPr>
          <w:noProof/>
        </w:rPr>
        <w:t>6</w:t>
      </w:r>
      <w:r>
        <w:rPr>
          <w:noProof/>
        </w:rPr>
        <w:fldChar w:fldCharType="end"/>
      </w:r>
    </w:p>
    <w:p w:rsidR="00A37A51" w:rsidRDefault="00A37A51">
      <w:pPr>
        <w:pStyle w:val="TOC2"/>
        <w:tabs>
          <w:tab w:val="left" w:pos="1440"/>
        </w:tabs>
        <w:rPr>
          <w:rFonts w:asciiTheme="minorHAnsi" w:eastAsiaTheme="minorEastAsia" w:hAnsiTheme="minorHAnsi" w:cstheme="minorBidi"/>
          <w:noProof/>
          <w:sz w:val="22"/>
          <w:szCs w:val="22"/>
        </w:rPr>
      </w:pPr>
      <w:r w:rsidRPr="00793CC2">
        <w:rPr>
          <w:noProof/>
          <w:w w:val="105"/>
          <w:lang w:val="en-GB"/>
        </w:rPr>
        <w:t>3.2</w:t>
      </w:r>
      <w:r>
        <w:rPr>
          <w:rFonts w:asciiTheme="minorHAnsi" w:eastAsiaTheme="minorEastAsia" w:hAnsiTheme="minorHAnsi" w:cstheme="minorBidi"/>
          <w:noProof/>
          <w:sz w:val="22"/>
          <w:szCs w:val="22"/>
        </w:rPr>
        <w:tab/>
      </w:r>
      <w:r w:rsidRPr="00793CC2">
        <w:rPr>
          <w:noProof/>
          <w:w w:val="105"/>
          <w:lang w:val="en-GB"/>
        </w:rPr>
        <w:t>Preparing for transition</w:t>
      </w:r>
      <w:r>
        <w:rPr>
          <w:noProof/>
        </w:rPr>
        <w:tab/>
      </w:r>
      <w:r>
        <w:rPr>
          <w:noProof/>
        </w:rPr>
        <w:fldChar w:fldCharType="begin"/>
      </w:r>
      <w:r>
        <w:rPr>
          <w:noProof/>
        </w:rPr>
        <w:instrText xml:space="preserve"> PAGEREF _Toc326845341 \h </w:instrText>
      </w:r>
      <w:r>
        <w:rPr>
          <w:noProof/>
        </w:rPr>
      </w:r>
      <w:r>
        <w:rPr>
          <w:noProof/>
        </w:rPr>
        <w:fldChar w:fldCharType="separate"/>
      </w:r>
      <w:r>
        <w:rPr>
          <w:noProof/>
        </w:rPr>
        <w:t>6</w:t>
      </w:r>
      <w:r>
        <w:rPr>
          <w:noProof/>
        </w:rPr>
        <w:fldChar w:fldCharType="end"/>
      </w:r>
    </w:p>
    <w:p w:rsidR="00A37A51" w:rsidRDefault="00A37A51">
      <w:pPr>
        <w:pStyle w:val="TOC2"/>
        <w:tabs>
          <w:tab w:val="left" w:pos="1440"/>
        </w:tabs>
        <w:rPr>
          <w:rFonts w:asciiTheme="minorHAnsi" w:eastAsiaTheme="minorEastAsia" w:hAnsiTheme="minorHAnsi" w:cstheme="minorBidi"/>
          <w:noProof/>
          <w:sz w:val="22"/>
          <w:szCs w:val="22"/>
        </w:rPr>
      </w:pPr>
      <w:r w:rsidRPr="00793CC2">
        <w:rPr>
          <w:noProof/>
          <w:w w:val="105"/>
          <w:lang w:val="en-GB"/>
        </w:rPr>
        <w:t>3.3</w:t>
      </w:r>
      <w:r>
        <w:rPr>
          <w:rFonts w:asciiTheme="minorHAnsi" w:eastAsiaTheme="minorEastAsia" w:hAnsiTheme="minorHAnsi" w:cstheme="minorBidi"/>
          <w:noProof/>
          <w:sz w:val="22"/>
          <w:szCs w:val="22"/>
        </w:rPr>
        <w:tab/>
      </w:r>
      <w:r w:rsidRPr="00793CC2">
        <w:rPr>
          <w:noProof/>
          <w:w w:val="105"/>
          <w:lang w:val="en-GB"/>
        </w:rPr>
        <w:t>Policy dialogue to support transition</w:t>
      </w:r>
      <w:r>
        <w:rPr>
          <w:noProof/>
        </w:rPr>
        <w:tab/>
      </w:r>
      <w:r>
        <w:rPr>
          <w:noProof/>
        </w:rPr>
        <w:fldChar w:fldCharType="begin"/>
      </w:r>
      <w:r>
        <w:rPr>
          <w:noProof/>
        </w:rPr>
        <w:instrText xml:space="preserve"> PAGEREF _Toc326845342 \h </w:instrText>
      </w:r>
      <w:r>
        <w:rPr>
          <w:noProof/>
        </w:rPr>
      </w:r>
      <w:r>
        <w:rPr>
          <w:noProof/>
        </w:rPr>
        <w:fldChar w:fldCharType="separate"/>
      </w:r>
      <w:r>
        <w:rPr>
          <w:noProof/>
        </w:rPr>
        <w:t>7</w:t>
      </w:r>
      <w:r>
        <w:rPr>
          <w:noProof/>
        </w:rPr>
        <w:fldChar w:fldCharType="end"/>
      </w:r>
    </w:p>
    <w:p w:rsidR="00A37A51" w:rsidRDefault="00A37A51">
      <w:pPr>
        <w:pStyle w:val="TOC1"/>
        <w:rPr>
          <w:rFonts w:asciiTheme="minorHAnsi" w:eastAsiaTheme="minorEastAsia" w:hAnsiTheme="minorHAnsi" w:cstheme="minorBidi"/>
          <w:b w:val="0"/>
          <w:noProof/>
          <w:sz w:val="22"/>
          <w:szCs w:val="22"/>
        </w:rPr>
      </w:pPr>
      <w:r w:rsidRPr="00793CC2">
        <w:rPr>
          <w:noProof/>
          <w:lang w:val="en-GB"/>
        </w:rPr>
        <w:t>4</w:t>
      </w:r>
      <w:r>
        <w:rPr>
          <w:rFonts w:asciiTheme="minorHAnsi" w:eastAsiaTheme="minorEastAsia" w:hAnsiTheme="minorHAnsi" w:cstheme="minorBidi"/>
          <w:b w:val="0"/>
          <w:noProof/>
          <w:sz w:val="22"/>
          <w:szCs w:val="22"/>
        </w:rPr>
        <w:tab/>
      </w:r>
      <w:r w:rsidRPr="00793CC2">
        <w:rPr>
          <w:noProof/>
          <w:lang w:val="en-GB"/>
        </w:rPr>
        <w:t>Monitoring and evaluation system</w:t>
      </w:r>
      <w:r>
        <w:rPr>
          <w:noProof/>
        </w:rPr>
        <w:tab/>
      </w:r>
      <w:r>
        <w:rPr>
          <w:noProof/>
        </w:rPr>
        <w:fldChar w:fldCharType="begin"/>
      </w:r>
      <w:r>
        <w:rPr>
          <w:noProof/>
        </w:rPr>
        <w:instrText xml:space="preserve"> PAGEREF _Toc326845343 \h </w:instrText>
      </w:r>
      <w:r>
        <w:rPr>
          <w:noProof/>
        </w:rPr>
      </w:r>
      <w:r>
        <w:rPr>
          <w:noProof/>
        </w:rPr>
        <w:fldChar w:fldCharType="separate"/>
      </w:r>
      <w:r>
        <w:rPr>
          <w:noProof/>
        </w:rPr>
        <w:t>8</w:t>
      </w:r>
      <w:r>
        <w:rPr>
          <w:noProof/>
        </w:rPr>
        <w:fldChar w:fldCharType="end"/>
      </w:r>
    </w:p>
    <w:p w:rsidR="00A37A51" w:rsidRDefault="00A37A51">
      <w:pPr>
        <w:pStyle w:val="TOC2"/>
        <w:tabs>
          <w:tab w:val="left" w:pos="1440"/>
        </w:tabs>
        <w:rPr>
          <w:rFonts w:asciiTheme="minorHAnsi" w:eastAsiaTheme="minorEastAsia" w:hAnsiTheme="minorHAnsi" w:cstheme="minorBidi"/>
          <w:noProof/>
          <w:sz w:val="22"/>
          <w:szCs w:val="22"/>
        </w:rPr>
      </w:pPr>
      <w:r w:rsidRPr="00793CC2">
        <w:rPr>
          <w:noProof/>
          <w:w w:val="105"/>
          <w:lang w:val="en-GB"/>
        </w:rPr>
        <w:t>4.1</w:t>
      </w:r>
      <w:r>
        <w:rPr>
          <w:rFonts w:asciiTheme="minorHAnsi" w:eastAsiaTheme="minorEastAsia" w:hAnsiTheme="minorHAnsi" w:cstheme="minorBidi"/>
          <w:noProof/>
          <w:sz w:val="22"/>
          <w:szCs w:val="22"/>
        </w:rPr>
        <w:tab/>
      </w:r>
      <w:r w:rsidRPr="00793CC2">
        <w:rPr>
          <w:noProof/>
          <w:w w:val="105"/>
          <w:lang w:val="en-GB"/>
        </w:rPr>
        <w:t>Performance management system and results framework</w:t>
      </w:r>
      <w:r>
        <w:rPr>
          <w:noProof/>
        </w:rPr>
        <w:tab/>
      </w:r>
      <w:r>
        <w:rPr>
          <w:noProof/>
        </w:rPr>
        <w:fldChar w:fldCharType="begin"/>
      </w:r>
      <w:r>
        <w:rPr>
          <w:noProof/>
        </w:rPr>
        <w:instrText xml:space="preserve"> PAGEREF _Toc326845344 \h </w:instrText>
      </w:r>
      <w:r>
        <w:rPr>
          <w:noProof/>
        </w:rPr>
      </w:r>
      <w:r>
        <w:rPr>
          <w:noProof/>
        </w:rPr>
        <w:fldChar w:fldCharType="separate"/>
      </w:r>
      <w:r>
        <w:rPr>
          <w:noProof/>
        </w:rPr>
        <w:t>8</w:t>
      </w:r>
      <w:r>
        <w:rPr>
          <w:noProof/>
        </w:rPr>
        <w:fldChar w:fldCharType="end"/>
      </w:r>
    </w:p>
    <w:p w:rsidR="00A37A51" w:rsidRDefault="00A37A51">
      <w:pPr>
        <w:pStyle w:val="TOC2"/>
        <w:tabs>
          <w:tab w:val="left" w:pos="1440"/>
        </w:tabs>
        <w:rPr>
          <w:rFonts w:asciiTheme="minorHAnsi" w:eastAsiaTheme="minorEastAsia" w:hAnsiTheme="minorHAnsi" w:cstheme="minorBidi"/>
          <w:noProof/>
          <w:sz w:val="22"/>
          <w:szCs w:val="22"/>
        </w:rPr>
      </w:pPr>
      <w:r w:rsidRPr="00793CC2">
        <w:rPr>
          <w:noProof/>
          <w:w w:val="105"/>
          <w:lang w:val="en-GB"/>
        </w:rPr>
        <w:t>4.2</w:t>
      </w:r>
      <w:r>
        <w:rPr>
          <w:rFonts w:asciiTheme="minorHAnsi" w:eastAsiaTheme="minorEastAsia" w:hAnsiTheme="minorHAnsi" w:cstheme="minorBidi"/>
          <w:noProof/>
          <w:sz w:val="22"/>
          <w:szCs w:val="22"/>
        </w:rPr>
        <w:tab/>
      </w:r>
      <w:r w:rsidRPr="00793CC2">
        <w:rPr>
          <w:noProof/>
          <w:w w:val="105"/>
          <w:lang w:val="en-GB"/>
        </w:rPr>
        <w:t>Evaluation framework</w:t>
      </w:r>
      <w:r>
        <w:rPr>
          <w:noProof/>
        </w:rPr>
        <w:tab/>
      </w:r>
      <w:r>
        <w:rPr>
          <w:noProof/>
        </w:rPr>
        <w:fldChar w:fldCharType="begin"/>
      </w:r>
      <w:r>
        <w:rPr>
          <w:noProof/>
        </w:rPr>
        <w:instrText xml:space="preserve"> PAGEREF _Toc326845345 \h </w:instrText>
      </w:r>
      <w:r>
        <w:rPr>
          <w:noProof/>
        </w:rPr>
      </w:r>
      <w:r>
        <w:rPr>
          <w:noProof/>
        </w:rPr>
        <w:fldChar w:fldCharType="separate"/>
      </w:r>
      <w:r>
        <w:rPr>
          <w:noProof/>
        </w:rPr>
        <w:t>8</w:t>
      </w:r>
      <w:r>
        <w:rPr>
          <w:noProof/>
        </w:rPr>
        <w:fldChar w:fldCharType="end"/>
      </w:r>
    </w:p>
    <w:p w:rsidR="00A37A51" w:rsidRDefault="00A37A51">
      <w:pPr>
        <w:pStyle w:val="TOC2"/>
        <w:tabs>
          <w:tab w:val="left" w:pos="1440"/>
        </w:tabs>
        <w:rPr>
          <w:rFonts w:asciiTheme="minorHAnsi" w:eastAsiaTheme="minorEastAsia" w:hAnsiTheme="minorHAnsi" w:cstheme="minorBidi"/>
          <w:noProof/>
          <w:sz w:val="22"/>
          <w:szCs w:val="22"/>
        </w:rPr>
      </w:pPr>
      <w:r w:rsidRPr="00793CC2">
        <w:rPr>
          <w:noProof/>
          <w:w w:val="105"/>
          <w:lang w:val="en-GB"/>
        </w:rPr>
        <w:t>4.3</w:t>
      </w:r>
      <w:r>
        <w:rPr>
          <w:rFonts w:asciiTheme="minorHAnsi" w:eastAsiaTheme="minorEastAsia" w:hAnsiTheme="minorHAnsi" w:cstheme="minorBidi"/>
          <w:noProof/>
          <w:sz w:val="22"/>
          <w:szCs w:val="22"/>
        </w:rPr>
        <w:tab/>
      </w:r>
      <w:r w:rsidRPr="00793CC2">
        <w:rPr>
          <w:noProof/>
          <w:w w:val="105"/>
          <w:lang w:val="en-GB"/>
        </w:rPr>
        <w:t>End-of-program outcomes</w:t>
      </w:r>
      <w:r>
        <w:rPr>
          <w:noProof/>
        </w:rPr>
        <w:tab/>
      </w:r>
      <w:r>
        <w:rPr>
          <w:noProof/>
        </w:rPr>
        <w:fldChar w:fldCharType="begin"/>
      </w:r>
      <w:r>
        <w:rPr>
          <w:noProof/>
        </w:rPr>
        <w:instrText xml:space="preserve"> PAGEREF _Toc326845346 \h </w:instrText>
      </w:r>
      <w:r>
        <w:rPr>
          <w:noProof/>
        </w:rPr>
      </w:r>
      <w:r>
        <w:rPr>
          <w:noProof/>
        </w:rPr>
        <w:fldChar w:fldCharType="separate"/>
      </w:r>
      <w:r>
        <w:rPr>
          <w:noProof/>
        </w:rPr>
        <w:t>10</w:t>
      </w:r>
      <w:r>
        <w:rPr>
          <w:noProof/>
        </w:rPr>
        <w:fldChar w:fldCharType="end"/>
      </w:r>
    </w:p>
    <w:p w:rsidR="00A37A51" w:rsidRDefault="00A37A51">
      <w:pPr>
        <w:pStyle w:val="TOC2"/>
        <w:tabs>
          <w:tab w:val="left" w:pos="1440"/>
        </w:tabs>
        <w:rPr>
          <w:rFonts w:asciiTheme="minorHAnsi" w:eastAsiaTheme="minorEastAsia" w:hAnsiTheme="minorHAnsi" w:cstheme="minorBidi"/>
          <w:noProof/>
          <w:sz w:val="22"/>
          <w:szCs w:val="22"/>
        </w:rPr>
      </w:pPr>
      <w:r w:rsidRPr="00793CC2">
        <w:rPr>
          <w:noProof/>
          <w:w w:val="105"/>
          <w:lang w:val="en-GB"/>
        </w:rPr>
        <w:t>4.4</w:t>
      </w:r>
      <w:r>
        <w:rPr>
          <w:rFonts w:asciiTheme="minorHAnsi" w:eastAsiaTheme="minorEastAsia" w:hAnsiTheme="minorHAnsi" w:cstheme="minorBidi"/>
          <w:noProof/>
          <w:sz w:val="22"/>
          <w:szCs w:val="22"/>
        </w:rPr>
        <w:tab/>
      </w:r>
      <w:r w:rsidRPr="00793CC2">
        <w:rPr>
          <w:noProof/>
          <w:w w:val="105"/>
          <w:lang w:val="en-GB"/>
        </w:rPr>
        <w:t>Evaluations during the 2011/12 growing season</w:t>
      </w:r>
      <w:r>
        <w:rPr>
          <w:noProof/>
        </w:rPr>
        <w:tab/>
      </w:r>
      <w:r>
        <w:rPr>
          <w:noProof/>
        </w:rPr>
        <w:fldChar w:fldCharType="begin"/>
      </w:r>
      <w:r>
        <w:rPr>
          <w:noProof/>
        </w:rPr>
        <w:instrText xml:space="preserve"> PAGEREF _Toc326845347 \h </w:instrText>
      </w:r>
      <w:r>
        <w:rPr>
          <w:noProof/>
        </w:rPr>
      </w:r>
      <w:r>
        <w:rPr>
          <w:noProof/>
        </w:rPr>
        <w:fldChar w:fldCharType="separate"/>
      </w:r>
      <w:r>
        <w:rPr>
          <w:noProof/>
        </w:rPr>
        <w:t>11</w:t>
      </w:r>
      <w:r>
        <w:rPr>
          <w:noProof/>
        </w:rPr>
        <w:fldChar w:fldCharType="end"/>
      </w:r>
    </w:p>
    <w:p w:rsidR="00A37A51" w:rsidRDefault="00A37A51">
      <w:pPr>
        <w:pStyle w:val="TOC2"/>
        <w:tabs>
          <w:tab w:val="left" w:pos="992"/>
        </w:tabs>
        <w:rPr>
          <w:rFonts w:asciiTheme="minorHAnsi" w:eastAsiaTheme="minorEastAsia" w:hAnsiTheme="minorHAnsi" w:cstheme="minorBidi"/>
          <w:noProof/>
          <w:sz w:val="22"/>
          <w:szCs w:val="22"/>
        </w:rPr>
      </w:pPr>
      <w:r w:rsidRPr="00793CC2">
        <w:rPr>
          <w:noProof/>
          <w:lang w:val="en-GB"/>
        </w:rPr>
        <w:t>4.5</w:t>
      </w:r>
      <w:r>
        <w:rPr>
          <w:rFonts w:asciiTheme="minorHAnsi" w:eastAsiaTheme="minorEastAsia" w:hAnsiTheme="minorHAnsi" w:cstheme="minorBidi"/>
          <w:noProof/>
          <w:sz w:val="22"/>
          <w:szCs w:val="22"/>
        </w:rPr>
        <w:tab/>
      </w:r>
      <w:r w:rsidRPr="00793CC2">
        <w:rPr>
          <w:noProof/>
          <w:lang w:val="en-GB"/>
        </w:rPr>
        <w:t>Preparing for a mid-term review</w:t>
      </w:r>
      <w:r>
        <w:rPr>
          <w:noProof/>
        </w:rPr>
        <w:tab/>
      </w:r>
      <w:r>
        <w:rPr>
          <w:noProof/>
        </w:rPr>
        <w:fldChar w:fldCharType="begin"/>
      </w:r>
      <w:r>
        <w:rPr>
          <w:noProof/>
        </w:rPr>
        <w:instrText xml:space="preserve"> PAGEREF _Toc326845348 \h </w:instrText>
      </w:r>
      <w:r>
        <w:rPr>
          <w:noProof/>
        </w:rPr>
      </w:r>
      <w:r>
        <w:rPr>
          <w:noProof/>
        </w:rPr>
        <w:fldChar w:fldCharType="separate"/>
      </w:r>
      <w:r>
        <w:rPr>
          <w:noProof/>
        </w:rPr>
        <w:t>12</w:t>
      </w:r>
      <w:r>
        <w:rPr>
          <w:noProof/>
        </w:rPr>
        <w:fldChar w:fldCharType="end"/>
      </w:r>
    </w:p>
    <w:p w:rsidR="00A37A51" w:rsidRDefault="00A37A51">
      <w:pPr>
        <w:pStyle w:val="TOC1"/>
        <w:rPr>
          <w:rFonts w:asciiTheme="minorHAnsi" w:eastAsiaTheme="minorEastAsia" w:hAnsiTheme="minorHAnsi" w:cstheme="minorBidi"/>
          <w:b w:val="0"/>
          <w:noProof/>
          <w:sz w:val="22"/>
          <w:szCs w:val="22"/>
        </w:rPr>
      </w:pPr>
      <w:r w:rsidRPr="00793CC2">
        <w:rPr>
          <w:noProof/>
          <w:w w:val="105"/>
          <w:lang w:val="en-GB"/>
        </w:rPr>
        <w:t>5</w:t>
      </w:r>
      <w:r>
        <w:rPr>
          <w:rFonts w:asciiTheme="minorHAnsi" w:eastAsiaTheme="minorEastAsia" w:hAnsiTheme="minorHAnsi" w:cstheme="minorBidi"/>
          <w:b w:val="0"/>
          <w:noProof/>
          <w:sz w:val="22"/>
          <w:szCs w:val="22"/>
        </w:rPr>
        <w:tab/>
      </w:r>
      <w:r w:rsidRPr="00793CC2">
        <w:rPr>
          <w:noProof/>
          <w:w w:val="105"/>
          <w:lang w:val="en-GB"/>
        </w:rPr>
        <w:t>Changes in crop productivity</w:t>
      </w:r>
      <w:r>
        <w:rPr>
          <w:noProof/>
        </w:rPr>
        <w:tab/>
      </w:r>
      <w:r>
        <w:rPr>
          <w:noProof/>
        </w:rPr>
        <w:fldChar w:fldCharType="begin"/>
      </w:r>
      <w:r>
        <w:rPr>
          <w:noProof/>
        </w:rPr>
        <w:instrText xml:space="preserve"> PAGEREF _Toc326845349 \h </w:instrText>
      </w:r>
      <w:r>
        <w:rPr>
          <w:noProof/>
        </w:rPr>
      </w:r>
      <w:r>
        <w:rPr>
          <w:noProof/>
        </w:rPr>
        <w:fldChar w:fldCharType="separate"/>
      </w:r>
      <w:r>
        <w:rPr>
          <w:noProof/>
        </w:rPr>
        <w:t>14</w:t>
      </w:r>
      <w:r>
        <w:rPr>
          <w:noProof/>
        </w:rPr>
        <w:fldChar w:fldCharType="end"/>
      </w:r>
    </w:p>
    <w:p w:rsidR="00A37A51" w:rsidRDefault="00A37A51">
      <w:pPr>
        <w:pStyle w:val="TOC2"/>
        <w:tabs>
          <w:tab w:val="left" w:pos="1440"/>
        </w:tabs>
        <w:rPr>
          <w:rFonts w:asciiTheme="minorHAnsi" w:eastAsiaTheme="minorEastAsia" w:hAnsiTheme="minorHAnsi" w:cstheme="minorBidi"/>
          <w:noProof/>
          <w:sz w:val="22"/>
          <w:szCs w:val="22"/>
        </w:rPr>
      </w:pPr>
      <w:r w:rsidRPr="00793CC2">
        <w:rPr>
          <w:noProof/>
          <w:w w:val="105"/>
          <w:lang w:val="en-GB"/>
        </w:rPr>
        <w:t>5.1</w:t>
      </w:r>
      <w:r>
        <w:rPr>
          <w:rFonts w:asciiTheme="minorHAnsi" w:eastAsiaTheme="minorEastAsia" w:hAnsiTheme="minorHAnsi" w:cstheme="minorBidi"/>
          <w:noProof/>
          <w:sz w:val="22"/>
          <w:szCs w:val="22"/>
        </w:rPr>
        <w:tab/>
      </w:r>
      <w:r w:rsidRPr="00793CC2">
        <w:rPr>
          <w:noProof/>
          <w:w w:val="105"/>
          <w:lang w:val="en-GB"/>
        </w:rPr>
        <w:t>Yield potential is not yet being realised in Timor-Leste</w:t>
      </w:r>
      <w:r>
        <w:rPr>
          <w:noProof/>
        </w:rPr>
        <w:tab/>
      </w:r>
      <w:r>
        <w:rPr>
          <w:noProof/>
        </w:rPr>
        <w:fldChar w:fldCharType="begin"/>
      </w:r>
      <w:r>
        <w:rPr>
          <w:noProof/>
        </w:rPr>
        <w:instrText xml:space="preserve"> PAGEREF _Toc326845350 \h </w:instrText>
      </w:r>
      <w:r>
        <w:rPr>
          <w:noProof/>
        </w:rPr>
      </w:r>
      <w:r>
        <w:rPr>
          <w:noProof/>
        </w:rPr>
        <w:fldChar w:fldCharType="separate"/>
      </w:r>
      <w:r>
        <w:rPr>
          <w:noProof/>
        </w:rPr>
        <w:t>14</w:t>
      </w:r>
      <w:r>
        <w:rPr>
          <w:noProof/>
        </w:rPr>
        <w:fldChar w:fldCharType="end"/>
      </w:r>
    </w:p>
    <w:p w:rsidR="00A37A51" w:rsidRDefault="00A37A51">
      <w:pPr>
        <w:pStyle w:val="TOC2"/>
        <w:tabs>
          <w:tab w:val="left" w:pos="1440"/>
        </w:tabs>
        <w:rPr>
          <w:rFonts w:asciiTheme="minorHAnsi" w:eastAsiaTheme="minorEastAsia" w:hAnsiTheme="minorHAnsi" w:cstheme="minorBidi"/>
          <w:noProof/>
          <w:sz w:val="22"/>
          <w:szCs w:val="22"/>
        </w:rPr>
      </w:pPr>
      <w:r w:rsidRPr="00793CC2">
        <w:rPr>
          <w:noProof/>
          <w:w w:val="105"/>
          <w:lang w:val="en-GB"/>
        </w:rPr>
        <w:t>5.2</w:t>
      </w:r>
      <w:r>
        <w:rPr>
          <w:rFonts w:asciiTheme="minorHAnsi" w:eastAsiaTheme="minorEastAsia" w:hAnsiTheme="minorHAnsi" w:cstheme="minorBidi"/>
          <w:noProof/>
          <w:sz w:val="22"/>
          <w:szCs w:val="22"/>
        </w:rPr>
        <w:tab/>
      </w:r>
      <w:r w:rsidRPr="00793CC2">
        <w:rPr>
          <w:noProof/>
          <w:w w:val="105"/>
          <w:lang w:val="en-GB"/>
        </w:rPr>
        <w:t>Progress in accessing and evaluating new germplasm</w:t>
      </w:r>
      <w:r>
        <w:rPr>
          <w:noProof/>
        </w:rPr>
        <w:tab/>
      </w:r>
      <w:r>
        <w:rPr>
          <w:noProof/>
        </w:rPr>
        <w:fldChar w:fldCharType="begin"/>
      </w:r>
      <w:r>
        <w:rPr>
          <w:noProof/>
        </w:rPr>
        <w:instrText xml:space="preserve"> PAGEREF _Toc326845351 \h </w:instrText>
      </w:r>
      <w:r>
        <w:rPr>
          <w:noProof/>
        </w:rPr>
      </w:r>
      <w:r>
        <w:rPr>
          <w:noProof/>
        </w:rPr>
        <w:fldChar w:fldCharType="separate"/>
      </w:r>
      <w:r>
        <w:rPr>
          <w:noProof/>
        </w:rPr>
        <w:t>16</w:t>
      </w:r>
      <w:r>
        <w:rPr>
          <w:noProof/>
        </w:rPr>
        <w:fldChar w:fldCharType="end"/>
      </w:r>
    </w:p>
    <w:p w:rsidR="00A37A51" w:rsidRDefault="00A37A51">
      <w:pPr>
        <w:pStyle w:val="TOC2"/>
        <w:tabs>
          <w:tab w:val="left" w:pos="1440"/>
        </w:tabs>
        <w:rPr>
          <w:rFonts w:asciiTheme="minorHAnsi" w:eastAsiaTheme="minorEastAsia" w:hAnsiTheme="minorHAnsi" w:cstheme="minorBidi"/>
          <w:noProof/>
          <w:sz w:val="22"/>
          <w:szCs w:val="22"/>
        </w:rPr>
      </w:pPr>
      <w:r w:rsidRPr="00793CC2">
        <w:rPr>
          <w:noProof/>
          <w:w w:val="105"/>
          <w:lang w:val="en-GB"/>
        </w:rPr>
        <w:t>5.3</w:t>
      </w:r>
      <w:r>
        <w:rPr>
          <w:rFonts w:asciiTheme="minorHAnsi" w:eastAsiaTheme="minorEastAsia" w:hAnsiTheme="minorHAnsi" w:cstheme="minorBidi"/>
          <w:noProof/>
          <w:sz w:val="22"/>
          <w:szCs w:val="22"/>
        </w:rPr>
        <w:tab/>
      </w:r>
      <w:r w:rsidRPr="00793CC2">
        <w:rPr>
          <w:noProof/>
          <w:w w:val="105"/>
          <w:lang w:val="en-GB"/>
        </w:rPr>
        <w:t>Use vulnerability criteria to select new varieties</w:t>
      </w:r>
      <w:r>
        <w:rPr>
          <w:noProof/>
        </w:rPr>
        <w:tab/>
      </w:r>
      <w:r>
        <w:rPr>
          <w:noProof/>
        </w:rPr>
        <w:fldChar w:fldCharType="begin"/>
      </w:r>
      <w:r>
        <w:rPr>
          <w:noProof/>
        </w:rPr>
        <w:instrText xml:space="preserve"> PAGEREF _Toc326845352 \h </w:instrText>
      </w:r>
      <w:r>
        <w:rPr>
          <w:noProof/>
        </w:rPr>
      </w:r>
      <w:r>
        <w:rPr>
          <w:noProof/>
        </w:rPr>
        <w:fldChar w:fldCharType="separate"/>
      </w:r>
      <w:r>
        <w:rPr>
          <w:noProof/>
        </w:rPr>
        <w:t>17</w:t>
      </w:r>
      <w:r>
        <w:rPr>
          <w:noProof/>
        </w:rPr>
        <w:fldChar w:fldCharType="end"/>
      </w:r>
    </w:p>
    <w:p w:rsidR="00A37A51" w:rsidRDefault="00A37A51">
      <w:pPr>
        <w:pStyle w:val="TOC2"/>
        <w:tabs>
          <w:tab w:val="left" w:pos="1440"/>
        </w:tabs>
        <w:rPr>
          <w:rFonts w:asciiTheme="minorHAnsi" w:eastAsiaTheme="minorEastAsia" w:hAnsiTheme="minorHAnsi" w:cstheme="minorBidi"/>
          <w:noProof/>
          <w:sz w:val="22"/>
          <w:szCs w:val="22"/>
        </w:rPr>
      </w:pPr>
      <w:r w:rsidRPr="00793CC2">
        <w:rPr>
          <w:noProof/>
          <w:w w:val="105"/>
          <w:lang w:val="en-GB"/>
        </w:rPr>
        <w:t>5.4</w:t>
      </w:r>
      <w:r>
        <w:rPr>
          <w:rFonts w:asciiTheme="minorHAnsi" w:eastAsiaTheme="minorEastAsia" w:hAnsiTheme="minorHAnsi" w:cstheme="minorBidi"/>
          <w:noProof/>
          <w:sz w:val="22"/>
          <w:szCs w:val="22"/>
        </w:rPr>
        <w:tab/>
      </w:r>
      <w:r w:rsidRPr="00793CC2">
        <w:rPr>
          <w:noProof/>
          <w:w w:val="105"/>
          <w:lang w:val="en-GB"/>
        </w:rPr>
        <w:t>Taking selected varieties to scale</w:t>
      </w:r>
      <w:r>
        <w:rPr>
          <w:noProof/>
        </w:rPr>
        <w:tab/>
      </w:r>
      <w:r>
        <w:rPr>
          <w:noProof/>
        </w:rPr>
        <w:fldChar w:fldCharType="begin"/>
      </w:r>
      <w:r>
        <w:rPr>
          <w:noProof/>
        </w:rPr>
        <w:instrText xml:space="preserve"> PAGEREF _Toc326845353 \h </w:instrText>
      </w:r>
      <w:r>
        <w:rPr>
          <w:noProof/>
        </w:rPr>
      </w:r>
      <w:r>
        <w:rPr>
          <w:noProof/>
        </w:rPr>
        <w:fldChar w:fldCharType="separate"/>
      </w:r>
      <w:r>
        <w:rPr>
          <w:noProof/>
        </w:rPr>
        <w:t>18</w:t>
      </w:r>
      <w:r>
        <w:rPr>
          <w:noProof/>
        </w:rPr>
        <w:fldChar w:fldCharType="end"/>
      </w:r>
    </w:p>
    <w:p w:rsidR="00A37A51" w:rsidRDefault="00A37A51">
      <w:pPr>
        <w:pStyle w:val="TOC2"/>
        <w:tabs>
          <w:tab w:val="left" w:pos="992"/>
        </w:tabs>
        <w:rPr>
          <w:rFonts w:asciiTheme="minorHAnsi" w:eastAsiaTheme="minorEastAsia" w:hAnsiTheme="minorHAnsi" w:cstheme="minorBidi"/>
          <w:noProof/>
          <w:sz w:val="22"/>
          <w:szCs w:val="22"/>
        </w:rPr>
      </w:pPr>
      <w:r w:rsidRPr="00793CC2">
        <w:rPr>
          <w:noProof/>
          <w:lang w:val="en-GB"/>
        </w:rPr>
        <w:t>5.5</w:t>
      </w:r>
      <w:r>
        <w:rPr>
          <w:rFonts w:asciiTheme="minorHAnsi" w:eastAsiaTheme="minorEastAsia" w:hAnsiTheme="minorHAnsi" w:cstheme="minorBidi"/>
          <w:noProof/>
          <w:sz w:val="22"/>
          <w:szCs w:val="22"/>
        </w:rPr>
        <w:tab/>
      </w:r>
      <w:r w:rsidRPr="00793CC2">
        <w:rPr>
          <w:noProof/>
          <w:lang w:val="en-GB"/>
        </w:rPr>
        <w:t>Other opportunities</w:t>
      </w:r>
      <w:r>
        <w:rPr>
          <w:noProof/>
        </w:rPr>
        <w:tab/>
      </w:r>
      <w:r>
        <w:rPr>
          <w:noProof/>
        </w:rPr>
        <w:fldChar w:fldCharType="begin"/>
      </w:r>
      <w:r>
        <w:rPr>
          <w:noProof/>
        </w:rPr>
        <w:instrText xml:space="preserve"> PAGEREF _Toc326845354 \h </w:instrText>
      </w:r>
      <w:r>
        <w:rPr>
          <w:noProof/>
        </w:rPr>
      </w:r>
      <w:r>
        <w:rPr>
          <w:noProof/>
        </w:rPr>
        <w:fldChar w:fldCharType="separate"/>
      </w:r>
      <w:r>
        <w:rPr>
          <w:noProof/>
        </w:rPr>
        <w:t>18</w:t>
      </w:r>
      <w:r>
        <w:rPr>
          <w:noProof/>
        </w:rPr>
        <w:fldChar w:fldCharType="end"/>
      </w:r>
    </w:p>
    <w:p w:rsidR="00A37A51" w:rsidRDefault="00A37A51">
      <w:pPr>
        <w:pStyle w:val="TOC1"/>
        <w:rPr>
          <w:rFonts w:asciiTheme="minorHAnsi" w:eastAsiaTheme="minorEastAsia" w:hAnsiTheme="minorHAnsi" w:cstheme="minorBidi"/>
          <w:b w:val="0"/>
          <w:noProof/>
          <w:sz w:val="22"/>
          <w:szCs w:val="22"/>
        </w:rPr>
      </w:pPr>
      <w:r w:rsidRPr="00793CC2">
        <w:rPr>
          <w:noProof/>
          <w:w w:val="105"/>
          <w:lang w:val="en-GB"/>
        </w:rPr>
        <w:t>6</w:t>
      </w:r>
      <w:r>
        <w:rPr>
          <w:rFonts w:asciiTheme="minorHAnsi" w:eastAsiaTheme="minorEastAsia" w:hAnsiTheme="minorHAnsi" w:cstheme="minorBidi"/>
          <w:b w:val="0"/>
          <w:noProof/>
          <w:sz w:val="22"/>
          <w:szCs w:val="22"/>
        </w:rPr>
        <w:tab/>
      </w:r>
      <w:r w:rsidRPr="00793CC2">
        <w:rPr>
          <w:noProof/>
          <w:w w:val="105"/>
          <w:lang w:val="en-GB"/>
        </w:rPr>
        <w:t>Progress with integrating gender equality</w:t>
      </w:r>
      <w:r>
        <w:rPr>
          <w:noProof/>
        </w:rPr>
        <w:tab/>
      </w:r>
      <w:r>
        <w:rPr>
          <w:noProof/>
        </w:rPr>
        <w:fldChar w:fldCharType="begin"/>
      </w:r>
      <w:r>
        <w:rPr>
          <w:noProof/>
        </w:rPr>
        <w:instrText xml:space="preserve"> PAGEREF _Toc326845355 \h </w:instrText>
      </w:r>
      <w:r>
        <w:rPr>
          <w:noProof/>
        </w:rPr>
      </w:r>
      <w:r>
        <w:rPr>
          <w:noProof/>
        </w:rPr>
        <w:fldChar w:fldCharType="separate"/>
      </w:r>
      <w:r>
        <w:rPr>
          <w:noProof/>
        </w:rPr>
        <w:t>20</w:t>
      </w:r>
      <w:r>
        <w:rPr>
          <w:noProof/>
        </w:rPr>
        <w:fldChar w:fldCharType="end"/>
      </w:r>
    </w:p>
    <w:p w:rsidR="00A37A51" w:rsidRDefault="00A37A51">
      <w:pPr>
        <w:pStyle w:val="TOC1"/>
        <w:rPr>
          <w:rFonts w:asciiTheme="minorHAnsi" w:eastAsiaTheme="minorEastAsia" w:hAnsiTheme="minorHAnsi" w:cstheme="minorBidi"/>
          <w:b w:val="0"/>
          <w:noProof/>
          <w:sz w:val="22"/>
          <w:szCs w:val="22"/>
        </w:rPr>
      </w:pPr>
      <w:r w:rsidRPr="00793CC2">
        <w:rPr>
          <w:noProof/>
          <w:w w:val="105"/>
          <w:lang w:val="en-GB"/>
        </w:rPr>
        <w:t>7</w:t>
      </w:r>
      <w:r>
        <w:rPr>
          <w:rFonts w:asciiTheme="minorHAnsi" w:eastAsiaTheme="minorEastAsia" w:hAnsiTheme="minorHAnsi" w:cstheme="minorBidi"/>
          <w:b w:val="0"/>
          <w:noProof/>
          <w:sz w:val="22"/>
          <w:szCs w:val="22"/>
        </w:rPr>
        <w:tab/>
      </w:r>
      <w:r w:rsidRPr="00793CC2">
        <w:rPr>
          <w:noProof/>
          <w:w w:val="105"/>
          <w:lang w:val="en-GB"/>
        </w:rPr>
        <w:t>Progress with TAG 1 recommendations</w:t>
      </w:r>
      <w:r>
        <w:rPr>
          <w:noProof/>
        </w:rPr>
        <w:tab/>
      </w:r>
      <w:r>
        <w:rPr>
          <w:noProof/>
        </w:rPr>
        <w:fldChar w:fldCharType="begin"/>
      </w:r>
      <w:r>
        <w:rPr>
          <w:noProof/>
        </w:rPr>
        <w:instrText xml:space="preserve"> PAGEREF _Toc326845356 \h </w:instrText>
      </w:r>
      <w:r>
        <w:rPr>
          <w:noProof/>
        </w:rPr>
      </w:r>
      <w:r>
        <w:rPr>
          <w:noProof/>
        </w:rPr>
        <w:fldChar w:fldCharType="separate"/>
      </w:r>
      <w:r>
        <w:rPr>
          <w:noProof/>
        </w:rPr>
        <w:t>21</w:t>
      </w:r>
      <w:r>
        <w:rPr>
          <w:noProof/>
        </w:rPr>
        <w:fldChar w:fldCharType="end"/>
      </w:r>
    </w:p>
    <w:p w:rsidR="00A37A51" w:rsidRDefault="00A37A51">
      <w:pPr>
        <w:pStyle w:val="TOC1"/>
        <w:rPr>
          <w:rFonts w:asciiTheme="minorHAnsi" w:eastAsiaTheme="minorEastAsia" w:hAnsiTheme="minorHAnsi" w:cstheme="minorBidi"/>
          <w:b w:val="0"/>
          <w:noProof/>
          <w:sz w:val="22"/>
          <w:szCs w:val="22"/>
        </w:rPr>
      </w:pPr>
      <w:r w:rsidRPr="00793CC2">
        <w:rPr>
          <w:noProof/>
          <w:lang w:val="en-GB"/>
        </w:rPr>
        <w:t>8</w:t>
      </w:r>
      <w:r>
        <w:rPr>
          <w:rFonts w:asciiTheme="minorHAnsi" w:eastAsiaTheme="minorEastAsia" w:hAnsiTheme="minorHAnsi" w:cstheme="minorBidi"/>
          <w:b w:val="0"/>
          <w:noProof/>
          <w:sz w:val="22"/>
          <w:szCs w:val="22"/>
        </w:rPr>
        <w:tab/>
      </w:r>
      <w:r w:rsidRPr="00793CC2">
        <w:rPr>
          <w:noProof/>
          <w:lang w:val="en-GB"/>
        </w:rPr>
        <w:t>Recommendations</w:t>
      </w:r>
      <w:r>
        <w:rPr>
          <w:noProof/>
        </w:rPr>
        <w:tab/>
      </w:r>
      <w:r>
        <w:rPr>
          <w:noProof/>
        </w:rPr>
        <w:fldChar w:fldCharType="begin"/>
      </w:r>
      <w:r>
        <w:rPr>
          <w:noProof/>
        </w:rPr>
        <w:instrText xml:space="preserve"> PAGEREF _Toc326845357 \h </w:instrText>
      </w:r>
      <w:r>
        <w:rPr>
          <w:noProof/>
        </w:rPr>
      </w:r>
      <w:r>
        <w:rPr>
          <w:noProof/>
        </w:rPr>
        <w:fldChar w:fldCharType="separate"/>
      </w:r>
      <w:r>
        <w:rPr>
          <w:noProof/>
        </w:rPr>
        <w:t>22</w:t>
      </w:r>
      <w:r>
        <w:rPr>
          <w:noProof/>
        </w:rPr>
        <w:fldChar w:fldCharType="end"/>
      </w:r>
    </w:p>
    <w:p w:rsidR="00664B96" w:rsidRPr="00F92346" w:rsidRDefault="00FB2DD9">
      <w:pPr>
        <w:tabs>
          <w:tab w:val="right" w:pos="8647"/>
        </w:tabs>
        <w:rPr>
          <w:caps/>
          <w:color w:val="0000FF"/>
          <w:sz w:val="20"/>
          <w:szCs w:val="20"/>
          <w:lang w:val="en-GB"/>
        </w:rPr>
      </w:pPr>
      <w:r w:rsidRPr="003D1B5E">
        <w:rPr>
          <w:caps/>
          <w:color w:val="0000FF"/>
          <w:sz w:val="28"/>
          <w:lang w:val="en-GB"/>
        </w:rPr>
        <w:fldChar w:fldCharType="end"/>
      </w:r>
    </w:p>
    <w:p w:rsidR="00664B96" w:rsidRPr="003D1B5E" w:rsidRDefault="00F62A87" w:rsidP="001E5CCA">
      <w:pPr>
        <w:spacing w:before="120"/>
        <w:jc w:val="center"/>
        <w:rPr>
          <w:rFonts w:ascii="Arial" w:hAnsi="Arial"/>
          <w:b/>
          <w:smallCaps/>
          <w:sz w:val="32"/>
          <w:lang w:val="en-GB"/>
        </w:rPr>
      </w:pPr>
      <w:r w:rsidRPr="003D1B5E">
        <w:rPr>
          <w:rFonts w:ascii="Arial" w:hAnsi="Arial"/>
          <w:b/>
          <w:smallCaps/>
          <w:sz w:val="32"/>
          <w:lang w:val="en-GB"/>
        </w:rPr>
        <w:t>Charts</w:t>
      </w:r>
    </w:p>
    <w:p w:rsidR="00A37A51" w:rsidRDefault="00FB2DD9">
      <w:pPr>
        <w:pStyle w:val="TableofFigures"/>
        <w:rPr>
          <w:rFonts w:asciiTheme="minorHAnsi" w:eastAsiaTheme="minorEastAsia" w:hAnsiTheme="minorHAnsi" w:cstheme="minorBidi"/>
          <w:noProof/>
          <w:sz w:val="22"/>
          <w:szCs w:val="22"/>
        </w:rPr>
      </w:pPr>
      <w:r w:rsidRPr="003D1B5E">
        <w:rPr>
          <w:caps/>
          <w:color w:val="0000FF"/>
          <w:lang w:val="en-GB"/>
        </w:rPr>
        <w:fldChar w:fldCharType="begin"/>
      </w:r>
      <w:r w:rsidR="00435875" w:rsidRPr="003D1B5E">
        <w:rPr>
          <w:caps/>
          <w:color w:val="0000FF"/>
          <w:lang w:val="en-GB"/>
        </w:rPr>
        <w:instrText xml:space="preserve"> TOC \h \z \c "Chart" </w:instrText>
      </w:r>
      <w:r w:rsidRPr="003D1B5E">
        <w:rPr>
          <w:caps/>
          <w:color w:val="0000FF"/>
          <w:lang w:val="en-GB"/>
        </w:rPr>
        <w:fldChar w:fldCharType="separate"/>
      </w:r>
      <w:hyperlink w:anchor="_Toc326845358" w:history="1">
        <w:r w:rsidR="00A37A51" w:rsidRPr="00AB792F">
          <w:rPr>
            <w:rStyle w:val="Hyperlink"/>
            <w:noProof/>
            <w:lang w:val="en-GB"/>
          </w:rPr>
          <w:t>Chart 1 : SOL3 results depend on success of ISPGs</w:t>
        </w:r>
        <w:r w:rsidR="00A37A51">
          <w:rPr>
            <w:noProof/>
            <w:webHidden/>
          </w:rPr>
          <w:tab/>
        </w:r>
        <w:r w:rsidR="00A37A51">
          <w:rPr>
            <w:noProof/>
            <w:webHidden/>
          </w:rPr>
          <w:fldChar w:fldCharType="begin"/>
        </w:r>
        <w:r w:rsidR="00A37A51">
          <w:rPr>
            <w:noProof/>
            <w:webHidden/>
          </w:rPr>
          <w:instrText xml:space="preserve"> PAGEREF _Toc326845358 \h </w:instrText>
        </w:r>
        <w:r w:rsidR="00A37A51">
          <w:rPr>
            <w:noProof/>
            <w:webHidden/>
          </w:rPr>
        </w:r>
        <w:r w:rsidR="00A37A51">
          <w:rPr>
            <w:noProof/>
            <w:webHidden/>
          </w:rPr>
          <w:fldChar w:fldCharType="separate"/>
        </w:r>
        <w:r w:rsidR="00A37A51">
          <w:rPr>
            <w:noProof/>
            <w:webHidden/>
          </w:rPr>
          <w:t>2</w:t>
        </w:r>
        <w:r w:rsidR="00A37A51">
          <w:rPr>
            <w:noProof/>
            <w:webHidden/>
          </w:rPr>
          <w:fldChar w:fldCharType="end"/>
        </w:r>
      </w:hyperlink>
    </w:p>
    <w:p w:rsidR="00A37A51" w:rsidRDefault="000965D6">
      <w:pPr>
        <w:pStyle w:val="TableofFigures"/>
        <w:rPr>
          <w:rFonts w:asciiTheme="minorHAnsi" w:eastAsiaTheme="minorEastAsia" w:hAnsiTheme="minorHAnsi" w:cstheme="minorBidi"/>
          <w:noProof/>
          <w:sz w:val="22"/>
          <w:szCs w:val="22"/>
        </w:rPr>
      </w:pPr>
      <w:hyperlink w:anchor="_Toc326845359" w:history="1">
        <w:r w:rsidR="00A37A51" w:rsidRPr="00AB792F">
          <w:rPr>
            <w:rStyle w:val="Hyperlink"/>
            <w:noProof/>
          </w:rPr>
          <w:t>Chart 2 : MAF costs for transition</w:t>
        </w:r>
        <w:r w:rsidR="00A37A51">
          <w:rPr>
            <w:noProof/>
            <w:webHidden/>
          </w:rPr>
          <w:tab/>
        </w:r>
        <w:r w:rsidR="00A37A51">
          <w:rPr>
            <w:noProof/>
            <w:webHidden/>
          </w:rPr>
          <w:fldChar w:fldCharType="begin"/>
        </w:r>
        <w:r w:rsidR="00A37A51">
          <w:rPr>
            <w:noProof/>
            <w:webHidden/>
          </w:rPr>
          <w:instrText xml:space="preserve"> PAGEREF _Toc326845359 \h </w:instrText>
        </w:r>
        <w:r w:rsidR="00A37A51">
          <w:rPr>
            <w:noProof/>
            <w:webHidden/>
          </w:rPr>
        </w:r>
        <w:r w:rsidR="00A37A51">
          <w:rPr>
            <w:noProof/>
            <w:webHidden/>
          </w:rPr>
          <w:fldChar w:fldCharType="separate"/>
        </w:r>
        <w:r w:rsidR="00A37A51">
          <w:rPr>
            <w:noProof/>
            <w:webHidden/>
          </w:rPr>
          <w:t>6</w:t>
        </w:r>
        <w:r w:rsidR="00A37A51">
          <w:rPr>
            <w:noProof/>
            <w:webHidden/>
          </w:rPr>
          <w:fldChar w:fldCharType="end"/>
        </w:r>
      </w:hyperlink>
    </w:p>
    <w:p w:rsidR="00A37A51" w:rsidRDefault="000965D6">
      <w:pPr>
        <w:pStyle w:val="TableofFigures"/>
        <w:rPr>
          <w:rFonts w:asciiTheme="minorHAnsi" w:eastAsiaTheme="minorEastAsia" w:hAnsiTheme="minorHAnsi" w:cstheme="minorBidi"/>
          <w:noProof/>
          <w:sz w:val="22"/>
          <w:szCs w:val="22"/>
        </w:rPr>
      </w:pPr>
      <w:hyperlink w:anchor="_Toc326845360" w:history="1">
        <w:r w:rsidR="00A37A51" w:rsidRPr="00AB792F">
          <w:rPr>
            <w:rStyle w:val="Hyperlink"/>
            <w:noProof/>
          </w:rPr>
          <w:t>Chart 3 : Indicative time line to prepare for transition in 2014</w:t>
        </w:r>
        <w:r w:rsidR="00A37A51">
          <w:rPr>
            <w:noProof/>
            <w:webHidden/>
          </w:rPr>
          <w:tab/>
        </w:r>
        <w:r w:rsidR="00A37A51">
          <w:rPr>
            <w:noProof/>
            <w:webHidden/>
          </w:rPr>
          <w:fldChar w:fldCharType="begin"/>
        </w:r>
        <w:r w:rsidR="00A37A51">
          <w:rPr>
            <w:noProof/>
            <w:webHidden/>
          </w:rPr>
          <w:instrText xml:space="preserve"> PAGEREF _Toc326845360 \h </w:instrText>
        </w:r>
        <w:r w:rsidR="00A37A51">
          <w:rPr>
            <w:noProof/>
            <w:webHidden/>
          </w:rPr>
        </w:r>
        <w:r w:rsidR="00A37A51">
          <w:rPr>
            <w:noProof/>
            <w:webHidden/>
          </w:rPr>
          <w:fldChar w:fldCharType="separate"/>
        </w:r>
        <w:r w:rsidR="00A37A51">
          <w:rPr>
            <w:noProof/>
            <w:webHidden/>
          </w:rPr>
          <w:t>6</w:t>
        </w:r>
        <w:r w:rsidR="00A37A51">
          <w:rPr>
            <w:noProof/>
            <w:webHidden/>
          </w:rPr>
          <w:fldChar w:fldCharType="end"/>
        </w:r>
      </w:hyperlink>
    </w:p>
    <w:p w:rsidR="00A37A51" w:rsidRDefault="000965D6">
      <w:pPr>
        <w:pStyle w:val="TableofFigures"/>
        <w:rPr>
          <w:rFonts w:asciiTheme="minorHAnsi" w:eastAsiaTheme="minorEastAsia" w:hAnsiTheme="minorHAnsi" w:cstheme="minorBidi"/>
          <w:noProof/>
          <w:sz w:val="22"/>
          <w:szCs w:val="22"/>
        </w:rPr>
      </w:pPr>
      <w:hyperlink w:anchor="_Toc326845361" w:history="1">
        <w:r w:rsidR="00A37A51" w:rsidRPr="00AB792F">
          <w:rPr>
            <w:rStyle w:val="Hyperlink"/>
            <w:noProof/>
          </w:rPr>
          <w:t>Chart 4 : Timor-Leste is missing out on the yield potential of key crops</w:t>
        </w:r>
        <w:r w:rsidR="00A37A51">
          <w:rPr>
            <w:noProof/>
            <w:webHidden/>
          </w:rPr>
          <w:tab/>
        </w:r>
        <w:r w:rsidR="00A37A51">
          <w:rPr>
            <w:noProof/>
            <w:webHidden/>
          </w:rPr>
          <w:fldChar w:fldCharType="begin"/>
        </w:r>
        <w:r w:rsidR="00A37A51">
          <w:rPr>
            <w:noProof/>
            <w:webHidden/>
          </w:rPr>
          <w:instrText xml:space="preserve"> PAGEREF _Toc326845361 \h </w:instrText>
        </w:r>
        <w:r w:rsidR="00A37A51">
          <w:rPr>
            <w:noProof/>
            <w:webHidden/>
          </w:rPr>
        </w:r>
        <w:r w:rsidR="00A37A51">
          <w:rPr>
            <w:noProof/>
            <w:webHidden/>
          </w:rPr>
          <w:fldChar w:fldCharType="separate"/>
        </w:r>
        <w:r w:rsidR="00A37A51">
          <w:rPr>
            <w:noProof/>
            <w:webHidden/>
          </w:rPr>
          <w:t>14</w:t>
        </w:r>
        <w:r w:rsidR="00A37A51">
          <w:rPr>
            <w:noProof/>
            <w:webHidden/>
          </w:rPr>
          <w:fldChar w:fldCharType="end"/>
        </w:r>
      </w:hyperlink>
    </w:p>
    <w:p w:rsidR="00A37A51" w:rsidRDefault="000965D6">
      <w:pPr>
        <w:pStyle w:val="TableofFigures"/>
        <w:rPr>
          <w:rFonts w:asciiTheme="minorHAnsi" w:eastAsiaTheme="minorEastAsia" w:hAnsiTheme="minorHAnsi" w:cstheme="minorBidi"/>
          <w:noProof/>
          <w:sz w:val="22"/>
          <w:szCs w:val="22"/>
        </w:rPr>
      </w:pPr>
      <w:hyperlink w:anchor="_Toc326845362" w:history="1">
        <w:r w:rsidR="00A37A51" w:rsidRPr="00AB792F">
          <w:rPr>
            <w:rStyle w:val="Hyperlink"/>
            <w:noProof/>
          </w:rPr>
          <w:t>Chart 5 : Maize yield vs N rate in SE Asia</w:t>
        </w:r>
        <w:r w:rsidR="00A37A51">
          <w:rPr>
            <w:noProof/>
            <w:webHidden/>
          </w:rPr>
          <w:tab/>
        </w:r>
        <w:r w:rsidR="00A37A51">
          <w:rPr>
            <w:noProof/>
            <w:webHidden/>
          </w:rPr>
          <w:fldChar w:fldCharType="begin"/>
        </w:r>
        <w:r w:rsidR="00A37A51">
          <w:rPr>
            <w:noProof/>
            <w:webHidden/>
          </w:rPr>
          <w:instrText xml:space="preserve"> PAGEREF _Toc326845362 \h </w:instrText>
        </w:r>
        <w:r w:rsidR="00A37A51">
          <w:rPr>
            <w:noProof/>
            <w:webHidden/>
          </w:rPr>
        </w:r>
        <w:r w:rsidR="00A37A51">
          <w:rPr>
            <w:noProof/>
            <w:webHidden/>
          </w:rPr>
          <w:fldChar w:fldCharType="separate"/>
        </w:r>
        <w:r w:rsidR="00A37A51">
          <w:rPr>
            <w:noProof/>
            <w:webHidden/>
          </w:rPr>
          <w:t>14</w:t>
        </w:r>
        <w:r w:rsidR="00A37A51">
          <w:rPr>
            <w:noProof/>
            <w:webHidden/>
          </w:rPr>
          <w:fldChar w:fldCharType="end"/>
        </w:r>
      </w:hyperlink>
    </w:p>
    <w:p w:rsidR="004F018C" w:rsidRPr="00F92346" w:rsidRDefault="00FB2DD9" w:rsidP="006654F9">
      <w:pPr>
        <w:tabs>
          <w:tab w:val="right" w:leader="dot" w:pos="8647"/>
        </w:tabs>
        <w:jc w:val="left"/>
        <w:rPr>
          <w:caps/>
          <w:color w:val="0000FF"/>
          <w:sz w:val="20"/>
          <w:szCs w:val="20"/>
          <w:lang w:val="en-GB"/>
        </w:rPr>
      </w:pPr>
      <w:r w:rsidRPr="003D1B5E">
        <w:rPr>
          <w:rFonts w:ascii="Arial" w:hAnsi="Arial"/>
          <w:caps/>
          <w:color w:val="0000FF"/>
          <w:lang w:val="en-GB"/>
        </w:rPr>
        <w:fldChar w:fldCharType="end"/>
      </w:r>
    </w:p>
    <w:p w:rsidR="00664B96" w:rsidRPr="003D1B5E" w:rsidRDefault="00664B96" w:rsidP="001E5CCA">
      <w:pPr>
        <w:tabs>
          <w:tab w:val="right" w:leader="dot" w:pos="8647"/>
        </w:tabs>
        <w:spacing w:before="120"/>
        <w:jc w:val="center"/>
        <w:rPr>
          <w:rFonts w:ascii="Arial" w:hAnsi="Arial"/>
          <w:b/>
          <w:smallCaps/>
          <w:sz w:val="32"/>
          <w:lang w:val="en-GB"/>
        </w:rPr>
      </w:pPr>
      <w:r w:rsidRPr="003D1B5E">
        <w:rPr>
          <w:rFonts w:ascii="Arial" w:hAnsi="Arial"/>
          <w:b/>
          <w:smallCaps/>
          <w:sz w:val="32"/>
          <w:lang w:val="en-GB"/>
        </w:rPr>
        <w:t>Annexes</w:t>
      </w:r>
    </w:p>
    <w:p w:rsidR="00664B96" w:rsidRPr="003D1B5E" w:rsidRDefault="00664B96">
      <w:pPr>
        <w:tabs>
          <w:tab w:val="right" w:leader="dot" w:pos="8647"/>
        </w:tabs>
        <w:spacing w:after="60"/>
        <w:ind w:left="1134" w:hanging="1134"/>
        <w:rPr>
          <w:rFonts w:ascii="Arial" w:hAnsi="Arial"/>
          <w:lang w:val="en-GB"/>
        </w:rPr>
      </w:pPr>
      <w:r w:rsidRPr="003D1B5E">
        <w:rPr>
          <w:rFonts w:ascii="Arial" w:hAnsi="Arial"/>
          <w:lang w:val="en-GB"/>
        </w:rPr>
        <w:t xml:space="preserve">Annex </w:t>
      </w:r>
      <w:r w:rsidR="00826245" w:rsidRPr="003D1B5E">
        <w:rPr>
          <w:rFonts w:ascii="Arial" w:hAnsi="Arial"/>
          <w:lang w:val="en-GB"/>
        </w:rPr>
        <w:t>1</w:t>
      </w:r>
      <w:r w:rsidRPr="003D1B5E">
        <w:rPr>
          <w:rFonts w:ascii="Arial" w:hAnsi="Arial"/>
          <w:lang w:val="en-GB"/>
        </w:rPr>
        <w:t>:</w:t>
      </w:r>
      <w:r w:rsidRPr="003D1B5E">
        <w:rPr>
          <w:rFonts w:ascii="Arial" w:hAnsi="Arial"/>
          <w:lang w:val="en-GB"/>
        </w:rPr>
        <w:tab/>
      </w:r>
      <w:r w:rsidR="00854E11" w:rsidRPr="003D1B5E">
        <w:rPr>
          <w:rFonts w:ascii="Arial" w:hAnsi="Arial"/>
          <w:lang w:val="en-GB"/>
        </w:rPr>
        <w:t xml:space="preserve">TAG </w:t>
      </w:r>
      <w:r w:rsidR="00C14680" w:rsidRPr="003D1B5E">
        <w:rPr>
          <w:rFonts w:ascii="Arial" w:hAnsi="Arial"/>
          <w:lang w:val="en-GB"/>
        </w:rPr>
        <w:t xml:space="preserve">2 </w:t>
      </w:r>
      <w:r w:rsidR="00854E11" w:rsidRPr="003D1B5E">
        <w:rPr>
          <w:rFonts w:ascii="Arial" w:hAnsi="Arial"/>
          <w:lang w:val="en-GB"/>
        </w:rPr>
        <w:t xml:space="preserve">Rapid Appraisal SWOT </w:t>
      </w:r>
      <w:proofErr w:type="gramStart"/>
      <w:r w:rsidR="00854E11" w:rsidRPr="003D1B5E">
        <w:rPr>
          <w:rFonts w:ascii="Arial" w:hAnsi="Arial"/>
          <w:lang w:val="en-GB"/>
        </w:rPr>
        <w:t>Analysis</w:t>
      </w:r>
      <w:proofErr w:type="gramEnd"/>
    </w:p>
    <w:p w:rsidR="00252170" w:rsidRPr="003D1B5E" w:rsidRDefault="00252170">
      <w:pPr>
        <w:tabs>
          <w:tab w:val="right" w:leader="dot" w:pos="8647"/>
        </w:tabs>
        <w:spacing w:after="60"/>
        <w:ind w:left="1134" w:hanging="1134"/>
        <w:rPr>
          <w:rFonts w:ascii="Arial" w:hAnsi="Arial"/>
          <w:lang w:val="en-GB"/>
        </w:rPr>
      </w:pPr>
      <w:r w:rsidRPr="003D1B5E">
        <w:rPr>
          <w:rFonts w:ascii="Arial" w:hAnsi="Arial"/>
          <w:lang w:val="en-GB"/>
        </w:rPr>
        <w:t>Annex 2:</w:t>
      </w:r>
      <w:r w:rsidRPr="003D1B5E">
        <w:rPr>
          <w:rFonts w:ascii="Arial" w:hAnsi="Arial"/>
          <w:lang w:val="en-GB"/>
        </w:rPr>
        <w:tab/>
      </w:r>
      <w:r w:rsidR="003424EC">
        <w:rPr>
          <w:rFonts w:ascii="Arial" w:hAnsi="Arial"/>
          <w:lang w:val="en-GB"/>
        </w:rPr>
        <w:t>Measuring progress towards behaviour change</w:t>
      </w:r>
    </w:p>
    <w:p w:rsidR="003D231F" w:rsidRPr="003D1B5E" w:rsidRDefault="003D231F" w:rsidP="00F92346">
      <w:pPr>
        <w:pStyle w:val="Heading1"/>
        <w:numPr>
          <w:ilvl w:val="0"/>
          <w:numId w:val="0"/>
        </w:numPr>
        <w:jc w:val="center"/>
        <w:rPr>
          <w:lang w:val="en-GB"/>
        </w:rPr>
      </w:pPr>
      <w:bookmarkStart w:id="1" w:name="_Toc326845335"/>
      <w:r w:rsidRPr="003D1B5E">
        <w:rPr>
          <w:lang w:val="en-GB"/>
        </w:rPr>
        <w:lastRenderedPageBreak/>
        <w:t>Executive summary</w:t>
      </w:r>
      <w:bookmarkEnd w:id="1"/>
    </w:p>
    <w:p w:rsidR="003D231F" w:rsidRPr="00A5231E" w:rsidRDefault="003D231F" w:rsidP="00A5231E">
      <w:pPr>
        <w:ind w:right="142"/>
        <w:jc w:val="left"/>
        <w:rPr>
          <w:spacing w:val="-3"/>
          <w:w w:val="105"/>
          <w:sz w:val="20"/>
          <w:lang w:val="en-GB"/>
        </w:rPr>
      </w:pPr>
      <w:proofErr w:type="gramStart"/>
      <w:r w:rsidRPr="00A5231E">
        <w:rPr>
          <w:spacing w:val="-3"/>
          <w:w w:val="105"/>
          <w:sz w:val="20"/>
          <w:lang w:val="en-GB"/>
        </w:rPr>
        <w:t>Seeds of Life Phase 3 (SOL3) is</w:t>
      </w:r>
      <w:proofErr w:type="gramEnd"/>
      <w:r w:rsidRPr="00A5231E">
        <w:rPr>
          <w:spacing w:val="-3"/>
          <w:w w:val="105"/>
          <w:sz w:val="20"/>
          <w:lang w:val="en-GB"/>
        </w:rPr>
        <w:t xml:space="preserve"> a program within the Timor-Leste Ministry of Agriculture and Fisheries (MAF), funded jointly by the Governments of Timor-Leste and Australia. Australian funding is through </w:t>
      </w:r>
      <w:r w:rsidRPr="00A5231E">
        <w:rPr>
          <w:spacing w:val="-2"/>
          <w:w w:val="105"/>
          <w:sz w:val="20"/>
          <w:lang w:val="en-GB"/>
        </w:rPr>
        <w:t>the Australian Agency for International Development (AusAID) and the Australian Centre for Inte</w:t>
      </w:r>
      <w:r w:rsidR="00F92346">
        <w:rPr>
          <w:spacing w:val="-2"/>
          <w:w w:val="105"/>
          <w:sz w:val="20"/>
          <w:lang w:val="en-GB"/>
        </w:rPr>
        <w:t>rnat</w:t>
      </w:r>
      <w:r w:rsidRPr="00A5231E">
        <w:rPr>
          <w:spacing w:val="-2"/>
          <w:w w:val="105"/>
          <w:sz w:val="20"/>
          <w:lang w:val="en-GB"/>
        </w:rPr>
        <w:t xml:space="preserve">ional </w:t>
      </w:r>
      <w:r w:rsidRPr="00A5231E">
        <w:rPr>
          <w:w w:val="105"/>
          <w:sz w:val="20"/>
          <w:lang w:val="en-GB"/>
        </w:rPr>
        <w:t xml:space="preserve">Agricultural Research (ACIAR). SOL3 is managed by a Program Implementation Team formed from </w:t>
      </w:r>
      <w:r w:rsidRPr="00A5231E">
        <w:rPr>
          <w:spacing w:val="-6"/>
          <w:w w:val="105"/>
          <w:sz w:val="20"/>
          <w:lang w:val="en-GB"/>
        </w:rPr>
        <w:t xml:space="preserve">senior MAF staff and SOL staff engaged through ACIAR’s commissioned organisation, the University of </w:t>
      </w:r>
      <w:r w:rsidRPr="00A5231E">
        <w:rPr>
          <w:spacing w:val="-4"/>
          <w:w w:val="105"/>
          <w:sz w:val="20"/>
          <w:lang w:val="en-GB"/>
        </w:rPr>
        <w:t xml:space="preserve">Western Australia.  </w:t>
      </w:r>
      <w:r w:rsidRPr="00A5231E">
        <w:rPr>
          <w:spacing w:val="4"/>
          <w:w w:val="105"/>
          <w:sz w:val="20"/>
          <w:lang w:val="en-GB"/>
        </w:rPr>
        <w:t xml:space="preserve">MAF, AusAID and ACIAR engaged a 2-person Technical Advisory Group (TAG) </w:t>
      </w:r>
      <w:r w:rsidRPr="00A5231E">
        <w:rPr>
          <w:spacing w:val="-5"/>
          <w:w w:val="105"/>
          <w:sz w:val="20"/>
          <w:lang w:val="en-GB"/>
        </w:rPr>
        <w:t xml:space="preserve">to provide an independent assessment of the progress of SOL3.  The purpose of the TAG is to (1) provide an independent assessment of the progress of SOL 3, the contributions of both the MAF and the Australian Government and the extent to which planned benefits are being achieved; (2) assess whether any modifications to the implementation strategy, program design, management or monitoring arrangements are warranted; and (3) provide advice and/or recommendations to address risks, and to improve program quality and sustainability.  This second </w:t>
      </w:r>
      <w:r w:rsidRPr="00A5231E">
        <w:rPr>
          <w:spacing w:val="-3"/>
          <w:w w:val="105"/>
          <w:sz w:val="20"/>
          <w:lang w:val="en-GB"/>
        </w:rPr>
        <w:t xml:space="preserve">TAG visit was conducted between April 30 and May 8, 2012, and concentrated mainly on the </w:t>
      </w:r>
      <w:r w:rsidR="000022EE" w:rsidRPr="00A5231E">
        <w:rPr>
          <w:spacing w:val="-3"/>
          <w:w w:val="105"/>
          <w:sz w:val="20"/>
          <w:lang w:val="en-GB"/>
        </w:rPr>
        <w:t>performance management</w:t>
      </w:r>
      <w:r w:rsidRPr="00A5231E">
        <w:rPr>
          <w:spacing w:val="-3"/>
          <w:w w:val="105"/>
          <w:sz w:val="20"/>
          <w:lang w:val="en-GB"/>
        </w:rPr>
        <w:t xml:space="preserve"> system, the progress and effectiveness of the informal seed component, and the progress towards transition of project execution from SOL3 to MAF. </w:t>
      </w:r>
      <w:r w:rsidR="000022EE" w:rsidRPr="00A5231E">
        <w:rPr>
          <w:spacing w:val="-3"/>
          <w:w w:val="105"/>
          <w:sz w:val="20"/>
          <w:lang w:val="en-GB"/>
        </w:rPr>
        <w:t xml:space="preserve"> </w:t>
      </w:r>
      <w:r w:rsidRPr="00A5231E">
        <w:rPr>
          <w:spacing w:val="-3"/>
          <w:w w:val="105"/>
          <w:sz w:val="20"/>
          <w:lang w:val="en-GB"/>
        </w:rPr>
        <w:t>The TAG visited informal seed production groups and on-farm demonstration trials in</w:t>
      </w:r>
      <w:r w:rsidRPr="00A5231E">
        <w:rPr>
          <w:sz w:val="20"/>
          <w:lang w:val="en-GB"/>
        </w:rPr>
        <w:t xml:space="preserve"> </w:t>
      </w:r>
      <w:r w:rsidRPr="00A5231E">
        <w:rPr>
          <w:spacing w:val="-3"/>
          <w:w w:val="105"/>
          <w:sz w:val="20"/>
          <w:lang w:val="en-GB"/>
        </w:rPr>
        <w:t xml:space="preserve">the </w:t>
      </w:r>
      <w:r w:rsidRPr="00A5231E">
        <w:rPr>
          <w:i/>
          <w:spacing w:val="-3"/>
          <w:w w:val="105"/>
          <w:sz w:val="20"/>
          <w:lang w:val="en-GB"/>
        </w:rPr>
        <w:t>sucos</w:t>
      </w:r>
      <w:r w:rsidRPr="00A5231E">
        <w:rPr>
          <w:spacing w:val="-3"/>
          <w:w w:val="105"/>
          <w:sz w:val="20"/>
          <w:lang w:val="en-GB"/>
        </w:rPr>
        <w:t xml:space="preserve"> of Batugade, Cailaco, Carabau, Kotaboot and Lahomea in Bobonaro District; Experiment Stations at Loes, Liquiҫá, and Raimaten (rice), Bobonaro; a Seed Production Centre at Corluli, Bobonaro; as well as consulting</w:t>
      </w:r>
      <w:r w:rsidRPr="00A5231E">
        <w:rPr>
          <w:spacing w:val="-4"/>
          <w:w w:val="105"/>
          <w:sz w:val="20"/>
          <w:lang w:val="en-GB"/>
        </w:rPr>
        <w:t xml:space="preserve"> MAF, SOL3 advisors, AusAID and ACIAR in Dili</w:t>
      </w:r>
      <w:r w:rsidRPr="00A5231E">
        <w:rPr>
          <w:spacing w:val="-3"/>
          <w:w w:val="105"/>
          <w:sz w:val="20"/>
          <w:lang w:val="en-GB"/>
        </w:rPr>
        <w:t>.</w:t>
      </w:r>
    </w:p>
    <w:p w:rsidR="003D231F" w:rsidRPr="00974414" w:rsidRDefault="003D231F" w:rsidP="003D231F">
      <w:pPr>
        <w:ind w:right="144"/>
        <w:jc w:val="left"/>
        <w:rPr>
          <w:spacing w:val="-4"/>
          <w:w w:val="105"/>
          <w:sz w:val="16"/>
          <w:szCs w:val="16"/>
          <w:lang w:val="en-GB"/>
        </w:rPr>
      </w:pPr>
    </w:p>
    <w:p w:rsidR="003D231F" w:rsidRPr="00A5231E" w:rsidRDefault="003D231F" w:rsidP="003D231F">
      <w:pPr>
        <w:ind w:right="144"/>
        <w:jc w:val="left"/>
        <w:rPr>
          <w:spacing w:val="-4"/>
          <w:w w:val="105"/>
          <w:sz w:val="20"/>
          <w:lang w:val="en-GB"/>
        </w:rPr>
      </w:pPr>
      <w:r w:rsidRPr="00A5231E">
        <w:rPr>
          <w:b/>
          <w:i/>
          <w:spacing w:val="-4"/>
          <w:w w:val="105"/>
          <w:sz w:val="20"/>
          <w:lang w:val="en-GB"/>
        </w:rPr>
        <w:t xml:space="preserve">Progress and effectiveness of Component 3 activities: </w:t>
      </w:r>
      <w:r w:rsidRPr="00A5231E">
        <w:rPr>
          <w:spacing w:val="-4"/>
          <w:w w:val="105"/>
          <w:sz w:val="20"/>
          <w:lang w:val="en-GB"/>
        </w:rPr>
        <w:t>This component delivers two results through the formation of Informal Seed Production Groups (IS</w:t>
      </w:r>
      <w:r w:rsidR="000022EE" w:rsidRPr="00A5231E">
        <w:rPr>
          <w:spacing w:val="-4"/>
          <w:w w:val="105"/>
          <w:sz w:val="20"/>
          <w:lang w:val="en-GB"/>
        </w:rPr>
        <w:t>P</w:t>
      </w:r>
      <w:r w:rsidRPr="00A5231E">
        <w:rPr>
          <w:spacing w:val="-4"/>
          <w:w w:val="105"/>
          <w:sz w:val="20"/>
          <w:lang w:val="en-GB"/>
        </w:rPr>
        <w:t xml:space="preserve">Gs) in communities: </w:t>
      </w:r>
      <w:r w:rsidR="000022EE" w:rsidRPr="00A5231E">
        <w:rPr>
          <w:spacing w:val="-4"/>
          <w:w w:val="105"/>
          <w:sz w:val="20"/>
          <w:lang w:val="en-GB"/>
        </w:rPr>
        <w:t>(1</w:t>
      </w:r>
      <w:r w:rsidRPr="00A5231E">
        <w:rPr>
          <w:spacing w:val="-4"/>
          <w:w w:val="105"/>
          <w:sz w:val="20"/>
          <w:lang w:val="en-GB"/>
        </w:rPr>
        <w:t xml:space="preserve">) social capital from the group that can be used for a wider range of rural development activities; and </w:t>
      </w:r>
      <w:r w:rsidR="000022EE" w:rsidRPr="00A5231E">
        <w:rPr>
          <w:spacing w:val="-4"/>
          <w:w w:val="105"/>
          <w:sz w:val="20"/>
          <w:lang w:val="en-GB"/>
        </w:rPr>
        <w:t>(2</w:t>
      </w:r>
      <w:r w:rsidRPr="00A5231E">
        <w:rPr>
          <w:spacing w:val="-4"/>
          <w:w w:val="105"/>
          <w:sz w:val="20"/>
          <w:lang w:val="en-GB"/>
        </w:rPr>
        <w:t>) men and women producers working together to manage informal seed production and distribution, initially to group members, but later to the wider community. In 2011/12 SOL</w:t>
      </w:r>
      <w:r w:rsidR="00A859F8">
        <w:rPr>
          <w:spacing w:val="-4"/>
          <w:w w:val="105"/>
          <w:sz w:val="20"/>
          <w:lang w:val="en-GB"/>
        </w:rPr>
        <w:t>3</w:t>
      </w:r>
      <w:r w:rsidRPr="00A5231E">
        <w:rPr>
          <w:spacing w:val="-4"/>
          <w:w w:val="105"/>
          <w:sz w:val="20"/>
          <w:lang w:val="en-GB"/>
        </w:rPr>
        <w:t xml:space="preserve"> </w:t>
      </w:r>
      <w:r w:rsidR="00A859F8">
        <w:rPr>
          <w:spacing w:val="-4"/>
          <w:w w:val="105"/>
          <w:sz w:val="20"/>
          <w:lang w:val="en-GB"/>
        </w:rPr>
        <w:t>supported</w:t>
      </w:r>
      <w:r w:rsidR="00A859F8" w:rsidRPr="00A859F8">
        <w:rPr>
          <w:spacing w:val="-4"/>
          <w:w w:val="105"/>
          <w:sz w:val="20"/>
          <w:lang w:val="en-GB"/>
        </w:rPr>
        <w:t xml:space="preserve"> </w:t>
      </w:r>
      <w:r w:rsidR="00A859F8" w:rsidRPr="00A5231E">
        <w:rPr>
          <w:spacing w:val="-4"/>
          <w:w w:val="105"/>
          <w:sz w:val="20"/>
          <w:lang w:val="en-GB"/>
        </w:rPr>
        <w:t xml:space="preserve">MAF </w:t>
      </w:r>
      <w:r w:rsidR="00A859F8" w:rsidRPr="00A5231E">
        <w:rPr>
          <w:i/>
          <w:spacing w:val="-4"/>
          <w:w w:val="105"/>
          <w:sz w:val="20"/>
          <w:lang w:val="en-GB"/>
        </w:rPr>
        <w:t>Suco</w:t>
      </w:r>
      <w:r w:rsidR="00A859F8" w:rsidRPr="00A5231E">
        <w:rPr>
          <w:spacing w:val="-4"/>
          <w:w w:val="105"/>
          <w:sz w:val="20"/>
          <w:lang w:val="en-GB"/>
        </w:rPr>
        <w:t xml:space="preserve"> Extension Officer</w:t>
      </w:r>
      <w:r w:rsidR="00A859F8">
        <w:rPr>
          <w:spacing w:val="-4"/>
          <w:w w:val="105"/>
          <w:sz w:val="20"/>
          <w:lang w:val="en-GB"/>
        </w:rPr>
        <w:t xml:space="preserve">s to establish </w:t>
      </w:r>
      <w:r w:rsidRPr="00A5231E">
        <w:rPr>
          <w:spacing w:val="-4"/>
          <w:w w:val="105"/>
          <w:sz w:val="20"/>
          <w:lang w:val="en-GB"/>
        </w:rPr>
        <w:t xml:space="preserve">280 ISPGs, with a maximum of four per </w:t>
      </w:r>
      <w:r w:rsidRPr="00A5231E">
        <w:rPr>
          <w:i/>
          <w:spacing w:val="-4"/>
          <w:w w:val="105"/>
          <w:sz w:val="20"/>
          <w:lang w:val="en-GB"/>
        </w:rPr>
        <w:t>suco</w:t>
      </w:r>
      <w:r w:rsidR="00974414">
        <w:rPr>
          <w:i/>
          <w:spacing w:val="-4"/>
          <w:w w:val="105"/>
          <w:sz w:val="20"/>
          <w:lang w:val="en-GB"/>
        </w:rPr>
        <w:t xml:space="preserve"> </w:t>
      </w:r>
      <w:r w:rsidR="00974414">
        <w:rPr>
          <w:spacing w:val="-4"/>
          <w:w w:val="105"/>
          <w:sz w:val="20"/>
          <w:lang w:val="en-GB"/>
        </w:rPr>
        <w:t>in 7 districts</w:t>
      </w:r>
      <w:r w:rsidRPr="00A5231E">
        <w:rPr>
          <w:spacing w:val="-4"/>
          <w:w w:val="105"/>
          <w:sz w:val="20"/>
          <w:lang w:val="en-GB"/>
        </w:rPr>
        <w:t>. The I</w:t>
      </w:r>
      <w:r w:rsidR="000022EE" w:rsidRPr="00A5231E">
        <w:rPr>
          <w:spacing w:val="-4"/>
          <w:w w:val="105"/>
          <w:sz w:val="20"/>
          <w:lang w:val="en-GB"/>
        </w:rPr>
        <w:t>SP</w:t>
      </w:r>
      <w:r w:rsidRPr="00A5231E">
        <w:rPr>
          <w:spacing w:val="-4"/>
          <w:w w:val="105"/>
          <w:sz w:val="20"/>
          <w:lang w:val="en-GB"/>
        </w:rPr>
        <w:t>Gs i</w:t>
      </w:r>
      <w:r w:rsidR="00A859F8">
        <w:rPr>
          <w:spacing w:val="-4"/>
          <w:w w:val="105"/>
          <w:sz w:val="20"/>
          <w:lang w:val="en-GB"/>
        </w:rPr>
        <w:t>ncreased a revolving stock of 5</w:t>
      </w:r>
      <w:r w:rsidRPr="00A5231E">
        <w:rPr>
          <w:spacing w:val="-4"/>
          <w:w w:val="105"/>
          <w:sz w:val="20"/>
          <w:lang w:val="en-GB"/>
        </w:rPr>
        <w:t>kg of certified or foundation seed. As well SOL provided each group with a pest-proof seed storage container, basic tools and a one</w:t>
      </w:r>
      <w:r w:rsidR="000022EE" w:rsidRPr="00A5231E">
        <w:rPr>
          <w:spacing w:val="-4"/>
          <w:w w:val="105"/>
          <w:sz w:val="20"/>
          <w:lang w:val="en-GB"/>
        </w:rPr>
        <w:t>-</w:t>
      </w:r>
      <w:r w:rsidRPr="00A5231E">
        <w:rPr>
          <w:spacing w:val="-4"/>
          <w:w w:val="105"/>
          <w:sz w:val="20"/>
          <w:lang w:val="en-GB"/>
        </w:rPr>
        <w:t xml:space="preserve">day training course.  Record keeping and leadership of the groups visited were generally good, enthusiasm was high, and seed amounts and quality were adequate except where inputs arrived late. The better groups were considering expansion and diversification to other crops and enterprises. Simple adaptive research is suggested to improve seed yields.  </w:t>
      </w:r>
      <w:proofErr w:type="gramStart"/>
      <w:r w:rsidRPr="00A5231E">
        <w:rPr>
          <w:spacing w:val="-4"/>
          <w:w w:val="105"/>
          <w:sz w:val="20"/>
          <w:lang w:val="en-GB"/>
        </w:rPr>
        <w:t xml:space="preserve">Plans for 2012/13 call for the number of ISPGs per </w:t>
      </w:r>
      <w:r w:rsidRPr="00A5231E">
        <w:rPr>
          <w:i/>
          <w:spacing w:val="-4"/>
          <w:w w:val="105"/>
          <w:sz w:val="20"/>
          <w:lang w:val="en-GB"/>
        </w:rPr>
        <w:t>suco</w:t>
      </w:r>
      <w:r w:rsidRPr="00A5231E">
        <w:rPr>
          <w:spacing w:val="-4"/>
          <w:w w:val="105"/>
          <w:sz w:val="20"/>
          <w:lang w:val="en-GB"/>
        </w:rPr>
        <w:t xml:space="preserve"> to increase to six</w:t>
      </w:r>
      <w:r w:rsidR="00974414" w:rsidRPr="00974414">
        <w:rPr>
          <w:spacing w:val="-4"/>
          <w:w w:val="105"/>
          <w:sz w:val="20"/>
          <w:lang w:val="en-GB"/>
        </w:rPr>
        <w:t xml:space="preserve"> </w:t>
      </w:r>
      <w:r w:rsidR="00974414">
        <w:rPr>
          <w:spacing w:val="-4"/>
          <w:w w:val="105"/>
          <w:sz w:val="20"/>
          <w:lang w:val="en-GB"/>
        </w:rPr>
        <w:t>and the number of districts to increase from seven to ten</w:t>
      </w:r>
      <w:r w:rsidRPr="00A5231E">
        <w:rPr>
          <w:spacing w:val="-4"/>
          <w:w w:val="105"/>
          <w:sz w:val="20"/>
          <w:lang w:val="en-GB"/>
        </w:rPr>
        <w:t>.</w:t>
      </w:r>
      <w:proofErr w:type="gramEnd"/>
      <w:r w:rsidRPr="00A5231E">
        <w:rPr>
          <w:spacing w:val="-4"/>
          <w:w w:val="105"/>
          <w:sz w:val="20"/>
          <w:lang w:val="en-GB"/>
        </w:rPr>
        <w:t xml:space="preserve">  This, and demands by other Projects, will significantly increase the SEO’s workload, so transportation must be assured.  The TAG concludes that an excellent start has been made with Component 3.</w:t>
      </w:r>
    </w:p>
    <w:p w:rsidR="003D231F" w:rsidRPr="00974414" w:rsidRDefault="003D231F" w:rsidP="003D231F">
      <w:pPr>
        <w:ind w:right="144"/>
        <w:jc w:val="left"/>
        <w:rPr>
          <w:spacing w:val="-4"/>
          <w:w w:val="105"/>
          <w:sz w:val="16"/>
          <w:szCs w:val="16"/>
          <w:lang w:val="en-GB"/>
        </w:rPr>
      </w:pPr>
    </w:p>
    <w:p w:rsidR="003D231F" w:rsidRPr="00A5231E" w:rsidRDefault="003D231F" w:rsidP="003D231F">
      <w:pPr>
        <w:ind w:right="144"/>
        <w:jc w:val="left"/>
        <w:rPr>
          <w:spacing w:val="-4"/>
          <w:w w:val="105"/>
          <w:sz w:val="20"/>
          <w:lang w:val="en-GB"/>
        </w:rPr>
      </w:pPr>
      <w:r w:rsidRPr="00A5231E">
        <w:rPr>
          <w:b/>
          <w:i/>
          <w:spacing w:val="-4"/>
          <w:w w:val="105"/>
          <w:sz w:val="20"/>
          <w:lang w:val="en-GB"/>
        </w:rPr>
        <w:t>Progress of the</w:t>
      </w:r>
      <w:r w:rsidR="00A5231E">
        <w:rPr>
          <w:b/>
          <w:i/>
          <w:spacing w:val="-4"/>
          <w:w w:val="105"/>
          <w:sz w:val="20"/>
          <w:lang w:val="en-GB"/>
        </w:rPr>
        <w:t xml:space="preserve"> formal transition plan to MAF:</w:t>
      </w:r>
      <w:r w:rsidRPr="00A5231E">
        <w:rPr>
          <w:b/>
          <w:i/>
          <w:spacing w:val="-4"/>
          <w:w w:val="105"/>
          <w:sz w:val="20"/>
          <w:lang w:val="en-GB"/>
        </w:rPr>
        <w:t xml:space="preserve"> </w:t>
      </w:r>
      <w:r w:rsidRPr="00A5231E">
        <w:rPr>
          <w:spacing w:val="-4"/>
          <w:w w:val="105"/>
          <w:sz w:val="20"/>
          <w:lang w:val="en-GB"/>
        </w:rPr>
        <w:t xml:space="preserve">The PDD calls for 50% of the </w:t>
      </w:r>
      <w:r w:rsidR="000022EE" w:rsidRPr="00A5231E">
        <w:rPr>
          <w:spacing w:val="-4"/>
          <w:w w:val="105"/>
          <w:sz w:val="20"/>
          <w:lang w:val="en-GB"/>
        </w:rPr>
        <w:t xml:space="preserve">operational </w:t>
      </w:r>
      <w:r w:rsidRPr="00A5231E">
        <w:rPr>
          <w:spacing w:val="-4"/>
          <w:w w:val="105"/>
          <w:sz w:val="20"/>
          <w:lang w:val="en-GB"/>
        </w:rPr>
        <w:t>costs and management of Components 1 (Research) and 2 (Formal Seed) to be transferred to MAF in 2014 and 100% in 2015.  This requires a step change in budgets (</w:t>
      </w:r>
      <w:r w:rsidR="000022EE" w:rsidRPr="00A5231E">
        <w:rPr>
          <w:i/>
          <w:spacing w:val="-4"/>
          <w:w w:val="105"/>
          <w:sz w:val="20"/>
          <w:lang w:val="en-GB"/>
        </w:rPr>
        <w:t>e.g</w:t>
      </w:r>
      <w:r w:rsidR="000022EE" w:rsidRPr="00A5231E">
        <w:rPr>
          <w:spacing w:val="-4"/>
          <w:w w:val="105"/>
          <w:sz w:val="20"/>
          <w:lang w:val="en-GB"/>
        </w:rPr>
        <w:t>. an increase of US</w:t>
      </w:r>
      <w:r w:rsidRPr="00A5231E">
        <w:rPr>
          <w:spacing w:val="-4"/>
          <w:w w:val="105"/>
          <w:sz w:val="20"/>
          <w:lang w:val="en-GB"/>
        </w:rPr>
        <w:t xml:space="preserve">$160,000 </w:t>
      </w:r>
      <w:r w:rsidR="000022EE" w:rsidRPr="00A5231E">
        <w:rPr>
          <w:spacing w:val="-4"/>
          <w:w w:val="105"/>
          <w:sz w:val="20"/>
          <w:lang w:val="en-GB"/>
        </w:rPr>
        <w:t xml:space="preserve">for the </w:t>
      </w:r>
      <w:r w:rsidR="00A859F8">
        <w:rPr>
          <w:spacing w:val="-4"/>
          <w:w w:val="105"/>
          <w:sz w:val="20"/>
          <w:lang w:val="en-GB"/>
        </w:rPr>
        <w:t xml:space="preserve">National </w:t>
      </w:r>
      <w:r w:rsidR="000022EE" w:rsidRPr="00A5231E">
        <w:rPr>
          <w:spacing w:val="-4"/>
          <w:w w:val="105"/>
          <w:sz w:val="20"/>
          <w:lang w:val="en-GB"/>
        </w:rPr>
        <w:t xml:space="preserve">Directorate of Research </w:t>
      </w:r>
      <w:r w:rsidRPr="00A5231E">
        <w:rPr>
          <w:spacing w:val="-4"/>
          <w:w w:val="105"/>
          <w:sz w:val="20"/>
          <w:lang w:val="en-GB"/>
        </w:rPr>
        <w:t>in 2014)</w:t>
      </w:r>
      <w:r w:rsidR="00DB61DD">
        <w:rPr>
          <w:spacing w:val="-4"/>
          <w:w w:val="105"/>
          <w:sz w:val="20"/>
          <w:lang w:val="en-GB"/>
        </w:rPr>
        <w:t>, staffing</w:t>
      </w:r>
      <w:r w:rsidRPr="00A5231E">
        <w:rPr>
          <w:spacing w:val="-4"/>
          <w:w w:val="105"/>
          <w:sz w:val="20"/>
          <w:lang w:val="en-GB"/>
        </w:rPr>
        <w:t xml:space="preserve"> and </w:t>
      </w:r>
      <w:r w:rsidR="00974414">
        <w:rPr>
          <w:spacing w:val="-4"/>
          <w:w w:val="105"/>
          <w:sz w:val="20"/>
          <w:lang w:val="en-GB"/>
        </w:rPr>
        <w:t xml:space="preserve">in </w:t>
      </w:r>
      <w:r w:rsidRPr="00A5231E">
        <w:rPr>
          <w:spacing w:val="-4"/>
          <w:w w:val="105"/>
          <w:sz w:val="20"/>
          <w:lang w:val="en-GB"/>
        </w:rPr>
        <w:t xml:space="preserve">management responsibility. In 2013 the budget cycle of SOL should be realigned with that of MAF and MAF’s budget re-negotiated to accommodate the greater recurrent costs of staffing, experiment stations and seed production centres. </w:t>
      </w:r>
      <w:r w:rsidR="000022EE" w:rsidRPr="00A5231E">
        <w:rPr>
          <w:spacing w:val="-4"/>
          <w:w w:val="105"/>
          <w:sz w:val="20"/>
          <w:lang w:val="en-GB"/>
        </w:rPr>
        <w:t xml:space="preserve"> </w:t>
      </w:r>
      <w:r w:rsidRPr="00A5231E">
        <w:rPr>
          <w:spacing w:val="-4"/>
          <w:w w:val="105"/>
          <w:sz w:val="20"/>
          <w:lang w:val="en-GB"/>
        </w:rPr>
        <w:t>AusAID can play a key advocacy role in this process</w:t>
      </w:r>
      <w:r w:rsidR="000022EE" w:rsidRPr="00A5231E">
        <w:rPr>
          <w:spacing w:val="-4"/>
          <w:w w:val="105"/>
          <w:sz w:val="20"/>
          <w:lang w:val="en-GB"/>
        </w:rPr>
        <w:t xml:space="preserve"> by emphasis</w:t>
      </w:r>
      <w:r w:rsidRPr="00A5231E">
        <w:rPr>
          <w:spacing w:val="-4"/>
          <w:w w:val="105"/>
          <w:sz w:val="20"/>
          <w:lang w:val="en-GB"/>
        </w:rPr>
        <w:t xml:space="preserve">ing </w:t>
      </w:r>
      <w:r w:rsidR="00974414">
        <w:rPr>
          <w:spacing w:val="-4"/>
          <w:w w:val="105"/>
          <w:sz w:val="20"/>
          <w:lang w:val="en-GB"/>
        </w:rPr>
        <w:t>improvements</w:t>
      </w:r>
      <w:r w:rsidRPr="00A5231E">
        <w:rPr>
          <w:spacing w:val="-4"/>
          <w:w w:val="105"/>
          <w:sz w:val="20"/>
          <w:lang w:val="en-GB"/>
        </w:rPr>
        <w:t xml:space="preserve"> in food security linked to SOL3. A national seed policy is also required identifying pricing and distribution guidelines. Training of key MAF leaders in management skills should occur concomitantly.  It is imperative to start preparing for transition so it will proceed smoothly in 2014.</w:t>
      </w:r>
    </w:p>
    <w:p w:rsidR="003D231F" w:rsidRPr="00974414" w:rsidRDefault="003D231F" w:rsidP="003D231F">
      <w:pPr>
        <w:ind w:right="144"/>
        <w:jc w:val="left"/>
        <w:rPr>
          <w:spacing w:val="-4"/>
          <w:w w:val="105"/>
          <w:sz w:val="16"/>
          <w:szCs w:val="16"/>
          <w:lang w:val="en-GB"/>
        </w:rPr>
      </w:pPr>
    </w:p>
    <w:p w:rsidR="00A5231E" w:rsidRDefault="003D231F" w:rsidP="003D231F">
      <w:pPr>
        <w:ind w:right="144"/>
        <w:jc w:val="left"/>
        <w:rPr>
          <w:spacing w:val="-4"/>
          <w:w w:val="105"/>
          <w:sz w:val="20"/>
          <w:lang w:val="en-GB"/>
        </w:rPr>
      </w:pPr>
      <w:r w:rsidRPr="00A5231E">
        <w:rPr>
          <w:b/>
          <w:i/>
          <w:spacing w:val="-4"/>
          <w:w w:val="105"/>
          <w:sz w:val="20"/>
          <w:lang w:val="en-GB"/>
        </w:rPr>
        <w:t xml:space="preserve">Appropriateness of the monitoring and evaluation system:  </w:t>
      </w:r>
      <w:r w:rsidRPr="00A5231E">
        <w:rPr>
          <w:spacing w:val="-4"/>
          <w:w w:val="105"/>
          <w:sz w:val="20"/>
          <w:lang w:val="en-GB"/>
        </w:rPr>
        <w:t xml:space="preserve">The performance management system and results framework was assessed and a smaller number of priority questions and indicators were selected to simplify the evaluation framework and reduce workload on staff.  It was </w:t>
      </w:r>
      <w:r w:rsidR="00A5231E">
        <w:rPr>
          <w:spacing w:val="-4"/>
          <w:w w:val="105"/>
          <w:sz w:val="20"/>
          <w:lang w:val="en-GB"/>
        </w:rPr>
        <w:t>agreed</w:t>
      </w:r>
      <w:r w:rsidRPr="00A5231E">
        <w:rPr>
          <w:spacing w:val="-4"/>
          <w:w w:val="105"/>
          <w:sz w:val="20"/>
          <w:lang w:val="en-GB"/>
        </w:rPr>
        <w:t xml:space="preserve"> to </w:t>
      </w:r>
      <w:r w:rsidR="00A5231E">
        <w:rPr>
          <w:spacing w:val="-4"/>
          <w:w w:val="105"/>
          <w:sz w:val="20"/>
          <w:lang w:val="en-GB"/>
        </w:rPr>
        <w:t>simplify</w:t>
      </w:r>
      <w:r w:rsidRPr="00A5231E">
        <w:rPr>
          <w:spacing w:val="-4"/>
          <w:w w:val="105"/>
          <w:sz w:val="20"/>
          <w:lang w:val="en-GB"/>
        </w:rPr>
        <w:t xml:space="preserve"> the</w:t>
      </w:r>
      <w:r w:rsidRPr="00A5231E">
        <w:rPr>
          <w:b/>
          <w:i/>
          <w:spacing w:val="-4"/>
          <w:w w:val="105"/>
          <w:sz w:val="20"/>
          <w:lang w:val="en-GB"/>
        </w:rPr>
        <w:t xml:space="preserve"> </w:t>
      </w:r>
      <w:r w:rsidRPr="00A5231E">
        <w:rPr>
          <w:spacing w:val="-4"/>
          <w:w w:val="105"/>
          <w:sz w:val="20"/>
          <w:lang w:val="en-GB"/>
        </w:rPr>
        <w:t>developmental evaluation approach suggested by TAG</w:t>
      </w:r>
      <w:r w:rsidR="00974414">
        <w:rPr>
          <w:spacing w:val="-4"/>
          <w:w w:val="105"/>
          <w:sz w:val="20"/>
          <w:lang w:val="en-GB"/>
        </w:rPr>
        <w:t>1</w:t>
      </w:r>
      <w:r w:rsidRPr="00A5231E">
        <w:rPr>
          <w:spacing w:val="-4"/>
          <w:w w:val="105"/>
          <w:sz w:val="20"/>
          <w:lang w:val="en-GB"/>
        </w:rPr>
        <w:t xml:space="preserve">, </w:t>
      </w:r>
      <w:r w:rsidR="00A5231E">
        <w:rPr>
          <w:spacing w:val="-4"/>
          <w:w w:val="105"/>
          <w:sz w:val="20"/>
          <w:lang w:val="en-GB"/>
        </w:rPr>
        <w:t>with increased</w:t>
      </w:r>
      <w:r w:rsidRPr="00A5231E">
        <w:rPr>
          <w:spacing w:val="-4"/>
          <w:w w:val="105"/>
          <w:sz w:val="20"/>
          <w:lang w:val="en-GB"/>
        </w:rPr>
        <w:t xml:space="preserve"> focus on a series of case studies of key components of SOL3</w:t>
      </w:r>
      <w:r w:rsidR="00A5231E">
        <w:rPr>
          <w:spacing w:val="-4"/>
          <w:w w:val="105"/>
          <w:sz w:val="20"/>
          <w:lang w:val="en-GB"/>
        </w:rPr>
        <w:t xml:space="preserve"> during the </w:t>
      </w:r>
      <w:r w:rsidR="00974414">
        <w:rPr>
          <w:spacing w:val="-4"/>
          <w:w w:val="105"/>
          <w:sz w:val="20"/>
          <w:lang w:val="en-GB"/>
        </w:rPr>
        <w:t>life</w:t>
      </w:r>
      <w:r w:rsidR="00A5231E">
        <w:rPr>
          <w:spacing w:val="-4"/>
          <w:w w:val="105"/>
          <w:sz w:val="20"/>
          <w:lang w:val="en-GB"/>
        </w:rPr>
        <w:t xml:space="preserve"> of the project</w:t>
      </w:r>
      <w:r w:rsidRPr="00A5231E">
        <w:rPr>
          <w:spacing w:val="-4"/>
          <w:w w:val="105"/>
          <w:sz w:val="20"/>
          <w:lang w:val="en-GB"/>
        </w:rPr>
        <w:t xml:space="preserve">.  This will be </w:t>
      </w:r>
      <w:r w:rsidR="00A5231E">
        <w:rPr>
          <w:spacing w:val="-4"/>
          <w:w w:val="105"/>
          <w:sz w:val="20"/>
          <w:lang w:val="en-GB"/>
        </w:rPr>
        <w:t xml:space="preserve">implemented with MAF and </w:t>
      </w:r>
      <w:r w:rsidRPr="00A5231E">
        <w:rPr>
          <w:spacing w:val="-4"/>
          <w:w w:val="105"/>
          <w:sz w:val="20"/>
          <w:lang w:val="en-GB"/>
        </w:rPr>
        <w:t xml:space="preserve">the SOSEK Team or outsourced and supported by the Communications Unit of SOL3. Case studies based on ISPGs are of special interest.  End-of-Project outcomes require refinement to describe behaviour changes, </w:t>
      </w:r>
      <w:r w:rsidRPr="00A5231E">
        <w:rPr>
          <w:i/>
          <w:spacing w:val="-4"/>
          <w:w w:val="105"/>
          <w:sz w:val="20"/>
          <w:lang w:val="en-GB"/>
        </w:rPr>
        <w:t>i.e</w:t>
      </w:r>
      <w:r w:rsidRPr="00A5231E">
        <w:rPr>
          <w:spacing w:val="-4"/>
          <w:w w:val="105"/>
          <w:sz w:val="20"/>
          <w:lang w:val="en-GB"/>
        </w:rPr>
        <w:t>., who is doing what diff</w:t>
      </w:r>
      <w:r w:rsidR="00A5231E">
        <w:rPr>
          <w:spacing w:val="-4"/>
          <w:w w:val="105"/>
          <w:sz w:val="20"/>
          <w:lang w:val="en-GB"/>
        </w:rPr>
        <w:t>erently on the last day of the p</w:t>
      </w:r>
      <w:r w:rsidRPr="00A5231E">
        <w:rPr>
          <w:spacing w:val="-4"/>
          <w:w w:val="105"/>
          <w:sz w:val="20"/>
          <w:lang w:val="en-GB"/>
        </w:rPr>
        <w:t>roject.  During the growing season a baseline survey of 1</w:t>
      </w:r>
      <w:r w:rsidR="00A5231E">
        <w:rPr>
          <w:spacing w:val="-4"/>
          <w:w w:val="105"/>
          <w:sz w:val="20"/>
          <w:lang w:val="en-GB"/>
        </w:rPr>
        <w:t>,</w:t>
      </w:r>
      <w:r w:rsidRPr="00A5231E">
        <w:rPr>
          <w:spacing w:val="-4"/>
          <w:w w:val="105"/>
          <w:sz w:val="20"/>
          <w:lang w:val="en-GB"/>
        </w:rPr>
        <w:t>800 households was conducted by staff of the National Dept of Statistics (DNE) – a very significant effort. As well, 43 trials of new varieties of 10 species, and 485 on-farm demonstration trials (OFDTs) were conducted in farmers’ fields.</w:t>
      </w:r>
      <w:r w:rsidR="00A5231E" w:rsidRPr="00A5231E">
        <w:rPr>
          <w:spacing w:val="-4"/>
          <w:w w:val="105"/>
          <w:sz w:val="20"/>
          <w:lang w:val="en-GB"/>
        </w:rPr>
        <w:t xml:space="preserve"> Finally, a midterm review of SOL3 is scheduled for mid-2013, and should focus on transition arrangements, the informal seed system, and sustainable food security in the long term.</w:t>
      </w:r>
    </w:p>
    <w:p w:rsidR="003D231F" w:rsidRPr="00974414" w:rsidRDefault="003D231F" w:rsidP="003D231F">
      <w:pPr>
        <w:ind w:right="144"/>
        <w:jc w:val="left"/>
        <w:rPr>
          <w:spacing w:val="-4"/>
          <w:w w:val="105"/>
          <w:sz w:val="16"/>
          <w:szCs w:val="16"/>
          <w:lang w:val="en-GB"/>
        </w:rPr>
      </w:pPr>
    </w:p>
    <w:p w:rsidR="003D231F" w:rsidRPr="00A5231E" w:rsidRDefault="003D231F" w:rsidP="003D231F">
      <w:pPr>
        <w:ind w:right="144"/>
        <w:jc w:val="left"/>
        <w:rPr>
          <w:b/>
          <w:i/>
          <w:spacing w:val="-4"/>
          <w:w w:val="105"/>
          <w:sz w:val="20"/>
          <w:lang w:val="en-GB"/>
        </w:rPr>
      </w:pPr>
      <w:r w:rsidRPr="00A5231E">
        <w:rPr>
          <w:b/>
          <w:i/>
          <w:spacing w:val="-4"/>
          <w:w w:val="105"/>
          <w:sz w:val="20"/>
          <w:lang w:val="en-GB"/>
        </w:rPr>
        <w:t xml:space="preserve">Improvements in productivity of crops: </w:t>
      </w:r>
      <w:r w:rsidRPr="00A5231E">
        <w:rPr>
          <w:spacing w:val="-4"/>
          <w:w w:val="105"/>
          <w:sz w:val="20"/>
          <w:lang w:val="en-GB"/>
        </w:rPr>
        <w:t xml:space="preserve"> Crop yields in Timor-Leste are around one third of the average for SE Asia and correlate reasonably </w:t>
      </w:r>
      <w:r w:rsidR="00A5231E">
        <w:rPr>
          <w:spacing w:val="-4"/>
          <w:w w:val="105"/>
          <w:sz w:val="20"/>
          <w:lang w:val="en-GB"/>
        </w:rPr>
        <w:t>with fertilis</w:t>
      </w:r>
      <w:r w:rsidRPr="00A5231E">
        <w:rPr>
          <w:spacing w:val="-4"/>
          <w:w w:val="105"/>
          <w:sz w:val="20"/>
          <w:lang w:val="en-GB"/>
        </w:rPr>
        <w:t>er use, which is also very low. The food gap in Timor-Leste is met by importing around 70,000 tons of rice annually, and estimates suggest that this cos</w:t>
      </w:r>
      <w:r w:rsidR="00A5231E">
        <w:rPr>
          <w:spacing w:val="-4"/>
          <w:w w:val="105"/>
          <w:sz w:val="20"/>
          <w:lang w:val="en-GB"/>
        </w:rPr>
        <w:t>t 2-6 times the cost of fertilis</w:t>
      </w:r>
      <w:r w:rsidRPr="00A5231E">
        <w:rPr>
          <w:spacing w:val="-4"/>
          <w:w w:val="105"/>
          <w:sz w:val="20"/>
          <w:lang w:val="en-GB"/>
        </w:rPr>
        <w:t>er needed to grow that grain</w:t>
      </w:r>
      <w:r w:rsidR="00A5231E">
        <w:rPr>
          <w:spacing w:val="-4"/>
          <w:w w:val="105"/>
          <w:sz w:val="20"/>
          <w:lang w:val="en-GB"/>
        </w:rPr>
        <w:t xml:space="preserve"> in Timor-Leste</w:t>
      </w:r>
      <w:r w:rsidRPr="00A5231E">
        <w:rPr>
          <w:spacing w:val="-4"/>
          <w:w w:val="105"/>
          <w:sz w:val="20"/>
          <w:lang w:val="en-GB"/>
        </w:rPr>
        <w:t xml:space="preserve">.  Low soil fertility and poor weed control sharply reduce the return to investments in quality seed of varieties with high yield potential.  In response to a TAG1 </w:t>
      </w:r>
      <w:r w:rsidRPr="00A5231E">
        <w:rPr>
          <w:spacing w:val="-4"/>
          <w:w w:val="105"/>
          <w:sz w:val="20"/>
          <w:lang w:val="en-GB"/>
        </w:rPr>
        <w:lastRenderedPageBreak/>
        <w:t>recommendation, SOL3 staff have assembled an array of soils</w:t>
      </w:r>
      <w:r w:rsidR="00A5231E">
        <w:rPr>
          <w:spacing w:val="-4"/>
          <w:w w:val="105"/>
          <w:sz w:val="20"/>
          <w:lang w:val="en-GB"/>
        </w:rPr>
        <w:t>-</w:t>
      </w:r>
      <w:r w:rsidRPr="00A5231E">
        <w:rPr>
          <w:spacing w:val="-4"/>
          <w:w w:val="105"/>
          <w:sz w:val="20"/>
          <w:lang w:val="en-GB"/>
        </w:rPr>
        <w:t xml:space="preserve">related data, and plan to conduct soils analyses, but have not yet evaluated crop responses to nutrients – something that the TAG suggests could be done in the seed fields of willing farmers.  </w:t>
      </w:r>
      <w:r w:rsidR="00A5231E" w:rsidRPr="00A5231E">
        <w:rPr>
          <w:spacing w:val="-4"/>
          <w:w w:val="105"/>
          <w:sz w:val="20"/>
          <w:lang w:val="en-GB"/>
        </w:rPr>
        <w:t>The Climate Change Advisor, now in Component 1, will focus mainly on risk assessment and mitigation using a simple crop model.  There was a steady increase in breeder, foundation and certified seed production (110 ha) and field inspection of maize, rice, sweet potato, cassava and peanuts.  The development</w:t>
      </w:r>
      <w:r w:rsidR="00974414">
        <w:rPr>
          <w:spacing w:val="-4"/>
          <w:w w:val="105"/>
          <w:sz w:val="20"/>
          <w:lang w:val="en-GB"/>
        </w:rPr>
        <w:t xml:space="preserve"> of Research Stations and Seed P</w:t>
      </w:r>
      <w:r w:rsidR="00A5231E" w:rsidRPr="00A5231E">
        <w:rPr>
          <w:spacing w:val="-4"/>
          <w:w w:val="105"/>
          <w:sz w:val="20"/>
          <w:lang w:val="en-GB"/>
        </w:rPr>
        <w:t>rocessing Centres proceeded to plan.  Between 50 and 90% of seed produced was supplied to MAF and distributed at no cost.</w:t>
      </w:r>
    </w:p>
    <w:p w:rsidR="003D231F" w:rsidRPr="00DB61DD" w:rsidRDefault="003D231F" w:rsidP="003D231F">
      <w:pPr>
        <w:ind w:right="144"/>
        <w:jc w:val="left"/>
        <w:rPr>
          <w:spacing w:val="-4"/>
          <w:w w:val="105"/>
          <w:sz w:val="16"/>
          <w:szCs w:val="16"/>
          <w:lang w:val="en-GB"/>
        </w:rPr>
      </w:pPr>
    </w:p>
    <w:p w:rsidR="003D231F" w:rsidRPr="00A5231E" w:rsidRDefault="003D231F" w:rsidP="003D231F">
      <w:pPr>
        <w:ind w:right="144"/>
        <w:jc w:val="left"/>
        <w:rPr>
          <w:b/>
          <w:i/>
          <w:spacing w:val="-4"/>
          <w:w w:val="105"/>
          <w:sz w:val="20"/>
          <w:lang w:val="en-GB"/>
        </w:rPr>
      </w:pPr>
      <w:r w:rsidRPr="00A5231E">
        <w:rPr>
          <w:b/>
          <w:i/>
          <w:spacing w:val="-4"/>
          <w:w w:val="105"/>
          <w:sz w:val="20"/>
          <w:lang w:val="en-GB"/>
        </w:rPr>
        <w:t xml:space="preserve">Progress in accessing and evaluating new sources of germplasm: </w:t>
      </w:r>
      <w:r w:rsidRPr="00A5231E">
        <w:rPr>
          <w:spacing w:val="-4"/>
          <w:w w:val="105"/>
          <w:sz w:val="20"/>
          <w:lang w:val="en-GB"/>
        </w:rPr>
        <w:t xml:space="preserve">A white grained maize variety </w:t>
      </w:r>
      <w:r w:rsidR="00A859F8" w:rsidRPr="00A859F8">
        <w:rPr>
          <w:i/>
          <w:spacing w:val="-4"/>
          <w:w w:val="105"/>
          <w:sz w:val="20"/>
          <w:lang w:val="en-GB"/>
        </w:rPr>
        <w:t>P07</w:t>
      </w:r>
      <w:r w:rsidRPr="00A5231E">
        <w:rPr>
          <w:spacing w:val="-4"/>
          <w:w w:val="105"/>
          <w:sz w:val="20"/>
          <w:lang w:val="en-GB"/>
        </w:rPr>
        <w:t xml:space="preserve"> will be renamed and released in 2012, and a popular rice variety </w:t>
      </w:r>
      <w:r w:rsidRPr="00A859F8">
        <w:rPr>
          <w:i/>
          <w:spacing w:val="-4"/>
          <w:w w:val="105"/>
          <w:sz w:val="20"/>
          <w:lang w:val="en-GB"/>
        </w:rPr>
        <w:t>Matatag</w:t>
      </w:r>
      <w:r w:rsidRPr="00A5231E">
        <w:rPr>
          <w:spacing w:val="-4"/>
          <w:w w:val="105"/>
          <w:sz w:val="20"/>
          <w:lang w:val="en-GB"/>
        </w:rPr>
        <w:t xml:space="preserve"> is being purified before testing and probable release. A visit by SOL and MAF staff to IRRI yielded rice germplasm and training materials and should be extended to other CGIAR centres. There is an ongoing search for a suitable multi-use legume component that is badly needed in Timorese cropping systems.</w:t>
      </w:r>
    </w:p>
    <w:p w:rsidR="003D231F" w:rsidRPr="00DB61DD" w:rsidRDefault="003D231F" w:rsidP="003D231F">
      <w:pPr>
        <w:ind w:right="144"/>
        <w:jc w:val="left"/>
        <w:rPr>
          <w:spacing w:val="-4"/>
          <w:w w:val="105"/>
          <w:sz w:val="16"/>
          <w:szCs w:val="16"/>
          <w:lang w:val="en-GB"/>
        </w:rPr>
      </w:pPr>
    </w:p>
    <w:p w:rsidR="003D231F" w:rsidRPr="00A5231E" w:rsidRDefault="003D231F" w:rsidP="003D231F">
      <w:pPr>
        <w:ind w:right="144"/>
        <w:jc w:val="left"/>
        <w:rPr>
          <w:spacing w:val="-4"/>
          <w:w w:val="105"/>
          <w:sz w:val="20"/>
          <w:lang w:val="en-GB"/>
        </w:rPr>
      </w:pPr>
      <w:r w:rsidRPr="00A5231E">
        <w:rPr>
          <w:b/>
          <w:i/>
          <w:spacing w:val="-4"/>
          <w:w w:val="105"/>
          <w:sz w:val="20"/>
          <w:lang w:val="en-GB"/>
        </w:rPr>
        <w:t xml:space="preserve">Progress with integrating gender equality into the implementation of SOL:  </w:t>
      </w:r>
      <w:r w:rsidRPr="00A5231E">
        <w:rPr>
          <w:spacing w:val="-4"/>
          <w:w w:val="105"/>
          <w:sz w:val="20"/>
          <w:lang w:val="en-GB"/>
        </w:rPr>
        <w:t>Men continue to be the primary beneficiaries of SOL3 activities, and only 7% of SEOs are females – even though 43% of seed and variety decision</w:t>
      </w:r>
      <w:r w:rsidR="00A859F8">
        <w:rPr>
          <w:spacing w:val="-4"/>
          <w:w w:val="105"/>
          <w:sz w:val="20"/>
          <w:lang w:val="en-GB"/>
        </w:rPr>
        <w:t>s</w:t>
      </w:r>
      <w:r w:rsidRPr="00A5231E">
        <w:rPr>
          <w:spacing w:val="-4"/>
          <w:w w:val="105"/>
          <w:sz w:val="20"/>
          <w:lang w:val="en-GB"/>
        </w:rPr>
        <w:t xml:space="preserve"> are made by women.  The baseline survey dataset is fully gender disaggregated.  More women will be engaged</w:t>
      </w:r>
      <w:r w:rsidR="00974414">
        <w:rPr>
          <w:spacing w:val="-4"/>
          <w:w w:val="105"/>
          <w:sz w:val="20"/>
          <w:lang w:val="en-GB"/>
        </w:rPr>
        <w:t xml:space="preserve"> in SOL3</w:t>
      </w:r>
      <w:r w:rsidRPr="00A5231E">
        <w:rPr>
          <w:spacing w:val="-4"/>
          <w:w w:val="105"/>
          <w:sz w:val="20"/>
          <w:lang w:val="en-GB"/>
        </w:rPr>
        <w:t xml:space="preserve"> if they participate in on-farm variety selection, in ISPGs and access new varieties through smaller seed packs.  The percent of women trained by SOL has risen from 19% in 2007 to 34% in 2011.</w:t>
      </w:r>
    </w:p>
    <w:p w:rsidR="003D231F" w:rsidRPr="00DB61DD" w:rsidRDefault="003D231F" w:rsidP="003D231F">
      <w:pPr>
        <w:ind w:right="144"/>
        <w:jc w:val="left"/>
        <w:rPr>
          <w:spacing w:val="-4"/>
          <w:w w:val="105"/>
          <w:sz w:val="16"/>
          <w:szCs w:val="16"/>
          <w:lang w:val="en-GB"/>
        </w:rPr>
      </w:pPr>
    </w:p>
    <w:p w:rsidR="003D231F" w:rsidRPr="00A5231E" w:rsidRDefault="003D231F" w:rsidP="003D231F">
      <w:pPr>
        <w:ind w:right="144"/>
        <w:jc w:val="left"/>
        <w:rPr>
          <w:spacing w:val="-4"/>
          <w:w w:val="105"/>
          <w:sz w:val="20"/>
          <w:lang w:val="en-GB"/>
        </w:rPr>
      </w:pPr>
      <w:r w:rsidRPr="00A5231E">
        <w:rPr>
          <w:b/>
          <w:i/>
          <w:spacing w:val="-4"/>
          <w:w w:val="105"/>
          <w:sz w:val="20"/>
          <w:lang w:val="en-GB"/>
        </w:rPr>
        <w:t>Progress with other recommendations made in the previous TAG mission</w:t>
      </w:r>
      <w:r w:rsidRPr="00A5231E">
        <w:rPr>
          <w:spacing w:val="-4"/>
          <w:w w:val="105"/>
          <w:sz w:val="20"/>
          <w:lang w:val="en-GB"/>
        </w:rPr>
        <w:t xml:space="preserve">:  Most recommendations are </w:t>
      </w:r>
      <w:r w:rsidR="00A859F8">
        <w:rPr>
          <w:spacing w:val="-4"/>
          <w:w w:val="105"/>
          <w:sz w:val="20"/>
          <w:lang w:val="en-GB"/>
        </w:rPr>
        <w:t>well</w:t>
      </w:r>
      <w:r w:rsidRPr="00A5231E">
        <w:rPr>
          <w:spacing w:val="-4"/>
          <w:w w:val="105"/>
          <w:sz w:val="20"/>
          <w:lang w:val="en-GB"/>
        </w:rPr>
        <w:t xml:space="preserve"> addressed.  More work is needed on recommendations 1, 2, 4, 5 and 6, </w:t>
      </w:r>
      <w:r w:rsidR="00A5231E">
        <w:rPr>
          <w:spacing w:val="-4"/>
          <w:w w:val="105"/>
          <w:sz w:val="20"/>
          <w:lang w:val="en-GB"/>
        </w:rPr>
        <w:t>but much of this is underway.</w:t>
      </w:r>
    </w:p>
    <w:p w:rsidR="003D231F" w:rsidRPr="00DB61DD" w:rsidRDefault="003D231F" w:rsidP="003D231F">
      <w:pPr>
        <w:ind w:right="144"/>
        <w:jc w:val="left"/>
        <w:rPr>
          <w:spacing w:val="-4"/>
          <w:w w:val="105"/>
          <w:sz w:val="16"/>
          <w:szCs w:val="16"/>
          <w:lang w:val="en-GB"/>
        </w:rPr>
      </w:pPr>
    </w:p>
    <w:p w:rsidR="003D231F" w:rsidRPr="00A5231E" w:rsidRDefault="003D231F" w:rsidP="003D231F">
      <w:pPr>
        <w:rPr>
          <w:sz w:val="20"/>
          <w:lang w:val="en-GB"/>
        </w:rPr>
      </w:pPr>
      <w:r w:rsidRPr="00A5231E">
        <w:rPr>
          <w:b/>
          <w:i/>
          <w:spacing w:val="-4"/>
          <w:w w:val="105"/>
          <w:sz w:val="20"/>
          <w:lang w:val="en-GB"/>
        </w:rPr>
        <w:t>Recommendations from the current TAG mission:</w:t>
      </w:r>
      <w:r w:rsidR="00A5231E">
        <w:rPr>
          <w:spacing w:val="-4"/>
          <w:w w:val="105"/>
          <w:sz w:val="20"/>
          <w:lang w:val="en-GB"/>
        </w:rPr>
        <w:t xml:space="preserve"> These are summaris</w:t>
      </w:r>
      <w:r w:rsidRPr="00A5231E">
        <w:rPr>
          <w:spacing w:val="-4"/>
          <w:w w:val="105"/>
          <w:sz w:val="20"/>
          <w:lang w:val="en-GB"/>
        </w:rPr>
        <w:t>ed as</w:t>
      </w:r>
      <w:r w:rsidRPr="00A5231E">
        <w:rPr>
          <w:sz w:val="20"/>
          <w:lang w:val="en-GB"/>
        </w:rPr>
        <w:t>:</w:t>
      </w:r>
    </w:p>
    <w:p w:rsidR="003D231F" w:rsidRPr="00DB61DD" w:rsidRDefault="003D231F" w:rsidP="00F92346">
      <w:pPr>
        <w:jc w:val="left"/>
        <w:rPr>
          <w:sz w:val="16"/>
          <w:szCs w:val="16"/>
          <w:lang w:val="en-GB"/>
        </w:rPr>
      </w:pPr>
    </w:p>
    <w:p w:rsidR="003D231F" w:rsidRPr="00A5231E" w:rsidRDefault="003D231F" w:rsidP="00F92346">
      <w:pPr>
        <w:pStyle w:val="ListParagraph"/>
        <w:numPr>
          <w:ilvl w:val="0"/>
          <w:numId w:val="48"/>
        </w:numPr>
        <w:ind w:left="284" w:hanging="284"/>
        <w:rPr>
          <w:sz w:val="20"/>
          <w:szCs w:val="20"/>
          <w:lang w:val="en-GB"/>
        </w:rPr>
      </w:pPr>
      <w:r w:rsidRPr="00A5231E">
        <w:rPr>
          <w:b/>
          <w:sz w:val="20"/>
          <w:szCs w:val="20"/>
          <w:lang w:val="en-GB"/>
        </w:rPr>
        <w:t>Establish the policy and institutional foundation for transition in 2014/15</w:t>
      </w:r>
      <w:r w:rsidRPr="00A5231E">
        <w:rPr>
          <w:sz w:val="20"/>
          <w:szCs w:val="20"/>
          <w:lang w:val="en-GB"/>
        </w:rPr>
        <w:t xml:space="preserve"> – the TAG </w:t>
      </w:r>
      <w:r w:rsidRPr="00A5231E">
        <w:rPr>
          <w:sz w:val="20"/>
          <w:szCs w:val="20"/>
          <w:u w:val="single"/>
          <w:lang w:val="en-GB"/>
        </w:rPr>
        <w:t>recommends</w:t>
      </w:r>
      <w:r w:rsidRPr="00A5231E">
        <w:rPr>
          <w:sz w:val="20"/>
          <w:szCs w:val="20"/>
          <w:lang w:val="en-GB"/>
        </w:rPr>
        <w:t xml:space="preserve"> that the Team Leader and AusAID staff work together with the DG MAF to design a process that enables MAF to secure adequate recurrent budget and </w:t>
      </w:r>
      <w:r w:rsidR="007F35CF">
        <w:rPr>
          <w:sz w:val="20"/>
          <w:szCs w:val="20"/>
          <w:lang w:val="en-GB"/>
        </w:rPr>
        <w:t xml:space="preserve">numbers of </w:t>
      </w:r>
      <w:r w:rsidRPr="00A5231E">
        <w:rPr>
          <w:sz w:val="20"/>
          <w:szCs w:val="20"/>
          <w:lang w:val="en-GB"/>
        </w:rPr>
        <w:t xml:space="preserve">staff </w:t>
      </w:r>
      <w:r w:rsidR="007F35CF">
        <w:rPr>
          <w:sz w:val="20"/>
          <w:szCs w:val="20"/>
          <w:lang w:val="en-GB"/>
        </w:rPr>
        <w:t xml:space="preserve">with required competencies </w:t>
      </w:r>
      <w:r w:rsidRPr="00A5231E">
        <w:rPr>
          <w:sz w:val="20"/>
          <w:szCs w:val="20"/>
          <w:lang w:val="en-GB"/>
        </w:rPr>
        <w:t>to take over operational responsibility for research, foundation seed production, and formal seed multiplication by the end of 2014.</w:t>
      </w:r>
    </w:p>
    <w:p w:rsidR="003D231F" w:rsidRPr="00A5231E" w:rsidRDefault="003D231F" w:rsidP="00F92346">
      <w:pPr>
        <w:pStyle w:val="ListParagraph"/>
        <w:numPr>
          <w:ilvl w:val="0"/>
          <w:numId w:val="48"/>
        </w:numPr>
        <w:ind w:left="284" w:hanging="284"/>
        <w:rPr>
          <w:sz w:val="20"/>
          <w:szCs w:val="20"/>
          <w:lang w:val="en-GB"/>
        </w:rPr>
      </w:pPr>
      <w:r w:rsidRPr="00A5231E">
        <w:rPr>
          <w:b/>
          <w:sz w:val="20"/>
          <w:szCs w:val="20"/>
          <w:lang w:val="en-GB"/>
        </w:rPr>
        <w:t>Explore yield potential to inform future investments</w:t>
      </w:r>
      <w:r w:rsidRPr="00A5231E">
        <w:rPr>
          <w:sz w:val="20"/>
          <w:szCs w:val="20"/>
          <w:lang w:val="en-GB"/>
        </w:rPr>
        <w:t xml:space="preserve"> – the TAG </w:t>
      </w:r>
      <w:r w:rsidRPr="00A5231E">
        <w:rPr>
          <w:sz w:val="20"/>
          <w:szCs w:val="20"/>
          <w:u w:val="single"/>
          <w:lang w:val="en-GB"/>
        </w:rPr>
        <w:t>recommends</w:t>
      </w:r>
      <w:r w:rsidRPr="00A5231E">
        <w:rPr>
          <w:sz w:val="20"/>
          <w:szCs w:val="20"/>
          <w:lang w:val="en-GB"/>
        </w:rPr>
        <w:t xml:space="preserve"> that C1</w:t>
      </w:r>
      <w:r w:rsidR="007F35CF">
        <w:rPr>
          <w:sz w:val="20"/>
          <w:szCs w:val="20"/>
          <w:lang w:val="en-GB"/>
        </w:rPr>
        <w:t>, C2</w:t>
      </w:r>
      <w:r w:rsidRPr="00A5231E">
        <w:rPr>
          <w:sz w:val="20"/>
          <w:szCs w:val="20"/>
          <w:lang w:val="en-GB"/>
        </w:rPr>
        <w:t xml:space="preserve"> and C</w:t>
      </w:r>
      <w:r w:rsidR="007F35CF">
        <w:rPr>
          <w:sz w:val="20"/>
          <w:szCs w:val="20"/>
          <w:lang w:val="en-GB"/>
        </w:rPr>
        <w:t>3</w:t>
      </w:r>
      <w:r w:rsidRPr="00A5231E">
        <w:rPr>
          <w:sz w:val="20"/>
          <w:szCs w:val="20"/>
          <w:lang w:val="en-GB"/>
        </w:rPr>
        <w:t xml:space="preserve"> teams work with their MAF partners to test the yield potential of recommended varieties through crop nutrition, weed management and plant density treatments on experiment station demonstration plots and with interested farmers as OFDTs or superimposed trials in formal seed and ISPG fields.</w:t>
      </w:r>
    </w:p>
    <w:p w:rsidR="003D231F" w:rsidRPr="00A5231E" w:rsidRDefault="003D231F" w:rsidP="00F92346">
      <w:pPr>
        <w:pStyle w:val="ListParagraph"/>
        <w:numPr>
          <w:ilvl w:val="0"/>
          <w:numId w:val="48"/>
        </w:numPr>
        <w:ind w:left="284" w:hanging="284"/>
        <w:rPr>
          <w:sz w:val="20"/>
          <w:szCs w:val="20"/>
          <w:lang w:val="en-GB"/>
        </w:rPr>
      </w:pPr>
      <w:r w:rsidRPr="00A5231E">
        <w:rPr>
          <w:b/>
          <w:sz w:val="20"/>
          <w:szCs w:val="20"/>
          <w:lang w:val="en-GB"/>
        </w:rPr>
        <w:t>Use vulnerability criteria to select new varieties</w:t>
      </w:r>
      <w:r w:rsidRPr="00A5231E">
        <w:rPr>
          <w:sz w:val="20"/>
          <w:szCs w:val="20"/>
          <w:lang w:val="en-GB"/>
        </w:rPr>
        <w:t xml:space="preserve"> – the TAG </w:t>
      </w:r>
      <w:r w:rsidRPr="00A5231E">
        <w:rPr>
          <w:sz w:val="20"/>
          <w:szCs w:val="20"/>
          <w:u w:val="single"/>
          <w:lang w:val="en-GB"/>
        </w:rPr>
        <w:t>recommends</w:t>
      </w:r>
      <w:r w:rsidRPr="00A5231E">
        <w:rPr>
          <w:sz w:val="20"/>
          <w:szCs w:val="20"/>
          <w:lang w:val="en-GB"/>
        </w:rPr>
        <w:t xml:space="preserve"> that the Climate Change Adviser analyses vulnerability to food insecurity under historical climate variability scenarios to identify criteria to select varieties </w:t>
      </w:r>
      <w:r w:rsidR="0048195F">
        <w:rPr>
          <w:sz w:val="20"/>
          <w:szCs w:val="20"/>
          <w:lang w:val="en-GB"/>
        </w:rPr>
        <w:t xml:space="preserve">and </w:t>
      </w:r>
      <w:r w:rsidR="0048195F" w:rsidRPr="00A5231E">
        <w:rPr>
          <w:sz w:val="20"/>
          <w:szCs w:val="20"/>
          <w:lang w:val="en-GB"/>
        </w:rPr>
        <w:t xml:space="preserve">crop </w:t>
      </w:r>
      <w:r w:rsidR="0048195F">
        <w:rPr>
          <w:sz w:val="20"/>
          <w:szCs w:val="20"/>
          <w:lang w:val="en-GB"/>
        </w:rPr>
        <w:t xml:space="preserve">systems </w:t>
      </w:r>
      <w:r w:rsidRPr="00A5231E">
        <w:rPr>
          <w:sz w:val="20"/>
          <w:szCs w:val="20"/>
          <w:lang w:val="en-GB"/>
        </w:rPr>
        <w:t>that will increase household food security resili</w:t>
      </w:r>
      <w:r w:rsidR="00A859F8">
        <w:rPr>
          <w:sz w:val="20"/>
          <w:szCs w:val="20"/>
          <w:lang w:val="en-GB"/>
        </w:rPr>
        <w:t>ence under climate variability.</w:t>
      </w:r>
    </w:p>
    <w:p w:rsidR="003D231F" w:rsidRPr="00A5231E" w:rsidRDefault="003D231F" w:rsidP="00F92346">
      <w:pPr>
        <w:pStyle w:val="ListParagraph"/>
        <w:numPr>
          <w:ilvl w:val="0"/>
          <w:numId w:val="48"/>
        </w:numPr>
        <w:ind w:left="284" w:hanging="284"/>
        <w:rPr>
          <w:sz w:val="20"/>
          <w:szCs w:val="20"/>
          <w:lang w:val="en-GB"/>
        </w:rPr>
      </w:pPr>
      <w:r w:rsidRPr="00A5231E">
        <w:rPr>
          <w:b/>
          <w:sz w:val="20"/>
          <w:szCs w:val="20"/>
          <w:lang w:val="en-GB"/>
        </w:rPr>
        <w:t>Review efficiency of formal seed production</w:t>
      </w:r>
      <w:r w:rsidRPr="00A5231E">
        <w:rPr>
          <w:sz w:val="20"/>
          <w:szCs w:val="20"/>
          <w:lang w:val="en-GB"/>
        </w:rPr>
        <w:t xml:space="preserve"> – As part of a broader national Seed Policy, the TAG </w:t>
      </w:r>
      <w:r w:rsidRPr="00A5231E">
        <w:rPr>
          <w:sz w:val="20"/>
          <w:szCs w:val="20"/>
          <w:u w:val="single"/>
          <w:lang w:val="en-GB"/>
        </w:rPr>
        <w:t>recommends</w:t>
      </w:r>
      <w:r w:rsidRPr="00A5231E">
        <w:rPr>
          <w:sz w:val="20"/>
          <w:szCs w:val="20"/>
          <w:lang w:val="en-GB"/>
        </w:rPr>
        <w:t xml:space="preserve"> that the full cost of producing foundation and certified seed is calculated and used to determine the most efficient options for cos</w:t>
      </w:r>
      <w:r w:rsidR="00A859F8">
        <w:rPr>
          <w:sz w:val="20"/>
          <w:szCs w:val="20"/>
          <w:lang w:val="en-GB"/>
        </w:rPr>
        <w:t>t recovery and seed production.</w:t>
      </w:r>
    </w:p>
    <w:p w:rsidR="00F3790B" w:rsidRPr="002E2738" w:rsidRDefault="009971D1" w:rsidP="002E2738">
      <w:pPr>
        <w:pStyle w:val="ListParagraph"/>
        <w:numPr>
          <w:ilvl w:val="0"/>
          <w:numId w:val="48"/>
        </w:numPr>
        <w:ind w:left="284" w:hanging="284"/>
        <w:rPr>
          <w:sz w:val="20"/>
          <w:szCs w:val="20"/>
          <w:lang w:val="en-GB"/>
        </w:rPr>
      </w:pPr>
      <w:r>
        <w:rPr>
          <w:b/>
          <w:sz w:val="20"/>
          <w:szCs w:val="20"/>
          <w:lang w:val="en-GB"/>
        </w:rPr>
        <w:t>Review the impacts of seed distribution choices</w:t>
      </w:r>
      <w:r w:rsidR="00BC2FF6" w:rsidRPr="00BC2FF6">
        <w:rPr>
          <w:sz w:val="20"/>
          <w:szCs w:val="20"/>
          <w:lang w:val="en-GB"/>
        </w:rPr>
        <w:t xml:space="preserve"> – t</w:t>
      </w:r>
      <w:r w:rsidR="00FB2DD9" w:rsidRPr="002E2738">
        <w:rPr>
          <w:sz w:val="20"/>
          <w:szCs w:val="20"/>
          <w:lang w:val="en-GB"/>
        </w:rPr>
        <w:t xml:space="preserve">he TAG </w:t>
      </w:r>
      <w:r w:rsidR="00FB2DD9" w:rsidRPr="002E2738">
        <w:rPr>
          <w:sz w:val="20"/>
          <w:szCs w:val="20"/>
          <w:u w:val="single"/>
          <w:lang w:val="en-GB"/>
        </w:rPr>
        <w:t>recommends</w:t>
      </w:r>
      <w:r w:rsidR="00FB2DD9" w:rsidRPr="002E2738">
        <w:rPr>
          <w:sz w:val="20"/>
          <w:szCs w:val="20"/>
          <w:lang w:val="en-GB"/>
        </w:rPr>
        <w:t xml:space="preserve"> that SOL3 together with MAF evaluate the effects of distribution of high quality certified seed at no cost to farmers on the efficiency and effectiveness of distribution, ability to reach the maximum number of farmers and incentives for the development of a private seed sector.</w:t>
      </w:r>
    </w:p>
    <w:p w:rsidR="003D231F" w:rsidRPr="00A5231E" w:rsidRDefault="003D231F" w:rsidP="00F92346">
      <w:pPr>
        <w:pStyle w:val="ListParagraph"/>
        <w:numPr>
          <w:ilvl w:val="0"/>
          <w:numId w:val="48"/>
        </w:numPr>
        <w:ind w:left="284" w:hanging="284"/>
        <w:rPr>
          <w:sz w:val="20"/>
          <w:szCs w:val="20"/>
          <w:lang w:val="en-GB"/>
        </w:rPr>
      </w:pPr>
      <w:r w:rsidRPr="00A5231E">
        <w:rPr>
          <w:b/>
          <w:sz w:val="20"/>
          <w:szCs w:val="20"/>
          <w:lang w:val="en-GB"/>
        </w:rPr>
        <w:t>Encourage wider use of social capital developed in ISPGs</w:t>
      </w:r>
      <w:r w:rsidRPr="00A5231E">
        <w:rPr>
          <w:sz w:val="20"/>
          <w:szCs w:val="20"/>
          <w:lang w:val="en-GB"/>
        </w:rPr>
        <w:t xml:space="preserve"> – the TAG </w:t>
      </w:r>
      <w:r w:rsidRPr="00A5231E">
        <w:rPr>
          <w:sz w:val="20"/>
          <w:szCs w:val="20"/>
          <w:u w:val="single"/>
          <w:lang w:val="en-GB"/>
        </w:rPr>
        <w:t>recommends</w:t>
      </w:r>
      <w:r w:rsidRPr="00A5231E">
        <w:rPr>
          <w:sz w:val="20"/>
          <w:szCs w:val="20"/>
          <w:lang w:val="en-GB"/>
        </w:rPr>
        <w:t xml:space="preserve"> that the Team Leader work with the Adviser of Informal Seed Production and the MAF Director of Extension to engage with other rural development programs in Timor-Leste that could make use of the social capital be</w:t>
      </w:r>
      <w:r w:rsidR="00A859F8">
        <w:rPr>
          <w:sz w:val="20"/>
          <w:szCs w:val="20"/>
          <w:lang w:val="en-GB"/>
        </w:rPr>
        <w:t>ing developed by SOL3 in ISPGs.</w:t>
      </w:r>
    </w:p>
    <w:p w:rsidR="003D231F" w:rsidRPr="00A5231E" w:rsidRDefault="003D231F" w:rsidP="00F92346">
      <w:pPr>
        <w:pStyle w:val="ListParagraph"/>
        <w:numPr>
          <w:ilvl w:val="0"/>
          <w:numId w:val="48"/>
        </w:numPr>
        <w:ind w:left="284" w:hanging="284"/>
        <w:rPr>
          <w:sz w:val="20"/>
          <w:szCs w:val="20"/>
          <w:lang w:val="en-GB"/>
        </w:rPr>
      </w:pPr>
      <w:r w:rsidRPr="00A5231E">
        <w:rPr>
          <w:b/>
          <w:sz w:val="20"/>
          <w:szCs w:val="20"/>
          <w:lang w:val="en-GB"/>
        </w:rPr>
        <w:t xml:space="preserve">Support SEOs to ensure they support SOL3 </w:t>
      </w:r>
      <w:r w:rsidR="00FF2E0B">
        <w:rPr>
          <w:b/>
          <w:sz w:val="20"/>
          <w:szCs w:val="20"/>
          <w:lang w:val="en-GB"/>
        </w:rPr>
        <w:t>results</w:t>
      </w:r>
      <w:r w:rsidRPr="00A5231E">
        <w:rPr>
          <w:sz w:val="20"/>
          <w:szCs w:val="20"/>
          <w:lang w:val="en-GB"/>
        </w:rPr>
        <w:t xml:space="preserve"> – the TAG </w:t>
      </w:r>
      <w:r w:rsidRPr="00A5231E">
        <w:rPr>
          <w:sz w:val="20"/>
          <w:szCs w:val="20"/>
          <w:u w:val="single"/>
          <w:lang w:val="en-GB"/>
        </w:rPr>
        <w:t>recommends</w:t>
      </w:r>
      <w:r w:rsidRPr="00A5231E">
        <w:rPr>
          <w:sz w:val="20"/>
          <w:szCs w:val="20"/>
          <w:lang w:val="en-GB"/>
        </w:rPr>
        <w:t xml:space="preserve"> that SEOs responsible for IPSGs in priority areas be assisted with transportation and training where needed, and that their involvement with other donor-assisted activities and their workload be coordinated wi</w:t>
      </w:r>
      <w:r w:rsidR="00A859F8">
        <w:rPr>
          <w:sz w:val="20"/>
          <w:szCs w:val="20"/>
          <w:lang w:val="en-GB"/>
        </w:rPr>
        <w:t>th MAF and the donor concerned.</w:t>
      </w:r>
    </w:p>
    <w:p w:rsidR="003D231F" w:rsidRPr="00A5231E" w:rsidRDefault="003D231F" w:rsidP="00F92346">
      <w:pPr>
        <w:pStyle w:val="ListParagraph"/>
        <w:numPr>
          <w:ilvl w:val="0"/>
          <w:numId w:val="48"/>
        </w:numPr>
        <w:ind w:left="284" w:hanging="284"/>
        <w:rPr>
          <w:sz w:val="20"/>
          <w:szCs w:val="20"/>
          <w:lang w:val="en-GB"/>
        </w:rPr>
      </w:pPr>
      <w:r w:rsidRPr="00A5231E">
        <w:rPr>
          <w:b/>
          <w:sz w:val="20"/>
          <w:szCs w:val="20"/>
          <w:lang w:val="en-GB"/>
        </w:rPr>
        <w:t>Finalise performance management system and put it into practice</w:t>
      </w:r>
      <w:r w:rsidRPr="00A5231E">
        <w:rPr>
          <w:sz w:val="20"/>
          <w:szCs w:val="20"/>
          <w:lang w:val="en-GB"/>
        </w:rPr>
        <w:t xml:space="preserve"> – the TAG </w:t>
      </w:r>
      <w:r w:rsidRPr="00A5231E">
        <w:rPr>
          <w:sz w:val="20"/>
          <w:szCs w:val="20"/>
          <w:u w:val="single"/>
          <w:lang w:val="en-GB"/>
        </w:rPr>
        <w:t>recommends</w:t>
      </w:r>
      <w:r w:rsidRPr="00A5231E">
        <w:rPr>
          <w:sz w:val="20"/>
          <w:szCs w:val="20"/>
          <w:lang w:val="en-GB"/>
        </w:rPr>
        <w:t xml:space="preserve"> that after final consultation with MAF, AusAID and ACIAR, minor refinements are made to finalise the performance management plan, evaluation framework and results framework so that the performance</w:t>
      </w:r>
      <w:r w:rsidR="00A859F8">
        <w:rPr>
          <w:sz w:val="20"/>
          <w:szCs w:val="20"/>
          <w:lang w:val="en-GB"/>
        </w:rPr>
        <w:t xml:space="preserve"> management system can be used</w:t>
      </w:r>
      <w:r w:rsidR="0048195F">
        <w:rPr>
          <w:sz w:val="20"/>
          <w:szCs w:val="20"/>
          <w:lang w:val="en-GB"/>
        </w:rPr>
        <w:t xml:space="preserve"> as soon as possible</w:t>
      </w:r>
      <w:r w:rsidR="00A859F8">
        <w:rPr>
          <w:sz w:val="20"/>
          <w:szCs w:val="20"/>
          <w:lang w:val="en-GB"/>
        </w:rPr>
        <w:t>.</w:t>
      </w:r>
    </w:p>
    <w:p w:rsidR="003D231F" w:rsidRPr="00A5231E" w:rsidRDefault="003D231F" w:rsidP="00F92346">
      <w:pPr>
        <w:pStyle w:val="ListParagraph"/>
        <w:numPr>
          <w:ilvl w:val="0"/>
          <w:numId w:val="48"/>
        </w:numPr>
        <w:ind w:left="284" w:hanging="284"/>
        <w:rPr>
          <w:sz w:val="20"/>
          <w:szCs w:val="20"/>
          <w:lang w:val="en-GB"/>
        </w:rPr>
      </w:pPr>
      <w:r w:rsidRPr="00A5231E">
        <w:rPr>
          <w:b/>
          <w:sz w:val="20"/>
          <w:szCs w:val="20"/>
          <w:lang w:val="en-GB"/>
        </w:rPr>
        <w:t>Prepare for mid-term review</w:t>
      </w:r>
      <w:r w:rsidRPr="00A5231E">
        <w:rPr>
          <w:sz w:val="20"/>
          <w:szCs w:val="20"/>
          <w:lang w:val="en-GB"/>
        </w:rPr>
        <w:t xml:space="preserve"> – the TAG </w:t>
      </w:r>
      <w:r w:rsidRPr="00A5231E">
        <w:rPr>
          <w:sz w:val="20"/>
          <w:szCs w:val="20"/>
          <w:u w:val="single"/>
          <w:lang w:val="en-GB"/>
        </w:rPr>
        <w:t>recommends</w:t>
      </w:r>
      <w:r w:rsidRPr="00A5231E">
        <w:rPr>
          <w:sz w:val="20"/>
          <w:szCs w:val="20"/>
          <w:lang w:val="en-GB"/>
        </w:rPr>
        <w:t xml:space="preserve"> that the mid-term review and TAG3 input before June 2013 focus on (1) institutional capacity to transition Components 1 and 2 to MAF; (2) sustainability of informal seed production systems; and (3) the adaptive research and policy framework to enable sustainable food security in Timor-Leste in the longer term.</w:t>
      </w:r>
    </w:p>
    <w:p w:rsidR="003D231F" w:rsidRPr="00DB61DD" w:rsidRDefault="003D231F" w:rsidP="00F92346">
      <w:pPr>
        <w:pStyle w:val="Default"/>
        <w:rPr>
          <w:color w:val="auto"/>
          <w:spacing w:val="-5"/>
          <w:w w:val="105"/>
          <w:sz w:val="16"/>
          <w:szCs w:val="16"/>
        </w:rPr>
      </w:pPr>
    </w:p>
    <w:p w:rsidR="003D231F" w:rsidRPr="00A5231E" w:rsidRDefault="003D231F" w:rsidP="00F92346">
      <w:pPr>
        <w:jc w:val="left"/>
        <w:rPr>
          <w:sz w:val="20"/>
        </w:rPr>
      </w:pPr>
      <w:r w:rsidRPr="00A5231E">
        <w:rPr>
          <w:sz w:val="20"/>
          <w:lang w:val="en-GB"/>
        </w:rPr>
        <w:t>In summary the TAG continues to have confidence that SOL3 is able to deliver on its objectives in a timely and effective manner, and compliments the program staff for their dedication and enthusiasm.  Transition of program research and seed production functions to MAF is challenging, but manageable if it gets underway in 2012.  If limitations of crop nutrition can be effectively addressed, SOL3 is poised to have a remarkable impact on food security and human nutrition in Timor-Leste.</w:t>
      </w:r>
    </w:p>
    <w:p w:rsidR="00664B96" w:rsidRPr="003D1B5E" w:rsidRDefault="00664B96" w:rsidP="00456528">
      <w:pPr>
        <w:pStyle w:val="Heading1"/>
        <w:numPr>
          <w:ilvl w:val="0"/>
          <w:numId w:val="0"/>
        </w:numPr>
        <w:jc w:val="center"/>
        <w:rPr>
          <w:lang w:val="en-GB"/>
        </w:rPr>
      </w:pPr>
      <w:bookmarkStart w:id="2" w:name="_Toc326845336"/>
      <w:r w:rsidRPr="003D1B5E">
        <w:rPr>
          <w:lang w:val="en-GB"/>
        </w:rPr>
        <w:lastRenderedPageBreak/>
        <w:t>Acronyms</w:t>
      </w:r>
      <w:bookmarkEnd w:id="2"/>
    </w:p>
    <w:p w:rsidR="00F609FF" w:rsidRPr="003D1B5E" w:rsidRDefault="00F609FF" w:rsidP="00F609FF">
      <w:pPr>
        <w:rPr>
          <w:sz w:val="16"/>
          <w:szCs w:val="16"/>
          <w:lang w:val="en-GB"/>
        </w:rPr>
      </w:pPr>
      <w:bookmarkStart w:id="3" w:name="_Toc51714658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ronyms"/>
      </w:tblPr>
      <w:tblGrid>
        <w:gridCol w:w="1526"/>
        <w:gridCol w:w="7654"/>
      </w:tblGrid>
      <w:tr w:rsidR="004E570E" w:rsidRPr="003D1B5E" w:rsidTr="00F0517E">
        <w:trPr>
          <w:tblHeader/>
        </w:trPr>
        <w:tc>
          <w:tcPr>
            <w:tcW w:w="1526" w:type="dxa"/>
          </w:tcPr>
          <w:p w:rsidR="004E570E" w:rsidRPr="003D1B5E" w:rsidRDefault="004E570E" w:rsidP="00800E7A">
            <w:pPr>
              <w:spacing w:before="0" w:after="0"/>
              <w:jc w:val="left"/>
              <w:rPr>
                <w:lang w:val="en-GB"/>
              </w:rPr>
            </w:pPr>
            <w:r w:rsidRPr="003D1B5E">
              <w:rPr>
                <w:lang w:val="en-GB"/>
              </w:rPr>
              <w:t>ACIAR</w:t>
            </w:r>
          </w:p>
        </w:tc>
        <w:tc>
          <w:tcPr>
            <w:tcW w:w="7654" w:type="dxa"/>
          </w:tcPr>
          <w:p w:rsidR="004E570E" w:rsidRPr="003D1B5E" w:rsidRDefault="004E570E" w:rsidP="00800E7A">
            <w:pPr>
              <w:spacing w:before="0" w:after="0"/>
              <w:jc w:val="left"/>
              <w:rPr>
                <w:lang w:val="en-GB"/>
              </w:rPr>
            </w:pPr>
            <w:r w:rsidRPr="003D1B5E">
              <w:rPr>
                <w:lang w:val="en-GB"/>
              </w:rPr>
              <w:t>Australian Centre for International Agricultural Research</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AEZ</w:t>
            </w:r>
          </w:p>
        </w:tc>
        <w:tc>
          <w:tcPr>
            <w:tcW w:w="7654" w:type="dxa"/>
          </w:tcPr>
          <w:p w:rsidR="004E570E" w:rsidRPr="003D1B5E" w:rsidRDefault="004E570E" w:rsidP="00800E7A">
            <w:pPr>
              <w:spacing w:before="0" w:after="0"/>
              <w:jc w:val="left"/>
              <w:rPr>
                <w:lang w:val="en-GB"/>
              </w:rPr>
            </w:pPr>
            <w:r w:rsidRPr="003D1B5E">
              <w:rPr>
                <w:lang w:val="en-GB"/>
              </w:rPr>
              <w:t>Agro-ecological zone</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ALGIS</w:t>
            </w:r>
          </w:p>
        </w:tc>
        <w:tc>
          <w:tcPr>
            <w:tcW w:w="7654" w:type="dxa"/>
          </w:tcPr>
          <w:p w:rsidR="004E570E" w:rsidRPr="003D1B5E" w:rsidRDefault="004E570E" w:rsidP="00800E7A">
            <w:pPr>
              <w:spacing w:before="0" w:after="0"/>
              <w:jc w:val="left"/>
              <w:rPr>
                <w:lang w:val="en-GB"/>
              </w:rPr>
            </w:pPr>
            <w:r w:rsidRPr="003D1B5E">
              <w:rPr>
                <w:lang w:val="en-GB"/>
              </w:rPr>
              <w:t>Agricultural Land Geographic Information System</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AusAID</w:t>
            </w:r>
          </w:p>
        </w:tc>
        <w:tc>
          <w:tcPr>
            <w:tcW w:w="7654" w:type="dxa"/>
          </w:tcPr>
          <w:p w:rsidR="004E570E" w:rsidRPr="003D1B5E" w:rsidRDefault="004E570E" w:rsidP="00800E7A">
            <w:pPr>
              <w:spacing w:before="0" w:after="0"/>
              <w:jc w:val="left"/>
              <w:rPr>
                <w:lang w:val="en-GB"/>
              </w:rPr>
            </w:pPr>
            <w:r w:rsidRPr="003D1B5E">
              <w:rPr>
                <w:lang w:val="en-GB"/>
              </w:rPr>
              <w:t>Australian Agency of International Development</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CGIAR</w:t>
            </w:r>
          </w:p>
        </w:tc>
        <w:tc>
          <w:tcPr>
            <w:tcW w:w="7654" w:type="dxa"/>
          </w:tcPr>
          <w:p w:rsidR="004E570E" w:rsidRPr="003D1B5E" w:rsidRDefault="004E570E" w:rsidP="00800E7A">
            <w:pPr>
              <w:spacing w:before="0" w:after="0"/>
              <w:jc w:val="left"/>
              <w:rPr>
                <w:lang w:val="en-GB"/>
              </w:rPr>
            </w:pPr>
            <w:r w:rsidRPr="003D1B5E">
              <w:rPr>
                <w:lang w:val="en-GB"/>
              </w:rPr>
              <w:t>Consultative Group on International Agriculture</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CIAT</w:t>
            </w:r>
          </w:p>
        </w:tc>
        <w:tc>
          <w:tcPr>
            <w:tcW w:w="7654" w:type="dxa"/>
          </w:tcPr>
          <w:p w:rsidR="004E570E" w:rsidRPr="003D1B5E" w:rsidRDefault="004E570E" w:rsidP="00800E7A">
            <w:pPr>
              <w:spacing w:before="0" w:after="0"/>
              <w:jc w:val="left"/>
              <w:rPr>
                <w:lang w:val="en-GB"/>
              </w:rPr>
            </w:pPr>
            <w:r w:rsidRPr="003D1B5E">
              <w:rPr>
                <w:lang w:val="en-GB"/>
              </w:rPr>
              <w:t>Centro Internacional de Agricultura Tropical</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CIMMYT</w:t>
            </w:r>
          </w:p>
        </w:tc>
        <w:tc>
          <w:tcPr>
            <w:tcW w:w="7654" w:type="dxa"/>
          </w:tcPr>
          <w:p w:rsidR="004E570E" w:rsidRPr="003D1B5E" w:rsidRDefault="004E570E" w:rsidP="00800E7A">
            <w:pPr>
              <w:spacing w:before="0" w:after="0"/>
              <w:jc w:val="left"/>
              <w:rPr>
                <w:lang w:val="en-GB"/>
              </w:rPr>
            </w:pPr>
            <w:r w:rsidRPr="003D1B5E">
              <w:rPr>
                <w:lang w:val="en-GB"/>
              </w:rPr>
              <w:t>Centro Internacional de Mejoramiento de Maiz y Trigo</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CIP</w:t>
            </w:r>
          </w:p>
        </w:tc>
        <w:tc>
          <w:tcPr>
            <w:tcW w:w="7654" w:type="dxa"/>
          </w:tcPr>
          <w:p w:rsidR="004E570E" w:rsidRPr="003D1B5E" w:rsidRDefault="004E570E" w:rsidP="00800E7A">
            <w:pPr>
              <w:spacing w:before="0" w:after="0"/>
              <w:jc w:val="left"/>
              <w:rPr>
                <w:lang w:val="en-GB"/>
              </w:rPr>
            </w:pPr>
            <w:r w:rsidRPr="003D1B5E">
              <w:rPr>
                <w:lang w:val="en-GB"/>
              </w:rPr>
              <w:t>Centro Internacional de Papa</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CSPG</w:t>
            </w:r>
          </w:p>
        </w:tc>
        <w:tc>
          <w:tcPr>
            <w:tcW w:w="7654" w:type="dxa"/>
          </w:tcPr>
          <w:p w:rsidR="004E570E" w:rsidRPr="003D1B5E" w:rsidRDefault="004E570E" w:rsidP="00800E7A">
            <w:pPr>
              <w:spacing w:before="0" w:after="0"/>
              <w:jc w:val="left"/>
              <w:rPr>
                <w:lang w:val="en-GB"/>
              </w:rPr>
            </w:pPr>
            <w:r w:rsidRPr="003D1B5E">
              <w:rPr>
                <w:lang w:val="en-GB"/>
              </w:rPr>
              <w:t>Community Seed Production Group</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DNDCA</w:t>
            </w:r>
          </w:p>
        </w:tc>
        <w:tc>
          <w:tcPr>
            <w:tcW w:w="7654" w:type="dxa"/>
          </w:tcPr>
          <w:p w:rsidR="004E570E" w:rsidRPr="003D1B5E" w:rsidRDefault="004E570E" w:rsidP="00800E7A">
            <w:pPr>
              <w:spacing w:before="0" w:after="0"/>
              <w:jc w:val="left"/>
              <w:rPr>
                <w:lang w:val="en-GB"/>
              </w:rPr>
            </w:pPr>
            <w:r w:rsidRPr="003D1B5E">
              <w:rPr>
                <w:lang w:val="en-GB"/>
              </w:rPr>
              <w:t>National Directorate for Agricultural Community Development (MAF)</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DNR&amp;SS</w:t>
            </w:r>
          </w:p>
        </w:tc>
        <w:tc>
          <w:tcPr>
            <w:tcW w:w="7654" w:type="dxa"/>
          </w:tcPr>
          <w:p w:rsidR="004E570E" w:rsidRPr="003D1B5E" w:rsidRDefault="004E570E" w:rsidP="00800E7A">
            <w:pPr>
              <w:spacing w:before="0" w:after="0"/>
              <w:jc w:val="left"/>
              <w:rPr>
                <w:lang w:val="en-GB"/>
              </w:rPr>
            </w:pPr>
            <w:r w:rsidRPr="003D1B5E">
              <w:rPr>
                <w:lang w:val="en-GB"/>
              </w:rPr>
              <w:t>National Directorate for Research and Special Services (MAF)</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DNE</w:t>
            </w:r>
          </w:p>
        </w:tc>
        <w:tc>
          <w:tcPr>
            <w:tcW w:w="7654" w:type="dxa"/>
          </w:tcPr>
          <w:p w:rsidR="004E570E" w:rsidRPr="003D1B5E" w:rsidRDefault="004E570E" w:rsidP="00800E7A">
            <w:pPr>
              <w:spacing w:before="0" w:after="0"/>
              <w:jc w:val="left"/>
              <w:rPr>
                <w:lang w:val="en-GB"/>
              </w:rPr>
            </w:pPr>
            <w:r w:rsidRPr="003D1B5E">
              <w:rPr>
                <w:lang w:val="en-GB"/>
              </w:rPr>
              <w:t>Direcção Nacional de Estatistica</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FAOSTAT</w:t>
            </w:r>
          </w:p>
        </w:tc>
        <w:tc>
          <w:tcPr>
            <w:tcW w:w="7654" w:type="dxa"/>
          </w:tcPr>
          <w:p w:rsidR="004E570E" w:rsidRPr="003D1B5E" w:rsidRDefault="006A691F" w:rsidP="00800E7A">
            <w:pPr>
              <w:spacing w:before="0" w:after="0"/>
              <w:jc w:val="left"/>
              <w:rPr>
                <w:lang w:val="en-GB"/>
              </w:rPr>
            </w:pPr>
            <w:r w:rsidRPr="003D1B5E">
              <w:rPr>
                <w:lang w:val="en-GB"/>
              </w:rPr>
              <w:t>Food and Agriculture Organis</w:t>
            </w:r>
            <w:r w:rsidR="004E570E" w:rsidRPr="003D1B5E">
              <w:rPr>
                <w:lang w:val="en-GB"/>
              </w:rPr>
              <w:t>ation Statistics (on line)</w:t>
            </w:r>
          </w:p>
        </w:tc>
      </w:tr>
      <w:tr w:rsidR="008D38E7" w:rsidRPr="003D1B5E" w:rsidTr="004E570E">
        <w:tc>
          <w:tcPr>
            <w:tcW w:w="1526" w:type="dxa"/>
          </w:tcPr>
          <w:p w:rsidR="008D38E7" w:rsidRPr="003D1B5E" w:rsidRDefault="008D38E7" w:rsidP="00800E7A">
            <w:pPr>
              <w:spacing w:before="0" w:after="0"/>
              <w:jc w:val="left"/>
              <w:rPr>
                <w:lang w:val="en-GB"/>
              </w:rPr>
            </w:pPr>
            <w:r>
              <w:rPr>
                <w:lang w:val="en-GB"/>
              </w:rPr>
              <w:t>FS</w:t>
            </w:r>
          </w:p>
        </w:tc>
        <w:tc>
          <w:tcPr>
            <w:tcW w:w="7654" w:type="dxa"/>
          </w:tcPr>
          <w:p w:rsidR="008D38E7" w:rsidRPr="003D1B5E" w:rsidRDefault="008D38E7" w:rsidP="00800E7A">
            <w:pPr>
              <w:spacing w:before="0" w:after="0"/>
              <w:jc w:val="left"/>
              <w:rPr>
                <w:lang w:val="en-GB"/>
              </w:rPr>
            </w:pPr>
            <w:r>
              <w:rPr>
                <w:lang w:val="en-GB"/>
              </w:rPr>
              <w:t>Foundation seed</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FSMG</w:t>
            </w:r>
          </w:p>
        </w:tc>
        <w:tc>
          <w:tcPr>
            <w:tcW w:w="7654" w:type="dxa"/>
          </w:tcPr>
          <w:p w:rsidR="004E570E" w:rsidRPr="003D1B5E" w:rsidRDefault="004E570E" w:rsidP="00800E7A">
            <w:pPr>
              <w:spacing w:before="0" w:after="0"/>
              <w:jc w:val="left"/>
              <w:rPr>
                <w:lang w:val="en-GB"/>
              </w:rPr>
            </w:pPr>
            <w:r w:rsidRPr="003D1B5E">
              <w:rPr>
                <w:lang w:val="en-GB"/>
              </w:rPr>
              <w:t>Farmer Seed Marketing Group</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GoT</w:t>
            </w:r>
            <w:r w:rsidR="003424EC">
              <w:rPr>
                <w:lang w:val="en-GB"/>
              </w:rPr>
              <w:t>-</w:t>
            </w:r>
            <w:r w:rsidRPr="003D1B5E">
              <w:rPr>
                <w:lang w:val="en-GB"/>
              </w:rPr>
              <w:t>L</w:t>
            </w:r>
          </w:p>
        </w:tc>
        <w:tc>
          <w:tcPr>
            <w:tcW w:w="7654" w:type="dxa"/>
          </w:tcPr>
          <w:p w:rsidR="004E570E" w:rsidRPr="003D1B5E" w:rsidRDefault="004E570E" w:rsidP="00800E7A">
            <w:pPr>
              <w:spacing w:before="0" w:after="0"/>
              <w:jc w:val="left"/>
              <w:rPr>
                <w:lang w:val="en-GB"/>
              </w:rPr>
            </w:pPr>
            <w:r w:rsidRPr="003D1B5E">
              <w:rPr>
                <w:lang w:val="en-GB"/>
              </w:rPr>
              <w:t>Government of Timor-Leste</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GMO</w:t>
            </w:r>
          </w:p>
        </w:tc>
        <w:tc>
          <w:tcPr>
            <w:tcW w:w="7654" w:type="dxa"/>
          </w:tcPr>
          <w:p w:rsidR="004E570E" w:rsidRPr="003D1B5E" w:rsidRDefault="004E570E" w:rsidP="00800E7A">
            <w:pPr>
              <w:spacing w:before="0" w:after="0"/>
              <w:jc w:val="left"/>
              <w:rPr>
                <w:lang w:val="en-GB"/>
              </w:rPr>
            </w:pPr>
            <w:r w:rsidRPr="003D1B5E">
              <w:rPr>
                <w:lang w:val="en-GB"/>
              </w:rPr>
              <w:t>Genetically modified organism</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ICRISAT</w:t>
            </w:r>
          </w:p>
        </w:tc>
        <w:tc>
          <w:tcPr>
            <w:tcW w:w="7654" w:type="dxa"/>
          </w:tcPr>
          <w:p w:rsidR="004E570E" w:rsidRPr="003D1B5E" w:rsidRDefault="004E570E" w:rsidP="00800E7A">
            <w:pPr>
              <w:spacing w:before="0" w:after="0"/>
              <w:jc w:val="left"/>
              <w:rPr>
                <w:lang w:val="en-GB"/>
              </w:rPr>
            </w:pPr>
            <w:r w:rsidRPr="003D1B5E">
              <w:rPr>
                <w:lang w:val="en-GB"/>
              </w:rPr>
              <w:t>International Crops Research Institute for the Semi-Arid Tropics</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IFAD</w:t>
            </w:r>
          </w:p>
        </w:tc>
        <w:tc>
          <w:tcPr>
            <w:tcW w:w="7654" w:type="dxa"/>
          </w:tcPr>
          <w:p w:rsidR="004E570E" w:rsidRPr="003D1B5E" w:rsidRDefault="004E570E" w:rsidP="00800E7A">
            <w:pPr>
              <w:spacing w:before="0" w:after="0"/>
              <w:jc w:val="left"/>
              <w:rPr>
                <w:lang w:val="en-GB"/>
              </w:rPr>
            </w:pPr>
            <w:r w:rsidRPr="003D1B5E">
              <w:rPr>
                <w:lang w:val="en-GB"/>
              </w:rPr>
              <w:t>International Fund for Agricultural Development</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IRRI</w:t>
            </w:r>
          </w:p>
        </w:tc>
        <w:tc>
          <w:tcPr>
            <w:tcW w:w="7654" w:type="dxa"/>
          </w:tcPr>
          <w:p w:rsidR="004E570E" w:rsidRPr="003D1B5E" w:rsidRDefault="004E570E" w:rsidP="00800E7A">
            <w:pPr>
              <w:spacing w:before="0" w:after="0"/>
              <w:jc w:val="left"/>
              <w:rPr>
                <w:lang w:val="en-GB"/>
              </w:rPr>
            </w:pPr>
            <w:r w:rsidRPr="003D1B5E">
              <w:rPr>
                <w:lang w:val="en-GB"/>
              </w:rPr>
              <w:t>International Rice Research Institute</w:t>
            </w:r>
          </w:p>
        </w:tc>
      </w:tr>
      <w:tr w:rsidR="003424EC" w:rsidRPr="003D1B5E" w:rsidTr="004E570E">
        <w:tc>
          <w:tcPr>
            <w:tcW w:w="1526" w:type="dxa"/>
          </w:tcPr>
          <w:p w:rsidR="003424EC" w:rsidRPr="003D1B5E" w:rsidRDefault="003424EC" w:rsidP="00800E7A">
            <w:pPr>
              <w:spacing w:before="0" w:after="0"/>
              <w:jc w:val="left"/>
              <w:rPr>
                <w:lang w:val="en-GB"/>
              </w:rPr>
            </w:pPr>
            <w:r>
              <w:rPr>
                <w:lang w:val="en-GB"/>
              </w:rPr>
              <w:t>ISPG</w:t>
            </w:r>
          </w:p>
        </w:tc>
        <w:tc>
          <w:tcPr>
            <w:tcW w:w="7654" w:type="dxa"/>
          </w:tcPr>
          <w:p w:rsidR="003424EC" w:rsidRPr="003D1B5E" w:rsidRDefault="003424EC" w:rsidP="00800E7A">
            <w:pPr>
              <w:spacing w:before="0" w:after="0"/>
              <w:jc w:val="left"/>
              <w:rPr>
                <w:lang w:val="en-GB"/>
              </w:rPr>
            </w:pPr>
            <w:r>
              <w:rPr>
                <w:lang w:val="en-GB"/>
              </w:rPr>
              <w:t>Informal Seed Production Group</w:t>
            </w:r>
          </w:p>
        </w:tc>
      </w:tr>
      <w:tr w:rsidR="006342A8" w:rsidRPr="003D1B5E" w:rsidTr="004E570E">
        <w:tc>
          <w:tcPr>
            <w:tcW w:w="1526" w:type="dxa"/>
          </w:tcPr>
          <w:p w:rsidR="006342A8" w:rsidRPr="003D1B5E" w:rsidRDefault="006342A8" w:rsidP="00800E7A">
            <w:pPr>
              <w:spacing w:before="0" w:after="0"/>
              <w:jc w:val="left"/>
              <w:rPr>
                <w:lang w:val="en-GB"/>
              </w:rPr>
            </w:pPr>
            <w:r>
              <w:rPr>
                <w:lang w:val="en-GB"/>
              </w:rPr>
              <w:t>JICA</w:t>
            </w:r>
          </w:p>
        </w:tc>
        <w:tc>
          <w:tcPr>
            <w:tcW w:w="7654" w:type="dxa"/>
          </w:tcPr>
          <w:p w:rsidR="006342A8" w:rsidRPr="003D1B5E" w:rsidRDefault="006342A8" w:rsidP="00A5231E">
            <w:pPr>
              <w:spacing w:before="0" w:after="0"/>
              <w:jc w:val="left"/>
              <w:rPr>
                <w:lang w:val="en-GB"/>
              </w:rPr>
            </w:pPr>
            <w:r>
              <w:rPr>
                <w:lang w:val="en-GB"/>
              </w:rPr>
              <w:t xml:space="preserve">Japanese </w:t>
            </w:r>
            <w:r w:rsidR="00A5231E">
              <w:rPr>
                <w:lang w:val="en-GB"/>
              </w:rPr>
              <w:t>International Cooperation Agency</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M&amp;E</w:t>
            </w:r>
          </w:p>
        </w:tc>
        <w:tc>
          <w:tcPr>
            <w:tcW w:w="7654" w:type="dxa"/>
          </w:tcPr>
          <w:p w:rsidR="004E570E" w:rsidRPr="003D1B5E" w:rsidRDefault="004E570E" w:rsidP="00800E7A">
            <w:pPr>
              <w:spacing w:before="0" w:after="0"/>
              <w:jc w:val="left"/>
              <w:rPr>
                <w:lang w:val="en-GB"/>
              </w:rPr>
            </w:pPr>
            <w:r w:rsidRPr="003D1B5E">
              <w:rPr>
                <w:lang w:val="en-GB"/>
              </w:rPr>
              <w:t>Monitoring and Evaluation</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MAF</w:t>
            </w:r>
          </w:p>
        </w:tc>
        <w:tc>
          <w:tcPr>
            <w:tcW w:w="7654" w:type="dxa"/>
          </w:tcPr>
          <w:p w:rsidR="004E570E" w:rsidRPr="003D1B5E" w:rsidRDefault="004E570E" w:rsidP="00800E7A">
            <w:pPr>
              <w:spacing w:before="0" w:after="0"/>
              <w:jc w:val="left"/>
              <w:rPr>
                <w:lang w:val="en-GB"/>
              </w:rPr>
            </w:pPr>
            <w:r w:rsidRPr="003D1B5E">
              <w:rPr>
                <w:lang w:val="en-GB"/>
              </w:rPr>
              <w:t>Ministry of Agriculture and Fisheries</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MEF</w:t>
            </w:r>
          </w:p>
        </w:tc>
        <w:tc>
          <w:tcPr>
            <w:tcW w:w="7654" w:type="dxa"/>
          </w:tcPr>
          <w:p w:rsidR="004E570E" w:rsidRPr="003D1B5E" w:rsidRDefault="004E570E" w:rsidP="00800E7A">
            <w:pPr>
              <w:spacing w:before="0" w:after="0"/>
              <w:jc w:val="left"/>
              <w:rPr>
                <w:lang w:val="en-GB"/>
              </w:rPr>
            </w:pPr>
            <w:r w:rsidRPr="003D1B5E">
              <w:rPr>
                <w:lang w:val="en-GB"/>
              </w:rPr>
              <w:t>Monitoring and Evaluation Framework</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NGOs</w:t>
            </w:r>
          </w:p>
        </w:tc>
        <w:tc>
          <w:tcPr>
            <w:tcW w:w="7654" w:type="dxa"/>
          </w:tcPr>
          <w:p w:rsidR="004E570E" w:rsidRPr="003D1B5E" w:rsidRDefault="006A691F" w:rsidP="00800E7A">
            <w:pPr>
              <w:spacing w:before="0" w:after="0"/>
              <w:jc w:val="left"/>
              <w:rPr>
                <w:lang w:val="en-GB"/>
              </w:rPr>
            </w:pPr>
            <w:r w:rsidRPr="003D1B5E">
              <w:rPr>
                <w:lang w:val="en-GB"/>
              </w:rPr>
              <w:t>Non-Governmental Organis</w:t>
            </w:r>
            <w:r w:rsidR="004E570E" w:rsidRPr="003D1B5E">
              <w:rPr>
                <w:lang w:val="en-GB"/>
              </w:rPr>
              <w:t>ations</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NPK</w:t>
            </w:r>
          </w:p>
        </w:tc>
        <w:tc>
          <w:tcPr>
            <w:tcW w:w="7654" w:type="dxa"/>
          </w:tcPr>
          <w:p w:rsidR="004E570E" w:rsidRPr="003D1B5E" w:rsidRDefault="004E570E" w:rsidP="00800E7A">
            <w:pPr>
              <w:spacing w:before="0" w:after="0"/>
              <w:jc w:val="left"/>
              <w:rPr>
                <w:lang w:val="en-GB"/>
              </w:rPr>
            </w:pPr>
            <w:r w:rsidRPr="003D1B5E">
              <w:rPr>
                <w:lang w:val="en-GB"/>
              </w:rPr>
              <w:t>Nitrogen, phosphorous and potassium</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OFDT</w:t>
            </w:r>
          </w:p>
        </w:tc>
        <w:tc>
          <w:tcPr>
            <w:tcW w:w="7654" w:type="dxa"/>
          </w:tcPr>
          <w:p w:rsidR="004E570E" w:rsidRPr="003D1B5E" w:rsidRDefault="004E570E" w:rsidP="00800E7A">
            <w:pPr>
              <w:spacing w:before="0" w:after="0"/>
              <w:jc w:val="left"/>
              <w:rPr>
                <w:lang w:val="en-GB"/>
              </w:rPr>
            </w:pPr>
            <w:r w:rsidRPr="003D1B5E">
              <w:rPr>
                <w:lang w:val="en-GB"/>
              </w:rPr>
              <w:t>On-Farm Demonstration Trial</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PDD</w:t>
            </w:r>
          </w:p>
        </w:tc>
        <w:tc>
          <w:tcPr>
            <w:tcW w:w="7654" w:type="dxa"/>
          </w:tcPr>
          <w:p w:rsidR="004E570E" w:rsidRPr="003D1B5E" w:rsidRDefault="004E570E" w:rsidP="00800E7A">
            <w:pPr>
              <w:spacing w:before="0" w:after="0"/>
              <w:jc w:val="left"/>
              <w:rPr>
                <w:lang w:val="en-GB"/>
              </w:rPr>
            </w:pPr>
            <w:r w:rsidRPr="003D1B5E">
              <w:rPr>
                <w:lang w:val="en-GB"/>
              </w:rPr>
              <w:t>Project Design Document</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PDO</w:t>
            </w:r>
          </w:p>
        </w:tc>
        <w:tc>
          <w:tcPr>
            <w:tcW w:w="7654" w:type="dxa"/>
          </w:tcPr>
          <w:p w:rsidR="004E570E" w:rsidRPr="003D1B5E" w:rsidRDefault="004E570E" w:rsidP="00800E7A">
            <w:pPr>
              <w:spacing w:before="0" w:after="0"/>
              <w:jc w:val="left"/>
              <w:rPr>
                <w:lang w:val="en-GB"/>
              </w:rPr>
            </w:pPr>
            <w:r w:rsidRPr="003D1B5E">
              <w:rPr>
                <w:lang w:val="en-GB"/>
              </w:rPr>
              <w:t>Program Development Objectives</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QPM</w:t>
            </w:r>
          </w:p>
        </w:tc>
        <w:tc>
          <w:tcPr>
            <w:tcW w:w="7654" w:type="dxa"/>
          </w:tcPr>
          <w:p w:rsidR="004E570E" w:rsidRPr="003D1B5E" w:rsidRDefault="004E570E" w:rsidP="00800E7A">
            <w:pPr>
              <w:spacing w:before="0" w:after="0"/>
              <w:jc w:val="left"/>
              <w:rPr>
                <w:lang w:val="en-GB"/>
              </w:rPr>
            </w:pPr>
            <w:r w:rsidRPr="003D1B5E">
              <w:rPr>
                <w:lang w:val="en-GB"/>
              </w:rPr>
              <w:t>Quality protein maize</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RDP IV</w:t>
            </w:r>
          </w:p>
        </w:tc>
        <w:tc>
          <w:tcPr>
            <w:tcW w:w="7654" w:type="dxa"/>
          </w:tcPr>
          <w:p w:rsidR="004E570E" w:rsidRPr="003D1B5E" w:rsidRDefault="004E570E" w:rsidP="00800E7A">
            <w:pPr>
              <w:spacing w:before="0" w:after="0"/>
              <w:jc w:val="left"/>
              <w:rPr>
                <w:lang w:val="en-GB"/>
              </w:rPr>
            </w:pPr>
            <w:r w:rsidRPr="003D1B5E">
              <w:rPr>
                <w:lang w:val="en-GB"/>
              </w:rPr>
              <w:t>Rural Development Program Four</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RDTL</w:t>
            </w:r>
          </w:p>
        </w:tc>
        <w:tc>
          <w:tcPr>
            <w:tcW w:w="7654" w:type="dxa"/>
          </w:tcPr>
          <w:p w:rsidR="004E570E" w:rsidRPr="003D1B5E" w:rsidRDefault="004E570E" w:rsidP="00800E7A">
            <w:pPr>
              <w:spacing w:before="0" w:after="0"/>
              <w:jc w:val="left"/>
              <w:rPr>
                <w:lang w:val="en-GB"/>
              </w:rPr>
            </w:pPr>
            <w:r w:rsidRPr="003D1B5E">
              <w:rPr>
                <w:lang w:val="en-GB"/>
              </w:rPr>
              <w:t>Radio Timor-Leste</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SEO</w:t>
            </w:r>
          </w:p>
        </w:tc>
        <w:tc>
          <w:tcPr>
            <w:tcW w:w="7654" w:type="dxa"/>
          </w:tcPr>
          <w:p w:rsidR="004E570E" w:rsidRPr="003D1B5E" w:rsidRDefault="004E570E" w:rsidP="00800E7A">
            <w:pPr>
              <w:spacing w:before="0" w:after="0"/>
              <w:jc w:val="left"/>
              <w:rPr>
                <w:lang w:val="en-GB"/>
              </w:rPr>
            </w:pPr>
            <w:r w:rsidRPr="003D1B5E">
              <w:rPr>
                <w:i/>
                <w:lang w:val="en-GB"/>
              </w:rPr>
              <w:t>Suco</w:t>
            </w:r>
            <w:r w:rsidRPr="003D1B5E">
              <w:rPr>
                <w:lang w:val="en-GB"/>
              </w:rPr>
              <w:t xml:space="preserve"> Extension Officer</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SMS</w:t>
            </w:r>
          </w:p>
        </w:tc>
        <w:tc>
          <w:tcPr>
            <w:tcW w:w="7654" w:type="dxa"/>
          </w:tcPr>
          <w:p w:rsidR="004E570E" w:rsidRPr="003D1B5E" w:rsidRDefault="004E570E" w:rsidP="00800E7A">
            <w:pPr>
              <w:spacing w:before="0" w:after="0"/>
              <w:jc w:val="left"/>
              <w:rPr>
                <w:lang w:val="en-GB"/>
              </w:rPr>
            </w:pPr>
            <w:r w:rsidRPr="003D1B5E">
              <w:rPr>
                <w:lang w:val="en-GB"/>
              </w:rPr>
              <w:t>Short message service</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SOL1, 2, 3</w:t>
            </w:r>
          </w:p>
        </w:tc>
        <w:tc>
          <w:tcPr>
            <w:tcW w:w="7654" w:type="dxa"/>
          </w:tcPr>
          <w:p w:rsidR="004E570E" w:rsidRPr="003D1B5E" w:rsidRDefault="004E570E" w:rsidP="00800E7A">
            <w:pPr>
              <w:spacing w:before="0" w:after="0"/>
              <w:jc w:val="left"/>
              <w:rPr>
                <w:lang w:val="en-GB"/>
              </w:rPr>
            </w:pPr>
            <w:r w:rsidRPr="003D1B5E">
              <w:rPr>
                <w:lang w:val="en-GB"/>
              </w:rPr>
              <w:t>Seeds of Life (Phases 1, 2, 3)</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SOSEK</w:t>
            </w:r>
          </w:p>
        </w:tc>
        <w:tc>
          <w:tcPr>
            <w:tcW w:w="7654" w:type="dxa"/>
          </w:tcPr>
          <w:p w:rsidR="004E570E" w:rsidRPr="003D1B5E" w:rsidRDefault="004E570E" w:rsidP="00800E7A">
            <w:pPr>
              <w:spacing w:before="0" w:after="0"/>
              <w:jc w:val="left"/>
              <w:rPr>
                <w:lang w:val="en-GB"/>
              </w:rPr>
            </w:pPr>
            <w:r w:rsidRPr="003D1B5E">
              <w:rPr>
                <w:lang w:val="en-GB"/>
              </w:rPr>
              <w:t>Social Sciences and Economics</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SPC</w:t>
            </w:r>
          </w:p>
        </w:tc>
        <w:tc>
          <w:tcPr>
            <w:tcW w:w="7654" w:type="dxa"/>
          </w:tcPr>
          <w:p w:rsidR="004E570E" w:rsidRPr="003D1B5E" w:rsidRDefault="004E570E" w:rsidP="00800E7A">
            <w:pPr>
              <w:spacing w:before="0" w:after="0"/>
              <w:jc w:val="left"/>
              <w:rPr>
                <w:lang w:val="en-GB"/>
              </w:rPr>
            </w:pPr>
            <w:r w:rsidRPr="003D1B5E">
              <w:rPr>
                <w:lang w:val="en-GB"/>
              </w:rPr>
              <w:t>Seed Production Centre</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SWOT</w:t>
            </w:r>
          </w:p>
        </w:tc>
        <w:tc>
          <w:tcPr>
            <w:tcW w:w="7654" w:type="dxa"/>
          </w:tcPr>
          <w:p w:rsidR="004E570E" w:rsidRPr="003D1B5E" w:rsidRDefault="004E570E" w:rsidP="00800E7A">
            <w:pPr>
              <w:spacing w:before="0" w:after="0"/>
              <w:jc w:val="left"/>
              <w:rPr>
                <w:lang w:val="en-GB"/>
              </w:rPr>
            </w:pPr>
            <w:r w:rsidRPr="003D1B5E">
              <w:rPr>
                <w:lang w:val="en-GB"/>
              </w:rPr>
              <w:t>Strengths Weaknesses Opportunities Threats</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TAG</w:t>
            </w:r>
          </w:p>
        </w:tc>
        <w:tc>
          <w:tcPr>
            <w:tcW w:w="7654" w:type="dxa"/>
          </w:tcPr>
          <w:p w:rsidR="004E570E" w:rsidRPr="003D1B5E" w:rsidRDefault="004E570E" w:rsidP="00800E7A">
            <w:pPr>
              <w:spacing w:before="0" w:after="0"/>
              <w:jc w:val="left"/>
              <w:rPr>
                <w:lang w:val="en-GB"/>
              </w:rPr>
            </w:pPr>
            <w:r w:rsidRPr="003D1B5E">
              <w:rPr>
                <w:lang w:val="en-GB"/>
              </w:rPr>
              <w:t>Technical Advisory Group</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UWA</w:t>
            </w:r>
          </w:p>
        </w:tc>
        <w:tc>
          <w:tcPr>
            <w:tcW w:w="7654" w:type="dxa"/>
          </w:tcPr>
          <w:p w:rsidR="004E570E" w:rsidRPr="003D1B5E" w:rsidRDefault="004E570E" w:rsidP="00800E7A">
            <w:pPr>
              <w:spacing w:before="0" w:after="0"/>
              <w:jc w:val="left"/>
              <w:rPr>
                <w:lang w:val="en-GB"/>
              </w:rPr>
            </w:pPr>
            <w:r w:rsidRPr="003D1B5E">
              <w:rPr>
                <w:lang w:val="en-GB"/>
              </w:rPr>
              <w:t>University of Western Australia</w:t>
            </w:r>
          </w:p>
        </w:tc>
      </w:tr>
      <w:tr w:rsidR="004E570E" w:rsidRPr="003D1B5E" w:rsidTr="004E570E">
        <w:tc>
          <w:tcPr>
            <w:tcW w:w="1526" w:type="dxa"/>
          </w:tcPr>
          <w:p w:rsidR="004E570E" w:rsidRPr="003D1B5E" w:rsidRDefault="004E570E" w:rsidP="00800E7A">
            <w:pPr>
              <w:spacing w:before="0" w:after="0"/>
              <w:jc w:val="left"/>
              <w:rPr>
                <w:lang w:val="en-GB"/>
              </w:rPr>
            </w:pPr>
            <w:r w:rsidRPr="003D1B5E">
              <w:rPr>
                <w:lang w:val="en-GB"/>
              </w:rPr>
              <w:t>VRC</w:t>
            </w:r>
          </w:p>
        </w:tc>
        <w:tc>
          <w:tcPr>
            <w:tcW w:w="7654" w:type="dxa"/>
          </w:tcPr>
          <w:p w:rsidR="004E570E" w:rsidRPr="003D1B5E" w:rsidRDefault="004E570E" w:rsidP="00800E7A">
            <w:pPr>
              <w:spacing w:before="0" w:after="0"/>
              <w:jc w:val="left"/>
              <w:rPr>
                <w:lang w:val="en-GB"/>
              </w:rPr>
            </w:pPr>
            <w:r w:rsidRPr="003D1B5E">
              <w:rPr>
                <w:lang w:val="en-GB"/>
              </w:rPr>
              <w:t>Varietal Release Committee</w:t>
            </w:r>
          </w:p>
        </w:tc>
      </w:tr>
    </w:tbl>
    <w:p w:rsidR="002E488A" w:rsidRPr="003D1B5E" w:rsidRDefault="002E488A" w:rsidP="00190E0A">
      <w:pPr>
        <w:jc w:val="left"/>
        <w:rPr>
          <w:lang w:val="en-GB"/>
        </w:rPr>
      </w:pPr>
    </w:p>
    <w:p w:rsidR="00F609FF" w:rsidRPr="003D1B5E" w:rsidRDefault="00F609FF" w:rsidP="00F609FF">
      <w:pPr>
        <w:rPr>
          <w:lang w:val="en-GB"/>
        </w:rPr>
        <w:sectPr w:rsidR="00F609FF" w:rsidRPr="003D1B5E" w:rsidSect="00EE09D0">
          <w:headerReference w:type="even" r:id="rId15"/>
          <w:headerReference w:type="default" r:id="rId16"/>
          <w:headerReference w:type="first" r:id="rId17"/>
          <w:pgSz w:w="11909" w:h="16834" w:code="9"/>
          <w:pgMar w:top="851" w:right="1418" w:bottom="737" w:left="1418" w:header="454" w:footer="284" w:gutter="0"/>
          <w:pgNumType w:fmt="lowerRoman" w:start="1"/>
          <w:cols w:space="720"/>
        </w:sectPr>
      </w:pPr>
    </w:p>
    <w:p w:rsidR="00700E66" w:rsidRPr="003D1B5E" w:rsidRDefault="00700E66" w:rsidP="00700E66">
      <w:pPr>
        <w:pStyle w:val="Heading1"/>
        <w:rPr>
          <w:lang w:val="en-GB"/>
        </w:rPr>
      </w:pPr>
      <w:bookmarkStart w:id="4" w:name="_Toc326845337"/>
      <w:bookmarkEnd w:id="3"/>
      <w:r w:rsidRPr="003D1B5E">
        <w:rPr>
          <w:lang w:val="en-GB"/>
        </w:rPr>
        <w:lastRenderedPageBreak/>
        <w:t>Background</w:t>
      </w:r>
      <w:bookmarkEnd w:id="4"/>
    </w:p>
    <w:p w:rsidR="00700E66" w:rsidRPr="003D1B5E" w:rsidRDefault="00700E66" w:rsidP="00E16AEB">
      <w:pPr>
        <w:rPr>
          <w:lang w:val="en-GB"/>
        </w:rPr>
      </w:pPr>
      <w:proofErr w:type="gramStart"/>
      <w:r w:rsidRPr="003D1B5E">
        <w:rPr>
          <w:lang w:val="en-GB"/>
        </w:rPr>
        <w:t>Seeds of Life Phase 3 (SOL3) is</w:t>
      </w:r>
      <w:proofErr w:type="gramEnd"/>
      <w:r w:rsidRPr="003D1B5E">
        <w:rPr>
          <w:lang w:val="en-GB"/>
        </w:rPr>
        <w:t xml:space="preserve"> a program within the Timor-Leste Ministry of Agriculture and Fisheries (MAF). The Governments of Timor-Leste and Australia collaboratively fund the program.  Australian funding is through the Australian Agency for International Development (AusAID) and the Australian Centre for International Agricultural Research (ACIAR).  The program is managed by a Program </w:t>
      </w:r>
      <w:r w:rsidR="001C26A4" w:rsidRPr="003D1B5E">
        <w:rPr>
          <w:lang w:val="en-GB"/>
        </w:rPr>
        <w:t>Implementation</w:t>
      </w:r>
      <w:r w:rsidRPr="003D1B5E">
        <w:rPr>
          <w:lang w:val="en-GB"/>
        </w:rPr>
        <w:t xml:space="preserve"> Team formed from senior MAF staff and SOL staff engaged through ACIAR and its commissioned organisation is the University </w:t>
      </w:r>
      <w:proofErr w:type="gramStart"/>
      <w:r w:rsidRPr="003D1B5E">
        <w:rPr>
          <w:lang w:val="en-GB"/>
        </w:rPr>
        <w:t>of</w:t>
      </w:r>
      <w:proofErr w:type="gramEnd"/>
      <w:r w:rsidRPr="003D1B5E">
        <w:rPr>
          <w:lang w:val="en-GB"/>
        </w:rPr>
        <w:t xml:space="preserve"> Western Australia (UWA).</w:t>
      </w:r>
    </w:p>
    <w:p w:rsidR="00700E66" w:rsidRPr="003D1B5E" w:rsidRDefault="00700E66" w:rsidP="00E16AEB">
      <w:pPr>
        <w:rPr>
          <w:lang w:val="en-GB"/>
        </w:rPr>
      </w:pPr>
    </w:p>
    <w:p w:rsidR="00700E66" w:rsidRPr="003D1B5E" w:rsidRDefault="00700E66" w:rsidP="00E16AEB">
      <w:pPr>
        <w:rPr>
          <w:lang w:val="en-GB"/>
        </w:rPr>
      </w:pPr>
      <w:r w:rsidRPr="003D1B5E">
        <w:rPr>
          <w:lang w:val="en-GB"/>
        </w:rPr>
        <w:t>SOL3 evolved from early ACIAR</w:t>
      </w:r>
      <w:r w:rsidR="00105E20">
        <w:rPr>
          <w:lang w:val="en-GB"/>
        </w:rPr>
        <w:t>-supported</w:t>
      </w:r>
      <w:r w:rsidRPr="003D1B5E">
        <w:rPr>
          <w:lang w:val="en-GB"/>
        </w:rPr>
        <w:t xml:space="preserve"> work on variety selection</w:t>
      </w:r>
      <w:r w:rsidR="00105E20">
        <w:rPr>
          <w:lang w:val="en-GB"/>
        </w:rPr>
        <w:t xml:space="preserve"> through CGIAR crop centres</w:t>
      </w:r>
      <w:r w:rsidRPr="003D1B5E">
        <w:rPr>
          <w:lang w:val="en-GB"/>
        </w:rPr>
        <w:t xml:space="preserve"> </w:t>
      </w:r>
      <w:r w:rsidR="001C26A4" w:rsidRPr="003D1B5E">
        <w:rPr>
          <w:lang w:val="en-GB"/>
        </w:rPr>
        <w:t xml:space="preserve">that started in 2000 </w:t>
      </w:r>
      <w:r w:rsidRPr="003D1B5E">
        <w:rPr>
          <w:lang w:val="en-GB"/>
        </w:rPr>
        <w:t>(SOL1)</w:t>
      </w:r>
      <w:r w:rsidR="00105E20">
        <w:rPr>
          <w:lang w:val="en-GB"/>
        </w:rPr>
        <w:t>.</w:t>
      </w:r>
      <w:r w:rsidRPr="003D1B5E">
        <w:rPr>
          <w:lang w:val="en-GB"/>
        </w:rPr>
        <w:t xml:space="preserve"> </w:t>
      </w:r>
      <w:r w:rsidR="00105E20">
        <w:rPr>
          <w:lang w:val="en-GB"/>
        </w:rPr>
        <w:t xml:space="preserve"> A</w:t>
      </w:r>
      <w:r w:rsidRPr="003D1B5E">
        <w:rPr>
          <w:lang w:val="en-GB"/>
        </w:rPr>
        <w:t xml:space="preserve"> second phase </w:t>
      </w:r>
      <w:r w:rsidR="001C26A4" w:rsidRPr="003D1B5E">
        <w:rPr>
          <w:lang w:val="en-GB"/>
        </w:rPr>
        <w:t xml:space="preserve">with </w:t>
      </w:r>
      <w:r w:rsidR="00105E20">
        <w:rPr>
          <w:lang w:val="en-GB"/>
        </w:rPr>
        <w:t xml:space="preserve">local variety screening and </w:t>
      </w:r>
      <w:r w:rsidR="001C26A4" w:rsidRPr="003D1B5E">
        <w:rPr>
          <w:lang w:val="en-GB"/>
        </w:rPr>
        <w:t>seed production and distribution</w:t>
      </w:r>
      <w:r w:rsidR="00105E20">
        <w:rPr>
          <w:lang w:val="en-GB"/>
        </w:rPr>
        <w:t xml:space="preserve"> with MAF</w:t>
      </w:r>
      <w:r w:rsidRPr="003D1B5E">
        <w:rPr>
          <w:lang w:val="en-GB"/>
        </w:rPr>
        <w:t xml:space="preserve"> commen</w:t>
      </w:r>
      <w:r w:rsidR="007247E0" w:rsidRPr="003D1B5E">
        <w:rPr>
          <w:lang w:val="en-GB"/>
        </w:rPr>
        <w:t>c</w:t>
      </w:r>
      <w:r w:rsidRPr="003D1B5E">
        <w:rPr>
          <w:lang w:val="en-GB"/>
        </w:rPr>
        <w:t>ed in late 2005 and ended up working in seven of the thirteen districts in Timor-Leste</w:t>
      </w:r>
      <w:r w:rsidR="001C26A4" w:rsidRPr="003D1B5E">
        <w:rPr>
          <w:lang w:val="en-GB"/>
        </w:rPr>
        <w:t xml:space="preserve"> (SOL2)</w:t>
      </w:r>
      <w:r w:rsidRPr="003D1B5E">
        <w:rPr>
          <w:lang w:val="en-GB"/>
        </w:rPr>
        <w:t>.  SOL3 builds on the scientific results and technical capacity built in MAF during SOL1 and SOL2.  The goal of SOL3 is “Improved food security through increased productivity of major food crops”.  The purpose of SOL3 is</w:t>
      </w:r>
      <w:r w:rsidR="007247E0" w:rsidRPr="003D1B5E">
        <w:rPr>
          <w:lang w:val="en-GB"/>
        </w:rPr>
        <w:t xml:space="preserve"> that</w:t>
      </w:r>
      <w:r w:rsidRPr="003D1B5E">
        <w:rPr>
          <w:lang w:val="en-GB"/>
        </w:rPr>
        <w:t xml:space="preserve"> “</w:t>
      </w:r>
      <w:r w:rsidR="004D3B72">
        <w:rPr>
          <w:lang w:val="en-GB"/>
        </w:rPr>
        <w:t xml:space="preserve">81,000 farmers </w:t>
      </w:r>
      <w:r w:rsidR="00DB61DD">
        <w:rPr>
          <w:lang w:val="en-GB"/>
        </w:rPr>
        <w:t>–</w:t>
      </w:r>
      <w:r w:rsidR="004D3B72">
        <w:rPr>
          <w:lang w:val="en-GB"/>
        </w:rPr>
        <w:t xml:space="preserve"> 35</w:t>
      </w:r>
      <w:r w:rsidRPr="003D1B5E">
        <w:rPr>
          <w:lang w:val="en-GB"/>
        </w:rPr>
        <w:t xml:space="preserve">,000 lowland rice farmers and </w:t>
      </w:r>
      <w:r w:rsidR="004D3B72">
        <w:rPr>
          <w:lang w:val="en-GB"/>
        </w:rPr>
        <w:t>46</w:t>
      </w:r>
      <w:r w:rsidRPr="003D1B5E">
        <w:rPr>
          <w:lang w:val="en-GB"/>
        </w:rPr>
        <w:t xml:space="preserve">,000 upland farmers </w:t>
      </w:r>
      <w:r w:rsidR="004D3B72">
        <w:rPr>
          <w:lang w:val="en-GB"/>
        </w:rPr>
        <w:t xml:space="preserve">– </w:t>
      </w:r>
      <w:r w:rsidRPr="003D1B5E">
        <w:rPr>
          <w:lang w:val="en-GB"/>
        </w:rPr>
        <w:t>have access to and are routinely using improved food crop varieties”.</w:t>
      </w:r>
      <w:r w:rsidR="00105E20">
        <w:rPr>
          <w:lang w:val="en-GB"/>
        </w:rPr>
        <w:t xml:space="preserve">  We note that productivity rather than production is given as the goal, implying an increase in factor productivity, especially returns to land and labour.</w:t>
      </w:r>
    </w:p>
    <w:p w:rsidR="00700E66" w:rsidRPr="003D1B5E" w:rsidRDefault="00700E66" w:rsidP="00E16AEB">
      <w:pPr>
        <w:rPr>
          <w:lang w:val="en-GB"/>
        </w:rPr>
      </w:pPr>
    </w:p>
    <w:p w:rsidR="004560EE" w:rsidRPr="003D1B5E" w:rsidRDefault="00700E66" w:rsidP="00E16AEB">
      <w:pPr>
        <w:rPr>
          <w:lang w:val="en-GB"/>
        </w:rPr>
      </w:pPr>
      <w:r w:rsidRPr="003D1B5E">
        <w:rPr>
          <w:lang w:val="en-GB"/>
        </w:rPr>
        <w:t>MAF, AusAID and ACIAR engaged a 2-person Technical Advisory Group (TAG) to review relevant documentation and consult with stakeholders to</w:t>
      </w:r>
      <w:r w:rsidR="00F27EE5" w:rsidRPr="003D1B5E">
        <w:rPr>
          <w:lang w:val="en-GB"/>
        </w:rPr>
        <w:t xml:space="preserve"> report on program activities undertaken since SOL3 commenced in February 2011</w:t>
      </w:r>
      <w:r w:rsidR="003F3822" w:rsidRPr="003D1B5E">
        <w:rPr>
          <w:lang w:val="en-GB"/>
        </w:rPr>
        <w:t xml:space="preserve">.  </w:t>
      </w:r>
      <w:r w:rsidR="004560EE" w:rsidRPr="003D1B5E">
        <w:rPr>
          <w:lang w:val="en-GB"/>
        </w:rPr>
        <w:t>The Purpose of the TAG is to:</w:t>
      </w:r>
    </w:p>
    <w:p w:rsidR="004560EE" w:rsidRPr="003D1B5E" w:rsidRDefault="004560EE" w:rsidP="00E16AEB">
      <w:pPr>
        <w:numPr>
          <w:ilvl w:val="0"/>
          <w:numId w:val="42"/>
        </w:numPr>
        <w:ind w:left="540" w:hanging="540"/>
        <w:contextualSpacing/>
        <w:rPr>
          <w:rFonts w:eastAsia="Calibri"/>
          <w:lang w:val="en-GB"/>
        </w:rPr>
      </w:pPr>
      <w:r w:rsidRPr="003D1B5E">
        <w:rPr>
          <w:rFonts w:eastAsia="Calibri"/>
          <w:lang w:val="en-GB"/>
        </w:rPr>
        <w:t>provide an independent assessment of the progress of SOL 3, the contributions of both the MAF and the Australian Government and the extent to which planned benefits are being achieved;</w:t>
      </w:r>
    </w:p>
    <w:p w:rsidR="004560EE" w:rsidRPr="003D1B5E" w:rsidRDefault="004560EE" w:rsidP="00E16AEB">
      <w:pPr>
        <w:numPr>
          <w:ilvl w:val="0"/>
          <w:numId w:val="42"/>
        </w:numPr>
        <w:ind w:left="540" w:hanging="540"/>
        <w:contextualSpacing/>
        <w:rPr>
          <w:rFonts w:eastAsia="Calibri"/>
          <w:lang w:val="en-GB"/>
        </w:rPr>
      </w:pPr>
      <w:r w:rsidRPr="003D1B5E">
        <w:rPr>
          <w:rFonts w:eastAsia="Calibri"/>
          <w:lang w:val="en-GB"/>
        </w:rPr>
        <w:t>assess whether any modifications to the implementation strategy, program design, management or monitoring arrangements are warranted; and</w:t>
      </w:r>
    </w:p>
    <w:p w:rsidR="004560EE" w:rsidRPr="003D1B5E" w:rsidRDefault="004560EE" w:rsidP="00E16AEB">
      <w:pPr>
        <w:numPr>
          <w:ilvl w:val="0"/>
          <w:numId w:val="42"/>
        </w:numPr>
        <w:ind w:left="540" w:hanging="540"/>
        <w:contextualSpacing/>
        <w:rPr>
          <w:rFonts w:eastAsia="Calibri"/>
          <w:lang w:val="en-GB"/>
        </w:rPr>
      </w:pPr>
      <w:proofErr w:type="gramStart"/>
      <w:r w:rsidRPr="003D1B5E">
        <w:rPr>
          <w:rFonts w:eastAsia="Calibri"/>
          <w:lang w:val="en-GB"/>
        </w:rPr>
        <w:t>provide</w:t>
      </w:r>
      <w:proofErr w:type="gramEnd"/>
      <w:r w:rsidRPr="003D1B5E">
        <w:rPr>
          <w:rFonts w:eastAsia="Calibri"/>
          <w:lang w:val="en-GB"/>
        </w:rPr>
        <w:t xml:space="preserve"> advice and/or recommendations to address risks, and to improve Program quality and sustainability.</w:t>
      </w:r>
    </w:p>
    <w:p w:rsidR="004560EE" w:rsidRPr="003D1B5E" w:rsidRDefault="004560EE" w:rsidP="00E16AEB">
      <w:pPr>
        <w:rPr>
          <w:lang w:val="en-GB"/>
        </w:rPr>
      </w:pPr>
    </w:p>
    <w:p w:rsidR="00F27EE5" w:rsidRPr="003D1B5E" w:rsidRDefault="003F3822" w:rsidP="00E16AEB">
      <w:pPr>
        <w:rPr>
          <w:lang w:val="en-GB"/>
        </w:rPr>
      </w:pPr>
      <w:r w:rsidRPr="003D1B5E">
        <w:rPr>
          <w:lang w:val="en-GB"/>
        </w:rPr>
        <w:t xml:space="preserve">The first visit in October 2011 focused on the transition from SOL2 and the inception period of SOL3.  This second visit in May 2012 focused on informal seed production and plans for transition of </w:t>
      </w:r>
      <w:r w:rsidR="00827976" w:rsidRPr="003D1B5E">
        <w:rPr>
          <w:lang w:val="en-GB"/>
        </w:rPr>
        <w:t>Component 1 and Component 2 activities</w:t>
      </w:r>
      <w:r w:rsidR="00FD6A9D">
        <w:rPr>
          <w:lang w:val="en-GB"/>
        </w:rPr>
        <w:t xml:space="preserve"> from SOL</w:t>
      </w:r>
      <w:r w:rsidRPr="003D1B5E">
        <w:rPr>
          <w:lang w:val="en-GB"/>
        </w:rPr>
        <w:t xml:space="preserve">3 to MAF </w:t>
      </w:r>
      <w:r w:rsidR="00827976" w:rsidRPr="003D1B5E">
        <w:rPr>
          <w:lang w:val="en-GB"/>
        </w:rPr>
        <w:t>during</w:t>
      </w:r>
      <w:r w:rsidRPr="003D1B5E">
        <w:rPr>
          <w:lang w:val="en-GB"/>
        </w:rPr>
        <w:t xml:space="preserve"> 2014/15.</w:t>
      </w:r>
    </w:p>
    <w:p w:rsidR="00700E66" w:rsidRDefault="00700E66" w:rsidP="00E16AEB">
      <w:pPr>
        <w:rPr>
          <w:lang w:val="en-GB"/>
        </w:rPr>
      </w:pPr>
    </w:p>
    <w:p w:rsidR="00FD6A9D" w:rsidRDefault="00FD6A9D" w:rsidP="00E16AEB">
      <w:pPr>
        <w:rPr>
          <w:lang w:val="en-GB"/>
        </w:rPr>
      </w:pPr>
      <w:r w:rsidRPr="00FD6A9D">
        <w:rPr>
          <w:lang w:val="en-GB"/>
        </w:rPr>
        <w:t>During this second input, the TAG consulted with Timor</w:t>
      </w:r>
      <w:r w:rsidR="001F5CEA">
        <w:rPr>
          <w:lang w:val="en-GB"/>
        </w:rPr>
        <w:t>-</w:t>
      </w:r>
      <w:r w:rsidRPr="00FD6A9D">
        <w:rPr>
          <w:lang w:val="en-GB"/>
        </w:rPr>
        <w:t>Leste farmers,</w:t>
      </w:r>
      <w:r w:rsidR="00A62CDD">
        <w:rPr>
          <w:lang w:val="en-GB"/>
        </w:rPr>
        <w:t xml:space="preserve"> SOL3 and</w:t>
      </w:r>
      <w:r w:rsidRPr="00FD6A9D">
        <w:rPr>
          <w:lang w:val="en-GB"/>
        </w:rPr>
        <w:t xml:space="preserve"> MAF staff</w:t>
      </w:r>
      <w:r w:rsidR="00A62CDD">
        <w:rPr>
          <w:lang w:val="en-GB"/>
        </w:rPr>
        <w:t>,</w:t>
      </w:r>
      <w:r w:rsidRPr="00FD6A9D">
        <w:rPr>
          <w:lang w:val="en-GB"/>
        </w:rPr>
        <w:t xml:space="preserve"> and representatives from AusAID, ACIAR and UWA in Timor</w:t>
      </w:r>
      <w:r w:rsidR="00A62CDD">
        <w:rPr>
          <w:lang w:val="en-GB"/>
        </w:rPr>
        <w:t>-</w:t>
      </w:r>
      <w:r w:rsidRPr="00FD6A9D">
        <w:rPr>
          <w:lang w:val="en-GB"/>
        </w:rPr>
        <w:t xml:space="preserve">Leste between May 1 and 7, 2012.  During that time the TAG </w:t>
      </w:r>
      <w:r w:rsidR="001F5CEA">
        <w:rPr>
          <w:lang w:val="en-GB"/>
        </w:rPr>
        <w:t>was able to visit</w:t>
      </w:r>
      <w:r w:rsidR="00A62CDD">
        <w:rPr>
          <w:lang w:val="en-GB"/>
        </w:rPr>
        <w:t>:</w:t>
      </w:r>
      <w:r w:rsidRPr="00FD6A9D">
        <w:rPr>
          <w:lang w:val="en-GB"/>
        </w:rPr>
        <w:t xml:space="preserve"> Component 3 activities and Informal Seed Production Groups (ISPGs) in the </w:t>
      </w:r>
      <w:r w:rsidRPr="00FD6A9D">
        <w:rPr>
          <w:i/>
          <w:lang w:val="en-GB"/>
        </w:rPr>
        <w:t>sucos</w:t>
      </w:r>
      <w:r w:rsidRPr="00FD6A9D">
        <w:rPr>
          <w:lang w:val="en-GB"/>
        </w:rPr>
        <w:t xml:space="preserve"> of Batugade, Cailaco, Carabau, Kotaboot and Lahomea in Bobonaro District</w:t>
      </w:r>
      <w:r w:rsidR="00A62CDD">
        <w:rPr>
          <w:lang w:val="en-GB"/>
        </w:rPr>
        <w:t>;</w:t>
      </w:r>
      <w:r w:rsidRPr="00FD6A9D">
        <w:rPr>
          <w:lang w:val="en-GB"/>
        </w:rPr>
        <w:t xml:space="preserve"> Component 1 Experiment Stations at Raimaten (</w:t>
      </w:r>
      <w:r>
        <w:rPr>
          <w:lang w:val="en-GB"/>
        </w:rPr>
        <w:t>Bobonaro</w:t>
      </w:r>
      <w:r w:rsidRPr="00FD6A9D">
        <w:rPr>
          <w:lang w:val="en-GB"/>
        </w:rPr>
        <w:t>) and Loes (Liquiҫá), as well as consulting</w:t>
      </w:r>
      <w:r w:rsidR="00A62CDD">
        <w:rPr>
          <w:lang w:val="en-GB"/>
        </w:rPr>
        <w:t xml:space="preserve"> with</w:t>
      </w:r>
      <w:r w:rsidRPr="00FD6A9D">
        <w:rPr>
          <w:lang w:val="en-GB"/>
        </w:rPr>
        <w:t xml:space="preserve"> MAF</w:t>
      </w:r>
      <w:r>
        <w:rPr>
          <w:lang w:val="en-GB"/>
        </w:rPr>
        <w:t xml:space="preserve">, </w:t>
      </w:r>
      <w:r w:rsidR="00A62CDD">
        <w:rPr>
          <w:lang w:val="en-GB"/>
        </w:rPr>
        <w:t xml:space="preserve">SOL3, </w:t>
      </w:r>
      <w:r w:rsidRPr="00FD6A9D">
        <w:rPr>
          <w:lang w:val="en-GB"/>
        </w:rPr>
        <w:t xml:space="preserve">AusAID </w:t>
      </w:r>
      <w:r>
        <w:rPr>
          <w:lang w:val="en-GB"/>
        </w:rPr>
        <w:t xml:space="preserve">and ACIAR </w:t>
      </w:r>
      <w:r w:rsidRPr="00FD6A9D">
        <w:rPr>
          <w:lang w:val="en-GB"/>
        </w:rPr>
        <w:t>in Dili.</w:t>
      </w:r>
    </w:p>
    <w:p w:rsidR="00FD6A9D" w:rsidRPr="003D1B5E" w:rsidRDefault="00FD6A9D" w:rsidP="00E16AEB">
      <w:pPr>
        <w:rPr>
          <w:lang w:val="en-GB"/>
        </w:rPr>
      </w:pPr>
    </w:p>
    <w:p w:rsidR="00700E66" w:rsidRPr="003D1B5E" w:rsidRDefault="00700E66" w:rsidP="00E16AEB">
      <w:pPr>
        <w:rPr>
          <w:lang w:val="en-GB"/>
        </w:rPr>
      </w:pPr>
      <w:r w:rsidRPr="003D1B5E">
        <w:rPr>
          <w:lang w:val="en-GB"/>
        </w:rPr>
        <w:t xml:space="preserve">The TAG congratulates all involved with the progress of SOL3 </w:t>
      </w:r>
      <w:r w:rsidR="00827976" w:rsidRPr="003D1B5E">
        <w:rPr>
          <w:lang w:val="en-GB"/>
        </w:rPr>
        <w:t xml:space="preserve">during the 2011/12 growing season </w:t>
      </w:r>
      <w:r w:rsidRPr="003D1B5E">
        <w:rPr>
          <w:lang w:val="en-GB"/>
        </w:rPr>
        <w:t xml:space="preserve">and thanks all participants </w:t>
      </w:r>
      <w:r w:rsidR="00A62CDD">
        <w:rPr>
          <w:lang w:val="en-GB"/>
        </w:rPr>
        <w:t xml:space="preserve">engaged </w:t>
      </w:r>
      <w:r w:rsidRPr="003D1B5E">
        <w:rPr>
          <w:lang w:val="en-GB"/>
        </w:rPr>
        <w:t>in the organisation and implementation of the TAG mission.</w:t>
      </w:r>
    </w:p>
    <w:p w:rsidR="003424EC" w:rsidRPr="003D1B5E" w:rsidRDefault="003424EC" w:rsidP="003424EC">
      <w:pPr>
        <w:rPr>
          <w:lang w:val="en-GB"/>
        </w:rPr>
      </w:pPr>
    </w:p>
    <w:p w:rsidR="003424EC" w:rsidRPr="007E042C" w:rsidRDefault="003424EC" w:rsidP="007E042C">
      <w:pPr>
        <w:tabs>
          <w:tab w:val="num" w:pos="1440"/>
        </w:tabs>
        <w:jc w:val="center"/>
        <w:rPr>
          <w:lang w:val="en-GB"/>
        </w:rPr>
      </w:pPr>
      <w:r w:rsidRPr="003D1B5E">
        <w:rPr>
          <w:lang w:val="en-GB"/>
        </w:rPr>
        <w:sym w:font="Wingdings" w:char="F09A"/>
      </w:r>
      <w:r w:rsidRPr="003D1B5E">
        <w:rPr>
          <w:lang w:val="en-GB"/>
        </w:rPr>
        <w:t xml:space="preserve"> </w:t>
      </w:r>
      <w:r w:rsidRPr="003D1B5E">
        <w:rPr>
          <w:lang w:val="en-GB"/>
        </w:rPr>
        <w:sym w:font="Wingdings" w:char="F09B"/>
      </w:r>
    </w:p>
    <w:p w:rsidR="002A5059" w:rsidRPr="003D1B5E" w:rsidRDefault="002A5059" w:rsidP="00B30C8B">
      <w:pPr>
        <w:pStyle w:val="Heading1"/>
        <w:rPr>
          <w:w w:val="105"/>
          <w:lang w:val="en-GB"/>
        </w:rPr>
      </w:pPr>
      <w:bookmarkStart w:id="5" w:name="_Toc326845338"/>
      <w:r w:rsidRPr="003D1B5E">
        <w:rPr>
          <w:w w:val="105"/>
          <w:lang w:val="en-GB"/>
        </w:rPr>
        <w:lastRenderedPageBreak/>
        <w:t>Progress and effectiveness of Component 3 activities</w:t>
      </w:r>
      <w:bookmarkEnd w:id="5"/>
    </w:p>
    <w:p w:rsidR="00A172F5" w:rsidRPr="003D1B5E" w:rsidRDefault="00A172F5" w:rsidP="00E16AEB">
      <w:pPr>
        <w:ind w:right="144"/>
        <w:rPr>
          <w:spacing w:val="-4"/>
          <w:w w:val="105"/>
          <w:lang w:val="en-GB"/>
        </w:rPr>
      </w:pPr>
      <w:r w:rsidRPr="003D1B5E">
        <w:rPr>
          <w:spacing w:val="-4"/>
          <w:w w:val="105"/>
          <w:lang w:val="en-GB"/>
        </w:rPr>
        <w:t xml:space="preserve">Component 3 is designed to deliver two results </w:t>
      </w:r>
      <w:r w:rsidR="00226353">
        <w:rPr>
          <w:spacing w:val="-4"/>
          <w:w w:val="105"/>
          <w:lang w:val="en-GB"/>
        </w:rPr>
        <w:t xml:space="preserve">on a large-scale </w:t>
      </w:r>
      <w:r w:rsidRPr="003D1B5E">
        <w:rPr>
          <w:spacing w:val="-4"/>
          <w:w w:val="105"/>
          <w:lang w:val="en-GB"/>
        </w:rPr>
        <w:t>that sustain the national seed system: (1) an output of social capital that can be used for a wide range of rural development activities; and (2) an outcome of women and men members of informal seed production groups (ISPGs) competently operating and managing informal production and distribution of targeted quantities of self-declared quality seed.</w:t>
      </w:r>
      <w:r w:rsidR="00BF67F1">
        <w:rPr>
          <w:spacing w:val="-4"/>
          <w:w w:val="105"/>
          <w:lang w:val="en-GB"/>
        </w:rPr>
        <w:t xml:space="preserve">  As background it is useful to not</w:t>
      </w:r>
      <w:r w:rsidR="00A62CDD">
        <w:rPr>
          <w:spacing w:val="-4"/>
          <w:w w:val="105"/>
          <w:lang w:val="en-GB"/>
        </w:rPr>
        <w:t>e that there are 13 districts in Timor-Leste, subdivided into 442 sucos</w:t>
      </w:r>
      <w:r w:rsidR="00BF67F1">
        <w:rPr>
          <w:spacing w:val="-4"/>
          <w:w w:val="105"/>
          <w:lang w:val="en-GB"/>
        </w:rPr>
        <w:t xml:space="preserve">, each of which is subdivided into hamlets or </w:t>
      </w:r>
      <w:r w:rsidR="00F44710" w:rsidRPr="00A5231E">
        <w:rPr>
          <w:i/>
          <w:spacing w:val="-4"/>
          <w:w w:val="105"/>
          <w:lang w:val="en-GB"/>
        </w:rPr>
        <w:t>aldeias</w:t>
      </w:r>
      <w:r w:rsidR="00BF67F1">
        <w:rPr>
          <w:spacing w:val="-4"/>
          <w:w w:val="105"/>
          <w:lang w:val="en-GB"/>
        </w:rPr>
        <w:t xml:space="preserve">.  MAF extension efforts are structured around the </w:t>
      </w:r>
      <w:r w:rsidR="00F44710" w:rsidRPr="00A5231E">
        <w:rPr>
          <w:i/>
          <w:spacing w:val="-4"/>
          <w:w w:val="105"/>
          <w:lang w:val="en-GB"/>
        </w:rPr>
        <w:t>Suco</w:t>
      </w:r>
      <w:r w:rsidR="00BF67F1">
        <w:rPr>
          <w:spacing w:val="-4"/>
          <w:w w:val="105"/>
          <w:lang w:val="en-GB"/>
        </w:rPr>
        <w:t xml:space="preserve"> Extension Officer (SEO) who interfaces with </w:t>
      </w:r>
      <w:r w:rsidR="007F35CF">
        <w:rPr>
          <w:spacing w:val="-4"/>
          <w:w w:val="105"/>
          <w:lang w:val="en-GB"/>
        </w:rPr>
        <w:t>up to 300</w:t>
      </w:r>
      <w:r w:rsidR="00BF67F1">
        <w:rPr>
          <w:spacing w:val="-4"/>
          <w:w w:val="105"/>
          <w:lang w:val="en-GB"/>
        </w:rPr>
        <w:t xml:space="preserve"> farm households in each </w:t>
      </w:r>
      <w:r w:rsidR="00F44710" w:rsidRPr="00A5231E">
        <w:rPr>
          <w:i/>
          <w:spacing w:val="-4"/>
          <w:w w:val="105"/>
          <w:lang w:val="en-GB"/>
        </w:rPr>
        <w:t>suco</w:t>
      </w:r>
      <w:r w:rsidR="00BF67F1">
        <w:rPr>
          <w:i/>
          <w:spacing w:val="-4"/>
          <w:w w:val="105"/>
          <w:lang w:val="en-GB"/>
        </w:rPr>
        <w:t>.</w:t>
      </w:r>
    </w:p>
    <w:p w:rsidR="00A172F5" w:rsidRPr="00E16AEB" w:rsidRDefault="00A172F5" w:rsidP="00E16AEB">
      <w:pPr>
        <w:ind w:right="144"/>
        <w:rPr>
          <w:spacing w:val="-4"/>
          <w:w w:val="105"/>
          <w:sz w:val="16"/>
          <w:szCs w:val="16"/>
          <w:lang w:val="en-GB"/>
        </w:rPr>
      </w:pPr>
    </w:p>
    <w:p w:rsidR="00406A98" w:rsidRDefault="00406A98" w:rsidP="00E16AEB">
      <w:pPr>
        <w:ind w:right="144"/>
        <w:rPr>
          <w:spacing w:val="-4"/>
          <w:w w:val="105"/>
          <w:lang w:val="en-GB"/>
        </w:rPr>
      </w:pPr>
      <w:r w:rsidRPr="003D1B5E">
        <w:rPr>
          <w:spacing w:val="-4"/>
          <w:w w:val="105"/>
          <w:lang w:val="en-GB"/>
        </w:rPr>
        <w:t>The TAG visited</w:t>
      </w:r>
      <w:r w:rsidR="00E16AEB">
        <w:rPr>
          <w:spacing w:val="-4"/>
          <w:w w:val="105"/>
          <w:lang w:val="en-GB"/>
        </w:rPr>
        <w:t xml:space="preserve"> 5 informal groups producing seed</w:t>
      </w:r>
      <w:r w:rsidR="004E60D7">
        <w:rPr>
          <w:spacing w:val="-4"/>
          <w:w w:val="105"/>
          <w:lang w:val="en-GB"/>
        </w:rPr>
        <w:t>.  These groups were distributed over</w:t>
      </w:r>
      <w:r w:rsidRPr="003D1B5E">
        <w:rPr>
          <w:spacing w:val="-4"/>
          <w:w w:val="105"/>
          <w:lang w:val="en-GB"/>
        </w:rPr>
        <w:t xml:space="preserve"> 5 </w:t>
      </w:r>
      <w:r w:rsidRPr="003D1B5E">
        <w:rPr>
          <w:i/>
          <w:spacing w:val="-4"/>
          <w:w w:val="105"/>
          <w:lang w:val="en-GB"/>
        </w:rPr>
        <w:t>sucos</w:t>
      </w:r>
      <w:r w:rsidR="004E60D7">
        <w:rPr>
          <w:spacing w:val="-4"/>
          <w:w w:val="105"/>
          <w:lang w:val="en-GB"/>
        </w:rPr>
        <w:t xml:space="preserve">, and our </w:t>
      </w:r>
      <w:r w:rsidRPr="003D1B5E">
        <w:rPr>
          <w:spacing w:val="-4"/>
          <w:w w:val="105"/>
          <w:lang w:val="en-GB"/>
        </w:rPr>
        <w:t>visits confirmed that the delivery strategy for Component 3 is appropriate and starting to yield</w:t>
      </w:r>
      <w:r w:rsidR="00A62CDD">
        <w:rPr>
          <w:spacing w:val="-4"/>
          <w:w w:val="105"/>
          <w:lang w:val="en-GB"/>
        </w:rPr>
        <w:t xml:space="preserve"> promising</w:t>
      </w:r>
      <w:r w:rsidRPr="003D1B5E">
        <w:rPr>
          <w:spacing w:val="-4"/>
          <w:w w:val="105"/>
          <w:lang w:val="en-GB"/>
        </w:rPr>
        <w:t xml:space="preserve"> results.  As expected, group effectiveness was a function of leadership and support from the SEO.  Where groups had active leaders driving change and an active SEO supporting the change process, the behaviour change </w:t>
      </w:r>
      <w:r w:rsidR="00FD5F41" w:rsidRPr="003D1B5E">
        <w:rPr>
          <w:spacing w:val="-4"/>
          <w:w w:val="105"/>
          <w:lang w:val="en-GB"/>
        </w:rPr>
        <w:t xml:space="preserve">and informal seed production </w:t>
      </w:r>
      <w:r w:rsidRPr="003D1B5E">
        <w:rPr>
          <w:spacing w:val="-4"/>
          <w:w w:val="105"/>
          <w:lang w:val="en-GB"/>
        </w:rPr>
        <w:t>results were clear</w:t>
      </w:r>
      <w:r w:rsidR="00FD5F41" w:rsidRPr="003D1B5E">
        <w:rPr>
          <w:spacing w:val="-4"/>
          <w:w w:val="105"/>
          <w:lang w:val="en-GB"/>
        </w:rPr>
        <w:t xml:space="preserve">.  Lessons learned from group-led change processes such as </w:t>
      </w:r>
      <w:r w:rsidR="004E60D7">
        <w:rPr>
          <w:spacing w:val="-4"/>
          <w:w w:val="105"/>
          <w:lang w:val="en-GB"/>
        </w:rPr>
        <w:t xml:space="preserve">that </w:t>
      </w:r>
      <w:r w:rsidR="00FD5F41" w:rsidRPr="003D1B5E">
        <w:rPr>
          <w:spacing w:val="-4"/>
          <w:w w:val="105"/>
          <w:lang w:val="en-GB"/>
        </w:rPr>
        <w:t>used for SOL3 highlight the need for frequent communication, support to leader</w:t>
      </w:r>
      <w:r w:rsidR="00A62CDD">
        <w:rPr>
          <w:spacing w:val="-4"/>
          <w:w w:val="105"/>
          <w:lang w:val="en-GB"/>
        </w:rPr>
        <w:t>s, the need for training and adequate transportation for SEOs</w:t>
      </w:r>
      <w:r w:rsidR="00FD5F41" w:rsidRPr="003D1B5E">
        <w:rPr>
          <w:spacing w:val="-4"/>
          <w:w w:val="105"/>
          <w:lang w:val="en-GB"/>
        </w:rPr>
        <w:t xml:space="preserve"> and frequent engagement to provide incentives for group members to remain engaged and active.  There is an opportunity for SOL3 to include activities that respond to small group development lessons in the 2012 Annual Plan.</w:t>
      </w:r>
      <w:r w:rsidR="00A62CDD">
        <w:rPr>
          <w:spacing w:val="-4"/>
          <w:w w:val="105"/>
          <w:lang w:val="en-GB"/>
        </w:rPr>
        <w:t xml:space="preserve">  For example, these might include the introduction of a complementary species such as </w:t>
      </w:r>
      <w:r w:rsidR="001F5CEA">
        <w:rPr>
          <w:spacing w:val="-4"/>
          <w:w w:val="105"/>
          <w:lang w:val="en-GB"/>
        </w:rPr>
        <w:t xml:space="preserve">the production of </w:t>
      </w:r>
      <w:r w:rsidR="00A62CDD">
        <w:rPr>
          <w:spacing w:val="-4"/>
          <w:w w:val="105"/>
          <w:lang w:val="en-GB"/>
        </w:rPr>
        <w:t>cassava cutting</w:t>
      </w:r>
      <w:r w:rsidR="001F5CEA">
        <w:rPr>
          <w:spacing w:val="-4"/>
          <w:w w:val="105"/>
          <w:lang w:val="en-GB"/>
        </w:rPr>
        <w:t>s</w:t>
      </w:r>
      <w:r w:rsidR="00A62CDD">
        <w:rPr>
          <w:spacing w:val="-4"/>
          <w:w w:val="105"/>
          <w:lang w:val="en-GB"/>
        </w:rPr>
        <w:t xml:space="preserve"> in maize-</w:t>
      </w:r>
      <w:r w:rsidR="004E60D7">
        <w:rPr>
          <w:spacing w:val="-4"/>
          <w:w w:val="105"/>
          <w:lang w:val="en-GB"/>
        </w:rPr>
        <w:t>based ISPGs</w:t>
      </w:r>
      <w:r w:rsidR="00A62CDD">
        <w:rPr>
          <w:spacing w:val="-4"/>
          <w:w w:val="105"/>
          <w:lang w:val="en-GB"/>
        </w:rPr>
        <w:t>.</w:t>
      </w:r>
    </w:p>
    <w:p w:rsidR="002E2738" w:rsidRDefault="002E2738" w:rsidP="00E16AEB">
      <w:pPr>
        <w:ind w:right="144"/>
        <w:rPr>
          <w:spacing w:val="-4"/>
          <w:w w:val="105"/>
          <w:lang w:val="en-GB"/>
        </w:rPr>
      </w:pPr>
    </w:p>
    <w:p w:rsidR="002E2738" w:rsidRPr="003D1B5E" w:rsidRDefault="002E2738" w:rsidP="00E16AEB">
      <w:pPr>
        <w:ind w:right="144"/>
        <w:rPr>
          <w:spacing w:val="-4"/>
          <w:w w:val="105"/>
          <w:lang w:val="en-GB"/>
        </w:rPr>
      </w:pPr>
      <w:r>
        <w:rPr>
          <w:noProof/>
        </w:rPr>
        <mc:AlternateContent>
          <mc:Choice Requires="wps">
            <w:drawing>
              <wp:anchor distT="0" distB="0" distL="114300" distR="114300" simplePos="0" relativeHeight="251663360" behindDoc="0" locked="0" layoutInCell="1" allowOverlap="1" wp14:anchorId="588D573D" wp14:editId="41589C5F">
                <wp:simplePos x="0" y="0"/>
                <wp:positionH relativeFrom="column">
                  <wp:posOffset>-635</wp:posOffset>
                </wp:positionH>
                <wp:positionV relativeFrom="paragraph">
                  <wp:posOffset>2254885</wp:posOffset>
                </wp:positionV>
                <wp:extent cx="2743200"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743200" cy="635"/>
                        </a:xfrm>
                        <a:prstGeom prst="rect">
                          <a:avLst/>
                        </a:prstGeom>
                        <a:solidFill>
                          <a:prstClr val="white"/>
                        </a:solidFill>
                        <a:ln>
                          <a:noFill/>
                        </a:ln>
                        <a:effectLst/>
                      </wps:spPr>
                      <wps:txbx>
                        <w:txbxContent>
                          <w:p w:rsidR="002E2738" w:rsidRPr="003D0A1D" w:rsidRDefault="002E2738" w:rsidP="002E2738">
                            <w:pPr>
                              <w:pStyle w:val="Caption"/>
                              <w:rPr>
                                <w:rFonts w:ascii="Times New Roman" w:hAnsi="Times New Roman"/>
                                <w:noProof/>
                                <w:spacing w:val="-4"/>
                                <w:w w:val="105"/>
                              </w:rPr>
                            </w:pPr>
                            <w:r w:rsidRPr="00BC2339">
                              <w:t xml:space="preserve">Chart </w:t>
                            </w:r>
                            <w:proofErr w:type="gramStart"/>
                            <w:r w:rsidRPr="00BC2339">
                              <w:t>1 :</w:t>
                            </w:r>
                            <w:proofErr w:type="gramEnd"/>
                            <w:r w:rsidRPr="00BC2339">
                              <w:t xml:space="preserve"> SOL3 results depend on success of ISPGs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5pt;margin-top:177.55pt;width:3in;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" stroked="f">
                <v:textbox style="mso-fit-shape-to-text:t" inset="0,0,0,0">
                  <w:txbxContent>
                    <w:p w:rsidR="002E2738" w:rsidRPr="003D0A1D" w:rsidRDefault="002E2738" w:rsidP="002E2738">
                      <w:pPr>
                        <w:pStyle w:val="Caption"/>
                        <w:rPr>
                          <w:rFonts w:ascii="Times New Roman" w:hAnsi="Times New Roman"/>
                          <w:noProof/>
                          <w:spacing w:val="-4"/>
                          <w:w w:val="105"/>
                        </w:rPr>
                      </w:pPr>
                      <w:r w:rsidRPr="00BC2339">
                        <w:t xml:space="preserve">Chart </w:t>
                      </w:r>
                      <w:proofErr w:type="gramStart"/>
                      <w:r w:rsidRPr="00BC2339">
                        <w:t>1 :</w:t>
                      </w:r>
                      <w:proofErr w:type="gramEnd"/>
                      <w:r w:rsidRPr="00BC2339">
                        <w:t xml:space="preserve"> SOL3 results depend on success of ISPGs</w:t>
                      </w:r>
                    </w:p>
                  </w:txbxContent>
                </v:textbox>
                <w10:wrap type="square"/>
              </v:shape>
            </w:pict>
          </mc:Fallback>
        </mc:AlternateContent>
      </w:r>
      <w:r w:rsidRPr="003D1B5E">
        <w:rPr>
          <w:noProof/>
          <w:spacing w:val="-4"/>
          <w:w w:val="105"/>
        </w:rPr>
        <w:drawing>
          <wp:anchor distT="0" distB="0" distL="114300" distR="114300" simplePos="0" relativeHeight="251661312" behindDoc="0" locked="0" layoutInCell="1" allowOverlap="1">
            <wp:simplePos x="0" y="0"/>
            <wp:positionH relativeFrom="column">
              <wp:posOffset>-635</wp:posOffset>
            </wp:positionH>
            <wp:positionV relativeFrom="paragraph">
              <wp:posOffset>-6985</wp:posOffset>
            </wp:positionV>
            <wp:extent cx="2743200" cy="2204720"/>
            <wp:effectExtent l="0" t="0" r="0" b="5080"/>
            <wp:wrapSquare wrapText="bothSides"/>
            <wp:docPr id="10" name="Picture 10" descr="graph outlining SOL3 results against success of ISP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3200" cy="2204720"/>
                    </a:xfrm>
                    <a:prstGeom prst="rect">
                      <a:avLst/>
                    </a:prstGeom>
                    <a:noFill/>
                  </pic:spPr>
                </pic:pic>
              </a:graphicData>
            </a:graphic>
            <wp14:sizeRelH relativeFrom="page">
              <wp14:pctWidth>0</wp14:pctWidth>
            </wp14:sizeRelH>
            <wp14:sizeRelV relativeFrom="page">
              <wp14:pctHeight>0</wp14:pctHeight>
            </wp14:sizeRelV>
          </wp:anchor>
        </w:drawing>
      </w:r>
      <w:r w:rsidRPr="003D1B5E">
        <w:rPr>
          <w:spacing w:val="-4"/>
          <w:w w:val="105"/>
          <w:lang w:val="en-GB"/>
        </w:rPr>
        <w:t>Groups visited by the TAG ranged from very dynamic and active groups to those that appeared to be struggling to function</w:t>
      </w:r>
      <w:r>
        <w:rPr>
          <w:spacing w:val="-4"/>
          <w:w w:val="105"/>
          <w:lang w:val="en-GB"/>
        </w:rPr>
        <w:t>,</w:t>
      </w:r>
      <w:r w:rsidRPr="007F35CF">
        <w:rPr>
          <w:spacing w:val="-4"/>
          <w:w w:val="105"/>
          <w:lang w:val="en-GB"/>
        </w:rPr>
        <w:t xml:space="preserve"> often because of local leadership, delayed input supply, crop failures or inadequate support from the SEO</w:t>
      </w:r>
      <w:r w:rsidRPr="003D1B5E">
        <w:rPr>
          <w:spacing w:val="-4"/>
          <w:w w:val="105"/>
          <w:lang w:val="en-GB"/>
        </w:rPr>
        <w:t xml:space="preserve">.  This diversity is normal.  It will help management of this component if a group typology is developed to track the effectiveness of </w:t>
      </w:r>
      <w:proofErr w:type="spellStart"/>
      <w:r w:rsidRPr="00A5231E">
        <w:rPr>
          <w:i/>
          <w:spacing w:val="-4"/>
          <w:w w:val="105"/>
          <w:lang w:val="en-GB"/>
        </w:rPr>
        <w:t>suco</w:t>
      </w:r>
      <w:proofErr w:type="spellEnd"/>
      <w:r>
        <w:rPr>
          <w:spacing w:val="-4"/>
          <w:w w:val="105"/>
          <w:lang w:val="en-GB"/>
        </w:rPr>
        <w:t xml:space="preserve"> extension officers, and to devise </w:t>
      </w:r>
      <w:r w:rsidRPr="003D1B5E">
        <w:rPr>
          <w:spacing w:val="-4"/>
          <w:w w:val="105"/>
          <w:lang w:val="en-GB"/>
        </w:rPr>
        <w:t xml:space="preserve">different engagement strategies and technical packages offered in each district.  In several </w:t>
      </w:r>
      <w:proofErr w:type="spellStart"/>
      <w:r w:rsidRPr="003D1B5E">
        <w:rPr>
          <w:i/>
          <w:spacing w:val="-4"/>
          <w:w w:val="105"/>
          <w:lang w:val="en-GB"/>
        </w:rPr>
        <w:t>sucos</w:t>
      </w:r>
      <w:proofErr w:type="spellEnd"/>
      <w:r w:rsidRPr="003D1B5E">
        <w:rPr>
          <w:spacing w:val="-4"/>
          <w:w w:val="105"/>
          <w:lang w:val="en-GB"/>
        </w:rPr>
        <w:t xml:space="preserve"> there were early signs of stress in the extension system as the number of groups increased</w:t>
      </w:r>
      <w:r>
        <w:rPr>
          <w:spacing w:val="-4"/>
          <w:w w:val="105"/>
          <w:lang w:val="en-GB"/>
        </w:rPr>
        <w:t xml:space="preserve"> and as transportation available to the SEO began to limit his availability</w:t>
      </w:r>
      <w:r w:rsidRPr="003D1B5E">
        <w:rPr>
          <w:spacing w:val="-4"/>
          <w:w w:val="105"/>
          <w:lang w:val="en-GB"/>
        </w:rPr>
        <w:t xml:space="preserve">.  As </w:t>
      </w:r>
      <w:r w:rsidRPr="00A859F8">
        <w:rPr>
          <w:spacing w:val="-4"/>
          <w:w w:val="105"/>
          <w:lang w:val="en-GB"/>
        </w:rPr>
        <w:t xml:space="preserve">Chart </w:t>
      </w:r>
      <w:r w:rsidRPr="003C2A0E">
        <w:rPr>
          <w:spacing w:val="-4"/>
          <w:w w:val="105"/>
          <w:lang w:val="en-GB"/>
        </w:rPr>
        <w:t>1</w:t>
      </w:r>
      <w:r w:rsidRPr="003D1B5E">
        <w:rPr>
          <w:spacing w:val="-4"/>
          <w:w w:val="105"/>
          <w:lang w:val="en-GB"/>
        </w:rPr>
        <w:t xml:space="preserve"> shows, SOL3 results depend on effective SEOs and ISPGs as well as</w:t>
      </w:r>
      <w:r>
        <w:rPr>
          <w:spacing w:val="-4"/>
          <w:w w:val="105"/>
          <w:lang w:val="en-GB"/>
        </w:rPr>
        <w:t xml:space="preserve"> on-going</w:t>
      </w:r>
      <w:r w:rsidRPr="003D1B5E">
        <w:rPr>
          <w:spacing w:val="-4"/>
          <w:w w:val="105"/>
          <w:lang w:val="en-GB"/>
        </w:rPr>
        <w:t xml:space="preserve"> MAF </w:t>
      </w:r>
      <w:r>
        <w:rPr>
          <w:spacing w:val="-4"/>
          <w:w w:val="105"/>
          <w:lang w:val="en-GB"/>
        </w:rPr>
        <w:t xml:space="preserve">research </w:t>
      </w:r>
      <w:r w:rsidRPr="003D1B5E">
        <w:rPr>
          <w:spacing w:val="-4"/>
          <w:w w:val="105"/>
          <w:lang w:val="en-GB"/>
        </w:rPr>
        <w:t>operations</w:t>
      </w:r>
      <w:r>
        <w:rPr>
          <w:spacing w:val="-4"/>
          <w:w w:val="105"/>
          <w:lang w:val="en-GB"/>
        </w:rPr>
        <w:t xml:space="preserve"> that identify superior varieties and deliver foundation seed to fledgling ISPGs.</w:t>
      </w:r>
    </w:p>
    <w:p w:rsidR="00406A98" w:rsidRPr="00E16AEB" w:rsidRDefault="00406A98" w:rsidP="00A172F5">
      <w:pPr>
        <w:ind w:right="144"/>
        <w:rPr>
          <w:spacing w:val="-4"/>
          <w:w w:val="105"/>
          <w:sz w:val="16"/>
          <w:szCs w:val="16"/>
          <w:lang w:val="en-GB"/>
        </w:rPr>
      </w:pPr>
    </w:p>
    <w:p w:rsidR="00E16AEB" w:rsidRDefault="00E16AEB">
      <w:pPr>
        <w:rPr>
          <w:spacing w:val="-4"/>
          <w:w w:val="105"/>
          <w:lang w:val="en-GB"/>
        </w:rPr>
      </w:pPr>
      <w:r>
        <w:rPr>
          <w:spacing w:val="-4"/>
          <w:w w:val="105"/>
          <w:lang w:val="en-GB"/>
        </w:rPr>
        <w:br w:type="page"/>
      </w:r>
    </w:p>
    <w:p w:rsidR="00A172F5" w:rsidRDefault="00A172F5" w:rsidP="00E16AEB">
      <w:pPr>
        <w:ind w:right="144"/>
        <w:rPr>
          <w:spacing w:val="-4"/>
          <w:w w:val="105"/>
          <w:lang w:val="en-GB"/>
        </w:rPr>
      </w:pPr>
      <w:r w:rsidRPr="003D1B5E">
        <w:rPr>
          <w:spacing w:val="-4"/>
          <w:w w:val="105"/>
          <w:lang w:val="en-GB"/>
        </w:rPr>
        <w:lastRenderedPageBreak/>
        <w:t>I</w:t>
      </w:r>
      <w:r w:rsidR="0087597C">
        <w:rPr>
          <w:spacing w:val="-4"/>
          <w:w w:val="105"/>
          <w:lang w:val="en-GB"/>
        </w:rPr>
        <w:t>nformal Seed Production</w:t>
      </w:r>
      <w:r w:rsidRPr="003D1B5E">
        <w:rPr>
          <w:spacing w:val="-4"/>
          <w:w w:val="105"/>
          <w:lang w:val="en-GB"/>
        </w:rPr>
        <w:t xml:space="preserve"> </w:t>
      </w:r>
      <w:r w:rsidR="0087597C">
        <w:rPr>
          <w:spacing w:val="-4"/>
          <w:w w:val="105"/>
          <w:lang w:val="en-GB"/>
        </w:rPr>
        <w:t>G</w:t>
      </w:r>
      <w:r w:rsidRPr="003D1B5E">
        <w:rPr>
          <w:spacing w:val="-4"/>
          <w:w w:val="105"/>
          <w:lang w:val="en-GB"/>
        </w:rPr>
        <w:t xml:space="preserve">roups </w:t>
      </w:r>
      <w:r w:rsidR="00A859F8">
        <w:rPr>
          <w:spacing w:val="-4"/>
          <w:w w:val="105"/>
          <w:lang w:val="en-GB"/>
        </w:rPr>
        <w:t xml:space="preserve">(ISPGs) </w:t>
      </w:r>
      <w:r w:rsidRPr="003D1B5E">
        <w:rPr>
          <w:spacing w:val="-4"/>
          <w:w w:val="105"/>
          <w:lang w:val="en-GB"/>
        </w:rPr>
        <w:t xml:space="preserve">are more likely to be sustained if they can </w:t>
      </w:r>
      <w:r w:rsidR="0087597C">
        <w:rPr>
          <w:spacing w:val="-4"/>
          <w:w w:val="105"/>
          <w:lang w:val="en-GB"/>
        </w:rPr>
        <w:t>consolidate and expand their existing seed activities, and/or diversify into an e</w:t>
      </w:r>
      <w:r w:rsidR="00A859F8">
        <w:rPr>
          <w:spacing w:val="-4"/>
          <w:w w:val="105"/>
          <w:lang w:val="en-GB"/>
        </w:rPr>
        <w:t xml:space="preserve">xpanding range of enterprises. </w:t>
      </w:r>
      <w:r w:rsidR="00347004" w:rsidRPr="00347004">
        <w:rPr>
          <w:spacing w:val="-4"/>
          <w:w w:val="105"/>
          <w:lang w:val="en-GB"/>
        </w:rPr>
        <w:t xml:space="preserve">This has been the pattern of development of farmer cooperatives in China, for example, where some have become efficient private producers of seed while others have focused around the efficient marketing of specialist crop products.  </w:t>
      </w:r>
      <w:r w:rsidR="0087597C">
        <w:rPr>
          <w:spacing w:val="-4"/>
          <w:w w:val="105"/>
          <w:lang w:val="en-GB"/>
        </w:rPr>
        <w:t xml:space="preserve">Examples of this would be </w:t>
      </w:r>
      <w:r w:rsidR="001F5CEA">
        <w:rPr>
          <w:spacing w:val="-4"/>
          <w:w w:val="105"/>
          <w:lang w:val="en-GB"/>
        </w:rPr>
        <w:t xml:space="preserve">to </w:t>
      </w:r>
      <w:r w:rsidR="0087597C" w:rsidRPr="003D1B5E">
        <w:rPr>
          <w:spacing w:val="-4"/>
          <w:w w:val="105"/>
          <w:lang w:val="en-GB"/>
        </w:rPr>
        <w:t xml:space="preserve">adopt different SOL3 commodity varieties and, where strong enough and interested, work with MAF to implement </w:t>
      </w:r>
      <w:r w:rsidR="0087597C" w:rsidRPr="00D50DDB">
        <w:rPr>
          <w:spacing w:val="-4"/>
          <w:w w:val="105"/>
          <w:lang w:val="en-GB"/>
        </w:rPr>
        <w:t>new crop management practices</w:t>
      </w:r>
      <w:r w:rsidR="001F5CEA">
        <w:rPr>
          <w:spacing w:val="-4"/>
          <w:w w:val="105"/>
          <w:lang w:val="en-GB"/>
        </w:rPr>
        <w:t>.  These</w:t>
      </w:r>
      <w:r w:rsidR="0087597C" w:rsidRPr="00D50DDB">
        <w:rPr>
          <w:spacing w:val="-4"/>
          <w:w w:val="105"/>
          <w:lang w:val="en-GB"/>
        </w:rPr>
        <w:t xml:space="preserve"> </w:t>
      </w:r>
      <w:r w:rsidR="006342A8">
        <w:rPr>
          <w:spacing w:val="-4"/>
          <w:w w:val="105"/>
          <w:lang w:val="en-GB"/>
        </w:rPr>
        <w:t xml:space="preserve">may require use of additional inputs that </w:t>
      </w:r>
      <w:r w:rsidR="0087597C" w:rsidRPr="00D50DDB">
        <w:rPr>
          <w:spacing w:val="-4"/>
          <w:w w:val="105"/>
          <w:lang w:val="en-GB"/>
        </w:rPr>
        <w:t>will increase crop output</w:t>
      </w:r>
      <w:r w:rsidR="006342A8">
        <w:rPr>
          <w:spacing w:val="-4"/>
          <w:w w:val="105"/>
          <w:lang w:val="en-GB"/>
        </w:rPr>
        <w:t>, increase net crop returns</w:t>
      </w:r>
      <w:r w:rsidR="001F5CEA">
        <w:rPr>
          <w:spacing w:val="-4"/>
          <w:w w:val="105"/>
          <w:lang w:val="en-GB"/>
        </w:rPr>
        <w:t>,</w:t>
      </w:r>
      <w:r w:rsidR="006342A8">
        <w:rPr>
          <w:spacing w:val="-4"/>
          <w:w w:val="105"/>
          <w:lang w:val="en-GB"/>
        </w:rPr>
        <w:t xml:space="preserve"> reduce economic </w:t>
      </w:r>
      <w:r w:rsidR="0087597C" w:rsidRPr="00D50DDB">
        <w:rPr>
          <w:spacing w:val="-4"/>
          <w:w w:val="105"/>
          <w:lang w:val="en-GB"/>
        </w:rPr>
        <w:t>risk</w:t>
      </w:r>
      <w:r w:rsidR="006342A8">
        <w:rPr>
          <w:spacing w:val="-4"/>
          <w:w w:val="105"/>
          <w:lang w:val="en-GB"/>
        </w:rPr>
        <w:t xml:space="preserve"> and increase family food security</w:t>
      </w:r>
      <w:r w:rsidR="0087597C" w:rsidRPr="00D50DDB">
        <w:rPr>
          <w:spacing w:val="-4"/>
          <w:w w:val="105"/>
          <w:lang w:val="en-GB"/>
        </w:rPr>
        <w:t>.</w:t>
      </w:r>
      <w:r w:rsidR="00A859F8">
        <w:rPr>
          <w:spacing w:val="-4"/>
          <w:w w:val="105"/>
          <w:lang w:val="en-GB"/>
        </w:rPr>
        <w:t xml:space="preserve">  </w:t>
      </w:r>
      <w:r w:rsidR="006342A8">
        <w:rPr>
          <w:spacing w:val="-4"/>
          <w:w w:val="105"/>
          <w:lang w:val="en-GB"/>
        </w:rPr>
        <w:t>The ISPGs</w:t>
      </w:r>
      <w:r w:rsidR="0087597C">
        <w:rPr>
          <w:spacing w:val="-4"/>
          <w:w w:val="105"/>
          <w:lang w:val="en-GB"/>
        </w:rPr>
        <w:t xml:space="preserve"> may also </w:t>
      </w:r>
      <w:r w:rsidRPr="003D1B5E">
        <w:rPr>
          <w:spacing w:val="-4"/>
          <w:w w:val="105"/>
          <w:lang w:val="en-GB"/>
        </w:rPr>
        <w:t xml:space="preserve">evolve </w:t>
      </w:r>
      <w:r w:rsidR="00AE4F0D">
        <w:rPr>
          <w:spacing w:val="-4"/>
          <w:w w:val="105"/>
          <w:lang w:val="en-GB"/>
        </w:rPr>
        <w:t>in</w:t>
      </w:r>
      <w:r w:rsidRPr="003D1B5E">
        <w:rPr>
          <w:spacing w:val="-4"/>
          <w:w w:val="105"/>
          <w:lang w:val="en-GB"/>
        </w:rPr>
        <w:t xml:space="preserve"> different directions through </w:t>
      </w:r>
      <w:r w:rsidR="0087597C">
        <w:rPr>
          <w:spacing w:val="-4"/>
          <w:w w:val="105"/>
          <w:lang w:val="en-GB"/>
        </w:rPr>
        <w:t xml:space="preserve">contact with </w:t>
      </w:r>
      <w:r w:rsidRPr="003D1B5E">
        <w:rPr>
          <w:spacing w:val="-4"/>
          <w:w w:val="105"/>
          <w:lang w:val="en-GB"/>
        </w:rPr>
        <w:t>other pro</w:t>
      </w:r>
      <w:r w:rsidR="00AE4F0D">
        <w:rPr>
          <w:spacing w:val="-4"/>
          <w:w w:val="105"/>
          <w:lang w:val="en-GB"/>
        </w:rPr>
        <w:t>g</w:t>
      </w:r>
      <w:r w:rsidRPr="003D1B5E">
        <w:rPr>
          <w:spacing w:val="-4"/>
          <w:w w:val="105"/>
          <w:lang w:val="en-GB"/>
        </w:rPr>
        <w:t>rams</w:t>
      </w:r>
      <w:r w:rsidR="0087597C">
        <w:rPr>
          <w:spacing w:val="-4"/>
          <w:w w:val="105"/>
          <w:lang w:val="en-GB"/>
        </w:rPr>
        <w:t>.  Examples of these would be engagement with the</w:t>
      </w:r>
      <w:r w:rsidR="00AE4F0D">
        <w:rPr>
          <w:spacing w:val="-4"/>
          <w:w w:val="105"/>
          <w:lang w:val="en-GB"/>
        </w:rPr>
        <w:t xml:space="preserve"> </w:t>
      </w:r>
      <w:r w:rsidRPr="003D1B5E">
        <w:rPr>
          <w:spacing w:val="-4"/>
          <w:w w:val="105"/>
          <w:lang w:val="en-GB"/>
        </w:rPr>
        <w:t xml:space="preserve">IFAD Cereal Storage Program, </w:t>
      </w:r>
      <w:r w:rsidR="00347004" w:rsidRPr="00347004">
        <w:rPr>
          <w:spacing w:val="-4"/>
          <w:w w:val="105"/>
          <w:lang w:val="en-GB"/>
        </w:rPr>
        <w:t>Government of Timor-Leste National Program for Suco Development (supported by AusAID)</w:t>
      </w:r>
      <w:r w:rsidRPr="003D1B5E">
        <w:rPr>
          <w:spacing w:val="-4"/>
          <w:w w:val="105"/>
          <w:lang w:val="en-GB"/>
        </w:rPr>
        <w:t>, JICA Irrigated Agriculture Program,</w:t>
      </w:r>
      <w:r w:rsidR="0087597C">
        <w:rPr>
          <w:spacing w:val="-4"/>
          <w:w w:val="105"/>
          <w:lang w:val="en-GB"/>
        </w:rPr>
        <w:t xml:space="preserve"> or the</w:t>
      </w:r>
      <w:r w:rsidRPr="003D1B5E">
        <w:rPr>
          <w:spacing w:val="-4"/>
          <w:w w:val="105"/>
          <w:lang w:val="en-GB"/>
        </w:rPr>
        <w:t xml:space="preserve"> ACIAR Livestock Systems Research</w:t>
      </w:r>
      <w:r w:rsidR="006342A8">
        <w:rPr>
          <w:spacing w:val="-4"/>
          <w:w w:val="105"/>
          <w:lang w:val="en-GB"/>
        </w:rPr>
        <w:t>.</w:t>
      </w:r>
    </w:p>
    <w:p w:rsidR="007308DC" w:rsidRPr="003D1B5E" w:rsidRDefault="007308DC" w:rsidP="00E16AEB">
      <w:pPr>
        <w:ind w:right="144"/>
        <w:rPr>
          <w:spacing w:val="-4"/>
          <w:w w:val="105"/>
          <w:lang w:val="en-GB"/>
        </w:rPr>
      </w:pPr>
    </w:p>
    <w:p w:rsidR="002A5059" w:rsidRPr="003D1B5E" w:rsidRDefault="00A172F5" w:rsidP="00E16AEB">
      <w:pPr>
        <w:ind w:right="144"/>
        <w:rPr>
          <w:spacing w:val="-4"/>
          <w:w w:val="105"/>
          <w:lang w:val="en-GB"/>
        </w:rPr>
      </w:pPr>
      <w:r w:rsidRPr="003D1B5E">
        <w:rPr>
          <w:spacing w:val="-4"/>
          <w:w w:val="105"/>
          <w:lang w:val="en-GB"/>
        </w:rPr>
        <w:t xml:space="preserve">The social capital being built in ISPGs evolves through a series of well-known stages that can be monitored to test group health as well as progress towards behaviour changes that result in adoption of new varieties and technologies for improved food security.  One common approach to measuring these changes uses Bennett’s hierarchy (see </w:t>
      </w:r>
      <w:r w:rsidR="003424EC" w:rsidRPr="003C2A0E">
        <w:rPr>
          <w:spacing w:val="-4"/>
          <w:w w:val="105"/>
          <w:lang w:val="en-GB"/>
        </w:rPr>
        <w:t>Annex</w:t>
      </w:r>
      <w:r w:rsidRPr="003C2A0E">
        <w:rPr>
          <w:spacing w:val="-4"/>
          <w:w w:val="105"/>
          <w:lang w:val="en-GB"/>
        </w:rPr>
        <w:t xml:space="preserve"> </w:t>
      </w:r>
      <w:r w:rsidR="003424EC" w:rsidRPr="003C2A0E">
        <w:rPr>
          <w:spacing w:val="-4"/>
          <w:w w:val="105"/>
          <w:lang w:val="en-GB"/>
        </w:rPr>
        <w:t>2</w:t>
      </w:r>
      <w:r w:rsidRPr="003C2A0E">
        <w:rPr>
          <w:spacing w:val="-4"/>
          <w:w w:val="105"/>
          <w:lang w:val="en-GB"/>
        </w:rPr>
        <w:t>)</w:t>
      </w:r>
      <w:r w:rsidRPr="003D1B5E">
        <w:rPr>
          <w:spacing w:val="-4"/>
          <w:w w:val="105"/>
          <w:lang w:val="en-GB"/>
        </w:rPr>
        <w:t xml:space="preserve"> – there is an opportunity for the SOL3 performance monitoring and evaluation framework to use this approach to support Component 3 management decisions.</w:t>
      </w:r>
    </w:p>
    <w:p w:rsidR="00406A98" w:rsidRPr="003D1B5E" w:rsidRDefault="00406A98" w:rsidP="00E16AEB">
      <w:pPr>
        <w:ind w:right="144"/>
        <w:rPr>
          <w:spacing w:val="-4"/>
          <w:w w:val="105"/>
          <w:lang w:val="en-GB"/>
        </w:rPr>
      </w:pPr>
    </w:p>
    <w:p w:rsidR="00406A98" w:rsidRPr="003D1B5E" w:rsidRDefault="00FD5F41" w:rsidP="00E16AEB">
      <w:pPr>
        <w:ind w:right="144"/>
        <w:rPr>
          <w:spacing w:val="-4"/>
          <w:w w:val="105"/>
          <w:lang w:val="en-GB"/>
        </w:rPr>
      </w:pPr>
      <w:r w:rsidRPr="003C2A0E">
        <w:rPr>
          <w:spacing w:val="-4"/>
          <w:w w:val="105"/>
          <w:lang w:val="en-GB"/>
        </w:rPr>
        <w:t>Chart 1 highlights</w:t>
      </w:r>
      <w:r w:rsidRPr="003D1B5E">
        <w:rPr>
          <w:spacing w:val="-4"/>
          <w:w w:val="105"/>
          <w:lang w:val="en-GB"/>
        </w:rPr>
        <w:t xml:space="preserve"> </w:t>
      </w:r>
      <w:r w:rsidR="008A18A9">
        <w:rPr>
          <w:spacing w:val="-4"/>
          <w:w w:val="105"/>
          <w:lang w:val="en-GB"/>
        </w:rPr>
        <w:t xml:space="preserve">the dependence of </w:t>
      </w:r>
      <w:r w:rsidR="00406A98" w:rsidRPr="003D1B5E">
        <w:rPr>
          <w:spacing w:val="-4"/>
          <w:w w:val="105"/>
          <w:lang w:val="en-GB"/>
        </w:rPr>
        <w:t>SOL3</w:t>
      </w:r>
      <w:r w:rsidR="008A18A9">
        <w:rPr>
          <w:spacing w:val="-4"/>
          <w:w w:val="105"/>
          <w:lang w:val="en-GB"/>
        </w:rPr>
        <w:t>’s success</w:t>
      </w:r>
      <w:r w:rsidR="00406A98" w:rsidRPr="003D1B5E">
        <w:rPr>
          <w:spacing w:val="-4"/>
          <w:w w:val="105"/>
          <w:lang w:val="en-GB"/>
        </w:rPr>
        <w:t xml:space="preserve"> on the social capital being built in the ISPG groups.  This social capital and group relationships with SEOs and District MAF staff are the core institutional arrangements that link the national seed system being developed</w:t>
      </w:r>
      <w:r w:rsidR="008A18A9">
        <w:rPr>
          <w:spacing w:val="-4"/>
          <w:w w:val="105"/>
          <w:lang w:val="en-GB"/>
        </w:rPr>
        <w:t xml:space="preserve"> under Components 1 and 2 of SOL3</w:t>
      </w:r>
      <w:r w:rsidR="00406A98" w:rsidRPr="003D1B5E">
        <w:rPr>
          <w:spacing w:val="-4"/>
          <w:w w:val="105"/>
          <w:lang w:val="en-GB"/>
        </w:rPr>
        <w:t xml:space="preserve"> and food security </w:t>
      </w:r>
      <w:r w:rsidR="008A18A9">
        <w:rPr>
          <w:spacing w:val="-4"/>
          <w:w w:val="105"/>
          <w:lang w:val="en-GB"/>
        </w:rPr>
        <w:t>at the rural community</w:t>
      </w:r>
      <w:r w:rsidR="00042653">
        <w:rPr>
          <w:spacing w:val="-4"/>
          <w:w w:val="105"/>
          <w:lang w:val="en-GB"/>
        </w:rPr>
        <w:t xml:space="preserve"> </w:t>
      </w:r>
      <w:r w:rsidR="008A18A9">
        <w:rPr>
          <w:spacing w:val="-4"/>
          <w:w w:val="105"/>
          <w:lang w:val="en-GB"/>
        </w:rPr>
        <w:t>in</w:t>
      </w:r>
      <w:r w:rsidR="00406A98" w:rsidRPr="003D1B5E">
        <w:rPr>
          <w:spacing w:val="-4"/>
          <w:w w:val="105"/>
          <w:lang w:val="en-GB"/>
        </w:rPr>
        <w:t xml:space="preserve"> Timor-Leste.  The Component 3 operational budget is a small proportion of the </w:t>
      </w:r>
      <w:r w:rsidR="008A18A9">
        <w:rPr>
          <w:spacing w:val="-4"/>
          <w:w w:val="105"/>
          <w:lang w:val="en-GB"/>
        </w:rPr>
        <w:t xml:space="preserve">total </w:t>
      </w:r>
      <w:r w:rsidR="00406A98" w:rsidRPr="003D1B5E">
        <w:rPr>
          <w:spacing w:val="-4"/>
          <w:w w:val="105"/>
          <w:lang w:val="en-GB"/>
        </w:rPr>
        <w:t xml:space="preserve">SOL3 investment – less than 10% of all operational costs and around 13% of total Australian investment.  There is an opportunity to focus investments </w:t>
      </w:r>
      <w:r w:rsidRPr="003D1B5E">
        <w:rPr>
          <w:spacing w:val="-4"/>
          <w:w w:val="105"/>
          <w:lang w:val="en-GB"/>
        </w:rPr>
        <w:t xml:space="preserve">from other components </w:t>
      </w:r>
      <w:r w:rsidR="008A18A9">
        <w:rPr>
          <w:spacing w:val="-4"/>
          <w:w w:val="105"/>
          <w:lang w:val="en-GB"/>
        </w:rPr>
        <w:t>on</w:t>
      </w:r>
      <w:r w:rsidR="00406A98" w:rsidRPr="003D1B5E">
        <w:rPr>
          <w:spacing w:val="-4"/>
          <w:w w:val="105"/>
          <w:lang w:val="en-GB"/>
        </w:rPr>
        <w:t xml:space="preserve"> activities that support Component 3 outcomes.  For example</w:t>
      </w:r>
      <w:r w:rsidR="00042653">
        <w:rPr>
          <w:spacing w:val="-4"/>
          <w:w w:val="105"/>
          <w:lang w:val="en-GB"/>
        </w:rPr>
        <w:t xml:space="preserve">, some of the adaptive research undertaken under Component 1 as OFDTs could be supported as simple superimposed agronomy trials to boost production; the scale of Component 2 could possibly be reduced to sharpen its focus on supporting ISPGs; and case studies of successful ISPGs could replace more formal assessments of impact under </w:t>
      </w:r>
      <w:r w:rsidR="00F837D7">
        <w:rPr>
          <w:spacing w:val="-4"/>
          <w:w w:val="105"/>
          <w:lang w:val="en-GB"/>
        </w:rPr>
        <w:t>Component 4. These and other possibilities are described below.</w:t>
      </w:r>
    </w:p>
    <w:p w:rsidR="00B47E58" w:rsidRDefault="00F44710" w:rsidP="00D50DDB">
      <w:pPr>
        <w:pStyle w:val="ListParagraph"/>
        <w:numPr>
          <w:ilvl w:val="0"/>
          <w:numId w:val="46"/>
        </w:numPr>
        <w:ind w:left="284" w:right="144" w:hanging="284"/>
        <w:jc w:val="both"/>
        <w:rPr>
          <w:spacing w:val="-4"/>
          <w:w w:val="105"/>
          <w:lang w:val="en-GB"/>
        </w:rPr>
      </w:pPr>
      <w:r w:rsidRPr="00C165F3">
        <w:rPr>
          <w:b/>
          <w:spacing w:val="-4"/>
          <w:w w:val="105"/>
          <w:lang w:val="en-GB"/>
        </w:rPr>
        <w:t>Increasing yields of seed by improved practices</w:t>
      </w:r>
      <w:r w:rsidR="000E1CAA">
        <w:rPr>
          <w:spacing w:val="-4"/>
          <w:w w:val="105"/>
          <w:lang w:val="en-GB"/>
        </w:rPr>
        <w:t xml:space="preserve"> </w:t>
      </w:r>
      <w:r w:rsidR="00A859F8">
        <w:rPr>
          <w:spacing w:val="-4"/>
          <w:w w:val="105"/>
          <w:lang w:val="en-GB"/>
        </w:rPr>
        <w:t>–</w:t>
      </w:r>
      <w:r w:rsidR="000E1CAA">
        <w:rPr>
          <w:spacing w:val="-4"/>
          <w:w w:val="105"/>
          <w:lang w:val="en-GB"/>
        </w:rPr>
        <w:t xml:space="preserve"> the</w:t>
      </w:r>
      <w:r w:rsidR="00A859F8">
        <w:rPr>
          <w:spacing w:val="-4"/>
          <w:w w:val="105"/>
          <w:lang w:val="en-GB"/>
        </w:rPr>
        <w:t xml:space="preserve"> </w:t>
      </w:r>
      <w:r w:rsidR="000E1CAA">
        <w:rPr>
          <w:spacing w:val="-4"/>
          <w:w w:val="105"/>
          <w:lang w:val="en-GB"/>
        </w:rPr>
        <w:t>yield of seed could be increased while condu</w:t>
      </w:r>
      <w:r w:rsidR="007542BF">
        <w:rPr>
          <w:spacing w:val="-4"/>
          <w:w w:val="105"/>
          <w:lang w:val="en-GB"/>
        </w:rPr>
        <w:t xml:space="preserve">cting </w:t>
      </w:r>
      <w:r w:rsidR="000E1CAA">
        <w:rPr>
          <w:spacing w:val="-4"/>
          <w:w w:val="105"/>
          <w:lang w:val="en-GB"/>
        </w:rPr>
        <w:t xml:space="preserve">adaptive research in the seed field using a simple plus one design, where several 5m x 5 m plots are </w:t>
      </w:r>
      <w:r w:rsidR="00AE4F0D">
        <w:rPr>
          <w:spacing w:val="-4"/>
          <w:w w:val="105"/>
          <w:lang w:val="en-GB"/>
        </w:rPr>
        <w:t>laid out in the centre</w:t>
      </w:r>
      <w:r w:rsidR="007542BF">
        <w:rPr>
          <w:spacing w:val="-4"/>
          <w:w w:val="105"/>
          <w:lang w:val="en-GB"/>
        </w:rPr>
        <w:t xml:space="preserve"> of the 0.</w:t>
      </w:r>
      <w:r w:rsidR="000E1CAA">
        <w:rPr>
          <w:spacing w:val="-4"/>
          <w:w w:val="105"/>
          <w:lang w:val="en-GB"/>
        </w:rPr>
        <w:t>2 ha seed field and</w:t>
      </w:r>
      <w:r w:rsidR="007542BF">
        <w:rPr>
          <w:spacing w:val="-4"/>
          <w:w w:val="105"/>
          <w:lang w:val="en-GB"/>
        </w:rPr>
        <w:t xml:space="preserve"> treatments imposed.  </w:t>
      </w:r>
      <w:r w:rsidR="0072309E">
        <w:rPr>
          <w:spacing w:val="-4"/>
          <w:w w:val="105"/>
          <w:lang w:val="en-GB"/>
        </w:rPr>
        <w:t>Treatments</w:t>
      </w:r>
      <w:r w:rsidR="000E1CAA">
        <w:rPr>
          <w:spacing w:val="-4"/>
          <w:w w:val="105"/>
          <w:lang w:val="en-GB"/>
        </w:rPr>
        <w:t xml:space="preserve"> </w:t>
      </w:r>
      <w:r w:rsidR="00FD5F41" w:rsidRPr="003D1B5E">
        <w:rPr>
          <w:spacing w:val="-4"/>
          <w:w w:val="105"/>
          <w:lang w:val="en-GB"/>
        </w:rPr>
        <w:t>could</w:t>
      </w:r>
      <w:r w:rsidR="000E1CAA">
        <w:rPr>
          <w:spacing w:val="-4"/>
          <w:w w:val="105"/>
          <w:lang w:val="en-GB"/>
        </w:rPr>
        <w:t xml:space="preserve"> focus on increasing the</w:t>
      </w:r>
      <w:r w:rsidR="008A18A9">
        <w:rPr>
          <w:spacing w:val="-4"/>
          <w:w w:val="105"/>
          <w:lang w:val="en-GB"/>
        </w:rPr>
        <w:t xml:space="preserve"> efficiency of seed production by increasing seed yields</w:t>
      </w:r>
      <w:r w:rsidR="00630CA8">
        <w:rPr>
          <w:spacing w:val="-4"/>
          <w:w w:val="105"/>
          <w:lang w:val="en-GB"/>
        </w:rPr>
        <w:t>.</w:t>
      </w:r>
      <w:r w:rsidR="007542BF">
        <w:rPr>
          <w:spacing w:val="-4"/>
          <w:w w:val="105"/>
          <w:lang w:val="en-GB"/>
        </w:rPr>
        <w:t xml:space="preserve"> </w:t>
      </w:r>
      <w:r w:rsidR="00FD5F41" w:rsidRPr="003D1B5E">
        <w:rPr>
          <w:spacing w:val="-4"/>
          <w:w w:val="105"/>
          <w:lang w:val="en-GB"/>
        </w:rPr>
        <w:t xml:space="preserve"> These trials could include </w:t>
      </w:r>
      <w:r w:rsidR="007542BF">
        <w:rPr>
          <w:spacing w:val="-4"/>
          <w:w w:val="105"/>
          <w:lang w:val="en-GB"/>
        </w:rPr>
        <w:t xml:space="preserve">seed treatment, and a modest amount of </w:t>
      </w:r>
      <w:r w:rsidR="00341940">
        <w:rPr>
          <w:spacing w:val="-4"/>
          <w:w w:val="105"/>
          <w:lang w:val="en-GB"/>
        </w:rPr>
        <w:t>fertilis</w:t>
      </w:r>
      <w:r w:rsidR="007542BF">
        <w:rPr>
          <w:spacing w:val="-4"/>
          <w:w w:val="105"/>
          <w:lang w:val="en-GB"/>
        </w:rPr>
        <w:t>er (</w:t>
      </w:r>
      <w:r w:rsidR="007542BF" w:rsidRPr="00C165F3">
        <w:rPr>
          <w:i/>
          <w:spacing w:val="-4"/>
          <w:w w:val="105"/>
          <w:lang w:val="en-GB"/>
        </w:rPr>
        <w:t>e.g</w:t>
      </w:r>
      <w:r w:rsidR="007542BF">
        <w:rPr>
          <w:spacing w:val="-4"/>
          <w:w w:val="105"/>
          <w:lang w:val="en-GB"/>
        </w:rPr>
        <w:t>. 30-50kg N/ha) and phosphorous (</w:t>
      </w:r>
      <w:r w:rsidR="007542BF" w:rsidRPr="00C165F3">
        <w:rPr>
          <w:i/>
          <w:spacing w:val="-4"/>
          <w:w w:val="105"/>
          <w:lang w:val="en-GB"/>
        </w:rPr>
        <w:t>e.g</w:t>
      </w:r>
      <w:r w:rsidR="008A5CED">
        <w:rPr>
          <w:spacing w:val="-4"/>
          <w:w w:val="105"/>
          <w:lang w:val="en-GB"/>
        </w:rPr>
        <w:t>. 15-30</w:t>
      </w:r>
      <w:r w:rsidR="007542BF">
        <w:rPr>
          <w:spacing w:val="-4"/>
          <w:w w:val="105"/>
          <w:lang w:val="en-GB"/>
        </w:rPr>
        <w:t>kg P</w:t>
      </w:r>
      <w:r w:rsidRPr="00C165F3">
        <w:rPr>
          <w:spacing w:val="-4"/>
          <w:w w:val="105"/>
          <w:vertAlign w:val="subscript"/>
          <w:lang w:val="en-GB"/>
        </w:rPr>
        <w:t>2</w:t>
      </w:r>
      <w:r w:rsidR="007542BF">
        <w:rPr>
          <w:spacing w:val="-4"/>
          <w:w w:val="105"/>
          <w:lang w:val="en-GB"/>
        </w:rPr>
        <w:t>O</w:t>
      </w:r>
      <w:r w:rsidRPr="00C165F3">
        <w:rPr>
          <w:spacing w:val="-4"/>
          <w:w w:val="105"/>
          <w:vertAlign w:val="subscript"/>
          <w:lang w:val="en-GB"/>
        </w:rPr>
        <w:t>5</w:t>
      </w:r>
      <w:r w:rsidR="007542BF">
        <w:rPr>
          <w:spacing w:val="-4"/>
          <w:w w:val="105"/>
          <w:lang w:val="en-GB"/>
        </w:rPr>
        <w:t xml:space="preserve">/ha). </w:t>
      </w:r>
      <w:r w:rsidR="00B47E58">
        <w:rPr>
          <w:spacing w:val="-4"/>
          <w:w w:val="105"/>
          <w:lang w:val="en-GB"/>
        </w:rPr>
        <w:t xml:space="preserve"> A possible design could be 4</w:t>
      </w:r>
      <w:r w:rsidR="007542BF">
        <w:rPr>
          <w:spacing w:val="-4"/>
          <w:w w:val="105"/>
          <w:lang w:val="en-GB"/>
        </w:rPr>
        <w:t xml:space="preserve"> </w:t>
      </w:r>
      <w:r w:rsidR="008A5CED">
        <w:rPr>
          <w:spacing w:val="-4"/>
          <w:w w:val="105"/>
          <w:lang w:val="en-GB"/>
        </w:rPr>
        <w:t>treatments:</w:t>
      </w:r>
      <w:r w:rsidR="00B47E58">
        <w:rPr>
          <w:spacing w:val="-4"/>
          <w:w w:val="105"/>
          <w:lang w:val="en-GB"/>
        </w:rPr>
        <w:t xml:space="preserve"> n</w:t>
      </w:r>
      <w:r w:rsidR="008A5CED">
        <w:rPr>
          <w:spacing w:val="-4"/>
          <w:w w:val="105"/>
          <w:lang w:val="en-GB"/>
        </w:rPr>
        <w:t>o treatment; seed treatment; 50kg N/ha; 30</w:t>
      </w:r>
      <w:r w:rsidR="00B47E58">
        <w:rPr>
          <w:spacing w:val="-4"/>
          <w:w w:val="105"/>
          <w:lang w:val="en-GB"/>
        </w:rPr>
        <w:t>kg P</w:t>
      </w:r>
      <w:r w:rsidRPr="00C165F3">
        <w:rPr>
          <w:spacing w:val="-4"/>
          <w:w w:val="105"/>
          <w:vertAlign w:val="subscript"/>
          <w:lang w:val="en-GB"/>
        </w:rPr>
        <w:t>2</w:t>
      </w:r>
      <w:r w:rsidR="00B47E58">
        <w:rPr>
          <w:spacing w:val="-4"/>
          <w:w w:val="105"/>
          <w:lang w:val="en-GB"/>
        </w:rPr>
        <w:t>O</w:t>
      </w:r>
      <w:r w:rsidRPr="00C165F3">
        <w:rPr>
          <w:spacing w:val="-4"/>
          <w:w w:val="105"/>
          <w:vertAlign w:val="subscript"/>
          <w:lang w:val="en-GB"/>
        </w:rPr>
        <w:t>5</w:t>
      </w:r>
      <w:r w:rsidR="008A5CED">
        <w:rPr>
          <w:spacing w:val="-4"/>
          <w:w w:val="105"/>
          <w:lang w:val="en-GB"/>
        </w:rPr>
        <w:t>/ha.  This could be</w:t>
      </w:r>
      <w:r w:rsidR="00B47E58">
        <w:rPr>
          <w:spacing w:val="-4"/>
          <w:w w:val="105"/>
          <w:lang w:val="en-GB"/>
        </w:rPr>
        <w:t xml:space="preserve"> replicated twice to give 8 plots superimposed on the seed field.  All factors tested should give similar or improved yields vs. the check, so farmers would not be out of pocket.</w:t>
      </w:r>
      <w:r w:rsidR="007542BF">
        <w:rPr>
          <w:spacing w:val="-4"/>
          <w:w w:val="105"/>
          <w:lang w:val="en-GB"/>
        </w:rPr>
        <w:t xml:space="preserve"> Other practices suitable for</w:t>
      </w:r>
      <w:r w:rsidR="00B47E58">
        <w:rPr>
          <w:spacing w:val="-4"/>
          <w:w w:val="105"/>
          <w:lang w:val="en-GB"/>
        </w:rPr>
        <w:t xml:space="preserve"> this type of ad</w:t>
      </w:r>
      <w:r w:rsidR="007542BF">
        <w:rPr>
          <w:spacing w:val="-4"/>
          <w:w w:val="105"/>
          <w:lang w:val="en-GB"/>
        </w:rPr>
        <w:t xml:space="preserve">aptive research </w:t>
      </w:r>
      <w:r w:rsidR="008A5CED">
        <w:rPr>
          <w:spacing w:val="-4"/>
          <w:w w:val="105"/>
          <w:lang w:val="en-GB"/>
        </w:rPr>
        <w:t xml:space="preserve">include </w:t>
      </w:r>
      <w:r w:rsidR="007542BF">
        <w:rPr>
          <w:spacing w:val="-4"/>
          <w:w w:val="105"/>
          <w:lang w:val="en-GB"/>
        </w:rPr>
        <w:t>a comparison of weeding practices (</w:t>
      </w:r>
      <w:r w:rsidR="008A5CED">
        <w:rPr>
          <w:spacing w:val="-4"/>
          <w:w w:val="105"/>
          <w:lang w:val="en-GB"/>
        </w:rPr>
        <w:t>two</w:t>
      </w:r>
      <w:r w:rsidR="007542BF">
        <w:rPr>
          <w:spacing w:val="-4"/>
          <w:w w:val="105"/>
          <w:lang w:val="en-GB"/>
        </w:rPr>
        <w:t xml:space="preserve"> hand weed</w:t>
      </w:r>
      <w:r w:rsidR="00B47E58">
        <w:rPr>
          <w:spacing w:val="-4"/>
          <w:w w:val="105"/>
          <w:lang w:val="en-GB"/>
        </w:rPr>
        <w:t>ings vs. her</w:t>
      </w:r>
      <w:r w:rsidR="007542BF">
        <w:rPr>
          <w:spacing w:val="-4"/>
          <w:w w:val="105"/>
          <w:lang w:val="en-GB"/>
        </w:rPr>
        <w:t>bicide), planting densities (</w:t>
      </w:r>
      <w:r w:rsidR="007542BF" w:rsidRPr="00A859F8">
        <w:rPr>
          <w:i/>
          <w:spacing w:val="-4"/>
          <w:w w:val="105"/>
          <w:lang w:val="en-GB"/>
        </w:rPr>
        <w:t>e.g</w:t>
      </w:r>
      <w:r w:rsidR="007542BF">
        <w:rPr>
          <w:spacing w:val="-4"/>
          <w:w w:val="105"/>
          <w:lang w:val="en-GB"/>
        </w:rPr>
        <w:t>. 3 plants/m</w:t>
      </w:r>
      <w:r w:rsidRPr="00C165F3">
        <w:rPr>
          <w:spacing w:val="-4"/>
          <w:w w:val="105"/>
          <w:vertAlign w:val="superscript"/>
          <w:lang w:val="en-GB"/>
        </w:rPr>
        <w:t>2</w:t>
      </w:r>
      <w:r w:rsidR="007542BF">
        <w:rPr>
          <w:spacing w:val="-4"/>
          <w:w w:val="105"/>
          <w:lang w:val="en-GB"/>
        </w:rPr>
        <w:t xml:space="preserve"> vs. 6 plants/m</w:t>
      </w:r>
      <w:r w:rsidRPr="00C165F3">
        <w:rPr>
          <w:spacing w:val="-4"/>
          <w:w w:val="105"/>
          <w:vertAlign w:val="superscript"/>
          <w:lang w:val="en-GB"/>
        </w:rPr>
        <w:t>2</w:t>
      </w:r>
      <w:r w:rsidR="007542BF">
        <w:rPr>
          <w:spacing w:val="-4"/>
          <w:w w:val="105"/>
          <w:lang w:val="en-GB"/>
        </w:rPr>
        <w:t>) and micronutrients (ZnSO</w:t>
      </w:r>
      <w:r w:rsidRPr="00C165F3">
        <w:rPr>
          <w:spacing w:val="-4"/>
          <w:w w:val="105"/>
          <w:vertAlign w:val="subscript"/>
          <w:lang w:val="en-GB"/>
        </w:rPr>
        <w:t>4</w:t>
      </w:r>
      <w:r w:rsidR="008A5CED">
        <w:rPr>
          <w:spacing w:val="-4"/>
          <w:w w:val="105"/>
          <w:lang w:val="en-GB"/>
        </w:rPr>
        <w:t xml:space="preserve"> at 15</w:t>
      </w:r>
      <w:r w:rsidR="007542BF">
        <w:rPr>
          <w:spacing w:val="-4"/>
          <w:w w:val="105"/>
          <w:lang w:val="en-GB"/>
        </w:rPr>
        <w:t xml:space="preserve">kg/ha) </w:t>
      </w:r>
      <w:r w:rsidR="00FD5F41" w:rsidRPr="003D1B5E">
        <w:rPr>
          <w:spacing w:val="-4"/>
          <w:w w:val="105"/>
          <w:lang w:val="en-GB"/>
        </w:rPr>
        <w:t>to test the yield potential of farming systems used by the groups.</w:t>
      </w:r>
      <w:r w:rsidR="00B47E58">
        <w:rPr>
          <w:spacing w:val="-4"/>
          <w:w w:val="105"/>
          <w:lang w:val="en-GB"/>
        </w:rPr>
        <w:t xml:space="preserve"> </w:t>
      </w:r>
      <w:r w:rsidR="007542BF">
        <w:rPr>
          <w:spacing w:val="-4"/>
          <w:w w:val="105"/>
          <w:lang w:val="en-GB"/>
        </w:rPr>
        <w:t>This</w:t>
      </w:r>
      <w:r w:rsidR="00B47E58">
        <w:rPr>
          <w:spacing w:val="-4"/>
          <w:w w:val="105"/>
          <w:lang w:val="en-GB"/>
        </w:rPr>
        <w:t xml:space="preserve"> approach</w:t>
      </w:r>
      <w:r w:rsidR="007542BF">
        <w:rPr>
          <w:spacing w:val="-4"/>
          <w:w w:val="105"/>
          <w:lang w:val="en-GB"/>
        </w:rPr>
        <w:t xml:space="preserve"> would require agreement from the host farmer and possibly a follow up observation of the experimental area to ensure that production was not depressed in the subsequent year.</w:t>
      </w:r>
    </w:p>
    <w:p w:rsidR="00E16AEB" w:rsidRDefault="00B47E58" w:rsidP="00D50DDB">
      <w:pPr>
        <w:pStyle w:val="ListParagraph"/>
        <w:numPr>
          <w:ilvl w:val="0"/>
          <w:numId w:val="46"/>
        </w:numPr>
        <w:ind w:left="284" w:right="144" w:hanging="284"/>
        <w:jc w:val="both"/>
        <w:rPr>
          <w:spacing w:val="-4"/>
          <w:w w:val="105"/>
          <w:lang w:val="en-GB"/>
        </w:rPr>
      </w:pPr>
      <w:r>
        <w:rPr>
          <w:b/>
          <w:spacing w:val="-4"/>
          <w:w w:val="105"/>
          <w:lang w:val="en-GB"/>
        </w:rPr>
        <w:t>Development of seed production expertise</w:t>
      </w:r>
      <w:r w:rsidR="00A859F8">
        <w:rPr>
          <w:b/>
          <w:spacing w:val="-4"/>
          <w:w w:val="105"/>
          <w:lang w:val="en-GB"/>
        </w:rPr>
        <w:t xml:space="preserve"> –</w:t>
      </w:r>
      <w:r>
        <w:rPr>
          <w:spacing w:val="-4"/>
          <w:w w:val="105"/>
          <w:lang w:val="en-GB"/>
        </w:rPr>
        <w:t xml:space="preserve"> </w:t>
      </w:r>
      <w:r w:rsidR="00A859F8">
        <w:rPr>
          <w:spacing w:val="-4"/>
          <w:w w:val="105"/>
          <w:lang w:val="en-GB"/>
        </w:rPr>
        <w:t>i</w:t>
      </w:r>
      <w:r w:rsidR="00517C13" w:rsidRPr="003D1B5E">
        <w:rPr>
          <w:spacing w:val="-4"/>
          <w:w w:val="105"/>
          <w:lang w:val="en-GB"/>
        </w:rPr>
        <w:t>n</w:t>
      </w:r>
      <w:r w:rsidR="00A859F8">
        <w:rPr>
          <w:spacing w:val="-4"/>
          <w:w w:val="105"/>
          <w:lang w:val="en-GB"/>
        </w:rPr>
        <w:t xml:space="preserve"> </w:t>
      </w:r>
      <w:r w:rsidR="00517C13" w:rsidRPr="003D1B5E">
        <w:rPr>
          <w:spacing w:val="-4"/>
          <w:w w:val="105"/>
          <w:lang w:val="en-GB"/>
        </w:rPr>
        <w:t>later years more successful groups could be trained in seed grading, packing and storage to support their transition to professional seed producers at a scale that would contribute directly to food security in Timor-Leste.</w:t>
      </w:r>
      <w:r>
        <w:rPr>
          <w:spacing w:val="-4"/>
          <w:w w:val="105"/>
          <w:lang w:val="en-GB"/>
        </w:rPr>
        <w:t xml:space="preserve">  Groups could also </w:t>
      </w:r>
      <w:r w:rsidR="00F837D7">
        <w:rPr>
          <w:spacing w:val="-4"/>
          <w:w w:val="105"/>
          <w:lang w:val="en-GB"/>
        </w:rPr>
        <w:t xml:space="preserve">be </w:t>
      </w:r>
      <w:r>
        <w:rPr>
          <w:spacing w:val="-4"/>
          <w:w w:val="105"/>
          <w:lang w:val="en-GB"/>
        </w:rPr>
        <w:t>combined as Farmer Seed Marketing Groups who</w:t>
      </w:r>
      <w:r w:rsidR="008A5CED">
        <w:rPr>
          <w:spacing w:val="-4"/>
          <w:w w:val="105"/>
          <w:lang w:val="en-GB"/>
        </w:rPr>
        <w:t xml:space="preserve"> </w:t>
      </w:r>
      <w:r w:rsidR="008A5CED">
        <w:rPr>
          <w:spacing w:val="-4"/>
          <w:w w:val="105"/>
          <w:lang w:val="en-GB"/>
        </w:rPr>
        <w:lastRenderedPageBreak/>
        <w:t>could negotiate services from S</w:t>
      </w:r>
      <w:r>
        <w:rPr>
          <w:spacing w:val="-4"/>
          <w:w w:val="105"/>
          <w:lang w:val="en-GB"/>
        </w:rPr>
        <w:t>e</w:t>
      </w:r>
      <w:r w:rsidR="008A5CED">
        <w:rPr>
          <w:spacing w:val="-4"/>
          <w:w w:val="105"/>
          <w:lang w:val="en-GB"/>
        </w:rPr>
        <w:t>ed Processing C</w:t>
      </w:r>
      <w:r w:rsidR="00F837D7">
        <w:rPr>
          <w:spacing w:val="-4"/>
          <w:w w:val="105"/>
          <w:lang w:val="en-GB"/>
        </w:rPr>
        <w:t>entre</w:t>
      </w:r>
      <w:r>
        <w:rPr>
          <w:spacing w:val="-4"/>
          <w:w w:val="105"/>
          <w:lang w:val="en-GB"/>
        </w:rPr>
        <w:t>s developed under Component 2</w:t>
      </w:r>
      <w:r w:rsidR="00A859F8">
        <w:rPr>
          <w:spacing w:val="-4"/>
          <w:w w:val="105"/>
          <w:lang w:val="en-GB"/>
        </w:rPr>
        <w:t>.</w:t>
      </w:r>
    </w:p>
    <w:p w:rsidR="00FD5F41" w:rsidRPr="003D1B5E" w:rsidRDefault="00B47E58" w:rsidP="00D50DDB">
      <w:pPr>
        <w:pStyle w:val="ListParagraph"/>
        <w:numPr>
          <w:ilvl w:val="0"/>
          <w:numId w:val="46"/>
        </w:numPr>
        <w:ind w:left="284" w:right="144" w:hanging="284"/>
        <w:jc w:val="both"/>
        <w:rPr>
          <w:spacing w:val="-4"/>
          <w:w w:val="105"/>
          <w:lang w:val="en-GB"/>
        </w:rPr>
      </w:pPr>
      <w:r>
        <w:rPr>
          <w:b/>
          <w:spacing w:val="-4"/>
          <w:w w:val="105"/>
          <w:lang w:val="en-GB"/>
        </w:rPr>
        <w:t xml:space="preserve">Monitoring Group progress </w:t>
      </w:r>
      <w:r w:rsidR="00A859F8">
        <w:rPr>
          <w:b/>
          <w:spacing w:val="-4"/>
          <w:w w:val="105"/>
          <w:lang w:val="en-GB"/>
        </w:rPr>
        <w:t>–</w:t>
      </w:r>
      <w:r>
        <w:rPr>
          <w:b/>
          <w:spacing w:val="-4"/>
          <w:w w:val="105"/>
          <w:lang w:val="en-GB"/>
        </w:rPr>
        <w:t xml:space="preserve"> </w:t>
      </w:r>
      <w:r w:rsidR="00A859F8">
        <w:rPr>
          <w:b/>
          <w:spacing w:val="-4"/>
          <w:w w:val="105"/>
          <w:lang w:val="en-GB"/>
        </w:rPr>
        <w:t>s</w:t>
      </w:r>
      <w:r w:rsidR="00F44710" w:rsidRPr="00C165F3">
        <w:rPr>
          <w:spacing w:val="-4"/>
          <w:w w:val="105"/>
          <w:lang w:val="en-GB"/>
        </w:rPr>
        <w:t>taff</w:t>
      </w:r>
      <w:r w:rsidR="00A859F8">
        <w:rPr>
          <w:spacing w:val="-4"/>
          <w:w w:val="105"/>
          <w:lang w:val="en-GB"/>
        </w:rPr>
        <w:t xml:space="preserve"> </w:t>
      </w:r>
      <w:r w:rsidR="00F44710" w:rsidRPr="00C165F3">
        <w:rPr>
          <w:spacing w:val="-4"/>
          <w:w w:val="105"/>
          <w:lang w:val="en-GB"/>
        </w:rPr>
        <w:t>from Component 4</w:t>
      </w:r>
      <w:r>
        <w:rPr>
          <w:spacing w:val="-4"/>
          <w:w w:val="105"/>
          <w:lang w:val="en-GB"/>
        </w:rPr>
        <w:t xml:space="preserve"> could</w:t>
      </w:r>
      <w:r w:rsidR="00627AFF" w:rsidRPr="003D1B5E">
        <w:rPr>
          <w:spacing w:val="-4"/>
          <w:w w:val="105"/>
          <w:lang w:val="en-GB"/>
        </w:rPr>
        <w:t xml:space="preserve"> monitor seed production and quality</w:t>
      </w:r>
      <w:r>
        <w:rPr>
          <w:spacing w:val="-4"/>
          <w:w w:val="105"/>
          <w:lang w:val="en-GB"/>
        </w:rPr>
        <w:t xml:space="preserve"> of more active groups</w:t>
      </w:r>
      <w:r w:rsidR="00627AFF" w:rsidRPr="003D1B5E">
        <w:rPr>
          <w:spacing w:val="-4"/>
          <w:w w:val="105"/>
          <w:lang w:val="en-GB"/>
        </w:rPr>
        <w:t xml:space="preserve"> and use members of the most successful groups as mentors and communication resources for new or struggling groups as part of a peer learning network.  In addition, case studies could be used for longitudinal studies of groups to understand the different elements of success and challenges for rural development groups in Timor-Leste</w:t>
      </w:r>
      <w:r>
        <w:rPr>
          <w:spacing w:val="-4"/>
          <w:w w:val="105"/>
          <w:lang w:val="en-GB"/>
        </w:rPr>
        <w:t xml:space="preserve"> and to develop group typologies</w:t>
      </w:r>
      <w:r w:rsidR="00627AFF" w:rsidRPr="003D1B5E">
        <w:rPr>
          <w:spacing w:val="-4"/>
          <w:w w:val="105"/>
          <w:lang w:val="en-GB"/>
        </w:rPr>
        <w:t>.</w:t>
      </w:r>
      <w:r w:rsidR="00B26302" w:rsidRPr="003D1B5E">
        <w:rPr>
          <w:spacing w:val="-4"/>
          <w:w w:val="105"/>
          <w:lang w:val="en-GB"/>
        </w:rPr>
        <w:t xml:space="preserve">  The communications resources invested in Component 4 should primarily focus on ISPG and SEO audiences – helping them connect to markets and information sources as well as enabl</w:t>
      </w:r>
      <w:r w:rsidR="008A5CED">
        <w:rPr>
          <w:spacing w:val="-4"/>
          <w:w w:val="105"/>
          <w:lang w:val="en-GB"/>
        </w:rPr>
        <w:t>ing</w:t>
      </w:r>
      <w:r w:rsidR="00B26302" w:rsidRPr="003D1B5E">
        <w:rPr>
          <w:spacing w:val="-4"/>
          <w:w w:val="105"/>
          <w:lang w:val="en-GB"/>
        </w:rPr>
        <w:t xml:space="preserve"> them to take advantage of emerging mobile telephony, which is likely to drive transformational change in rural Timor-Leste during the life of SOL3 as the telephone market is liberalised</w:t>
      </w:r>
      <w:r w:rsidR="00B26302" w:rsidRPr="003D1B5E">
        <w:rPr>
          <w:rStyle w:val="FootnoteReference"/>
          <w:spacing w:val="-4"/>
          <w:w w:val="105"/>
          <w:lang w:val="en-GB"/>
        </w:rPr>
        <w:footnoteReference w:id="1"/>
      </w:r>
      <w:r w:rsidR="00B26302" w:rsidRPr="003D1B5E">
        <w:rPr>
          <w:spacing w:val="-4"/>
          <w:w w:val="105"/>
          <w:lang w:val="en-GB"/>
        </w:rPr>
        <w:t>.</w:t>
      </w:r>
    </w:p>
    <w:p w:rsidR="00FD5F41" w:rsidRPr="003D1B5E" w:rsidRDefault="008D0DB1" w:rsidP="00D50DDB">
      <w:pPr>
        <w:pStyle w:val="ListParagraph"/>
        <w:numPr>
          <w:ilvl w:val="0"/>
          <w:numId w:val="46"/>
        </w:numPr>
        <w:ind w:left="284" w:right="144" w:hanging="284"/>
        <w:jc w:val="both"/>
        <w:rPr>
          <w:spacing w:val="-4"/>
          <w:w w:val="105"/>
          <w:lang w:val="en-GB"/>
        </w:rPr>
      </w:pPr>
      <w:r>
        <w:rPr>
          <w:b/>
          <w:spacing w:val="-4"/>
          <w:w w:val="105"/>
          <w:lang w:val="en-GB"/>
        </w:rPr>
        <w:t>SOL3 Management (</w:t>
      </w:r>
      <w:r w:rsidR="00B26302" w:rsidRPr="003D1B5E">
        <w:rPr>
          <w:b/>
          <w:spacing w:val="-4"/>
          <w:w w:val="105"/>
          <w:lang w:val="en-GB"/>
        </w:rPr>
        <w:t>Component 5</w:t>
      </w:r>
      <w:r>
        <w:rPr>
          <w:b/>
          <w:spacing w:val="-4"/>
          <w:w w:val="105"/>
          <w:lang w:val="en-GB"/>
        </w:rPr>
        <w:t>)</w:t>
      </w:r>
      <w:r w:rsidR="00B26302" w:rsidRPr="003D1B5E">
        <w:rPr>
          <w:b/>
          <w:spacing w:val="-4"/>
          <w:w w:val="105"/>
          <w:lang w:val="en-GB"/>
        </w:rPr>
        <w:t xml:space="preserve"> complemented by AusAID </w:t>
      </w:r>
      <w:r>
        <w:rPr>
          <w:b/>
          <w:spacing w:val="-4"/>
          <w:w w:val="105"/>
          <w:lang w:val="en-GB"/>
        </w:rPr>
        <w:t xml:space="preserve">can foster </w:t>
      </w:r>
      <w:r w:rsidR="00B26302" w:rsidRPr="003D1B5E">
        <w:rPr>
          <w:b/>
          <w:spacing w:val="-4"/>
          <w:w w:val="105"/>
          <w:lang w:val="en-GB"/>
        </w:rPr>
        <w:t>donor harmonisation</w:t>
      </w:r>
      <w:r>
        <w:rPr>
          <w:b/>
          <w:spacing w:val="-4"/>
          <w:w w:val="105"/>
          <w:lang w:val="en-GB"/>
        </w:rPr>
        <w:t xml:space="preserve"> </w:t>
      </w:r>
      <w:r w:rsidR="00A859F8">
        <w:rPr>
          <w:b/>
          <w:spacing w:val="-4"/>
          <w:w w:val="105"/>
          <w:lang w:val="en-GB"/>
        </w:rPr>
        <w:t>-</w:t>
      </w:r>
      <w:r w:rsidR="003D1B5E">
        <w:rPr>
          <w:spacing w:val="-4"/>
          <w:w w:val="105"/>
          <w:lang w:val="en-GB"/>
        </w:rPr>
        <w:t xml:space="preserve"> </w:t>
      </w:r>
      <w:r>
        <w:rPr>
          <w:spacing w:val="-4"/>
          <w:w w:val="105"/>
          <w:lang w:val="en-GB"/>
        </w:rPr>
        <w:t>SOL3</w:t>
      </w:r>
      <w:r w:rsidR="00A859F8">
        <w:rPr>
          <w:spacing w:val="-4"/>
          <w:w w:val="105"/>
          <w:lang w:val="en-GB"/>
        </w:rPr>
        <w:t xml:space="preserve"> m</w:t>
      </w:r>
      <w:r>
        <w:rPr>
          <w:spacing w:val="-4"/>
          <w:w w:val="105"/>
          <w:lang w:val="en-GB"/>
        </w:rPr>
        <w:t>anagers</w:t>
      </w:r>
      <w:r w:rsidR="00B26302" w:rsidRPr="003D1B5E">
        <w:rPr>
          <w:spacing w:val="-4"/>
          <w:w w:val="105"/>
          <w:lang w:val="en-GB"/>
        </w:rPr>
        <w:t xml:space="preserve"> could</w:t>
      </w:r>
      <w:r w:rsidR="003D1B5E">
        <w:rPr>
          <w:spacing w:val="-4"/>
          <w:w w:val="105"/>
          <w:lang w:val="en-GB"/>
        </w:rPr>
        <w:t xml:space="preserve"> </w:t>
      </w:r>
      <w:r w:rsidR="00B26302" w:rsidRPr="003D1B5E">
        <w:rPr>
          <w:spacing w:val="-4"/>
          <w:w w:val="105"/>
          <w:lang w:val="en-GB"/>
        </w:rPr>
        <w:t xml:space="preserve">engage other donors </w:t>
      </w:r>
      <w:r w:rsidR="003D1B5E" w:rsidRPr="003D1B5E">
        <w:rPr>
          <w:spacing w:val="-4"/>
          <w:w w:val="105"/>
          <w:lang w:val="en-GB"/>
        </w:rPr>
        <w:t xml:space="preserve">working in rural areas to encourage them to use ISPGs for targeting benefit flows from </w:t>
      </w:r>
      <w:r w:rsidR="00FD5F41" w:rsidRPr="003D1B5E">
        <w:rPr>
          <w:spacing w:val="-4"/>
          <w:w w:val="105"/>
          <w:lang w:val="en-GB"/>
        </w:rPr>
        <w:t>other programs (</w:t>
      </w:r>
      <w:r w:rsidR="00FD5F41" w:rsidRPr="003D1B5E">
        <w:rPr>
          <w:i/>
          <w:spacing w:val="-4"/>
          <w:w w:val="105"/>
          <w:lang w:val="en-GB"/>
        </w:rPr>
        <w:t>e.g</w:t>
      </w:r>
      <w:r w:rsidR="00FD5F41" w:rsidRPr="003D1B5E">
        <w:rPr>
          <w:spacing w:val="-4"/>
          <w:w w:val="105"/>
          <w:lang w:val="en-GB"/>
        </w:rPr>
        <w:t xml:space="preserve">. IFAD Cereal Storage Program, </w:t>
      </w:r>
      <w:r w:rsidR="00C65D19" w:rsidRPr="00C65D19">
        <w:rPr>
          <w:rFonts w:eastAsia="Times New Roman"/>
          <w:spacing w:val="-4"/>
          <w:w w:val="105"/>
          <w:lang w:val="en-GB" w:eastAsia="en-AU"/>
        </w:rPr>
        <w:t>Government of Timor-Leste National Program for Suco Development (supported by AusAID)</w:t>
      </w:r>
      <w:r w:rsidR="00FD5F41" w:rsidRPr="003D1B5E">
        <w:rPr>
          <w:spacing w:val="-4"/>
          <w:w w:val="105"/>
          <w:lang w:val="en-GB"/>
        </w:rPr>
        <w:t>, JICA Irrigated Agriculture Program, AC</w:t>
      </w:r>
      <w:r w:rsidR="003D1B5E">
        <w:rPr>
          <w:spacing w:val="-4"/>
          <w:w w:val="105"/>
          <w:lang w:val="en-GB"/>
        </w:rPr>
        <w:t>IAR Livestock Systems Research)</w:t>
      </w:r>
      <w:r w:rsidR="00FD5F41" w:rsidRPr="003D1B5E">
        <w:rPr>
          <w:spacing w:val="-4"/>
          <w:w w:val="105"/>
          <w:lang w:val="en-GB"/>
        </w:rPr>
        <w:t>.</w:t>
      </w:r>
    </w:p>
    <w:p w:rsidR="003424EC" w:rsidRDefault="003424EC" w:rsidP="00E16AEB">
      <w:pPr>
        <w:ind w:right="144"/>
        <w:rPr>
          <w:spacing w:val="-4"/>
          <w:w w:val="105"/>
          <w:lang w:val="en-GB"/>
        </w:rPr>
      </w:pPr>
    </w:p>
    <w:p w:rsidR="00C1618A" w:rsidRDefault="00C1618A" w:rsidP="00E16AEB">
      <w:pPr>
        <w:ind w:right="144"/>
        <w:rPr>
          <w:spacing w:val="-4"/>
          <w:w w:val="105"/>
          <w:lang w:val="en-GB"/>
        </w:rPr>
      </w:pPr>
      <w:r>
        <w:rPr>
          <w:spacing w:val="-4"/>
          <w:w w:val="105"/>
          <w:lang w:val="en-GB"/>
        </w:rPr>
        <w:t>As a result,</w:t>
      </w:r>
      <w:r w:rsidRPr="00C1618A">
        <w:rPr>
          <w:spacing w:val="-4"/>
          <w:w w:val="105"/>
          <w:lang w:val="en-GB"/>
        </w:rPr>
        <w:t xml:space="preserve"> the TAG </w:t>
      </w:r>
      <w:r w:rsidR="00F44710" w:rsidRPr="00C165F3">
        <w:rPr>
          <w:b/>
          <w:spacing w:val="-4"/>
          <w:w w:val="105"/>
          <w:lang w:val="en-GB"/>
        </w:rPr>
        <w:t>recommends</w:t>
      </w:r>
      <w:r w:rsidRPr="00C1618A">
        <w:rPr>
          <w:spacing w:val="-4"/>
          <w:w w:val="105"/>
          <w:lang w:val="en-GB"/>
        </w:rPr>
        <w:t xml:space="preserve"> that the Team Leader work with the Adviser of Informal Seed Production and the MAF Director of Extension to engage with other rural development programs in Timor-Leste that could make use of the social capital being developed by SOL3 in ISPGs.  This could include groups benefiting from activities under programs such as RDP4, </w:t>
      </w:r>
      <w:r w:rsidR="00C65D19" w:rsidRPr="00C65D19">
        <w:rPr>
          <w:spacing w:val="-4"/>
          <w:w w:val="105"/>
          <w:lang w:val="en-GB"/>
        </w:rPr>
        <w:t xml:space="preserve">National Program for </w:t>
      </w:r>
      <w:proofErr w:type="spellStart"/>
      <w:r w:rsidR="00C65D19" w:rsidRPr="00C65D19">
        <w:rPr>
          <w:spacing w:val="-4"/>
          <w:w w:val="105"/>
          <w:lang w:val="en-GB"/>
        </w:rPr>
        <w:t>Suco</w:t>
      </w:r>
      <w:proofErr w:type="spellEnd"/>
      <w:r w:rsidR="00C65D19" w:rsidRPr="00C65D19">
        <w:rPr>
          <w:spacing w:val="-4"/>
          <w:w w:val="105"/>
          <w:lang w:val="en-GB"/>
        </w:rPr>
        <w:t xml:space="preserve"> Development</w:t>
      </w:r>
      <w:r w:rsidRPr="00C1618A">
        <w:rPr>
          <w:spacing w:val="-4"/>
          <w:w w:val="105"/>
          <w:lang w:val="en-GB"/>
        </w:rPr>
        <w:t>, IFAD Cereal Drum Program, ILO infrastructure programs and health outreach programs.</w:t>
      </w:r>
      <w:r w:rsidR="008D0DB1">
        <w:rPr>
          <w:spacing w:val="-4"/>
          <w:w w:val="105"/>
          <w:lang w:val="en-GB"/>
        </w:rPr>
        <w:t xml:space="preserve">  In time, as the private sector develops a more comprehensive network of input suppliers, groups and FSMGs could negotiate for cheaper rates on key </w:t>
      </w:r>
      <w:r w:rsidR="00C165F3">
        <w:rPr>
          <w:spacing w:val="-4"/>
          <w:w w:val="105"/>
          <w:lang w:val="en-GB"/>
        </w:rPr>
        <w:t>inputs such as fertilis</w:t>
      </w:r>
      <w:r w:rsidR="008D0DB1">
        <w:rPr>
          <w:spacing w:val="-4"/>
          <w:w w:val="105"/>
          <w:lang w:val="en-GB"/>
        </w:rPr>
        <w:t>er, herbicide and seed treatment.</w:t>
      </w:r>
    </w:p>
    <w:p w:rsidR="00C1618A" w:rsidRDefault="00C1618A" w:rsidP="00E16AEB">
      <w:pPr>
        <w:ind w:right="144"/>
        <w:rPr>
          <w:spacing w:val="-4"/>
          <w:w w:val="105"/>
          <w:lang w:val="en-GB"/>
        </w:rPr>
      </w:pPr>
    </w:p>
    <w:p w:rsidR="003424EC" w:rsidRDefault="00C165F3" w:rsidP="00E16AEB">
      <w:pPr>
        <w:ind w:right="144"/>
        <w:rPr>
          <w:lang w:val="en-GB"/>
        </w:rPr>
      </w:pPr>
      <w:r>
        <w:rPr>
          <w:spacing w:val="-4"/>
          <w:w w:val="105"/>
          <w:lang w:val="en-GB"/>
        </w:rPr>
        <w:t>The TAG recognis</w:t>
      </w:r>
      <w:r w:rsidR="008D0DB1">
        <w:rPr>
          <w:spacing w:val="-4"/>
          <w:w w:val="105"/>
          <w:lang w:val="en-GB"/>
        </w:rPr>
        <w:t>es that ISPGs and other initiatives from projects such as R</w:t>
      </w:r>
      <w:r w:rsidR="00A859F8">
        <w:rPr>
          <w:spacing w:val="-4"/>
          <w:w w:val="105"/>
          <w:lang w:val="en-GB"/>
        </w:rPr>
        <w:t>D</w:t>
      </w:r>
      <w:r w:rsidR="008D0DB1">
        <w:rPr>
          <w:spacing w:val="-4"/>
          <w:w w:val="105"/>
          <w:lang w:val="en-GB"/>
        </w:rPr>
        <w:t>P</w:t>
      </w:r>
      <w:r w:rsidR="00A859F8">
        <w:rPr>
          <w:spacing w:val="-4"/>
          <w:w w:val="105"/>
          <w:lang w:val="en-GB"/>
        </w:rPr>
        <w:t>4</w:t>
      </w:r>
      <w:r w:rsidR="008D0DB1">
        <w:rPr>
          <w:spacing w:val="-4"/>
          <w:w w:val="105"/>
          <w:lang w:val="en-GB"/>
        </w:rPr>
        <w:t xml:space="preserve"> and IFAD will place a greater workload on SEOs.</w:t>
      </w:r>
      <w:r w:rsidR="003D7134">
        <w:rPr>
          <w:spacing w:val="-4"/>
          <w:w w:val="105"/>
          <w:lang w:val="en-GB"/>
        </w:rPr>
        <w:t xml:space="preserve">  Increased numbers of ISPGs per </w:t>
      </w:r>
      <w:r w:rsidR="00F44710" w:rsidRPr="00C165F3">
        <w:rPr>
          <w:i/>
          <w:spacing w:val="-4"/>
          <w:w w:val="105"/>
          <w:lang w:val="en-GB"/>
        </w:rPr>
        <w:t>suco</w:t>
      </w:r>
      <w:r w:rsidR="003D7134">
        <w:rPr>
          <w:spacing w:val="-4"/>
          <w:w w:val="105"/>
          <w:lang w:val="en-GB"/>
        </w:rPr>
        <w:t xml:space="preserve"> (from four to six) planned for 2012/13 will also increase the SEO workload. </w:t>
      </w:r>
      <w:r w:rsidR="008D0DB1">
        <w:rPr>
          <w:spacing w:val="-4"/>
          <w:w w:val="105"/>
          <w:lang w:val="en-GB"/>
        </w:rPr>
        <w:t xml:space="preserve"> However, SEOs, living close to the grass roots of the farming community, remain a critically important agent for change.  T</w:t>
      </w:r>
      <w:r w:rsidR="00D50DDB" w:rsidRPr="00D50DDB">
        <w:rPr>
          <w:spacing w:val="-4"/>
          <w:w w:val="105"/>
          <w:lang w:val="en-GB"/>
        </w:rPr>
        <w:t xml:space="preserve">he TAG </w:t>
      </w:r>
      <w:r w:rsidR="008D0DB1">
        <w:rPr>
          <w:spacing w:val="-4"/>
          <w:w w:val="105"/>
          <w:lang w:val="en-GB"/>
        </w:rPr>
        <w:t xml:space="preserve">therefore </w:t>
      </w:r>
      <w:r w:rsidR="00F44710" w:rsidRPr="00C165F3">
        <w:rPr>
          <w:b/>
          <w:spacing w:val="-4"/>
          <w:w w:val="105"/>
          <w:lang w:val="en-GB"/>
        </w:rPr>
        <w:t>recommends</w:t>
      </w:r>
      <w:r w:rsidR="00D50DDB" w:rsidRPr="00D50DDB">
        <w:rPr>
          <w:spacing w:val="-4"/>
          <w:w w:val="105"/>
          <w:lang w:val="en-GB"/>
        </w:rPr>
        <w:t xml:space="preserve"> that </w:t>
      </w:r>
      <w:r w:rsidR="00D50DDB" w:rsidRPr="00D50DDB">
        <w:rPr>
          <w:lang w:val="en-GB"/>
        </w:rPr>
        <w:t>SEOs responsible for IPSGs in priority areas be assisted with transportation and training where needed, and that their involvement with other donor-assisted activities and their workload be coordinated with MAF and the donor concerned as part of the AusAID contribution to harmonisation in the rural development sector.</w:t>
      </w:r>
    </w:p>
    <w:p w:rsidR="008D0DB1" w:rsidRDefault="008D0DB1" w:rsidP="00E16AEB">
      <w:pPr>
        <w:ind w:right="144"/>
        <w:rPr>
          <w:lang w:val="en-GB"/>
        </w:rPr>
      </w:pPr>
    </w:p>
    <w:p w:rsidR="008D0DB1" w:rsidRDefault="00A859F8" w:rsidP="00B82E7A">
      <w:pPr>
        <w:ind w:right="144"/>
        <w:rPr>
          <w:lang w:val="en-GB"/>
        </w:rPr>
      </w:pPr>
      <w:r>
        <w:rPr>
          <w:lang w:val="en-GB"/>
        </w:rPr>
        <w:t>E</w:t>
      </w:r>
      <w:r w:rsidR="008D0DB1">
        <w:rPr>
          <w:lang w:val="en-GB"/>
        </w:rPr>
        <w:t>fficient</w:t>
      </w:r>
      <w:r>
        <w:rPr>
          <w:lang w:val="en-GB"/>
        </w:rPr>
        <w:t>,</w:t>
      </w:r>
      <w:r w:rsidR="006457A7">
        <w:rPr>
          <w:lang w:val="en-GB"/>
        </w:rPr>
        <w:t xml:space="preserve"> effective</w:t>
      </w:r>
      <w:r w:rsidR="008D0DB1">
        <w:rPr>
          <w:lang w:val="en-GB"/>
        </w:rPr>
        <w:t xml:space="preserve"> </w:t>
      </w:r>
      <w:r>
        <w:rPr>
          <w:lang w:val="en-GB"/>
        </w:rPr>
        <w:t xml:space="preserve">and sustainable </w:t>
      </w:r>
      <w:r w:rsidR="008D0DB1">
        <w:rPr>
          <w:lang w:val="en-GB"/>
        </w:rPr>
        <w:t>functioning of ISPGs</w:t>
      </w:r>
      <w:r w:rsidR="006457A7">
        <w:rPr>
          <w:lang w:val="en-GB"/>
        </w:rPr>
        <w:t xml:space="preserve"> </w:t>
      </w:r>
      <w:r w:rsidR="00501599">
        <w:rPr>
          <w:lang w:val="en-GB"/>
        </w:rPr>
        <w:t>will also be aided by:</w:t>
      </w:r>
    </w:p>
    <w:p w:rsidR="00D97B61" w:rsidRDefault="00F837D7" w:rsidP="00B82E7A">
      <w:pPr>
        <w:pStyle w:val="ListParagraph"/>
        <w:numPr>
          <w:ilvl w:val="0"/>
          <w:numId w:val="51"/>
        </w:numPr>
        <w:ind w:left="284" w:right="144" w:hanging="284"/>
        <w:jc w:val="both"/>
        <w:rPr>
          <w:lang w:val="en-GB"/>
        </w:rPr>
      </w:pPr>
      <w:r>
        <w:rPr>
          <w:b/>
          <w:lang w:val="en-GB"/>
        </w:rPr>
        <w:t xml:space="preserve">The monitoring of </w:t>
      </w:r>
      <w:r w:rsidR="00F44710" w:rsidRPr="00C165F3">
        <w:rPr>
          <w:b/>
          <w:lang w:val="en-GB"/>
        </w:rPr>
        <w:t>Quality Declared Seed</w:t>
      </w:r>
      <w:r w:rsidR="00E43B22">
        <w:rPr>
          <w:lang w:val="en-GB"/>
        </w:rPr>
        <w:t xml:space="preserve"> </w:t>
      </w:r>
      <w:r w:rsidR="00A859F8">
        <w:rPr>
          <w:lang w:val="en-GB"/>
        </w:rPr>
        <w:t>–</w:t>
      </w:r>
      <w:r w:rsidR="00E43B22">
        <w:rPr>
          <w:lang w:val="en-GB"/>
        </w:rPr>
        <w:t xml:space="preserve"> the</w:t>
      </w:r>
      <w:r w:rsidR="00A859F8">
        <w:rPr>
          <w:lang w:val="en-GB"/>
        </w:rPr>
        <w:t xml:space="preserve"> </w:t>
      </w:r>
      <w:r w:rsidR="00E43B22">
        <w:rPr>
          <w:lang w:val="en-GB"/>
        </w:rPr>
        <w:t>strength of the ISPGs depends ultimately on their capacity to grow and distribute high quality seed, and for the most part will be self-declared and monitored by group members who have been trained by Component 3 staff.  It will be important that a small seed sample is purchased from each group every second year and checked for purity and germination by Component 2 staff.  The TAG suggest</w:t>
      </w:r>
      <w:r w:rsidR="00AE4F0D">
        <w:rPr>
          <w:lang w:val="en-GB"/>
        </w:rPr>
        <w:t>s</w:t>
      </w:r>
      <w:r w:rsidR="00E43B22">
        <w:rPr>
          <w:lang w:val="en-GB"/>
        </w:rPr>
        <w:t xml:space="preserve"> that 10-15 of these samples chosen at random be grown out alongside pure sources of the variety each year to monitor the range of genetic drift that will likely occur in the ISPGs</w:t>
      </w:r>
      <w:r>
        <w:rPr>
          <w:lang w:val="en-GB"/>
        </w:rPr>
        <w:t>.  This will be most important for out-crossing crops such as maize, especially if the recessive trait underlying Quality Protein Maize is introduced.</w:t>
      </w:r>
      <w:r w:rsidR="00C65D19" w:rsidRPr="00C65D19">
        <w:rPr>
          <w:rFonts w:eastAsia="Times New Roman"/>
          <w:lang w:val="en-GB" w:eastAsia="en-AU"/>
        </w:rPr>
        <w:t xml:space="preserve"> </w:t>
      </w:r>
      <w:r w:rsidR="00C65D19">
        <w:rPr>
          <w:rFonts w:eastAsia="Times New Roman"/>
          <w:lang w:val="en-GB" w:eastAsia="en-AU"/>
        </w:rPr>
        <w:t xml:space="preserve"> </w:t>
      </w:r>
      <w:r w:rsidR="00C65D19" w:rsidRPr="00C65D19">
        <w:rPr>
          <w:rFonts w:eastAsia="Times New Roman"/>
          <w:lang w:val="en-GB" w:eastAsia="en-AU"/>
        </w:rPr>
        <w:t>Grow outs of this type would normally be carried out by C1 staff on experiment stations as part of their responsibility for ensuring that the purity of released varieties is maintained.</w:t>
      </w:r>
    </w:p>
    <w:p w:rsidR="00E16AEB" w:rsidRPr="00E16AEB" w:rsidRDefault="00436E21" w:rsidP="00E16AEB">
      <w:pPr>
        <w:pStyle w:val="ListParagraph"/>
        <w:numPr>
          <w:ilvl w:val="0"/>
          <w:numId w:val="51"/>
        </w:numPr>
        <w:ind w:left="284" w:right="144" w:hanging="284"/>
        <w:jc w:val="both"/>
        <w:rPr>
          <w:lang w:val="en-GB"/>
        </w:rPr>
      </w:pPr>
      <w:r w:rsidRPr="00E16AEB">
        <w:rPr>
          <w:b/>
          <w:lang w:val="en-GB"/>
        </w:rPr>
        <w:lastRenderedPageBreak/>
        <w:t>Continued emphasis on good record keeping</w:t>
      </w:r>
      <w:r w:rsidRPr="00E16AEB">
        <w:rPr>
          <w:lang w:val="en-GB"/>
        </w:rPr>
        <w:t xml:space="preserve"> </w:t>
      </w:r>
      <w:r w:rsidR="00A859F8" w:rsidRPr="00E16AEB">
        <w:rPr>
          <w:lang w:val="en-GB"/>
        </w:rPr>
        <w:t>–</w:t>
      </w:r>
      <w:r w:rsidRPr="00E16AEB">
        <w:rPr>
          <w:lang w:val="en-GB"/>
        </w:rPr>
        <w:t xml:space="preserve"> </w:t>
      </w:r>
      <w:r w:rsidR="00A859F8" w:rsidRPr="00E16AEB">
        <w:rPr>
          <w:lang w:val="en-GB"/>
        </w:rPr>
        <w:t>t</w:t>
      </w:r>
      <w:r w:rsidRPr="00E16AEB">
        <w:rPr>
          <w:lang w:val="en-GB"/>
        </w:rPr>
        <w:t>he</w:t>
      </w:r>
      <w:r w:rsidR="00A859F8" w:rsidRPr="00E16AEB">
        <w:rPr>
          <w:lang w:val="en-GB"/>
        </w:rPr>
        <w:t xml:space="preserve"> </w:t>
      </w:r>
      <w:r w:rsidRPr="00E16AEB">
        <w:rPr>
          <w:lang w:val="en-GB"/>
        </w:rPr>
        <w:t>TAG endorses and encourages the keeping of an ISPG book that provides a definitive record of all group transactions.  Such a record provides a history for the group and tends to discourage corruption and behaviours that run counter to overall group welfare.</w:t>
      </w:r>
    </w:p>
    <w:p w:rsidR="006457A7" w:rsidRDefault="00F44710" w:rsidP="00B82E7A">
      <w:pPr>
        <w:pStyle w:val="ListParagraph"/>
        <w:numPr>
          <w:ilvl w:val="0"/>
          <w:numId w:val="51"/>
        </w:numPr>
        <w:ind w:left="284" w:right="144" w:hanging="284"/>
        <w:jc w:val="both"/>
        <w:rPr>
          <w:lang w:val="en-GB"/>
        </w:rPr>
      </w:pPr>
      <w:r w:rsidRPr="00C165F3">
        <w:rPr>
          <w:b/>
          <w:lang w:val="en-GB"/>
        </w:rPr>
        <w:t>Branding</w:t>
      </w:r>
      <w:r w:rsidR="00D32B53">
        <w:rPr>
          <w:lang w:val="en-GB"/>
        </w:rPr>
        <w:t xml:space="preserve"> </w:t>
      </w:r>
      <w:r w:rsidR="00A859F8">
        <w:rPr>
          <w:lang w:val="en-GB"/>
        </w:rPr>
        <w:t>–</w:t>
      </w:r>
      <w:r w:rsidR="00D32B53">
        <w:rPr>
          <w:lang w:val="en-GB"/>
        </w:rPr>
        <w:t xml:space="preserve"> </w:t>
      </w:r>
      <w:r w:rsidR="00A859F8">
        <w:rPr>
          <w:lang w:val="en-GB"/>
        </w:rPr>
        <w:t xml:space="preserve">a </w:t>
      </w:r>
      <w:r w:rsidR="00D32B53">
        <w:rPr>
          <w:lang w:val="en-GB"/>
        </w:rPr>
        <w:t>small proportion of ISPGs will develop into independent seed producers, and they should be encouraged to market under their own brand, while still identifying the common name of the variety concerned</w:t>
      </w:r>
      <w:r w:rsidR="00AE4F0D">
        <w:rPr>
          <w:lang w:val="en-GB"/>
        </w:rPr>
        <w:t xml:space="preserve"> (</w:t>
      </w:r>
      <w:r w:rsidR="00AE4F0D" w:rsidRPr="00C165F3">
        <w:rPr>
          <w:i/>
          <w:lang w:val="en-GB"/>
        </w:rPr>
        <w:t>e.g</w:t>
      </w:r>
      <w:r w:rsidR="00AE4F0D">
        <w:rPr>
          <w:lang w:val="en-GB"/>
        </w:rPr>
        <w:t>. ‘Lahomea Sele’).</w:t>
      </w:r>
      <w:r w:rsidR="00080DEE" w:rsidRPr="00080DEE">
        <w:rPr>
          <w:rFonts w:eastAsia="Times New Roman"/>
          <w:lang w:val="en-GB" w:eastAsia="en-AU"/>
        </w:rPr>
        <w:t xml:space="preserve"> The value of the brand at this stage is simply to help develop a sense of responsibility for generating high quality seed, shown by a high proportion of </w:t>
      </w:r>
      <w:r w:rsidR="00461EDA">
        <w:rPr>
          <w:rFonts w:eastAsia="Times New Roman"/>
          <w:lang w:val="en-GB" w:eastAsia="en-AU"/>
        </w:rPr>
        <w:t>customers</w:t>
      </w:r>
      <w:r w:rsidR="00080DEE" w:rsidRPr="00080DEE">
        <w:rPr>
          <w:rFonts w:eastAsia="Times New Roman"/>
          <w:lang w:val="en-GB" w:eastAsia="en-AU"/>
        </w:rPr>
        <w:t xml:space="preserve"> who return the next season to purchase from that seed source.</w:t>
      </w:r>
    </w:p>
    <w:p w:rsidR="00D97B61" w:rsidRPr="00C165F3" w:rsidRDefault="00F44710" w:rsidP="00B82E7A">
      <w:pPr>
        <w:pStyle w:val="ListParagraph"/>
        <w:numPr>
          <w:ilvl w:val="0"/>
          <w:numId w:val="51"/>
        </w:numPr>
        <w:ind w:left="284" w:right="144" w:hanging="284"/>
        <w:jc w:val="both"/>
        <w:rPr>
          <w:lang w:val="en-GB"/>
        </w:rPr>
      </w:pPr>
      <w:r w:rsidRPr="00C165F3">
        <w:rPr>
          <w:b/>
          <w:lang w:val="en-GB"/>
        </w:rPr>
        <w:t>Seed Fairs and package size</w:t>
      </w:r>
      <w:r w:rsidR="00E43B22">
        <w:rPr>
          <w:lang w:val="en-GB"/>
        </w:rPr>
        <w:t xml:space="preserve"> </w:t>
      </w:r>
      <w:r w:rsidR="00A859F8">
        <w:rPr>
          <w:lang w:val="en-GB"/>
        </w:rPr>
        <w:t>–</w:t>
      </w:r>
      <w:r w:rsidR="00A859F8" w:rsidRPr="00A859F8">
        <w:rPr>
          <w:lang w:val="en-GB"/>
        </w:rPr>
        <w:t xml:space="preserve"> t</w:t>
      </w:r>
      <w:r w:rsidR="00E43B22">
        <w:rPr>
          <w:lang w:val="en-GB"/>
        </w:rPr>
        <w:t>he</w:t>
      </w:r>
      <w:r w:rsidR="00A859F8">
        <w:rPr>
          <w:lang w:val="en-GB"/>
        </w:rPr>
        <w:t xml:space="preserve"> </w:t>
      </w:r>
      <w:r w:rsidR="00E43B22">
        <w:rPr>
          <w:lang w:val="en-GB"/>
        </w:rPr>
        <w:t xml:space="preserve">TAG notes that </w:t>
      </w:r>
      <w:r w:rsidR="00E43B22">
        <w:rPr>
          <w:rFonts w:cs="XEMIER+BentonGothic-Regular"/>
          <w:color w:val="000000"/>
          <w:szCs w:val="20"/>
        </w:rPr>
        <w:t xml:space="preserve">one seed fair in each of the initial Districts (7) will </w:t>
      </w:r>
      <w:r w:rsidR="00D33D26">
        <w:rPr>
          <w:rFonts w:cs="XEMIER+BentonGothic-Regular"/>
          <w:color w:val="000000"/>
          <w:szCs w:val="20"/>
        </w:rPr>
        <w:t xml:space="preserve">be </w:t>
      </w:r>
      <w:r w:rsidR="00E43B22">
        <w:rPr>
          <w:rFonts w:cs="XEMIER+BentonGothic-Regular"/>
          <w:color w:val="000000"/>
          <w:szCs w:val="20"/>
        </w:rPr>
        <w:t>held during 2012, and encourage</w:t>
      </w:r>
      <w:r w:rsidR="00D32B53">
        <w:rPr>
          <w:rFonts w:cs="XEMIER+BentonGothic-Regular"/>
          <w:color w:val="000000"/>
          <w:szCs w:val="20"/>
        </w:rPr>
        <w:t>s</w:t>
      </w:r>
      <w:r w:rsidR="00E43B22">
        <w:rPr>
          <w:rFonts w:cs="XEMIER+BentonGothic-Regular"/>
          <w:color w:val="000000"/>
          <w:szCs w:val="20"/>
        </w:rPr>
        <w:t xml:space="preserve"> this initi</w:t>
      </w:r>
      <w:r w:rsidR="00D32B53">
        <w:rPr>
          <w:rFonts w:cs="XEMIER+BentonGothic-Regular"/>
          <w:color w:val="000000"/>
          <w:szCs w:val="20"/>
        </w:rPr>
        <w:t xml:space="preserve">ative to distribute seed </w:t>
      </w:r>
      <w:r w:rsidR="00E43B22">
        <w:rPr>
          <w:rFonts w:cs="XEMIER+BentonGothic-Regular"/>
          <w:color w:val="000000"/>
          <w:szCs w:val="20"/>
        </w:rPr>
        <w:t>to disadvantaged farm families who othe</w:t>
      </w:r>
      <w:r w:rsidR="00D32B53">
        <w:rPr>
          <w:rFonts w:cs="XEMIER+BentonGothic-Regular"/>
          <w:color w:val="000000"/>
          <w:szCs w:val="20"/>
        </w:rPr>
        <w:t>rwi</w:t>
      </w:r>
      <w:r w:rsidR="00E43B22">
        <w:rPr>
          <w:rFonts w:cs="XEMIER+BentonGothic-Regular"/>
          <w:color w:val="000000"/>
          <w:szCs w:val="20"/>
        </w:rPr>
        <w:t>se might not be able to afford improved seed.  The TAG suggests that SOL3 s</w:t>
      </w:r>
      <w:r w:rsidR="00D32B53">
        <w:rPr>
          <w:rFonts w:cs="XEMIER+BentonGothic-Regular"/>
          <w:color w:val="000000"/>
          <w:szCs w:val="20"/>
        </w:rPr>
        <w:t xml:space="preserve">taff from Components 2 and 3 </w:t>
      </w:r>
      <w:proofErr w:type="gramStart"/>
      <w:r w:rsidR="00D32B53">
        <w:rPr>
          <w:rFonts w:cs="XEMIER+BentonGothic-Regular"/>
          <w:color w:val="000000"/>
          <w:szCs w:val="20"/>
        </w:rPr>
        <w:t>exper</w:t>
      </w:r>
      <w:r w:rsidR="00E43B22">
        <w:rPr>
          <w:rFonts w:cs="XEMIER+BentonGothic-Regular"/>
          <w:color w:val="000000"/>
          <w:szCs w:val="20"/>
        </w:rPr>
        <w:t>iment</w:t>
      </w:r>
      <w:proofErr w:type="gramEnd"/>
      <w:r w:rsidR="00E43B22">
        <w:rPr>
          <w:rFonts w:cs="XEMIER+BentonGothic-Regular"/>
          <w:color w:val="000000"/>
          <w:szCs w:val="20"/>
        </w:rPr>
        <w:t xml:space="preserve"> with seed package size</w:t>
      </w:r>
      <w:r w:rsidR="00D32B53">
        <w:rPr>
          <w:rFonts w:cs="XEMIER+BentonGothic-Regular"/>
          <w:color w:val="000000"/>
          <w:szCs w:val="20"/>
        </w:rPr>
        <w:t xml:space="preserve">, on the assumption that many well-identified smaller packages of seed give a large number of farmers an opportunity to </w:t>
      </w:r>
      <w:r w:rsidR="008A5CED">
        <w:rPr>
          <w:rFonts w:cs="XEMIER+BentonGothic-Regular"/>
          <w:color w:val="000000"/>
          <w:szCs w:val="20"/>
        </w:rPr>
        <w:t>try out</w:t>
      </w:r>
      <w:r w:rsidR="00D32B53">
        <w:rPr>
          <w:rFonts w:cs="XEMIER+BentonGothic-Regular"/>
          <w:color w:val="000000"/>
          <w:szCs w:val="20"/>
        </w:rPr>
        <w:t xml:space="preserve"> new varieties in a manner that does not expose them to the risk associated with a complete change of their customary variety.  This strategy has worked well with grain legumes in East Africa, wh</w:t>
      </w:r>
      <w:r w:rsidR="00D33D26">
        <w:rPr>
          <w:rFonts w:cs="XEMIER+BentonGothic-Regular"/>
          <w:color w:val="000000"/>
          <w:szCs w:val="20"/>
        </w:rPr>
        <w:t>ere women can b</w:t>
      </w:r>
      <w:r w:rsidR="008A5CED">
        <w:rPr>
          <w:rFonts w:cs="XEMIER+BentonGothic-Regular"/>
          <w:color w:val="000000"/>
          <w:szCs w:val="20"/>
        </w:rPr>
        <w:t>u</w:t>
      </w:r>
      <w:r w:rsidR="00D33D26">
        <w:rPr>
          <w:rFonts w:cs="XEMIER+BentonGothic-Regular"/>
          <w:color w:val="000000"/>
          <w:szCs w:val="20"/>
        </w:rPr>
        <w:t>y small (100-250</w:t>
      </w:r>
      <w:r w:rsidR="00D32B53">
        <w:rPr>
          <w:rFonts w:cs="XEMIER+BentonGothic-Regular"/>
          <w:color w:val="000000"/>
          <w:szCs w:val="20"/>
        </w:rPr>
        <w:t>g) packages in the market and experiment with them at little cost or risk.</w:t>
      </w:r>
    </w:p>
    <w:p w:rsidR="00D97B61" w:rsidRDefault="00F44710" w:rsidP="00B82E7A">
      <w:pPr>
        <w:pStyle w:val="ListParagraph"/>
        <w:numPr>
          <w:ilvl w:val="0"/>
          <w:numId w:val="51"/>
        </w:numPr>
        <w:ind w:left="284" w:right="144" w:hanging="284"/>
        <w:jc w:val="both"/>
        <w:rPr>
          <w:lang w:val="en-GB"/>
        </w:rPr>
      </w:pPr>
      <w:r w:rsidRPr="00C165F3">
        <w:rPr>
          <w:b/>
          <w:lang w:val="en-GB"/>
        </w:rPr>
        <w:t>Contact with other informal seed systems</w:t>
      </w:r>
      <w:r w:rsidR="00436E21">
        <w:rPr>
          <w:lang w:val="en-GB"/>
        </w:rPr>
        <w:t xml:space="preserve"> </w:t>
      </w:r>
      <w:r w:rsidR="00D33D26">
        <w:rPr>
          <w:lang w:val="en-GB"/>
        </w:rPr>
        <w:t>–</w:t>
      </w:r>
      <w:r w:rsidR="00436E21">
        <w:rPr>
          <w:lang w:val="en-GB"/>
        </w:rPr>
        <w:t xml:space="preserve"> </w:t>
      </w:r>
      <w:r w:rsidR="00D33D26">
        <w:rPr>
          <w:lang w:val="en-GB"/>
        </w:rPr>
        <w:t>t</w:t>
      </w:r>
      <w:r w:rsidR="00436E21">
        <w:rPr>
          <w:lang w:val="en-GB"/>
        </w:rPr>
        <w:t>he</w:t>
      </w:r>
      <w:r w:rsidR="00D33D26">
        <w:rPr>
          <w:lang w:val="en-GB"/>
        </w:rPr>
        <w:t xml:space="preserve"> </w:t>
      </w:r>
      <w:r w:rsidR="00436E21">
        <w:rPr>
          <w:lang w:val="en-GB"/>
        </w:rPr>
        <w:t>TAG enthusiastically endorse</w:t>
      </w:r>
      <w:r w:rsidR="008A5CED">
        <w:rPr>
          <w:lang w:val="en-GB"/>
        </w:rPr>
        <w:t>s</w:t>
      </w:r>
      <w:r w:rsidR="00436E21">
        <w:rPr>
          <w:lang w:val="en-GB"/>
        </w:rPr>
        <w:t xml:space="preserve"> the linkages established between MAF and the informal seed sector in Nepal and suggest that these be continued.  Informal seed systems in Mozambique might also offer additional ideas that could be used to improve the current system of ISPGs in Timor-Leste, especially if some are evolving towards small-scale private seed companies.</w:t>
      </w:r>
      <w:r w:rsidR="00080DEE" w:rsidRPr="00080DEE">
        <w:rPr>
          <w:rFonts w:eastAsia="Times New Roman"/>
          <w:lang w:val="en-GB" w:eastAsia="en-AU"/>
        </w:rPr>
        <w:t xml:space="preserve"> </w:t>
      </w:r>
      <w:r w:rsidR="00080DEE">
        <w:rPr>
          <w:rFonts w:eastAsia="Times New Roman"/>
          <w:lang w:val="en-GB" w:eastAsia="en-AU"/>
        </w:rPr>
        <w:t xml:space="preserve"> </w:t>
      </w:r>
      <w:r w:rsidR="00080DEE" w:rsidRPr="00080DEE">
        <w:rPr>
          <w:rFonts w:eastAsia="Times New Roman"/>
          <w:lang w:val="en-GB" w:eastAsia="en-AU"/>
        </w:rPr>
        <w:t>In addition the two countries share similar environments and are at a similar stage of development.  Links to the informal seed sector of Indonesia would also be of direct benefit, and may open up some cross-border seed trade opportunities.</w:t>
      </w:r>
    </w:p>
    <w:p w:rsidR="00D97B61" w:rsidRDefault="00113DDE" w:rsidP="00B82E7A">
      <w:pPr>
        <w:pStyle w:val="ListParagraph"/>
        <w:numPr>
          <w:ilvl w:val="0"/>
          <w:numId w:val="51"/>
        </w:numPr>
        <w:ind w:left="284" w:right="144" w:hanging="284"/>
        <w:jc w:val="both"/>
        <w:rPr>
          <w:lang w:val="en-GB"/>
        </w:rPr>
      </w:pPr>
      <w:r>
        <w:rPr>
          <w:b/>
          <w:lang w:val="en-GB"/>
        </w:rPr>
        <w:t>Foundati</w:t>
      </w:r>
      <w:r w:rsidR="00436E21">
        <w:rPr>
          <w:b/>
          <w:lang w:val="en-GB"/>
        </w:rPr>
        <w:t>on seed needs</w:t>
      </w:r>
      <w:r w:rsidR="00436E21">
        <w:rPr>
          <w:lang w:val="en-GB"/>
        </w:rPr>
        <w:t xml:space="preserve"> </w:t>
      </w:r>
      <w:r w:rsidR="00D33D26">
        <w:rPr>
          <w:lang w:val="en-GB"/>
        </w:rPr>
        <w:t>– t</w:t>
      </w:r>
      <w:r w:rsidR="00436E21">
        <w:rPr>
          <w:lang w:val="en-GB"/>
        </w:rPr>
        <w:t>he</w:t>
      </w:r>
      <w:r w:rsidR="00D33D26">
        <w:rPr>
          <w:lang w:val="en-GB"/>
        </w:rPr>
        <w:t xml:space="preserve"> </w:t>
      </w:r>
      <w:r w:rsidR="00436E21">
        <w:rPr>
          <w:lang w:val="en-GB"/>
        </w:rPr>
        <w:t>TAG believes</w:t>
      </w:r>
      <w:r w:rsidR="00F44710" w:rsidRPr="00C165F3">
        <w:rPr>
          <w:lang w:val="en-GB"/>
        </w:rPr>
        <w:t xml:space="preserve"> it will de desirable to supply the most active ISPGs with high quality foundation seed</w:t>
      </w:r>
      <w:r w:rsidR="00DA3C05">
        <w:rPr>
          <w:lang w:val="en-GB"/>
        </w:rPr>
        <w:t xml:space="preserve"> (FS)</w:t>
      </w:r>
      <w:r w:rsidR="00F44710" w:rsidRPr="00C165F3">
        <w:rPr>
          <w:lang w:val="en-GB"/>
        </w:rPr>
        <w:t xml:space="preserve"> if they are beginning to develop </w:t>
      </w:r>
      <w:r w:rsidR="00DA3C05">
        <w:rPr>
          <w:lang w:val="en-GB"/>
        </w:rPr>
        <w:t>a capac</w:t>
      </w:r>
      <w:r w:rsidR="00F44710" w:rsidRPr="00C165F3">
        <w:rPr>
          <w:lang w:val="en-GB"/>
        </w:rPr>
        <w:t xml:space="preserve">ity to produce and market seed on a larger scale.  If </w:t>
      </w:r>
      <w:r w:rsidR="00DA3C05">
        <w:rPr>
          <w:lang w:val="en-GB"/>
        </w:rPr>
        <w:t xml:space="preserve">we assume </w:t>
      </w:r>
      <w:r w:rsidR="00F44710" w:rsidRPr="00C165F3">
        <w:rPr>
          <w:lang w:val="en-GB"/>
        </w:rPr>
        <w:t>the primary role of Component 2 (formal seed production)</w:t>
      </w:r>
      <w:r w:rsidR="00DA3C05">
        <w:rPr>
          <w:lang w:val="en-GB"/>
        </w:rPr>
        <w:t xml:space="preserve"> is to provide FS</w:t>
      </w:r>
      <w:r w:rsidR="00F44710" w:rsidRPr="00C165F3">
        <w:rPr>
          <w:lang w:val="en-GB"/>
        </w:rPr>
        <w:t xml:space="preserve"> at 5 kg/ha per year to each</w:t>
      </w:r>
      <w:r w:rsidR="00DA3C05">
        <w:rPr>
          <w:lang w:val="en-GB"/>
        </w:rPr>
        <w:t xml:space="preserve"> ISPG</w:t>
      </w:r>
      <w:r w:rsidR="00F44710" w:rsidRPr="00C165F3">
        <w:rPr>
          <w:lang w:val="en-GB"/>
        </w:rPr>
        <w:t>, then the capacity of Component 2 needs to</w:t>
      </w:r>
      <w:r w:rsidR="00DA3C05">
        <w:rPr>
          <w:lang w:val="en-GB"/>
        </w:rPr>
        <w:t xml:space="preserve"> be</w:t>
      </w:r>
      <w:r w:rsidR="00F44710" w:rsidRPr="00C165F3">
        <w:rPr>
          <w:lang w:val="en-GB"/>
        </w:rPr>
        <w:t xml:space="preserve"> ultimately </w:t>
      </w:r>
      <w:r w:rsidR="00DA3C05">
        <w:rPr>
          <w:lang w:val="en-GB"/>
        </w:rPr>
        <w:t>around 5 t of FS</w:t>
      </w:r>
      <w:r w:rsidR="00F44710" w:rsidRPr="00C165F3">
        <w:rPr>
          <w:lang w:val="en-GB"/>
        </w:rPr>
        <w:t xml:space="preserve"> annually, plus the amount </w:t>
      </w:r>
      <w:r w:rsidR="00DA3C05">
        <w:rPr>
          <w:lang w:val="en-GB"/>
        </w:rPr>
        <w:t xml:space="preserve">of FS </w:t>
      </w:r>
      <w:r w:rsidR="00F44710" w:rsidRPr="00C165F3">
        <w:rPr>
          <w:lang w:val="en-GB"/>
        </w:rPr>
        <w:t>needed by producers of certified seed in the formal sector.</w:t>
      </w:r>
    </w:p>
    <w:p w:rsidR="00D97B61" w:rsidRDefault="00DA3C05" w:rsidP="00B82E7A">
      <w:pPr>
        <w:pStyle w:val="ListParagraph"/>
        <w:numPr>
          <w:ilvl w:val="0"/>
          <w:numId w:val="51"/>
        </w:numPr>
        <w:ind w:left="284" w:right="144" w:hanging="284"/>
        <w:jc w:val="both"/>
        <w:rPr>
          <w:lang w:val="en-GB"/>
        </w:rPr>
      </w:pPr>
      <w:r>
        <w:rPr>
          <w:b/>
          <w:lang w:val="en-GB"/>
        </w:rPr>
        <w:t>Role of new varieties</w:t>
      </w:r>
      <w:r>
        <w:rPr>
          <w:lang w:val="en-GB"/>
        </w:rPr>
        <w:t xml:space="preserve"> </w:t>
      </w:r>
      <w:r w:rsidR="00D33D26">
        <w:rPr>
          <w:lang w:val="en-GB"/>
        </w:rPr>
        <w:t>–</w:t>
      </w:r>
      <w:r>
        <w:rPr>
          <w:lang w:val="en-GB"/>
        </w:rPr>
        <w:t xml:space="preserve"> </w:t>
      </w:r>
      <w:r w:rsidR="00D33D26">
        <w:rPr>
          <w:lang w:val="en-GB"/>
        </w:rPr>
        <w:t>t</w:t>
      </w:r>
      <w:r>
        <w:rPr>
          <w:lang w:val="en-GB"/>
        </w:rPr>
        <w:t>he</w:t>
      </w:r>
      <w:r w:rsidR="00D33D26">
        <w:rPr>
          <w:lang w:val="en-GB"/>
        </w:rPr>
        <w:t xml:space="preserve"> </w:t>
      </w:r>
      <w:r>
        <w:rPr>
          <w:lang w:val="en-GB"/>
        </w:rPr>
        <w:t xml:space="preserve">financial viability of ISPGs is questionable as adoption of their chosen varieties increases to more than 50% in a </w:t>
      </w:r>
      <w:r w:rsidR="00F44710" w:rsidRPr="00C165F3">
        <w:rPr>
          <w:i/>
          <w:lang w:val="en-GB"/>
        </w:rPr>
        <w:t>suco</w:t>
      </w:r>
      <w:r>
        <w:rPr>
          <w:lang w:val="en-GB"/>
        </w:rPr>
        <w:t xml:space="preserve"> and seed sales external to the group begin to diminish.  It is expected that Component 1 (Research) will identify, test and release a new variety of maize about once every 5 years.  This may simply be an improved version of Sele for maize or Ai Luka 4 for cassava. If the new variety can be easily distinguished from the older improved variety then it can be supplied to existing ISPGs who are interesting in testing it, and income from seed sales should again increase.  Thus the viability of ISPGs and their potential for growth depends on the flow of new varieties with superior characteristics from Component 1 – each component depends on the effe</w:t>
      </w:r>
      <w:r w:rsidR="00C165F3">
        <w:rPr>
          <w:lang w:val="en-GB"/>
        </w:rPr>
        <w:t>ctive functioning of the other.</w:t>
      </w:r>
    </w:p>
    <w:p w:rsidR="00C165F3" w:rsidRDefault="00C165F3" w:rsidP="00B82E7A">
      <w:pPr>
        <w:ind w:right="144"/>
        <w:rPr>
          <w:lang w:val="en-GB"/>
        </w:rPr>
      </w:pPr>
    </w:p>
    <w:p w:rsidR="003424EC" w:rsidRPr="003D1B5E" w:rsidRDefault="003424EC" w:rsidP="003424EC">
      <w:pPr>
        <w:tabs>
          <w:tab w:val="num" w:pos="1440"/>
        </w:tabs>
        <w:jc w:val="center"/>
        <w:rPr>
          <w:lang w:val="en-GB"/>
        </w:rPr>
      </w:pPr>
      <w:r w:rsidRPr="003D1B5E">
        <w:rPr>
          <w:lang w:val="en-GB"/>
        </w:rPr>
        <w:sym w:font="Wingdings" w:char="F09A"/>
      </w:r>
      <w:r w:rsidRPr="003D1B5E">
        <w:rPr>
          <w:lang w:val="en-GB"/>
        </w:rPr>
        <w:t xml:space="preserve"> </w:t>
      </w:r>
      <w:r w:rsidRPr="003D1B5E">
        <w:rPr>
          <w:lang w:val="en-GB"/>
        </w:rPr>
        <w:sym w:font="Wingdings" w:char="F09B"/>
      </w:r>
    </w:p>
    <w:p w:rsidR="003424EC" w:rsidRPr="003D1B5E" w:rsidRDefault="003424EC" w:rsidP="002A5059">
      <w:pPr>
        <w:ind w:right="144"/>
        <w:rPr>
          <w:spacing w:val="-4"/>
          <w:w w:val="105"/>
          <w:lang w:val="en-GB"/>
        </w:rPr>
      </w:pPr>
    </w:p>
    <w:p w:rsidR="002A5059" w:rsidRPr="003D1B5E" w:rsidRDefault="002A5059" w:rsidP="00B30C8B">
      <w:pPr>
        <w:pStyle w:val="Heading1"/>
        <w:rPr>
          <w:w w:val="105"/>
          <w:lang w:val="en-GB"/>
        </w:rPr>
      </w:pPr>
      <w:bookmarkStart w:id="6" w:name="_Toc326845339"/>
      <w:r w:rsidRPr="003D1B5E">
        <w:rPr>
          <w:w w:val="105"/>
          <w:lang w:val="en-GB"/>
        </w:rPr>
        <w:lastRenderedPageBreak/>
        <w:t>Progress of th</w:t>
      </w:r>
      <w:r w:rsidR="00B30C8B" w:rsidRPr="003D1B5E">
        <w:rPr>
          <w:w w:val="105"/>
          <w:lang w:val="en-GB"/>
        </w:rPr>
        <w:t>e formal transition plan</w:t>
      </w:r>
      <w:bookmarkEnd w:id="6"/>
    </w:p>
    <w:p w:rsidR="005A5585" w:rsidRDefault="005A5585" w:rsidP="005A5585">
      <w:pPr>
        <w:pStyle w:val="Heading2"/>
      </w:pPr>
      <w:bookmarkStart w:id="7" w:name="_Toc326845340"/>
      <w:r>
        <w:t>The costs of transition</w:t>
      </w:r>
      <w:bookmarkEnd w:id="7"/>
    </w:p>
    <w:p w:rsidR="002A5059" w:rsidRDefault="002A5059" w:rsidP="00E16AEB">
      <w:pPr>
        <w:rPr>
          <w:spacing w:val="-5"/>
          <w:w w:val="105"/>
        </w:rPr>
      </w:pPr>
      <w:r w:rsidRPr="003D1B5E">
        <w:t xml:space="preserve">In its first visit, the TAG recommended that the emphasis in SOL3 components should shift from “what </w:t>
      </w:r>
      <w:r w:rsidR="00F43166">
        <w:t>is</w:t>
      </w:r>
      <w:r w:rsidRPr="003D1B5E">
        <w:t xml:space="preserve"> do</w:t>
      </w:r>
      <w:r w:rsidR="00F43166">
        <w:t>ne</w:t>
      </w:r>
      <w:r w:rsidRPr="003D1B5E">
        <w:t xml:space="preserve">” to “how it </w:t>
      </w:r>
      <w:r w:rsidR="00F43166">
        <w:t>is</w:t>
      </w:r>
      <w:r w:rsidRPr="003D1B5E">
        <w:t xml:space="preserve"> done” by MAF during this transition phase, especially in established </w:t>
      </w:r>
      <w:r w:rsidR="00660804">
        <w:t>C</w:t>
      </w:r>
      <w:r w:rsidRPr="003D1B5E">
        <w:t>omponents 1 (variet</w:t>
      </w:r>
      <w:r w:rsidR="001F1085">
        <w:t>al screening and OFDTs) and 2 (f</w:t>
      </w:r>
      <w:r w:rsidRPr="003D1B5E">
        <w:t>ormal seed production). It was recommended that t</w:t>
      </w:r>
      <w:r w:rsidRPr="003D1B5E">
        <w:rPr>
          <w:spacing w:val="-2"/>
          <w:w w:val="105"/>
        </w:rPr>
        <w:t>his change should start after the 2011/12</w:t>
      </w:r>
      <w:r w:rsidRPr="003D1B5E">
        <w:rPr>
          <w:spacing w:val="-6"/>
          <w:w w:val="105"/>
        </w:rPr>
        <w:t xml:space="preserve"> cropping season if MAF is to effectively assume full responsibility by</w:t>
      </w:r>
      <w:r w:rsidRPr="003D1B5E">
        <w:rPr>
          <w:spacing w:val="-5"/>
          <w:w w:val="105"/>
        </w:rPr>
        <w:t xml:space="preserve"> 201</w:t>
      </w:r>
      <w:r w:rsidR="00F43166">
        <w:rPr>
          <w:spacing w:val="-5"/>
          <w:w w:val="105"/>
        </w:rPr>
        <w:t>5</w:t>
      </w:r>
      <w:r w:rsidRPr="003D1B5E">
        <w:rPr>
          <w:spacing w:val="-5"/>
          <w:w w:val="105"/>
        </w:rPr>
        <w:t xml:space="preserve">.  These conclusions have not changed.  The TAG continues to note that there will be competing demands on the time of MAF staff and leadership to </w:t>
      </w:r>
      <w:r w:rsidR="00485FF9">
        <w:rPr>
          <w:spacing w:val="-5"/>
          <w:w w:val="105"/>
        </w:rPr>
        <w:t>support implementation and meet participatory deman</w:t>
      </w:r>
      <w:r w:rsidRPr="003D1B5E">
        <w:rPr>
          <w:spacing w:val="-5"/>
          <w:w w:val="105"/>
        </w:rPr>
        <w:t>ds from other donor projects such as the EC-funded RDP</w:t>
      </w:r>
      <w:r w:rsidR="00F43166">
        <w:rPr>
          <w:spacing w:val="-5"/>
          <w:w w:val="105"/>
        </w:rPr>
        <w:t>4</w:t>
      </w:r>
      <w:r w:rsidR="001F1085">
        <w:rPr>
          <w:spacing w:val="-5"/>
          <w:w w:val="105"/>
        </w:rPr>
        <w:t>, the JICA</w:t>
      </w:r>
      <w:r w:rsidR="00485FF9">
        <w:rPr>
          <w:spacing w:val="-5"/>
          <w:w w:val="105"/>
        </w:rPr>
        <w:t>-</w:t>
      </w:r>
      <w:r w:rsidR="001F1085">
        <w:rPr>
          <w:spacing w:val="-5"/>
          <w:w w:val="105"/>
        </w:rPr>
        <w:t>funded Agricultural Master Plan and the IFAD</w:t>
      </w:r>
      <w:r w:rsidR="00485FF9">
        <w:rPr>
          <w:spacing w:val="-5"/>
          <w:w w:val="105"/>
        </w:rPr>
        <w:t>-</w:t>
      </w:r>
      <w:r w:rsidR="001F1085">
        <w:rPr>
          <w:spacing w:val="-5"/>
          <w:w w:val="105"/>
        </w:rPr>
        <w:t xml:space="preserve">funded cereal </w:t>
      </w:r>
      <w:r w:rsidR="00F43166">
        <w:rPr>
          <w:spacing w:val="-5"/>
          <w:w w:val="105"/>
        </w:rPr>
        <w:t>drum</w:t>
      </w:r>
      <w:r w:rsidR="001F1085">
        <w:rPr>
          <w:spacing w:val="-5"/>
          <w:w w:val="105"/>
        </w:rPr>
        <w:t xml:space="preserve"> </w:t>
      </w:r>
      <w:r w:rsidR="008A5CED">
        <w:rPr>
          <w:spacing w:val="-5"/>
          <w:w w:val="105"/>
        </w:rPr>
        <w:t xml:space="preserve">storage </w:t>
      </w:r>
      <w:r w:rsidR="001F1085">
        <w:rPr>
          <w:spacing w:val="-5"/>
          <w:w w:val="105"/>
        </w:rPr>
        <w:t>program</w:t>
      </w:r>
      <w:r w:rsidRPr="003D1B5E">
        <w:rPr>
          <w:spacing w:val="-5"/>
          <w:w w:val="105"/>
        </w:rPr>
        <w:t>.</w:t>
      </w:r>
    </w:p>
    <w:p w:rsidR="002E2738" w:rsidRDefault="002E2738" w:rsidP="00E16AEB">
      <w:pPr>
        <w:rPr>
          <w:spacing w:val="-5"/>
          <w:w w:val="105"/>
        </w:rPr>
      </w:pPr>
    </w:p>
    <w:p w:rsidR="002E2738" w:rsidRPr="003D1B5E" w:rsidRDefault="002E2738" w:rsidP="00E16AEB">
      <w:pPr>
        <w:rPr>
          <w:spacing w:val="-5"/>
          <w:w w:val="105"/>
        </w:rPr>
      </w:pPr>
      <w:r>
        <w:rPr>
          <w:noProof/>
        </w:rPr>
        <mc:AlternateContent>
          <mc:Choice Requires="wps">
            <w:drawing>
              <wp:anchor distT="0" distB="0" distL="114300" distR="114300" simplePos="0" relativeHeight="251666432" behindDoc="0" locked="0" layoutInCell="1" allowOverlap="1" wp14:anchorId="0065E914" wp14:editId="60AB49BB">
                <wp:simplePos x="0" y="0"/>
                <wp:positionH relativeFrom="column">
                  <wp:posOffset>-635</wp:posOffset>
                </wp:positionH>
                <wp:positionV relativeFrom="paragraph">
                  <wp:posOffset>1931035</wp:posOffset>
                </wp:positionV>
                <wp:extent cx="2656205" cy="548640"/>
                <wp:effectExtent l="0" t="0" r="0" b="3810"/>
                <wp:wrapSquare wrapText="left"/>
                <wp:docPr id="12" name="Text Box 12"/>
                <wp:cNvGraphicFramePr/>
                <a:graphic xmlns:a="http://schemas.openxmlformats.org/drawingml/2006/main">
                  <a:graphicData uri="http://schemas.microsoft.com/office/word/2010/wordprocessingShape">
                    <wps:wsp>
                      <wps:cNvSpPr txBox="1"/>
                      <wps:spPr>
                        <a:xfrm>
                          <a:off x="0" y="0"/>
                          <a:ext cx="2656205" cy="548640"/>
                        </a:xfrm>
                        <a:prstGeom prst="rect">
                          <a:avLst/>
                        </a:prstGeom>
                        <a:solidFill>
                          <a:prstClr val="white"/>
                        </a:solidFill>
                        <a:ln>
                          <a:noFill/>
                        </a:ln>
                        <a:effectLst/>
                      </wps:spPr>
                      <wps:txbx>
                        <w:txbxContent>
                          <w:p w:rsidR="002E2738" w:rsidRPr="00DA156F" w:rsidRDefault="002E2738" w:rsidP="002E2738">
                            <w:pPr>
                              <w:pStyle w:val="Caption"/>
                              <w:rPr>
                                <w:rFonts w:ascii="Times New Roman" w:hAnsi="Times New Roman"/>
                                <w:noProof/>
                                <w:spacing w:val="-4"/>
                                <w:w w:val="105"/>
                              </w:rPr>
                            </w:pPr>
                            <w:r>
                              <w:t xml:space="preserve">Chart 2: MAF costs for transition. </w:t>
                            </w:r>
                            <w:r w:rsidRPr="00BB40B1">
                              <w:rPr>
                                <w:color w:val="000000"/>
                                <w:sz w:val="16"/>
                                <w:szCs w:val="16"/>
                              </w:rPr>
                              <w:t>Source: PDD Appendix 5, Table 1 (p110)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27" type="#_x0000_t202" style="position:absolute;left:0;text-align:left;margin-left:-.05pt;margin-top:152.05pt;width:209.15pt;height:43.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" stroked="f">
                <v:textbox inset="0,0,0,0">
                  <w:txbxContent>
                    <w:p w:rsidR="002E2738" w:rsidRPr="00DA156F" w:rsidRDefault="002E2738" w:rsidP="002E2738">
                      <w:pPr>
                        <w:pStyle w:val="Caption"/>
                        <w:rPr>
                          <w:rFonts w:ascii="Times New Roman" w:hAnsi="Times New Roman"/>
                          <w:noProof/>
                          <w:spacing w:val="-4"/>
                          <w:w w:val="105"/>
                        </w:rPr>
                      </w:pPr>
                      <w:r>
                        <w:t xml:space="preserve">Chart 2: MAF costs for transition. </w:t>
                      </w:r>
                      <w:r w:rsidRPr="00BB40B1">
                        <w:rPr>
                          <w:color w:val="000000"/>
                          <w:sz w:val="16"/>
                          <w:szCs w:val="16"/>
                        </w:rPr>
                        <w:t>Source: PDD Appendix 5, Table 1 (p110)</w:t>
                      </w:r>
                    </w:p>
                  </w:txbxContent>
                </v:textbox>
                <w10:wrap type="square" side="left"/>
              </v:shape>
            </w:pict>
          </mc:Fallback>
        </mc:AlternateContent>
      </w:r>
      <w:r>
        <w:rPr>
          <w:noProof/>
          <w:spacing w:val="-4"/>
          <w:w w:val="105"/>
        </w:rPr>
        <w:drawing>
          <wp:anchor distT="0" distB="0" distL="114300" distR="114300" simplePos="0" relativeHeight="251664384" behindDoc="0" locked="0" layoutInCell="1" allowOverlap="1">
            <wp:simplePos x="0" y="0"/>
            <wp:positionH relativeFrom="column">
              <wp:posOffset>-635</wp:posOffset>
            </wp:positionH>
            <wp:positionV relativeFrom="paragraph">
              <wp:posOffset>3810</wp:posOffset>
            </wp:positionV>
            <wp:extent cx="2656800" cy="1875600"/>
            <wp:effectExtent l="0" t="0" r="0" b="0"/>
            <wp:wrapSquare wrapText="left"/>
            <wp:docPr id="11" name="Picture 11" descr="Graph showing MAF costs of tran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56800" cy="1875600"/>
                    </a:xfrm>
                    <a:prstGeom prst="rect">
                      <a:avLst/>
                    </a:prstGeom>
                    <a:noFill/>
                  </pic:spPr>
                </pic:pic>
              </a:graphicData>
            </a:graphic>
            <wp14:sizeRelH relativeFrom="margin">
              <wp14:pctWidth>0</wp14:pctWidth>
            </wp14:sizeRelH>
            <wp14:sizeRelV relativeFrom="margin">
              <wp14:pctHeight>0</wp14:pctHeight>
            </wp14:sizeRelV>
          </wp:anchor>
        </w:drawing>
      </w:r>
      <w:r w:rsidRPr="003D1B5E">
        <w:rPr>
          <w:spacing w:val="-4"/>
          <w:w w:val="105"/>
          <w:lang w:val="en-GB"/>
        </w:rPr>
        <w:t>The PDD includes a transition of SOL3 funding, management and control that starts formally in year 4 (50% of operational costs contributed by MAF for components 1 and 2) and is fully transitioned in year 5 (100% of operational costs contributed by MAF).</w:t>
      </w:r>
      <w:r>
        <w:rPr>
          <w:spacing w:val="-4"/>
          <w:w w:val="105"/>
          <w:lang w:val="en-GB"/>
        </w:rPr>
        <w:t xml:space="preserve">  The financial cost of this, summarised in </w:t>
      </w:r>
      <w:r w:rsidRPr="003C2A0E">
        <w:rPr>
          <w:spacing w:val="-4"/>
          <w:w w:val="105"/>
          <w:lang w:val="en-GB"/>
        </w:rPr>
        <w:t>Chart 2,</w:t>
      </w:r>
      <w:r>
        <w:rPr>
          <w:spacing w:val="-4"/>
          <w:w w:val="105"/>
          <w:lang w:val="en-GB"/>
        </w:rPr>
        <w:t xml:space="preserve"> </w:t>
      </w:r>
      <w:r w:rsidRPr="00D35A36">
        <w:rPr>
          <w:spacing w:val="-4"/>
          <w:w w:val="105"/>
          <w:lang w:val="en-GB"/>
        </w:rPr>
        <w:t xml:space="preserve">requires a step-function change in the resourcing and operation of several MAF directorates. For example the </w:t>
      </w:r>
      <w:r>
        <w:rPr>
          <w:spacing w:val="-4"/>
          <w:w w:val="105"/>
          <w:lang w:val="en-GB"/>
        </w:rPr>
        <w:t xml:space="preserve">National </w:t>
      </w:r>
      <w:r w:rsidRPr="00D35A36">
        <w:rPr>
          <w:spacing w:val="-4"/>
          <w:w w:val="105"/>
          <w:lang w:val="en-GB"/>
        </w:rPr>
        <w:t xml:space="preserve">Research Directorate </w:t>
      </w:r>
      <w:r>
        <w:rPr>
          <w:spacing w:val="-4"/>
          <w:w w:val="105"/>
          <w:lang w:val="en-GB"/>
        </w:rPr>
        <w:t>2012</w:t>
      </w:r>
      <w:r w:rsidRPr="00D35A36">
        <w:rPr>
          <w:spacing w:val="-4"/>
          <w:w w:val="105"/>
          <w:lang w:val="en-GB"/>
        </w:rPr>
        <w:t xml:space="preserve"> </w:t>
      </w:r>
      <w:r>
        <w:rPr>
          <w:spacing w:val="-4"/>
          <w:w w:val="105"/>
          <w:lang w:val="en-GB"/>
        </w:rPr>
        <w:t xml:space="preserve">operational (non-salary) </w:t>
      </w:r>
      <w:r w:rsidRPr="00D35A36">
        <w:rPr>
          <w:spacing w:val="-4"/>
          <w:w w:val="105"/>
          <w:lang w:val="en-GB"/>
        </w:rPr>
        <w:t xml:space="preserve">budget </w:t>
      </w:r>
      <w:r>
        <w:rPr>
          <w:spacing w:val="-4"/>
          <w:w w:val="105"/>
          <w:lang w:val="en-GB"/>
        </w:rPr>
        <w:t>was</w:t>
      </w:r>
      <w:r w:rsidRPr="00D35A36">
        <w:rPr>
          <w:spacing w:val="-4"/>
          <w:w w:val="105"/>
          <w:lang w:val="en-GB"/>
        </w:rPr>
        <w:t xml:space="preserve"> ~$</w:t>
      </w:r>
      <w:r>
        <w:rPr>
          <w:spacing w:val="-4"/>
          <w:w w:val="105"/>
          <w:lang w:val="en-GB"/>
        </w:rPr>
        <w:t>13</w:t>
      </w:r>
      <w:r w:rsidRPr="00D35A36">
        <w:rPr>
          <w:spacing w:val="-4"/>
          <w:w w:val="105"/>
          <w:lang w:val="en-GB"/>
        </w:rPr>
        <w:t xml:space="preserve">0,000.  Meeting 50% of the Component 1 operational costs </w:t>
      </w:r>
      <w:r>
        <w:rPr>
          <w:spacing w:val="-4"/>
          <w:w w:val="105"/>
          <w:lang w:val="en-GB"/>
        </w:rPr>
        <w:t xml:space="preserve">in 2014 </w:t>
      </w:r>
      <w:r w:rsidRPr="00D35A36">
        <w:rPr>
          <w:spacing w:val="-4"/>
          <w:w w:val="105"/>
          <w:lang w:val="en-GB"/>
        </w:rPr>
        <w:t>would require a recurrent annual increase in the order of $160,000.</w:t>
      </w:r>
    </w:p>
    <w:p w:rsidR="00BB40B1" w:rsidRDefault="00BB40B1" w:rsidP="00D35A36">
      <w:pPr>
        <w:ind w:right="144"/>
        <w:rPr>
          <w:spacing w:val="-4"/>
          <w:w w:val="105"/>
          <w:lang w:val="en-GB"/>
        </w:rPr>
      </w:pPr>
    </w:p>
    <w:p w:rsidR="00BB40B1" w:rsidRDefault="00BB40B1" w:rsidP="00D35A36">
      <w:pPr>
        <w:ind w:right="144"/>
        <w:rPr>
          <w:spacing w:val="-4"/>
          <w:w w:val="105"/>
          <w:lang w:val="en-GB"/>
        </w:rPr>
      </w:pPr>
    </w:p>
    <w:p w:rsidR="005A5585" w:rsidRDefault="005A5585" w:rsidP="005A5585">
      <w:pPr>
        <w:pStyle w:val="Heading2"/>
        <w:rPr>
          <w:w w:val="105"/>
          <w:lang w:val="en-GB"/>
        </w:rPr>
      </w:pPr>
      <w:bookmarkStart w:id="8" w:name="_Toc326845341"/>
      <w:r>
        <w:rPr>
          <w:w w:val="105"/>
          <w:lang w:val="en-GB"/>
        </w:rPr>
        <w:t>Preparing for transition</w:t>
      </w:r>
      <w:bookmarkEnd w:id="8"/>
    </w:p>
    <w:p w:rsidR="005A5585" w:rsidRDefault="005A5585" w:rsidP="00E16AEB">
      <w:pPr>
        <w:ind w:right="144"/>
        <w:rPr>
          <w:spacing w:val="-4"/>
          <w:w w:val="105"/>
          <w:lang w:val="en-GB"/>
        </w:rPr>
      </w:pPr>
      <w:r>
        <w:rPr>
          <w:spacing w:val="-4"/>
          <w:w w:val="105"/>
          <w:lang w:val="en-GB"/>
        </w:rPr>
        <w:t xml:space="preserve">As shown in </w:t>
      </w:r>
      <w:r w:rsidRPr="003C2A0E">
        <w:rPr>
          <w:spacing w:val="-4"/>
          <w:w w:val="105"/>
          <w:lang w:val="en-GB"/>
        </w:rPr>
        <w:t>Chart 3,</w:t>
      </w:r>
      <w:r>
        <w:rPr>
          <w:spacing w:val="-4"/>
          <w:w w:val="105"/>
          <w:lang w:val="en-GB"/>
        </w:rPr>
        <w:t xml:space="preserve"> the Team Leader and AusAID need to work with MAF during the second half of 2012 to focus on preparing a case for national investment in </w:t>
      </w:r>
      <w:r w:rsidR="00080DEE">
        <w:rPr>
          <w:spacing w:val="-4"/>
          <w:w w:val="105"/>
          <w:lang w:val="en-GB"/>
        </w:rPr>
        <w:t xml:space="preserve">the skilled staff and recurrent budget needed for </w:t>
      </w:r>
      <w:r>
        <w:rPr>
          <w:spacing w:val="-4"/>
          <w:w w:val="105"/>
          <w:lang w:val="en-GB"/>
        </w:rPr>
        <w:t>the national seed system that can be reflected in 2013 and 2014 budget allocations.  In early 2013, as new MAF leaders are put in place, SOL3 will need to re-negotiate relationships and one way to initiate this is to align SOL3 planning with the MAF budget cycle.  AusAID support in policy dialogue and bilateral engagement is an essential contribution to preparations for the transition.  This has resource implications for AusAID in the 2012/13 and 2013/14 financial years.</w:t>
      </w:r>
    </w:p>
    <w:p w:rsidR="005A5585" w:rsidRPr="00F43166" w:rsidRDefault="005A5585" w:rsidP="00D35A36">
      <w:pPr>
        <w:ind w:right="144"/>
        <w:rPr>
          <w:spacing w:val="-4"/>
          <w:w w:val="105"/>
          <w:sz w:val="16"/>
          <w:szCs w:val="16"/>
          <w:lang w:val="en-GB"/>
        </w:rPr>
      </w:pPr>
    </w:p>
    <w:p w:rsidR="005A5585" w:rsidRDefault="005A5585" w:rsidP="005A5585">
      <w:pPr>
        <w:pStyle w:val="Caption"/>
        <w:rPr>
          <w:spacing w:val="-4"/>
          <w:w w:val="105"/>
          <w:lang w:val="en-GB"/>
        </w:rPr>
      </w:pPr>
      <w:bookmarkStart w:id="9" w:name="_Toc326845360"/>
      <w:r>
        <w:t xml:space="preserve">Chart </w:t>
      </w:r>
      <w:r w:rsidR="00FB2DD9">
        <w:fldChar w:fldCharType="begin"/>
      </w:r>
      <w:r w:rsidR="00B5458D">
        <w:instrText xml:space="preserve"> SEQ Chart \* ARABIC </w:instrText>
      </w:r>
      <w:r w:rsidR="00FB2DD9">
        <w:fldChar w:fldCharType="separate"/>
      </w:r>
      <w:r w:rsidR="00A37A51">
        <w:rPr>
          <w:noProof/>
        </w:rPr>
        <w:t>3</w:t>
      </w:r>
      <w:r w:rsidR="00FB2DD9">
        <w:rPr>
          <w:noProof/>
        </w:rPr>
        <w:fldChar w:fldCharType="end"/>
      </w:r>
      <w:r>
        <w:t xml:space="preserve"> : Indicative time line to prepare for transition in 2014</w:t>
      </w:r>
      <w:bookmarkEnd w:id="9"/>
    </w:p>
    <w:p w:rsidR="005A5585" w:rsidRDefault="005A5585" w:rsidP="005A5585">
      <w:pPr>
        <w:ind w:right="144"/>
        <w:rPr>
          <w:spacing w:val="-4"/>
          <w:w w:val="105"/>
          <w:lang w:val="en-GB"/>
        </w:rPr>
      </w:pPr>
      <w:r w:rsidRPr="005A5585">
        <w:rPr>
          <w:noProof/>
        </w:rPr>
        <w:drawing>
          <wp:inline distT="0" distB="0" distL="0" distR="0" wp14:anchorId="0A5DFE90" wp14:editId="52FB9F8C">
            <wp:extent cx="5761355" cy="1472346"/>
            <wp:effectExtent l="0" t="0" r="0" b="0"/>
            <wp:docPr id="7" name="Picture 7" descr="timeline for tran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1355" cy="1472346"/>
                    </a:xfrm>
                    <a:prstGeom prst="rect">
                      <a:avLst/>
                    </a:prstGeom>
                    <a:noFill/>
                    <a:ln>
                      <a:noFill/>
                    </a:ln>
                  </pic:spPr>
                </pic:pic>
              </a:graphicData>
            </a:graphic>
          </wp:inline>
        </w:drawing>
      </w:r>
    </w:p>
    <w:p w:rsidR="00F43166" w:rsidRDefault="00F43166">
      <w:pPr>
        <w:jc w:val="left"/>
        <w:rPr>
          <w:spacing w:val="-4"/>
          <w:w w:val="105"/>
          <w:lang w:val="en-GB"/>
        </w:rPr>
      </w:pPr>
      <w:r>
        <w:rPr>
          <w:spacing w:val="-4"/>
          <w:w w:val="105"/>
          <w:lang w:val="en-GB"/>
        </w:rPr>
        <w:br w:type="page"/>
      </w:r>
    </w:p>
    <w:p w:rsidR="00D35A36" w:rsidRPr="00D35A36" w:rsidRDefault="00D35A36" w:rsidP="00D35A36">
      <w:pPr>
        <w:ind w:right="144"/>
        <w:rPr>
          <w:spacing w:val="-4"/>
          <w:w w:val="105"/>
          <w:lang w:val="en-GB"/>
        </w:rPr>
      </w:pPr>
      <w:r w:rsidRPr="00D35A36">
        <w:rPr>
          <w:spacing w:val="-4"/>
          <w:w w:val="105"/>
          <w:lang w:val="en-GB"/>
        </w:rPr>
        <w:lastRenderedPageBreak/>
        <w:t xml:space="preserve">The immediate challenge is to support MAF to work with </w:t>
      </w:r>
      <w:r w:rsidR="00BB40B1">
        <w:rPr>
          <w:spacing w:val="-4"/>
          <w:w w:val="105"/>
          <w:lang w:val="en-GB"/>
        </w:rPr>
        <w:t xml:space="preserve">the </w:t>
      </w:r>
      <w:r w:rsidRPr="00D35A36">
        <w:rPr>
          <w:spacing w:val="-4"/>
          <w:w w:val="105"/>
          <w:lang w:val="en-GB"/>
        </w:rPr>
        <w:t>Ministry of Finance (MoF) to secure adequate recurrent budget for 2014 and 2015.  Given the political and budget cycles, this should be a focus of the second half of 2012 with a view to influencing the 2013 budget outcome and securing the required resources for 2014 and beyond.  One way that a case could be presented is to look at the costs of achieving food security in Timor-Leste before, during and after SOL3 – an analysis of vulnerability and risk (productive potential, climate variability, food position in the early 2000s [before SOL3], food position during SOL3 [to 2015 say] and food position under several scenarios to 2020 [</w:t>
      </w:r>
      <w:r w:rsidRPr="006D1961">
        <w:rPr>
          <w:i/>
          <w:spacing w:val="-4"/>
          <w:w w:val="105"/>
          <w:lang w:val="en-GB"/>
        </w:rPr>
        <w:t>e.g</w:t>
      </w:r>
      <w:r w:rsidRPr="00D35A36">
        <w:rPr>
          <w:spacing w:val="-4"/>
          <w:w w:val="105"/>
          <w:lang w:val="en-GB"/>
        </w:rPr>
        <w:t>. with SOL3 targets maintained by adequately resourced MAF research and extension capacity compared with importing cereals to close the food gap]).  This work could be prepared by the MAF planning and research directorates with support from the Climate Change Adviser using GIS</w:t>
      </w:r>
      <w:r w:rsidR="00D50DDB" w:rsidRPr="00D50DDB">
        <w:rPr>
          <w:spacing w:val="-4"/>
          <w:w w:val="105"/>
          <w:lang w:val="en-GB"/>
        </w:rPr>
        <w:t>, crop mode</w:t>
      </w:r>
      <w:r w:rsidR="00D50DDB">
        <w:rPr>
          <w:spacing w:val="-4"/>
          <w:w w:val="105"/>
          <w:lang w:val="en-GB"/>
        </w:rPr>
        <w:t>ls with long term weather data,</w:t>
      </w:r>
      <w:r w:rsidRPr="00D35A36">
        <w:rPr>
          <w:spacing w:val="-4"/>
          <w:w w:val="105"/>
          <w:lang w:val="en-GB"/>
        </w:rPr>
        <w:t xml:space="preserve"> and other analyses.</w:t>
      </w:r>
    </w:p>
    <w:p w:rsidR="005A5585" w:rsidRDefault="005A5585" w:rsidP="005A5585">
      <w:pPr>
        <w:ind w:right="144"/>
        <w:rPr>
          <w:spacing w:val="-4"/>
          <w:w w:val="105"/>
          <w:lang w:val="en-GB"/>
        </w:rPr>
      </w:pPr>
    </w:p>
    <w:p w:rsidR="005A5585" w:rsidRDefault="005A5585" w:rsidP="005A5585">
      <w:pPr>
        <w:ind w:right="144"/>
        <w:rPr>
          <w:spacing w:val="-4"/>
          <w:w w:val="105"/>
          <w:lang w:val="en-GB"/>
        </w:rPr>
      </w:pPr>
      <w:r w:rsidRPr="00D35A36">
        <w:rPr>
          <w:spacing w:val="-4"/>
          <w:w w:val="105"/>
          <w:lang w:val="en-GB"/>
        </w:rPr>
        <w:t>Without a strong case to justify this investment with the Budget Commission</w:t>
      </w:r>
      <w:r>
        <w:rPr>
          <w:spacing w:val="-4"/>
          <w:w w:val="105"/>
          <w:lang w:val="en-GB"/>
        </w:rPr>
        <w:t xml:space="preserve"> and Ministry of Finance</w:t>
      </w:r>
      <w:r w:rsidRPr="00D35A36">
        <w:rPr>
          <w:spacing w:val="-4"/>
          <w:w w:val="105"/>
          <w:lang w:val="en-GB"/>
        </w:rPr>
        <w:t xml:space="preserve">, MAF will struggle to </w:t>
      </w:r>
      <w:r>
        <w:rPr>
          <w:spacing w:val="-4"/>
          <w:w w:val="105"/>
          <w:lang w:val="en-GB"/>
        </w:rPr>
        <w:t>allocate</w:t>
      </w:r>
      <w:r w:rsidRPr="00D35A36">
        <w:rPr>
          <w:spacing w:val="-4"/>
          <w:w w:val="105"/>
          <w:lang w:val="en-GB"/>
        </w:rPr>
        <w:t xml:space="preserve"> the financial resources needed for the planned transition.  </w:t>
      </w:r>
      <w:r w:rsidR="00080DEE">
        <w:rPr>
          <w:spacing w:val="-4"/>
          <w:w w:val="105"/>
          <w:lang w:val="en-GB"/>
        </w:rPr>
        <w:t xml:space="preserve">The likelihood of an effective transition and the consequences of a delayed transition should be addressed during the mid-term review in the second half of 2013. </w:t>
      </w:r>
      <w:r w:rsidRPr="00D35A36">
        <w:rPr>
          <w:spacing w:val="-4"/>
          <w:w w:val="105"/>
          <w:lang w:val="en-GB"/>
        </w:rPr>
        <w:t xml:space="preserve">Human resources </w:t>
      </w:r>
      <w:r>
        <w:rPr>
          <w:spacing w:val="-4"/>
          <w:w w:val="105"/>
          <w:lang w:val="en-GB"/>
        </w:rPr>
        <w:t xml:space="preserve">are likely to be adequate as they </w:t>
      </w:r>
      <w:r w:rsidRPr="00D35A36">
        <w:rPr>
          <w:spacing w:val="-4"/>
          <w:w w:val="105"/>
          <w:lang w:val="en-GB"/>
        </w:rPr>
        <w:t>include staff who will return from project-supported post-graduate training in Indonesia and Australia during the next 2 years.</w:t>
      </w:r>
      <w:r w:rsidR="00325A2C">
        <w:rPr>
          <w:spacing w:val="-4"/>
          <w:w w:val="105"/>
          <w:lang w:val="en-GB"/>
        </w:rPr>
        <w:t xml:space="preserve">  However, the success of the transition will depend on leadership from key MAF staff as they step up and into new ro</w:t>
      </w:r>
      <w:r w:rsidR="00080DEE">
        <w:rPr>
          <w:spacing w:val="-4"/>
          <w:w w:val="105"/>
          <w:lang w:val="en-GB"/>
        </w:rPr>
        <w:t>les. The TAG emphasis</w:t>
      </w:r>
      <w:r w:rsidR="00325A2C">
        <w:rPr>
          <w:spacing w:val="-4"/>
          <w:w w:val="105"/>
          <w:lang w:val="en-GB"/>
        </w:rPr>
        <w:t>es the need for MAF and SOL3 advisors to work together as soon as possible to identify and “groom” key Timorese staff who will lead Components 1 and 2 during and after the transition period.</w:t>
      </w:r>
    </w:p>
    <w:p w:rsidR="00D50DDB" w:rsidRDefault="00D50DDB" w:rsidP="00D35A36">
      <w:pPr>
        <w:ind w:right="144"/>
        <w:rPr>
          <w:spacing w:val="-4"/>
          <w:w w:val="105"/>
          <w:lang w:val="en-GB"/>
        </w:rPr>
      </w:pPr>
    </w:p>
    <w:p w:rsidR="005A5585" w:rsidRDefault="005A5585" w:rsidP="005A5585">
      <w:pPr>
        <w:pStyle w:val="Heading2"/>
        <w:rPr>
          <w:w w:val="105"/>
          <w:lang w:val="en-GB"/>
        </w:rPr>
      </w:pPr>
      <w:bookmarkStart w:id="10" w:name="_Toc326845342"/>
      <w:r>
        <w:rPr>
          <w:w w:val="105"/>
          <w:lang w:val="en-GB"/>
        </w:rPr>
        <w:t>Policy dialogue to support transition</w:t>
      </w:r>
      <w:bookmarkEnd w:id="10"/>
    </w:p>
    <w:p w:rsidR="001F1085" w:rsidRDefault="00D35A36" w:rsidP="00D35A36">
      <w:pPr>
        <w:ind w:right="144"/>
        <w:rPr>
          <w:spacing w:val="-4"/>
          <w:w w:val="105"/>
          <w:lang w:val="en-GB"/>
        </w:rPr>
      </w:pPr>
      <w:r w:rsidRPr="00D35A36">
        <w:rPr>
          <w:spacing w:val="-4"/>
          <w:w w:val="105"/>
          <w:lang w:val="en-GB"/>
        </w:rPr>
        <w:t xml:space="preserve">At the same time, there is an important role for AusAID to engage with GoT-L in policy dialogue around food security </w:t>
      </w:r>
      <w:r w:rsidR="00F43166">
        <w:rPr>
          <w:spacing w:val="-4"/>
          <w:w w:val="105"/>
          <w:lang w:val="en-GB"/>
        </w:rPr>
        <w:t>–</w:t>
      </w:r>
      <w:r w:rsidRPr="00D35A36">
        <w:rPr>
          <w:spacing w:val="-4"/>
          <w:w w:val="105"/>
          <w:lang w:val="en-GB"/>
        </w:rPr>
        <w:t xml:space="preserve"> including</w:t>
      </w:r>
      <w:r w:rsidR="00F43166">
        <w:rPr>
          <w:spacing w:val="-4"/>
          <w:w w:val="105"/>
          <w:lang w:val="en-GB"/>
        </w:rPr>
        <w:t xml:space="preserve"> </w:t>
      </w:r>
      <w:r w:rsidRPr="00D35A36">
        <w:rPr>
          <w:spacing w:val="-4"/>
          <w:w w:val="105"/>
          <w:lang w:val="en-GB"/>
        </w:rPr>
        <w:t>issues such as: building a strong case for investment in</w:t>
      </w:r>
      <w:r w:rsidR="00BE7DD2">
        <w:rPr>
          <w:spacing w:val="-4"/>
          <w:w w:val="105"/>
          <w:lang w:val="en-GB"/>
        </w:rPr>
        <w:t xml:space="preserve"> a</w:t>
      </w:r>
      <w:r w:rsidRPr="00D35A36">
        <w:rPr>
          <w:spacing w:val="-4"/>
          <w:w w:val="105"/>
          <w:lang w:val="en-GB"/>
        </w:rPr>
        <w:t xml:space="preserve"> national seed system by GoT-L; development of a National Seed Policy; development of MAF Strategic Plan and Medium-term expenditure framework (perhaps harmonised with </w:t>
      </w:r>
      <w:r w:rsidR="00BE7DD2">
        <w:rPr>
          <w:spacing w:val="-4"/>
          <w:w w:val="105"/>
          <w:lang w:val="en-GB"/>
        </w:rPr>
        <w:t xml:space="preserve">the </w:t>
      </w:r>
      <w:r w:rsidRPr="00D35A36">
        <w:rPr>
          <w:spacing w:val="-4"/>
          <w:w w:val="105"/>
          <w:lang w:val="en-GB"/>
        </w:rPr>
        <w:t xml:space="preserve">JICA Agricultural Master Plan work); distortion of market signals for Timorese seed producers &amp; farmers with </w:t>
      </w:r>
      <w:r w:rsidR="00BE7DD2">
        <w:rPr>
          <w:spacing w:val="-4"/>
          <w:w w:val="105"/>
          <w:lang w:val="en-GB"/>
        </w:rPr>
        <w:t>distri</w:t>
      </w:r>
      <w:r w:rsidR="006D1961">
        <w:rPr>
          <w:spacing w:val="-4"/>
          <w:w w:val="105"/>
          <w:lang w:val="en-GB"/>
        </w:rPr>
        <w:t>bution of free seed and subsidis</w:t>
      </w:r>
      <w:r w:rsidR="00BE7DD2">
        <w:rPr>
          <w:spacing w:val="-4"/>
          <w:w w:val="105"/>
          <w:lang w:val="en-GB"/>
        </w:rPr>
        <w:t xml:space="preserve">ed </w:t>
      </w:r>
      <w:r w:rsidRPr="00D35A36">
        <w:rPr>
          <w:spacing w:val="-4"/>
          <w:w w:val="105"/>
          <w:lang w:val="en-GB"/>
        </w:rPr>
        <w:t xml:space="preserve">cereal imports; and </w:t>
      </w:r>
      <w:r w:rsidR="00BE7DD2">
        <w:rPr>
          <w:spacing w:val="-4"/>
          <w:w w:val="105"/>
          <w:lang w:val="en-GB"/>
        </w:rPr>
        <w:t xml:space="preserve">the cost effectiveness of importing </w:t>
      </w:r>
      <w:r w:rsidRPr="00D35A36">
        <w:rPr>
          <w:spacing w:val="-4"/>
          <w:w w:val="105"/>
          <w:lang w:val="en-GB"/>
        </w:rPr>
        <w:t xml:space="preserve"> fertiliser</w:t>
      </w:r>
      <w:r w:rsidR="00BE7DD2">
        <w:rPr>
          <w:spacing w:val="-4"/>
          <w:w w:val="105"/>
          <w:lang w:val="en-GB"/>
        </w:rPr>
        <w:t xml:space="preserve"> and other agrochemicals vs. imported cereals</w:t>
      </w:r>
      <w:r w:rsidRPr="00D35A36">
        <w:rPr>
          <w:spacing w:val="-4"/>
          <w:w w:val="105"/>
          <w:lang w:val="en-GB"/>
        </w:rPr>
        <w:t xml:space="preserve"> </w:t>
      </w:r>
      <w:r w:rsidR="00BE7DD2">
        <w:rPr>
          <w:spacing w:val="-4"/>
          <w:w w:val="105"/>
          <w:lang w:val="en-GB"/>
        </w:rPr>
        <w:t>in</w:t>
      </w:r>
      <w:r w:rsidRPr="00D35A36">
        <w:rPr>
          <w:spacing w:val="-4"/>
          <w:w w:val="105"/>
          <w:lang w:val="en-GB"/>
        </w:rPr>
        <w:t xml:space="preserve"> sustain</w:t>
      </w:r>
      <w:r w:rsidR="00BE7DD2">
        <w:rPr>
          <w:spacing w:val="-4"/>
          <w:w w:val="105"/>
          <w:lang w:val="en-GB"/>
        </w:rPr>
        <w:t>ing and expanding</w:t>
      </w:r>
      <w:r w:rsidRPr="00D35A36">
        <w:rPr>
          <w:spacing w:val="-4"/>
          <w:w w:val="105"/>
          <w:lang w:val="en-GB"/>
        </w:rPr>
        <w:t xml:space="preserve"> local food producti</w:t>
      </w:r>
      <w:r w:rsidR="001E4B12">
        <w:rPr>
          <w:spacing w:val="-4"/>
          <w:w w:val="105"/>
          <w:lang w:val="en-GB"/>
        </w:rPr>
        <w:t>on (</w:t>
      </w:r>
      <w:r w:rsidR="001E4B12" w:rsidRPr="003C2A0E">
        <w:rPr>
          <w:spacing w:val="-4"/>
          <w:w w:val="105"/>
          <w:lang w:val="en-GB"/>
        </w:rPr>
        <w:t>Section 5.1</w:t>
      </w:r>
      <w:r w:rsidR="00BE7DD2" w:rsidRPr="003C2A0E">
        <w:rPr>
          <w:spacing w:val="-4"/>
          <w:w w:val="105"/>
          <w:lang w:val="en-GB"/>
        </w:rPr>
        <w:t>)</w:t>
      </w:r>
      <w:r w:rsidRPr="003C2A0E">
        <w:rPr>
          <w:spacing w:val="-4"/>
          <w:w w:val="105"/>
          <w:lang w:val="en-GB"/>
        </w:rPr>
        <w:t>.</w:t>
      </w:r>
      <w:r w:rsidRPr="00D35A36">
        <w:rPr>
          <w:spacing w:val="-4"/>
          <w:w w:val="105"/>
          <w:lang w:val="en-GB"/>
        </w:rPr>
        <w:t xml:space="preserve">  This effort will support the immediate challenge of securing recurrent budget to sustain SOL3 investments</w:t>
      </w:r>
      <w:r w:rsidR="001E4B12">
        <w:rPr>
          <w:spacing w:val="-4"/>
          <w:w w:val="105"/>
          <w:lang w:val="en-GB"/>
        </w:rPr>
        <w:t>, and will</w:t>
      </w:r>
      <w:r w:rsidRPr="00D35A36">
        <w:rPr>
          <w:spacing w:val="-4"/>
          <w:w w:val="105"/>
          <w:lang w:val="en-GB"/>
        </w:rPr>
        <w:t xml:space="preserve"> identify opportunities for possible future investments in rural development and social</w:t>
      </w:r>
      <w:r w:rsidR="001E4B12">
        <w:rPr>
          <w:spacing w:val="-4"/>
          <w:w w:val="105"/>
          <w:lang w:val="en-GB"/>
        </w:rPr>
        <w:t xml:space="preserve"> and environmental</w:t>
      </w:r>
      <w:r w:rsidRPr="00D35A36">
        <w:rPr>
          <w:spacing w:val="-4"/>
          <w:w w:val="105"/>
          <w:lang w:val="en-GB"/>
        </w:rPr>
        <w:t xml:space="preserve"> protection.</w:t>
      </w:r>
    </w:p>
    <w:p w:rsidR="001F1085" w:rsidRDefault="001F1085" w:rsidP="002A5059">
      <w:pPr>
        <w:ind w:right="144"/>
        <w:rPr>
          <w:spacing w:val="-4"/>
          <w:w w:val="105"/>
          <w:lang w:val="en-GB"/>
        </w:rPr>
      </w:pPr>
    </w:p>
    <w:p w:rsidR="005A5585" w:rsidRDefault="005A5585" w:rsidP="0049344B">
      <w:pPr>
        <w:rPr>
          <w:spacing w:val="-4"/>
          <w:w w:val="105"/>
          <w:lang w:val="en-GB"/>
        </w:rPr>
      </w:pPr>
      <w:r>
        <w:rPr>
          <w:spacing w:val="-4"/>
          <w:w w:val="105"/>
          <w:lang w:val="en-GB"/>
        </w:rPr>
        <w:t xml:space="preserve">One of the lessons learned from the Nepal study visit </w:t>
      </w:r>
      <w:r w:rsidR="00F43166">
        <w:rPr>
          <w:spacing w:val="-4"/>
          <w:w w:val="105"/>
          <w:lang w:val="en-GB"/>
        </w:rPr>
        <w:t xml:space="preserve">conducted through SOL3 </w:t>
      </w:r>
      <w:r>
        <w:rPr>
          <w:spacing w:val="-4"/>
          <w:w w:val="105"/>
          <w:lang w:val="en-GB"/>
        </w:rPr>
        <w:t xml:space="preserve">was the importance of having an agreed and tested national seed policy before developing a national seed law.  MAF seems to have embraced this idea and there is an opportunity for SOL3 and AusAID to support the Ministry to develop such a policy for Timor-Leste.  </w:t>
      </w:r>
      <w:r w:rsidR="0049344B">
        <w:rPr>
          <w:lang w:val="en-GB"/>
        </w:rPr>
        <w:t xml:space="preserve">A </w:t>
      </w:r>
      <w:r w:rsidR="0049344B" w:rsidRPr="0049344B">
        <w:rPr>
          <w:lang w:val="en-GB"/>
        </w:rPr>
        <w:t>National Seed Policy is urgently needed</w:t>
      </w:r>
      <w:r w:rsidR="0049344B">
        <w:rPr>
          <w:lang w:val="en-GB"/>
        </w:rPr>
        <w:t xml:space="preserve"> in Timor-Leste to</w:t>
      </w:r>
      <w:r w:rsidR="0049344B" w:rsidRPr="0049344B">
        <w:rPr>
          <w:lang w:val="en-GB"/>
        </w:rPr>
        <w:t xml:space="preserve"> outline the relationship between the formal and informal seed sectors, how and to whom certified seed will be supplied, cost recovery and relationships</w:t>
      </w:r>
      <w:r w:rsidR="0049344B">
        <w:rPr>
          <w:lang w:val="en-GB"/>
        </w:rPr>
        <w:t xml:space="preserve"> with the private seed sector. </w:t>
      </w:r>
      <w:r w:rsidR="00CA467D">
        <w:rPr>
          <w:spacing w:val="-4"/>
          <w:w w:val="105"/>
          <w:lang w:val="en-GB"/>
        </w:rPr>
        <w:t>This provides an opportunity for AusAID policy dialogue support to the national seed system, in particular in relation to seed and cereal import and pricing/distribution policies.</w:t>
      </w:r>
    </w:p>
    <w:p w:rsidR="0049344B" w:rsidRDefault="0049344B" w:rsidP="003424EC">
      <w:pPr>
        <w:rPr>
          <w:lang w:val="en-GB"/>
        </w:rPr>
      </w:pPr>
    </w:p>
    <w:p w:rsidR="00D50DDB" w:rsidRDefault="00D50DDB" w:rsidP="00D50DDB">
      <w:pPr>
        <w:ind w:right="144"/>
        <w:rPr>
          <w:spacing w:val="-4"/>
          <w:w w:val="105"/>
          <w:lang w:val="en-GB"/>
        </w:rPr>
      </w:pPr>
      <w:r w:rsidRPr="0084221A">
        <w:rPr>
          <w:spacing w:val="-4"/>
          <w:w w:val="105"/>
          <w:lang w:val="en-GB"/>
        </w:rPr>
        <w:t xml:space="preserve">Accordingly, the TAG </w:t>
      </w:r>
      <w:r w:rsidR="00F44710" w:rsidRPr="0084221A">
        <w:rPr>
          <w:b/>
          <w:spacing w:val="-4"/>
          <w:w w:val="105"/>
          <w:lang w:val="en-GB"/>
        </w:rPr>
        <w:t>recommends</w:t>
      </w:r>
      <w:r w:rsidRPr="0084221A">
        <w:rPr>
          <w:spacing w:val="-4"/>
          <w:w w:val="105"/>
          <w:lang w:val="en-GB"/>
        </w:rPr>
        <w:t xml:space="preserve"> that the Team Leader and AusAID staff work together with the DG MAF to design a process that enables MAF to secure adequate recurrent budget and </w:t>
      </w:r>
      <w:r w:rsidR="0084221A" w:rsidRPr="0084221A">
        <w:rPr>
          <w:spacing w:val="-4"/>
          <w:w w:val="105"/>
          <w:lang w:val="en-GB"/>
        </w:rPr>
        <w:t xml:space="preserve">numbers of </w:t>
      </w:r>
      <w:r w:rsidRPr="0084221A">
        <w:rPr>
          <w:spacing w:val="-4"/>
          <w:w w:val="105"/>
          <w:lang w:val="en-GB"/>
        </w:rPr>
        <w:t xml:space="preserve">staff </w:t>
      </w:r>
      <w:r w:rsidR="0084221A" w:rsidRPr="0084221A">
        <w:rPr>
          <w:spacing w:val="-4"/>
          <w:w w:val="105"/>
          <w:lang w:val="en-GB"/>
        </w:rPr>
        <w:t xml:space="preserve">with required competencies </w:t>
      </w:r>
      <w:r w:rsidRPr="0084221A">
        <w:rPr>
          <w:spacing w:val="-4"/>
          <w:w w:val="105"/>
          <w:lang w:val="en-GB"/>
        </w:rPr>
        <w:t>to take over operational responsibility for research, foundation seed production and formal seed multiplication by the end of 2014.</w:t>
      </w:r>
    </w:p>
    <w:p w:rsidR="00827976" w:rsidRPr="003D1B5E" w:rsidRDefault="00827976" w:rsidP="00827976">
      <w:pPr>
        <w:pStyle w:val="Heading1"/>
        <w:rPr>
          <w:lang w:val="en-GB"/>
        </w:rPr>
      </w:pPr>
      <w:bookmarkStart w:id="11" w:name="_Toc326845343"/>
      <w:r w:rsidRPr="003D1B5E">
        <w:rPr>
          <w:lang w:val="en-GB"/>
        </w:rPr>
        <w:lastRenderedPageBreak/>
        <w:t>Monitoring and evaluation system</w:t>
      </w:r>
      <w:bookmarkEnd w:id="11"/>
    </w:p>
    <w:p w:rsidR="00827976" w:rsidRPr="003D1B5E" w:rsidRDefault="00827976" w:rsidP="00827976">
      <w:pPr>
        <w:pStyle w:val="Heading2"/>
        <w:rPr>
          <w:w w:val="105"/>
          <w:lang w:val="en-GB"/>
        </w:rPr>
      </w:pPr>
      <w:bookmarkStart w:id="12" w:name="_Toc326845344"/>
      <w:r w:rsidRPr="003D1B5E">
        <w:rPr>
          <w:w w:val="105"/>
          <w:lang w:val="en-GB"/>
        </w:rPr>
        <w:t>Performance management system and results framework</w:t>
      </w:r>
      <w:bookmarkEnd w:id="12"/>
    </w:p>
    <w:p w:rsidR="00FF27F0" w:rsidRPr="00E16AEB" w:rsidRDefault="00FF27F0" w:rsidP="00E16AEB">
      <w:pPr>
        <w:tabs>
          <w:tab w:val="num" w:pos="1440"/>
        </w:tabs>
        <w:rPr>
          <w:lang w:val="en-GB"/>
        </w:rPr>
      </w:pPr>
      <w:r w:rsidRPr="00E16AEB">
        <w:rPr>
          <w:lang w:val="en-GB"/>
        </w:rPr>
        <w:t xml:space="preserve">The revised Performance Management Plan is ready to be finalised and used in practice.  The recommendations and resources provided by the TAG (October, 2011) to simplify the performance management framework and results framework have been adopted in the revised Performance Management Plan.  With minor refinements </w:t>
      </w:r>
      <w:r w:rsidR="006F7C0B" w:rsidRPr="00E16AEB">
        <w:rPr>
          <w:lang w:val="en-GB"/>
        </w:rPr>
        <w:t xml:space="preserve">and after final consultation with MAF, AusAID and ACIAR, </w:t>
      </w:r>
      <w:r w:rsidRPr="00E16AEB">
        <w:rPr>
          <w:lang w:val="en-GB"/>
        </w:rPr>
        <w:t>this plan is ready to be endorsed by the PMT and put into practice.</w:t>
      </w:r>
    </w:p>
    <w:p w:rsidR="00FF27F0" w:rsidRPr="00E16AEB" w:rsidRDefault="00FF27F0" w:rsidP="00E16AEB">
      <w:pPr>
        <w:tabs>
          <w:tab w:val="num" w:pos="1440"/>
        </w:tabs>
        <w:rPr>
          <w:sz w:val="16"/>
          <w:szCs w:val="16"/>
          <w:lang w:val="en-GB"/>
        </w:rPr>
      </w:pPr>
    </w:p>
    <w:p w:rsidR="00FF27F0" w:rsidRPr="00E16AEB" w:rsidRDefault="00FF27F0" w:rsidP="00E16AEB">
      <w:pPr>
        <w:tabs>
          <w:tab w:val="num" w:pos="1440"/>
        </w:tabs>
        <w:rPr>
          <w:lang w:val="en-GB"/>
        </w:rPr>
      </w:pPr>
      <w:r w:rsidRPr="00E16AEB">
        <w:rPr>
          <w:lang w:val="en-GB"/>
        </w:rPr>
        <w:t xml:space="preserve">The results framework needs minor refinement to ensure consistency </w:t>
      </w:r>
      <w:r w:rsidR="00F43166" w:rsidRPr="00E16AEB">
        <w:rPr>
          <w:lang w:val="en-GB"/>
        </w:rPr>
        <w:t>and finalise the tools for</w:t>
      </w:r>
      <w:r w:rsidRPr="00E16AEB">
        <w:rPr>
          <w:lang w:val="en-GB"/>
        </w:rPr>
        <w:t xml:space="preserve"> systematic use.  The associated MS Excel charts provide a simple means for quarterly progress reporting.  Progress monitoring should be implemented now and used for systematic reporting to the Team Leader and MAF leaders on at least a quarterly basis.  The details of these refinements have been discussed with the </w:t>
      </w:r>
      <w:r w:rsidR="00F43166" w:rsidRPr="00E16AEB">
        <w:rPr>
          <w:lang w:val="en-GB"/>
        </w:rPr>
        <w:t xml:space="preserve">SOL3 </w:t>
      </w:r>
      <w:r w:rsidRPr="00E16AEB">
        <w:rPr>
          <w:lang w:val="en-GB"/>
        </w:rPr>
        <w:t>M&amp;E Advisor.</w:t>
      </w:r>
    </w:p>
    <w:p w:rsidR="00FF27F0" w:rsidRPr="00E16AEB" w:rsidRDefault="00FF27F0" w:rsidP="00E16AEB">
      <w:pPr>
        <w:tabs>
          <w:tab w:val="num" w:pos="1440"/>
        </w:tabs>
        <w:rPr>
          <w:sz w:val="16"/>
          <w:szCs w:val="16"/>
          <w:lang w:val="en-GB"/>
        </w:rPr>
      </w:pPr>
    </w:p>
    <w:p w:rsidR="00FF27F0" w:rsidRPr="00E16AEB" w:rsidRDefault="00FF27F0" w:rsidP="00E16AEB">
      <w:pPr>
        <w:tabs>
          <w:tab w:val="num" w:pos="1440"/>
        </w:tabs>
        <w:rPr>
          <w:lang w:val="en-GB"/>
        </w:rPr>
      </w:pPr>
      <w:r w:rsidRPr="00E16AEB">
        <w:rPr>
          <w:lang w:val="en-GB"/>
        </w:rPr>
        <w:t xml:space="preserve">The performance management framework can be simplified further.  Fewer indicators, better alignment of indicators with output and outcome statements, simplification of indicator descriptions and development of simple reporting templates will enable efficient compilation of data from advisor reports into a semi-annual output-to-purpose report.  Details of these refinements have been discussed with the M&amp;E Advisor and should be implemented </w:t>
      </w:r>
      <w:r w:rsidR="00F43166" w:rsidRPr="00E16AEB">
        <w:rPr>
          <w:lang w:val="en-GB"/>
        </w:rPr>
        <w:t>in</w:t>
      </w:r>
      <w:r w:rsidRPr="00E16AEB">
        <w:rPr>
          <w:lang w:val="en-GB"/>
        </w:rPr>
        <w:t xml:space="preserve"> May for completion of the performance management system in June 2012.</w:t>
      </w:r>
    </w:p>
    <w:p w:rsidR="00FF27F0" w:rsidRPr="00E16AEB" w:rsidRDefault="00FF27F0" w:rsidP="00E16AEB">
      <w:pPr>
        <w:tabs>
          <w:tab w:val="num" w:pos="1440"/>
        </w:tabs>
        <w:rPr>
          <w:sz w:val="16"/>
          <w:szCs w:val="16"/>
          <w:lang w:val="en-GB"/>
        </w:rPr>
      </w:pPr>
    </w:p>
    <w:p w:rsidR="006F7C0B" w:rsidRPr="00E16AEB" w:rsidRDefault="006F7C0B" w:rsidP="00E16AEB">
      <w:pPr>
        <w:tabs>
          <w:tab w:val="num" w:pos="1440"/>
        </w:tabs>
        <w:rPr>
          <w:lang w:val="en-GB"/>
        </w:rPr>
      </w:pPr>
      <w:r w:rsidRPr="00E16AEB">
        <w:rPr>
          <w:lang w:val="en-GB"/>
        </w:rPr>
        <w:t xml:space="preserve">Accordingly, the TAG </w:t>
      </w:r>
      <w:r w:rsidR="00F44710" w:rsidRPr="00E16AEB">
        <w:rPr>
          <w:lang w:val="en-GB"/>
        </w:rPr>
        <w:t>recommends</w:t>
      </w:r>
      <w:r w:rsidRPr="00E16AEB">
        <w:rPr>
          <w:lang w:val="en-GB"/>
        </w:rPr>
        <w:t xml:space="preserve"> that after final consultation with MAF, AusAID and ACIAR, minor refinements are made to finalise the performance management plan, evaluation framework and results framework so that the performance management system can be operationalised and early monitoring results included in reports for the PMT.</w:t>
      </w:r>
    </w:p>
    <w:p w:rsidR="006F7C0B" w:rsidRPr="006F7C0B" w:rsidRDefault="006F7C0B" w:rsidP="00FF27F0">
      <w:pPr>
        <w:ind w:right="144"/>
        <w:rPr>
          <w:spacing w:val="-4"/>
          <w:w w:val="105"/>
          <w:sz w:val="16"/>
          <w:szCs w:val="16"/>
          <w:lang w:val="en-GB"/>
        </w:rPr>
      </w:pPr>
    </w:p>
    <w:p w:rsidR="004B4FDA" w:rsidRPr="004B4FDA" w:rsidRDefault="004B4FDA" w:rsidP="004B4FDA">
      <w:pPr>
        <w:tabs>
          <w:tab w:val="num" w:pos="1440"/>
        </w:tabs>
        <w:rPr>
          <w:b/>
          <w:i/>
          <w:lang w:val="en-GB"/>
        </w:rPr>
      </w:pPr>
      <w:r w:rsidRPr="004B4FDA">
        <w:rPr>
          <w:b/>
          <w:i/>
          <w:lang w:val="en-GB"/>
        </w:rPr>
        <w:t xml:space="preserve">Provide evidence to </w:t>
      </w:r>
      <w:r>
        <w:rPr>
          <w:b/>
          <w:i/>
          <w:lang w:val="en-GB"/>
        </w:rPr>
        <w:t>support</w:t>
      </w:r>
      <w:r w:rsidRPr="004B4FDA">
        <w:rPr>
          <w:b/>
          <w:i/>
          <w:lang w:val="en-GB"/>
        </w:rPr>
        <w:t xml:space="preserve"> recurrent budget allocations for MAF research and extension</w:t>
      </w:r>
    </w:p>
    <w:p w:rsidR="004B4FDA" w:rsidRPr="004B4FDA" w:rsidRDefault="004B4FDA" w:rsidP="004B4FDA">
      <w:pPr>
        <w:tabs>
          <w:tab w:val="num" w:pos="1440"/>
        </w:tabs>
        <w:rPr>
          <w:lang w:val="en-GB"/>
        </w:rPr>
      </w:pPr>
      <w:r w:rsidRPr="004B4FDA">
        <w:rPr>
          <w:lang w:val="en-GB"/>
        </w:rPr>
        <w:t>The</w:t>
      </w:r>
      <w:r>
        <w:rPr>
          <w:lang w:val="en-GB"/>
        </w:rPr>
        <w:t xml:space="preserve"> TAG confirms its view formed in October 2011 that the</w:t>
      </w:r>
      <w:r w:rsidRPr="004B4FDA">
        <w:rPr>
          <w:lang w:val="en-GB"/>
        </w:rPr>
        <w:t xml:space="preserve">re is an opportunity for SOL3 </w:t>
      </w:r>
      <w:r>
        <w:rPr>
          <w:lang w:val="en-GB"/>
        </w:rPr>
        <w:t xml:space="preserve">monitoring results and evaluation findings </w:t>
      </w:r>
      <w:r w:rsidRPr="004B4FDA">
        <w:rPr>
          <w:lang w:val="en-GB"/>
        </w:rPr>
        <w:t xml:space="preserve">to </w:t>
      </w:r>
      <w:r>
        <w:rPr>
          <w:lang w:val="en-GB"/>
        </w:rPr>
        <w:t xml:space="preserve">provide evidence to inform the case for </w:t>
      </w:r>
      <w:r w:rsidRPr="004B4FDA">
        <w:rPr>
          <w:lang w:val="en-GB"/>
        </w:rPr>
        <w:t>increased recurrent budget allocations for agricultural research and extension.  Developing country benchmarks for agricultural research and development in Asia Pacific are around 0.45% of total agricultural output</w:t>
      </w:r>
      <w:r w:rsidRPr="004B4FDA">
        <w:rPr>
          <w:vertAlign w:val="superscript"/>
          <w:lang w:val="en-GB"/>
        </w:rPr>
        <w:footnoteReference w:id="2"/>
      </w:r>
      <w:r w:rsidRPr="004B4FDA">
        <w:rPr>
          <w:lang w:val="en-GB"/>
        </w:rPr>
        <w:t>.  Timor-Leste agricultural output is around US$150 million per year – suggesting that MAF should have a research and development budget of around US$1 million per year</w:t>
      </w:r>
      <w:bookmarkStart w:id="13" w:name="_Ref305854411"/>
      <w:r w:rsidRPr="004B4FDA">
        <w:rPr>
          <w:vertAlign w:val="superscript"/>
          <w:lang w:val="en-GB"/>
        </w:rPr>
        <w:footnoteReference w:id="3"/>
      </w:r>
      <w:bookmarkEnd w:id="13"/>
      <w:r w:rsidRPr="004B4FDA">
        <w:rPr>
          <w:lang w:val="en-GB"/>
        </w:rPr>
        <w:t>.  In the 2012 Financial Year the National Directorate of Research and Special Services in MAF ha</w:t>
      </w:r>
      <w:r>
        <w:rPr>
          <w:lang w:val="en-GB"/>
        </w:rPr>
        <w:t>s</w:t>
      </w:r>
      <w:r w:rsidRPr="004B4FDA">
        <w:rPr>
          <w:lang w:val="en-GB"/>
        </w:rPr>
        <w:t xml:space="preserve"> a recurrent budget allocation </w:t>
      </w:r>
      <w:r w:rsidR="000C175E">
        <w:rPr>
          <w:lang w:val="en-GB"/>
        </w:rPr>
        <w:t xml:space="preserve">for non-salary operations </w:t>
      </w:r>
      <w:r w:rsidRPr="004B4FDA">
        <w:rPr>
          <w:lang w:val="en-GB"/>
        </w:rPr>
        <w:t xml:space="preserve">of </w:t>
      </w:r>
      <w:r w:rsidR="000C175E">
        <w:rPr>
          <w:lang w:val="en-GB"/>
        </w:rPr>
        <w:t>~</w:t>
      </w:r>
      <w:r w:rsidRPr="004B4FDA">
        <w:rPr>
          <w:lang w:val="en-GB"/>
        </w:rPr>
        <w:t>$</w:t>
      </w:r>
      <w:r w:rsidR="000C175E">
        <w:rPr>
          <w:lang w:val="en-GB"/>
        </w:rPr>
        <w:t>130</w:t>
      </w:r>
      <w:r w:rsidRPr="004B4FDA">
        <w:rPr>
          <w:lang w:val="en-GB"/>
        </w:rPr>
        <w:t>,000.  SOL3 is unlikely to achieve sustainability and end-of-program outcomes in Component 1 and Component 2 unless MAF successfully attracts increased recurrent bu</w:t>
      </w:r>
      <w:r>
        <w:rPr>
          <w:lang w:val="en-GB"/>
        </w:rPr>
        <w:t>dget allocations for research.</w:t>
      </w:r>
    </w:p>
    <w:p w:rsidR="004B4FDA" w:rsidRPr="006F7C0B" w:rsidRDefault="004B4FDA" w:rsidP="00FF27F0">
      <w:pPr>
        <w:ind w:right="144"/>
        <w:rPr>
          <w:spacing w:val="-4"/>
          <w:w w:val="105"/>
          <w:sz w:val="16"/>
          <w:szCs w:val="16"/>
          <w:lang w:val="en-GB"/>
        </w:rPr>
      </w:pPr>
    </w:p>
    <w:p w:rsidR="00FF27F0" w:rsidRDefault="00FF27F0" w:rsidP="00FF27F0">
      <w:pPr>
        <w:pStyle w:val="Heading2"/>
        <w:rPr>
          <w:w w:val="105"/>
          <w:lang w:val="en-GB"/>
        </w:rPr>
      </w:pPr>
      <w:bookmarkStart w:id="14" w:name="_Toc326845345"/>
      <w:r>
        <w:rPr>
          <w:w w:val="105"/>
          <w:lang w:val="en-GB"/>
        </w:rPr>
        <w:t>Evaluation framework</w:t>
      </w:r>
      <w:bookmarkEnd w:id="14"/>
    </w:p>
    <w:p w:rsidR="002C0544" w:rsidRPr="002C0544" w:rsidRDefault="002C0544" w:rsidP="00FF27F0">
      <w:pPr>
        <w:ind w:right="144"/>
        <w:rPr>
          <w:b/>
          <w:i/>
          <w:spacing w:val="-4"/>
          <w:w w:val="105"/>
          <w:lang w:val="en-GB"/>
        </w:rPr>
      </w:pPr>
      <w:r w:rsidRPr="002C0544">
        <w:rPr>
          <w:b/>
          <w:i/>
          <w:spacing w:val="-4"/>
          <w:w w:val="105"/>
          <w:lang w:val="en-GB"/>
        </w:rPr>
        <w:t>Focus on a small number of primary evaluation questions</w:t>
      </w:r>
    </w:p>
    <w:p w:rsidR="00FF27F0" w:rsidRPr="00E16AEB" w:rsidRDefault="00FF27F0" w:rsidP="00E16AEB">
      <w:pPr>
        <w:tabs>
          <w:tab w:val="num" w:pos="1440"/>
        </w:tabs>
        <w:rPr>
          <w:lang w:val="en-GB"/>
        </w:rPr>
      </w:pPr>
      <w:r w:rsidRPr="00E16AEB">
        <w:rPr>
          <w:lang w:val="en-GB"/>
        </w:rPr>
        <w:t xml:space="preserve">The performance management plan now </w:t>
      </w:r>
      <w:r w:rsidR="00D50DDB" w:rsidRPr="00E16AEB">
        <w:rPr>
          <w:lang w:val="en-GB"/>
        </w:rPr>
        <w:t>incorporates</w:t>
      </w:r>
      <w:r w:rsidRPr="00E16AEB">
        <w:rPr>
          <w:lang w:val="en-GB"/>
        </w:rPr>
        <w:t xml:space="preserve"> an evaluation framework that includes evaluation questions and some evaluation methods.  The questions presented in Table 10, pp 33-35 of the draft Performance Management Plan provide an appropriate long list from which to select questions for specific evaluations.  It would be more useful if the evaluation framework presented a smaller number of priority questions that evaluators and the communications team could use as primary questions, from which they could derive </w:t>
      </w:r>
      <w:r w:rsidRPr="00E16AEB">
        <w:rPr>
          <w:lang w:val="en-GB"/>
        </w:rPr>
        <w:lastRenderedPageBreak/>
        <w:t>secondary questions appropriate to the purpose and context of each evaluation or communication interview.  This would also simplify the evaluation framework and enable it to better link with the communications strategy.</w:t>
      </w:r>
    </w:p>
    <w:p w:rsidR="006F7C0B" w:rsidRPr="00887412" w:rsidRDefault="006F7C0B" w:rsidP="00FF27F0">
      <w:pPr>
        <w:ind w:right="144"/>
        <w:rPr>
          <w:spacing w:val="-4"/>
          <w:w w:val="105"/>
          <w:sz w:val="16"/>
          <w:szCs w:val="16"/>
          <w:lang w:val="en-GB"/>
        </w:rPr>
      </w:pPr>
    </w:p>
    <w:p w:rsidR="002C0544" w:rsidRPr="002C0544" w:rsidRDefault="002C0544" w:rsidP="005F543C">
      <w:pPr>
        <w:ind w:right="144"/>
        <w:rPr>
          <w:b/>
          <w:i/>
          <w:spacing w:val="-4"/>
          <w:w w:val="105"/>
          <w:lang w:val="en-GB"/>
        </w:rPr>
      </w:pPr>
      <w:r w:rsidRPr="002C0544">
        <w:rPr>
          <w:b/>
          <w:i/>
          <w:spacing w:val="-4"/>
          <w:w w:val="105"/>
          <w:lang w:val="en-GB"/>
        </w:rPr>
        <w:t>Simplify approach to development</w:t>
      </w:r>
      <w:r>
        <w:rPr>
          <w:b/>
          <w:i/>
          <w:spacing w:val="-4"/>
          <w:w w:val="105"/>
          <w:lang w:val="en-GB"/>
        </w:rPr>
        <w:t>al</w:t>
      </w:r>
      <w:r w:rsidRPr="002C0544">
        <w:rPr>
          <w:b/>
          <w:i/>
          <w:spacing w:val="-4"/>
          <w:w w:val="105"/>
          <w:lang w:val="en-GB"/>
        </w:rPr>
        <w:t xml:space="preserve"> evaluation</w:t>
      </w:r>
    </w:p>
    <w:p w:rsidR="005F543C" w:rsidRPr="00E16AEB" w:rsidRDefault="005F543C" w:rsidP="00E16AEB">
      <w:pPr>
        <w:tabs>
          <w:tab w:val="num" w:pos="1440"/>
        </w:tabs>
        <w:rPr>
          <w:lang w:val="en-GB"/>
        </w:rPr>
      </w:pPr>
      <w:r w:rsidRPr="00E16AEB">
        <w:rPr>
          <w:lang w:val="en-GB"/>
        </w:rPr>
        <w:t xml:space="preserve">The first TAG report suggested that SOL3 explore the use of a developmental evaluation approach linked to the TAG process.  This recognised the complexity of SOL3 as an institutional change project and the dynamic context </w:t>
      </w:r>
      <w:r w:rsidR="00D6634F" w:rsidRPr="00E16AEB">
        <w:rPr>
          <w:lang w:val="en-GB"/>
        </w:rPr>
        <w:t>of</w:t>
      </w:r>
      <w:r w:rsidRPr="00E16AEB">
        <w:rPr>
          <w:lang w:val="en-GB"/>
        </w:rPr>
        <w:t xml:space="preserve"> project implement</w:t>
      </w:r>
      <w:r w:rsidR="00D6634F" w:rsidRPr="00E16AEB">
        <w:rPr>
          <w:lang w:val="en-GB"/>
        </w:rPr>
        <w:t>ation</w:t>
      </w:r>
      <w:r w:rsidRPr="00E16AEB">
        <w:rPr>
          <w:lang w:val="en-GB"/>
        </w:rPr>
        <w:t xml:space="preserve">.  The implications of developmental evaluation were discussed with SOL3, AusAID and a TAG adviser in November 2011.  </w:t>
      </w:r>
      <w:r w:rsidR="00D515EA">
        <w:rPr>
          <w:lang w:val="en-GB"/>
        </w:rPr>
        <w:t>After</w:t>
      </w:r>
      <w:r w:rsidRPr="00E16AEB">
        <w:rPr>
          <w:lang w:val="en-GB"/>
        </w:rPr>
        <w:t xml:space="preserve"> review</w:t>
      </w:r>
      <w:r w:rsidR="00D515EA">
        <w:rPr>
          <w:lang w:val="en-GB"/>
        </w:rPr>
        <w:t>ing</w:t>
      </w:r>
      <w:r w:rsidRPr="00E16AEB">
        <w:rPr>
          <w:lang w:val="en-GB"/>
        </w:rPr>
        <w:t xml:space="preserve"> the draft Performance Management Plan and evaluation framework, the </w:t>
      </w:r>
      <w:r w:rsidR="00D515EA" w:rsidRPr="00E16AEB">
        <w:rPr>
          <w:lang w:val="en-GB"/>
        </w:rPr>
        <w:t xml:space="preserve">SOL3 </w:t>
      </w:r>
      <w:r w:rsidRPr="00E16AEB">
        <w:rPr>
          <w:lang w:val="en-GB"/>
        </w:rPr>
        <w:t xml:space="preserve">resources are most likely to yield useful evaluation information through simpler approaches based on a regular schedule of </w:t>
      </w:r>
      <w:r w:rsidR="000A1787" w:rsidRPr="00E16AEB">
        <w:rPr>
          <w:lang w:val="en-GB"/>
        </w:rPr>
        <w:t xml:space="preserve">carefully chosen </w:t>
      </w:r>
      <w:r w:rsidRPr="00E16AEB">
        <w:rPr>
          <w:lang w:val="en-GB"/>
        </w:rPr>
        <w:t>case studies complemented by a formal mid-term review and independent completion review.</w:t>
      </w:r>
    </w:p>
    <w:p w:rsidR="002C0544" w:rsidRPr="00E16AEB" w:rsidRDefault="002C0544" w:rsidP="00E16AEB">
      <w:pPr>
        <w:tabs>
          <w:tab w:val="num" w:pos="1440"/>
        </w:tabs>
        <w:rPr>
          <w:sz w:val="16"/>
          <w:szCs w:val="16"/>
          <w:lang w:val="en-GB"/>
        </w:rPr>
      </w:pPr>
    </w:p>
    <w:p w:rsidR="006F7C0B" w:rsidRPr="00E16AEB" w:rsidRDefault="006F7C0B" w:rsidP="00E16AEB">
      <w:pPr>
        <w:tabs>
          <w:tab w:val="num" w:pos="1440"/>
        </w:tabs>
        <w:rPr>
          <w:lang w:val="en-GB"/>
        </w:rPr>
      </w:pPr>
      <w:r w:rsidRPr="00E16AEB">
        <w:rPr>
          <w:lang w:val="en-GB"/>
        </w:rPr>
        <w:t>The evaluation framework should be reviewed with ACIAR in particular, to ensure that the SOL3 performance system meets their needs as well as those of MAF and AusAID.  The proposed ACIAR impact evaluation (we assume the purpose is to evaluate impact of SOL1 and 2 since it is too early for impact from SOL3 and the impact baseline has just been completed for the current phase of the project) should be scheduled to complement the SOL3 performance system.  It would ideally be conducted as a case study at a time to complement other field activities.</w:t>
      </w:r>
    </w:p>
    <w:p w:rsidR="006F7C0B" w:rsidRPr="00E16AEB" w:rsidRDefault="006F7C0B" w:rsidP="00E16AEB">
      <w:pPr>
        <w:tabs>
          <w:tab w:val="num" w:pos="1440"/>
        </w:tabs>
        <w:rPr>
          <w:sz w:val="16"/>
          <w:szCs w:val="16"/>
          <w:lang w:val="en-GB"/>
        </w:rPr>
      </w:pPr>
    </w:p>
    <w:p w:rsidR="002C0544" w:rsidRPr="00E16AEB" w:rsidRDefault="002C0544" w:rsidP="00E16AEB">
      <w:pPr>
        <w:tabs>
          <w:tab w:val="num" w:pos="1440"/>
        </w:tabs>
        <w:rPr>
          <w:lang w:val="en-GB"/>
        </w:rPr>
      </w:pPr>
      <w:r w:rsidRPr="00E16AEB">
        <w:rPr>
          <w:lang w:val="en-GB"/>
        </w:rPr>
        <w:t>A focus on case studies programmed annually to respond to evolving questions and needs is consistent with a developmental evaluation approach, but does not require additional resources of a developmental evaluator.  The result will be more appropriate for SOL3 and the needs of the scale-up of informal seed production and transition to MAF management of the research and formal seed systems.</w:t>
      </w:r>
    </w:p>
    <w:p w:rsidR="00AB61D6" w:rsidRPr="00E16AEB" w:rsidRDefault="00AB61D6" w:rsidP="00E16AEB">
      <w:pPr>
        <w:tabs>
          <w:tab w:val="num" w:pos="1440"/>
        </w:tabs>
        <w:rPr>
          <w:sz w:val="16"/>
          <w:szCs w:val="16"/>
          <w:lang w:val="en-GB"/>
        </w:rPr>
      </w:pPr>
    </w:p>
    <w:p w:rsidR="00FF27F0" w:rsidRPr="00E16AEB" w:rsidRDefault="004B4FDA" w:rsidP="00E16AEB">
      <w:pPr>
        <w:tabs>
          <w:tab w:val="num" w:pos="1440"/>
        </w:tabs>
        <w:rPr>
          <w:lang w:val="en-GB"/>
        </w:rPr>
      </w:pPr>
      <w:r w:rsidRPr="00E16AEB">
        <w:rPr>
          <w:lang w:val="en-GB"/>
        </w:rPr>
        <w:t>Case studies to consider for 2012/13</w:t>
      </w:r>
      <w:r w:rsidR="000A2C3F" w:rsidRPr="00E16AEB">
        <w:rPr>
          <w:lang w:val="en-GB"/>
        </w:rPr>
        <w:t>, to be implemented by the S</w:t>
      </w:r>
      <w:r w:rsidR="00AE4F0D" w:rsidRPr="00E16AEB">
        <w:rPr>
          <w:lang w:val="en-GB"/>
        </w:rPr>
        <w:t>OSEK</w:t>
      </w:r>
      <w:r w:rsidR="000A2C3F" w:rsidRPr="00E16AEB">
        <w:rPr>
          <w:lang w:val="en-GB"/>
        </w:rPr>
        <w:t xml:space="preserve"> Team or outsourced to contracted local evaluators,</w:t>
      </w:r>
      <w:r w:rsidRPr="00E16AEB">
        <w:rPr>
          <w:lang w:val="en-GB"/>
        </w:rPr>
        <w:t xml:space="preserve"> include:</w:t>
      </w:r>
    </w:p>
    <w:p w:rsidR="004B4FDA" w:rsidRDefault="008944DA" w:rsidP="00E16AEB">
      <w:pPr>
        <w:pStyle w:val="ListParagraph"/>
        <w:numPr>
          <w:ilvl w:val="0"/>
          <w:numId w:val="47"/>
        </w:numPr>
        <w:ind w:left="284" w:right="1" w:hanging="284"/>
        <w:jc w:val="both"/>
        <w:rPr>
          <w:spacing w:val="-4"/>
          <w:w w:val="105"/>
          <w:lang w:val="en-GB"/>
        </w:rPr>
      </w:pPr>
      <w:r>
        <w:rPr>
          <w:spacing w:val="-4"/>
          <w:w w:val="105"/>
          <w:lang w:val="en-GB"/>
        </w:rPr>
        <w:t>Performance of ISPGs formed in 2011 and NGO groups receiving SOL3 seed in 2011/12 growing season to identify drivers for behaviour change, keys to group cohesion and opportunities for group growth that would form the basis for a group typology to be used in rural development in Timor-Leste.</w:t>
      </w:r>
    </w:p>
    <w:p w:rsidR="004B4FDA" w:rsidRDefault="008944DA" w:rsidP="00E16AEB">
      <w:pPr>
        <w:pStyle w:val="ListParagraph"/>
        <w:numPr>
          <w:ilvl w:val="0"/>
          <w:numId w:val="47"/>
        </w:numPr>
        <w:ind w:left="284" w:right="1" w:hanging="284"/>
        <w:jc w:val="both"/>
        <w:rPr>
          <w:spacing w:val="-4"/>
          <w:w w:val="105"/>
          <w:lang w:val="en-GB"/>
        </w:rPr>
      </w:pPr>
      <w:r>
        <w:rPr>
          <w:spacing w:val="-4"/>
          <w:w w:val="105"/>
          <w:lang w:val="en-GB"/>
        </w:rPr>
        <w:t>Commence longitudinal studies of new ISPGs and NGO groups receiving SOL3 seed to track group growth and identify drivers for behaviour change and keys to group effectiveness in delivering food security for participating households.</w:t>
      </w:r>
    </w:p>
    <w:p w:rsidR="004B4FDA" w:rsidRDefault="006F7C0B" w:rsidP="00E16AEB">
      <w:pPr>
        <w:pStyle w:val="ListParagraph"/>
        <w:numPr>
          <w:ilvl w:val="0"/>
          <w:numId w:val="47"/>
        </w:numPr>
        <w:ind w:left="284" w:right="1" w:hanging="284"/>
        <w:jc w:val="both"/>
        <w:rPr>
          <w:spacing w:val="-4"/>
          <w:w w:val="105"/>
          <w:lang w:val="en-GB"/>
        </w:rPr>
      </w:pPr>
      <w:r>
        <w:rPr>
          <w:spacing w:val="-4"/>
          <w:w w:val="105"/>
          <w:lang w:val="en-GB"/>
        </w:rPr>
        <w:t xml:space="preserve">Impact of SOL2 rice activities </w:t>
      </w:r>
      <w:r w:rsidR="008944DA">
        <w:rPr>
          <w:spacing w:val="-4"/>
          <w:w w:val="105"/>
          <w:lang w:val="en-GB"/>
        </w:rPr>
        <w:t>o</w:t>
      </w:r>
      <w:r>
        <w:rPr>
          <w:spacing w:val="-4"/>
          <w:w w:val="105"/>
          <w:lang w:val="en-GB"/>
        </w:rPr>
        <w:t>n</w:t>
      </w:r>
      <w:r w:rsidR="008944DA">
        <w:rPr>
          <w:spacing w:val="-4"/>
          <w:w w:val="105"/>
          <w:lang w:val="en-GB"/>
        </w:rPr>
        <w:t xml:space="preserve"> participating farming households in</w:t>
      </w:r>
      <w:r>
        <w:rPr>
          <w:spacing w:val="-4"/>
          <w:w w:val="105"/>
          <w:lang w:val="en-GB"/>
        </w:rPr>
        <w:t xml:space="preserve"> </w:t>
      </w:r>
      <w:r w:rsidRPr="006F7C0B">
        <w:rPr>
          <w:i/>
          <w:spacing w:val="-4"/>
          <w:w w:val="105"/>
          <w:lang w:val="en-GB"/>
        </w:rPr>
        <w:t>sucos</w:t>
      </w:r>
      <w:r>
        <w:rPr>
          <w:spacing w:val="-4"/>
          <w:w w:val="105"/>
          <w:lang w:val="en-GB"/>
        </w:rPr>
        <w:t xml:space="preserve"> near Maliana</w:t>
      </w:r>
      <w:r w:rsidR="008944DA">
        <w:rPr>
          <w:spacing w:val="-4"/>
          <w:w w:val="105"/>
          <w:lang w:val="en-GB"/>
        </w:rPr>
        <w:t>, Bobonaro District.</w:t>
      </w:r>
    </w:p>
    <w:p w:rsidR="004B4FDA" w:rsidRDefault="00526EA2" w:rsidP="00E16AEB">
      <w:pPr>
        <w:pStyle w:val="ListParagraph"/>
        <w:numPr>
          <w:ilvl w:val="0"/>
          <w:numId w:val="47"/>
        </w:numPr>
        <w:ind w:left="284" w:right="1" w:hanging="284"/>
        <w:jc w:val="both"/>
        <w:rPr>
          <w:spacing w:val="-4"/>
          <w:w w:val="105"/>
          <w:lang w:val="en-GB"/>
        </w:rPr>
      </w:pPr>
      <w:r>
        <w:rPr>
          <w:spacing w:val="-4"/>
          <w:w w:val="105"/>
          <w:lang w:val="en-GB"/>
        </w:rPr>
        <w:t>Study of attitudes of farming women and men to agronomic practices that maximise the yield potential of improved varieties including plant spacing and planting depth, seed treatment</w:t>
      </w:r>
      <w:r w:rsidR="00775C84">
        <w:rPr>
          <w:spacing w:val="-4"/>
          <w:w w:val="105"/>
          <w:lang w:val="en-GB"/>
        </w:rPr>
        <w:t xml:space="preserve"> and</w:t>
      </w:r>
      <w:r>
        <w:rPr>
          <w:spacing w:val="-4"/>
          <w:w w:val="105"/>
          <w:lang w:val="en-GB"/>
        </w:rPr>
        <w:t xml:space="preserve"> weeding</w:t>
      </w:r>
      <w:r w:rsidR="00775C84">
        <w:rPr>
          <w:spacing w:val="-4"/>
          <w:w w:val="105"/>
          <w:lang w:val="en-GB"/>
        </w:rPr>
        <w:t xml:space="preserve">, but focusing particularly on attitudes to soil fertility and the use of organic and inorganic </w:t>
      </w:r>
      <w:r w:rsidR="00341940">
        <w:rPr>
          <w:spacing w:val="-4"/>
          <w:w w:val="105"/>
          <w:lang w:val="en-GB"/>
        </w:rPr>
        <w:t>fertilis</w:t>
      </w:r>
      <w:r w:rsidR="00775C84">
        <w:rPr>
          <w:spacing w:val="-4"/>
          <w:w w:val="105"/>
          <w:lang w:val="en-GB"/>
        </w:rPr>
        <w:t>ers.</w:t>
      </w:r>
    </w:p>
    <w:p w:rsidR="00547903" w:rsidRDefault="00547903" w:rsidP="00E16AEB">
      <w:pPr>
        <w:pStyle w:val="ListParagraph"/>
        <w:numPr>
          <w:ilvl w:val="0"/>
          <w:numId w:val="47"/>
        </w:numPr>
        <w:ind w:left="284" w:right="1" w:hanging="284"/>
        <w:jc w:val="both"/>
        <w:rPr>
          <w:spacing w:val="-4"/>
          <w:w w:val="105"/>
          <w:lang w:val="en-GB"/>
        </w:rPr>
      </w:pPr>
      <w:r>
        <w:rPr>
          <w:spacing w:val="-4"/>
          <w:w w:val="105"/>
          <w:lang w:val="en-GB"/>
        </w:rPr>
        <w:t xml:space="preserve">Study of the work conducted by </w:t>
      </w:r>
      <w:r w:rsidR="00984CFA">
        <w:rPr>
          <w:spacing w:val="-4"/>
          <w:w w:val="105"/>
          <w:lang w:val="en-GB"/>
        </w:rPr>
        <w:t xml:space="preserve">District Extension Officers and </w:t>
      </w:r>
      <w:r>
        <w:rPr>
          <w:spacing w:val="-4"/>
          <w:w w:val="105"/>
          <w:lang w:val="en-GB"/>
        </w:rPr>
        <w:t xml:space="preserve">SEOs to identify time spent in </w:t>
      </w:r>
      <w:r w:rsidR="00984CFA">
        <w:rPr>
          <w:spacing w:val="-4"/>
          <w:w w:val="105"/>
          <w:lang w:val="en-GB"/>
        </w:rPr>
        <w:t>logistics</w:t>
      </w:r>
      <w:r>
        <w:rPr>
          <w:spacing w:val="-4"/>
          <w:w w:val="105"/>
          <w:lang w:val="en-GB"/>
        </w:rPr>
        <w:t xml:space="preserve"> and transactions, the time spent engaged with community clients and the </w:t>
      </w:r>
      <w:r w:rsidR="00984CFA">
        <w:rPr>
          <w:spacing w:val="-4"/>
          <w:w w:val="105"/>
          <w:lang w:val="en-GB"/>
        </w:rPr>
        <w:t>time spent in organisational affairs so that any opportunities for increased effectiveness or efficiency might be realised.</w:t>
      </w:r>
    </w:p>
    <w:p w:rsidR="00984CFA" w:rsidRDefault="00547903" w:rsidP="00E16AEB">
      <w:pPr>
        <w:pStyle w:val="ListParagraph"/>
        <w:numPr>
          <w:ilvl w:val="0"/>
          <w:numId w:val="47"/>
        </w:numPr>
        <w:ind w:left="284" w:right="1" w:hanging="284"/>
        <w:jc w:val="both"/>
        <w:rPr>
          <w:spacing w:val="-4"/>
          <w:w w:val="105"/>
          <w:lang w:val="en-GB"/>
        </w:rPr>
      </w:pPr>
      <w:r>
        <w:rPr>
          <w:spacing w:val="-4"/>
          <w:w w:val="105"/>
          <w:lang w:val="en-GB"/>
        </w:rPr>
        <w:t>Study of the uses made of mobile telephony by cereal farmers in 7 target districts of Timor-Leste to identify opportunities for improved communication and agri-business development as the mobile telephone market is liberalised during the life of SOL3</w:t>
      </w:r>
      <w:r w:rsidR="00984CFA">
        <w:rPr>
          <w:spacing w:val="-4"/>
          <w:w w:val="105"/>
          <w:lang w:val="en-GB"/>
        </w:rPr>
        <w:t>.</w:t>
      </w:r>
    </w:p>
    <w:p w:rsidR="00775C84" w:rsidRDefault="00887412" w:rsidP="00E16AEB">
      <w:pPr>
        <w:pStyle w:val="ListParagraph"/>
        <w:numPr>
          <w:ilvl w:val="0"/>
          <w:numId w:val="47"/>
        </w:numPr>
        <w:ind w:left="284" w:right="1" w:hanging="284"/>
        <w:jc w:val="both"/>
        <w:rPr>
          <w:spacing w:val="-4"/>
          <w:w w:val="105"/>
          <w:lang w:val="en-GB"/>
        </w:rPr>
      </w:pPr>
      <w:r>
        <w:rPr>
          <w:spacing w:val="-4"/>
          <w:w w:val="105"/>
          <w:lang w:val="en-GB"/>
        </w:rPr>
        <w:t>Review the</w:t>
      </w:r>
      <w:r w:rsidRPr="00887412">
        <w:rPr>
          <w:spacing w:val="-4"/>
          <w:w w:val="105"/>
          <w:lang w:val="en-GB"/>
        </w:rPr>
        <w:t xml:space="preserve"> efficiency of formal seed production </w:t>
      </w:r>
      <w:r>
        <w:rPr>
          <w:spacing w:val="-4"/>
          <w:w w:val="105"/>
          <w:lang w:val="en-GB"/>
        </w:rPr>
        <w:t>by calculating</w:t>
      </w:r>
      <w:r w:rsidRPr="00887412">
        <w:rPr>
          <w:spacing w:val="-4"/>
          <w:w w:val="105"/>
          <w:lang w:val="en-GB"/>
        </w:rPr>
        <w:t xml:space="preserve"> the full cost of producing </w:t>
      </w:r>
      <w:r w:rsidR="00775C84">
        <w:rPr>
          <w:spacing w:val="-4"/>
          <w:w w:val="105"/>
          <w:lang w:val="en-GB"/>
        </w:rPr>
        <w:t xml:space="preserve">breeder, </w:t>
      </w:r>
      <w:r w:rsidRPr="00887412">
        <w:rPr>
          <w:spacing w:val="-4"/>
          <w:w w:val="105"/>
          <w:lang w:val="en-GB"/>
        </w:rPr>
        <w:t>foundation and certified seed and us</w:t>
      </w:r>
      <w:r>
        <w:rPr>
          <w:spacing w:val="-4"/>
          <w:w w:val="105"/>
          <w:lang w:val="en-GB"/>
        </w:rPr>
        <w:t>ing this to</w:t>
      </w:r>
      <w:r w:rsidRPr="00887412">
        <w:rPr>
          <w:spacing w:val="-4"/>
          <w:w w:val="105"/>
          <w:lang w:val="en-GB"/>
        </w:rPr>
        <w:t xml:space="preserve"> determine the most efficient options for cost recovery and for producing the amount of formal seed required to meet the needs of planned ISPG activities in SOL3 and with NGOs.</w:t>
      </w:r>
    </w:p>
    <w:p w:rsidR="00775C84" w:rsidRDefault="00775C84" w:rsidP="00E16AEB">
      <w:pPr>
        <w:pStyle w:val="ListParagraph"/>
        <w:numPr>
          <w:ilvl w:val="0"/>
          <w:numId w:val="47"/>
        </w:numPr>
        <w:ind w:left="284" w:right="1" w:hanging="284"/>
        <w:jc w:val="both"/>
        <w:rPr>
          <w:spacing w:val="-4"/>
          <w:w w:val="105"/>
          <w:lang w:val="en-GB"/>
        </w:rPr>
      </w:pPr>
      <w:r>
        <w:rPr>
          <w:spacing w:val="-4"/>
          <w:w w:val="105"/>
          <w:lang w:val="en-GB"/>
        </w:rPr>
        <w:lastRenderedPageBreak/>
        <w:t>An economic comparison of the impact of imported rice on the rice production sector in Timor</w:t>
      </w:r>
      <w:r w:rsidR="00F43166">
        <w:rPr>
          <w:spacing w:val="-4"/>
          <w:w w:val="105"/>
          <w:lang w:val="en-GB"/>
        </w:rPr>
        <w:t>-</w:t>
      </w:r>
      <w:r>
        <w:rPr>
          <w:spacing w:val="-4"/>
          <w:w w:val="105"/>
          <w:lang w:val="en-GB"/>
        </w:rPr>
        <w:t>Leste</w:t>
      </w:r>
      <w:r w:rsidR="00D76789">
        <w:rPr>
          <w:spacing w:val="-4"/>
          <w:w w:val="105"/>
          <w:lang w:val="en-GB"/>
        </w:rPr>
        <w:t xml:space="preserve"> and its cost effectiveness </w:t>
      </w:r>
      <w:r w:rsidR="00F43166">
        <w:rPr>
          <w:spacing w:val="-4"/>
          <w:w w:val="105"/>
          <w:lang w:val="en-GB"/>
        </w:rPr>
        <w:t>compared with</w:t>
      </w:r>
      <w:r w:rsidR="00D76789">
        <w:rPr>
          <w:spacing w:val="-4"/>
          <w:w w:val="105"/>
          <w:lang w:val="en-GB"/>
        </w:rPr>
        <w:t xml:space="preserve"> investments in crop inputs and their distribution (this will inform policy on food security)</w:t>
      </w:r>
      <w:r w:rsidR="00F43166">
        <w:rPr>
          <w:spacing w:val="-4"/>
          <w:w w:val="105"/>
          <w:lang w:val="en-GB"/>
        </w:rPr>
        <w:t>.</w:t>
      </w:r>
    </w:p>
    <w:p w:rsidR="00775C84" w:rsidRDefault="00775C84" w:rsidP="00E16AEB">
      <w:pPr>
        <w:pStyle w:val="ListParagraph"/>
        <w:numPr>
          <w:ilvl w:val="0"/>
          <w:numId w:val="47"/>
        </w:numPr>
        <w:ind w:left="284" w:right="1" w:hanging="284"/>
        <w:jc w:val="both"/>
        <w:rPr>
          <w:spacing w:val="-4"/>
          <w:w w:val="105"/>
          <w:lang w:val="en-GB"/>
        </w:rPr>
      </w:pPr>
      <w:r>
        <w:rPr>
          <w:spacing w:val="-4"/>
          <w:w w:val="105"/>
          <w:lang w:val="en-GB"/>
        </w:rPr>
        <w:t>An assessment of the effects</w:t>
      </w:r>
      <w:r w:rsidR="00335604">
        <w:rPr>
          <w:spacing w:val="-4"/>
          <w:w w:val="105"/>
          <w:lang w:val="en-GB"/>
        </w:rPr>
        <w:t xml:space="preserve"> on the agricultural sector</w:t>
      </w:r>
      <w:r>
        <w:rPr>
          <w:spacing w:val="-4"/>
          <w:w w:val="105"/>
          <w:lang w:val="en-GB"/>
        </w:rPr>
        <w:t xml:space="preserve"> of imported seed of untested varie</w:t>
      </w:r>
      <w:r w:rsidR="00335604">
        <w:rPr>
          <w:spacing w:val="-4"/>
          <w:w w:val="105"/>
          <w:lang w:val="en-GB"/>
        </w:rPr>
        <w:t xml:space="preserve">ties </w:t>
      </w:r>
      <w:r>
        <w:rPr>
          <w:spacing w:val="-4"/>
          <w:w w:val="105"/>
          <w:lang w:val="en-GB"/>
        </w:rPr>
        <w:t>distributed</w:t>
      </w:r>
      <w:r w:rsidR="00335604">
        <w:rPr>
          <w:spacing w:val="-4"/>
          <w:w w:val="105"/>
          <w:lang w:val="en-GB"/>
        </w:rPr>
        <w:t xml:space="preserve"> free by the GoT-L </w:t>
      </w:r>
      <w:r w:rsidR="00F43166">
        <w:rPr>
          <w:spacing w:val="-4"/>
          <w:w w:val="105"/>
          <w:lang w:val="en-GB"/>
        </w:rPr>
        <w:t>compared with</w:t>
      </w:r>
      <w:r w:rsidR="00335604">
        <w:rPr>
          <w:spacing w:val="-4"/>
          <w:w w:val="105"/>
          <w:lang w:val="en-GB"/>
        </w:rPr>
        <w:t xml:space="preserve"> a research-based process of varietal identification and national seed production</w:t>
      </w:r>
      <w:r>
        <w:rPr>
          <w:spacing w:val="-4"/>
          <w:w w:val="105"/>
          <w:lang w:val="en-GB"/>
        </w:rPr>
        <w:t xml:space="preserve"> </w:t>
      </w:r>
      <w:r w:rsidR="00D76789">
        <w:rPr>
          <w:spacing w:val="-4"/>
          <w:w w:val="105"/>
          <w:lang w:val="en-GB"/>
        </w:rPr>
        <w:t>(this will inform policy on seed)</w:t>
      </w:r>
      <w:r w:rsidR="00F43166">
        <w:rPr>
          <w:spacing w:val="-4"/>
          <w:w w:val="105"/>
          <w:lang w:val="en-GB"/>
        </w:rPr>
        <w:t>.</w:t>
      </w:r>
    </w:p>
    <w:p w:rsidR="008A5CED" w:rsidRDefault="008A5CED" w:rsidP="00E16AEB">
      <w:pPr>
        <w:pStyle w:val="ListParagraph"/>
        <w:numPr>
          <w:ilvl w:val="0"/>
          <w:numId w:val="47"/>
        </w:numPr>
        <w:ind w:left="284" w:right="1" w:hanging="284"/>
        <w:jc w:val="both"/>
        <w:rPr>
          <w:spacing w:val="-4"/>
          <w:w w:val="105"/>
          <w:lang w:val="en-GB"/>
        </w:rPr>
      </w:pPr>
      <w:r>
        <w:rPr>
          <w:spacing w:val="-4"/>
          <w:w w:val="105"/>
          <w:lang w:val="en-GB"/>
        </w:rPr>
        <w:t>An assessment of the effects on the formal and informal seed sectors of targeting vs. non-targeting the distribution of free seed by MAF (this will inform seed policy)</w:t>
      </w:r>
    </w:p>
    <w:p w:rsidR="00D76789" w:rsidRPr="00EA35F8" w:rsidRDefault="00D76789" w:rsidP="006D1961">
      <w:pPr>
        <w:rPr>
          <w:w w:val="105"/>
          <w:sz w:val="16"/>
          <w:szCs w:val="16"/>
          <w:lang w:val="en-GB"/>
        </w:rPr>
      </w:pPr>
    </w:p>
    <w:p w:rsidR="002C0544" w:rsidRPr="002C0544" w:rsidRDefault="002C0544" w:rsidP="00FF27F0">
      <w:pPr>
        <w:ind w:right="144"/>
        <w:rPr>
          <w:b/>
          <w:i/>
          <w:spacing w:val="-4"/>
          <w:w w:val="105"/>
          <w:lang w:val="en-GB"/>
        </w:rPr>
      </w:pPr>
      <w:r w:rsidRPr="002C0544">
        <w:rPr>
          <w:b/>
          <w:i/>
          <w:spacing w:val="-4"/>
          <w:w w:val="105"/>
          <w:lang w:val="en-GB"/>
        </w:rPr>
        <w:t>Revise and finalise the evaluation framework by June 2012</w:t>
      </w:r>
    </w:p>
    <w:p w:rsidR="002C0544" w:rsidRPr="00FF27F0" w:rsidRDefault="002C0544" w:rsidP="00E16AEB">
      <w:pPr>
        <w:ind w:right="1"/>
        <w:rPr>
          <w:spacing w:val="-4"/>
          <w:w w:val="105"/>
          <w:lang w:val="en-GB"/>
        </w:rPr>
      </w:pPr>
      <w:r w:rsidRPr="00FF27F0">
        <w:rPr>
          <w:spacing w:val="-4"/>
          <w:w w:val="105"/>
          <w:lang w:val="en-GB"/>
        </w:rPr>
        <w:t>With these revisions the evaluation framework should be completed in</w:t>
      </w:r>
      <w:r>
        <w:rPr>
          <w:spacing w:val="-4"/>
          <w:w w:val="105"/>
          <w:lang w:val="en-GB"/>
        </w:rPr>
        <w:t xml:space="preserve"> this simplified form. </w:t>
      </w:r>
      <w:r w:rsidRPr="00FF27F0">
        <w:rPr>
          <w:spacing w:val="-4"/>
          <w:w w:val="105"/>
          <w:lang w:val="en-GB"/>
        </w:rPr>
        <w:t xml:space="preserve">The methods presented in the evaluation framework should include document review, semi-structured interviews, focus groups, goal attainment scaling and case studies as well as any other group capacity methods such as Joint Organisational Assessment </w:t>
      </w:r>
      <w:r>
        <w:rPr>
          <w:spacing w:val="-4"/>
          <w:w w:val="105"/>
          <w:lang w:val="en-GB"/>
        </w:rPr>
        <w:t xml:space="preserve">(a tool developed for small-group monitoring in AusAID community development programs in PNG) </w:t>
      </w:r>
      <w:r w:rsidRPr="00FF27F0">
        <w:rPr>
          <w:spacing w:val="-4"/>
          <w:w w:val="105"/>
          <w:lang w:val="en-GB"/>
        </w:rPr>
        <w:t>if considered necessary.  Unless there is a strong reason to make the required investment, there is no need to include Most Significant Change in the evaluation methods.</w:t>
      </w:r>
    </w:p>
    <w:p w:rsidR="002C0544" w:rsidRPr="00887412" w:rsidRDefault="002C0544" w:rsidP="00E16AEB">
      <w:pPr>
        <w:ind w:right="1"/>
        <w:rPr>
          <w:spacing w:val="-4"/>
          <w:w w:val="105"/>
          <w:sz w:val="16"/>
          <w:szCs w:val="16"/>
          <w:lang w:val="en-GB"/>
        </w:rPr>
      </w:pPr>
    </w:p>
    <w:p w:rsidR="00FF27F0" w:rsidRPr="00FF27F0" w:rsidRDefault="00FF27F0" w:rsidP="00E16AEB">
      <w:pPr>
        <w:ind w:right="1"/>
        <w:rPr>
          <w:spacing w:val="-4"/>
          <w:w w:val="105"/>
          <w:lang w:val="en-GB"/>
        </w:rPr>
      </w:pPr>
      <w:r w:rsidRPr="00FF27F0">
        <w:rPr>
          <w:spacing w:val="-4"/>
          <w:w w:val="105"/>
          <w:lang w:val="en-GB"/>
        </w:rPr>
        <w:t>The evaluation framework should be completed by June 2012 and designed to include a schedule of case study evaluations during 2012 and early 2013.  That schedule should be included in the final 2012/13 Annual Plan.  The Annual Plan should include resources (from M&amp;E/S</w:t>
      </w:r>
      <w:r w:rsidR="00AE4F0D">
        <w:rPr>
          <w:spacing w:val="-4"/>
          <w:w w:val="105"/>
          <w:lang w:val="en-GB"/>
        </w:rPr>
        <w:t>OSEK</w:t>
      </w:r>
      <w:r w:rsidRPr="00FF27F0">
        <w:rPr>
          <w:spacing w:val="-4"/>
          <w:w w:val="105"/>
          <w:lang w:val="en-GB"/>
        </w:rPr>
        <w:t xml:space="preserve"> team, contracted evaluators and MAF staff) to enable 8-10 case studies to be implemented during 2012/13.</w:t>
      </w:r>
    </w:p>
    <w:p w:rsidR="00FF27F0" w:rsidRPr="00DB01DE" w:rsidRDefault="00FF27F0" w:rsidP="00FF27F0">
      <w:pPr>
        <w:ind w:right="144"/>
        <w:rPr>
          <w:spacing w:val="-4"/>
          <w:w w:val="105"/>
          <w:sz w:val="16"/>
          <w:szCs w:val="16"/>
          <w:lang w:val="en-GB"/>
        </w:rPr>
      </w:pPr>
    </w:p>
    <w:p w:rsidR="002C0544" w:rsidRPr="00FF27F0" w:rsidRDefault="002C0544" w:rsidP="002C0544">
      <w:pPr>
        <w:pStyle w:val="Heading2"/>
        <w:rPr>
          <w:w w:val="105"/>
          <w:lang w:val="en-GB"/>
        </w:rPr>
      </w:pPr>
      <w:bookmarkStart w:id="15" w:name="_Toc326845346"/>
      <w:r>
        <w:rPr>
          <w:w w:val="105"/>
          <w:lang w:val="en-GB"/>
        </w:rPr>
        <w:t>End-of-program outcomes</w:t>
      </w:r>
      <w:bookmarkEnd w:id="15"/>
    </w:p>
    <w:p w:rsidR="00FF27F0" w:rsidRPr="00FF27F0" w:rsidRDefault="00FF27F0" w:rsidP="00E16AEB">
      <w:pPr>
        <w:ind w:right="1"/>
        <w:rPr>
          <w:spacing w:val="-4"/>
          <w:w w:val="105"/>
          <w:lang w:val="en-GB"/>
        </w:rPr>
      </w:pPr>
      <w:r w:rsidRPr="002C0544">
        <w:rPr>
          <w:spacing w:val="-4"/>
          <w:w w:val="105"/>
          <w:lang w:val="en-GB"/>
        </w:rPr>
        <w:t>End-of-program outcomes need refinement to reflect expected behaviour changes</w:t>
      </w:r>
      <w:r w:rsidR="002C0544">
        <w:rPr>
          <w:spacing w:val="-4"/>
          <w:w w:val="105"/>
          <w:lang w:val="en-GB"/>
        </w:rPr>
        <w:t xml:space="preserve">.  </w:t>
      </w:r>
      <w:r w:rsidRPr="00FF27F0">
        <w:rPr>
          <w:spacing w:val="-4"/>
          <w:w w:val="105"/>
          <w:lang w:val="en-GB"/>
        </w:rPr>
        <w:t>The SOL3 design included detailed end-of-program outcomes.  In the M&amp;E standards used for Timor-Leste under the AusAID Evaluation Capacity Building Program (ECB), end-of-program outcomes should describe who will be doing what differently on the last day of the program.  As such they should describe behaviour change that can be realistically expected at the end of the program.</w:t>
      </w:r>
    </w:p>
    <w:p w:rsidR="00FF27F0" w:rsidRPr="00DB01DE" w:rsidRDefault="00FF27F0" w:rsidP="00E16AEB">
      <w:pPr>
        <w:ind w:right="1"/>
        <w:rPr>
          <w:spacing w:val="-4"/>
          <w:w w:val="105"/>
          <w:sz w:val="16"/>
          <w:szCs w:val="16"/>
          <w:lang w:val="en-GB"/>
        </w:rPr>
      </w:pPr>
    </w:p>
    <w:p w:rsidR="00DB01DE" w:rsidRDefault="00FF27F0" w:rsidP="00E16AEB">
      <w:pPr>
        <w:ind w:right="1"/>
        <w:rPr>
          <w:spacing w:val="-4"/>
          <w:w w:val="105"/>
          <w:lang w:val="en-GB"/>
        </w:rPr>
      </w:pPr>
      <w:r w:rsidRPr="00FF27F0">
        <w:rPr>
          <w:spacing w:val="-4"/>
          <w:w w:val="105"/>
          <w:lang w:val="en-GB"/>
        </w:rPr>
        <w:t>The current end-of-program outcomes (see Table 3, page 20 SOL3 Performance Management Plan) do not consistently meet the ECB standard for end-of-program outcomes.  Most describe outputs (</w:t>
      </w:r>
      <w:r w:rsidR="00612968" w:rsidRPr="00FF27F0">
        <w:rPr>
          <w:spacing w:val="-4"/>
          <w:w w:val="105"/>
          <w:lang w:val="en-GB"/>
        </w:rPr>
        <w:t xml:space="preserve">program </w:t>
      </w:r>
      <w:r w:rsidRPr="00FF27F0">
        <w:rPr>
          <w:spacing w:val="-4"/>
          <w:w w:val="105"/>
          <w:lang w:val="en-GB"/>
        </w:rPr>
        <w:t>deliver</w:t>
      </w:r>
      <w:r w:rsidR="00612968">
        <w:rPr>
          <w:spacing w:val="-4"/>
          <w:w w:val="105"/>
          <w:lang w:val="en-GB"/>
        </w:rPr>
        <w:t>ables</w:t>
      </w:r>
      <w:r w:rsidRPr="00FF27F0">
        <w:rPr>
          <w:spacing w:val="-4"/>
          <w:w w:val="105"/>
          <w:lang w:val="en-GB"/>
        </w:rPr>
        <w:t>) rather than behaviour change.</w:t>
      </w:r>
    </w:p>
    <w:p w:rsidR="00AB61D6" w:rsidRPr="00DB01DE" w:rsidRDefault="00AB61D6" w:rsidP="00E16AEB">
      <w:pPr>
        <w:ind w:right="1"/>
        <w:rPr>
          <w:spacing w:val="-4"/>
          <w:w w:val="105"/>
          <w:sz w:val="16"/>
          <w:szCs w:val="16"/>
          <w:lang w:val="en-GB"/>
        </w:rPr>
      </w:pPr>
    </w:p>
    <w:p w:rsidR="00FF27F0" w:rsidRPr="00FF27F0" w:rsidRDefault="00FF27F0" w:rsidP="00E16AEB">
      <w:pPr>
        <w:ind w:right="1"/>
        <w:rPr>
          <w:spacing w:val="-4"/>
          <w:w w:val="105"/>
          <w:lang w:val="en-GB"/>
        </w:rPr>
      </w:pPr>
      <w:proofErr w:type="gramStart"/>
      <w:r w:rsidRPr="00FF27F0">
        <w:rPr>
          <w:spacing w:val="-4"/>
          <w:w w:val="105"/>
          <w:lang w:val="en-GB"/>
        </w:rPr>
        <w:t>Simpler,</w:t>
      </w:r>
      <w:proofErr w:type="gramEnd"/>
      <w:r w:rsidRPr="00FF27F0">
        <w:rPr>
          <w:spacing w:val="-4"/>
          <w:w w:val="105"/>
          <w:lang w:val="en-GB"/>
        </w:rPr>
        <w:t xml:space="preserve"> and more suitable end-of-program outcomes could be presented as:</w:t>
      </w:r>
    </w:p>
    <w:p w:rsidR="00FF27F0" w:rsidRPr="004D3B72" w:rsidRDefault="00FF27F0" w:rsidP="00E16AEB">
      <w:pPr>
        <w:pStyle w:val="ListParagraph"/>
        <w:numPr>
          <w:ilvl w:val="0"/>
          <w:numId w:val="47"/>
        </w:numPr>
        <w:ind w:left="284" w:right="1" w:hanging="284"/>
        <w:jc w:val="both"/>
        <w:rPr>
          <w:spacing w:val="-4"/>
          <w:w w:val="105"/>
          <w:lang w:val="en-GB"/>
        </w:rPr>
      </w:pPr>
      <w:r w:rsidRPr="004D3B72">
        <w:rPr>
          <w:b/>
          <w:spacing w:val="-4"/>
          <w:w w:val="105"/>
          <w:lang w:val="en-GB"/>
        </w:rPr>
        <w:t>Purpose</w:t>
      </w:r>
      <w:r w:rsidRPr="004D3B72">
        <w:rPr>
          <w:spacing w:val="-4"/>
          <w:w w:val="105"/>
          <w:lang w:val="en-GB"/>
        </w:rPr>
        <w:t xml:space="preserve"> –</w:t>
      </w:r>
      <w:r w:rsidR="004D3B72">
        <w:rPr>
          <w:spacing w:val="-4"/>
          <w:w w:val="105"/>
          <w:lang w:val="en-GB"/>
        </w:rPr>
        <w:t xml:space="preserve"> 81,000 farmers – 35,000 rice</w:t>
      </w:r>
      <w:r w:rsidR="004D3B72" w:rsidRPr="004D3B72">
        <w:rPr>
          <w:spacing w:val="-4"/>
          <w:w w:val="105"/>
          <w:lang w:val="en-GB"/>
        </w:rPr>
        <w:t xml:space="preserve"> farmers and 4</w:t>
      </w:r>
      <w:r w:rsidR="004D3B72">
        <w:rPr>
          <w:spacing w:val="-4"/>
          <w:w w:val="105"/>
          <w:lang w:val="en-GB"/>
        </w:rPr>
        <w:t>6,00</w:t>
      </w:r>
      <w:r w:rsidR="004D3B72" w:rsidRPr="004D3B72">
        <w:rPr>
          <w:spacing w:val="-4"/>
          <w:w w:val="105"/>
          <w:lang w:val="en-GB"/>
        </w:rPr>
        <w:t xml:space="preserve">0 of upland farmers </w:t>
      </w:r>
      <w:r w:rsidR="004D3B72">
        <w:rPr>
          <w:spacing w:val="-4"/>
          <w:w w:val="105"/>
          <w:lang w:val="en-GB"/>
        </w:rPr>
        <w:t xml:space="preserve">– </w:t>
      </w:r>
      <w:r w:rsidR="004D3B72" w:rsidRPr="004D3B72">
        <w:rPr>
          <w:spacing w:val="-4"/>
          <w:w w:val="105"/>
          <w:lang w:val="en-GB"/>
        </w:rPr>
        <w:t>grow</w:t>
      </w:r>
      <w:r w:rsidR="004D3B72">
        <w:rPr>
          <w:spacing w:val="-4"/>
          <w:w w:val="105"/>
          <w:lang w:val="en-GB"/>
        </w:rPr>
        <w:t xml:space="preserve"> </w:t>
      </w:r>
      <w:r w:rsidR="004D3B72" w:rsidRPr="004D3B72">
        <w:rPr>
          <w:spacing w:val="-4"/>
          <w:w w:val="105"/>
          <w:lang w:val="en-GB"/>
        </w:rPr>
        <w:t>one or more MAF/SOL varieties</w:t>
      </w:r>
      <w:r w:rsidRPr="004D3B72">
        <w:rPr>
          <w:spacing w:val="-4"/>
          <w:w w:val="105"/>
          <w:lang w:val="en-GB"/>
        </w:rPr>
        <w:t>.</w:t>
      </w:r>
    </w:p>
    <w:p w:rsidR="00FF27F0" w:rsidRPr="00FF27F0" w:rsidRDefault="00FF27F0" w:rsidP="00E16AEB">
      <w:pPr>
        <w:pStyle w:val="ListParagraph"/>
        <w:numPr>
          <w:ilvl w:val="0"/>
          <w:numId w:val="47"/>
        </w:numPr>
        <w:ind w:left="284" w:right="1" w:hanging="284"/>
        <w:jc w:val="both"/>
        <w:rPr>
          <w:spacing w:val="-4"/>
          <w:w w:val="105"/>
          <w:lang w:val="en-GB"/>
        </w:rPr>
      </w:pPr>
      <w:r w:rsidRPr="00FF27F0">
        <w:rPr>
          <w:b/>
          <w:spacing w:val="-4"/>
          <w:w w:val="105"/>
          <w:lang w:val="en-GB"/>
        </w:rPr>
        <w:t>Component 1</w:t>
      </w:r>
      <w:r w:rsidRPr="00FF27F0">
        <w:rPr>
          <w:spacing w:val="-4"/>
          <w:w w:val="105"/>
          <w:lang w:val="en-GB"/>
        </w:rPr>
        <w:t xml:space="preserve"> – MAF research </w:t>
      </w:r>
      <w:proofErr w:type="gramStart"/>
      <w:r w:rsidRPr="00FF27F0">
        <w:rPr>
          <w:spacing w:val="-4"/>
          <w:w w:val="105"/>
          <w:lang w:val="en-GB"/>
        </w:rPr>
        <w:t>staff competently manage</w:t>
      </w:r>
      <w:proofErr w:type="gramEnd"/>
      <w:r w:rsidRPr="00FF27F0">
        <w:rPr>
          <w:spacing w:val="-4"/>
          <w:w w:val="105"/>
          <w:lang w:val="en-GB"/>
        </w:rPr>
        <w:t xml:space="preserve"> all phases of the research cycle including budget preparation and negotiation, objective setting, planning and </w:t>
      </w:r>
      <w:r w:rsidR="000A1787">
        <w:rPr>
          <w:spacing w:val="-4"/>
          <w:w w:val="105"/>
          <w:lang w:val="en-GB"/>
        </w:rPr>
        <w:t>field execution</w:t>
      </w:r>
      <w:r w:rsidRPr="00FF27F0">
        <w:rPr>
          <w:spacing w:val="-4"/>
          <w:w w:val="105"/>
          <w:lang w:val="en-GB"/>
        </w:rPr>
        <w:t xml:space="preserve"> of trials, analysis</w:t>
      </w:r>
      <w:r w:rsidR="000A1787">
        <w:rPr>
          <w:spacing w:val="-4"/>
          <w:w w:val="105"/>
          <w:lang w:val="en-GB"/>
        </w:rPr>
        <w:t>,</w:t>
      </w:r>
      <w:r w:rsidRPr="00FF27F0">
        <w:rPr>
          <w:spacing w:val="-4"/>
          <w:w w:val="105"/>
          <w:lang w:val="en-GB"/>
        </w:rPr>
        <w:t xml:space="preserve"> </w:t>
      </w:r>
      <w:r w:rsidR="000A1787">
        <w:rPr>
          <w:spacing w:val="-4"/>
          <w:w w:val="105"/>
          <w:lang w:val="en-GB"/>
        </w:rPr>
        <w:t xml:space="preserve">hypothesis testing </w:t>
      </w:r>
      <w:r w:rsidRPr="00FF27F0">
        <w:rPr>
          <w:spacing w:val="-4"/>
          <w:w w:val="105"/>
          <w:lang w:val="en-GB"/>
        </w:rPr>
        <w:t>and reporting.</w:t>
      </w:r>
    </w:p>
    <w:p w:rsidR="00FF27F0" w:rsidRPr="00FF27F0" w:rsidRDefault="00FF27F0" w:rsidP="00E16AEB">
      <w:pPr>
        <w:pStyle w:val="ListParagraph"/>
        <w:numPr>
          <w:ilvl w:val="0"/>
          <w:numId w:val="47"/>
        </w:numPr>
        <w:ind w:left="284" w:right="1" w:hanging="284"/>
        <w:jc w:val="both"/>
        <w:rPr>
          <w:spacing w:val="-4"/>
          <w:w w:val="105"/>
          <w:lang w:val="en-GB"/>
        </w:rPr>
      </w:pPr>
      <w:r w:rsidRPr="00FF27F0">
        <w:rPr>
          <w:b/>
          <w:spacing w:val="-4"/>
          <w:w w:val="105"/>
          <w:lang w:val="en-GB"/>
        </w:rPr>
        <w:t>Component 2</w:t>
      </w:r>
      <w:r w:rsidRPr="00FF27F0">
        <w:rPr>
          <w:spacing w:val="-4"/>
          <w:w w:val="105"/>
          <w:lang w:val="en-GB"/>
        </w:rPr>
        <w:t xml:space="preserve"> – MAF seed production staff competently manage the efficient production and processing of targeted quantities of formal seed and MAF extension staff competently manage the efficient distribution of this seed to farmers.</w:t>
      </w:r>
    </w:p>
    <w:p w:rsidR="00FF27F0" w:rsidRPr="00FF27F0" w:rsidRDefault="00FF27F0" w:rsidP="00E16AEB">
      <w:pPr>
        <w:pStyle w:val="ListParagraph"/>
        <w:numPr>
          <w:ilvl w:val="0"/>
          <w:numId w:val="47"/>
        </w:numPr>
        <w:ind w:left="284" w:right="1" w:hanging="284"/>
        <w:jc w:val="both"/>
        <w:rPr>
          <w:spacing w:val="-4"/>
          <w:w w:val="105"/>
          <w:lang w:val="en-GB"/>
        </w:rPr>
      </w:pPr>
      <w:r w:rsidRPr="00FF27F0">
        <w:rPr>
          <w:b/>
          <w:spacing w:val="-4"/>
          <w:w w:val="105"/>
          <w:lang w:val="en-GB"/>
        </w:rPr>
        <w:t>Component 3a</w:t>
      </w:r>
      <w:r w:rsidRPr="00FF27F0">
        <w:rPr>
          <w:spacing w:val="-4"/>
          <w:w w:val="105"/>
          <w:lang w:val="en-GB"/>
        </w:rPr>
        <w:t xml:space="preserve"> – MAF extension services staff and district officers com</w:t>
      </w:r>
      <w:r w:rsidR="000A1787">
        <w:rPr>
          <w:spacing w:val="-4"/>
          <w:w w:val="105"/>
          <w:lang w:val="en-GB"/>
        </w:rPr>
        <w:t>petently establish and support I</w:t>
      </w:r>
      <w:r w:rsidRPr="00FF27F0">
        <w:rPr>
          <w:spacing w:val="-4"/>
          <w:w w:val="105"/>
          <w:lang w:val="en-GB"/>
        </w:rPr>
        <w:t xml:space="preserve">SPGs to produce quality seed of </w:t>
      </w:r>
      <w:r w:rsidR="000A1787">
        <w:rPr>
          <w:spacing w:val="-4"/>
          <w:w w:val="105"/>
          <w:lang w:val="en-GB"/>
        </w:rPr>
        <w:t>improved</w:t>
      </w:r>
      <w:r w:rsidRPr="00FF27F0">
        <w:rPr>
          <w:spacing w:val="-4"/>
          <w:w w:val="105"/>
          <w:lang w:val="en-GB"/>
        </w:rPr>
        <w:t xml:space="preserve"> varieties in required quantities.</w:t>
      </w:r>
    </w:p>
    <w:p w:rsidR="00FF27F0" w:rsidRPr="00FF27F0" w:rsidRDefault="00FF27F0" w:rsidP="00E16AEB">
      <w:pPr>
        <w:pStyle w:val="ListParagraph"/>
        <w:numPr>
          <w:ilvl w:val="0"/>
          <w:numId w:val="47"/>
        </w:numPr>
        <w:ind w:left="284" w:right="1" w:hanging="284"/>
        <w:jc w:val="both"/>
        <w:rPr>
          <w:spacing w:val="-4"/>
          <w:w w:val="105"/>
          <w:lang w:val="en-GB"/>
        </w:rPr>
      </w:pPr>
      <w:r w:rsidRPr="00FF27F0">
        <w:rPr>
          <w:b/>
          <w:spacing w:val="-4"/>
          <w:w w:val="105"/>
          <w:lang w:val="en-GB"/>
        </w:rPr>
        <w:t>Component 3b</w:t>
      </w:r>
      <w:r w:rsidR="000A1787">
        <w:rPr>
          <w:spacing w:val="-4"/>
          <w:w w:val="105"/>
          <w:lang w:val="en-GB"/>
        </w:rPr>
        <w:t xml:space="preserve"> – Women and men members of I</w:t>
      </w:r>
      <w:r w:rsidRPr="00FF27F0">
        <w:rPr>
          <w:spacing w:val="-4"/>
          <w:w w:val="105"/>
          <w:lang w:val="en-GB"/>
        </w:rPr>
        <w:t>SPGs competently operate and manage informal production</w:t>
      </w:r>
      <w:r w:rsidR="000A1787">
        <w:rPr>
          <w:spacing w:val="-4"/>
          <w:w w:val="105"/>
          <w:lang w:val="en-GB"/>
        </w:rPr>
        <w:t>, quality control</w:t>
      </w:r>
      <w:r w:rsidRPr="00FF27F0">
        <w:rPr>
          <w:spacing w:val="-4"/>
          <w:w w:val="105"/>
          <w:lang w:val="en-GB"/>
        </w:rPr>
        <w:t xml:space="preserve"> and distribution of targeted quantities of self-declared quality seed.</w:t>
      </w:r>
    </w:p>
    <w:p w:rsidR="00FF27F0" w:rsidRPr="00FF27F0" w:rsidRDefault="00FF27F0" w:rsidP="00E16AEB">
      <w:pPr>
        <w:pStyle w:val="ListParagraph"/>
        <w:numPr>
          <w:ilvl w:val="0"/>
          <w:numId w:val="47"/>
        </w:numPr>
        <w:ind w:left="284" w:right="1" w:hanging="284"/>
        <w:jc w:val="both"/>
        <w:rPr>
          <w:spacing w:val="-4"/>
          <w:w w:val="105"/>
          <w:lang w:val="en-GB"/>
        </w:rPr>
      </w:pPr>
      <w:r w:rsidRPr="00FF27F0">
        <w:rPr>
          <w:b/>
          <w:spacing w:val="-4"/>
          <w:w w:val="105"/>
          <w:lang w:val="en-GB"/>
        </w:rPr>
        <w:t>Component 4</w:t>
      </w:r>
      <w:r w:rsidRPr="00FF27F0">
        <w:rPr>
          <w:spacing w:val="-4"/>
          <w:w w:val="105"/>
          <w:lang w:val="en-GB"/>
        </w:rPr>
        <w:t xml:space="preserve"> – M&amp;E/Sosek staff competently implement field evaluation activities and systematic monitoring of the national seed system to inform management by MAF leaders.</w:t>
      </w:r>
    </w:p>
    <w:p w:rsidR="00D515EA" w:rsidRDefault="00D515EA">
      <w:pPr>
        <w:jc w:val="left"/>
        <w:rPr>
          <w:spacing w:val="-4"/>
          <w:w w:val="105"/>
          <w:sz w:val="16"/>
          <w:szCs w:val="16"/>
          <w:lang w:val="en-GB"/>
        </w:rPr>
      </w:pPr>
      <w:r>
        <w:rPr>
          <w:spacing w:val="-4"/>
          <w:w w:val="105"/>
          <w:sz w:val="16"/>
          <w:szCs w:val="16"/>
          <w:lang w:val="en-GB"/>
        </w:rPr>
        <w:br w:type="page"/>
      </w:r>
    </w:p>
    <w:p w:rsidR="00CD6A43" w:rsidRDefault="00FF27F0" w:rsidP="00E16AEB">
      <w:pPr>
        <w:ind w:right="1"/>
        <w:rPr>
          <w:spacing w:val="-4"/>
          <w:w w:val="105"/>
          <w:lang w:val="en-GB"/>
        </w:rPr>
      </w:pPr>
      <w:r w:rsidRPr="00FF27F0">
        <w:rPr>
          <w:spacing w:val="-4"/>
          <w:w w:val="105"/>
          <w:lang w:val="en-GB"/>
        </w:rPr>
        <w:lastRenderedPageBreak/>
        <w:t>The focus on behaviour change at end-of-program outcome level highlights the importance of institutional strengthening in all SOL3 components and the need for a shift from research to delivery by focusing more on “how” activities are implemented rather than “what” activities are implemented.</w:t>
      </w:r>
    </w:p>
    <w:p w:rsidR="006D1961" w:rsidRPr="00EA35F8" w:rsidRDefault="006D1961" w:rsidP="00E16AEB">
      <w:pPr>
        <w:ind w:right="1"/>
        <w:rPr>
          <w:spacing w:val="-4"/>
          <w:w w:val="105"/>
          <w:sz w:val="16"/>
          <w:szCs w:val="16"/>
          <w:lang w:val="en-GB"/>
        </w:rPr>
      </w:pPr>
    </w:p>
    <w:p w:rsidR="00827976" w:rsidRPr="003D1B5E" w:rsidRDefault="00F43166" w:rsidP="00827976">
      <w:pPr>
        <w:pStyle w:val="Heading2"/>
        <w:rPr>
          <w:w w:val="105"/>
          <w:lang w:val="en-GB"/>
        </w:rPr>
      </w:pPr>
      <w:bookmarkStart w:id="16" w:name="_Toc326845347"/>
      <w:r>
        <w:rPr>
          <w:w w:val="105"/>
          <w:lang w:val="en-GB"/>
        </w:rPr>
        <w:t>E</w:t>
      </w:r>
      <w:r w:rsidR="00E724F8">
        <w:rPr>
          <w:w w:val="105"/>
          <w:lang w:val="en-GB"/>
        </w:rPr>
        <w:t>valuations</w:t>
      </w:r>
      <w:r w:rsidR="00827976" w:rsidRPr="003D1B5E">
        <w:rPr>
          <w:w w:val="105"/>
          <w:lang w:val="en-GB"/>
        </w:rPr>
        <w:t xml:space="preserve"> during the</w:t>
      </w:r>
      <w:r w:rsidR="00E724F8">
        <w:rPr>
          <w:w w:val="105"/>
          <w:lang w:val="en-GB"/>
        </w:rPr>
        <w:t xml:space="preserve"> 2011/12</w:t>
      </w:r>
      <w:r w:rsidR="00827976" w:rsidRPr="003D1B5E">
        <w:rPr>
          <w:w w:val="105"/>
          <w:lang w:val="en-GB"/>
        </w:rPr>
        <w:t xml:space="preserve"> growing season</w:t>
      </w:r>
      <w:bookmarkEnd w:id="16"/>
    </w:p>
    <w:p w:rsidR="006C6E0C" w:rsidRDefault="008F04EB" w:rsidP="00E16AEB">
      <w:pPr>
        <w:ind w:right="1"/>
        <w:rPr>
          <w:spacing w:val="-4"/>
          <w:w w:val="105"/>
          <w:lang w:val="en-GB"/>
        </w:rPr>
      </w:pPr>
      <w:r>
        <w:rPr>
          <w:spacing w:val="-4"/>
          <w:w w:val="105"/>
          <w:lang w:val="en-GB"/>
        </w:rPr>
        <w:t>The development of the network of six research stations (Betano, Manufahi; Loes, Liquiҫá; Darasula, Baucau; Qintal Po</w:t>
      </w:r>
      <w:r w:rsidR="00F43166">
        <w:rPr>
          <w:spacing w:val="-4"/>
          <w:w w:val="105"/>
          <w:lang w:val="en-GB"/>
        </w:rPr>
        <w:t>r</w:t>
      </w:r>
      <w:r>
        <w:rPr>
          <w:spacing w:val="-4"/>
          <w:w w:val="105"/>
          <w:lang w:val="en-GB"/>
        </w:rPr>
        <w:t xml:space="preserve">tugal, Ailieu; Maliana Rice Station, Raimaten, Bobonaro; and Maubesse Upland (Urulefa), Ainaro), is continuing, with the formal opening </w:t>
      </w:r>
      <w:r w:rsidR="004F746F">
        <w:rPr>
          <w:spacing w:val="-4"/>
          <w:w w:val="105"/>
          <w:lang w:val="en-GB"/>
        </w:rPr>
        <w:t>of the re</w:t>
      </w:r>
      <w:r>
        <w:rPr>
          <w:spacing w:val="-4"/>
          <w:w w:val="105"/>
          <w:lang w:val="en-GB"/>
        </w:rPr>
        <w:t xml:space="preserve">vamped Loes Station taking place May, 2012. Betano is now considered </w:t>
      </w:r>
      <w:r w:rsidR="00EA35F8">
        <w:rPr>
          <w:spacing w:val="-4"/>
          <w:w w:val="105"/>
          <w:lang w:val="en-GB"/>
        </w:rPr>
        <w:t>complete;</w:t>
      </w:r>
      <w:r>
        <w:rPr>
          <w:spacing w:val="-4"/>
          <w:w w:val="105"/>
          <w:lang w:val="en-GB"/>
        </w:rPr>
        <w:t xml:space="preserve"> Loes is in its final stages of development</w:t>
      </w:r>
      <w:r w:rsidR="00EA35F8">
        <w:rPr>
          <w:spacing w:val="-4"/>
          <w:w w:val="105"/>
          <w:lang w:val="en-GB"/>
        </w:rPr>
        <w:t>;</w:t>
      </w:r>
      <w:r>
        <w:rPr>
          <w:spacing w:val="-4"/>
          <w:w w:val="105"/>
          <w:lang w:val="en-GB"/>
        </w:rPr>
        <w:t xml:space="preserve"> </w:t>
      </w:r>
      <w:r w:rsidR="004F746F">
        <w:rPr>
          <w:spacing w:val="-4"/>
          <w:w w:val="105"/>
          <w:lang w:val="en-GB"/>
        </w:rPr>
        <w:t>and</w:t>
      </w:r>
      <w:r>
        <w:rPr>
          <w:spacing w:val="-4"/>
          <w:w w:val="105"/>
          <w:lang w:val="en-GB"/>
        </w:rPr>
        <w:t xml:space="preserve"> upgrading continues </w:t>
      </w:r>
      <w:r w:rsidR="004F746F">
        <w:rPr>
          <w:spacing w:val="-4"/>
          <w:w w:val="105"/>
          <w:lang w:val="en-GB"/>
        </w:rPr>
        <w:t>at</w:t>
      </w:r>
      <w:r>
        <w:rPr>
          <w:spacing w:val="-4"/>
          <w:w w:val="105"/>
          <w:lang w:val="en-GB"/>
        </w:rPr>
        <w:t xml:space="preserve"> Darasula. Urulefa and Raimaten Station are relatively undeveloped, needing fencing and more buildings, but are being used as trial sites already. All stations have at least one professional research staff member on site while Loes and Betano have four </w:t>
      </w:r>
      <w:r w:rsidR="000C175E">
        <w:rPr>
          <w:spacing w:val="-4"/>
          <w:w w:val="105"/>
          <w:lang w:val="en-GB"/>
        </w:rPr>
        <w:t>each</w:t>
      </w:r>
      <w:r>
        <w:rPr>
          <w:spacing w:val="-4"/>
          <w:w w:val="105"/>
          <w:lang w:val="en-GB"/>
        </w:rPr>
        <w:t>.</w:t>
      </w:r>
    </w:p>
    <w:p w:rsidR="006C6E0C" w:rsidRPr="00EA35F8" w:rsidRDefault="006C6E0C" w:rsidP="00E16AEB">
      <w:pPr>
        <w:ind w:right="1"/>
        <w:rPr>
          <w:spacing w:val="-4"/>
          <w:w w:val="105"/>
          <w:sz w:val="16"/>
          <w:szCs w:val="16"/>
          <w:lang w:val="en-GB"/>
        </w:rPr>
      </w:pPr>
    </w:p>
    <w:p w:rsidR="008F04EB" w:rsidRDefault="006C6E0C" w:rsidP="00E16AEB">
      <w:pPr>
        <w:ind w:right="1"/>
        <w:rPr>
          <w:spacing w:val="-4"/>
          <w:w w:val="105"/>
          <w:lang w:val="en-GB"/>
        </w:rPr>
      </w:pPr>
      <w:r>
        <w:rPr>
          <w:spacing w:val="-4"/>
          <w:w w:val="105"/>
          <w:lang w:val="en-GB"/>
        </w:rPr>
        <w:t xml:space="preserve">Genetic evaluations were conducted under Component 1.  A total of 43 </w:t>
      </w:r>
      <w:r w:rsidR="008F5C0B" w:rsidRPr="008F5C0B">
        <w:rPr>
          <w:spacing w:val="-4"/>
          <w:w w:val="105"/>
          <w:lang w:val="en-GB"/>
        </w:rPr>
        <w:t>trials</w:t>
      </w:r>
      <w:r>
        <w:rPr>
          <w:spacing w:val="-4"/>
          <w:w w:val="105"/>
          <w:lang w:val="en-GB"/>
        </w:rPr>
        <w:t xml:space="preserve"> of cassava, maize, peanut, potato, rice (upland and irrigated), sweet potato, </w:t>
      </w:r>
      <w:proofErr w:type="gramStart"/>
      <w:r>
        <w:rPr>
          <w:spacing w:val="-4"/>
          <w:w w:val="105"/>
          <w:lang w:val="en-GB"/>
        </w:rPr>
        <w:t>wing</w:t>
      </w:r>
      <w:r w:rsidR="00EA35F8">
        <w:rPr>
          <w:spacing w:val="-4"/>
          <w:w w:val="105"/>
          <w:lang w:val="en-GB"/>
        </w:rPr>
        <w:t>ed</w:t>
      </w:r>
      <w:proofErr w:type="gramEnd"/>
      <w:r w:rsidR="006D1961">
        <w:rPr>
          <w:spacing w:val="-4"/>
          <w:w w:val="105"/>
          <w:lang w:val="en-GB"/>
        </w:rPr>
        <w:t>-</w:t>
      </w:r>
      <w:r>
        <w:rPr>
          <w:spacing w:val="-4"/>
          <w:w w:val="105"/>
          <w:lang w:val="en-GB"/>
        </w:rPr>
        <w:t xml:space="preserve">bean, climbing bean, barley and wheat have been established this season.  Three long-term fertility trials using maize/velvet bean associations have continued in 2011/12. </w:t>
      </w:r>
      <w:r w:rsidR="008F5C0B" w:rsidRPr="008F5C0B">
        <w:rPr>
          <w:spacing w:val="-4"/>
          <w:w w:val="105"/>
          <w:lang w:val="en-GB"/>
        </w:rPr>
        <w:t xml:space="preserve"> </w:t>
      </w:r>
      <w:r>
        <w:rPr>
          <w:spacing w:val="-4"/>
          <w:w w:val="105"/>
          <w:lang w:val="en-GB"/>
        </w:rPr>
        <w:t>I</w:t>
      </w:r>
      <w:r w:rsidR="008F5C0B" w:rsidRPr="008F5C0B">
        <w:rPr>
          <w:spacing w:val="-4"/>
          <w:w w:val="105"/>
          <w:lang w:val="en-GB"/>
        </w:rPr>
        <w:t>ncreases of breeder and foundation seed and cuttings</w:t>
      </w:r>
      <w:r>
        <w:rPr>
          <w:spacing w:val="-4"/>
          <w:w w:val="105"/>
          <w:lang w:val="en-GB"/>
        </w:rPr>
        <w:t xml:space="preserve"> of cassava and sweet potato</w:t>
      </w:r>
      <w:r w:rsidR="008F5C0B" w:rsidRPr="008F5C0B">
        <w:rPr>
          <w:spacing w:val="-4"/>
          <w:w w:val="105"/>
          <w:lang w:val="en-GB"/>
        </w:rPr>
        <w:t xml:space="preserve"> have occurred on experiment stations, and 485 on-farm demonstration trials (OFDTs) were grown during the main rainy season (November-April).</w:t>
      </w:r>
      <w:r>
        <w:rPr>
          <w:spacing w:val="-4"/>
          <w:w w:val="105"/>
          <w:lang w:val="en-GB"/>
        </w:rPr>
        <w:t xml:space="preserve"> Maize constituted 42% of the OFDTs followed by sweet potato (23%), cassava (22%), rice (8%) and legumes (4%).</w:t>
      </w:r>
      <w:r w:rsidR="008F5C0B" w:rsidRPr="008F5C0B">
        <w:rPr>
          <w:spacing w:val="-4"/>
          <w:w w:val="105"/>
          <w:lang w:val="en-GB"/>
        </w:rPr>
        <w:t xml:space="preserve">  </w:t>
      </w:r>
      <w:r w:rsidR="00E57C3C">
        <w:rPr>
          <w:spacing w:val="-4"/>
          <w:w w:val="105"/>
          <w:lang w:val="en-GB"/>
        </w:rPr>
        <w:t>The OFDTs are the vehicle by which new varieties are tested on farm.  As the TAG recommended in its last mission, an extra plot in OFDTs (OFDT+) that demonstrate</w:t>
      </w:r>
      <w:r w:rsidR="004F746F">
        <w:rPr>
          <w:spacing w:val="-4"/>
          <w:w w:val="105"/>
          <w:lang w:val="en-GB"/>
        </w:rPr>
        <w:t>s</w:t>
      </w:r>
      <w:r w:rsidR="00E57C3C">
        <w:rPr>
          <w:spacing w:val="-4"/>
          <w:w w:val="105"/>
          <w:lang w:val="en-GB"/>
        </w:rPr>
        <w:t xml:space="preserve"> improved growing practices as well as improved varieties will help Timorese farmers become familiar with the next steps in increasing household food security.  The new white grained maize variety, </w:t>
      </w:r>
      <w:r w:rsidR="00E57C3C" w:rsidRPr="004F746F">
        <w:rPr>
          <w:i/>
          <w:spacing w:val="-4"/>
          <w:w w:val="105"/>
          <w:lang w:val="en-GB"/>
        </w:rPr>
        <w:t>P07</w:t>
      </w:r>
      <w:r w:rsidR="00E57C3C">
        <w:rPr>
          <w:spacing w:val="-4"/>
          <w:w w:val="105"/>
          <w:lang w:val="en-GB"/>
        </w:rPr>
        <w:t xml:space="preserve">, when officially named is ready for release and large scale multiplication. It will be widely used in western Timor-Leste.  </w:t>
      </w:r>
      <w:r w:rsidR="00647820">
        <w:rPr>
          <w:spacing w:val="-4"/>
          <w:w w:val="105"/>
          <w:lang w:val="en-GB"/>
        </w:rPr>
        <w:t xml:space="preserve">A steady transfer of functions to MAF staff has taken place during the 2011/12 season in preparation for the handover of function from SOL3 to MAF starting in 2014. </w:t>
      </w:r>
      <w:r w:rsidR="00954A2E">
        <w:rPr>
          <w:spacing w:val="-4"/>
          <w:w w:val="105"/>
          <w:lang w:val="en-GB"/>
        </w:rPr>
        <w:t xml:space="preserve"> </w:t>
      </w:r>
      <w:r w:rsidR="00954A2E" w:rsidRPr="00954A2E">
        <w:rPr>
          <w:spacing w:val="-4"/>
          <w:w w:val="105"/>
          <w:lang w:val="en-GB"/>
        </w:rPr>
        <w:t xml:space="preserve">For example, </w:t>
      </w:r>
      <w:r w:rsidR="00461EDA" w:rsidRPr="00954A2E">
        <w:rPr>
          <w:spacing w:val="-4"/>
          <w:w w:val="105"/>
          <w:lang w:val="en-GB"/>
        </w:rPr>
        <w:t xml:space="preserve">MAF </w:t>
      </w:r>
      <w:proofErr w:type="gramStart"/>
      <w:r w:rsidR="00461EDA" w:rsidRPr="00954A2E">
        <w:rPr>
          <w:spacing w:val="-4"/>
          <w:w w:val="105"/>
          <w:lang w:val="en-GB"/>
        </w:rPr>
        <w:t>staff are</w:t>
      </w:r>
      <w:proofErr w:type="gramEnd"/>
      <w:r w:rsidR="00461EDA" w:rsidRPr="00954A2E">
        <w:rPr>
          <w:spacing w:val="-4"/>
          <w:w w:val="105"/>
          <w:lang w:val="en-GB"/>
        </w:rPr>
        <w:t xml:space="preserve"> now competent to design relatively simple single season trials and </w:t>
      </w:r>
      <w:r w:rsidR="00461EDA">
        <w:rPr>
          <w:spacing w:val="-4"/>
          <w:w w:val="105"/>
          <w:lang w:val="en-GB"/>
        </w:rPr>
        <w:t xml:space="preserve">to </w:t>
      </w:r>
      <w:r w:rsidR="00461EDA" w:rsidRPr="00954A2E">
        <w:rPr>
          <w:spacing w:val="-4"/>
          <w:w w:val="105"/>
          <w:lang w:val="en-GB"/>
        </w:rPr>
        <w:t>conduct the trials to a high standard</w:t>
      </w:r>
      <w:r w:rsidR="00461EDA">
        <w:rPr>
          <w:spacing w:val="-4"/>
          <w:w w:val="105"/>
          <w:lang w:val="en-GB"/>
        </w:rPr>
        <w:t>.  They can also</w:t>
      </w:r>
      <w:r w:rsidR="00954A2E" w:rsidRPr="00954A2E">
        <w:rPr>
          <w:spacing w:val="-4"/>
          <w:w w:val="105"/>
          <w:lang w:val="en-GB"/>
        </w:rPr>
        <w:t xml:space="preserve"> undertake competently the analysis if single experiments and produce summary tables.  Meta-analyses across sites and years will be taught and supported in the coming season.  </w:t>
      </w:r>
      <w:r w:rsidR="00954A2E">
        <w:rPr>
          <w:spacing w:val="-4"/>
          <w:w w:val="105"/>
          <w:lang w:val="en-GB"/>
        </w:rPr>
        <w:t xml:space="preserve"> </w:t>
      </w:r>
      <w:r w:rsidR="003D7134">
        <w:rPr>
          <w:spacing w:val="-4"/>
          <w:w w:val="105"/>
          <w:lang w:val="en-GB"/>
        </w:rPr>
        <w:t xml:space="preserve">Stand establishment is still a major issue with maize in particular, and the TAG suggest that Component 1 scientists evaluate the impact of standard seed treatments, and trial the use of a “jab” hand planter (see </w:t>
      </w:r>
      <w:hyperlink r:id="rId21" w:history="1">
        <w:r w:rsidR="003D7134" w:rsidRPr="00BF0B4F">
          <w:rPr>
            <w:rStyle w:val="Hyperlink"/>
            <w:spacing w:val="-4"/>
            <w:w w:val="105"/>
            <w:lang w:val="en-GB"/>
          </w:rPr>
          <w:t>http://www.youtube.com/watch?v=y5ZOwi-xRLY</w:t>
        </w:r>
      </w:hyperlink>
      <w:r w:rsidR="003D7134">
        <w:rPr>
          <w:spacing w:val="-4"/>
          <w:w w:val="105"/>
          <w:lang w:val="en-GB"/>
        </w:rPr>
        <w:t>) as an alternative to a dibble stick whose depth cannot be easily controlled.</w:t>
      </w:r>
    </w:p>
    <w:p w:rsidR="008F04EB" w:rsidRPr="00EA35F8" w:rsidRDefault="008F04EB" w:rsidP="00E16AEB">
      <w:pPr>
        <w:ind w:right="1"/>
        <w:rPr>
          <w:spacing w:val="-4"/>
          <w:w w:val="105"/>
          <w:sz w:val="16"/>
          <w:szCs w:val="16"/>
          <w:lang w:val="en-GB"/>
        </w:rPr>
      </w:pPr>
    </w:p>
    <w:p w:rsidR="0058423D" w:rsidRDefault="008F5C0B" w:rsidP="00E16AEB">
      <w:pPr>
        <w:ind w:right="1"/>
        <w:rPr>
          <w:spacing w:val="-4"/>
          <w:w w:val="105"/>
          <w:lang w:val="en-GB"/>
        </w:rPr>
      </w:pPr>
      <w:r w:rsidRPr="008F5C0B">
        <w:rPr>
          <w:spacing w:val="-4"/>
          <w:w w:val="105"/>
          <w:lang w:val="en-GB"/>
        </w:rPr>
        <w:t>Contract growers have had a successful season in increasing certified seed on 110 ha,</w:t>
      </w:r>
      <w:r w:rsidR="00E57C3C">
        <w:rPr>
          <w:spacing w:val="-4"/>
          <w:w w:val="105"/>
          <w:lang w:val="en-GB"/>
        </w:rPr>
        <w:t xml:space="preserve"> though harvest is still underway.  During 2010/11 season production on a similar area resulted in 48 tons of rice, 23 tons of maize, 3 tons of peanut, 443,000 sweet potato cuttings and 220,000 cassava cuttings.  The 2011/12 season has been considerably better for crop production so output should be improved.  Yields of seed are still v</w:t>
      </w:r>
      <w:r w:rsidR="00EA35F8">
        <w:rPr>
          <w:spacing w:val="-4"/>
          <w:w w:val="105"/>
          <w:lang w:val="en-GB"/>
        </w:rPr>
        <w:t>ery modest – averaging around 1</w:t>
      </w:r>
      <w:r w:rsidR="00E57C3C">
        <w:rPr>
          <w:spacing w:val="-4"/>
          <w:w w:val="105"/>
          <w:lang w:val="en-GB"/>
        </w:rPr>
        <w:t>t/ha of cleaned seed for maize and rice</w:t>
      </w:r>
      <w:r w:rsidR="007E6905">
        <w:rPr>
          <w:spacing w:val="-4"/>
          <w:w w:val="105"/>
          <w:lang w:val="en-GB"/>
        </w:rPr>
        <w:t xml:space="preserve">, produced with virtually no inputs.  Installed seed processing and storage capacity has steadily increased </w:t>
      </w:r>
      <w:r w:rsidR="003D7134">
        <w:rPr>
          <w:spacing w:val="-4"/>
          <w:w w:val="105"/>
          <w:lang w:val="en-GB"/>
        </w:rPr>
        <w:t xml:space="preserve">at the 5 SPCs </w:t>
      </w:r>
      <w:r w:rsidR="007E6905">
        <w:rPr>
          <w:spacing w:val="-4"/>
          <w:w w:val="105"/>
          <w:lang w:val="en-GB"/>
        </w:rPr>
        <w:t>in the districts of Ailieu, Baucau, Bobonaro, Liquiҫá, and Manufahi while the seed warehouse</w:t>
      </w:r>
      <w:r w:rsidR="003D7134">
        <w:rPr>
          <w:spacing w:val="-4"/>
          <w:w w:val="105"/>
          <w:lang w:val="en-GB"/>
        </w:rPr>
        <w:t xml:space="preserve"> in a sixth district is </w:t>
      </w:r>
      <w:r w:rsidR="007E6905">
        <w:rPr>
          <w:spacing w:val="-4"/>
          <w:w w:val="105"/>
          <w:lang w:val="en-GB"/>
        </w:rPr>
        <w:t xml:space="preserve">being built in Viqueque.  Seed officers inspect formal seed fields at several stages, and seed </w:t>
      </w:r>
      <w:r w:rsidR="0058423D">
        <w:rPr>
          <w:spacing w:val="-4"/>
          <w:w w:val="105"/>
          <w:lang w:val="en-GB"/>
        </w:rPr>
        <w:t>is</w:t>
      </w:r>
      <w:r w:rsidR="007E6905">
        <w:rPr>
          <w:spacing w:val="-4"/>
          <w:w w:val="105"/>
          <w:lang w:val="en-GB"/>
        </w:rPr>
        <w:t xml:space="preserve"> officially sample</w:t>
      </w:r>
      <w:r w:rsidR="0058423D">
        <w:rPr>
          <w:spacing w:val="-4"/>
          <w:w w:val="105"/>
          <w:lang w:val="en-GB"/>
        </w:rPr>
        <w:t>d</w:t>
      </w:r>
      <w:r w:rsidR="007E6905">
        <w:rPr>
          <w:spacing w:val="-4"/>
          <w:w w:val="105"/>
          <w:lang w:val="en-GB"/>
        </w:rPr>
        <w:t xml:space="preserve"> to provide data for the seed label attached to foundation and certified seed.  Extension assistance is provided to growers in four districts.</w:t>
      </w:r>
    </w:p>
    <w:p w:rsidR="0058423D" w:rsidRPr="0058423D" w:rsidRDefault="0058423D" w:rsidP="00E16AEB">
      <w:pPr>
        <w:ind w:right="1"/>
        <w:rPr>
          <w:spacing w:val="-4"/>
          <w:w w:val="105"/>
          <w:sz w:val="16"/>
          <w:szCs w:val="16"/>
          <w:lang w:val="en-GB"/>
        </w:rPr>
      </w:pPr>
    </w:p>
    <w:p w:rsidR="008F5C0B" w:rsidRDefault="003D7134" w:rsidP="00E16AEB">
      <w:pPr>
        <w:ind w:right="1"/>
        <w:rPr>
          <w:spacing w:val="-4"/>
          <w:w w:val="105"/>
          <w:lang w:val="en-GB"/>
        </w:rPr>
      </w:pPr>
      <w:r>
        <w:rPr>
          <w:spacing w:val="-4"/>
          <w:w w:val="105"/>
          <w:lang w:val="en-GB"/>
        </w:rPr>
        <w:t xml:space="preserve">SOL3 should seriously consider treating seed with standard chemicals to help distinguish it from grain and to improve its emergence rate.  It will be critical that the seed treatment chemicals used </w:t>
      </w:r>
      <w:proofErr w:type="gramStart"/>
      <w:r>
        <w:rPr>
          <w:spacing w:val="-4"/>
          <w:w w:val="105"/>
          <w:lang w:val="en-GB"/>
        </w:rPr>
        <w:t>are</w:t>
      </w:r>
      <w:proofErr w:type="gramEnd"/>
      <w:r>
        <w:rPr>
          <w:spacing w:val="-4"/>
          <w:w w:val="105"/>
          <w:lang w:val="en-GB"/>
        </w:rPr>
        <w:t xml:space="preserve"> not toxic to humans. </w:t>
      </w:r>
      <w:r w:rsidR="007E6905">
        <w:rPr>
          <w:spacing w:val="-4"/>
          <w:w w:val="105"/>
          <w:lang w:val="en-GB"/>
        </w:rPr>
        <w:t xml:space="preserve"> It is important to increase yields of seed to improve </w:t>
      </w:r>
      <w:r w:rsidR="007E6905">
        <w:rPr>
          <w:spacing w:val="-4"/>
          <w:w w:val="105"/>
          <w:lang w:val="en-GB"/>
        </w:rPr>
        <w:lastRenderedPageBreak/>
        <w:t>the security of supply,</w:t>
      </w:r>
      <w:r w:rsidR="0058423D">
        <w:rPr>
          <w:spacing w:val="-4"/>
          <w:w w:val="105"/>
          <w:lang w:val="en-GB"/>
        </w:rPr>
        <w:t xml:space="preserve"> and to increase the return on p</w:t>
      </w:r>
      <w:r w:rsidR="007E6905">
        <w:rPr>
          <w:spacing w:val="-4"/>
          <w:w w:val="105"/>
          <w:lang w:val="en-GB"/>
        </w:rPr>
        <w:t xml:space="preserve">roject investment in seed production facilities.  As noted previously, using seed fields as sites for simple experiments on factors affecting seed yield, with farmers’ permission, would </w:t>
      </w:r>
      <w:r w:rsidR="0058423D">
        <w:rPr>
          <w:spacing w:val="-4"/>
          <w:w w:val="105"/>
          <w:lang w:val="en-GB"/>
        </w:rPr>
        <w:t>significantly</w:t>
      </w:r>
      <w:r w:rsidR="007E6905">
        <w:rPr>
          <w:spacing w:val="-4"/>
          <w:w w:val="105"/>
          <w:lang w:val="en-GB"/>
        </w:rPr>
        <w:t xml:space="preserve"> increase yields and could reduce the area needed to produce the seed needed.</w:t>
      </w:r>
      <w:r w:rsidR="00647820">
        <w:rPr>
          <w:spacing w:val="-4"/>
          <w:w w:val="105"/>
          <w:lang w:val="en-GB"/>
        </w:rPr>
        <w:t xml:space="preserve">  A large proportion of the rice and maize seed produced in 2010/11 (93% and 48% respectively) was given away free by MAF, and this </w:t>
      </w:r>
      <w:r w:rsidR="006D1961">
        <w:rPr>
          <w:spacing w:val="-4"/>
          <w:w w:val="105"/>
          <w:lang w:val="en-GB"/>
        </w:rPr>
        <w:t>greatly</w:t>
      </w:r>
      <w:r w:rsidR="00647820">
        <w:rPr>
          <w:spacing w:val="-4"/>
          <w:w w:val="105"/>
          <w:lang w:val="en-GB"/>
        </w:rPr>
        <w:t xml:space="preserve"> distorts the seed market and creates the false impression that seed is the same as grain and worth little.  Seed is an expensive commodity and should be priced accordingly to avoid distortions in the seed market and to encourage private producers.</w:t>
      </w:r>
      <w:r w:rsidR="007E6905">
        <w:rPr>
          <w:spacing w:val="-4"/>
          <w:w w:val="105"/>
          <w:lang w:val="en-GB"/>
        </w:rPr>
        <w:t xml:space="preserve"> </w:t>
      </w:r>
      <w:r w:rsidR="00647820">
        <w:rPr>
          <w:spacing w:val="-4"/>
          <w:w w:val="105"/>
          <w:lang w:val="en-GB"/>
        </w:rPr>
        <w:t xml:space="preserve"> Considerable training of MAF staff to take over 50% of Component 2 activities in 2014 and 100% in 2015</w:t>
      </w:r>
      <w:r w:rsidR="0058423D">
        <w:rPr>
          <w:spacing w:val="-4"/>
          <w:w w:val="105"/>
          <w:lang w:val="en-GB"/>
        </w:rPr>
        <w:t xml:space="preserve"> is taking place, and TAG compli</w:t>
      </w:r>
      <w:r w:rsidR="00647820">
        <w:rPr>
          <w:spacing w:val="-4"/>
          <w:w w:val="105"/>
          <w:lang w:val="en-GB"/>
        </w:rPr>
        <w:t>ments Component 2 staff for their forward planning in this regard. However, the TAG notes the need for a great</w:t>
      </w:r>
      <w:r w:rsidR="0058423D">
        <w:rPr>
          <w:spacing w:val="-4"/>
          <w:w w:val="105"/>
          <w:lang w:val="en-GB"/>
        </w:rPr>
        <w:t>er</w:t>
      </w:r>
      <w:r w:rsidR="00647820">
        <w:rPr>
          <w:spacing w:val="-4"/>
          <w:w w:val="105"/>
          <w:lang w:val="en-GB"/>
        </w:rPr>
        <w:t xml:space="preserve"> involvement of MAF’s Seed Department in both production and certification activities.</w:t>
      </w:r>
    </w:p>
    <w:p w:rsidR="00BC2FF6" w:rsidRPr="00BC2FF6" w:rsidRDefault="00BC2FF6" w:rsidP="00E16AEB">
      <w:pPr>
        <w:ind w:right="1"/>
        <w:rPr>
          <w:spacing w:val="-4"/>
          <w:w w:val="105"/>
          <w:sz w:val="16"/>
          <w:szCs w:val="16"/>
          <w:lang w:val="en-GB"/>
        </w:rPr>
      </w:pPr>
    </w:p>
    <w:p w:rsidR="00BC2FF6" w:rsidRPr="002E2738" w:rsidRDefault="00BC2FF6" w:rsidP="00BC2FF6">
      <w:r>
        <w:t>As a result, t</w:t>
      </w:r>
      <w:r w:rsidR="00FB2DD9" w:rsidRPr="002E2738">
        <w:t>he TAG recommends that SOL3 together with MAF evaluate the effects of distribution of high quality certified seed at no cost to farmers on the efficiency and effectiveness of distribution, ability to reach the maximum number of farmers and incentives for the development of a private seed sector.</w:t>
      </w:r>
    </w:p>
    <w:p w:rsidR="008F5C0B" w:rsidRPr="00EA35F8" w:rsidRDefault="008F5C0B" w:rsidP="00E16AEB">
      <w:pPr>
        <w:ind w:right="1"/>
        <w:rPr>
          <w:spacing w:val="-4"/>
          <w:w w:val="105"/>
          <w:sz w:val="16"/>
          <w:szCs w:val="16"/>
          <w:lang w:val="en-GB"/>
        </w:rPr>
      </w:pPr>
    </w:p>
    <w:p w:rsidR="00F46B2B" w:rsidRDefault="008B3ED5" w:rsidP="00E16AEB">
      <w:pPr>
        <w:ind w:right="1"/>
        <w:rPr>
          <w:spacing w:val="-4"/>
          <w:w w:val="105"/>
          <w:lang w:val="en-GB"/>
        </w:rPr>
      </w:pPr>
      <w:r>
        <w:rPr>
          <w:spacing w:val="-4"/>
          <w:w w:val="105"/>
          <w:lang w:val="en-GB"/>
        </w:rPr>
        <w:t xml:space="preserve">There is no evidence of case studies or </w:t>
      </w:r>
      <w:r w:rsidR="00D6634F">
        <w:rPr>
          <w:spacing w:val="-4"/>
          <w:w w:val="105"/>
          <w:lang w:val="en-GB"/>
        </w:rPr>
        <w:t>performance</w:t>
      </w:r>
      <w:r>
        <w:rPr>
          <w:spacing w:val="-4"/>
          <w:w w:val="105"/>
          <w:lang w:val="en-GB"/>
        </w:rPr>
        <w:t xml:space="preserve"> evaluation </w:t>
      </w:r>
      <w:r w:rsidR="0058423D">
        <w:rPr>
          <w:spacing w:val="-4"/>
          <w:w w:val="105"/>
          <w:lang w:val="en-GB"/>
        </w:rPr>
        <w:t xml:space="preserve">being </w:t>
      </w:r>
      <w:r>
        <w:rPr>
          <w:spacing w:val="-4"/>
          <w:w w:val="105"/>
          <w:lang w:val="en-GB"/>
        </w:rPr>
        <w:t>conducted during the 2011/12 growing season.  This is because the M&amp;E/S</w:t>
      </w:r>
      <w:r w:rsidR="005110A9">
        <w:rPr>
          <w:spacing w:val="-4"/>
          <w:w w:val="105"/>
          <w:lang w:val="en-GB"/>
        </w:rPr>
        <w:t>OSEK</w:t>
      </w:r>
      <w:r>
        <w:rPr>
          <w:spacing w:val="-4"/>
          <w:w w:val="105"/>
          <w:lang w:val="en-GB"/>
        </w:rPr>
        <w:t xml:space="preserve"> team was focused on implementing the baseline survey.  </w:t>
      </w:r>
      <w:r w:rsidR="00F46B2B" w:rsidRPr="00F46B2B">
        <w:rPr>
          <w:spacing w:val="-4"/>
          <w:w w:val="105"/>
          <w:lang w:val="en-GB"/>
        </w:rPr>
        <w:t xml:space="preserve">This focus has </w:t>
      </w:r>
      <w:r w:rsidR="005110A9">
        <w:rPr>
          <w:spacing w:val="-4"/>
          <w:w w:val="105"/>
          <w:lang w:val="en-GB"/>
        </w:rPr>
        <w:t xml:space="preserve">understandably </w:t>
      </w:r>
      <w:r w:rsidR="00F46B2B" w:rsidRPr="00F46B2B">
        <w:rPr>
          <w:spacing w:val="-4"/>
          <w:w w:val="105"/>
          <w:lang w:val="en-GB"/>
        </w:rPr>
        <w:t>occupied the team</w:t>
      </w:r>
      <w:r w:rsidR="005110A9">
        <w:rPr>
          <w:spacing w:val="-4"/>
          <w:w w:val="105"/>
          <w:lang w:val="en-GB"/>
        </w:rPr>
        <w:t>, but it has been</w:t>
      </w:r>
      <w:r w:rsidR="00F46B2B" w:rsidRPr="00F46B2B">
        <w:rPr>
          <w:spacing w:val="-4"/>
          <w:w w:val="105"/>
          <w:lang w:val="en-GB"/>
        </w:rPr>
        <w:t xml:space="preserve"> at the expense of commissioning the monitoring system and conducting case study evaluations during the 2011/1</w:t>
      </w:r>
      <w:r w:rsidR="00F46B2B">
        <w:rPr>
          <w:spacing w:val="-4"/>
          <w:w w:val="105"/>
          <w:lang w:val="en-GB"/>
        </w:rPr>
        <w:t>2 growing season.</w:t>
      </w:r>
    </w:p>
    <w:p w:rsidR="00F46B2B" w:rsidRPr="00EA35F8" w:rsidRDefault="00F46B2B" w:rsidP="00E16AEB">
      <w:pPr>
        <w:ind w:right="1"/>
        <w:rPr>
          <w:spacing w:val="-4"/>
          <w:w w:val="105"/>
          <w:sz w:val="16"/>
          <w:szCs w:val="16"/>
          <w:lang w:val="en-GB"/>
        </w:rPr>
      </w:pPr>
    </w:p>
    <w:p w:rsidR="00827976" w:rsidRDefault="00F46B2B" w:rsidP="00E16AEB">
      <w:pPr>
        <w:ind w:right="1"/>
        <w:rPr>
          <w:spacing w:val="-4"/>
          <w:w w:val="105"/>
          <w:lang w:val="en-GB"/>
        </w:rPr>
      </w:pPr>
      <w:r w:rsidRPr="00F46B2B">
        <w:rPr>
          <w:spacing w:val="-4"/>
          <w:w w:val="105"/>
          <w:lang w:val="en-GB"/>
        </w:rPr>
        <w:t xml:space="preserve">The </w:t>
      </w:r>
      <w:r>
        <w:rPr>
          <w:spacing w:val="-4"/>
          <w:w w:val="105"/>
          <w:lang w:val="en-GB"/>
        </w:rPr>
        <w:t xml:space="preserve">baseline survey </w:t>
      </w:r>
      <w:r w:rsidRPr="00F46B2B">
        <w:rPr>
          <w:spacing w:val="-4"/>
          <w:w w:val="105"/>
          <w:lang w:val="en-GB"/>
        </w:rPr>
        <w:t xml:space="preserve">results are expected to be finalised in June 2012.  </w:t>
      </w:r>
      <w:r w:rsidR="008B3ED5">
        <w:rPr>
          <w:spacing w:val="-4"/>
          <w:w w:val="105"/>
          <w:lang w:val="en-GB"/>
        </w:rPr>
        <w:t>Rapid appraisal of early baseline results suggest</w:t>
      </w:r>
      <w:r>
        <w:rPr>
          <w:spacing w:val="-4"/>
          <w:w w:val="105"/>
          <w:lang w:val="en-GB"/>
        </w:rPr>
        <w:t>s</w:t>
      </w:r>
      <w:r w:rsidR="008B3ED5">
        <w:rPr>
          <w:spacing w:val="-4"/>
          <w:w w:val="105"/>
          <w:lang w:val="en-GB"/>
        </w:rPr>
        <w:t xml:space="preserve"> a very thorough survey that was implemented in difficult logistical circumstances.</w:t>
      </w:r>
      <w:r w:rsidR="008B3ED5" w:rsidRPr="008B3ED5">
        <w:rPr>
          <w:lang w:val="en-GB"/>
        </w:rPr>
        <w:t xml:space="preserve"> Working with the Timor-Leste Statistics Office </w:t>
      </w:r>
      <w:r w:rsidR="008B3ED5">
        <w:rPr>
          <w:lang w:val="en-GB"/>
        </w:rPr>
        <w:t>(DNE) to administer the survey wa</w:t>
      </w:r>
      <w:r w:rsidR="008B3ED5" w:rsidRPr="008B3ED5">
        <w:rPr>
          <w:lang w:val="en-GB"/>
        </w:rPr>
        <w:t>s</w:t>
      </w:r>
      <w:r w:rsidR="008B3ED5">
        <w:rPr>
          <w:lang w:val="en-GB"/>
        </w:rPr>
        <w:t xml:space="preserve"> </w:t>
      </w:r>
      <w:r w:rsidR="008B3ED5" w:rsidRPr="008B3ED5">
        <w:rPr>
          <w:lang w:val="en-GB"/>
        </w:rPr>
        <w:t xml:space="preserve">sensible and </w:t>
      </w:r>
      <w:r w:rsidR="008B3ED5">
        <w:rPr>
          <w:lang w:val="en-GB"/>
        </w:rPr>
        <w:t xml:space="preserve">is a </w:t>
      </w:r>
      <w:r w:rsidR="008B3ED5" w:rsidRPr="008B3ED5">
        <w:rPr>
          <w:lang w:val="en-GB"/>
        </w:rPr>
        <w:t>good example of how SOL3 activities should be planned and implemented to build</w:t>
      </w:r>
      <w:r w:rsidR="005110A9">
        <w:rPr>
          <w:lang w:val="en-GB"/>
        </w:rPr>
        <w:t xml:space="preserve"> local</w:t>
      </w:r>
      <w:r w:rsidR="008B3ED5" w:rsidRPr="008B3ED5">
        <w:rPr>
          <w:lang w:val="en-GB"/>
        </w:rPr>
        <w:t xml:space="preserve"> capacity and sustainability.  Similarly, alignment of the baseline survey with the GoT</w:t>
      </w:r>
      <w:r w:rsidR="005110A9">
        <w:rPr>
          <w:lang w:val="en-GB"/>
        </w:rPr>
        <w:t>-</w:t>
      </w:r>
      <w:r w:rsidR="008B3ED5" w:rsidRPr="008B3ED5">
        <w:rPr>
          <w:lang w:val="en-GB"/>
        </w:rPr>
        <w:t xml:space="preserve">L </w:t>
      </w:r>
      <w:r w:rsidR="008B3ED5">
        <w:rPr>
          <w:lang w:val="en-GB"/>
        </w:rPr>
        <w:t xml:space="preserve">household </w:t>
      </w:r>
      <w:r w:rsidR="008B3ED5" w:rsidRPr="008B3ED5">
        <w:rPr>
          <w:lang w:val="en-GB"/>
        </w:rPr>
        <w:t>food security survey represents good practice.</w:t>
      </w:r>
    </w:p>
    <w:p w:rsidR="008B3ED5" w:rsidRPr="00EA35F8" w:rsidRDefault="008B3ED5" w:rsidP="00E16AEB">
      <w:pPr>
        <w:ind w:left="720" w:right="1" w:hanging="720"/>
        <w:rPr>
          <w:spacing w:val="-4"/>
          <w:w w:val="105"/>
          <w:sz w:val="16"/>
          <w:szCs w:val="16"/>
          <w:lang w:val="en-GB"/>
        </w:rPr>
      </w:pPr>
    </w:p>
    <w:p w:rsidR="002A5059" w:rsidRDefault="00F46B2B" w:rsidP="00E16AEB">
      <w:pPr>
        <w:ind w:right="1"/>
        <w:rPr>
          <w:spacing w:val="-4"/>
          <w:w w:val="105"/>
          <w:lang w:val="en-GB"/>
        </w:rPr>
      </w:pPr>
      <w:r w:rsidRPr="00F46B2B">
        <w:rPr>
          <w:spacing w:val="-4"/>
          <w:w w:val="105"/>
          <w:lang w:val="en-GB"/>
        </w:rPr>
        <w:t xml:space="preserve">Early results from the baseline survey </w:t>
      </w:r>
      <w:r>
        <w:rPr>
          <w:spacing w:val="-4"/>
          <w:w w:val="105"/>
          <w:lang w:val="en-GB"/>
        </w:rPr>
        <w:t>could</w:t>
      </w:r>
      <w:r w:rsidR="005110A9">
        <w:rPr>
          <w:spacing w:val="-4"/>
          <w:w w:val="105"/>
          <w:lang w:val="en-GB"/>
        </w:rPr>
        <w:t xml:space="preserve"> </w:t>
      </w:r>
      <w:r>
        <w:rPr>
          <w:spacing w:val="-4"/>
          <w:w w:val="105"/>
          <w:lang w:val="en-GB"/>
        </w:rPr>
        <w:t>provide an evidence base for</w:t>
      </w:r>
      <w:r w:rsidRPr="00F46B2B">
        <w:rPr>
          <w:spacing w:val="-4"/>
          <w:w w:val="105"/>
          <w:lang w:val="en-GB"/>
        </w:rPr>
        <w:t xml:space="preserve"> the 2012/13 Annual Plan</w:t>
      </w:r>
      <w:r>
        <w:rPr>
          <w:spacing w:val="-4"/>
          <w:w w:val="105"/>
          <w:lang w:val="en-GB"/>
        </w:rPr>
        <w:t xml:space="preserve"> that could be used to </w:t>
      </w:r>
      <w:r w:rsidRPr="00F46B2B">
        <w:rPr>
          <w:spacing w:val="-4"/>
          <w:w w:val="105"/>
          <w:lang w:val="en-GB"/>
        </w:rPr>
        <w:t xml:space="preserve">support </w:t>
      </w:r>
      <w:r>
        <w:rPr>
          <w:spacing w:val="-4"/>
          <w:w w:val="105"/>
          <w:lang w:val="en-GB"/>
        </w:rPr>
        <w:t>its refinement</w:t>
      </w:r>
      <w:r w:rsidRPr="00F46B2B">
        <w:rPr>
          <w:spacing w:val="-4"/>
          <w:w w:val="105"/>
          <w:lang w:val="en-GB"/>
        </w:rPr>
        <w:t xml:space="preserve">.  For example, the survey confirms that maize is the core food security crop; </w:t>
      </w:r>
      <w:r w:rsidR="00A177F3">
        <w:rPr>
          <w:spacing w:val="-4"/>
          <w:w w:val="105"/>
          <w:lang w:val="en-GB"/>
        </w:rPr>
        <w:t>that SOL3 varieties were used by</w:t>
      </w:r>
      <w:r w:rsidRPr="00F46B2B">
        <w:rPr>
          <w:spacing w:val="-4"/>
          <w:w w:val="105"/>
          <w:lang w:val="en-GB"/>
        </w:rPr>
        <w:t xml:space="preserve"> 13% of surveyed</w:t>
      </w:r>
      <w:r w:rsidR="00A177F3">
        <w:rPr>
          <w:spacing w:val="-4"/>
          <w:w w:val="105"/>
          <w:lang w:val="en-GB"/>
        </w:rPr>
        <w:t xml:space="preserve"> maize</w:t>
      </w:r>
      <w:r w:rsidRPr="00F46B2B">
        <w:rPr>
          <w:spacing w:val="-4"/>
          <w:w w:val="105"/>
          <w:lang w:val="en-GB"/>
        </w:rPr>
        <w:t xml:space="preserve"> farmers</w:t>
      </w:r>
      <w:r w:rsidR="00A177F3">
        <w:rPr>
          <w:spacing w:val="-4"/>
          <w:w w:val="105"/>
          <w:lang w:val="en-GB"/>
        </w:rPr>
        <w:t>, 10% of surveyed rice farmers and 16% of surveyed peanut farmers</w:t>
      </w:r>
      <w:r w:rsidRPr="00F46B2B">
        <w:rPr>
          <w:spacing w:val="-4"/>
          <w:w w:val="105"/>
          <w:lang w:val="en-GB"/>
        </w:rPr>
        <w:t>; show</w:t>
      </w:r>
      <w:r>
        <w:rPr>
          <w:spacing w:val="-4"/>
          <w:w w:val="105"/>
          <w:lang w:val="en-GB"/>
        </w:rPr>
        <w:t>s</w:t>
      </w:r>
      <w:r w:rsidRPr="00F46B2B">
        <w:rPr>
          <w:spacing w:val="-4"/>
          <w:w w:val="105"/>
          <w:lang w:val="en-GB"/>
        </w:rPr>
        <w:t xml:space="preserve"> that less than 30% of farmers have heard of SOL; and found that almost half the surveyed farmers used a mobile phone (compared 22% using radio and 10% using television).  These findings inform the communication strategy being finalised by the project.</w:t>
      </w:r>
    </w:p>
    <w:p w:rsidR="003424EC" w:rsidRPr="00EA35F8" w:rsidRDefault="003424EC" w:rsidP="00E16AEB">
      <w:pPr>
        <w:ind w:right="1"/>
        <w:rPr>
          <w:sz w:val="16"/>
          <w:szCs w:val="16"/>
          <w:lang w:val="en-GB"/>
        </w:rPr>
      </w:pPr>
    </w:p>
    <w:p w:rsidR="008F5C0B" w:rsidRDefault="008F5C0B" w:rsidP="008F5C0B">
      <w:pPr>
        <w:pStyle w:val="Heading2"/>
        <w:rPr>
          <w:lang w:val="en-GB"/>
        </w:rPr>
      </w:pPr>
      <w:bookmarkStart w:id="17" w:name="_Toc326845348"/>
      <w:r>
        <w:rPr>
          <w:lang w:val="en-GB"/>
        </w:rPr>
        <w:t>Preparing for a mid-term review</w:t>
      </w:r>
      <w:bookmarkEnd w:id="17"/>
    </w:p>
    <w:p w:rsidR="00385525" w:rsidRDefault="008F5C0B" w:rsidP="008B74F6">
      <w:pPr>
        <w:rPr>
          <w:lang w:val="en-GB"/>
        </w:rPr>
      </w:pPr>
      <w:r>
        <w:rPr>
          <w:lang w:val="en-GB"/>
        </w:rPr>
        <w:t xml:space="preserve">An investment the size of SOL3 requires an independent progress review at mid-term.  </w:t>
      </w:r>
      <w:r w:rsidR="00385525">
        <w:rPr>
          <w:lang w:val="en-GB"/>
        </w:rPr>
        <w:t xml:space="preserve">The TAG notes that AusAID and ACIAR are aware of this and will make plans during late 2012 and early 2013 to conduct the mid-term </w:t>
      </w:r>
      <w:r w:rsidR="00AA5ADC">
        <w:rPr>
          <w:lang w:val="en-GB"/>
        </w:rPr>
        <w:t>evaluation</w:t>
      </w:r>
      <w:r w:rsidR="00385525">
        <w:rPr>
          <w:lang w:val="en-GB"/>
        </w:rPr>
        <w:t>.</w:t>
      </w:r>
    </w:p>
    <w:p w:rsidR="00385525" w:rsidRDefault="00385525" w:rsidP="008B74F6">
      <w:pPr>
        <w:rPr>
          <w:lang w:val="en-GB"/>
        </w:rPr>
      </w:pPr>
    </w:p>
    <w:p w:rsidR="008F5C0B" w:rsidRPr="00EA35F8" w:rsidRDefault="008F5C0B" w:rsidP="003424EC">
      <w:pPr>
        <w:rPr>
          <w:sz w:val="16"/>
          <w:szCs w:val="16"/>
          <w:lang w:val="en-GB"/>
        </w:rPr>
      </w:pPr>
    </w:p>
    <w:p w:rsidR="008F5C0B" w:rsidRPr="003D1B5E" w:rsidRDefault="008F5C0B" w:rsidP="003424EC">
      <w:pPr>
        <w:rPr>
          <w:lang w:val="en-GB"/>
        </w:rPr>
      </w:pPr>
      <w:r>
        <w:rPr>
          <w:lang w:val="en-GB"/>
        </w:rPr>
        <w:t xml:space="preserve">As a result, </w:t>
      </w:r>
      <w:r w:rsidRPr="008F5C0B">
        <w:rPr>
          <w:lang w:val="en-GB"/>
        </w:rPr>
        <w:t xml:space="preserve">the TAG </w:t>
      </w:r>
      <w:r w:rsidR="00F44710" w:rsidRPr="000C175E">
        <w:rPr>
          <w:b/>
          <w:lang w:val="en-GB"/>
        </w:rPr>
        <w:t>recommends</w:t>
      </w:r>
      <w:r w:rsidRPr="008F5C0B">
        <w:rPr>
          <w:lang w:val="en-GB"/>
        </w:rPr>
        <w:t xml:space="preserve"> that the mid-term review and TAG3 input before June 2013 focus on (1) institutional capacity to transition Components 1 and 2 to MAF; (2) sustainability of informal seed production systems; and (3) the adaptive research</w:t>
      </w:r>
      <w:r w:rsidR="00E724F8">
        <w:rPr>
          <w:lang w:val="en-GB"/>
        </w:rPr>
        <w:t>, extension</w:t>
      </w:r>
      <w:r w:rsidRPr="008F5C0B">
        <w:rPr>
          <w:lang w:val="en-GB"/>
        </w:rPr>
        <w:t xml:space="preserve"> and policy </w:t>
      </w:r>
      <w:r w:rsidR="00E724F8">
        <w:rPr>
          <w:lang w:val="en-GB"/>
        </w:rPr>
        <w:t>environments</w:t>
      </w:r>
      <w:r w:rsidRPr="008F5C0B">
        <w:rPr>
          <w:lang w:val="en-GB"/>
        </w:rPr>
        <w:t xml:space="preserve"> </w:t>
      </w:r>
      <w:r w:rsidR="00E724F8">
        <w:rPr>
          <w:lang w:val="en-GB"/>
        </w:rPr>
        <w:t>that will</w:t>
      </w:r>
      <w:r w:rsidRPr="008F5C0B">
        <w:rPr>
          <w:lang w:val="en-GB"/>
        </w:rPr>
        <w:t xml:space="preserve"> enable sustainable food security in Timor-Leste in the longer term.</w:t>
      </w:r>
    </w:p>
    <w:p w:rsidR="003424EC" w:rsidRPr="003D1B5E" w:rsidRDefault="003424EC" w:rsidP="003424EC">
      <w:pPr>
        <w:tabs>
          <w:tab w:val="num" w:pos="1440"/>
        </w:tabs>
        <w:jc w:val="center"/>
        <w:rPr>
          <w:lang w:val="en-GB"/>
        </w:rPr>
      </w:pPr>
      <w:r w:rsidRPr="003D1B5E">
        <w:rPr>
          <w:lang w:val="en-GB"/>
        </w:rPr>
        <w:sym w:font="Wingdings" w:char="F09A"/>
      </w:r>
      <w:r w:rsidRPr="003D1B5E">
        <w:rPr>
          <w:lang w:val="en-GB"/>
        </w:rPr>
        <w:t xml:space="preserve"> </w:t>
      </w:r>
      <w:r w:rsidRPr="003D1B5E">
        <w:rPr>
          <w:lang w:val="en-GB"/>
        </w:rPr>
        <w:sym w:font="Wingdings" w:char="F09B"/>
      </w:r>
    </w:p>
    <w:p w:rsidR="002A5059" w:rsidRPr="003D1B5E" w:rsidRDefault="00B30C8B" w:rsidP="00B30C8B">
      <w:pPr>
        <w:pStyle w:val="Heading1"/>
        <w:rPr>
          <w:w w:val="105"/>
          <w:lang w:val="en-GB"/>
        </w:rPr>
      </w:pPr>
      <w:bookmarkStart w:id="18" w:name="_Toc326845349"/>
      <w:r w:rsidRPr="003D1B5E">
        <w:rPr>
          <w:w w:val="105"/>
          <w:lang w:val="en-GB"/>
        </w:rPr>
        <w:lastRenderedPageBreak/>
        <w:t>Changes</w:t>
      </w:r>
      <w:r w:rsidR="002A5059" w:rsidRPr="003D1B5E">
        <w:rPr>
          <w:w w:val="105"/>
          <w:lang w:val="en-GB"/>
        </w:rPr>
        <w:t xml:space="preserve"> in </w:t>
      </w:r>
      <w:r w:rsidRPr="003D1B5E">
        <w:rPr>
          <w:w w:val="105"/>
          <w:lang w:val="en-GB"/>
        </w:rPr>
        <w:t>crop productivity</w:t>
      </w:r>
      <w:bookmarkEnd w:id="18"/>
    </w:p>
    <w:p w:rsidR="002A5059" w:rsidRPr="003D1B5E" w:rsidRDefault="00E91E9C" w:rsidP="00B30C8B">
      <w:pPr>
        <w:pStyle w:val="Heading2"/>
        <w:rPr>
          <w:w w:val="105"/>
          <w:lang w:val="en-GB"/>
        </w:rPr>
      </w:pPr>
      <w:bookmarkStart w:id="19" w:name="_Toc326845350"/>
      <w:r>
        <w:rPr>
          <w:w w:val="105"/>
          <w:lang w:val="en-GB"/>
        </w:rPr>
        <w:t>Yield potential is not yet being realised in Timor-Leste</w:t>
      </w:r>
      <w:bookmarkEnd w:id="19"/>
    </w:p>
    <w:p w:rsidR="004C1F73" w:rsidRDefault="00E91E9C" w:rsidP="00E16AEB">
      <w:pPr>
        <w:ind w:right="1"/>
        <w:rPr>
          <w:spacing w:val="-4"/>
          <w:w w:val="105"/>
          <w:lang w:val="en-GB"/>
        </w:rPr>
      </w:pPr>
      <w:r w:rsidRPr="00E91E9C">
        <w:rPr>
          <w:spacing w:val="-4"/>
          <w:w w:val="105"/>
          <w:lang w:val="en-GB"/>
        </w:rPr>
        <w:t>Soil fertility remains a major constraint to crop productivity</w:t>
      </w:r>
      <w:r w:rsidR="00664B5D">
        <w:rPr>
          <w:spacing w:val="-4"/>
          <w:w w:val="105"/>
          <w:lang w:val="en-GB"/>
        </w:rPr>
        <w:t>.</w:t>
      </w:r>
      <w:r w:rsidRPr="00E91E9C">
        <w:rPr>
          <w:spacing w:val="-4"/>
          <w:w w:val="105"/>
          <w:lang w:val="en-GB"/>
        </w:rPr>
        <w:t xml:space="preserve"> As shown in </w:t>
      </w:r>
      <w:r w:rsidR="008B74F6" w:rsidRPr="003C2A0E">
        <w:rPr>
          <w:spacing w:val="-4"/>
          <w:w w:val="105"/>
          <w:lang w:val="en-GB"/>
        </w:rPr>
        <w:t>Chart 4</w:t>
      </w:r>
      <w:r w:rsidRPr="003C2A0E">
        <w:rPr>
          <w:spacing w:val="-4"/>
          <w:w w:val="105"/>
          <w:lang w:val="en-GB"/>
        </w:rPr>
        <w:t>, yields</w:t>
      </w:r>
      <w:r w:rsidRPr="00E91E9C">
        <w:rPr>
          <w:spacing w:val="-4"/>
          <w:w w:val="105"/>
          <w:lang w:val="en-GB"/>
        </w:rPr>
        <w:t xml:space="preserve"> of the target crops in Timor Leste are generally much lower than the average for SE Asia (mea</w:t>
      </w:r>
      <w:r w:rsidR="007F25AD">
        <w:rPr>
          <w:spacing w:val="-4"/>
          <w:w w:val="105"/>
          <w:lang w:val="en-GB"/>
        </w:rPr>
        <w:t>ns for 2008-10; FAOSTAT, 2012).</w:t>
      </w:r>
    </w:p>
    <w:p w:rsidR="004C1F73" w:rsidRPr="007F25AD" w:rsidRDefault="004C1F73" w:rsidP="00E16AEB">
      <w:pPr>
        <w:ind w:right="1"/>
        <w:rPr>
          <w:spacing w:val="-4"/>
          <w:w w:val="105"/>
          <w:sz w:val="16"/>
          <w:szCs w:val="16"/>
          <w:lang w:val="en-GB"/>
        </w:rPr>
      </w:pPr>
    </w:p>
    <w:p w:rsidR="004C1F73" w:rsidRDefault="004C1F73" w:rsidP="004C1F73">
      <w:pPr>
        <w:pStyle w:val="Caption"/>
        <w:rPr>
          <w:spacing w:val="-4"/>
          <w:w w:val="105"/>
          <w:lang w:val="en-GB"/>
        </w:rPr>
      </w:pPr>
      <w:bookmarkStart w:id="20" w:name="_Toc326845361"/>
      <w:r>
        <w:t xml:space="preserve">Chart </w:t>
      </w:r>
      <w:r w:rsidR="00FB2DD9">
        <w:fldChar w:fldCharType="begin"/>
      </w:r>
      <w:r>
        <w:instrText xml:space="preserve"> SEQ Chart \* ARABIC </w:instrText>
      </w:r>
      <w:r w:rsidR="00FB2DD9">
        <w:fldChar w:fldCharType="separate"/>
      </w:r>
      <w:r w:rsidR="00A37A51">
        <w:rPr>
          <w:noProof/>
        </w:rPr>
        <w:t>4</w:t>
      </w:r>
      <w:r w:rsidR="00FB2DD9">
        <w:rPr>
          <w:noProof/>
        </w:rPr>
        <w:fldChar w:fldCharType="end"/>
      </w:r>
      <w:r>
        <w:t xml:space="preserve"> : Timor-Leste is missing out on the yield potential of key crops</w:t>
      </w:r>
      <w:bookmarkEnd w:id="20"/>
    </w:p>
    <w:p w:rsidR="004C1F73" w:rsidRDefault="00D97B61" w:rsidP="00E91E9C">
      <w:pPr>
        <w:ind w:right="144"/>
        <w:rPr>
          <w:spacing w:val="-4"/>
          <w:w w:val="105"/>
          <w:lang w:val="en-GB"/>
        </w:rPr>
      </w:pPr>
      <w:r w:rsidRPr="007F07FF">
        <w:rPr>
          <w:noProof/>
          <w:spacing w:val="-4"/>
          <w:w w:val="105"/>
        </w:rPr>
        <w:drawing>
          <wp:inline distT="0" distB="0" distL="0" distR="0" wp14:anchorId="145D3020" wp14:editId="560BF59E">
            <wp:extent cx="2697480" cy="1803400"/>
            <wp:effectExtent l="0" t="0" r="7620" b="6350"/>
            <wp:docPr id="4" name="Picture 1" descr="crop y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97855" cy="1803651"/>
                    </a:xfrm>
                    <a:prstGeom prst="rect">
                      <a:avLst/>
                    </a:prstGeom>
                    <a:noFill/>
                  </pic:spPr>
                </pic:pic>
              </a:graphicData>
            </a:graphic>
          </wp:inline>
        </w:drawing>
      </w:r>
      <w:r w:rsidRPr="007F07FF">
        <w:rPr>
          <w:noProof/>
          <w:spacing w:val="-4"/>
          <w:w w:val="105"/>
        </w:rPr>
        <w:drawing>
          <wp:inline distT="0" distB="0" distL="0" distR="0" wp14:anchorId="23DA9EDE" wp14:editId="150D76C7">
            <wp:extent cx="2885440" cy="1827410"/>
            <wp:effectExtent l="0" t="0" r="0" b="1905"/>
            <wp:docPr id="6" name="Picture 3" descr="crop y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86903" cy="1828337"/>
                    </a:xfrm>
                    <a:prstGeom prst="rect">
                      <a:avLst/>
                    </a:prstGeom>
                    <a:noFill/>
                  </pic:spPr>
                </pic:pic>
              </a:graphicData>
            </a:graphic>
          </wp:inline>
        </w:drawing>
      </w:r>
    </w:p>
    <w:p w:rsidR="004C1F73" w:rsidRDefault="004C1F73" w:rsidP="00E91E9C">
      <w:pPr>
        <w:ind w:right="144"/>
        <w:rPr>
          <w:spacing w:val="-4"/>
          <w:w w:val="105"/>
          <w:lang w:val="en-GB"/>
        </w:rPr>
      </w:pPr>
      <w:r>
        <w:rPr>
          <w:noProof/>
          <w:spacing w:val="-4"/>
          <w:w w:val="105"/>
          <w:sz w:val="16"/>
          <w:szCs w:val="16"/>
          <w:lang w:val="en-GB" w:eastAsia="en-GB"/>
        </w:rPr>
        <w:t>Source: FAOSTAT, 2012; Yield gains are calculated from 2000-2010; average yields are means ofr 2008-10 data</w:t>
      </w:r>
    </w:p>
    <w:p w:rsidR="004C1F73" w:rsidRDefault="004C1F73" w:rsidP="00E16AEB">
      <w:pPr>
        <w:ind w:right="1"/>
        <w:rPr>
          <w:spacing w:val="-4"/>
          <w:w w:val="105"/>
          <w:lang w:val="en-GB"/>
        </w:rPr>
      </w:pPr>
    </w:p>
    <w:p w:rsidR="007F07FF" w:rsidRDefault="004C1F73" w:rsidP="00E16AEB">
      <w:pPr>
        <w:ind w:right="1"/>
        <w:rPr>
          <w:spacing w:val="-4"/>
          <w:w w:val="105"/>
          <w:lang w:val="en-GB"/>
        </w:rPr>
      </w:pPr>
      <w:r>
        <w:rPr>
          <w:spacing w:val="-4"/>
          <w:w w:val="105"/>
          <w:lang w:val="en-GB"/>
        </w:rPr>
        <w:t>In addition</w:t>
      </w:r>
      <w:r w:rsidR="00E91E9C" w:rsidRPr="00E91E9C">
        <w:rPr>
          <w:spacing w:val="-4"/>
          <w:w w:val="105"/>
          <w:lang w:val="en-GB"/>
        </w:rPr>
        <w:t>, the increase</w:t>
      </w:r>
      <w:r w:rsidR="00A177F3">
        <w:rPr>
          <w:spacing w:val="-4"/>
          <w:w w:val="105"/>
          <w:lang w:val="en-GB"/>
        </w:rPr>
        <w:t>s</w:t>
      </w:r>
      <w:r w:rsidR="00E91E9C" w:rsidRPr="00E91E9C">
        <w:rPr>
          <w:spacing w:val="-4"/>
          <w:w w:val="105"/>
          <w:lang w:val="en-GB"/>
        </w:rPr>
        <w:t xml:space="preserve"> in yields over the last decade, with the exception of groundnuts and rice, have been much less than those in SE Asia.  Population will double in 21 (3.4% p.a.) to 32 (2.2% p.a.) yea</w:t>
      </w:r>
      <w:r w:rsidR="007F25AD">
        <w:rPr>
          <w:spacing w:val="-4"/>
          <w:w w:val="105"/>
          <w:lang w:val="en-GB"/>
        </w:rPr>
        <w:t>rs</w:t>
      </w:r>
      <w:r w:rsidR="00E91E9C" w:rsidRPr="00E91E9C">
        <w:rPr>
          <w:spacing w:val="-4"/>
          <w:w w:val="105"/>
          <w:lang w:val="en-GB"/>
        </w:rPr>
        <w:t xml:space="preserve">. As noted in </w:t>
      </w:r>
      <w:r w:rsidR="008B74F6">
        <w:rPr>
          <w:spacing w:val="-4"/>
          <w:w w:val="105"/>
          <w:lang w:val="en-GB"/>
        </w:rPr>
        <w:t>the TAG1 report, little fertilis</w:t>
      </w:r>
      <w:r w:rsidR="00E91E9C" w:rsidRPr="00E91E9C">
        <w:rPr>
          <w:spacing w:val="-4"/>
          <w:w w:val="105"/>
          <w:lang w:val="en-GB"/>
        </w:rPr>
        <w:t>er is used in Timor</w:t>
      </w:r>
      <w:r w:rsidR="008B74F6">
        <w:rPr>
          <w:spacing w:val="-4"/>
          <w:w w:val="105"/>
          <w:lang w:val="en-GB"/>
        </w:rPr>
        <w:t>-Leste, organic fertilis</w:t>
      </w:r>
      <w:r w:rsidR="00E91E9C" w:rsidRPr="00E91E9C">
        <w:rPr>
          <w:spacing w:val="-4"/>
          <w:w w:val="105"/>
          <w:lang w:val="en-GB"/>
        </w:rPr>
        <w:t>er sources are few,</w:t>
      </w:r>
      <w:r w:rsidR="00664B5D">
        <w:rPr>
          <w:spacing w:val="-4"/>
          <w:w w:val="105"/>
          <w:lang w:val="en-GB"/>
        </w:rPr>
        <w:t xml:space="preserve"> and</w:t>
      </w:r>
      <w:r w:rsidR="00E91E9C" w:rsidRPr="00E91E9C">
        <w:rPr>
          <w:spacing w:val="-4"/>
          <w:w w:val="105"/>
          <w:lang w:val="en-GB"/>
        </w:rPr>
        <w:t xml:space="preserve"> legumes are a </w:t>
      </w:r>
      <w:r w:rsidR="00664B5D">
        <w:rPr>
          <w:spacing w:val="-4"/>
          <w:w w:val="105"/>
          <w:lang w:val="en-GB"/>
        </w:rPr>
        <w:t xml:space="preserve">relatively </w:t>
      </w:r>
      <w:r w:rsidR="00E91E9C" w:rsidRPr="00E91E9C">
        <w:rPr>
          <w:spacing w:val="-4"/>
          <w:w w:val="105"/>
          <w:lang w:val="en-GB"/>
        </w:rPr>
        <w:t>minor component of the cropping system</w:t>
      </w:r>
      <w:r w:rsidR="00E16AEB">
        <w:rPr>
          <w:spacing w:val="-4"/>
          <w:w w:val="105"/>
          <w:lang w:val="en-GB"/>
        </w:rPr>
        <w:t xml:space="preserve">. </w:t>
      </w:r>
      <w:r w:rsidR="00664B5D">
        <w:rPr>
          <w:spacing w:val="-4"/>
          <w:w w:val="105"/>
          <w:lang w:val="en-GB"/>
        </w:rPr>
        <w:t xml:space="preserve"> Furthermore, </w:t>
      </w:r>
      <w:r w:rsidR="00E91E9C" w:rsidRPr="00E91E9C">
        <w:rPr>
          <w:spacing w:val="-4"/>
          <w:w w:val="105"/>
          <w:lang w:val="en-GB"/>
        </w:rPr>
        <w:t>weeds are controlled manually</w:t>
      </w:r>
      <w:r w:rsidR="00664B5D">
        <w:rPr>
          <w:spacing w:val="-4"/>
          <w:w w:val="105"/>
          <w:lang w:val="en-GB"/>
        </w:rPr>
        <w:t xml:space="preserve"> in fields where plant densities are often low, so weeds are aggressive and limit the area most households can manage to less than 1 hectare</w:t>
      </w:r>
      <w:r w:rsidR="00E91E9C" w:rsidRPr="00E91E9C">
        <w:rPr>
          <w:spacing w:val="-4"/>
          <w:w w:val="105"/>
          <w:lang w:val="en-GB"/>
        </w:rPr>
        <w:t>.</w:t>
      </w:r>
      <w:r w:rsidR="00664B5D">
        <w:rPr>
          <w:spacing w:val="-4"/>
          <w:w w:val="105"/>
          <w:lang w:val="en-GB"/>
        </w:rPr>
        <w:t xml:space="preserve"> </w:t>
      </w:r>
      <w:r w:rsidR="00E91E9C" w:rsidRPr="00E91E9C">
        <w:rPr>
          <w:spacing w:val="-4"/>
          <w:w w:val="105"/>
          <w:lang w:val="en-GB"/>
        </w:rPr>
        <w:t xml:space="preserve"> At a national level the situation has not changed</w:t>
      </w:r>
      <w:r w:rsidR="00664B5D">
        <w:rPr>
          <w:spacing w:val="-4"/>
          <w:w w:val="105"/>
          <w:lang w:val="en-GB"/>
        </w:rPr>
        <w:t xml:space="preserve"> much over time other than a 30-40% increase in yield due to the use of SOL’s improved varieties but limited to where they are grown.  L</w:t>
      </w:r>
      <w:r w:rsidR="00E91E9C" w:rsidRPr="00E91E9C">
        <w:rPr>
          <w:spacing w:val="-4"/>
          <w:w w:val="105"/>
          <w:lang w:val="en-GB"/>
        </w:rPr>
        <w:t>ow input systems are low output also,</w:t>
      </w:r>
      <w:r w:rsidR="00664B5D">
        <w:rPr>
          <w:spacing w:val="-4"/>
          <w:w w:val="105"/>
          <w:lang w:val="en-GB"/>
        </w:rPr>
        <w:t xml:space="preserve"> so increased crop</w:t>
      </w:r>
      <w:r w:rsidR="00194AF0">
        <w:rPr>
          <w:spacing w:val="-4"/>
          <w:w w:val="105"/>
          <w:lang w:val="en-GB"/>
        </w:rPr>
        <w:t xml:space="preserve"> production is</w:t>
      </w:r>
      <w:r w:rsidR="00F0517E" w:rsidRPr="00F0517E">
        <w:rPr>
          <w:spacing w:val="-4"/>
          <w:w w:val="105"/>
          <w:lang w:val="en-GB"/>
        </w:rPr>
        <w:t xml:space="preserve"> </w:t>
      </w:r>
      <w:r w:rsidR="00F0517E">
        <w:rPr>
          <w:spacing w:val="-4"/>
          <w:w w:val="105"/>
          <w:lang w:val="en-GB"/>
        </w:rPr>
        <w:t xml:space="preserve">likely to come from expanded cropped area if the use of inputs is not increased substantially.  </w:t>
      </w:r>
      <w:r w:rsidR="00F0517E" w:rsidRPr="003C2A0E">
        <w:rPr>
          <w:spacing w:val="-4"/>
          <w:w w:val="105"/>
          <w:lang w:val="en-GB"/>
        </w:rPr>
        <w:t>Chart 5 shows</w:t>
      </w:r>
      <w:r w:rsidR="00F0517E">
        <w:rPr>
          <w:spacing w:val="-4"/>
          <w:w w:val="105"/>
          <w:lang w:val="en-GB"/>
        </w:rPr>
        <w:t xml:space="preserve"> the general relationship between national average maize yields and the average level of N fertiliser applied to land planted to arable and permanent crops for leading agricultural countries in SE Asia. Although the trend is not statistically significant (P=0.10), it averages 14 kg grain maize (and rice) per kg of N applied, and suggests that 50 kg/ha of applied N would result in an additional 700 kg maize grain/ha.</w:t>
      </w:r>
    </w:p>
    <w:p w:rsidR="007F07FF" w:rsidRDefault="007F07FF" w:rsidP="00E16AEB">
      <w:pPr>
        <w:ind w:right="1"/>
        <w:rPr>
          <w:spacing w:val="-4"/>
          <w:w w:val="105"/>
          <w:lang w:val="en-GB"/>
        </w:rPr>
      </w:pPr>
    </w:p>
    <w:p w:rsidR="00D92B04" w:rsidRDefault="000965D6" w:rsidP="00E16AEB">
      <w:pPr>
        <w:ind w:right="1"/>
        <w:rPr>
          <w:spacing w:val="-4"/>
          <w:w w:val="105"/>
          <w:lang w:val="en-GB"/>
        </w:rPr>
      </w:pPr>
      <w:r>
        <w:rPr>
          <w:noProof/>
          <w:spacing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Chart 5 : Maize yield vs N rate in SE Asia" style="position:absolute;left:0;text-align:left;margin-left:-.25pt;margin-top:29.75pt;width:168.4pt;height:140.85pt;z-index:251667456;mso-position-horizontal-relative:text;mso-position-vertical-relative:text">
            <v:imagedata r:id="rId24" o:title=""/>
            <w10:wrap type="square"/>
          </v:shape>
          <o:OLEObject Type="Embed" ProgID="Prism5.Document" ShapeID="_x0000_s1028" DrawAspect="Content" ObjectID="_1440490595" r:id="rId25"/>
        </w:pict>
      </w:r>
      <w:r w:rsidR="005C0614">
        <w:rPr>
          <w:spacing w:val="-4"/>
          <w:w w:val="105"/>
          <w:lang w:val="en-GB"/>
        </w:rPr>
        <w:t>This is reasonably consistent with data published</w:t>
      </w:r>
      <w:r w:rsidR="004C1F73">
        <w:rPr>
          <w:spacing w:val="-4"/>
          <w:w w:val="105"/>
          <w:lang w:val="en-GB"/>
        </w:rPr>
        <w:t xml:space="preserve"> </w:t>
      </w:r>
      <w:r w:rsidR="005C0614">
        <w:rPr>
          <w:spacing w:val="-4"/>
          <w:w w:val="105"/>
          <w:lang w:val="en-GB"/>
        </w:rPr>
        <w:t>in FAO’s Fertibase</w:t>
      </w:r>
      <w:r w:rsidR="005C0614" w:rsidRPr="00194AF0">
        <w:rPr>
          <w:vertAlign w:val="superscript"/>
        </w:rPr>
        <w:footnoteReference w:id="4"/>
      </w:r>
      <w:r w:rsidR="007F07FF">
        <w:rPr>
          <w:spacing w:val="-4"/>
          <w:w w:val="105"/>
          <w:lang w:val="en-GB"/>
        </w:rPr>
        <w:t xml:space="preserve"> on fertilis</w:t>
      </w:r>
      <w:r w:rsidR="004C1F73">
        <w:rPr>
          <w:spacing w:val="-4"/>
          <w:w w:val="105"/>
          <w:lang w:val="en-GB"/>
        </w:rPr>
        <w:t>er responses in Indonesia</w:t>
      </w:r>
      <w:r w:rsidR="00C81BC4">
        <w:rPr>
          <w:spacing w:val="-4"/>
          <w:w w:val="105"/>
          <w:lang w:val="en-GB"/>
        </w:rPr>
        <w:t>.</w:t>
      </w:r>
      <w:r w:rsidR="00361EDA">
        <w:rPr>
          <w:spacing w:val="-4"/>
          <w:w w:val="105"/>
          <w:lang w:val="en-GB"/>
        </w:rPr>
        <w:t xml:space="preserve">  The average yield increase over the last decade in Timor-Leste has been 30 and 64 kg/ha/yr for maize and rice respectively, so the increased yield from applying 50 kg N/ha would require 23 and 11 years</w:t>
      </w:r>
      <w:r w:rsidR="00FE148E">
        <w:rPr>
          <w:spacing w:val="-4"/>
          <w:w w:val="105"/>
          <w:lang w:val="en-GB"/>
        </w:rPr>
        <w:t xml:space="preserve"> to attain</w:t>
      </w:r>
      <w:r w:rsidR="00361EDA">
        <w:rPr>
          <w:spacing w:val="-4"/>
          <w:w w:val="105"/>
          <w:lang w:val="en-GB"/>
        </w:rPr>
        <w:t xml:space="preserve"> if it was obtained simply from non-</w:t>
      </w:r>
      <w:r w:rsidR="00341940">
        <w:rPr>
          <w:spacing w:val="-4"/>
          <w:w w:val="105"/>
          <w:lang w:val="en-GB"/>
        </w:rPr>
        <w:t>fertilis</w:t>
      </w:r>
      <w:r w:rsidR="00361EDA">
        <w:rPr>
          <w:spacing w:val="-4"/>
          <w:w w:val="105"/>
          <w:lang w:val="en-GB"/>
        </w:rPr>
        <w:t>er sources such as improved vari</w:t>
      </w:r>
      <w:r w:rsidR="00FE148E">
        <w:rPr>
          <w:spacing w:val="-4"/>
          <w:w w:val="105"/>
          <w:lang w:val="en-GB"/>
        </w:rPr>
        <w:t>e</w:t>
      </w:r>
      <w:r w:rsidR="00361EDA">
        <w:rPr>
          <w:spacing w:val="-4"/>
          <w:w w:val="105"/>
          <w:lang w:val="en-GB"/>
        </w:rPr>
        <w:t>ties</w:t>
      </w:r>
      <w:r w:rsidR="00C81BC4">
        <w:rPr>
          <w:spacing w:val="-4"/>
          <w:w w:val="105"/>
          <w:lang w:val="en-GB"/>
        </w:rPr>
        <w:t xml:space="preserve"> of these two staples</w:t>
      </w:r>
      <w:r w:rsidR="00FE148E">
        <w:rPr>
          <w:spacing w:val="-4"/>
          <w:w w:val="105"/>
          <w:lang w:val="en-GB"/>
        </w:rPr>
        <w:t>.  This is about a half the rate</w:t>
      </w:r>
      <w:r w:rsidR="00C81BC4">
        <w:rPr>
          <w:spacing w:val="-4"/>
          <w:w w:val="105"/>
          <w:lang w:val="en-GB"/>
        </w:rPr>
        <w:t xml:space="preserve"> </w:t>
      </w:r>
      <w:r w:rsidR="006764E7">
        <w:rPr>
          <w:spacing w:val="-4"/>
          <w:w w:val="105"/>
          <w:lang w:val="en-GB"/>
        </w:rPr>
        <w:t>of increase in food production</w:t>
      </w:r>
      <w:r w:rsidR="00FE148E">
        <w:rPr>
          <w:spacing w:val="-4"/>
          <w:w w:val="105"/>
          <w:lang w:val="en-GB"/>
        </w:rPr>
        <w:t xml:space="preserve"> needed to feed the expanding population, so in the absence of </w:t>
      </w:r>
      <w:r w:rsidR="00341940">
        <w:rPr>
          <w:spacing w:val="-4"/>
          <w:w w:val="105"/>
          <w:lang w:val="en-GB"/>
        </w:rPr>
        <w:t>fertilis</w:t>
      </w:r>
      <w:r w:rsidR="00FE148E">
        <w:rPr>
          <w:spacing w:val="-4"/>
          <w:w w:val="105"/>
          <w:lang w:val="en-GB"/>
        </w:rPr>
        <w:t xml:space="preserve">er </w:t>
      </w:r>
      <w:r w:rsidR="00194AF0">
        <w:rPr>
          <w:spacing w:val="-4"/>
          <w:w w:val="105"/>
          <w:lang w:val="en-GB"/>
        </w:rPr>
        <w:t xml:space="preserve">this </w:t>
      </w:r>
      <w:r w:rsidR="00FE148E">
        <w:rPr>
          <w:spacing w:val="-4"/>
          <w:w w:val="105"/>
          <w:lang w:val="en-GB"/>
        </w:rPr>
        <w:t>will require a</w:t>
      </w:r>
      <w:r w:rsidR="00194AF0">
        <w:rPr>
          <w:spacing w:val="-4"/>
          <w:w w:val="105"/>
          <w:lang w:val="en-GB"/>
        </w:rPr>
        <w:t>n</w:t>
      </w:r>
      <w:r w:rsidR="00FE148E">
        <w:rPr>
          <w:spacing w:val="-4"/>
          <w:w w:val="105"/>
          <w:lang w:val="en-GB"/>
        </w:rPr>
        <w:t xml:space="preserve"> increase (around 50%) in area sown to basic food crops over the next 20 years. </w:t>
      </w:r>
      <w:r w:rsidR="00E91E9C" w:rsidRPr="00E91E9C">
        <w:rPr>
          <w:spacing w:val="-4"/>
          <w:w w:val="105"/>
          <w:lang w:val="en-GB"/>
        </w:rPr>
        <w:t xml:space="preserve"> </w:t>
      </w:r>
      <w:r w:rsidR="00FE148E">
        <w:rPr>
          <w:spacing w:val="-4"/>
          <w:w w:val="105"/>
          <w:lang w:val="en-GB"/>
        </w:rPr>
        <w:t>E</w:t>
      </w:r>
      <w:r w:rsidR="00E91E9C" w:rsidRPr="00E91E9C">
        <w:rPr>
          <w:spacing w:val="-4"/>
          <w:w w:val="105"/>
          <w:lang w:val="en-GB"/>
        </w:rPr>
        <w:t xml:space="preserve">xpanding </w:t>
      </w:r>
      <w:r w:rsidR="00FE148E">
        <w:rPr>
          <w:spacing w:val="-4"/>
          <w:w w:val="105"/>
          <w:lang w:val="en-GB"/>
        </w:rPr>
        <w:t xml:space="preserve">the </w:t>
      </w:r>
      <w:r w:rsidR="00E91E9C" w:rsidRPr="00E91E9C">
        <w:rPr>
          <w:spacing w:val="-4"/>
          <w:w w:val="105"/>
          <w:lang w:val="en-GB"/>
        </w:rPr>
        <w:t xml:space="preserve">cropped area </w:t>
      </w:r>
      <w:r w:rsidR="00FE148E">
        <w:rPr>
          <w:spacing w:val="-4"/>
          <w:w w:val="105"/>
          <w:lang w:val="en-GB"/>
        </w:rPr>
        <w:t xml:space="preserve">is likely to come </w:t>
      </w:r>
      <w:r w:rsidR="00341940">
        <w:rPr>
          <w:spacing w:val="-4"/>
          <w:w w:val="105"/>
          <w:lang w:val="en-GB"/>
        </w:rPr>
        <w:t>with</w:t>
      </w:r>
      <w:r w:rsidR="00E91E9C" w:rsidRPr="00E91E9C">
        <w:rPr>
          <w:spacing w:val="-4"/>
          <w:w w:val="105"/>
          <w:lang w:val="en-GB"/>
        </w:rPr>
        <w:t xml:space="preserve"> an increas</w:t>
      </w:r>
      <w:r w:rsidR="00341940">
        <w:rPr>
          <w:spacing w:val="-4"/>
          <w:w w:val="105"/>
          <w:lang w:val="en-GB"/>
        </w:rPr>
        <w:t>ed</w:t>
      </w:r>
      <w:r w:rsidR="00E91E9C" w:rsidRPr="00E91E9C">
        <w:rPr>
          <w:spacing w:val="-4"/>
          <w:w w:val="105"/>
          <w:lang w:val="en-GB"/>
        </w:rPr>
        <w:t xml:space="preserve"> environmental cost. </w:t>
      </w:r>
      <w:r w:rsidR="00C81BC4">
        <w:rPr>
          <w:spacing w:val="-4"/>
          <w:w w:val="105"/>
          <w:lang w:val="en-GB"/>
        </w:rPr>
        <w:t xml:space="preserve"> The fertility situation is probably worsening.</w:t>
      </w:r>
      <w:r w:rsidR="008B74F6">
        <w:rPr>
          <w:spacing w:val="-4"/>
          <w:w w:val="105"/>
          <w:lang w:val="en-GB"/>
        </w:rPr>
        <w:t xml:space="preserve"> </w:t>
      </w:r>
      <w:r w:rsidR="007F07FF">
        <w:rPr>
          <w:spacing w:val="-4"/>
          <w:w w:val="105"/>
          <w:lang w:val="en-GB"/>
        </w:rPr>
        <w:t xml:space="preserve">With </w:t>
      </w:r>
      <w:r w:rsidR="007F07FF">
        <w:rPr>
          <w:spacing w:val="-4"/>
          <w:w w:val="105"/>
          <w:lang w:val="en-GB"/>
        </w:rPr>
        <w:lastRenderedPageBreak/>
        <w:t>none or little fertilis</w:t>
      </w:r>
      <w:r w:rsidR="00FE148E">
        <w:rPr>
          <w:spacing w:val="-4"/>
          <w:w w:val="105"/>
          <w:lang w:val="en-GB"/>
        </w:rPr>
        <w:t>er applied, i</w:t>
      </w:r>
      <w:r w:rsidR="00E91E9C" w:rsidRPr="00E91E9C">
        <w:rPr>
          <w:spacing w:val="-4"/>
          <w:w w:val="105"/>
          <w:lang w:val="en-GB"/>
        </w:rPr>
        <w:t xml:space="preserve">t is </w:t>
      </w:r>
      <w:r w:rsidR="00FE148E">
        <w:rPr>
          <w:spacing w:val="-4"/>
          <w:w w:val="105"/>
          <w:lang w:val="en-GB"/>
        </w:rPr>
        <w:t xml:space="preserve">highly </w:t>
      </w:r>
      <w:r w:rsidR="00E91E9C" w:rsidRPr="00E91E9C">
        <w:rPr>
          <w:spacing w:val="-4"/>
          <w:w w:val="105"/>
          <w:lang w:val="en-GB"/>
        </w:rPr>
        <w:t>likely that Timor</w:t>
      </w:r>
      <w:r w:rsidR="00FE148E">
        <w:rPr>
          <w:spacing w:val="-4"/>
          <w:w w:val="105"/>
          <w:lang w:val="en-GB"/>
        </w:rPr>
        <w:t>-</w:t>
      </w:r>
      <w:r w:rsidR="00E91E9C" w:rsidRPr="00E91E9C">
        <w:rPr>
          <w:spacing w:val="-4"/>
          <w:w w:val="105"/>
          <w:lang w:val="en-GB"/>
        </w:rPr>
        <w:t>Leste is a net exporter of soil nutrients.</w:t>
      </w:r>
      <w:r w:rsidR="00FE148E">
        <w:rPr>
          <w:spacing w:val="-4"/>
          <w:w w:val="105"/>
          <w:lang w:val="en-GB"/>
        </w:rPr>
        <w:t xml:space="preserve">  This is the case in East Africa where a similar situation</w:t>
      </w:r>
      <w:r w:rsidR="007F07FF">
        <w:rPr>
          <w:spacing w:val="-4"/>
          <w:w w:val="105"/>
          <w:lang w:val="en-GB"/>
        </w:rPr>
        <w:t xml:space="preserve"> regarding fertilis</w:t>
      </w:r>
      <w:r w:rsidR="00CA4730">
        <w:rPr>
          <w:spacing w:val="-4"/>
          <w:w w:val="105"/>
          <w:lang w:val="en-GB"/>
        </w:rPr>
        <w:t>er use</w:t>
      </w:r>
      <w:r w:rsidR="00FE148E">
        <w:rPr>
          <w:spacing w:val="-4"/>
          <w:w w:val="105"/>
          <w:lang w:val="en-GB"/>
        </w:rPr>
        <w:t xml:space="preserve"> prevails</w:t>
      </w:r>
      <w:r w:rsidR="00FE148E" w:rsidRPr="00E16AEB">
        <w:rPr>
          <w:vertAlign w:val="superscript"/>
        </w:rPr>
        <w:footnoteReference w:id="5"/>
      </w:r>
      <w:r w:rsidR="00FE148E">
        <w:rPr>
          <w:spacing w:val="-4"/>
          <w:w w:val="105"/>
          <w:lang w:val="en-GB"/>
        </w:rPr>
        <w:t>.</w:t>
      </w:r>
    </w:p>
    <w:p w:rsidR="00D92B04" w:rsidRPr="00BC7D47" w:rsidRDefault="00D92B04" w:rsidP="00E16AEB">
      <w:pPr>
        <w:tabs>
          <w:tab w:val="left" w:pos="9072"/>
          <w:tab w:val="left" w:pos="9214"/>
          <w:tab w:val="left" w:pos="11482"/>
        </w:tabs>
        <w:ind w:right="144"/>
        <w:rPr>
          <w:spacing w:val="-4"/>
          <w:w w:val="105"/>
          <w:sz w:val="16"/>
          <w:szCs w:val="16"/>
          <w:lang w:val="en-GB"/>
        </w:rPr>
      </w:pPr>
    </w:p>
    <w:p w:rsidR="006764E7" w:rsidRDefault="006764E7" w:rsidP="00E16AEB">
      <w:pPr>
        <w:tabs>
          <w:tab w:val="left" w:pos="9072"/>
          <w:tab w:val="left" w:pos="9214"/>
          <w:tab w:val="left" w:pos="11482"/>
        </w:tabs>
        <w:ind w:right="1"/>
        <w:rPr>
          <w:spacing w:val="-4"/>
          <w:w w:val="105"/>
          <w:lang w:val="en-GB"/>
        </w:rPr>
      </w:pPr>
      <w:r>
        <w:rPr>
          <w:spacing w:val="-4"/>
          <w:w w:val="105"/>
          <w:lang w:val="en-GB"/>
        </w:rPr>
        <w:t xml:space="preserve">Should Timor-Leste import rice or import the inputs necessary to grow rice and maize?  The country currently imports around 70,000 tons of </w:t>
      </w:r>
      <w:r w:rsidR="004E3531">
        <w:rPr>
          <w:spacing w:val="-4"/>
          <w:w w:val="105"/>
          <w:lang w:val="en-GB"/>
        </w:rPr>
        <w:t xml:space="preserve">medium quality </w:t>
      </w:r>
      <w:r>
        <w:rPr>
          <w:spacing w:val="-4"/>
          <w:w w:val="105"/>
          <w:lang w:val="en-GB"/>
        </w:rPr>
        <w:t xml:space="preserve">rice annually, at a </w:t>
      </w:r>
      <w:r w:rsidR="004E3531">
        <w:rPr>
          <w:spacing w:val="-4"/>
          <w:w w:val="105"/>
          <w:lang w:val="en-GB"/>
        </w:rPr>
        <w:t xml:space="preserve">CIF </w:t>
      </w:r>
      <w:r>
        <w:rPr>
          <w:spacing w:val="-4"/>
          <w:w w:val="105"/>
          <w:lang w:val="en-GB"/>
        </w:rPr>
        <w:t>cost of around $450</w:t>
      </w:r>
      <w:r w:rsidR="004E3531">
        <w:rPr>
          <w:spacing w:val="-4"/>
          <w:w w:val="105"/>
          <w:lang w:val="en-GB"/>
        </w:rPr>
        <w:t>/ton (</w:t>
      </w:r>
      <w:hyperlink r:id="rId26" w:history="1">
        <w:r w:rsidR="004E3531" w:rsidRPr="00BF0B4F">
          <w:rPr>
            <w:rStyle w:val="Hyperlink"/>
            <w:spacing w:val="-4"/>
            <w:w w:val="105"/>
            <w:lang w:val="en-GB"/>
          </w:rPr>
          <w:t>http://www.oryza.com/</w:t>
        </w:r>
      </w:hyperlink>
      <w:r w:rsidR="004E3531">
        <w:rPr>
          <w:spacing w:val="-4"/>
          <w:w w:val="105"/>
          <w:lang w:val="en-GB"/>
        </w:rPr>
        <w:t xml:space="preserve"> </w:t>
      </w:r>
      <w:r w:rsidR="004C1F73">
        <w:rPr>
          <w:spacing w:val="-4"/>
          <w:w w:val="105"/>
          <w:lang w:val="en-GB"/>
        </w:rPr>
        <w:t>)</w:t>
      </w:r>
      <w:r w:rsidR="004E3531">
        <w:rPr>
          <w:spacing w:val="-4"/>
          <w:w w:val="105"/>
          <w:lang w:val="en-GB"/>
        </w:rPr>
        <w:t xml:space="preserve"> for a total cost of $31.5 million.  To grow this quantity of rice </w:t>
      </w:r>
      <w:r w:rsidR="00194AF0">
        <w:rPr>
          <w:spacing w:val="-4"/>
          <w:w w:val="105"/>
          <w:lang w:val="en-GB"/>
        </w:rPr>
        <w:t xml:space="preserve">on the existing rice area </w:t>
      </w:r>
      <w:r w:rsidR="004E3531">
        <w:rPr>
          <w:spacing w:val="-4"/>
          <w:w w:val="105"/>
          <w:lang w:val="en-GB"/>
        </w:rPr>
        <w:t>would require around 5,000 tons</w:t>
      </w:r>
      <w:r w:rsidR="00C81BC4">
        <w:rPr>
          <w:spacing w:val="-4"/>
          <w:w w:val="105"/>
          <w:lang w:val="en-GB"/>
        </w:rPr>
        <w:t xml:space="preserve"> of N, equal to</w:t>
      </w:r>
      <w:r w:rsidR="004E3531">
        <w:rPr>
          <w:spacing w:val="-4"/>
          <w:w w:val="105"/>
          <w:lang w:val="en-GB"/>
        </w:rPr>
        <w:t xml:space="preserve"> 11,000 tons of urea</w:t>
      </w:r>
      <w:r w:rsidR="004C1F73">
        <w:rPr>
          <w:spacing w:val="-4"/>
          <w:w w:val="105"/>
          <w:lang w:val="en-GB"/>
        </w:rPr>
        <w:t xml:space="preserve"> (46:0:0; </w:t>
      </w:r>
      <w:r w:rsidR="004E3531">
        <w:rPr>
          <w:spacing w:val="-4"/>
          <w:w w:val="105"/>
          <w:lang w:val="en-GB"/>
        </w:rPr>
        <w:t xml:space="preserve">worth around $6m landed) or </w:t>
      </w:r>
      <w:r w:rsidR="004C1F73">
        <w:rPr>
          <w:spacing w:val="-4"/>
          <w:w w:val="105"/>
          <w:lang w:val="en-GB"/>
        </w:rPr>
        <w:t xml:space="preserve">28,000 tons of DAP (18:46:0; </w:t>
      </w:r>
      <w:r w:rsidR="004E3531">
        <w:rPr>
          <w:spacing w:val="-4"/>
          <w:w w:val="105"/>
          <w:lang w:val="en-GB"/>
        </w:rPr>
        <w:t>worth around $16 m landed).</w:t>
      </w:r>
      <w:r w:rsidR="004C1F73">
        <w:rPr>
          <w:spacing w:val="-4"/>
          <w:w w:val="105"/>
          <w:lang w:val="en-GB"/>
        </w:rPr>
        <w:t xml:space="preserve">  As well, importing and distributing </w:t>
      </w:r>
      <w:r w:rsidR="00341940">
        <w:rPr>
          <w:spacing w:val="-4"/>
          <w:w w:val="105"/>
          <w:lang w:val="en-GB"/>
        </w:rPr>
        <w:t>fertilis</w:t>
      </w:r>
      <w:r w:rsidR="004C1F73">
        <w:rPr>
          <w:spacing w:val="-4"/>
          <w:w w:val="105"/>
          <w:lang w:val="en-GB"/>
        </w:rPr>
        <w:t xml:space="preserve">er helps ensure that economic benefits from growing the crop return to the agricultural sector rather than to the rice marketers, and there </w:t>
      </w:r>
      <w:proofErr w:type="gramStart"/>
      <w:r w:rsidR="004C1F73">
        <w:rPr>
          <w:spacing w:val="-4"/>
          <w:w w:val="105"/>
          <w:lang w:val="en-GB"/>
        </w:rPr>
        <w:t>are</w:t>
      </w:r>
      <w:proofErr w:type="gramEnd"/>
      <w:r w:rsidR="004C1F73">
        <w:rPr>
          <w:spacing w:val="-4"/>
          <w:w w:val="105"/>
          <w:lang w:val="en-GB"/>
        </w:rPr>
        <w:t xml:space="preserve"> carryover effects of </w:t>
      </w:r>
      <w:r w:rsidR="00341940">
        <w:rPr>
          <w:spacing w:val="-4"/>
          <w:w w:val="105"/>
          <w:lang w:val="en-GB"/>
        </w:rPr>
        <w:t>fertilis</w:t>
      </w:r>
      <w:r w:rsidR="004C1F73">
        <w:rPr>
          <w:spacing w:val="-4"/>
          <w:w w:val="105"/>
          <w:lang w:val="en-GB"/>
        </w:rPr>
        <w:t>er applied to subsequent crops as well.  A similar argument applies to maize, the most important crop in Timor-Leste.</w:t>
      </w:r>
      <w:r w:rsidR="00BC4BCC">
        <w:rPr>
          <w:spacing w:val="-4"/>
          <w:w w:val="105"/>
          <w:lang w:val="en-GB"/>
        </w:rPr>
        <w:t xml:space="preserve">  As well, because food production is relatively inefficient in its use of land and labour in Timor-Leste, the price at which imported grain is sold is often less that the domestic cost of production of the same crop.  Thus distribution of imported grains provides a major disincentive to local production.  Determining the hard numbers and complex relationship between locally produced and imported grains would make a suitable case study for the SOSEK group.</w:t>
      </w:r>
    </w:p>
    <w:p w:rsidR="00C81BC4" w:rsidRPr="00BC7D47" w:rsidRDefault="00C81BC4" w:rsidP="00E16AEB">
      <w:pPr>
        <w:tabs>
          <w:tab w:val="left" w:pos="9072"/>
          <w:tab w:val="left" w:pos="9214"/>
          <w:tab w:val="left" w:pos="11482"/>
        </w:tabs>
        <w:ind w:right="1"/>
        <w:rPr>
          <w:spacing w:val="-4"/>
          <w:w w:val="105"/>
          <w:sz w:val="16"/>
          <w:szCs w:val="16"/>
          <w:lang w:val="en-GB"/>
        </w:rPr>
      </w:pPr>
    </w:p>
    <w:p w:rsidR="005C0614" w:rsidRDefault="00D92B04" w:rsidP="00E16AEB">
      <w:pPr>
        <w:tabs>
          <w:tab w:val="left" w:pos="9072"/>
          <w:tab w:val="left" w:pos="9214"/>
          <w:tab w:val="left" w:pos="11482"/>
        </w:tabs>
        <w:ind w:right="1"/>
        <w:rPr>
          <w:spacing w:val="-4"/>
          <w:w w:val="105"/>
          <w:lang w:val="en-GB"/>
        </w:rPr>
      </w:pPr>
      <w:r>
        <w:rPr>
          <w:spacing w:val="-4"/>
          <w:w w:val="105"/>
          <w:lang w:val="en-GB"/>
        </w:rPr>
        <w:t>The challenge of low soil fer</w:t>
      </w:r>
      <w:r w:rsidR="004C1F73">
        <w:rPr>
          <w:spacing w:val="-4"/>
          <w:w w:val="105"/>
          <w:lang w:val="en-GB"/>
        </w:rPr>
        <w:t xml:space="preserve">tility was raised during TAG1 (see </w:t>
      </w:r>
      <w:r w:rsidR="0026729A">
        <w:rPr>
          <w:spacing w:val="-4"/>
          <w:w w:val="105"/>
          <w:lang w:val="en-GB"/>
        </w:rPr>
        <w:t xml:space="preserve">TAG1 </w:t>
      </w:r>
      <w:r w:rsidR="004C1F73">
        <w:rPr>
          <w:spacing w:val="-4"/>
          <w:w w:val="105"/>
          <w:lang w:val="en-GB"/>
        </w:rPr>
        <w:t>Recommendation 5).</w:t>
      </w:r>
      <w:r>
        <w:rPr>
          <w:spacing w:val="-4"/>
          <w:w w:val="105"/>
          <w:lang w:val="en-GB"/>
        </w:rPr>
        <w:t xml:space="preserve"> The TAG </w:t>
      </w:r>
      <w:r w:rsidR="007F25AD">
        <w:rPr>
          <w:spacing w:val="-4"/>
          <w:w w:val="105"/>
          <w:lang w:val="en-GB"/>
        </w:rPr>
        <w:t>notes</w:t>
      </w:r>
      <w:r>
        <w:rPr>
          <w:spacing w:val="-4"/>
          <w:w w:val="105"/>
          <w:lang w:val="en-GB"/>
        </w:rPr>
        <w:t xml:space="preserve"> that SOL3 </w:t>
      </w:r>
      <w:proofErr w:type="gramStart"/>
      <w:r>
        <w:rPr>
          <w:spacing w:val="-4"/>
          <w:w w:val="105"/>
          <w:lang w:val="en-GB"/>
        </w:rPr>
        <w:t>staff are</w:t>
      </w:r>
      <w:proofErr w:type="gramEnd"/>
      <w:r>
        <w:rPr>
          <w:spacing w:val="-4"/>
          <w:w w:val="105"/>
          <w:lang w:val="en-GB"/>
        </w:rPr>
        <w:t xml:space="preserve"> taking </w:t>
      </w:r>
      <w:r w:rsidR="004C1F73">
        <w:rPr>
          <w:spacing w:val="-4"/>
          <w:w w:val="105"/>
          <w:lang w:val="en-GB"/>
        </w:rPr>
        <w:t xml:space="preserve">reasonable </w:t>
      </w:r>
      <w:r>
        <w:rPr>
          <w:spacing w:val="-4"/>
          <w:w w:val="105"/>
          <w:lang w:val="en-GB"/>
        </w:rPr>
        <w:t xml:space="preserve">initiatives to address this major limitation to food security.  </w:t>
      </w:r>
      <w:r w:rsidR="00E91E9C" w:rsidRPr="00E91E9C">
        <w:rPr>
          <w:spacing w:val="-4"/>
          <w:w w:val="105"/>
          <w:lang w:val="en-GB"/>
        </w:rPr>
        <w:t xml:space="preserve">SOL3 </w:t>
      </w:r>
      <w:r w:rsidR="0026729A">
        <w:rPr>
          <w:spacing w:val="-4"/>
          <w:w w:val="105"/>
          <w:lang w:val="en-GB"/>
        </w:rPr>
        <w:t xml:space="preserve">research </w:t>
      </w:r>
      <w:r w:rsidR="00E91E9C" w:rsidRPr="00E91E9C">
        <w:rPr>
          <w:spacing w:val="-4"/>
          <w:w w:val="105"/>
          <w:lang w:val="en-GB"/>
        </w:rPr>
        <w:t xml:space="preserve">trials using maize intercropped with </w:t>
      </w:r>
      <w:r w:rsidR="0026729A">
        <w:rPr>
          <w:spacing w:val="-4"/>
          <w:w w:val="105"/>
          <w:lang w:val="en-GB"/>
        </w:rPr>
        <w:t>v</w:t>
      </w:r>
      <w:r w:rsidR="00E91E9C">
        <w:rPr>
          <w:spacing w:val="-4"/>
          <w:w w:val="105"/>
          <w:lang w:val="en-GB"/>
        </w:rPr>
        <w:t xml:space="preserve">elvet </w:t>
      </w:r>
      <w:r w:rsidR="0026729A">
        <w:rPr>
          <w:spacing w:val="-4"/>
          <w:w w:val="105"/>
          <w:lang w:val="en-GB"/>
        </w:rPr>
        <w:t>b</w:t>
      </w:r>
      <w:r w:rsidR="00E91E9C">
        <w:rPr>
          <w:spacing w:val="-4"/>
          <w:w w:val="105"/>
          <w:lang w:val="en-GB"/>
        </w:rPr>
        <w:t>ean</w:t>
      </w:r>
      <w:r w:rsidR="0026729A">
        <w:rPr>
          <w:spacing w:val="-4"/>
          <w:w w:val="105"/>
          <w:lang w:val="en-GB"/>
        </w:rPr>
        <w:t xml:space="preserve"> (Mucuna)</w:t>
      </w:r>
      <w:r w:rsidR="00E91E9C" w:rsidRPr="00E91E9C">
        <w:rPr>
          <w:spacing w:val="-4"/>
          <w:w w:val="105"/>
          <w:lang w:val="en-GB"/>
        </w:rPr>
        <w:t xml:space="preserve"> show significant yield increases over sole maize, mainly because of residual nitrogen. </w:t>
      </w:r>
      <w:r w:rsidR="00FE148E">
        <w:rPr>
          <w:spacing w:val="-4"/>
          <w:w w:val="105"/>
          <w:lang w:val="en-GB"/>
        </w:rPr>
        <w:t xml:space="preserve">For example, </w:t>
      </w:r>
      <w:r w:rsidR="0026729A">
        <w:rPr>
          <w:spacing w:val="-4"/>
          <w:w w:val="105"/>
          <w:lang w:val="en-GB"/>
        </w:rPr>
        <w:t>in the wet season at Betano the maize component of the velvet bean/maize association yielded 0.9-1.2 t/ha more than sole cropped maize, while in the dry season this advantage increased to 2.6-3.5 t/ha, and appears to be increasing with time as weed suppression by Mucuna reduces the weed seed bank. At Loes the advantage with Mucuna intercrop in the wet season was 0.5-0.7 t/ha and 1.5 t/ha in the dry season</w:t>
      </w:r>
      <w:r w:rsidR="0040516A">
        <w:rPr>
          <w:rStyle w:val="FootnoteReference"/>
          <w:spacing w:val="-4"/>
          <w:w w:val="105"/>
          <w:lang w:val="en-GB"/>
        </w:rPr>
        <w:footnoteReference w:id="6"/>
      </w:r>
      <w:r w:rsidR="002D371F">
        <w:rPr>
          <w:spacing w:val="-4"/>
          <w:w w:val="105"/>
          <w:lang w:val="en-GB"/>
        </w:rPr>
        <w:t xml:space="preserve">. </w:t>
      </w:r>
      <w:r w:rsidR="0056308D">
        <w:rPr>
          <w:spacing w:val="-4"/>
          <w:w w:val="105"/>
          <w:lang w:val="en-GB"/>
        </w:rPr>
        <w:t xml:space="preserve">These yield advantages are </w:t>
      </w:r>
      <w:r w:rsidR="002D371F">
        <w:rPr>
          <w:spacing w:val="-4"/>
          <w:w w:val="105"/>
          <w:lang w:val="en-GB"/>
        </w:rPr>
        <w:t>due in part to weed suppression with a marked reduction in weed biomass th</w:t>
      </w:r>
      <w:r w:rsidR="009F226C">
        <w:rPr>
          <w:spacing w:val="-4"/>
          <w:w w:val="105"/>
          <w:lang w:val="en-GB"/>
        </w:rPr>
        <w:t>at was more than matched by the</w:t>
      </w:r>
      <w:r w:rsidR="002D371F">
        <w:rPr>
          <w:spacing w:val="-4"/>
          <w:w w:val="105"/>
          <w:lang w:val="en-GB"/>
        </w:rPr>
        <w:t xml:space="preserve"> Mucuna biomass</w:t>
      </w:r>
      <w:r w:rsidR="00194AF0">
        <w:rPr>
          <w:spacing w:val="-4"/>
          <w:w w:val="105"/>
          <w:lang w:val="en-GB"/>
        </w:rPr>
        <w:t xml:space="preserve"> formed</w:t>
      </w:r>
      <w:r w:rsidR="002D371F">
        <w:rPr>
          <w:spacing w:val="-4"/>
          <w:w w:val="105"/>
          <w:lang w:val="en-GB"/>
        </w:rPr>
        <w:t>.  Mucuna clearly competes with m</w:t>
      </w:r>
      <w:r w:rsidR="009F226C">
        <w:rPr>
          <w:spacing w:val="-4"/>
          <w:w w:val="105"/>
          <w:lang w:val="en-GB"/>
        </w:rPr>
        <w:t>aize as an intercrop, so the ne</w:t>
      </w:r>
      <w:r w:rsidR="002D371F">
        <w:rPr>
          <w:spacing w:val="-4"/>
          <w:w w:val="105"/>
          <w:lang w:val="en-GB"/>
        </w:rPr>
        <w:t xml:space="preserve">t benefits of Mucuna appear to be largely due to improved soil fertility from N that </w:t>
      </w:r>
      <w:r w:rsidR="00194AF0">
        <w:rPr>
          <w:spacing w:val="-4"/>
          <w:w w:val="105"/>
          <w:lang w:val="en-GB"/>
        </w:rPr>
        <w:t xml:space="preserve">the </w:t>
      </w:r>
      <w:r w:rsidR="002D371F">
        <w:rPr>
          <w:spacing w:val="-4"/>
          <w:w w:val="105"/>
          <w:lang w:val="en-GB"/>
        </w:rPr>
        <w:t xml:space="preserve">Mucuna fixes.  This is gradually released from roots and nodules over 1-2 years so the benefits are cumulative and may represent the equivalent of </w:t>
      </w:r>
      <w:r w:rsidR="005C0614">
        <w:rPr>
          <w:spacing w:val="-4"/>
          <w:w w:val="105"/>
          <w:lang w:val="en-GB"/>
        </w:rPr>
        <w:t xml:space="preserve">25-175 kg N/ha supplied by Mucuna – </w:t>
      </w:r>
      <w:r w:rsidR="007F25AD">
        <w:rPr>
          <w:spacing w:val="-4"/>
          <w:w w:val="105"/>
          <w:lang w:val="en-GB"/>
        </w:rPr>
        <w:t>consistent with observations</w:t>
      </w:r>
      <w:r w:rsidR="005C0614">
        <w:rPr>
          <w:spacing w:val="-4"/>
          <w:w w:val="105"/>
          <w:lang w:val="en-GB"/>
        </w:rPr>
        <w:t xml:space="preserve"> elsewhere</w:t>
      </w:r>
      <w:r w:rsidR="005C0614">
        <w:rPr>
          <w:rStyle w:val="FootnoteReference"/>
          <w:spacing w:val="-4"/>
          <w:w w:val="105"/>
          <w:lang w:val="en-GB"/>
        </w:rPr>
        <w:footnoteReference w:id="7"/>
      </w:r>
      <w:r w:rsidR="005C0614">
        <w:rPr>
          <w:spacing w:val="-4"/>
          <w:w w:val="105"/>
          <w:lang w:val="en-GB"/>
        </w:rPr>
        <w:t>.</w:t>
      </w:r>
      <w:r w:rsidR="00DB018C" w:rsidRPr="00DB018C">
        <w:rPr>
          <w:spacing w:val="-4"/>
          <w:w w:val="105"/>
          <w:lang w:val="en-GB"/>
        </w:rPr>
        <w:t xml:space="preserve">  The experience of researchers in soil fertility in sub-Saharan Africa suggests that organic </w:t>
      </w:r>
      <w:r w:rsidR="00DB018C" w:rsidRPr="00DB018C">
        <w:rPr>
          <w:spacing w:val="-4"/>
          <w:w w:val="105"/>
          <w:u w:val="single"/>
          <w:lang w:val="en-GB"/>
        </w:rPr>
        <w:t>and</w:t>
      </w:r>
      <w:r w:rsidR="00DB018C" w:rsidRPr="00DB018C">
        <w:rPr>
          <w:spacing w:val="-4"/>
          <w:w w:val="105"/>
          <w:lang w:val="en-GB"/>
        </w:rPr>
        <w:t xml:space="preserve"> inorganic sources of crop nutrients are </w:t>
      </w:r>
      <w:r w:rsidR="008E0CFF">
        <w:rPr>
          <w:spacing w:val="-4"/>
          <w:w w:val="105"/>
          <w:lang w:val="en-GB"/>
        </w:rPr>
        <w:t xml:space="preserve">both </w:t>
      </w:r>
      <w:r w:rsidR="00DB018C" w:rsidRPr="00DB018C">
        <w:rPr>
          <w:spacing w:val="-4"/>
          <w:w w:val="105"/>
          <w:lang w:val="en-GB"/>
        </w:rPr>
        <w:t xml:space="preserve">needed, rather than </w:t>
      </w:r>
      <w:r w:rsidR="00DB018C">
        <w:rPr>
          <w:spacing w:val="-4"/>
          <w:w w:val="105"/>
          <w:lang w:val="en-GB"/>
        </w:rPr>
        <w:t xml:space="preserve">simply </w:t>
      </w:r>
      <w:r w:rsidR="00DB018C" w:rsidRPr="00DB018C">
        <w:rPr>
          <w:spacing w:val="-4"/>
          <w:w w:val="105"/>
          <w:lang w:val="en-GB"/>
        </w:rPr>
        <w:t>one or the other.</w:t>
      </w:r>
    </w:p>
    <w:p w:rsidR="005C0614" w:rsidRPr="00BC7D47" w:rsidRDefault="005C0614" w:rsidP="00E16AEB">
      <w:pPr>
        <w:tabs>
          <w:tab w:val="left" w:pos="9072"/>
          <w:tab w:val="left" w:pos="9214"/>
          <w:tab w:val="left" w:pos="11482"/>
        </w:tabs>
        <w:ind w:right="1"/>
        <w:rPr>
          <w:spacing w:val="-4"/>
          <w:w w:val="105"/>
          <w:sz w:val="16"/>
          <w:szCs w:val="16"/>
          <w:lang w:val="en-GB"/>
        </w:rPr>
      </w:pPr>
    </w:p>
    <w:p w:rsidR="0005139A" w:rsidRDefault="00E91E9C" w:rsidP="00E16AEB">
      <w:pPr>
        <w:tabs>
          <w:tab w:val="left" w:pos="9072"/>
          <w:tab w:val="left" w:pos="9214"/>
          <w:tab w:val="left" w:pos="11482"/>
        </w:tabs>
        <w:ind w:right="1"/>
        <w:rPr>
          <w:spacing w:val="-4"/>
          <w:w w:val="105"/>
          <w:lang w:val="en-GB"/>
        </w:rPr>
      </w:pPr>
      <w:r w:rsidRPr="00E91E9C">
        <w:rPr>
          <w:spacing w:val="-4"/>
          <w:w w:val="105"/>
          <w:lang w:val="en-GB"/>
        </w:rPr>
        <w:t xml:space="preserve">SOL3 </w:t>
      </w:r>
      <w:proofErr w:type="gramStart"/>
      <w:r w:rsidR="005C0614">
        <w:rPr>
          <w:spacing w:val="-4"/>
          <w:w w:val="105"/>
          <w:lang w:val="en-GB"/>
        </w:rPr>
        <w:t>staff have</w:t>
      </w:r>
      <w:proofErr w:type="gramEnd"/>
      <w:r w:rsidR="005C0614">
        <w:rPr>
          <w:spacing w:val="-4"/>
          <w:w w:val="105"/>
          <w:lang w:val="en-GB"/>
        </w:rPr>
        <w:t xml:space="preserve"> </w:t>
      </w:r>
      <w:r w:rsidRPr="00E91E9C">
        <w:rPr>
          <w:spacing w:val="-4"/>
          <w:w w:val="105"/>
          <w:lang w:val="en-GB"/>
        </w:rPr>
        <w:t xml:space="preserve">assembled some soil fertility data from older SOL reports, commissioned a report </w:t>
      </w:r>
      <w:r>
        <w:rPr>
          <w:spacing w:val="-4"/>
          <w:w w:val="105"/>
          <w:lang w:val="en-GB"/>
        </w:rPr>
        <w:t xml:space="preserve">on </w:t>
      </w:r>
      <w:r w:rsidRPr="00E91E9C">
        <w:rPr>
          <w:spacing w:val="-4"/>
          <w:w w:val="105"/>
          <w:lang w:val="en-GB"/>
        </w:rPr>
        <w:t>Geology and Soils in Timor</w:t>
      </w:r>
      <w:r w:rsidR="008B74F6">
        <w:rPr>
          <w:spacing w:val="-4"/>
          <w:w w:val="105"/>
          <w:lang w:val="en-GB"/>
        </w:rPr>
        <w:t>-</w:t>
      </w:r>
      <w:r w:rsidRPr="00E91E9C">
        <w:rPr>
          <w:spacing w:val="-4"/>
          <w:w w:val="105"/>
          <w:lang w:val="en-GB"/>
        </w:rPr>
        <w:t xml:space="preserve">Leste, and translated soil maps and key soil profiles from </w:t>
      </w:r>
      <w:r w:rsidRPr="00E91E9C">
        <w:rPr>
          <w:i/>
          <w:spacing w:val="-4"/>
          <w:w w:val="105"/>
          <w:lang w:val="en-GB"/>
        </w:rPr>
        <w:t>Solos de Timor</w:t>
      </w:r>
      <w:r w:rsidRPr="00E91E9C">
        <w:rPr>
          <w:spacing w:val="-4"/>
          <w:w w:val="105"/>
          <w:lang w:val="en-GB"/>
        </w:rPr>
        <w:t xml:space="preserve">, a Portuguese-era document. </w:t>
      </w:r>
      <w:r w:rsidR="006764E7">
        <w:rPr>
          <w:spacing w:val="-4"/>
          <w:w w:val="105"/>
          <w:lang w:val="en-GB"/>
        </w:rPr>
        <w:t>Grain samples from harvested OFDTs from a single variety (</w:t>
      </w:r>
      <w:r w:rsidR="006764E7" w:rsidRPr="007F25AD">
        <w:rPr>
          <w:i/>
          <w:spacing w:val="-4"/>
          <w:w w:val="105"/>
          <w:lang w:val="en-GB"/>
        </w:rPr>
        <w:t>Sele</w:t>
      </w:r>
      <w:r w:rsidR="006764E7">
        <w:rPr>
          <w:spacing w:val="-4"/>
          <w:w w:val="105"/>
          <w:lang w:val="en-GB"/>
        </w:rPr>
        <w:t xml:space="preserve">) will be sent to </w:t>
      </w:r>
      <w:r w:rsidR="001716BB">
        <w:rPr>
          <w:spacing w:val="-4"/>
          <w:w w:val="105"/>
          <w:lang w:val="en-GB"/>
        </w:rPr>
        <w:t>the Un</w:t>
      </w:r>
      <w:r w:rsidR="006764E7">
        <w:rPr>
          <w:spacing w:val="-4"/>
          <w:w w:val="105"/>
          <w:lang w:val="en-GB"/>
        </w:rPr>
        <w:t>iversity of Western Australia</w:t>
      </w:r>
      <w:r w:rsidR="009F226C">
        <w:rPr>
          <w:spacing w:val="-4"/>
          <w:w w:val="105"/>
          <w:lang w:val="en-GB"/>
        </w:rPr>
        <w:t xml:space="preserve"> for</w:t>
      </w:r>
      <w:r w:rsidR="006764E7">
        <w:rPr>
          <w:spacing w:val="-4"/>
          <w:w w:val="105"/>
          <w:lang w:val="en-GB"/>
        </w:rPr>
        <w:t xml:space="preserve"> elemental analysis, with the goal of identifying limiting soil nutrients. </w:t>
      </w:r>
      <w:r w:rsidR="001716BB">
        <w:rPr>
          <w:spacing w:val="-4"/>
          <w:w w:val="105"/>
          <w:lang w:val="en-GB"/>
        </w:rPr>
        <w:t>Other possibilities for identifying soil nutrient limitations could be followed up with ear leaf analysis for macro- and micronutrients and the application of the Diagnosis and Recommendation Integrated System (DRIS) analysis</w:t>
      </w:r>
      <w:r w:rsidR="00DE0934">
        <w:rPr>
          <w:rStyle w:val="FootnoteReference"/>
          <w:spacing w:val="-4"/>
          <w:w w:val="105"/>
          <w:lang w:val="en-GB"/>
        </w:rPr>
        <w:footnoteReference w:id="8"/>
      </w:r>
      <w:r w:rsidR="00DE0934">
        <w:rPr>
          <w:spacing w:val="-4"/>
          <w:w w:val="105"/>
          <w:lang w:val="en-GB"/>
        </w:rPr>
        <w:t xml:space="preserve"> for identifying nutrient imbalances</w:t>
      </w:r>
      <w:r w:rsidR="001716BB">
        <w:rPr>
          <w:spacing w:val="-4"/>
          <w:w w:val="105"/>
          <w:lang w:val="en-GB"/>
        </w:rPr>
        <w:t xml:space="preserve">. </w:t>
      </w:r>
      <w:r w:rsidR="006764E7">
        <w:rPr>
          <w:spacing w:val="-4"/>
          <w:w w:val="105"/>
          <w:lang w:val="en-GB"/>
        </w:rPr>
        <w:t xml:space="preserve"> In the 2012/13 cropping season a refurbished soils laboratory established in Timor-Leste will have the capability to analyse soil P le</w:t>
      </w:r>
      <w:r w:rsidR="009F226C">
        <w:rPr>
          <w:spacing w:val="-4"/>
          <w:w w:val="105"/>
          <w:lang w:val="en-GB"/>
        </w:rPr>
        <w:t>vels for all experimental sites, and this is a very promising development.</w:t>
      </w:r>
      <w:r w:rsidR="006764E7">
        <w:rPr>
          <w:spacing w:val="-4"/>
          <w:w w:val="105"/>
          <w:lang w:val="en-GB"/>
        </w:rPr>
        <w:t xml:space="preserve"> </w:t>
      </w:r>
      <w:r w:rsidRPr="00E91E9C">
        <w:rPr>
          <w:spacing w:val="-4"/>
          <w:w w:val="105"/>
          <w:lang w:val="en-GB"/>
        </w:rPr>
        <w:t xml:space="preserve"> Collectively th</w:t>
      </w:r>
      <w:r>
        <w:rPr>
          <w:spacing w:val="-4"/>
          <w:w w:val="105"/>
          <w:lang w:val="en-GB"/>
        </w:rPr>
        <w:t>is evidence</w:t>
      </w:r>
      <w:r w:rsidRPr="00E91E9C">
        <w:rPr>
          <w:spacing w:val="-4"/>
          <w:w w:val="105"/>
          <w:lang w:val="en-GB"/>
        </w:rPr>
        <w:t xml:space="preserve"> highlight</w:t>
      </w:r>
      <w:r>
        <w:rPr>
          <w:spacing w:val="-4"/>
          <w:w w:val="105"/>
          <w:lang w:val="en-GB"/>
        </w:rPr>
        <w:t>s</w:t>
      </w:r>
      <w:r w:rsidRPr="00E91E9C">
        <w:rPr>
          <w:spacing w:val="-4"/>
          <w:w w:val="105"/>
          <w:lang w:val="en-GB"/>
        </w:rPr>
        <w:t xml:space="preserve"> the complexities of soil types in Timor</w:t>
      </w:r>
      <w:r w:rsidR="008B74F6">
        <w:rPr>
          <w:spacing w:val="-4"/>
          <w:w w:val="105"/>
          <w:lang w:val="en-GB"/>
        </w:rPr>
        <w:t>-</w:t>
      </w:r>
      <w:r w:rsidRPr="00E91E9C">
        <w:rPr>
          <w:spacing w:val="-4"/>
          <w:w w:val="105"/>
          <w:lang w:val="en-GB"/>
        </w:rPr>
        <w:t>Leste, identif</w:t>
      </w:r>
      <w:r>
        <w:rPr>
          <w:spacing w:val="-4"/>
          <w:w w:val="105"/>
          <w:lang w:val="en-GB"/>
        </w:rPr>
        <w:t>ies</w:t>
      </w:r>
      <w:r w:rsidRPr="00E91E9C">
        <w:rPr>
          <w:spacing w:val="-4"/>
          <w:w w:val="105"/>
          <w:lang w:val="en-GB"/>
        </w:rPr>
        <w:t xml:space="preserve"> </w:t>
      </w:r>
      <w:r w:rsidRPr="00E91E9C">
        <w:rPr>
          <w:spacing w:val="-4"/>
          <w:w w:val="105"/>
          <w:lang w:val="en-GB"/>
        </w:rPr>
        <w:lastRenderedPageBreak/>
        <w:t>likely locations of nutrient deficiencies, but do</w:t>
      </w:r>
      <w:r>
        <w:rPr>
          <w:spacing w:val="-4"/>
          <w:w w:val="105"/>
          <w:lang w:val="en-GB"/>
        </w:rPr>
        <w:t>es</w:t>
      </w:r>
      <w:r w:rsidRPr="00E91E9C">
        <w:rPr>
          <w:spacing w:val="-4"/>
          <w:w w:val="105"/>
          <w:lang w:val="en-GB"/>
        </w:rPr>
        <w:t xml:space="preserve"> not provide quantitative responses to applied soil nutrients.  There remains a need to complement the improved varieties developed by SOL3 with carefully evaluated but improved growing practices </w:t>
      </w:r>
      <w:r w:rsidR="008B74F6">
        <w:rPr>
          <w:spacing w:val="-4"/>
          <w:w w:val="105"/>
          <w:lang w:val="en-GB"/>
        </w:rPr>
        <w:t>so the investments made by the p</w:t>
      </w:r>
      <w:r w:rsidRPr="00E91E9C">
        <w:rPr>
          <w:spacing w:val="-4"/>
          <w:w w:val="105"/>
          <w:lang w:val="en-GB"/>
        </w:rPr>
        <w:t xml:space="preserve">roject </w:t>
      </w:r>
      <w:r w:rsidR="006764E7">
        <w:rPr>
          <w:spacing w:val="-4"/>
          <w:w w:val="105"/>
          <w:lang w:val="en-GB"/>
        </w:rPr>
        <w:t xml:space="preserve">in improved seed </w:t>
      </w:r>
      <w:r w:rsidRPr="00E91E9C">
        <w:rPr>
          <w:spacing w:val="-4"/>
          <w:w w:val="105"/>
          <w:lang w:val="en-GB"/>
        </w:rPr>
        <w:t>achieve their maximum return.</w:t>
      </w:r>
    </w:p>
    <w:p w:rsidR="0005139A" w:rsidRPr="00BC7D47" w:rsidRDefault="0005139A" w:rsidP="00E16AEB">
      <w:pPr>
        <w:tabs>
          <w:tab w:val="left" w:pos="9072"/>
          <w:tab w:val="left" w:pos="9214"/>
          <w:tab w:val="left" w:pos="11482"/>
        </w:tabs>
        <w:ind w:right="1"/>
        <w:rPr>
          <w:spacing w:val="-4"/>
          <w:w w:val="105"/>
          <w:sz w:val="16"/>
          <w:szCs w:val="16"/>
          <w:lang w:val="en-GB"/>
        </w:rPr>
      </w:pPr>
    </w:p>
    <w:p w:rsidR="005925C0" w:rsidRDefault="00152DC6" w:rsidP="00E16AEB">
      <w:pPr>
        <w:tabs>
          <w:tab w:val="left" w:pos="9072"/>
          <w:tab w:val="left" w:pos="9214"/>
          <w:tab w:val="left" w:pos="11482"/>
        </w:tabs>
        <w:ind w:right="1"/>
        <w:rPr>
          <w:spacing w:val="-4"/>
          <w:w w:val="105"/>
          <w:lang w:val="en-GB"/>
        </w:rPr>
      </w:pPr>
      <w:r>
        <w:rPr>
          <w:spacing w:val="-4"/>
          <w:w w:val="105"/>
          <w:lang w:val="en-GB"/>
        </w:rPr>
        <w:t>Consistent the goal of SOL3, t</w:t>
      </w:r>
      <w:r w:rsidR="00C81BC4">
        <w:rPr>
          <w:spacing w:val="-4"/>
          <w:w w:val="105"/>
          <w:lang w:val="en-GB"/>
        </w:rPr>
        <w:t xml:space="preserve">he TAG urges </w:t>
      </w:r>
      <w:r w:rsidR="00D25736">
        <w:rPr>
          <w:spacing w:val="-4"/>
          <w:w w:val="105"/>
          <w:lang w:val="en-GB"/>
        </w:rPr>
        <w:t>the project</w:t>
      </w:r>
      <w:r w:rsidR="00C81BC4">
        <w:rPr>
          <w:spacing w:val="-4"/>
          <w:w w:val="105"/>
          <w:lang w:val="en-GB"/>
        </w:rPr>
        <w:t xml:space="preserve"> to continue a modest research program aimed at </w:t>
      </w:r>
      <w:r>
        <w:rPr>
          <w:spacing w:val="-4"/>
          <w:w w:val="105"/>
          <w:lang w:val="en-GB"/>
        </w:rPr>
        <w:t xml:space="preserve">identifying the extent to which </w:t>
      </w:r>
      <w:r w:rsidR="00C81BC4">
        <w:rPr>
          <w:spacing w:val="-4"/>
          <w:w w:val="105"/>
          <w:lang w:val="en-GB"/>
        </w:rPr>
        <w:t>improv</w:t>
      </w:r>
      <w:r>
        <w:rPr>
          <w:spacing w:val="-4"/>
          <w:w w:val="105"/>
          <w:lang w:val="en-GB"/>
        </w:rPr>
        <w:t>ed</w:t>
      </w:r>
      <w:r w:rsidR="00C81BC4">
        <w:rPr>
          <w:spacing w:val="-4"/>
          <w:w w:val="105"/>
          <w:lang w:val="en-GB"/>
        </w:rPr>
        <w:t xml:space="preserve"> crop management practices through </w:t>
      </w:r>
      <w:r w:rsidR="00BC4BCC">
        <w:rPr>
          <w:spacing w:val="-4"/>
          <w:w w:val="105"/>
          <w:lang w:val="en-GB"/>
        </w:rPr>
        <w:t>the efficient use o</w:t>
      </w:r>
      <w:r w:rsidR="00C81BC4">
        <w:rPr>
          <w:spacing w:val="-4"/>
          <w:w w:val="105"/>
          <w:lang w:val="en-GB"/>
        </w:rPr>
        <w:t>f inputs and improved management practices</w:t>
      </w:r>
      <w:r>
        <w:rPr>
          <w:spacing w:val="-4"/>
          <w:w w:val="105"/>
          <w:lang w:val="en-GB"/>
        </w:rPr>
        <w:t xml:space="preserve"> impact productivity of food crops in Timor-Leste</w:t>
      </w:r>
      <w:r w:rsidR="00C81BC4">
        <w:rPr>
          <w:spacing w:val="-4"/>
          <w:w w:val="105"/>
          <w:lang w:val="en-GB"/>
        </w:rPr>
        <w:t xml:space="preserve">. </w:t>
      </w:r>
      <w:r w:rsidR="00E74D38">
        <w:rPr>
          <w:spacing w:val="-4"/>
          <w:w w:val="105"/>
          <w:lang w:val="en-GB"/>
        </w:rPr>
        <w:t>This could start with plots demonstrating yield potential of SOL3 varieties on 1-2 key experiment stations</w:t>
      </w:r>
      <w:r w:rsidR="00D25736">
        <w:rPr>
          <w:spacing w:val="-4"/>
          <w:w w:val="105"/>
          <w:lang w:val="en-GB"/>
        </w:rPr>
        <w:t xml:space="preserve"> i</w:t>
      </w:r>
      <w:r w:rsidR="0005139A">
        <w:rPr>
          <w:spacing w:val="-4"/>
          <w:w w:val="105"/>
          <w:lang w:val="en-GB"/>
        </w:rPr>
        <w:t xml:space="preserve">n plots </w:t>
      </w:r>
      <w:r w:rsidR="00D25736">
        <w:rPr>
          <w:spacing w:val="-4"/>
          <w:w w:val="105"/>
          <w:lang w:val="en-GB"/>
        </w:rPr>
        <w:t xml:space="preserve">positioned so </w:t>
      </w:r>
      <w:r w:rsidR="0005139A">
        <w:rPr>
          <w:spacing w:val="-4"/>
          <w:w w:val="105"/>
          <w:lang w:val="en-GB"/>
        </w:rPr>
        <w:t xml:space="preserve">that </w:t>
      </w:r>
      <w:r w:rsidR="00D25736">
        <w:rPr>
          <w:spacing w:val="-4"/>
          <w:w w:val="105"/>
          <w:lang w:val="en-GB"/>
        </w:rPr>
        <w:t>they</w:t>
      </w:r>
      <w:r w:rsidR="0005139A">
        <w:rPr>
          <w:spacing w:val="-4"/>
          <w:w w:val="105"/>
          <w:lang w:val="en-GB"/>
        </w:rPr>
        <w:t xml:space="preserve"> serve as demonstrations during field days. A small-s</w:t>
      </w:r>
      <w:r w:rsidR="009F226C">
        <w:rPr>
          <w:spacing w:val="-4"/>
          <w:w w:val="105"/>
          <w:lang w:val="en-GB"/>
        </w:rPr>
        <w:t>cale adaptive on-fa</w:t>
      </w:r>
      <w:r w:rsidR="0005139A">
        <w:rPr>
          <w:spacing w:val="-4"/>
          <w:w w:val="105"/>
          <w:lang w:val="en-GB"/>
        </w:rPr>
        <w:t>rm research program could be established in seed fields to begin to unravel the package of practices that result in stable high yields a</w:t>
      </w:r>
      <w:r w:rsidR="00D25736">
        <w:rPr>
          <w:spacing w:val="-4"/>
          <w:w w:val="105"/>
          <w:lang w:val="en-GB"/>
        </w:rPr>
        <w:t>t</w:t>
      </w:r>
      <w:r w:rsidR="0005139A">
        <w:rPr>
          <w:spacing w:val="-4"/>
          <w:w w:val="105"/>
          <w:lang w:val="en-GB"/>
        </w:rPr>
        <w:t xml:space="preserve"> economically optimal yield levels. </w:t>
      </w:r>
      <w:r w:rsidR="00C81BC4">
        <w:rPr>
          <w:spacing w:val="-4"/>
          <w:w w:val="105"/>
          <w:lang w:val="en-GB"/>
        </w:rPr>
        <w:t xml:space="preserve"> There are at least four compelling reasons </w:t>
      </w:r>
      <w:r w:rsidR="00BC4BCC">
        <w:rPr>
          <w:spacing w:val="-4"/>
          <w:w w:val="105"/>
          <w:lang w:val="en-GB"/>
        </w:rPr>
        <w:t>for this:</w:t>
      </w:r>
      <w:r w:rsidR="00C81BC4">
        <w:rPr>
          <w:spacing w:val="-4"/>
          <w:w w:val="105"/>
          <w:lang w:val="en-GB"/>
        </w:rPr>
        <w:t xml:space="preserve"> 1)  Food securit</w:t>
      </w:r>
      <w:r w:rsidR="00BC4BCC">
        <w:rPr>
          <w:spacing w:val="-4"/>
          <w:w w:val="105"/>
          <w:lang w:val="en-GB"/>
        </w:rPr>
        <w:t>y: the current</w:t>
      </w:r>
      <w:r w:rsidR="00C81BC4">
        <w:rPr>
          <w:spacing w:val="-4"/>
          <w:w w:val="105"/>
          <w:lang w:val="en-GB"/>
        </w:rPr>
        <w:t xml:space="preserve"> 20% shortfall in food production will continue to widen unless crop nutrition and efficient weed management are addressed</w:t>
      </w:r>
      <w:r w:rsidR="00BC4BCC">
        <w:rPr>
          <w:spacing w:val="-4"/>
          <w:w w:val="105"/>
          <w:lang w:val="en-GB"/>
        </w:rPr>
        <w:t>; 2)  M</w:t>
      </w:r>
      <w:r w:rsidR="006D1961">
        <w:rPr>
          <w:spacing w:val="-4"/>
          <w:w w:val="105"/>
          <w:lang w:val="en-GB"/>
        </w:rPr>
        <w:t>aximis</w:t>
      </w:r>
      <w:r w:rsidR="00C81BC4">
        <w:rPr>
          <w:spacing w:val="-4"/>
          <w:w w:val="105"/>
          <w:lang w:val="en-GB"/>
        </w:rPr>
        <w:t xml:space="preserve">e the return on AusAID and MAF investments in improved seed; 3) </w:t>
      </w:r>
      <w:r w:rsidR="00BC4BCC">
        <w:rPr>
          <w:spacing w:val="-4"/>
          <w:w w:val="105"/>
          <w:lang w:val="en-GB"/>
        </w:rPr>
        <w:t>P</w:t>
      </w:r>
      <w:r w:rsidR="00C81BC4">
        <w:rPr>
          <w:spacing w:val="-4"/>
          <w:w w:val="105"/>
          <w:lang w:val="en-GB"/>
        </w:rPr>
        <w:t xml:space="preserve">rovide guidelines for a future project that can intensify production and the efficiency of food production; and 4)  at some point the GoT-L will be persuaded to address the national food shortfall and </w:t>
      </w:r>
      <w:r w:rsidR="00BC4BCC">
        <w:rPr>
          <w:spacing w:val="-4"/>
          <w:w w:val="105"/>
          <w:lang w:val="en-GB"/>
        </w:rPr>
        <w:t xml:space="preserve">in the absence of research results </w:t>
      </w:r>
      <w:r w:rsidR="00C81BC4">
        <w:rPr>
          <w:spacing w:val="-4"/>
          <w:w w:val="105"/>
          <w:lang w:val="en-GB"/>
        </w:rPr>
        <w:t xml:space="preserve">may import large quantities of </w:t>
      </w:r>
      <w:r w:rsidR="00341940">
        <w:rPr>
          <w:spacing w:val="-4"/>
          <w:w w:val="105"/>
          <w:lang w:val="en-GB"/>
        </w:rPr>
        <w:t>fertilis</w:t>
      </w:r>
      <w:r w:rsidR="00C81BC4">
        <w:rPr>
          <w:spacing w:val="-4"/>
          <w:w w:val="105"/>
          <w:lang w:val="en-GB"/>
        </w:rPr>
        <w:t>er that could provide nutrients in inappropriate ratios for crop needs in Timor-Leste.</w:t>
      </w:r>
      <w:r w:rsidR="00BC4BCC">
        <w:rPr>
          <w:spacing w:val="-4"/>
          <w:w w:val="105"/>
          <w:lang w:val="en-GB"/>
        </w:rPr>
        <w:t xml:space="preserve">  Wastefulness of this type c</w:t>
      </w:r>
      <w:r w:rsidR="007F07FF">
        <w:rPr>
          <w:spacing w:val="-4"/>
          <w:w w:val="105"/>
          <w:lang w:val="en-GB"/>
        </w:rPr>
        <w:t>an only give the use of fertilis</w:t>
      </w:r>
      <w:r w:rsidR="00BC4BCC">
        <w:rPr>
          <w:spacing w:val="-4"/>
          <w:w w:val="105"/>
          <w:lang w:val="en-GB"/>
        </w:rPr>
        <w:t>er a bad name.  It takes time and investment to generate appropriate crop recommendations for major soil types, and while this is not the mandate of SOL3, any research that can be conducted towards this end may save the country resources in the future and significa</w:t>
      </w:r>
      <w:r>
        <w:rPr>
          <w:spacing w:val="-4"/>
          <w:w w:val="105"/>
          <w:lang w:val="en-GB"/>
        </w:rPr>
        <w:t>ntly improve its food security.</w:t>
      </w:r>
    </w:p>
    <w:p w:rsidR="005925C0" w:rsidRPr="00D25736" w:rsidRDefault="005925C0" w:rsidP="00E16AEB">
      <w:pPr>
        <w:tabs>
          <w:tab w:val="left" w:pos="9072"/>
          <w:tab w:val="left" w:pos="9214"/>
          <w:tab w:val="left" w:pos="11482"/>
        </w:tabs>
        <w:ind w:right="1"/>
        <w:rPr>
          <w:spacing w:val="-4"/>
          <w:w w:val="105"/>
          <w:sz w:val="16"/>
          <w:szCs w:val="16"/>
          <w:lang w:val="en-GB"/>
        </w:rPr>
      </w:pPr>
    </w:p>
    <w:p w:rsidR="00E91E9C" w:rsidRDefault="005925C0" w:rsidP="00E16AEB">
      <w:pPr>
        <w:tabs>
          <w:tab w:val="left" w:pos="9072"/>
          <w:tab w:val="left" w:pos="9214"/>
          <w:tab w:val="left" w:pos="11482"/>
        </w:tabs>
        <w:ind w:right="1"/>
        <w:rPr>
          <w:spacing w:val="-4"/>
          <w:w w:val="105"/>
          <w:lang w:val="en-GB"/>
        </w:rPr>
      </w:pPr>
      <w:r>
        <w:rPr>
          <w:spacing w:val="-4"/>
          <w:w w:val="105"/>
          <w:lang w:val="en-GB"/>
        </w:rPr>
        <w:t xml:space="preserve">The TAG also suggests that station assessments of new varieties with local checks be undertaken under contrasting level of soil fertility whenever possible, e.g., under zero </w:t>
      </w:r>
      <w:r w:rsidR="00341940">
        <w:rPr>
          <w:spacing w:val="-4"/>
          <w:w w:val="105"/>
          <w:lang w:val="en-GB"/>
        </w:rPr>
        <w:t>fertilis</w:t>
      </w:r>
      <w:r>
        <w:rPr>
          <w:spacing w:val="-4"/>
          <w:w w:val="105"/>
          <w:lang w:val="en-GB"/>
        </w:rPr>
        <w:t>er and 90:50:50 units of N</w:t>
      </w:r>
      <w:proofErr w:type="gramStart"/>
      <w:r>
        <w:rPr>
          <w:spacing w:val="-4"/>
          <w:w w:val="105"/>
          <w:lang w:val="en-GB"/>
        </w:rPr>
        <w:t>:P</w:t>
      </w:r>
      <w:r w:rsidR="00F44710" w:rsidRPr="007F07FF">
        <w:rPr>
          <w:spacing w:val="-4"/>
          <w:w w:val="105"/>
          <w:vertAlign w:val="subscript"/>
          <w:lang w:val="en-GB"/>
        </w:rPr>
        <w:t>2</w:t>
      </w:r>
      <w:r>
        <w:rPr>
          <w:spacing w:val="-4"/>
          <w:w w:val="105"/>
          <w:lang w:val="en-GB"/>
        </w:rPr>
        <w:t>O</w:t>
      </w:r>
      <w:r w:rsidR="00F44710" w:rsidRPr="007F07FF">
        <w:rPr>
          <w:spacing w:val="-4"/>
          <w:w w:val="105"/>
          <w:vertAlign w:val="subscript"/>
          <w:lang w:val="en-GB"/>
        </w:rPr>
        <w:t>5</w:t>
      </w:r>
      <w:r>
        <w:rPr>
          <w:spacing w:val="-4"/>
          <w:w w:val="105"/>
          <w:lang w:val="en-GB"/>
        </w:rPr>
        <w:t>:K</w:t>
      </w:r>
      <w:r w:rsidR="00F44710" w:rsidRPr="007F07FF">
        <w:rPr>
          <w:spacing w:val="-4"/>
          <w:w w:val="105"/>
          <w:vertAlign w:val="subscript"/>
          <w:lang w:val="en-GB"/>
        </w:rPr>
        <w:t>2</w:t>
      </w:r>
      <w:r>
        <w:rPr>
          <w:spacing w:val="-4"/>
          <w:w w:val="105"/>
          <w:lang w:val="en-GB"/>
        </w:rPr>
        <w:t>O</w:t>
      </w:r>
      <w:proofErr w:type="gramEnd"/>
      <w:r>
        <w:rPr>
          <w:spacing w:val="-4"/>
          <w:w w:val="105"/>
          <w:lang w:val="en-GB"/>
        </w:rPr>
        <w:t>/ha to assess and exploit G x Management level interactions. To avoid issues of carryo</w:t>
      </w:r>
      <w:r w:rsidR="007F07FF">
        <w:rPr>
          <w:spacing w:val="-4"/>
          <w:w w:val="105"/>
          <w:lang w:val="en-GB"/>
        </w:rPr>
        <w:t>ver fertilis</w:t>
      </w:r>
      <w:r>
        <w:rPr>
          <w:spacing w:val="-4"/>
          <w:w w:val="105"/>
          <w:lang w:val="en-GB"/>
        </w:rPr>
        <w:t>er effects on station</w:t>
      </w:r>
      <w:r w:rsidR="007F07FF">
        <w:rPr>
          <w:spacing w:val="-4"/>
          <w:w w:val="105"/>
          <w:lang w:val="en-GB"/>
        </w:rPr>
        <w:t>, the fertilis</w:t>
      </w:r>
      <w:r>
        <w:rPr>
          <w:spacing w:val="-4"/>
          <w:w w:val="105"/>
          <w:lang w:val="en-GB"/>
        </w:rPr>
        <w:t>ed evaluation could take place in farmers</w:t>
      </w:r>
      <w:r w:rsidR="0005139A">
        <w:rPr>
          <w:spacing w:val="-4"/>
          <w:w w:val="105"/>
          <w:lang w:val="en-GB"/>
        </w:rPr>
        <w:t>’</w:t>
      </w:r>
      <w:r>
        <w:rPr>
          <w:spacing w:val="-4"/>
          <w:w w:val="105"/>
          <w:lang w:val="en-GB"/>
        </w:rPr>
        <w:t xml:space="preserve"> fields.</w:t>
      </w:r>
    </w:p>
    <w:p w:rsidR="00E91E9C" w:rsidRPr="00BC7D47" w:rsidRDefault="00E91E9C" w:rsidP="00E16AEB">
      <w:pPr>
        <w:tabs>
          <w:tab w:val="left" w:pos="9072"/>
          <w:tab w:val="left" w:pos="9214"/>
          <w:tab w:val="left" w:pos="11482"/>
        </w:tabs>
        <w:ind w:right="1"/>
        <w:rPr>
          <w:spacing w:val="-4"/>
          <w:w w:val="105"/>
          <w:sz w:val="16"/>
          <w:szCs w:val="16"/>
          <w:lang w:val="en-GB"/>
        </w:rPr>
      </w:pPr>
    </w:p>
    <w:p w:rsidR="00011716" w:rsidRPr="007B25EC" w:rsidRDefault="00011716" w:rsidP="00E16AEB">
      <w:pPr>
        <w:tabs>
          <w:tab w:val="left" w:pos="9072"/>
          <w:tab w:val="left" w:pos="9214"/>
          <w:tab w:val="left" w:pos="11482"/>
        </w:tabs>
        <w:ind w:right="1"/>
        <w:rPr>
          <w:spacing w:val="-4"/>
          <w:w w:val="105"/>
          <w:lang w:val="en-GB"/>
        </w:rPr>
      </w:pPr>
      <w:r>
        <w:rPr>
          <w:spacing w:val="-4"/>
          <w:w w:val="105"/>
          <w:lang w:val="en-GB"/>
        </w:rPr>
        <w:t>As a</w:t>
      </w:r>
      <w:r w:rsidR="00BC4BCC">
        <w:rPr>
          <w:spacing w:val="-4"/>
          <w:w w:val="105"/>
          <w:lang w:val="en-GB"/>
        </w:rPr>
        <w:t>n outcome of the above discussion</w:t>
      </w:r>
      <w:r>
        <w:rPr>
          <w:spacing w:val="-4"/>
          <w:w w:val="105"/>
          <w:lang w:val="en-GB"/>
        </w:rPr>
        <w:t>,</w:t>
      </w:r>
      <w:r w:rsidRPr="007B25EC">
        <w:rPr>
          <w:spacing w:val="-4"/>
          <w:w w:val="105"/>
          <w:lang w:val="en-GB"/>
        </w:rPr>
        <w:t xml:space="preserve"> the TAG </w:t>
      </w:r>
      <w:r w:rsidR="00F44710" w:rsidRPr="00341940">
        <w:rPr>
          <w:b/>
          <w:spacing w:val="-4"/>
          <w:w w:val="105"/>
          <w:lang w:val="en-GB"/>
        </w:rPr>
        <w:t>recommends</w:t>
      </w:r>
      <w:r w:rsidRPr="007B25EC">
        <w:rPr>
          <w:spacing w:val="-4"/>
          <w:w w:val="105"/>
          <w:lang w:val="en-GB"/>
        </w:rPr>
        <w:t xml:space="preserve"> that C</w:t>
      </w:r>
      <w:r w:rsidR="00BC4BCC">
        <w:rPr>
          <w:spacing w:val="-4"/>
          <w:w w:val="105"/>
          <w:lang w:val="en-GB"/>
        </w:rPr>
        <w:t xml:space="preserve">1, </w:t>
      </w:r>
      <w:r w:rsidRPr="007B25EC">
        <w:rPr>
          <w:spacing w:val="-4"/>
          <w:w w:val="105"/>
          <w:lang w:val="en-GB"/>
        </w:rPr>
        <w:t>C2</w:t>
      </w:r>
      <w:r w:rsidR="00BC4BCC">
        <w:rPr>
          <w:spacing w:val="-4"/>
          <w:w w:val="105"/>
          <w:lang w:val="en-GB"/>
        </w:rPr>
        <w:t xml:space="preserve"> and C3</w:t>
      </w:r>
      <w:r w:rsidRPr="007B25EC">
        <w:rPr>
          <w:spacing w:val="-4"/>
          <w:w w:val="105"/>
          <w:lang w:val="en-GB"/>
        </w:rPr>
        <w:t xml:space="preserve"> teams work with their MAF partners to test the yield potential of recommended varieties through crop nutrition,</w:t>
      </w:r>
      <w:r w:rsidR="00FA28BE">
        <w:rPr>
          <w:spacing w:val="-4"/>
          <w:w w:val="105"/>
          <w:lang w:val="en-GB"/>
        </w:rPr>
        <w:t xml:space="preserve"> seed treatment,</w:t>
      </w:r>
      <w:r w:rsidRPr="007B25EC">
        <w:rPr>
          <w:spacing w:val="-4"/>
          <w:w w:val="105"/>
          <w:lang w:val="en-GB"/>
        </w:rPr>
        <w:t xml:space="preserve"> weed management and plant density treatments on experiment station demonstration plots and with interested farmers as OFDTs in formal seed </w:t>
      </w:r>
      <w:r w:rsidR="00FC34D1">
        <w:rPr>
          <w:spacing w:val="-4"/>
          <w:w w:val="105"/>
          <w:lang w:val="en-GB"/>
        </w:rPr>
        <w:t xml:space="preserve">plantings </w:t>
      </w:r>
      <w:r w:rsidRPr="007B25EC">
        <w:rPr>
          <w:spacing w:val="-4"/>
          <w:w w:val="105"/>
          <w:lang w:val="en-GB"/>
        </w:rPr>
        <w:t xml:space="preserve">and </w:t>
      </w:r>
      <w:r w:rsidR="00FC34D1">
        <w:rPr>
          <w:spacing w:val="-4"/>
          <w:w w:val="105"/>
          <w:lang w:val="en-GB"/>
        </w:rPr>
        <w:t xml:space="preserve">in </w:t>
      </w:r>
      <w:r w:rsidRPr="007B25EC">
        <w:rPr>
          <w:spacing w:val="-4"/>
          <w:w w:val="105"/>
          <w:lang w:val="en-GB"/>
        </w:rPr>
        <w:t>ISPG fields.</w:t>
      </w:r>
    </w:p>
    <w:p w:rsidR="00E91E9C" w:rsidRDefault="00E91E9C" w:rsidP="00E16AEB">
      <w:pPr>
        <w:tabs>
          <w:tab w:val="left" w:pos="9072"/>
          <w:tab w:val="left" w:pos="9214"/>
          <w:tab w:val="left" w:pos="11482"/>
        </w:tabs>
        <w:ind w:right="1"/>
        <w:rPr>
          <w:spacing w:val="-4"/>
          <w:w w:val="105"/>
          <w:lang w:val="en-GB"/>
        </w:rPr>
      </w:pPr>
    </w:p>
    <w:p w:rsidR="002A5059" w:rsidRPr="003D1B5E" w:rsidRDefault="002A5059" w:rsidP="00B30C8B">
      <w:pPr>
        <w:pStyle w:val="Heading2"/>
        <w:rPr>
          <w:w w:val="105"/>
          <w:lang w:val="en-GB"/>
        </w:rPr>
      </w:pPr>
      <w:bookmarkStart w:id="21" w:name="_Toc326845351"/>
      <w:r w:rsidRPr="003D1B5E">
        <w:rPr>
          <w:w w:val="105"/>
          <w:lang w:val="en-GB"/>
        </w:rPr>
        <w:t>Progress in accessing and evaluating new germplasm</w:t>
      </w:r>
      <w:bookmarkEnd w:id="21"/>
    </w:p>
    <w:p w:rsidR="004364B0" w:rsidRDefault="00FC34D1" w:rsidP="00E16AEB">
      <w:pPr>
        <w:rPr>
          <w:spacing w:val="-4"/>
          <w:w w:val="105"/>
          <w:lang w:val="en-GB"/>
        </w:rPr>
      </w:pPr>
      <w:r>
        <w:rPr>
          <w:spacing w:val="-4"/>
          <w:w w:val="105"/>
          <w:lang w:val="en-GB"/>
        </w:rPr>
        <w:t>The</w:t>
      </w:r>
      <w:r w:rsidR="004364B0" w:rsidRPr="00E91E9C">
        <w:rPr>
          <w:spacing w:val="-4"/>
          <w:w w:val="105"/>
          <w:lang w:val="en-GB"/>
        </w:rPr>
        <w:t xml:space="preserve"> accessi</w:t>
      </w:r>
      <w:r>
        <w:rPr>
          <w:spacing w:val="-4"/>
          <w:w w:val="105"/>
          <w:lang w:val="en-GB"/>
        </w:rPr>
        <w:t>o</w:t>
      </w:r>
      <w:r w:rsidR="004364B0" w:rsidRPr="00E91E9C">
        <w:rPr>
          <w:spacing w:val="-4"/>
          <w:w w:val="105"/>
          <w:lang w:val="en-GB"/>
        </w:rPr>
        <w:t>n and evaluati</w:t>
      </w:r>
      <w:r>
        <w:rPr>
          <w:spacing w:val="-4"/>
          <w:w w:val="105"/>
          <w:lang w:val="en-GB"/>
        </w:rPr>
        <w:t>o</w:t>
      </w:r>
      <w:r w:rsidR="004364B0" w:rsidRPr="00E91E9C">
        <w:rPr>
          <w:spacing w:val="-4"/>
          <w:w w:val="105"/>
          <w:lang w:val="en-GB"/>
        </w:rPr>
        <w:t xml:space="preserve">n </w:t>
      </w:r>
      <w:r>
        <w:rPr>
          <w:spacing w:val="-4"/>
          <w:w w:val="105"/>
          <w:lang w:val="en-GB"/>
        </w:rPr>
        <w:t xml:space="preserve">of </w:t>
      </w:r>
      <w:r w:rsidR="004364B0" w:rsidRPr="00E91E9C">
        <w:rPr>
          <w:spacing w:val="-4"/>
          <w:w w:val="105"/>
          <w:lang w:val="en-GB"/>
        </w:rPr>
        <w:t xml:space="preserve">new sources of germplasm is proceeding steadily under Component 1. A white maize variety, </w:t>
      </w:r>
      <w:r w:rsidR="004364B0" w:rsidRPr="00FC34D1">
        <w:rPr>
          <w:i/>
          <w:spacing w:val="-4"/>
          <w:w w:val="105"/>
          <w:lang w:val="en-GB"/>
        </w:rPr>
        <w:t>P07</w:t>
      </w:r>
      <w:r w:rsidR="004364B0" w:rsidRPr="00E91E9C">
        <w:rPr>
          <w:spacing w:val="-4"/>
          <w:w w:val="105"/>
          <w:lang w:val="en-GB"/>
        </w:rPr>
        <w:t>, suited to farmers in western Timor Leste, will be renamed and released in May, 2012. An improved rice variety with farmer appeal (‘</w:t>
      </w:r>
      <w:r w:rsidR="004364B0" w:rsidRPr="00011716">
        <w:rPr>
          <w:i/>
          <w:spacing w:val="-4"/>
          <w:w w:val="105"/>
          <w:lang w:val="en-GB"/>
        </w:rPr>
        <w:t>Matatag’</w:t>
      </w:r>
      <w:r w:rsidR="004364B0" w:rsidRPr="00E91E9C">
        <w:rPr>
          <w:spacing w:val="-4"/>
          <w:w w:val="105"/>
          <w:lang w:val="en-GB"/>
        </w:rPr>
        <w:t xml:space="preserve">) is being purified and tested more widely in Bobonaro district. Trials of rice, </w:t>
      </w:r>
      <w:r w:rsidR="001714DC">
        <w:rPr>
          <w:spacing w:val="-4"/>
          <w:w w:val="105"/>
          <w:lang w:val="en-GB"/>
        </w:rPr>
        <w:t xml:space="preserve">maize, </w:t>
      </w:r>
      <w:r w:rsidR="004364B0" w:rsidRPr="00E91E9C">
        <w:rPr>
          <w:spacing w:val="-4"/>
          <w:w w:val="105"/>
          <w:lang w:val="en-GB"/>
        </w:rPr>
        <w:t>cassava, sweet potato, peanut</w:t>
      </w:r>
      <w:r>
        <w:rPr>
          <w:spacing w:val="-4"/>
          <w:w w:val="105"/>
          <w:lang w:val="en-GB"/>
        </w:rPr>
        <w:t>, wheat, barley</w:t>
      </w:r>
      <w:r w:rsidR="004364B0" w:rsidRPr="00E91E9C">
        <w:rPr>
          <w:spacing w:val="-4"/>
          <w:w w:val="105"/>
          <w:lang w:val="en-GB"/>
        </w:rPr>
        <w:t xml:space="preserve"> and wing</w:t>
      </w:r>
      <w:r>
        <w:rPr>
          <w:spacing w:val="-4"/>
          <w:w w:val="105"/>
          <w:lang w:val="en-GB"/>
        </w:rPr>
        <w:t>ed-</w:t>
      </w:r>
      <w:r w:rsidR="004364B0" w:rsidRPr="00E91E9C">
        <w:rPr>
          <w:spacing w:val="-4"/>
          <w:w w:val="105"/>
          <w:lang w:val="en-GB"/>
        </w:rPr>
        <w:t>beans are currently being harvested and analysed, and reflect links with the CGIAR centres IRRI,</w:t>
      </w:r>
      <w:r w:rsidR="001714DC">
        <w:rPr>
          <w:spacing w:val="-4"/>
          <w:w w:val="105"/>
          <w:lang w:val="en-GB"/>
        </w:rPr>
        <w:t xml:space="preserve"> CIMMYT,</w:t>
      </w:r>
      <w:r w:rsidR="004364B0" w:rsidRPr="00E91E9C">
        <w:rPr>
          <w:spacing w:val="-4"/>
          <w:w w:val="105"/>
          <w:lang w:val="en-GB"/>
        </w:rPr>
        <w:t xml:space="preserve"> CIAT, CIP, and ICRISAT. There is need</w:t>
      </w:r>
      <w:r w:rsidR="001714DC">
        <w:rPr>
          <w:spacing w:val="-4"/>
          <w:w w:val="105"/>
          <w:lang w:val="en-GB"/>
        </w:rPr>
        <w:t xml:space="preserve"> (confirmed by discussion between the TAG and farmers during this visit)</w:t>
      </w:r>
      <w:r w:rsidR="004364B0" w:rsidRPr="00E91E9C">
        <w:rPr>
          <w:spacing w:val="-4"/>
          <w:w w:val="105"/>
          <w:lang w:val="en-GB"/>
        </w:rPr>
        <w:t xml:space="preserve"> to identify a multipurpose legume and improved varieties of target crops with a range of maturities to shorten the hunger gap and give farmers more options for risk management. For example, improved versions of very early</w:t>
      </w:r>
      <w:r w:rsidR="001714DC">
        <w:rPr>
          <w:spacing w:val="-4"/>
          <w:w w:val="105"/>
          <w:lang w:val="en-GB"/>
        </w:rPr>
        <w:t xml:space="preserve"> maturing</w:t>
      </w:r>
      <w:r w:rsidR="004364B0" w:rsidRPr="00E91E9C">
        <w:rPr>
          <w:spacing w:val="-4"/>
          <w:w w:val="105"/>
          <w:lang w:val="en-GB"/>
        </w:rPr>
        <w:t xml:space="preserve"> maize (</w:t>
      </w:r>
      <w:proofErr w:type="spellStart"/>
      <w:r w:rsidR="004364B0" w:rsidRPr="00011716">
        <w:rPr>
          <w:i/>
          <w:spacing w:val="-4"/>
          <w:w w:val="105"/>
          <w:lang w:val="en-GB"/>
        </w:rPr>
        <w:t>batar</w:t>
      </w:r>
      <w:proofErr w:type="spellEnd"/>
      <w:r w:rsidR="004364B0" w:rsidRPr="00E91E9C">
        <w:rPr>
          <w:spacing w:val="-4"/>
          <w:w w:val="105"/>
          <w:lang w:val="en-GB"/>
        </w:rPr>
        <w:t xml:space="preserve"> </w:t>
      </w:r>
      <w:proofErr w:type="spellStart"/>
      <w:r w:rsidR="004364B0" w:rsidRPr="00011716">
        <w:rPr>
          <w:i/>
          <w:spacing w:val="-4"/>
          <w:w w:val="105"/>
          <w:lang w:val="en-GB"/>
        </w:rPr>
        <w:t>lais</w:t>
      </w:r>
      <w:proofErr w:type="spellEnd"/>
      <w:r w:rsidR="004364B0" w:rsidRPr="00E91E9C">
        <w:rPr>
          <w:spacing w:val="-4"/>
          <w:w w:val="105"/>
          <w:lang w:val="en-GB"/>
        </w:rPr>
        <w:t>)</w:t>
      </w:r>
      <w:r w:rsidR="009F226C">
        <w:rPr>
          <w:spacing w:val="-4"/>
          <w:w w:val="105"/>
          <w:lang w:val="en-GB"/>
        </w:rPr>
        <w:t>, grown by 60% of farmers,</w:t>
      </w:r>
      <w:r w:rsidR="004364B0" w:rsidRPr="00E91E9C">
        <w:rPr>
          <w:spacing w:val="-4"/>
          <w:w w:val="105"/>
          <w:lang w:val="en-GB"/>
        </w:rPr>
        <w:t xml:space="preserve"> would allow a larger early maize harvest</w:t>
      </w:r>
      <w:r w:rsidR="004364B0">
        <w:rPr>
          <w:spacing w:val="-4"/>
          <w:w w:val="105"/>
          <w:lang w:val="en-GB"/>
        </w:rPr>
        <w:t xml:space="preserve">. </w:t>
      </w:r>
      <w:r w:rsidR="001714DC">
        <w:rPr>
          <w:spacing w:val="-4"/>
          <w:w w:val="105"/>
          <w:lang w:val="en-GB"/>
        </w:rPr>
        <w:t xml:space="preserve"> </w:t>
      </w:r>
      <w:r w:rsidR="004364B0">
        <w:rPr>
          <w:spacing w:val="-4"/>
          <w:w w:val="105"/>
          <w:lang w:val="en-GB"/>
        </w:rPr>
        <w:t>Crop models will help visualis</w:t>
      </w:r>
      <w:r w:rsidR="004364B0" w:rsidRPr="00E91E9C">
        <w:rPr>
          <w:spacing w:val="-4"/>
          <w:w w:val="105"/>
          <w:lang w:val="en-GB"/>
        </w:rPr>
        <w:t>e promising options</w:t>
      </w:r>
      <w:r w:rsidR="001714DC">
        <w:rPr>
          <w:spacing w:val="-4"/>
          <w:w w:val="105"/>
          <w:lang w:val="en-GB"/>
        </w:rPr>
        <w:t xml:space="preserve"> and provide an indication of whether they would reduce the length of the hunger period as well as reducing risk of losses to weather</w:t>
      </w:r>
      <w:r w:rsidR="004364B0" w:rsidRPr="00E91E9C">
        <w:rPr>
          <w:spacing w:val="-4"/>
          <w:w w:val="105"/>
          <w:lang w:val="en-GB"/>
        </w:rPr>
        <w:t>.</w:t>
      </w:r>
      <w:r w:rsidR="001714DC">
        <w:rPr>
          <w:spacing w:val="-4"/>
          <w:w w:val="105"/>
          <w:lang w:val="en-GB"/>
        </w:rPr>
        <w:t xml:space="preserve">  Crop models could also be used to evaluate the importance of intercrops that bridge the dry season, such as cassava and pigeon pea. The TAG obs</w:t>
      </w:r>
      <w:r>
        <w:rPr>
          <w:spacing w:val="-4"/>
          <w:w w:val="105"/>
          <w:lang w:val="en-GB"/>
        </w:rPr>
        <w:t>erved a reasonable quantity of p</w:t>
      </w:r>
      <w:r w:rsidR="001714DC">
        <w:rPr>
          <w:spacing w:val="-4"/>
          <w:w w:val="105"/>
          <w:lang w:val="en-GB"/>
        </w:rPr>
        <w:t>igeon</w:t>
      </w:r>
      <w:r>
        <w:rPr>
          <w:spacing w:val="-4"/>
          <w:w w:val="105"/>
          <w:lang w:val="en-GB"/>
        </w:rPr>
        <w:t xml:space="preserve"> p</w:t>
      </w:r>
      <w:r w:rsidR="001714DC">
        <w:rPr>
          <w:spacing w:val="-4"/>
          <w:w w:val="105"/>
          <w:lang w:val="en-GB"/>
        </w:rPr>
        <w:t xml:space="preserve">ea </w:t>
      </w:r>
      <w:r w:rsidR="00152DC6">
        <w:rPr>
          <w:spacing w:val="-4"/>
          <w:w w:val="105"/>
          <w:lang w:val="en-GB"/>
        </w:rPr>
        <w:t>(</w:t>
      </w:r>
      <w:proofErr w:type="spellStart"/>
      <w:r w:rsidR="00152DC6" w:rsidRPr="00152DC6">
        <w:rPr>
          <w:i/>
          <w:spacing w:val="-4"/>
          <w:w w:val="105"/>
          <w:lang w:val="en-GB"/>
        </w:rPr>
        <w:t>Cajanus</w:t>
      </w:r>
      <w:proofErr w:type="spellEnd"/>
      <w:r w:rsidR="00152DC6" w:rsidRPr="00152DC6">
        <w:rPr>
          <w:i/>
          <w:spacing w:val="-4"/>
          <w:w w:val="105"/>
          <w:lang w:val="en-GB"/>
        </w:rPr>
        <w:t xml:space="preserve"> </w:t>
      </w:r>
      <w:proofErr w:type="spellStart"/>
      <w:proofErr w:type="gramStart"/>
      <w:r w:rsidR="00152DC6" w:rsidRPr="00152DC6">
        <w:rPr>
          <w:i/>
          <w:spacing w:val="-4"/>
          <w:w w:val="105"/>
          <w:lang w:val="en-GB"/>
        </w:rPr>
        <w:lastRenderedPageBreak/>
        <w:t>cajan</w:t>
      </w:r>
      <w:proofErr w:type="spellEnd"/>
      <w:proofErr w:type="gramEnd"/>
      <w:r w:rsidR="00152DC6">
        <w:rPr>
          <w:spacing w:val="-4"/>
          <w:w w:val="105"/>
          <w:lang w:val="en-GB"/>
        </w:rPr>
        <w:t xml:space="preserve">) </w:t>
      </w:r>
      <w:r w:rsidR="001714DC">
        <w:rPr>
          <w:spacing w:val="-4"/>
          <w:w w:val="105"/>
          <w:lang w:val="en-GB"/>
        </w:rPr>
        <w:t xml:space="preserve">in farmers’ fields in Bobonaro district where it was flowering and forming pods after the maize had been harvested.  This multipurpose </w:t>
      </w:r>
      <w:r w:rsidR="009F226C">
        <w:rPr>
          <w:spacing w:val="-4"/>
          <w:w w:val="105"/>
          <w:lang w:val="en-GB"/>
        </w:rPr>
        <w:t>crop m</w:t>
      </w:r>
      <w:r w:rsidR="001714DC">
        <w:rPr>
          <w:spacing w:val="-4"/>
          <w:w w:val="105"/>
          <w:lang w:val="en-GB"/>
        </w:rPr>
        <w:t xml:space="preserve">erits further research attention by SOL3. </w:t>
      </w:r>
      <w:r w:rsidR="004364B0" w:rsidRPr="00E91E9C">
        <w:rPr>
          <w:spacing w:val="-4"/>
          <w:w w:val="105"/>
          <w:lang w:val="en-GB"/>
        </w:rPr>
        <w:t xml:space="preserve"> Identification of </w:t>
      </w:r>
      <w:proofErr w:type="gramStart"/>
      <w:r w:rsidR="004364B0" w:rsidRPr="00E91E9C">
        <w:rPr>
          <w:spacing w:val="-4"/>
          <w:w w:val="105"/>
          <w:lang w:val="en-GB"/>
        </w:rPr>
        <w:t>a quality</w:t>
      </w:r>
      <w:proofErr w:type="gramEnd"/>
      <w:r w:rsidR="004364B0" w:rsidRPr="00E91E9C">
        <w:rPr>
          <w:spacing w:val="-4"/>
          <w:w w:val="105"/>
          <w:lang w:val="en-GB"/>
        </w:rPr>
        <w:t xml:space="preserve"> protein maize (QPM) variety would improve nutritional status of children weaned onto maize diets, and contact will shortly be made with CIMMYT to obtain seed of early and QPM varieties carrying some level of downy mildew resistance.</w:t>
      </w:r>
      <w:r w:rsidR="00C62550">
        <w:rPr>
          <w:spacing w:val="-4"/>
          <w:w w:val="105"/>
          <w:lang w:val="en-GB"/>
        </w:rPr>
        <w:t xml:space="preserve">  Good leads on a suitable QPM variety were also recently provided during a visit by Paul Fox</w:t>
      </w:r>
      <w:r w:rsidR="00152DC6">
        <w:rPr>
          <w:spacing w:val="-4"/>
          <w:w w:val="105"/>
          <w:lang w:val="en-GB"/>
        </w:rPr>
        <w:t xml:space="preserve"> of ACIAR</w:t>
      </w:r>
      <w:r w:rsidR="00C62550">
        <w:rPr>
          <w:spacing w:val="-4"/>
          <w:w w:val="105"/>
          <w:lang w:val="en-GB"/>
        </w:rPr>
        <w:t xml:space="preserve"> to El Salvador</w:t>
      </w:r>
      <w:r w:rsidR="00C62550">
        <w:rPr>
          <w:rStyle w:val="FootnoteReference"/>
          <w:spacing w:val="-4"/>
          <w:w w:val="105"/>
          <w:lang w:val="en-GB"/>
        </w:rPr>
        <w:footnoteReference w:id="9"/>
      </w:r>
      <w:r w:rsidR="00C62550">
        <w:rPr>
          <w:spacing w:val="-4"/>
          <w:w w:val="105"/>
          <w:lang w:val="en-GB"/>
        </w:rPr>
        <w:t xml:space="preserve"> and merit follow-up</w:t>
      </w:r>
      <w:r w:rsidR="00BC7D47">
        <w:rPr>
          <w:spacing w:val="-4"/>
          <w:w w:val="105"/>
          <w:lang w:val="en-GB"/>
        </w:rPr>
        <w:t>.</w:t>
      </w:r>
    </w:p>
    <w:p w:rsidR="002A5059" w:rsidRPr="00BC7D47" w:rsidRDefault="002A5059" w:rsidP="00E16AEB">
      <w:pPr>
        <w:rPr>
          <w:spacing w:val="-4"/>
          <w:w w:val="105"/>
          <w:sz w:val="16"/>
          <w:szCs w:val="16"/>
          <w:lang w:val="en-GB"/>
        </w:rPr>
      </w:pPr>
    </w:p>
    <w:p w:rsidR="002A5059" w:rsidRPr="003D1B5E" w:rsidRDefault="004364B0" w:rsidP="00E16AEB">
      <w:pPr>
        <w:rPr>
          <w:spacing w:val="-4"/>
          <w:w w:val="105"/>
          <w:lang w:val="en-GB"/>
        </w:rPr>
      </w:pPr>
      <w:r>
        <w:rPr>
          <w:spacing w:val="-4"/>
          <w:w w:val="105"/>
          <w:lang w:val="en-GB"/>
        </w:rPr>
        <w:t xml:space="preserve">The recently concluded memorandum of understanding between MAF and IRRI, an output arising from the SOL3-supported visit to IRRI, is an example of the institutional capacity being built by SOL3 that enables MAF to engage with sources of germplasm in its own right.  </w:t>
      </w:r>
      <w:r w:rsidR="0085593A">
        <w:rPr>
          <w:spacing w:val="-4"/>
          <w:w w:val="105"/>
          <w:lang w:val="en-GB"/>
        </w:rPr>
        <w:t>This model could also be followed with CIMMYT</w:t>
      </w:r>
      <w:r w:rsidR="00FC34D1">
        <w:rPr>
          <w:spacing w:val="-4"/>
          <w:w w:val="105"/>
          <w:lang w:val="en-GB"/>
        </w:rPr>
        <w:t>, which</w:t>
      </w:r>
      <w:r w:rsidR="0085593A">
        <w:rPr>
          <w:spacing w:val="-4"/>
          <w:w w:val="105"/>
          <w:lang w:val="en-GB"/>
        </w:rPr>
        <w:t xml:space="preserve"> will open an office in Sulawesi, Indonesia, in 2012.  Access to germplasm</w:t>
      </w:r>
      <w:r w:rsidR="00FC34D1" w:rsidRPr="00FC34D1">
        <w:rPr>
          <w:spacing w:val="-4"/>
          <w:w w:val="105"/>
          <w:lang w:val="en-GB"/>
        </w:rPr>
        <w:t xml:space="preserve"> </w:t>
      </w:r>
      <w:r w:rsidR="00FC34D1">
        <w:rPr>
          <w:spacing w:val="-4"/>
          <w:w w:val="105"/>
          <w:lang w:val="en-GB"/>
        </w:rPr>
        <w:t>through the CGIAR centres</w:t>
      </w:r>
      <w:r w:rsidR="0085593A">
        <w:rPr>
          <w:spacing w:val="-4"/>
          <w:w w:val="105"/>
          <w:lang w:val="en-GB"/>
        </w:rPr>
        <w:t xml:space="preserve">, new technology, training and regional conferences </w:t>
      </w:r>
      <w:r w:rsidR="00152DC6">
        <w:rPr>
          <w:spacing w:val="-4"/>
          <w:w w:val="105"/>
          <w:lang w:val="en-GB"/>
        </w:rPr>
        <w:t>are</w:t>
      </w:r>
      <w:r w:rsidR="0085593A">
        <w:rPr>
          <w:spacing w:val="-4"/>
          <w:w w:val="105"/>
          <w:lang w:val="en-GB"/>
        </w:rPr>
        <w:t xml:space="preserve"> important</w:t>
      </w:r>
      <w:r>
        <w:rPr>
          <w:spacing w:val="-4"/>
          <w:w w:val="105"/>
          <w:lang w:val="en-GB"/>
        </w:rPr>
        <w:t xml:space="preserve"> element</w:t>
      </w:r>
      <w:r w:rsidR="00152DC6">
        <w:rPr>
          <w:spacing w:val="-4"/>
          <w:w w:val="105"/>
          <w:lang w:val="en-GB"/>
        </w:rPr>
        <w:t>s</w:t>
      </w:r>
      <w:r>
        <w:rPr>
          <w:spacing w:val="-4"/>
          <w:w w:val="105"/>
          <w:lang w:val="en-GB"/>
        </w:rPr>
        <w:t xml:space="preserve"> of the sustainability strategy for SOL3</w:t>
      </w:r>
      <w:r w:rsidR="0085593A">
        <w:rPr>
          <w:spacing w:val="-4"/>
          <w:w w:val="105"/>
          <w:lang w:val="en-GB"/>
        </w:rPr>
        <w:t xml:space="preserve"> that should be vigorously pursued.</w:t>
      </w:r>
      <w:r w:rsidR="00C62550">
        <w:rPr>
          <w:spacing w:val="-4"/>
          <w:w w:val="105"/>
          <w:lang w:val="en-GB"/>
        </w:rPr>
        <w:t xml:space="preserve">  The TAG </w:t>
      </w:r>
      <w:r w:rsidR="0085593A">
        <w:rPr>
          <w:spacing w:val="-4"/>
          <w:w w:val="105"/>
          <w:lang w:val="en-GB"/>
        </w:rPr>
        <w:t xml:space="preserve">also </w:t>
      </w:r>
      <w:r w:rsidR="00C62550">
        <w:rPr>
          <w:spacing w:val="-4"/>
          <w:w w:val="105"/>
          <w:lang w:val="en-GB"/>
        </w:rPr>
        <w:t>urges SOL3 and MAF to follow up on the initiative between EMBRAPA and MAF developed in 2011 that could provide adapted germplasm and train</w:t>
      </w:r>
      <w:r w:rsidR="00152DC6">
        <w:rPr>
          <w:spacing w:val="-4"/>
          <w:w w:val="105"/>
          <w:lang w:val="en-GB"/>
        </w:rPr>
        <w:t xml:space="preserve">ing </w:t>
      </w:r>
      <w:r w:rsidR="00FC34D1">
        <w:rPr>
          <w:spacing w:val="-4"/>
          <w:w w:val="105"/>
          <w:lang w:val="en-GB"/>
        </w:rPr>
        <w:t xml:space="preserve">course offered </w:t>
      </w:r>
      <w:r w:rsidR="00152DC6">
        <w:rPr>
          <w:spacing w:val="-4"/>
          <w:w w:val="105"/>
          <w:lang w:val="en-GB"/>
        </w:rPr>
        <w:t>in Portuguese for MAF staff.</w:t>
      </w:r>
    </w:p>
    <w:p w:rsidR="007B25EC" w:rsidRPr="00BC5BE4" w:rsidRDefault="007B25EC" w:rsidP="00E16AEB">
      <w:pPr>
        <w:rPr>
          <w:spacing w:val="-4"/>
          <w:w w:val="105"/>
          <w:sz w:val="16"/>
          <w:szCs w:val="16"/>
          <w:lang w:val="en-GB"/>
        </w:rPr>
      </w:pPr>
    </w:p>
    <w:p w:rsidR="0049344B" w:rsidRPr="0049344B" w:rsidRDefault="008B74F6" w:rsidP="00E16AEB">
      <w:pPr>
        <w:rPr>
          <w:spacing w:val="-4"/>
          <w:w w:val="105"/>
          <w:lang w:val="en-GB"/>
        </w:rPr>
      </w:pPr>
      <w:r>
        <w:rPr>
          <w:spacing w:val="-4"/>
          <w:w w:val="105"/>
          <w:lang w:val="en-GB"/>
        </w:rPr>
        <w:t>The acquisition of new germplasm is now monitored with the N</w:t>
      </w:r>
      <w:r w:rsidR="0049344B" w:rsidRPr="0049344B">
        <w:rPr>
          <w:spacing w:val="-4"/>
          <w:w w:val="105"/>
          <w:lang w:val="en-GB"/>
        </w:rPr>
        <w:t>ational Seed Inventory System</w:t>
      </w:r>
      <w:r>
        <w:rPr>
          <w:spacing w:val="-4"/>
          <w:w w:val="105"/>
          <w:lang w:val="en-GB"/>
        </w:rPr>
        <w:t>.</w:t>
      </w:r>
      <w:r w:rsidR="0049344B" w:rsidRPr="0049344B">
        <w:rPr>
          <w:spacing w:val="-4"/>
          <w:w w:val="105"/>
          <w:lang w:val="en-GB"/>
        </w:rPr>
        <w:t xml:space="preserve">  </w:t>
      </w:r>
      <w:r>
        <w:rPr>
          <w:spacing w:val="-4"/>
          <w:w w:val="105"/>
          <w:lang w:val="en-GB"/>
        </w:rPr>
        <w:t>This</w:t>
      </w:r>
      <w:r w:rsidR="0049344B" w:rsidRPr="0049344B">
        <w:rPr>
          <w:spacing w:val="-4"/>
          <w:w w:val="105"/>
          <w:lang w:val="en-GB"/>
        </w:rPr>
        <w:t xml:space="preserve"> system for tracking and managing formal and informal seed supply, inventory and demand is in place, and MAF is currently able to manage this activity.  </w:t>
      </w:r>
      <w:r>
        <w:rPr>
          <w:spacing w:val="-4"/>
          <w:w w:val="105"/>
          <w:lang w:val="en-GB"/>
        </w:rPr>
        <w:t xml:space="preserve">How </w:t>
      </w:r>
      <w:r w:rsidR="0049344B" w:rsidRPr="0049344B">
        <w:rPr>
          <w:spacing w:val="-4"/>
          <w:w w:val="105"/>
          <w:lang w:val="en-GB"/>
        </w:rPr>
        <w:t xml:space="preserve">its implementation </w:t>
      </w:r>
      <w:r>
        <w:rPr>
          <w:spacing w:val="-4"/>
          <w:w w:val="105"/>
          <w:lang w:val="en-GB"/>
        </w:rPr>
        <w:t xml:space="preserve">evolves </w:t>
      </w:r>
      <w:r w:rsidR="0049344B" w:rsidRPr="0049344B">
        <w:rPr>
          <w:spacing w:val="-4"/>
          <w:w w:val="105"/>
          <w:lang w:val="en-GB"/>
        </w:rPr>
        <w:t xml:space="preserve">will depend on the development of a National Seed </w:t>
      </w:r>
      <w:r>
        <w:rPr>
          <w:spacing w:val="-4"/>
          <w:w w:val="105"/>
          <w:lang w:val="en-GB"/>
        </w:rPr>
        <w:t>Policy.</w:t>
      </w:r>
    </w:p>
    <w:p w:rsidR="0049344B" w:rsidRDefault="0049344B" w:rsidP="00E16AEB">
      <w:pPr>
        <w:rPr>
          <w:spacing w:val="-4"/>
          <w:w w:val="105"/>
          <w:lang w:val="en-GB"/>
        </w:rPr>
      </w:pPr>
    </w:p>
    <w:p w:rsidR="008B74F6" w:rsidRPr="008B74F6" w:rsidRDefault="008B74F6" w:rsidP="008B74F6">
      <w:pPr>
        <w:pStyle w:val="Heading2"/>
        <w:rPr>
          <w:w w:val="105"/>
          <w:lang w:val="en-GB"/>
        </w:rPr>
      </w:pPr>
      <w:bookmarkStart w:id="22" w:name="_Toc326845352"/>
      <w:r w:rsidRPr="008B74F6">
        <w:rPr>
          <w:w w:val="105"/>
          <w:lang w:val="en-GB"/>
        </w:rPr>
        <w:t>Use vulnerability criteria to select new varieties</w:t>
      </w:r>
      <w:bookmarkEnd w:id="22"/>
    </w:p>
    <w:p w:rsidR="008B74F6" w:rsidRPr="00D35A36" w:rsidRDefault="008B74F6" w:rsidP="00E16AEB">
      <w:pPr>
        <w:ind w:right="1"/>
        <w:rPr>
          <w:spacing w:val="-4"/>
          <w:w w:val="105"/>
          <w:lang w:val="en-GB"/>
        </w:rPr>
      </w:pPr>
      <w:r w:rsidRPr="00D35A36">
        <w:rPr>
          <w:spacing w:val="-4"/>
          <w:w w:val="105"/>
          <w:lang w:val="en-GB"/>
        </w:rPr>
        <w:t xml:space="preserve">One way that </w:t>
      </w:r>
      <w:r>
        <w:rPr>
          <w:spacing w:val="-4"/>
          <w:w w:val="105"/>
          <w:lang w:val="en-GB"/>
        </w:rPr>
        <w:t>the</w:t>
      </w:r>
      <w:r w:rsidRPr="00D35A36">
        <w:rPr>
          <w:spacing w:val="-4"/>
          <w:w w:val="105"/>
          <w:lang w:val="en-GB"/>
        </w:rPr>
        <w:t xml:space="preserve"> case </w:t>
      </w:r>
      <w:r>
        <w:rPr>
          <w:spacing w:val="-4"/>
          <w:w w:val="105"/>
          <w:lang w:val="en-GB"/>
        </w:rPr>
        <w:t xml:space="preserve">for sustained investment in a national seed system </w:t>
      </w:r>
      <w:r w:rsidRPr="00D35A36">
        <w:rPr>
          <w:spacing w:val="-4"/>
          <w:w w:val="105"/>
          <w:lang w:val="en-GB"/>
        </w:rPr>
        <w:t>could be presented is to look at the costs of achieving food security in Timor-Leste before, during and after SOL3 – an analysis of vulnerability and risk (productive potential, climate variability, food position in the early 2000s [before SOL3], food position during SOL3 [to 2015 say] and food position under several scenarios to 2020 [</w:t>
      </w:r>
      <w:r w:rsidRPr="008B74F6">
        <w:rPr>
          <w:i/>
          <w:spacing w:val="-4"/>
          <w:w w:val="105"/>
          <w:lang w:val="en-GB"/>
        </w:rPr>
        <w:t>e.g</w:t>
      </w:r>
      <w:r w:rsidRPr="00D35A36">
        <w:rPr>
          <w:spacing w:val="-4"/>
          <w:w w:val="105"/>
          <w:lang w:val="en-GB"/>
        </w:rPr>
        <w:t>. with SOL3 targets maintained by adequately resourced MAF research and extension capacity compared with importing cereals to close the food gap]).  This work could be prepared by the MAF planning and research directorates with support from the Climate Change Adviser using GIS</w:t>
      </w:r>
      <w:r w:rsidRPr="00D50DDB">
        <w:rPr>
          <w:spacing w:val="-4"/>
          <w:w w:val="105"/>
          <w:lang w:val="en-GB"/>
        </w:rPr>
        <w:t>, crop mode</w:t>
      </w:r>
      <w:r>
        <w:rPr>
          <w:spacing w:val="-4"/>
          <w:w w:val="105"/>
          <w:lang w:val="en-GB"/>
        </w:rPr>
        <w:t>ls with long term weather data</w:t>
      </w:r>
      <w:r w:rsidR="00C341F6">
        <w:rPr>
          <w:spacing w:val="-4"/>
          <w:w w:val="105"/>
          <w:lang w:val="en-GB"/>
        </w:rPr>
        <w:t xml:space="preserve"> to estimate climatic risk</w:t>
      </w:r>
      <w:r>
        <w:rPr>
          <w:spacing w:val="-4"/>
          <w:w w:val="105"/>
          <w:lang w:val="en-GB"/>
        </w:rPr>
        <w:t>,</w:t>
      </w:r>
      <w:r w:rsidRPr="00D35A36">
        <w:rPr>
          <w:spacing w:val="-4"/>
          <w:w w:val="105"/>
          <w:lang w:val="en-GB"/>
        </w:rPr>
        <w:t xml:space="preserve"> and other analyses.</w:t>
      </w:r>
    </w:p>
    <w:p w:rsidR="0049344B" w:rsidRDefault="0049344B" w:rsidP="00E16AEB">
      <w:pPr>
        <w:ind w:right="1"/>
        <w:rPr>
          <w:spacing w:val="-4"/>
          <w:w w:val="105"/>
          <w:sz w:val="16"/>
          <w:szCs w:val="16"/>
          <w:lang w:val="en-GB"/>
        </w:rPr>
      </w:pPr>
    </w:p>
    <w:p w:rsidR="00FC34D1" w:rsidRDefault="00FC34D1" w:rsidP="00FC34D1">
      <w:pPr>
        <w:ind w:right="1"/>
        <w:rPr>
          <w:spacing w:val="-4"/>
          <w:w w:val="105"/>
          <w:lang w:val="en-GB"/>
        </w:rPr>
      </w:pPr>
      <w:r>
        <w:rPr>
          <w:spacing w:val="-4"/>
          <w:w w:val="105"/>
          <w:lang w:val="en-GB"/>
        </w:rPr>
        <w:t xml:space="preserve">The use of crop models with historical weather data can also identify criteria that could be used in selection of new varieties that have the greatest potential to contribute to the goal of food security for Timor-Leste by matching their phenology to the length of the season at different altitudes.  This approach could also be used in an </w:t>
      </w:r>
      <w:r w:rsidRPr="00BC7D47">
        <w:rPr>
          <w:i/>
          <w:spacing w:val="-4"/>
          <w:w w:val="105"/>
          <w:lang w:val="en-GB"/>
        </w:rPr>
        <w:t>ex-ante</w:t>
      </w:r>
      <w:r>
        <w:rPr>
          <w:spacing w:val="-4"/>
          <w:w w:val="105"/>
          <w:lang w:val="en-GB"/>
        </w:rPr>
        <w:t xml:space="preserve"> evaluation of alternative crop management procedures – for example, dates of planting of varieties of different maturities, and prospects of relay crops that utilise stored soil water during the dry season.  Although current plans call for the use of the FAO model </w:t>
      </w:r>
      <w:proofErr w:type="spellStart"/>
      <w:r>
        <w:rPr>
          <w:spacing w:val="-4"/>
          <w:w w:val="105"/>
          <w:lang w:val="en-GB"/>
        </w:rPr>
        <w:t>AquaCrop</w:t>
      </w:r>
      <w:proofErr w:type="spellEnd"/>
      <w:r>
        <w:rPr>
          <w:spacing w:val="-4"/>
          <w:w w:val="105"/>
          <w:lang w:val="en-GB"/>
        </w:rPr>
        <w:t xml:space="preserve"> that simulates effects of water and crop maturity for a range of crops, more sophisticated models such as APSIM will also allow soil fertility treatments and specific crop species to be accurately modelled – provided the minimum dataset of soil and weather parameters can be accurately obtained. See </w:t>
      </w:r>
      <w:hyperlink r:id="rId27" w:history="1">
        <w:r w:rsidRPr="00341940">
          <w:rPr>
            <w:rStyle w:val="Hyperlink"/>
            <w:spacing w:val="-4"/>
            <w:w w:val="105"/>
            <w:sz w:val="20"/>
            <w:lang w:val="en-GB"/>
          </w:rPr>
          <w:t>http://www.apsim.info/Wiki/Default.aspx?Page=APSIM-Model&amp;NS=&amp;AspxAutoDetectCookieSupport=1</w:t>
        </w:r>
      </w:hyperlink>
      <w:r>
        <w:rPr>
          <w:spacing w:val="-4"/>
          <w:w w:val="105"/>
          <w:lang w:val="en-GB"/>
        </w:rPr>
        <w:t xml:space="preserve"> for further details.  State-of-the-art crop models like APSIM can also be used to “bench-test” risk mitigation strategies.  However, users will definitely benefit from a training course in the use of APSIM and its species-specific modules.</w:t>
      </w:r>
    </w:p>
    <w:p w:rsidR="00FC34D1" w:rsidRDefault="00FC34D1" w:rsidP="00E16AEB">
      <w:pPr>
        <w:ind w:right="1"/>
        <w:rPr>
          <w:spacing w:val="-4"/>
          <w:w w:val="105"/>
          <w:sz w:val="16"/>
          <w:szCs w:val="16"/>
          <w:lang w:val="en-GB"/>
        </w:rPr>
      </w:pPr>
    </w:p>
    <w:p w:rsidR="008B74F6" w:rsidRPr="008B74F6" w:rsidRDefault="008B74F6" w:rsidP="00E16AEB">
      <w:pPr>
        <w:ind w:right="1"/>
        <w:rPr>
          <w:spacing w:val="-4"/>
          <w:w w:val="105"/>
          <w:lang w:val="en-GB"/>
        </w:rPr>
      </w:pPr>
      <w:r>
        <w:rPr>
          <w:spacing w:val="-4"/>
          <w:w w:val="105"/>
          <w:lang w:val="en-GB"/>
        </w:rPr>
        <w:t>As a result,</w:t>
      </w:r>
      <w:r w:rsidRPr="008B74F6">
        <w:rPr>
          <w:spacing w:val="-4"/>
          <w:w w:val="105"/>
          <w:lang w:val="en-GB"/>
        </w:rPr>
        <w:t xml:space="preserve"> the TAG </w:t>
      </w:r>
      <w:r w:rsidR="00F44710" w:rsidRPr="00341940">
        <w:rPr>
          <w:b/>
          <w:spacing w:val="-4"/>
          <w:w w:val="105"/>
          <w:lang w:val="en-GB"/>
        </w:rPr>
        <w:t>recommends</w:t>
      </w:r>
      <w:r w:rsidRPr="008B74F6">
        <w:rPr>
          <w:spacing w:val="-4"/>
          <w:w w:val="105"/>
          <w:lang w:val="en-GB"/>
        </w:rPr>
        <w:t xml:space="preserve"> that the Climate Change Adviser analyses vulnerability to food insecurity under historical climate variability scenarios to identify criteria that could be used to select new crop varieties </w:t>
      </w:r>
      <w:r w:rsidR="00C341F6">
        <w:rPr>
          <w:spacing w:val="-4"/>
          <w:w w:val="105"/>
          <w:lang w:val="en-GB"/>
        </w:rPr>
        <w:t xml:space="preserve">and amended management practices </w:t>
      </w:r>
      <w:r w:rsidRPr="008B74F6">
        <w:rPr>
          <w:spacing w:val="-4"/>
          <w:w w:val="105"/>
          <w:lang w:val="en-GB"/>
        </w:rPr>
        <w:t xml:space="preserve">that will increase </w:t>
      </w:r>
      <w:r w:rsidRPr="008B74F6">
        <w:rPr>
          <w:spacing w:val="-4"/>
          <w:w w:val="105"/>
          <w:lang w:val="en-GB"/>
        </w:rPr>
        <w:lastRenderedPageBreak/>
        <w:t>household food security resilience under climate variability, particularly in the poorest regions of Timor-Leste.  This could include early season maize, multipurpose legumes,</w:t>
      </w:r>
      <w:r w:rsidR="0085593A">
        <w:rPr>
          <w:spacing w:val="-4"/>
          <w:w w:val="105"/>
          <w:lang w:val="en-GB"/>
        </w:rPr>
        <w:t xml:space="preserve"> maize-based intercrops, rainfed and irrigated rice, </w:t>
      </w:r>
      <w:r w:rsidRPr="008B74F6">
        <w:rPr>
          <w:spacing w:val="-4"/>
          <w:w w:val="105"/>
          <w:lang w:val="en-GB"/>
        </w:rPr>
        <w:t>and crops in farming systems designed for drought resilience.</w:t>
      </w:r>
    </w:p>
    <w:p w:rsidR="008B74F6" w:rsidRPr="00BC5BE4" w:rsidRDefault="008B74F6" w:rsidP="00E16AEB">
      <w:pPr>
        <w:ind w:right="1"/>
        <w:rPr>
          <w:spacing w:val="-4"/>
          <w:w w:val="105"/>
          <w:sz w:val="16"/>
          <w:szCs w:val="16"/>
          <w:lang w:val="en-GB"/>
        </w:rPr>
      </w:pPr>
    </w:p>
    <w:p w:rsidR="0049344B" w:rsidRDefault="008B74F6" w:rsidP="008B74F6">
      <w:pPr>
        <w:pStyle w:val="Heading2"/>
        <w:rPr>
          <w:w w:val="105"/>
          <w:lang w:val="en-GB"/>
        </w:rPr>
      </w:pPr>
      <w:bookmarkStart w:id="23" w:name="_Toc326845353"/>
      <w:r>
        <w:rPr>
          <w:w w:val="105"/>
          <w:lang w:val="en-GB"/>
        </w:rPr>
        <w:t>Taking selected varieties to scale</w:t>
      </w:r>
      <w:bookmarkEnd w:id="23"/>
    </w:p>
    <w:p w:rsidR="0049344B" w:rsidRDefault="00887412" w:rsidP="00A125B1">
      <w:pPr>
        <w:ind w:right="1"/>
        <w:rPr>
          <w:spacing w:val="-4"/>
          <w:w w:val="105"/>
          <w:lang w:val="en-GB"/>
        </w:rPr>
      </w:pPr>
      <w:r>
        <w:rPr>
          <w:spacing w:val="-4"/>
          <w:w w:val="105"/>
          <w:lang w:val="en-GB"/>
        </w:rPr>
        <w:t>The recommendations from TAG1 included r</w:t>
      </w:r>
      <w:r w:rsidRPr="00887412">
        <w:rPr>
          <w:spacing w:val="-4"/>
          <w:w w:val="105"/>
          <w:lang w:val="en-GB"/>
        </w:rPr>
        <w:t>ais</w:t>
      </w:r>
      <w:r>
        <w:rPr>
          <w:spacing w:val="-4"/>
          <w:w w:val="105"/>
          <w:lang w:val="en-GB"/>
        </w:rPr>
        <w:t>ing</w:t>
      </w:r>
      <w:r w:rsidRPr="00887412">
        <w:rPr>
          <w:spacing w:val="-4"/>
          <w:w w:val="105"/>
          <w:lang w:val="en-GB"/>
        </w:rPr>
        <w:t xml:space="preserve"> farmers’ awareness of new varieties</w:t>
      </w:r>
      <w:r>
        <w:rPr>
          <w:spacing w:val="-4"/>
          <w:w w:val="105"/>
          <w:lang w:val="en-GB"/>
        </w:rPr>
        <w:t xml:space="preserve"> so that SOL3 could achieve the scale planned by completion in 2015.  </w:t>
      </w:r>
      <w:r w:rsidRPr="0049344B">
        <w:rPr>
          <w:spacing w:val="-4"/>
          <w:w w:val="105"/>
          <w:lang w:val="en-GB"/>
        </w:rPr>
        <w:t xml:space="preserve">Useful </w:t>
      </w:r>
      <w:r>
        <w:rPr>
          <w:spacing w:val="-4"/>
          <w:w w:val="105"/>
          <w:lang w:val="en-GB"/>
        </w:rPr>
        <w:t>communications outputs since TAG1 have been produced.  These include</w:t>
      </w:r>
      <w:r w:rsidRPr="0049344B">
        <w:rPr>
          <w:spacing w:val="-4"/>
          <w:w w:val="105"/>
          <w:lang w:val="en-GB"/>
        </w:rPr>
        <w:t xml:space="preserve"> variety promotional materials and Guidelines for Informal Seed Production of Maize in Timor-Leste.  These should be available as downloads from the SOL3 website.  SOL3 activities have had good community exposure in </w:t>
      </w:r>
      <w:r w:rsidR="005925C0">
        <w:rPr>
          <w:spacing w:val="-4"/>
          <w:w w:val="105"/>
          <w:lang w:val="en-GB"/>
        </w:rPr>
        <w:t>five</w:t>
      </w:r>
      <w:r w:rsidRPr="0049344B">
        <w:rPr>
          <w:spacing w:val="-4"/>
          <w:w w:val="105"/>
          <w:lang w:val="en-GB"/>
        </w:rPr>
        <w:t xml:space="preserve"> districts through programming on the Maliana Community Radio.</w:t>
      </w:r>
    </w:p>
    <w:p w:rsidR="0049344B" w:rsidRDefault="0049344B" w:rsidP="00A125B1">
      <w:pPr>
        <w:ind w:right="1"/>
        <w:rPr>
          <w:spacing w:val="-4"/>
          <w:w w:val="105"/>
          <w:sz w:val="16"/>
          <w:szCs w:val="16"/>
          <w:lang w:val="en-GB"/>
        </w:rPr>
      </w:pPr>
    </w:p>
    <w:p w:rsidR="005E23B1" w:rsidRDefault="00FC34D1" w:rsidP="00FC34D1">
      <w:pPr>
        <w:ind w:right="1"/>
        <w:rPr>
          <w:spacing w:val="-4"/>
          <w:w w:val="105"/>
          <w:lang w:val="en-GB"/>
        </w:rPr>
      </w:pPr>
      <w:r>
        <w:rPr>
          <w:spacing w:val="-4"/>
          <w:w w:val="105"/>
          <w:lang w:val="en-GB"/>
        </w:rPr>
        <w:t>The TAG compliments staff of Component 2 for their detailed planning on transition of this activity to MAF starting in 2014, though continued emphases will be needed on adequacy of recurrent budgets and quality assurance throughout this process.  The performance of Component 2 during 2011/12 highlights a number of issues that could be explored with activities in the 2012 annual plan: (1) more seed is produced than is required by ISPGs and NGO Groups, and the surplus is distributed free of charge by MAF, resulting in distortion of the emerging market for quality seed; (2) the exercise of fully costing the production of breeder, foundation and certified seed has not been undertaken to determine how each of these should be priced in a market economy. This will be important preparation for the emergence of a private seed sector and for full cost recovery for MAF, steps that are essential to sustaining a supply of high quality certified seed; and (3) as previously noted opportunities may exist to conduct OFDTs and superimposed crop management trials with contracted seed producers as well as the better ISPGs to identify more efficient multiplication methods to reach the SOL3 seed targets in the most sustainable and efficient way.</w:t>
      </w:r>
      <w:r w:rsidR="005E23B1">
        <w:rPr>
          <w:spacing w:val="-4"/>
          <w:w w:val="105"/>
          <w:lang w:val="en-GB"/>
        </w:rPr>
        <w:t xml:space="preserve">  The most efficient way forward appears to be </w:t>
      </w:r>
      <w:r w:rsidR="005E23B1" w:rsidRPr="005E23B1">
        <w:rPr>
          <w:spacing w:val="-4"/>
          <w:w w:val="105"/>
          <w:lang w:val="en-GB"/>
        </w:rPr>
        <w:t>produc</w:t>
      </w:r>
      <w:r w:rsidR="005E23B1">
        <w:rPr>
          <w:spacing w:val="-4"/>
          <w:w w:val="105"/>
          <w:lang w:val="en-GB"/>
        </w:rPr>
        <w:t>tion of minimum quantities of</w:t>
      </w:r>
      <w:r w:rsidR="005E23B1" w:rsidRPr="005E23B1">
        <w:rPr>
          <w:spacing w:val="-4"/>
          <w:w w:val="105"/>
          <w:lang w:val="en-GB"/>
        </w:rPr>
        <w:t xml:space="preserve"> high quality breeder and foundation seed </w:t>
      </w:r>
      <w:r w:rsidR="005E23B1">
        <w:rPr>
          <w:spacing w:val="-4"/>
          <w:w w:val="105"/>
          <w:lang w:val="en-GB"/>
        </w:rPr>
        <w:t xml:space="preserve">needed </w:t>
      </w:r>
      <w:r w:rsidR="005E23B1" w:rsidRPr="005E23B1">
        <w:rPr>
          <w:spacing w:val="-4"/>
          <w:w w:val="105"/>
          <w:lang w:val="en-GB"/>
        </w:rPr>
        <w:t xml:space="preserve">for the ISPGs (this would only be 10-15 tons/year per crop species).  </w:t>
      </w:r>
      <w:r w:rsidR="005E23B1">
        <w:rPr>
          <w:spacing w:val="-4"/>
          <w:w w:val="105"/>
          <w:lang w:val="en-GB"/>
        </w:rPr>
        <w:t xml:space="preserve">Any surplus should be distributed by civil society groups (including the private sector – emergent as it is right now) with MAF recovering costs of production only. Experience in other countries is that the public good is in breeding, quality assurance and initiating the </w:t>
      </w:r>
      <w:r w:rsidR="005E23B1" w:rsidRPr="005E23B1">
        <w:rPr>
          <w:spacing w:val="-4"/>
          <w:w w:val="105"/>
          <w:lang w:val="en-GB"/>
        </w:rPr>
        <w:t>s</w:t>
      </w:r>
      <w:r w:rsidR="005E23B1">
        <w:rPr>
          <w:spacing w:val="-4"/>
          <w:w w:val="105"/>
          <w:lang w:val="en-GB"/>
        </w:rPr>
        <w:t>eed system while the private good of seed distribution and scale-up is best fostered by civil society groups including the private sector as it emerges</w:t>
      </w:r>
      <w:r w:rsidR="005E23B1" w:rsidRPr="005E23B1">
        <w:rPr>
          <w:spacing w:val="-4"/>
          <w:w w:val="105"/>
          <w:lang w:val="en-GB"/>
        </w:rPr>
        <w:t>.</w:t>
      </w:r>
    </w:p>
    <w:p w:rsidR="008B1579" w:rsidRPr="00BC5BE4" w:rsidRDefault="008B1579" w:rsidP="00A125B1">
      <w:pPr>
        <w:ind w:right="1"/>
        <w:rPr>
          <w:spacing w:val="-4"/>
          <w:w w:val="105"/>
          <w:sz w:val="16"/>
          <w:szCs w:val="16"/>
          <w:lang w:val="en-GB"/>
        </w:rPr>
      </w:pPr>
    </w:p>
    <w:p w:rsidR="004364B0" w:rsidRDefault="008B1579" w:rsidP="00A125B1">
      <w:pPr>
        <w:ind w:right="1"/>
        <w:rPr>
          <w:spacing w:val="-4"/>
          <w:w w:val="105"/>
          <w:lang w:val="en-GB"/>
        </w:rPr>
      </w:pPr>
      <w:r>
        <w:rPr>
          <w:spacing w:val="-4"/>
          <w:w w:val="105"/>
          <w:lang w:val="en-GB"/>
        </w:rPr>
        <w:t xml:space="preserve">The Project should also consider producing a carefully outlined plan of seed increase </w:t>
      </w:r>
      <w:r w:rsidR="00FC34D1">
        <w:rPr>
          <w:spacing w:val="-4"/>
          <w:w w:val="105"/>
          <w:lang w:val="en-GB"/>
        </w:rPr>
        <w:t>compared against</w:t>
      </w:r>
      <w:r>
        <w:rPr>
          <w:spacing w:val="-4"/>
          <w:w w:val="105"/>
          <w:lang w:val="en-GB"/>
        </w:rPr>
        <w:t xml:space="preserve"> time, sometimes termed a seed “roadmap”.  This would include planted areas and quantities of breeder, foundation, certified and QDS informal sector seed, laid out by cropping season, for each released variety.</w:t>
      </w:r>
    </w:p>
    <w:p w:rsidR="007B25EC" w:rsidRPr="00B1311D" w:rsidRDefault="007B25EC" w:rsidP="00A125B1">
      <w:pPr>
        <w:ind w:right="1"/>
        <w:rPr>
          <w:spacing w:val="-4"/>
          <w:w w:val="105"/>
          <w:sz w:val="16"/>
          <w:szCs w:val="16"/>
          <w:lang w:val="en-GB"/>
        </w:rPr>
      </w:pPr>
    </w:p>
    <w:p w:rsidR="002A5059" w:rsidRPr="003D1B5E" w:rsidRDefault="00B1311D" w:rsidP="00A125B1">
      <w:pPr>
        <w:ind w:right="1"/>
        <w:rPr>
          <w:spacing w:val="-4"/>
          <w:w w:val="105"/>
          <w:lang w:val="en-GB"/>
        </w:rPr>
      </w:pPr>
      <w:r w:rsidRPr="00B1311D">
        <w:rPr>
          <w:spacing w:val="-4"/>
          <w:w w:val="105"/>
          <w:lang w:val="en-GB"/>
        </w:rPr>
        <w:t xml:space="preserve">Accordingly, </w:t>
      </w:r>
      <w:r w:rsidR="007B25EC" w:rsidRPr="00B1311D">
        <w:rPr>
          <w:spacing w:val="-4"/>
          <w:w w:val="105"/>
          <w:lang w:val="en-GB"/>
        </w:rPr>
        <w:t xml:space="preserve">the TAG </w:t>
      </w:r>
      <w:r w:rsidR="00F44710" w:rsidRPr="00341940">
        <w:rPr>
          <w:b/>
          <w:spacing w:val="-4"/>
          <w:w w:val="105"/>
          <w:lang w:val="en-GB"/>
        </w:rPr>
        <w:t>recommends</w:t>
      </w:r>
      <w:r w:rsidR="007B25EC" w:rsidRPr="00B1311D">
        <w:rPr>
          <w:spacing w:val="-4"/>
          <w:w w:val="105"/>
          <w:lang w:val="en-GB"/>
        </w:rPr>
        <w:t xml:space="preserve"> that the </w:t>
      </w:r>
      <w:r w:rsidR="008B1579">
        <w:rPr>
          <w:spacing w:val="-4"/>
          <w:w w:val="105"/>
          <w:lang w:val="en-GB"/>
        </w:rPr>
        <w:t xml:space="preserve">scale and </w:t>
      </w:r>
      <w:r w:rsidR="007B25EC" w:rsidRPr="00B1311D">
        <w:rPr>
          <w:spacing w:val="-4"/>
          <w:w w:val="105"/>
          <w:lang w:val="en-GB"/>
        </w:rPr>
        <w:t>full cost</w:t>
      </w:r>
      <w:r w:rsidR="00AF3E4B">
        <w:rPr>
          <w:spacing w:val="-4"/>
          <w:w w:val="105"/>
          <w:lang w:val="en-GB"/>
        </w:rPr>
        <w:t>s</w:t>
      </w:r>
      <w:r w:rsidR="007B25EC" w:rsidRPr="00B1311D">
        <w:rPr>
          <w:spacing w:val="-4"/>
          <w:w w:val="105"/>
          <w:lang w:val="en-GB"/>
        </w:rPr>
        <w:t xml:space="preserve"> of producing </w:t>
      </w:r>
      <w:r w:rsidR="00AF3E4B">
        <w:rPr>
          <w:spacing w:val="-4"/>
          <w:w w:val="105"/>
          <w:lang w:val="en-GB"/>
        </w:rPr>
        <w:t xml:space="preserve">breeder, </w:t>
      </w:r>
      <w:r w:rsidR="007B25EC" w:rsidRPr="00B1311D">
        <w:rPr>
          <w:spacing w:val="-4"/>
          <w:w w:val="105"/>
          <w:lang w:val="en-GB"/>
        </w:rPr>
        <w:t xml:space="preserve">foundation and certified seed </w:t>
      </w:r>
      <w:r w:rsidR="00AF3E4B">
        <w:rPr>
          <w:spacing w:val="-4"/>
          <w:w w:val="105"/>
          <w:lang w:val="en-GB"/>
        </w:rPr>
        <w:t>are</w:t>
      </w:r>
      <w:r w:rsidR="007B25EC" w:rsidRPr="00B1311D">
        <w:rPr>
          <w:spacing w:val="-4"/>
          <w:w w:val="105"/>
          <w:lang w:val="en-GB"/>
        </w:rPr>
        <w:t xml:space="preserve"> calculated and used to determine the most efficient options for cost recovery and for </w:t>
      </w:r>
      <w:r w:rsidR="00FC34D1">
        <w:rPr>
          <w:spacing w:val="-4"/>
          <w:w w:val="105"/>
          <w:lang w:val="en-GB"/>
        </w:rPr>
        <w:t xml:space="preserve">sustainably </w:t>
      </w:r>
      <w:r w:rsidR="007B25EC" w:rsidRPr="00B1311D">
        <w:rPr>
          <w:spacing w:val="-4"/>
          <w:w w:val="105"/>
          <w:lang w:val="en-GB"/>
        </w:rPr>
        <w:t>producing the</w:t>
      </w:r>
      <w:r w:rsidR="00AF3E4B">
        <w:rPr>
          <w:spacing w:val="-4"/>
          <w:w w:val="105"/>
          <w:lang w:val="en-GB"/>
        </w:rPr>
        <w:t xml:space="preserve"> </w:t>
      </w:r>
      <w:r w:rsidR="007B25EC" w:rsidRPr="00B1311D">
        <w:rPr>
          <w:spacing w:val="-4"/>
          <w:w w:val="105"/>
          <w:lang w:val="en-GB"/>
        </w:rPr>
        <w:t>amount of formal seed required to meet the needs of planned ISPG activities in SOL3 and with NGOs.</w:t>
      </w:r>
    </w:p>
    <w:p w:rsidR="003424EC" w:rsidRPr="006B4860" w:rsidRDefault="003424EC" w:rsidP="00A125B1">
      <w:pPr>
        <w:ind w:right="1"/>
        <w:rPr>
          <w:sz w:val="16"/>
          <w:szCs w:val="16"/>
          <w:lang w:val="en-GB"/>
        </w:rPr>
      </w:pPr>
    </w:p>
    <w:p w:rsidR="00BC5BE4" w:rsidRDefault="00BC5BE4" w:rsidP="00341940">
      <w:pPr>
        <w:pStyle w:val="Heading2"/>
        <w:rPr>
          <w:lang w:val="en-GB"/>
        </w:rPr>
      </w:pPr>
      <w:bookmarkStart w:id="24" w:name="_Toc326845354"/>
      <w:r>
        <w:rPr>
          <w:lang w:val="en-GB"/>
        </w:rPr>
        <w:t>Other opportunities</w:t>
      </w:r>
      <w:bookmarkEnd w:id="24"/>
    </w:p>
    <w:p w:rsidR="00D97B61" w:rsidRDefault="00AD04D4" w:rsidP="00BC5BE4">
      <w:pPr>
        <w:pStyle w:val="Heading3"/>
        <w:rPr>
          <w:lang w:val="en-GB"/>
        </w:rPr>
      </w:pPr>
      <w:r>
        <w:rPr>
          <w:lang w:val="en-GB"/>
        </w:rPr>
        <w:t>Problem-</w:t>
      </w:r>
      <w:r w:rsidR="009B3F1D" w:rsidRPr="009B3F1D">
        <w:rPr>
          <w:lang w:val="en-GB"/>
        </w:rPr>
        <w:t>s</w:t>
      </w:r>
      <w:r w:rsidR="00341940">
        <w:rPr>
          <w:lang w:val="en-GB"/>
        </w:rPr>
        <w:t>olving interdisciplinary teams</w:t>
      </w:r>
    </w:p>
    <w:p w:rsidR="00E60209" w:rsidRDefault="00E60209" w:rsidP="003424EC">
      <w:pPr>
        <w:rPr>
          <w:lang w:val="en-GB"/>
        </w:rPr>
      </w:pPr>
      <w:r>
        <w:rPr>
          <w:lang w:val="en-GB"/>
        </w:rPr>
        <w:t>The TAG has noted that while many people accompany them on field visits, it is rare for all major disciplines among project staff to be present in a farmer</w:t>
      </w:r>
      <w:r w:rsidR="00FC34D1">
        <w:rPr>
          <w:lang w:val="en-GB"/>
        </w:rPr>
        <w:t>’</w:t>
      </w:r>
      <w:r>
        <w:rPr>
          <w:lang w:val="en-GB"/>
        </w:rPr>
        <w:t xml:space="preserve">s field at the same time.  </w:t>
      </w:r>
      <w:r w:rsidR="00F44710" w:rsidRPr="00341940">
        <w:rPr>
          <w:lang w:val="en-GB"/>
        </w:rPr>
        <w:t>The structure of the SOL3 Project lends itself to administrative “silos” and there is limited incentive</w:t>
      </w:r>
      <w:r w:rsidR="00AD04D4">
        <w:rPr>
          <w:lang w:val="en-GB"/>
        </w:rPr>
        <w:t xml:space="preserve"> for team work across disciplines and activities.  A number of projects have found it helpful to have </w:t>
      </w:r>
      <w:r>
        <w:rPr>
          <w:lang w:val="en-GB"/>
        </w:rPr>
        <w:t xml:space="preserve">interdisciplinary </w:t>
      </w:r>
      <w:r w:rsidR="00AD04D4">
        <w:rPr>
          <w:lang w:val="en-GB"/>
        </w:rPr>
        <w:t>teams that focus on the resolution of problems at the farm level.  In SOL3 these teams could be composed of a</w:t>
      </w:r>
      <w:r>
        <w:rPr>
          <w:lang w:val="en-GB"/>
        </w:rPr>
        <w:t xml:space="preserve"> subset of a</w:t>
      </w:r>
      <w:r w:rsidR="00AD04D4">
        <w:rPr>
          <w:lang w:val="en-GB"/>
        </w:rPr>
        <w:t xml:space="preserve"> </w:t>
      </w:r>
      <w:r>
        <w:rPr>
          <w:lang w:val="en-GB"/>
        </w:rPr>
        <w:t xml:space="preserve">Component 1 </w:t>
      </w:r>
      <w:r w:rsidR="00AD04D4">
        <w:rPr>
          <w:lang w:val="en-GB"/>
        </w:rPr>
        <w:t xml:space="preserve">researcher, a </w:t>
      </w:r>
      <w:r w:rsidR="00AD04D4">
        <w:rPr>
          <w:lang w:val="en-GB"/>
        </w:rPr>
        <w:lastRenderedPageBreak/>
        <w:t>formal seed manager,</w:t>
      </w:r>
      <w:r>
        <w:rPr>
          <w:lang w:val="en-GB"/>
        </w:rPr>
        <w:t xml:space="preserve"> an informal seed manager,</w:t>
      </w:r>
      <w:r w:rsidR="00AD04D4">
        <w:rPr>
          <w:lang w:val="en-GB"/>
        </w:rPr>
        <w:t xml:space="preserve"> a regional agronomist, an extension officer and a socio</w:t>
      </w:r>
      <w:r w:rsidR="00A125B1">
        <w:rPr>
          <w:lang w:val="en-GB"/>
        </w:rPr>
        <w:t>-</w:t>
      </w:r>
      <w:r w:rsidR="00AD04D4">
        <w:rPr>
          <w:lang w:val="en-GB"/>
        </w:rPr>
        <w:t>economist.  The team focuses on a particular problem, such as understanding why yields of SOL3 crops are low or unstable</w:t>
      </w:r>
      <w:r>
        <w:rPr>
          <w:lang w:val="en-GB"/>
        </w:rPr>
        <w:t xml:space="preserve"> in a specific area, </w:t>
      </w:r>
      <w:r w:rsidR="00AD04D4">
        <w:rPr>
          <w:lang w:val="en-GB"/>
        </w:rPr>
        <w:t>why some SOL3 target species are not grown in a particular region</w:t>
      </w:r>
      <w:r w:rsidR="00C91B7C">
        <w:rPr>
          <w:lang w:val="en-GB"/>
        </w:rPr>
        <w:t xml:space="preserve"> or why specific combinat</w:t>
      </w:r>
      <w:r>
        <w:rPr>
          <w:lang w:val="en-GB"/>
        </w:rPr>
        <w:t>ions of crops are appealing</w:t>
      </w:r>
      <w:r w:rsidR="00AD04D4">
        <w:rPr>
          <w:lang w:val="en-GB"/>
        </w:rPr>
        <w:t>.  Fact finding is conducted through informal survey methods with 10-15 farmers interviewed individually or in groups of 2-3</w:t>
      </w:r>
      <w:r>
        <w:rPr>
          <w:lang w:val="en-GB"/>
        </w:rPr>
        <w:t xml:space="preserve"> in their fields</w:t>
      </w:r>
      <w:r w:rsidR="00AD04D4">
        <w:rPr>
          <w:lang w:val="en-GB"/>
        </w:rPr>
        <w:t>, wit</w:t>
      </w:r>
      <w:r>
        <w:rPr>
          <w:lang w:val="en-GB"/>
        </w:rPr>
        <w:t>h their spouses if possible</w:t>
      </w:r>
      <w:r w:rsidR="00AD04D4">
        <w:rPr>
          <w:lang w:val="en-GB"/>
        </w:rPr>
        <w:t>.  The survey begins with some key questions, and at the end of the day the answers to the questions are reviewed by the team, and revised and rephrased according to findings</w:t>
      </w:r>
      <w:r>
        <w:rPr>
          <w:lang w:val="en-GB"/>
        </w:rPr>
        <w:t>.</w:t>
      </w:r>
      <w:r w:rsidR="00F44710" w:rsidRPr="00341940">
        <w:rPr>
          <w:lang w:val="en-GB"/>
        </w:rPr>
        <w:t xml:space="preserve"> </w:t>
      </w:r>
      <w:r>
        <w:rPr>
          <w:lang w:val="en-GB"/>
        </w:rPr>
        <w:t xml:space="preserve"> The following day</w:t>
      </w:r>
      <w:r w:rsidR="00AD04D4">
        <w:rPr>
          <w:lang w:val="en-GB"/>
        </w:rPr>
        <w:t xml:space="preserve"> the </w:t>
      </w:r>
      <w:r>
        <w:rPr>
          <w:lang w:val="en-GB"/>
        </w:rPr>
        <w:t xml:space="preserve">revised </w:t>
      </w:r>
      <w:r w:rsidR="00AD04D4">
        <w:rPr>
          <w:lang w:val="en-GB"/>
        </w:rPr>
        <w:t xml:space="preserve">questions are asked of a new group of farmers, and this pattern </w:t>
      </w:r>
      <w:r>
        <w:rPr>
          <w:lang w:val="en-GB"/>
        </w:rPr>
        <w:t>continues</w:t>
      </w:r>
      <w:r w:rsidR="00AD04D4">
        <w:rPr>
          <w:lang w:val="en-GB"/>
        </w:rPr>
        <w:t xml:space="preserve"> </w:t>
      </w:r>
      <w:r>
        <w:rPr>
          <w:lang w:val="en-GB"/>
        </w:rPr>
        <w:t>until the team feels it</w:t>
      </w:r>
      <w:r w:rsidR="00AD04D4">
        <w:rPr>
          <w:lang w:val="en-GB"/>
        </w:rPr>
        <w:t xml:space="preserve"> understand</w:t>
      </w:r>
      <w:r>
        <w:rPr>
          <w:lang w:val="en-GB"/>
        </w:rPr>
        <w:t>s</w:t>
      </w:r>
      <w:r w:rsidR="00AD04D4">
        <w:rPr>
          <w:lang w:val="en-GB"/>
        </w:rPr>
        <w:t xml:space="preserve"> the problem and can design an on-farm trial or intervention to address it.</w:t>
      </w:r>
      <w:r>
        <w:rPr>
          <w:lang w:val="en-GB"/>
        </w:rPr>
        <w:t xml:space="preserve">  This approach </w:t>
      </w:r>
      <w:r w:rsidR="006D1961">
        <w:rPr>
          <w:lang w:val="en-GB"/>
        </w:rPr>
        <w:t>is</w:t>
      </w:r>
      <w:r w:rsidR="00FC34D1">
        <w:rPr>
          <w:lang w:val="en-GB"/>
        </w:rPr>
        <w:t xml:space="preserve"> </w:t>
      </w:r>
      <w:r w:rsidR="006D1961">
        <w:rPr>
          <w:lang w:val="en-GB"/>
        </w:rPr>
        <w:t>– interdisciplinar</w:t>
      </w:r>
      <w:r>
        <w:rPr>
          <w:lang w:val="en-GB"/>
        </w:rPr>
        <w:t>y, iterative, interactive, innovative</w:t>
      </w:r>
      <w:r w:rsidR="00FC34D1">
        <w:rPr>
          <w:lang w:val="en-GB"/>
        </w:rPr>
        <w:t xml:space="preserve">, </w:t>
      </w:r>
      <w:proofErr w:type="gramStart"/>
      <w:r w:rsidR="00FC34D1">
        <w:rPr>
          <w:lang w:val="en-GB"/>
        </w:rPr>
        <w:t>informative</w:t>
      </w:r>
      <w:proofErr w:type="gramEnd"/>
      <w:r w:rsidR="00FC34D1">
        <w:rPr>
          <w:lang w:val="en-GB"/>
        </w:rPr>
        <w:t>.</w:t>
      </w:r>
      <w:r>
        <w:rPr>
          <w:lang w:val="en-GB"/>
        </w:rPr>
        <w:t xml:space="preserve">  The TAG suggest that this approach be trialled in the 2012/13 crop season in one key district, noting that each team would require only three days of field work to generate an investigative approach that is very closely aligned with farmer circumstances.</w:t>
      </w:r>
    </w:p>
    <w:p w:rsidR="009B3F1D" w:rsidRPr="00BC5BE4" w:rsidRDefault="009B3F1D" w:rsidP="003424EC">
      <w:pPr>
        <w:rPr>
          <w:sz w:val="16"/>
          <w:szCs w:val="16"/>
          <w:lang w:val="en-GB"/>
        </w:rPr>
      </w:pPr>
    </w:p>
    <w:p w:rsidR="00D97B61" w:rsidRDefault="008B1579" w:rsidP="00BC5BE4">
      <w:pPr>
        <w:pStyle w:val="Heading3"/>
        <w:rPr>
          <w:lang w:val="en-GB"/>
        </w:rPr>
      </w:pPr>
      <w:r>
        <w:rPr>
          <w:lang w:val="en-GB"/>
        </w:rPr>
        <w:t>Capacity building</w:t>
      </w:r>
    </w:p>
    <w:p w:rsidR="007104C6" w:rsidRDefault="00FF2E0B" w:rsidP="003424EC">
      <w:pPr>
        <w:rPr>
          <w:lang w:val="en-GB"/>
        </w:rPr>
      </w:pPr>
      <w:r>
        <w:rPr>
          <w:lang w:val="en-GB"/>
        </w:rPr>
        <w:t>C</w:t>
      </w:r>
      <w:r w:rsidR="008B1579">
        <w:rPr>
          <w:lang w:val="en-GB"/>
        </w:rPr>
        <w:t>apacity building has increased sharply</w:t>
      </w:r>
      <w:r w:rsidR="0021169F">
        <w:rPr>
          <w:lang w:val="en-GB"/>
        </w:rPr>
        <w:t xml:space="preserve"> to 4,085 person days in 2011</w:t>
      </w:r>
      <w:r w:rsidR="008B1579">
        <w:rPr>
          <w:lang w:val="en-GB"/>
        </w:rPr>
        <w:t xml:space="preserve"> as ISPG group members have been exposed to a </w:t>
      </w:r>
      <w:r>
        <w:rPr>
          <w:lang w:val="en-GB"/>
        </w:rPr>
        <w:t xml:space="preserve">one-day </w:t>
      </w:r>
      <w:r w:rsidR="008B1579">
        <w:rPr>
          <w:lang w:val="en-GB"/>
        </w:rPr>
        <w:t>training course in informal seed production.</w:t>
      </w:r>
      <w:r w:rsidR="0021169F">
        <w:rPr>
          <w:lang w:val="en-GB"/>
        </w:rPr>
        <w:t xml:space="preserve">  The number of women trained has also increased from 19% in 2007 to 34% in 2011,</w:t>
      </w:r>
      <w:r w:rsidR="00BC5BE4">
        <w:rPr>
          <w:lang w:val="en-GB"/>
        </w:rPr>
        <w:t xml:space="preserve"> foll</w:t>
      </w:r>
      <w:r w:rsidR="004E751E">
        <w:rPr>
          <w:lang w:val="en-GB"/>
        </w:rPr>
        <w:t>owing</w:t>
      </w:r>
      <w:r w:rsidR="008B1579">
        <w:rPr>
          <w:lang w:val="en-GB"/>
        </w:rPr>
        <w:t xml:space="preserve"> a substantial effort in teaching basic skills in language, research and extension that has resulted in a documented improvement in staff capability.  This is an important accomplishment, given the challenges of </w:t>
      </w:r>
      <w:r w:rsidR="0021169F">
        <w:rPr>
          <w:lang w:val="en-GB"/>
        </w:rPr>
        <w:t xml:space="preserve">Timor-Leste’s recent history.  However, as SOL3 approaches the period of transition of function to MAF, it will be increasingly important that current and emerging leadership in MAF be trained in </w:t>
      </w:r>
      <w:r w:rsidR="00F44710" w:rsidRPr="00341940">
        <w:rPr>
          <w:u w:val="single"/>
          <w:lang w:val="en-GB"/>
        </w:rPr>
        <w:t>management</w:t>
      </w:r>
      <w:r w:rsidR="0021169F">
        <w:rPr>
          <w:lang w:val="en-GB"/>
        </w:rPr>
        <w:t xml:space="preserve"> skills as well.  The possible leadership changes in MAF following the June 2012 general election and the prospect of a change in most senior MAF Directors in mid-2013</w:t>
      </w:r>
      <w:r w:rsidR="006D1961">
        <w:rPr>
          <w:lang w:val="en-GB"/>
        </w:rPr>
        <w:t xml:space="preserve"> further emphasis</w:t>
      </w:r>
      <w:r w:rsidR="0021169F">
        <w:rPr>
          <w:lang w:val="en-GB"/>
        </w:rPr>
        <w:t>es the need to identify and equip managers.</w:t>
      </w:r>
      <w:r w:rsidR="008B1579">
        <w:rPr>
          <w:lang w:val="en-GB"/>
        </w:rPr>
        <w:t xml:space="preserve"> </w:t>
      </w:r>
      <w:r w:rsidR="0021169F">
        <w:rPr>
          <w:lang w:val="en-GB"/>
        </w:rPr>
        <w:t xml:space="preserve"> We suggest that in 2012/13 MAF leadership and prospective leaders</w:t>
      </w:r>
      <w:r w:rsidR="007104C6">
        <w:rPr>
          <w:lang w:val="en-GB"/>
        </w:rPr>
        <w:t>, especially at the district level,</w:t>
      </w:r>
      <w:r w:rsidR="0021169F">
        <w:rPr>
          <w:lang w:val="en-GB"/>
        </w:rPr>
        <w:t xml:space="preserve"> be offered a relatively high level management course</w:t>
      </w:r>
      <w:r>
        <w:rPr>
          <w:lang w:val="en-GB"/>
        </w:rPr>
        <w:t xml:space="preserve"> as part of the transition strategy.</w:t>
      </w:r>
    </w:p>
    <w:p w:rsidR="007104C6" w:rsidRPr="00BC5BE4" w:rsidRDefault="007104C6" w:rsidP="003424EC">
      <w:pPr>
        <w:rPr>
          <w:sz w:val="16"/>
          <w:szCs w:val="16"/>
          <w:lang w:val="en-GB"/>
        </w:rPr>
      </w:pPr>
    </w:p>
    <w:p w:rsidR="00D97B61" w:rsidRDefault="007104C6" w:rsidP="00BC5BE4">
      <w:pPr>
        <w:pStyle w:val="Heading3"/>
        <w:rPr>
          <w:lang w:val="en-GB"/>
        </w:rPr>
      </w:pPr>
      <w:r>
        <w:rPr>
          <w:lang w:val="en-GB"/>
        </w:rPr>
        <w:t>External communications</w:t>
      </w:r>
    </w:p>
    <w:p w:rsidR="00D97B61" w:rsidRDefault="007104C6" w:rsidP="00341940">
      <w:pPr>
        <w:rPr>
          <w:lang w:val="en-GB"/>
        </w:rPr>
      </w:pPr>
      <w:r w:rsidRPr="00E74D38">
        <w:rPr>
          <w:lang w:val="en-GB"/>
        </w:rPr>
        <w:t>TAG1 noted that</w:t>
      </w:r>
      <w:r w:rsidR="000A56DA" w:rsidRPr="00E74D38">
        <w:rPr>
          <w:lang w:val="en-GB"/>
        </w:rPr>
        <w:t xml:space="preserve"> </w:t>
      </w:r>
      <w:r w:rsidRPr="00E74D38">
        <w:rPr>
          <w:lang w:val="en-GB"/>
        </w:rPr>
        <w:t>improve</w:t>
      </w:r>
      <w:r w:rsidR="000A56DA" w:rsidRPr="00E74D38">
        <w:rPr>
          <w:lang w:val="en-GB"/>
        </w:rPr>
        <w:t>ments in</w:t>
      </w:r>
      <w:r w:rsidR="00FF2E0B">
        <w:rPr>
          <w:lang w:val="en-GB"/>
        </w:rPr>
        <w:t xml:space="preserve"> the p</w:t>
      </w:r>
      <w:r w:rsidRPr="00E74D38">
        <w:rPr>
          <w:lang w:val="en-GB"/>
        </w:rPr>
        <w:t>roject website (</w:t>
      </w:r>
      <w:hyperlink r:id="rId28" w:history="1">
        <w:r w:rsidR="000A56DA" w:rsidRPr="00E74D38">
          <w:rPr>
            <w:rStyle w:val="Hyperlink"/>
            <w:lang w:val="en-GB"/>
          </w:rPr>
          <w:t>http://seedsoflifetimor.org/</w:t>
        </w:r>
      </w:hyperlink>
      <w:r w:rsidR="00BC5BE4">
        <w:rPr>
          <w:lang w:val="en-GB"/>
        </w:rPr>
        <w:t>)</w:t>
      </w:r>
      <w:r w:rsidR="00FF2E0B">
        <w:rPr>
          <w:lang w:val="en-GB"/>
        </w:rPr>
        <w:t xml:space="preserve"> were needed</w:t>
      </w:r>
      <w:r w:rsidRPr="00E74D38">
        <w:rPr>
          <w:lang w:val="en-GB"/>
        </w:rPr>
        <w:t>.  Some improvement</w:t>
      </w:r>
      <w:r w:rsidR="00F44710" w:rsidRPr="00341940">
        <w:rPr>
          <w:lang w:val="en-GB"/>
        </w:rPr>
        <w:t xml:space="preserve">s in appearance and in short case studies and life stories have been made in the last 6 months but there is considerable room for increasing its impact. </w:t>
      </w:r>
      <w:r w:rsidR="00E74D38">
        <w:rPr>
          <w:lang w:val="en-GB"/>
        </w:rPr>
        <w:t>S</w:t>
      </w:r>
      <w:r w:rsidR="00E74D38" w:rsidRPr="00E74D38">
        <w:rPr>
          <w:lang w:val="en-GB"/>
        </w:rPr>
        <w:t>mart phones with internet access</w:t>
      </w:r>
      <w:r w:rsidR="00E74D38">
        <w:rPr>
          <w:lang w:val="en-GB"/>
        </w:rPr>
        <w:t xml:space="preserve"> and a much more competitive telecommunications environment are coming to</w:t>
      </w:r>
      <w:r w:rsidR="00E74D38" w:rsidRPr="00E74D38">
        <w:rPr>
          <w:lang w:val="en-GB"/>
        </w:rPr>
        <w:t xml:space="preserve"> </w:t>
      </w:r>
      <w:r w:rsidR="00E74D38">
        <w:rPr>
          <w:lang w:val="en-GB"/>
        </w:rPr>
        <w:t xml:space="preserve">Timor-Leste, meaning that the internet </w:t>
      </w:r>
      <w:r w:rsidR="00E74D38" w:rsidRPr="00E74D38">
        <w:rPr>
          <w:lang w:val="en-GB"/>
        </w:rPr>
        <w:t>will</w:t>
      </w:r>
      <w:r w:rsidR="00E74D38">
        <w:rPr>
          <w:lang w:val="en-GB"/>
        </w:rPr>
        <w:t xml:space="preserve"> become increasingly </w:t>
      </w:r>
      <w:r w:rsidR="00E74D38" w:rsidRPr="00E74D38">
        <w:rPr>
          <w:lang w:val="en-GB"/>
        </w:rPr>
        <w:t>availab</w:t>
      </w:r>
      <w:r w:rsidR="00E74D38">
        <w:rPr>
          <w:lang w:val="en-GB"/>
        </w:rPr>
        <w:t xml:space="preserve">le to farming communities.  </w:t>
      </w:r>
      <w:r w:rsidR="000A56DA">
        <w:rPr>
          <w:lang w:val="en-GB"/>
        </w:rPr>
        <w:t>Some suggestions are:</w:t>
      </w:r>
    </w:p>
    <w:p w:rsidR="00D97B61" w:rsidRDefault="000A56DA" w:rsidP="006B4860">
      <w:pPr>
        <w:pStyle w:val="ListParagraph"/>
        <w:numPr>
          <w:ilvl w:val="0"/>
          <w:numId w:val="55"/>
        </w:numPr>
        <w:ind w:left="284" w:hanging="284"/>
        <w:jc w:val="both"/>
        <w:rPr>
          <w:lang w:val="en-GB"/>
        </w:rPr>
      </w:pPr>
      <w:r w:rsidRPr="00BC5BE4">
        <w:rPr>
          <w:b/>
          <w:lang w:val="en-GB"/>
        </w:rPr>
        <w:t>Publications for downloading</w:t>
      </w:r>
      <w:r w:rsidR="00BC5BE4">
        <w:rPr>
          <w:lang w:val="en-GB"/>
        </w:rPr>
        <w:t xml:space="preserve"> –</w:t>
      </w:r>
      <w:r>
        <w:rPr>
          <w:lang w:val="en-GB"/>
        </w:rPr>
        <w:t xml:space="preserve"> </w:t>
      </w:r>
      <w:r w:rsidR="00BC5BE4">
        <w:rPr>
          <w:lang w:val="en-GB"/>
        </w:rPr>
        <w:t>t</w:t>
      </w:r>
      <w:r>
        <w:rPr>
          <w:lang w:val="en-GB"/>
        </w:rPr>
        <w:t>he</w:t>
      </w:r>
      <w:r w:rsidR="00BC5BE4">
        <w:rPr>
          <w:lang w:val="en-GB"/>
        </w:rPr>
        <w:t xml:space="preserve"> </w:t>
      </w:r>
      <w:r>
        <w:rPr>
          <w:lang w:val="en-GB"/>
        </w:rPr>
        <w:t>Annual Research Reports are repositories of present and past information</w:t>
      </w:r>
      <w:r w:rsidR="0007448E">
        <w:rPr>
          <w:lang w:val="en-GB"/>
        </w:rPr>
        <w:t>, but only 2006 and later are on the website</w:t>
      </w:r>
      <w:r>
        <w:rPr>
          <w:lang w:val="en-GB"/>
        </w:rPr>
        <w:t xml:space="preserve">.  </w:t>
      </w:r>
      <w:r w:rsidR="006B4860">
        <w:rPr>
          <w:lang w:val="en-GB"/>
        </w:rPr>
        <w:t>L</w:t>
      </w:r>
      <w:r>
        <w:rPr>
          <w:lang w:val="en-GB"/>
        </w:rPr>
        <w:t>oad all previous SOL Annual Re</w:t>
      </w:r>
      <w:r w:rsidR="0007448E">
        <w:rPr>
          <w:lang w:val="en-GB"/>
        </w:rPr>
        <w:t>search Reports on the site</w:t>
      </w:r>
      <w:r>
        <w:rPr>
          <w:lang w:val="en-GB"/>
        </w:rPr>
        <w:t xml:space="preserve"> for reference purposes.  Recent publications, such as </w:t>
      </w:r>
      <w:r w:rsidR="0007448E">
        <w:rPr>
          <w:lang w:val="en-GB"/>
        </w:rPr>
        <w:t>“Guidelines for Informal Seed Production of Maize in Timor Leste”</w:t>
      </w:r>
      <w:r w:rsidR="00F44710" w:rsidRPr="00341940">
        <w:rPr>
          <w:lang w:val="en-GB"/>
        </w:rPr>
        <w:t xml:space="preserve"> </w:t>
      </w:r>
      <w:r w:rsidR="0007448E">
        <w:rPr>
          <w:lang w:val="en-GB"/>
        </w:rPr>
        <w:t xml:space="preserve">should be </w:t>
      </w:r>
      <w:r w:rsidR="006B4860">
        <w:rPr>
          <w:lang w:val="en-GB"/>
        </w:rPr>
        <w:t>posted</w:t>
      </w:r>
      <w:r w:rsidR="00FF2E0B">
        <w:rPr>
          <w:lang w:val="en-GB"/>
        </w:rPr>
        <w:t>.</w:t>
      </w:r>
    </w:p>
    <w:p w:rsidR="00D97B61" w:rsidRDefault="0007448E" w:rsidP="006B4860">
      <w:pPr>
        <w:pStyle w:val="ListParagraph"/>
        <w:numPr>
          <w:ilvl w:val="0"/>
          <w:numId w:val="55"/>
        </w:numPr>
        <w:ind w:left="284" w:hanging="284"/>
        <w:jc w:val="both"/>
        <w:rPr>
          <w:lang w:val="en-GB"/>
        </w:rPr>
      </w:pPr>
      <w:r w:rsidRPr="00BC5BE4">
        <w:rPr>
          <w:b/>
          <w:lang w:val="en-GB"/>
        </w:rPr>
        <w:t>Baseline survey data</w:t>
      </w:r>
      <w:r w:rsidR="00BC5BE4">
        <w:rPr>
          <w:lang w:val="en-GB"/>
        </w:rPr>
        <w:t xml:space="preserve"> –</w:t>
      </w:r>
      <w:r>
        <w:rPr>
          <w:lang w:val="en-GB"/>
        </w:rPr>
        <w:t xml:space="preserve"> </w:t>
      </w:r>
      <w:r w:rsidR="00BC5BE4">
        <w:rPr>
          <w:lang w:val="en-GB"/>
        </w:rPr>
        <w:t>w</w:t>
      </w:r>
      <w:r>
        <w:rPr>
          <w:lang w:val="en-GB"/>
        </w:rPr>
        <w:t>hen</w:t>
      </w:r>
      <w:r w:rsidR="00BC5BE4">
        <w:rPr>
          <w:lang w:val="en-GB"/>
        </w:rPr>
        <w:t xml:space="preserve"> </w:t>
      </w:r>
      <w:r>
        <w:rPr>
          <w:lang w:val="en-GB"/>
        </w:rPr>
        <w:t>summary reports of the baseline survey are prepared they</w:t>
      </w:r>
      <w:r w:rsidR="004E751E">
        <w:rPr>
          <w:lang w:val="en-GB"/>
        </w:rPr>
        <w:t xml:space="preserve"> should be posted to th</w:t>
      </w:r>
      <w:r w:rsidR="00FF2E0B">
        <w:rPr>
          <w:lang w:val="en-GB"/>
        </w:rPr>
        <w:t>e SOL3</w:t>
      </w:r>
      <w:r w:rsidR="004E751E">
        <w:rPr>
          <w:lang w:val="en-GB"/>
        </w:rPr>
        <w:t xml:space="preserve"> site.</w:t>
      </w:r>
    </w:p>
    <w:p w:rsidR="00D97B61" w:rsidRDefault="0007448E" w:rsidP="006B4860">
      <w:pPr>
        <w:pStyle w:val="ListParagraph"/>
        <w:numPr>
          <w:ilvl w:val="0"/>
          <w:numId w:val="55"/>
        </w:numPr>
        <w:ind w:left="284" w:hanging="284"/>
        <w:jc w:val="both"/>
        <w:rPr>
          <w:lang w:val="en-GB"/>
        </w:rPr>
      </w:pPr>
      <w:r w:rsidRPr="00E74D38">
        <w:rPr>
          <w:lang w:val="en-GB"/>
        </w:rPr>
        <w:t xml:space="preserve">Simple </w:t>
      </w:r>
      <w:r w:rsidRPr="00BC5BE4">
        <w:rPr>
          <w:b/>
          <w:lang w:val="en-GB"/>
        </w:rPr>
        <w:t>crop production recommen</w:t>
      </w:r>
      <w:r w:rsidR="00C91B7C" w:rsidRPr="00BC5BE4">
        <w:rPr>
          <w:b/>
          <w:lang w:val="en-GB"/>
        </w:rPr>
        <w:t>dations</w:t>
      </w:r>
      <w:r w:rsidR="00C91B7C">
        <w:rPr>
          <w:lang w:val="en-GB"/>
        </w:rPr>
        <w:t xml:space="preserve"> in English and </w:t>
      </w:r>
      <w:proofErr w:type="spellStart"/>
      <w:r w:rsidR="00C91B7C">
        <w:rPr>
          <w:lang w:val="en-GB"/>
        </w:rPr>
        <w:t>Tetun</w:t>
      </w:r>
      <w:proofErr w:type="spellEnd"/>
      <w:r w:rsidR="00C91B7C">
        <w:rPr>
          <w:lang w:val="en-GB"/>
        </w:rPr>
        <w:t>.</w:t>
      </w:r>
    </w:p>
    <w:p w:rsidR="00D97B61" w:rsidRDefault="0007448E" w:rsidP="006B4860">
      <w:pPr>
        <w:pStyle w:val="ListParagraph"/>
        <w:numPr>
          <w:ilvl w:val="0"/>
          <w:numId w:val="55"/>
        </w:numPr>
        <w:ind w:left="284" w:hanging="284"/>
        <w:jc w:val="both"/>
        <w:rPr>
          <w:lang w:val="en-GB"/>
        </w:rPr>
      </w:pPr>
      <w:r w:rsidRPr="00BC5BE4">
        <w:rPr>
          <w:b/>
          <w:lang w:val="en-GB"/>
        </w:rPr>
        <w:t>Information sheets</w:t>
      </w:r>
      <w:r w:rsidRPr="00E74D38">
        <w:rPr>
          <w:lang w:val="en-GB"/>
        </w:rPr>
        <w:t xml:space="preserve"> on each crop variet</w:t>
      </w:r>
      <w:r w:rsidR="00BC5BE4">
        <w:rPr>
          <w:lang w:val="en-GB"/>
        </w:rPr>
        <w:t>y</w:t>
      </w:r>
      <w:r w:rsidRPr="00E74D38">
        <w:rPr>
          <w:lang w:val="en-GB"/>
        </w:rPr>
        <w:t xml:space="preserve"> released by SOL3 in appropriate languages</w:t>
      </w:r>
      <w:r w:rsidR="00E74D38" w:rsidRPr="00E74D38">
        <w:rPr>
          <w:lang w:val="en-GB"/>
        </w:rPr>
        <w:t>.</w:t>
      </w:r>
    </w:p>
    <w:p w:rsidR="00D97B61" w:rsidRDefault="00E74D38" w:rsidP="006B4860">
      <w:pPr>
        <w:pStyle w:val="ListParagraph"/>
        <w:numPr>
          <w:ilvl w:val="0"/>
          <w:numId w:val="55"/>
        </w:numPr>
        <w:ind w:left="284" w:hanging="284"/>
        <w:jc w:val="both"/>
        <w:rPr>
          <w:lang w:val="en-GB"/>
        </w:rPr>
      </w:pPr>
      <w:r>
        <w:rPr>
          <w:lang w:val="en-GB"/>
        </w:rPr>
        <w:t xml:space="preserve">Videos describing key </w:t>
      </w:r>
      <w:r w:rsidRPr="00BC5BE4">
        <w:rPr>
          <w:b/>
          <w:lang w:val="en-GB"/>
        </w:rPr>
        <w:t>operations in informal seed production</w:t>
      </w:r>
      <w:r w:rsidR="00BC5BE4">
        <w:rPr>
          <w:lang w:val="en-GB"/>
        </w:rPr>
        <w:t xml:space="preserve"> in appropriate languages</w:t>
      </w:r>
      <w:r>
        <w:rPr>
          <w:lang w:val="en-GB"/>
        </w:rPr>
        <w:t>.</w:t>
      </w:r>
    </w:p>
    <w:p w:rsidR="00D97B61" w:rsidRDefault="00C91B7C" w:rsidP="006B4860">
      <w:pPr>
        <w:pStyle w:val="ListParagraph"/>
        <w:numPr>
          <w:ilvl w:val="0"/>
          <w:numId w:val="55"/>
        </w:numPr>
        <w:ind w:left="284" w:hanging="284"/>
        <w:jc w:val="both"/>
        <w:rPr>
          <w:lang w:val="en-GB"/>
        </w:rPr>
      </w:pPr>
      <w:r w:rsidRPr="00BC5BE4">
        <w:rPr>
          <w:b/>
          <w:lang w:val="en-GB"/>
        </w:rPr>
        <w:t>Research H</w:t>
      </w:r>
      <w:r w:rsidR="0007448E" w:rsidRPr="00BC5BE4">
        <w:rPr>
          <w:b/>
          <w:lang w:val="en-GB"/>
        </w:rPr>
        <w:t>ighlights</w:t>
      </w:r>
      <w:r w:rsidR="00BC5BE4">
        <w:rPr>
          <w:lang w:val="en-GB"/>
        </w:rPr>
        <w:t xml:space="preserve"> –</w:t>
      </w:r>
      <w:r w:rsidR="0007448E">
        <w:rPr>
          <w:lang w:val="en-GB"/>
        </w:rPr>
        <w:t xml:space="preserve"> TAG1</w:t>
      </w:r>
      <w:r w:rsidR="00BC5BE4">
        <w:rPr>
          <w:lang w:val="en-GB"/>
        </w:rPr>
        <w:t xml:space="preserve"> </w:t>
      </w:r>
      <w:r w:rsidR="0007448E">
        <w:rPr>
          <w:lang w:val="en-GB"/>
        </w:rPr>
        <w:t>noted the need for targeted publications</w:t>
      </w:r>
      <w:r>
        <w:rPr>
          <w:lang w:val="en-GB"/>
        </w:rPr>
        <w:t xml:space="preserve"> of research results, and recommended the production of Research H</w:t>
      </w:r>
      <w:r w:rsidR="0007448E">
        <w:rPr>
          <w:lang w:val="en-GB"/>
        </w:rPr>
        <w:t>ighlights located on the website.</w:t>
      </w:r>
    </w:p>
    <w:p w:rsidR="00D97B61" w:rsidRDefault="00BC5BE4" w:rsidP="006B4860">
      <w:pPr>
        <w:pStyle w:val="ListParagraph"/>
        <w:numPr>
          <w:ilvl w:val="0"/>
          <w:numId w:val="55"/>
        </w:numPr>
        <w:ind w:left="284" w:hanging="284"/>
        <w:jc w:val="both"/>
        <w:rPr>
          <w:lang w:val="en-GB"/>
        </w:rPr>
      </w:pPr>
      <w:r>
        <w:rPr>
          <w:lang w:val="en-GB"/>
        </w:rPr>
        <w:t>Digital files of</w:t>
      </w:r>
      <w:r w:rsidR="0007448E">
        <w:rPr>
          <w:lang w:val="en-GB"/>
        </w:rPr>
        <w:t xml:space="preserve"> </w:t>
      </w:r>
      <w:r w:rsidR="00E74D38" w:rsidRPr="00FF2E0B">
        <w:rPr>
          <w:b/>
          <w:lang w:val="en-GB"/>
        </w:rPr>
        <w:t xml:space="preserve">audio </w:t>
      </w:r>
      <w:r w:rsidR="0007448E" w:rsidRPr="00FF2E0B">
        <w:rPr>
          <w:b/>
          <w:lang w:val="en-GB"/>
        </w:rPr>
        <w:t>interviews</w:t>
      </w:r>
      <w:r w:rsidR="0007448E">
        <w:rPr>
          <w:lang w:val="en-GB"/>
        </w:rPr>
        <w:t xml:space="preserve"> between farmers and SOL3 staff</w:t>
      </w:r>
      <w:r>
        <w:rPr>
          <w:lang w:val="en-GB"/>
        </w:rPr>
        <w:t xml:space="preserve"> (</w:t>
      </w:r>
      <w:r w:rsidRPr="00BC5BE4">
        <w:rPr>
          <w:i/>
          <w:lang w:val="en-GB"/>
        </w:rPr>
        <w:t>e.g</w:t>
      </w:r>
      <w:r>
        <w:rPr>
          <w:lang w:val="en-GB"/>
        </w:rPr>
        <w:t xml:space="preserve">. </w:t>
      </w:r>
      <w:r w:rsidR="0007448E">
        <w:rPr>
          <w:lang w:val="en-GB"/>
        </w:rPr>
        <w:t>Maliana Community Radio</w:t>
      </w:r>
      <w:r>
        <w:rPr>
          <w:lang w:val="en-GB"/>
        </w:rPr>
        <w:t>) that could be used for dial-in telecommunications in the future.</w:t>
      </w:r>
    </w:p>
    <w:p w:rsidR="002A5059" w:rsidRPr="003D1B5E" w:rsidRDefault="002A5059" w:rsidP="00B30C8B">
      <w:pPr>
        <w:pStyle w:val="Heading1"/>
        <w:rPr>
          <w:w w:val="105"/>
          <w:lang w:val="en-GB"/>
        </w:rPr>
      </w:pPr>
      <w:bookmarkStart w:id="25" w:name="_Toc326845355"/>
      <w:r w:rsidRPr="003D1B5E">
        <w:rPr>
          <w:w w:val="105"/>
          <w:lang w:val="en-GB"/>
        </w:rPr>
        <w:lastRenderedPageBreak/>
        <w:t>Progress with integrating gender equality</w:t>
      </w:r>
      <w:bookmarkEnd w:id="25"/>
    </w:p>
    <w:p w:rsidR="00F46B2B" w:rsidRDefault="00F46B2B" w:rsidP="00A125B1">
      <w:pPr>
        <w:ind w:right="1"/>
        <w:rPr>
          <w:spacing w:val="-4"/>
          <w:w w:val="105"/>
          <w:lang w:val="en-GB"/>
        </w:rPr>
      </w:pPr>
      <w:r>
        <w:rPr>
          <w:spacing w:val="-4"/>
          <w:w w:val="105"/>
          <w:lang w:val="en-GB"/>
        </w:rPr>
        <w:t xml:space="preserve">A review of the draft 2012 Annual Plan and component presentations to the TAG suggests that </w:t>
      </w:r>
      <w:r w:rsidRPr="00F46B2B">
        <w:rPr>
          <w:spacing w:val="-4"/>
          <w:w w:val="105"/>
          <w:lang w:val="en-GB"/>
        </w:rPr>
        <w:t xml:space="preserve">gender is more consistently identified and included in discussions by advisors.  </w:t>
      </w:r>
      <w:r>
        <w:rPr>
          <w:spacing w:val="-4"/>
          <w:w w:val="105"/>
          <w:lang w:val="en-GB"/>
        </w:rPr>
        <w:t xml:space="preserve">There is however not yet systematic inclusion of activities and strategies to achieve equity in benefit flows amongst women, men and youth.  Men continue to be the predominant primary beneficiaries of SOL3 activities.  Much of this is driven by cultural norms, especially in rural communities, but field evidence and baseline survey data </w:t>
      </w:r>
      <w:r w:rsidR="00AA5ADC">
        <w:rPr>
          <w:spacing w:val="-4"/>
          <w:w w:val="105"/>
          <w:lang w:val="en-GB"/>
        </w:rPr>
        <w:t xml:space="preserve">(see below) </w:t>
      </w:r>
      <w:r>
        <w:rPr>
          <w:spacing w:val="-4"/>
          <w:w w:val="105"/>
          <w:lang w:val="en-GB"/>
        </w:rPr>
        <w:t xml:space="preserve">confirm the important role of women in making decisions about what is grown and </w:t>
      </w:r>
      <w:r w:rsidR="00AF3E4B">
        <w:rPr>
          <w:spacing w:val="-4"/>
          <w:w w:val="105"/>
          <w:lang w:val="en-GB"/>
        </w:rPr>
        <w:t xml:space="preserve">in </w:t>
      </w:r>
      <w:r>
        <w:rPr>
          <w:spacing w:val="-4"/>
          <w:w w:val="105"/>
          <w:lang w:val="en-GB"/>
        </w:rPr>
        <w:t>household food security.</w:t>
      </w:r>
    </w:p>
    <w:p w:rsidR="00F46B2B" w:rsidRDefault="00F46B2B" w:rsidP="00A125B1">
      <w:pPr>
        <w:ind w:right="1"/>
        <w:rPr>
          <w:spacing w:val="-4"/>
          <w:w w:val="105"/>
          <w:lang w:val="en-GB"/>
        </w:rPr>
      </w:pPr>
    </w:p>
    <w:p w:rsidR="00AA5ADC" w:rsidRDefault="00AA5ADC" w:rsidP="00A125B1">
      <w:pPr>
        <w:ind w:right="1"/>
        <w:rPr>
          <w:spacing w:val="-4"/>
          <w:w w:val="105"/>
          <w:lang w:val="en-GB"/>
        </w:rPr>
      </w:pPr>
      <w:r>
        <w:rPr>
          <w:spacing w:val="-4"/>
          <w:w w:val="105"/>
          <w:lang w:val="en-GB"/>
        </w:rPr>
        <w:t>The small number of groups visited during the TAG visit highlighted active participation by women in the selection of species and varieties to grow, the importance of flavour and texture of the cooked product in variety selection, and the interest in marketing quality seed at a premium price in local markets.</w:t>
      </w:r>
    </w:p>
    <w:p w:rsidR="00AA5ADC" w:rsidRDefault="00AA5ADC" w:rsidP="00A125B1">
      <w:pPr>
        <w:ind w:right="1"/>
        <w:rPr>
          <w:spacing w:val="-4"/>
          <w:w w:val="105"/>
          <w:lang w:val="en-GB"/>
        </w:rPr>
      </w:pPr>
    </w:p>
    <w:p w:rsidR="00F46B2B" w:rsidRDefault="00AA5ADC" w:rsidP="00A125B1">
      <w:pPr>
        <w:ind w:right="1"/>
        <w:rPr>
          <w:spacing w:val="-4"/>
          <w:w w:val="105"/>
          <w:lang w:val="en-GB"/>
        </w:rPr>
      </w:pPr>
      <w:r>
        <w:rPr>
          <w:spacing w:val="-4"/>
          <w:w w:val="105"/>
          <w:lang w:val="en-GB"/>
        </w:rPr>
        <w:t>Similarly, b</w:t>
      </w:r>
      <w:r w:rsidR="00F46B2B" w:rsidRPr="00F46B2B">
        <w:rPr>
          <w:spacing w:val="-4"/>
          <w:w w:val="105"/>
          <w:lang w:val="en-GB"/>
        </w:rPr>
        <w:t>aseline data include several useful directions for gender equality.  For example, 43% of seed and variety decisions are made by women (Table 91, p88) and 33% of information about seeds and varieties comes from MAF extension staff (Table 99, p93)</w:t>
      </w:r>
      <w:r w:rsidR="00AF3E4B">
        <w:rPr>
          <w:spacing w:val="-4"/>
          <w:w w:val="105"/>
          <w:lang w:val="en-GB"/>
        </w:rPr>
        <w:t xml:space="preserve">.  Despite this, </w:t>
      </w:r>
      <w:r w:rsidR="00F46B2B" w:rsidRPr="00F46B2B">
        <w:rPr>
          <w:spacing w:val="-4"/>
          <w:w w:val="105"/>
          <w:lang w:val="en-GB"/>
        </w:rPr>
        <w:t xml:space="preserve">few </w:t>
      </w:r>
      <w:r w:rsidR="00F44710" w:rsidRPr="00341940">
        <w:rPr>
          <w:i/>
          <w:spacing w:val="-4"/>
          <w:w w:val="105"/>
          <w:lang w:val="en-GB"/>
        </w:rPr>
        <w:t>suco</w:t>
      </w:r>
      <w:r w:rsidR="00F46B2B" w:rsidRPr="00F46B2B">
        <w:rPr>
          <w:spacing w:val="-4"/>
          <w:w w:val="105"/>
          <w:lang w:val="en-GB"/>
        </w:rPr>
        <w:t xml:space="preserve"> extension officers are women (~7% in 2012) and there are </w:t>
      </w:r>
      <w:r w:rsidR="00AF3E4B">
        <w:rPr>
          <w:spacing w:val="-4"/>
          <w:w w:val="105"/>
          <w:lang w:val="en-GB"/>
        </w:rPr>
        <w:t>as</w:t>
      </w:r>
      <w:r w:rsidR="00F46B2B" w:rsidRPr="00F46B2B">
        <w:rPr>
          <w:spacing w:val="-4"/>
          <w:w w:val="105"/>
          <w:lang w:val="en-GB"/>
        </w:rPr>
        <w:t xml:space="preserve"> yet</w:t>
      </w:r>
      <w:r w:rsidR="00AF3E4B">
        <w:rPr>
          <w:spacing w:val="-4"/>
          <w:w w:val="105"/>
          <w:lang w:val="en-GB"/>
        </w:rPr>
        <w:t xml:space="preserve"> no</w:t>
      </w:r>
      <w:r w:rsidR="00F46B2B" w:rsidRPr="00F46B2B">
        <w:rPr>
          <w:spacing w:val="-4"/>
          <w:w w:val="105"/>
          <w:lang w:val="en-GB"/>
        </w:rPr>
        <w:t xml:space="preserve"> seed campaigns designed to target women farmers.  One way to do this is to support group-group interactions and seed fairs with those </w:t>
      </w:r>
      <w:r w:rsidR="00AF3E4B">
        <w:rPr>
          <w:spacing w:val="-4"/>
          <w:w w:val="105"/>
          <w:lang w:val="en-GB"/>
        </w:rPr>
        <w:t>I</w:t>
      </w:r>
      <w:r w:rsidR="00F46B2B" w:rsidRPr="00F46B2B">
        <w:rPr>
          <w:spacing w:val="-4"/>
          <w:w w:val="105"/>
          <w:lang w:val="en-GB"/>
        </w:rPr>
        <w:t xml:space="preserve">SPGs that have more than 20% women and successful results, such as the one in Cailaco </w:t>
      </w:r>
      <w:r w:rsidR="00F44710" w:rsidRPr="00341940">
        <w:rPr>
          <w:i/>
          <w:spacing w:val="-4"/>
          <w:w w:val="105"/>
          <w:lang w:val="en-GB"/>
        </w:rPr>
        <w:t>suco</w:t>
      </w:r>
      <w:r w:rsidR="00F46B2B" w:rsidRPr="00F46B2B">
        <w:rPr>
          <w:spacing w:val="-4"/>
          <w:w w:val="105"/>
          <w:lang w:val="en-GB"/>
        </w:rPr>
        <w:t>, Bobonaro District.</w:t>
      </w:r>
      <w:r w:rsidR="00AF3E4B">
        <w:rPr>
          <w:spacing w:val="-4"/>
          <w:w w:val="105"/>
          <w:lang w:val="en-GB"/>
        </w:rPr>
        <w:t xml:space="preserve">  A second area of emphasis would be purposeful involvement of women in participatory variety evaluation on station and in OFDTs, so that criteria women use in selecting a variety are taken into consideration during evaluation and variety release procedures.  A third step, already noted above</w:t>
      </w:r>
      <w:r w:rsidR="00FF2E0B">
        <w:rPr>
          <w:spacing w:val="-4"/>
          <w:w w:val="105"/>
          <w:lang w:val="en-GB"/>
        </w:rPr>
        <w:t>,</w:t>
      </w:r>
      <w:r w:rsidR="00AF3E4B">
        <w:rPr>
          <w:spacing w:val="-4"/>
          <w:w w:val="105"/>
          <w:lang w:val="en-GB"/>
        </w:rPr>
        <w:t xml:space="preserve"> would be to package seed in smaller packages that could be purchased by women while doing market shopping, and tested in a corner of the field with little risk.</w:t>
      </w:r>
      <w:r w:rsidR="007104C6">
        <w:rPr>
          <w:spacing w:val="-4"/>
          <w:w w:val="105"/>
          <w:lang w:val="en-GB"/>
        </w:rPr>
        <w:t xml:space="preserve">  Finally, a</w:t>
      </w:r>
      <w:r w:rsidR="00C91B7C">
        <w:rPr>
          <w:spacing w:val="-4"/>
          <w:w w:val="105"/>
          <w:lang w:val="en-GB"/>
        </w:rPr>
        <w:t>lthough there has been a substan</w:t>
      </w:r>
      <w:r w:rsidR="007104C6">
        <w:rPr>
          <w:spacing w:val="-4"/>
          <w:w w:val="105"/>
          <w:lang w:val="en-GB"/>
        </w:rPr>
        <w:t>tial improvement in the percent of women trainees, there is continued room for improvement given the large proportion of decisions on planting materials made by women in Timor-Leste.</w:t>
      </w:r>
    </w:p>
    <w:p w:rsidR="00F46B2B" w:rsidRDefault="00F46B2B" w:rsidP="00A125B1">
      <w:pPr>
        <w:ind w:right="1"/>
        <w:rPr>
          <w:spacing w:val="-4"/>
          <w:w w:val="105"/>
          <w:lang w:val="en-GB"/>
        </w:rPr>
      </w:pPr>
    </w:p>
    <w:p w:rsidR="00AA5ADC" w:rsidRDefault="00AA5ADC" w:rsidP="00A125B1">
      <w:pPr>
        <w:ind w:right="1"/>
        <w:rPr>
          <w:spacing w:val="-4"/>
          <w:w w:val="105"/>
          <w:lang w:val="en-GB"/>
        </w:rPr>
      </w:pPr>
      <w:r>
        <w:rPr>
          <w:spacing w:val="-4"/>
          <w:w w:val="105"/>
          <w:lang w:val="en-GB"/>
        </w:rPr>
        <w:t>The TAG has not made specific recommendations relating to gender since the SOL3 team is alert to the importance of gender equality and is responding to information and opportunities as they arise.  It would be appropriate for gender equality to be one of the criteria used for the mid-term evaluation in 2013 to ensure that any changes in direction are identified and resourced at that time.</w:t>
      </w:r>
    </w:p>
    <w:p w:rsidR="00AA5ADC" w:rsidRDefault="00AA5ADC" w:rsidP="00A125B1">
      <w:pPr>
        <w:ind w:right="1"/>
        <w:rPr>
          <w:spacing w:val="-4"/>
          <w:w w:val="105"/>
          <w:lang w:val="en-GB"/>
        </w:rPr>
      </w:pPr>
    </w:p>
    <w:p w:rsidR="003424EC" w:rsidRPr="003D1B5E" w:rsidRDefault="003424EC" w:rsidP="00A125B1">
      <w:pPr>
        <w:ind w:right="1"/>
        <w:rPr>
          <w:lang w:val="en-GB"/>
        </w:rPr>
      </w:pPr>
    </w:p>
    <w:p w:rsidR="003424EC" w:rsidRPr="003D1B5E" w:rsidRDefault="003424EC" w:rsidP="003424EC">
      <w:pPr>
        <w:tabs>
          <w:tab w:val="num" w:pos="1440"/>
        </w:tabs>
        <w:jc w:val="center"/>
        <w:rPr>
          <w:lang w:val="en-GB"/>
        </w:rPr>
      </w:pPr>
      <w:r w:rsidRPr="003D1B5E">
        <w:rPr>
          <w:lang w:val="en-GB"/>
        </w:rPr>
        <w:sym w:font="Wingdings" w:char="F09A"/>
      </w:r>
      <w:r w:rsidRPr="003D1B5E">
        <w:rPr>
          <w:lang w:val="en-GB"/>
        </w:rPr>
        <w:t xml:space="preserve"> </w:t>
      </w:r>
      <w:r w:rsidRPr="003D1B5E">
        <w:rPr>
          <w:lang w:val="en-GB"/>
        </w:rPr>
        <w:sym w:font="Wingdings" w:char="F09B"/>
      </w:r>
    </w:p>
    <w:p w:rsidR="002A5059" w:rsidRPr="003D1B5E" w:rsidRDefault="002A5059" w:rsidP="002A5059">
      <w:pPr>
        <w:ind w:right="144"/>
        <w:rPr>
          <w:spacing w:val="-4"/>
          <w:w w:val="105"/>
          <w:lang w:val="en-GB"/>
        </w:rPr>
      </w:pPr>
    </w:p>
    <w:p w:rsidR="002A5059" w:rsidRPr="003D1B5E" w:rsidRDefault="002A5059" w:rsidP="00B30C8B">
      <w:pPr>
        <w:pStyle w:val="Heading1"/>
        <w:rPr>
          <w:w w:val="105"/>
          <w:lang w:val="en-GB"/>
        </w:rPr>
      </w:pPr>
      <w:bookmarkStart w:id="26" w:name="_Toc326845356"/>
      <w:r w:rsidRPr="003D1B5E">
        <w:rPr>
          <w:w w:val="105"/>
          <w:lang w:val="en-GB"/>
        </w:rPr>
        <w:lastRenderedPageBreak/>
        <w:t xml:space="preserve">Progress with </w:t>
      </w:r>
      <w:r w:rsidR="00827976" w:rsidRPr="003D1B5E">
        <w:rPr>
          <w:w w:val="105"/>
          <w:lang w:val="en-GB"/>
        </w:rPr>
        <w:t>TAG 1</w:t>
      </w:r>
      <w:r w:rsidRPr="003D1B5E">
        <w:rPr>
          <w:w w:val="105"/>
          <w:lang w:val="en-GB"/>
        </w:rPr>
        <w:t xml:space="preserve"> recommendations</w:t>
      </w:r>
      <w:bookmarkEnd w:id="26"/>
    </w:p>
    <w:p w:rsidR="002A5059" w:rsidRDefault="00AC2384" w:rsidP="00A125B1">
      <w:pPr>
        <w:ind w:right="1"/>
        <w:rPr>
          <w:spacing w:val="-4"/>
          <w:w w:val="105"/>
          <w:lang w:val="en-GB"/>
        </w:rPr>
      </w:pPr>
      <w:r w:rsidRPr="00AC2384">
        <w:rPr>
          <w:spacing w:val="-4"/>
          <w:w w:val="105"/>
          <w:lang w:val="en-GB"/>
        </w:rPr>
        <w:t xml:space="preserve">The October 2011 TAG report made 8 recommendations and identified a number of opportunities to refine the implementation strategy during 2012.  Progress against these is summarised </w:t>
      </w:r>
      <w:r>
        <w:rPr>
          <w:spacing w:val="-4"/>
          <w:w w:val="105"/>
          <w:lang w:val="en-GB"/>
        </w:rPr>
        <w:t xml:space="preserve">in </w:t>
      </w:r>
      <w:r w:rsidRPr="003C2A0E">
        <w:rPr>
          <w:spacing w:val="-4"/>
          <w:w w:val="105"/>
          <w:lang w:val="en-GB"/>
        </w:rPr>
        <w:t xml:space="preserve">Chart </w:t>
      </w:r>
      <w:r w:rsidR="009B3F1D" w:rsidRPr="003C2A0E">
        <w:rPr>
          <w:spacing w:val="-4"/>
          <w:w w:val="105"/>
          <w:lang w:val="en-GB"/>
        </w:rPr>
        <w:t>6</w:t>
      </w:r>
      <w:r w:rsidRPr="003C2A0E">
        <w:rPr>
          <w:spacing w:val="-4"/>
          <w:w w:val="105"/>
          <w:lang w:val="en-GB"/>
        </w:rPr>
        <w:t>.</w:t>
      </w:r>
      <w:r>
        <w:rPr>
          <w:spacing w:val="-4"/>
          <w:w w:val="105"/>
          <w:lang w:val="en-GB"/>
        </w:rPr>
        <w:t xml:space="preserve">  The TAG appreciates the extent to which its recommendations have been implemented in the past 6 months, which coincided with the busy 2011/12 growing season and the baseline survey field work.  Most recommendations </w:t>
      </w:r>
      <w:r w:rsidR="00933592">
        <w:rPr>
          <w:spacing w:val="-4"/>
          <w:w w:val="105"/>
          <w:lang w:val="en-GB"/>
        </w:rPr>
        <w:t>are being adequately addressed.  Some work is still needed on TAG1 recommendation 1 (to complete and start using the performance management system); recommendation 2 (to prepare transition plan for C1 and C2); recommendation 4 (review the best way to communicate scientific results to ensure efficiency); and recommendations 5 and 6 (include agronomic OFDTs in 2012 Annual Plan to test yield potential).  There is also on-going work planned to address recommendations 1, 3, 5, 7 and 8.</w:t>
      </w:r>
    </w:p>
    <w:p w:rsidR="00AC2384" w:rsidRPr="003D1B5E" w:rsidRDefault="00AC2384" w:rsidP="002A5059">
      <w:pPr>
        <w:ind w:right="144"/>
        <w:rPr>
          <w:spacing w:val="-4"/>
          <w:w w:val="105"/>
          <w:lang w:val="en-GB"/>
        </w:rPr>
      </w:pPr>
    </w:p>
    <w:p w:rsidR="005D47EC" w:rsidRPr="003D1B5E" w:rsidRDefault="00AC2384" w:rsidP="00AC2384">
      <w:pPr>
        <w:pStyle w:val="Caption"/>
        <w:rPr>
          <w:spacing w:val="-4"/>
          <w:w w:val="105"/>
          <w:lang w:val="en-GB"/>
        </w:rPr>
      </w:pPr>
      <w:r>
        <w:t xml:space="preserve">Chart </w:t>
      </w:r>
      <w:proofErr w:type="gramStart"/>
      <w:r w:rsidR="009B3F1D">
        <w:t xml:space="preserve">6 </w:t>
      </w:r>
      <w:r>
        <w:t>:</w:t>
      </w:r>
      <w:proofErr w:type="gramEnd"/>
      <w:r>
        <w:t xml:space="preserve"> Progress with TAG1 recommendations</w:t>
      </w:r>
    </w:p>
    <w:tbl>
      <w:tblPr>
        <w:tblStyle w:val="TableGrid1"/>
        <w:tblW w:w="0" w:type="auto"/>
        <w:jc w:val="center"/>
        <w:tblLook w:val="04A0" w:firstRow="1" w:lastRow="0" w:firstColumn="1" w:lastColumn="0" w:noHBand="0" w:noVBand="1"/>
        <w:tblDescription w:val="Progress with TAG1 recommendations"/>
      </w:tblPr>
      <w:tblGrid>
        <w:gridCol w:w="452"/>
        <w:gridCol w:w="4580"/>
        <w:gridCol w:w="4257"/>
      </w:tblGrid>
      <w:tr w:rsidR="000A1787" w:rsidRPr="000A1787" w:rsidTr="00F0517E">
        <w:trPr>
          <w:tblHeader/>
          <w:jc w:val="center"/>
        </w:trPr>
        <w:tc>
          <w:tcPr>
            <w:tcW w:w="5087" w:type="dxa"/>
            <w:gridSpan w:val="2"/>
          </w:tcPr>
          <w:p w:rsidR="000A1787" w:rsidRPr="000A1787" w:rsidRDefault="000A1787" w:rsidP="000A1787">
            <w:pPr>
              <w:spacing w:before="0" w:after="0"/>
              <w:jc w:val="center"/>
              <w:rPr>
                <w:rFonts w:ascii="Arial Narrow" w:hAnsi="Arial Narrow"/>
                <w:b/>
                <w:sz w:val="20"/>
              </w:rPr>
            </w:pPr>
            <w:r w:rsidRPr="000A1787">
              <w:rPr>
                <w:rFonts w:ascii="Arial Narrow" w:hAnsi="Arial Narrow"/>
                <w:b/>
                <w:sz w:val="20"/>
              </w:rPr>
              <w:t>Recommendation in October 2011</w:t>
            </w:r>
          </w:p>
        </w:tc>
        <w:tc>
          <w:tcPr>
            <w:tcW w:w="4464" w:type="dxa"/>
          </w:tcPr>
          <w:p w:rsidR="000A1787" w:rsidRPr="000A1787" w:rsidRDefault="000A1787" w:rsidP="000A1787">
            <w:pPr>
              <w:spacing w:before="0" w:after="0"/>
              <w:ind w:right="144"/>
              <w:jc w:val="center"/>
              <w:rPr>
                <w:rFonts w:ascii="Arial Narrow" w:hAnsi="Arial Narrow"/>
                <w:b/>
                <w:spacing w:val="-4"/>
                <w:w w:val="105"/>
                <w:sz w:val="20"/>
              </w:rPr>
            </w:pPr>
            <w:r w:rsidRPr="000A1787">
              <w:rPr>
                <w:rFonts w:ascii="Arial Narrow" w:hAnsi="Arial Narrow"/>
                <w:b/>
                <w:spacing w:val="-4"/>
                <w:w w:val="105"/>
                <w:sz w:val="20"/>
              </w:rPr>
              <w:t>Response at May 2012</w:t>
            </w:r>
          </w:p>
        </w:tc>
      </w:tr>
      <w:tr w:rsidR="000A1787" w:rsidRPr="000A1787" w:rsidTr="00F0517E">
        <w:trPr>
          <w:jc w:val="center"/>
        </w:trPr>
        <w:tc>
          <w:tcPr>
            <w:tcW w:w="238" w:type="dxa"/>
            <w:vMerge w:val="restart"/>
            <w:vAlign w:val="center"/>
          </w:tcPr>
          <w:p w:rsidR="000A1787" w:rsidRPr="000A1787" w:rsidRDefault="000A1787" w:rsidP="000A1787">
            <w:pPr>
              <w:spacing w:before="0" w:after="0"/>
              <w:ind w:right="144"/>
              <w:jc w:val="center"/>
              <w:rPr>
                <w:rFonts w:ascii="Arial Narrow" w:hAnsi="Arial Narrow"/>
                <w:spacing w:val="-4"/>
                <w:w w:val="105"/>
                <w:sz w:val="20"/>
              </w:rPr>
            </w:pPr>
            <w:r w:rsidRPr="000A1787">
              <w:rPr>
                <w:rFonts w:ascii="Arial Narrow" w:hAnsi="Arial Narrow"/>
                <w:spacing w:val="-4"/>
                <w:w w:val="105"/>
                <w:sz w:val="20"/>
              </w:rPr>
              <w:t>1</w:t>
            </w:r>
          </w:p>
        </w:tc>
        <w:tc>
          <w:tcPr>
            <w:tcW w:w="4849" w:type="dxa"/>
            <w:tcBorders>
              <w:bottom w:val="nil"/>
            </w:tcBorders>
          </w:tcPr>
          <w:p w:rsidR="000A1787" w:rsidRPr="000A1787" w:rsidRDefault="000A1787" w:rsidP="000A1787">
            <w:pPr>
              <w:spacing w:before="0" w:after="0"/>
              <w:rPr>
                <w:rFonts w:ascii="Arial Narrow" w:hAnsi="Arial Narrow"/>
                <w:sz w:val="20"/>
              </w:rPr>
            </w:pPr>
            <w:r w:rsidRPr="000A1787">
              <w:rPr>
                <w:rFonts w:ascii="Arial Narrow" w:hAnsi="Arial Narrow"/>
                <w:sz w:val="20"/>
              </w:rPr>
              <w:t>Simplify and focus performance management</w:t>
            </w:r>
          </w:p>
        </w:tc>
        <w:tc>
          <w:tcPr>
            <w:tcW w:w="4464" w:type="dxa"/>
          </w:tcPr>
          <w:p w:rsidR="000A1787" w:rsidRPr="000A1787" w:rsidRDefault="000A1787" w:rsidP="000A1787">
            <w:pPr>
              <w:spacing w:before="0" w:after="0"/>
              <w:ind w:right="144"/>
              <w:rPr>
                <w:rFonts w:ascii="Arial Narrow" w:hAnsi="Arial Narrow"/>
                <w:spacing w:val="-4"/>
                <w:w w:val="105"/>
                <w:sz w:val="20"/>
              </w:rPr>
            </w:pPr>
          </w:p>
        </w:tc>
      </w:tr>
      <w:tr w:rsidR="000A1787" w:rsidRPr="000A1787" w:rsidTr="00F0517E">
        <w:trPr>
          <w:jc w:val="center"/>
        </w:trPr>
        <w:tc>
          <w:tcPr>
            <w:tcW w:w="238" w:type="dxa"/>
            <w:vMerge/>
            <w:tcBorders>
              <w:right w:val="single" w:sz="4" w:space="0" w:color="auto"/>
            </w:tcBorders>
          </w:tcPr>
          <w:p w:rsidR="000A1787" w:rsidRPr="000A1787" w:rsidRDefault="000A1787" w:rsidP="000A1787">
            <w:pPr>
              <w:spacing w:before="0" w:after="0"/>
              <w:ind w:right="144"/>
              <w:jc w:val="center"/>
              <w:rPr>
                <w:rFonts w:ascii="Arial Narrow" w:hAnsi="Arial Narrow"/>
                <w:spacing w:val="-4"/>
                <w:w w:val="105"/>
                <w:sz w:val="20"/>
              </w:rPr>
            </w:pPr>
          </w:p>
        </w:tc>
        <w:tc>
          <w:tcPr>
            <w:tcW w:w="4849" w:type="dxa"/>
            <w:tcBorders>
              <w:top w:val="nil"/>
              <w:left w:val="single" w:sz="4" w:space="0" w:color="auto"/>
              <w:bottom w:val="nil"/>
              <w:right w:val="single" w:sz="4" w:space="0" w:color="auto"/>
            </w:tcBorders>
            <w:vAlign w:val="center"/>
          </w:tcPr>
          <w:p w:rsidR="000A1787" w:rsidRPr="000A1787" w:rsidRDefault="000A1787" w:rsidP="000A1787">
            <w:pPr>
              <w:spacing w:before="0" w:after="0"/>
              <w:ind w:right="144"/>
              <w:jc w:val="left"/>
              <w:rPr>
                <w:rFonts w:ascii="Arial Narrow" w:hAnsi="Arial Narrow"/>
                <w:spacing w:val="-4"/>
                <w:w w:val="105"/>
                <w:sz w:val="20"/>
              </w:rPr>
            </w:pPr>
            <w:r w:rsidRPr="000A1787">
              <w:rPr>
                <w:rFonts w:ascii="Arial Narrow" w:hAnsi="Arial Narrow"/>
                <w:sz w:val="20"/>
              </w:rPr>
              <w:t>(a) Performance monitoring using a results framework</w:t>
            </w:r>
          </w:p>
        </w:tc>
        <w:tc>
          <w:tcPr>
            <w:tcW w:w="4464" w:type="dxa"/>
            <w:tcBorders>
              <w:left w:val="single" w:sz="4" w:space="0" w:color="auto"/>
            </w:tcBorders>
          </w:tcPr>
          <w:p w:rsidR="000A1787" w:rsidRPr="000A1787" w:rsidRDefault="000A1787" w:rsidP="000A1787">
            <w:pPr>
              <w:widowControl w:val="0"/>
              <w:numPr>
                <w:ilvl w:val="0"/>
                <w:numId w:val="44"/>
              </w:numPr>
              <w:kinsoku w:val="0"/>
              <w:spacing w:before="0" w:after="0"/>
              <w:ind w:left="317" w:right="144"/>
              <w:contextualSpacing/>
              <w:jc w:val="left"/>
              <w:rPr>
                <w:rFonts w:ascii="Arial Narrow" w:eastAsiaTheme="minorEastAsia" w:hAnsi="Arial Narrow"/>
                <w:spacing w:val="-4"/>
                <w:w w:val="105"/>
                <w:sz w:val="20"/>
                <w:lang w:val="en-US" w:eastAsia="en-NZ"/>
              </w:rPr>
            </w:pPr>
            <w:r w:rsidRPr="000A1787">
              <w:rPr>
                <w:rFonts w:ascii="Arial Narrow" w:eastAsiaTheme="minorEastAsia" w:hAnsi="Arial Narrow"/>
                <w:spacing w:val="-4"/>
                <w:w w:val="105"/>
                <w:sz w:val="20"/>
                <w:lang w:val="en-US" w:eastAsia="en-NZ"/>
              </w:rPr>
              <w:t>Results framework included in revised PMP</w:t>
            </w:r>
          </w:p>
          <w:p w:rsidR="000A1787" w:rsidRPr="000A1787" w:rsidRDefault="000A1787" w:rsidP="000A1787">
            <w:pPr>
              <w:widowControl w:val="0"/>
              <w:numPr>
                <w:ilvl w:val="0"/>
                <w:numId w:val="44"/>
              </w:numPr>
              <w:kinsoku w:val="0"/>
              <w:spacing w:before="0" w:after="0"/>
              <w:ind w:left="317" w:right="144"/>
              <w:contextualSpacing/>
              <w:jc w:val="left"/>
              <w:rPr>
                <w:rFonts w:ascii="Arial Narrow" w:eastAsiaTheme="minorEastAsia" w:hAnsi="Arial Narrow"/>
                <w:spacing w:val="-4"/>
                <w:w w:val="105"/>
                <w:sz w:val="20"/>
                <w:lang w:val="en-US" w:eastAsia="en-NZ"/>
              </w:rPr>
            </w:pPr>
            <w:r w:rsidRPr="000A1787">
              <w:rPr>
                <w:rFonts w:ascii="Arial Narrow" w:eastAsiaTheme="minorEastAsia" w:hAnsi="Arial Narrow"/>
                <w:spacing w:val="-4"/>
                <w:w w:val="105"/>
                <w:sz w:val="20"/>
                <w:lang w:val="en-US" w:eastAsia="en-NZ"/>
              </w:rPr>
              <w:t>Performance framework linked to M&amp;E Standards</w:t>
            </w:r>
          </w:p>
        </w:tc>
      </w:tr>
      <w:tr w:rsidR="000A1787" w:rsidRPr="000A1787" w:rsidTr="00F0517E">
        <w:trPr>
          <w:jc w:val="center"/>
        </w:trPr>
        <w:tc>
          <w:tcPr>
            <w:tcW w:w="238" w:type="dxa"/>
            <w:vMerge/>
            <w:tcBorders>
              <w:right w:val="single" w:sz="4" w:space="0" w:color="auto"/>
            </w:tcBorders>
          </w:tcPr>
          <w:p w:rsidR="000A1787" w:rsidRPr="000A1787" w:rsidRDefault="000A1787" w:rsidP="000A1787">
            <w:pPr>
              <w:spacing w:before="0" w:after="0"/>
              <w:ind w:right="144"/>
              <w:jc w:val="center"/>
              <w:rPr>
                <w:rFonts w:ascii="Arial Narrow" w:hAnsi="Arial Narrow"/>
                <w:spacing w:val="-4"/>
                <w:w w:val="105"/>
                <w:sz w:val="20"/>
              </w:rPr>
            </w:pPr>
          </w:p>
        </w:tc>
        <w:tc>
          <w:tcPr>
            <w:tcW w:w="4849" w:type="dxa"/>
            <w:tcBorders>
              <w:top w:val="nil"/>
              <w:left w:val="single" w:sz="4" w:space="0" w:color="auto"/>
              <w:bottom w:val="nil"/>
              <w:right w:val="single" w:sz="4" w:space="0" w:color="auto"/>
            </w:tcBorders>
            <w:vAlign w:val="center"/>
          </w:tcPr>
          <w:p w:rsidR="000A1787" w:rsidRPr="000A1787" w:rsidRDefault="000A1787" w:rsidP="000A1787">
            <w:pPr>
              <w:spacing w:before="0" w:after="0"/>
              <w:ind w:right="144"/>
              <w:jc w:val="left"/>
              <w:rPr>
                <w:rFonts w:ascii="Arial Narrow" w:hAnsi="Arial Narrow"/>
                <w:spacing w:val="-4"/>
                <w:w w:val="105"/>
                <w:sz w:val="20"/>
              </w:rPr>
            </w:pPr>
            <w:r w:rsidRPr="000A1787">
              <w:rPr>
                <w:rFonts w:ascii="Arial Narrow" w:hAnsi="Arial Narrow"/>
                <w:sz w:val="20"/>
              </w:rPr>
              <w:t>(b) Developmental evaluation, including SOSEK case studies</w:t>
            </w:r>
          </w:p>
        </w:tc>
        <w:tc>
          <w:tcPr>
            <w:tcW w:w="4464" w:type="dxa"/>
            <w:tcBorders>
              <w:left w:val="single" w:sz="4" w:space="0" w:color="auto"/>
            </w:tcBorders>
          </w:tcPr>
          <w:p w:rsidR="000A1787" w:rsidRPr="000A1787" w:rsidRDefault="000A1787" w:rsidP="000A1787">
            <w:pPr>
              <w:widowControl w:val="0"/>
              <w:numPr>
                <w:ilvl w:val="0"/>
                <w:numId w:val="44"/>
              </w:numPr>
              <w:kinsoku w:val="0"/>
              <w:spacing w:before="0" w:after="0"/>
              <w:ind w:left="317" w:right="144"/>
              <w:contextualSpacing/>
              <w:jc w:val="left"/>
              <w:rPr>
                <w:rFonts w:ascii="Arial Narrow" w:eastAsiaTheme="minorEastAsia" w:hAnsi="Arial Narrow"/>
                <w:spacing w:val="-4"/>
                <w:w w:val="105"/>
                <w:sz w:val="20"/>
                <w:lang w:val="en-US" w:eastAsia="en-NZ"/>
              </w:rPr>
            </w:pPr>
            <w:r w:rsidRPr="000A1787">
              <w:rPr>
                <w:rFonts w:ascii="Arial Narrow" w:eastAsiaTheme="minorEastAsia" w:hAnsi="Arial Narrow"/>
                <w:spacing w:val="-4"/>
                <w:w w:val="105"/>
                <w:sz w:val="20"/>
                <w:lang w:val="en-US" w:eastAsia="en-NZ"/>
              </w:rPr>
              <w:t>Discussion with AusAID November 29, 2011</w:t>
            </w:r>
          </w:p>
          <w:p w:rsidR="000A1787" w:rsidRPr="000A1787" w:rsidRDefault="000A1787" w:rsidP="000A1787">
            <w:pPr>
              <w:widowControl w:val="0"/>
              <w:numPr>
                <w:ilvl w:val="0"/>
                <w:numId w:val="44"/>
              </w:numPr>
              <w:kinsoku w:val="0"/>
              <w:spacing w:before="0" w:after="0"/>
              <w:ind w:left="317" w:right="144"/>
              <w:contextualSpacing/>
              <w:jc w:val="left"/>
              <w:rPr>
                <w:rFonts w:ascii="Arial Narrow" w:eastAsiaTheme="minorEastAsia" w:hAnsi="Arial Narrow"/>
                <w:spacing w:val="-4"/>
                <w:w w:val="105"/>
                <w:sz w:val="20"/>
                <w:lang w:val="en-US" w:eastAsia="en-NZ"/>
              </w:rPr>
            </w:pPr>
            <w:r w:rsidRPr="000A1787">
              <w:rPr>
                <w:rFonts w:ascii="Arial Narrow" w:eastAsiaTheme="minorEastAsia" w:hAnsi="Arial Narrow"/>
                <w:spacing w:val="-4"/>
                <w:w w:val="105"/>
                <w:sz w:val="20"/>
                <w:lang w:val="en-US" w:eastAsia="en-NZ"/>
              </w:rPr>
              <w:t>No further action</w:t>
            </w:r>
          </w:p>
        </w:tc>
      </w:tr>
      <w:tr w:rsidR="000A1787" w:rsidRPr="000A1787" w:rsidTr="00F0517E">
        <w:trPr>
          <w:jc w:val="center"/>
        </w:trPr>
        <w:tc>
          <w:tcPr>
            <w:tcW w:w="238" w:type="dxa"/>
            <w:vMerge/>
          </w:tcPr>
          <w:p w:rsidR="000A1787" w:rsidRPr="000A1787" w:rsidRDefault="000A1787" w:rsidP="000A1787">
            <w:pPr>
              <w:spacing w:before="0" w:after="0"/>
              <w:ind w:right="144"/>
              <w:jc w:val="center"/>
              <w:rPr>
                <w:rFonts w:ascii="Arial Narrow" w:hAnsi="Arial Narrow"/>
                <w:spacing w:val="-4"/>
                <w:w w:val="105"/>
                <w:sz w:val="20"/>
              </w:rPr>
            </w:pPr>
          </w:p>
        </w:tc>
        <w:tc>
          <w:tcPr>
            <w:tcW w:w="4849" w:type="dxa"/>
            <w:tcBorders>
              <w:top w:val="nil"/>
            </w:tcBorders>
            <w:vAlign w:val="center"/>
          </w:tcPr>
          <w:p w:rsidR="000A1787" w:rsidRPr="000A1787" w:rsidRDefault="000A1787" w:rsidP="000A1787">
            <w:pPr>
              <w:spacing w:before="0" w:after="0"/>
              <w:ind w:right="144"/>
              <w:jc w:val="left"/>
              <w:rPr>
                <w:rFonts w:ascii="Arial Narrow" w:hAnsi="Arial Narrow"/>
                <w:spacing w:val="-4"/>
                <w:w w:val="105"/>
                <w:sz w:val="20"/>
              </w:rPr>
            </w:pPr>
            <w:r w:rsidRPr="000A1787">
              <w:rPr>
                <w:rFonts w:ascii="Arial Narrow" w:hAnsi="Arial Narrow"/>
                <w:sz w:val="20"/>
              </w:rPr>
              <w:t>(c) Management monitoring using simple variance from plan measures for activities and outputs</w:t>
            </w:r>
          </w:p>
        </w:tc>
        <w:tc>
          <w:tcPr>
            <w:tcW w:w="4464" w:type="dxa"/>
          </w:tcPr>
          <w:p w:rsidR="000A1787" w:rsidRPr="000A1787" w:rsidRDefault="000A1787" w:rsidP="00763C5E">
            <w:pPr>
              <w:widowControl w:val="0"/>
              <w:numPr>
                <w:ilvl w:val="0"/>
                <w:numId w:val="44"/>
              </w:numPr>
              <w:kinsoku w:val="0"/>
              <w:spacing w:before="0" w:after="0"/>
              <w:ind w:left="317" w:right="144"/>
              <w:contextualSpacing/>
              <w:jc w:val="left"/>
              <w:rPr>
                <w:rFonts w:ascii="Arial Narrow" w:eastAsiaTheme="minorEastAsia" w:hAnsi="Arial Narrow"/>
                <w:spacing w:val="-4"/>
                <w:w w:val="105"/>
                <w:sz w:val="20"/>
                <w:lang w:val="en-US" w:eastAsia="en-NZ"/>
              </w:rPr>
            </w:pPr>
            <w:r w:rsidRPr="000A1787">
              <w:rPr>
                <w:rFonts w:ascii="Arial Narrow" w:eastAsiaTheme="minorEastAsia" w:hAnsi="Arial Narrow"/>
                <w:spacing w:val="-4"/>
                <w:w w:val="105"/>
                <w:sz w:val="20"/>
                <w:lang w:val="en-US" w:eastAsia="en-NZ"/>
              </w:rPr>
              <w:t xml:space="preserve">TAG1 </w:t>
            </w:r>
            <w:r w:rsidR="00763C5E">
              <w:rPr>
                <w:rFonts w:ascii="Arial Narrow" w:eastAsiaTheme="minorEastAsia" w:hAnsi="Arial Narrow"/>
                <w:spacing w:val="-4"/>
                <w:w w:val="105"/>
                <w:sz w:val="20"/>
                <w:lang w:val="en-US" w:eastAsia="en-NZ"/>
              </w:rPr>
              <w:t>Plan versus Actual (variance from plan)</w:t>
            </w:r>
            <w:r w:rsidRPr="000A1787">
              <w:rPr>
                <w:rFonts w:ascii="Arial Narrow" w:eastAsiaTheme="minorEastAsia" w:hAnsi="Arial Narrow"/>
                <w:spacing w:val="-4"/>
                <w:w w:val="105"/>
                <w:sz w:val="20"/>
                <w:lang w:val="en-US" w:eastAsia="en-NZ"/>
              </w:rPr>
              <w:t xml:space="preserve"> charts used in revised PMP</w:t>
            </w:r>
          </w:p>
        </w:tc>
      </w:tr>
      <w:tr w:rsidR="000A1787" w:rsidRPr="000A1787" w:rsidTr="00F0517E">
        <w:trPr>
          <w:jc w:val="center"/>
        </w:trPr>
        <w:tc>
          <w:tcPr>
            <w:tcW w:w="238" w:type="dxa"/>
            <w:vAlign w:val="center"/>
          </w:tcPr>
          <w:p w:rsidR="000A1787" w:rsidRPr="000A1787" w:rsidRDefault="000A1787" w:rsidP="000A1787">
            <w:pPr>
              <w:spacing w:before="0" w:after="0"/>
              <w:ind w:right="144"/>
              <w:jc w:val="center"/>
              <w:rPr>
                <w:rFonts w:ascii="Arial Narrow" w:hAnsi="Arial Narrow"/>
                <w:spacing w:val="-4"/>
                <w:w w:val="105"/>
                <w:sz w:val="20"/>
              </w:rPr>
            </w:pPr>
            <w:r w:rsidRPr="000A1787">
              <w:rPr>
                <w:rFonts w:ascii="Arial Narrow" w:hAnsi="Arial Narrow"/>
                <w:spacing w:val="-4"/>
                <w:w w:val="105"/>
                <w:sz w:val="20"/>
              </w:rPr>
              <w:t>2</w:t>
            </w:r>
          </w:p>
        </w:tc>
        <w:tc>
          <w:tcPr>
            <w:tcW w:w="4849" w:type="dxa"/>
            <w:vAlign w:val="center"/>
          </w:tcPr>
          <w:p w:rsidR="000A1787" w:rsidRPr="000A1787" w:rsidRDefault="000A1787" w:rsidP="000A1787">
            <w:pPr>
              <w:spacing w:before="0" w:after="0"/>
              <w:jc w:val="left"/>
              <w:rPr>
                <w:rFonts w:ascii="Arial Narrow" w:hAnsi="Arial Narrow"/>
                <w:sz w:val="20"/>
              </w:rPr>
            </w:pPr>
            <w:r w:rsidRPr="000A1787">
              <w:rPr>
                <w:rFonts w:ascii="Arial Narrow" w:hAnsi="Arial Narrow"/>
                <w:sz w:val="20"/>
              </w:rPr>
              <w:t>Transition from “what” to “how” C1, C2 and C4 activities are planned and implemented to prepare for handover to MAF in 2016</w:t>
            </w:r>
          </w:p>
        </w:tc>
        <w:tc>
          <w:tcPr>
            <w:tcW w:w="4464" w:type="dxa"/>
          </w:tcPr>
          <w:p w:rsidR="000A1787" w:rsidRPr="000A1787" w:rsidRDefault="000A1787" w:rsidP="000A1787">
            <w:pPr>
              <w:widowControl w:val="0"/>
              <w:numPr>
                <w:ilvl w:val="0"/>
                <w:numId w:val="44"/>
              </w:numPr>
              <w:kinsoku w:val="0"/>
              <w:spacing w:before="0" w:after="0"/>
              <w:ind w:left="317" w:right="144"/>
              <w:contextualSpacing/>
              <w:jc w:val="left"/>
              <w:rPr>
                <w:rFonts w:ascii="Arial Narrow" w:eastAsiaTheme="minorEastAsia" w:hAnsi="Arial Narrow"/>
                <w:spacing w:val="-4"/>
                <w:w w:val="105"/>
                <w:sz w:val="20"/>
                <w:lang w:val="en-US" w:eastAsia="en-NZ"/>
              </w:rPr>
            </w:pPr>
            <w:r w:rsidRPr="000A1787">
              <w:rPr>
                <w:rFonts w:ascii="Arial Narrow" w:eastAsiaTheme="minorEastAsia" w:hAnsi="Arial Narrow"/>
                <w:spacing w:val="-4"/>
                <w:w w:val="105"/>
                <w:sz w:val="20"/>
                <w:lang w:val="en-US" w:eastAsia="en-NZ"/>
              </w:rPr>
              <w:t xml:space="preserve">C1 Advisor gradually transferring research functions to MAF staff </w:t>
            </w:r>
          </w:p>
          <w:p w:rsidR="000A1787" w:rsidRPr="000A1787" w:rsidRDefault="000A1787" w:rsidP="000A1787">
            <w:pPr>
              <w:widowControl w:val="0"/>
              <w:numPr>
                <w:ilvl w:val="0"/>
                <w:numId w:val="44"/>
              </w:numPr>
              <w:kinsoku w:val="0"/>
              <w:spacing w:before="0" w:after="0"/>
              <w:ind w:left="317" w:right="144"/>
              <w:contextualSpacing/>
              <w:jc w:val="left"/>
              <w:rPr>
                <w:rFonts w:ascii="Arial Narrow" w:eastAsiaTheme="minorEastAsia" w:hAnsi="Arial Narrow"/>
                <w:spacing w:val="-4"/>
                <w:w w:val="105"/>
                <w:sz w:val="20"/>
                <w:lang w:val="en-US" w:eastAsia="en-NZ"/>
              </w:rPr>
            </w:pPr>
            <w:r w:rsidRPr="000A1787">
              <w:rPr>
                <w:rFonts w:ascii="Arial Narrow" w:eastAsiaTheme="minorEastAsia" w:hAnsi="Arial Narrow"/>
                <w:spacing w:val="-4"/>
                <w:w w:val="105"/>
                <w:sz w:val="20"/>
                <w:lang w:val="en-US" w:eastAsia="en-NZ"/>
              </w:rPr>
              <w:t>C2 transition plan under preparation</w:t>
            </w:r>
          </w:p>
        </w:tc>
      </w:tr>
      <w:tr w:rsidR="000A1787" w:rsidRPr="000A1787" w:rsidTr="00F0517E">
        <w:trPr>
          <w:jc w:val="center"/>
        </w:trPr>
        <w:tc>
          <w:tcPr>
            <w:tcW w:w="238" w:type="dxa"/>
            <w:vAlign w:val="center"/>
          </w:tcPr>
          <w:p w:rsidR="000A1787" w:rsidRPr="000A1787" w:rsidRDefault="000A1787" w:rsidP="000A1787">
            <w:pPr>
              <w:spacing w:before="0" w:after="0"/>
              <w:ind w:right="144"/>
              <w:jc w:val="center"/>
              <w:rPr>
                <w:rFonts w:ascii="Arial Narrow" w:hAnsi="Arial Narrow"/>
                <w:spacing w:val="-4"/>
                <w:w w:val="105"/>
                <w:sz w:val="20"/>
              </w:rPr>
            </w:pPr>
            <w:r w:rsidRPr="000A1787">
              <w:rPr>
                <w:rFonts w:ascii="Arial Narrow" w:hAnsi="Arial Narrow"/>
                <w:spacing w:val="-4"/>
                <w:w w:val="105"/>
                <w:sz w:val="20"/>
              </w:rPr>
              <w:t>3</w:t>
            </w:r>
          </w:p>
        </w:tc>
        <w:tc>
          <w:tcPr>
            <w:tcW w:w="4849" w:type="dxa"/>
            <w:vAlign w:val="center"/>
          </w:tcPr>
          <w:p w:rsidR="000A1787" w:rsidRPr="000A1787" w:rsidRDefault="000A1787" w:rsidP="000A1787">
            <w:pPr>
              <w:spacing w:before="0" w:after="0"/>
              <w:jc w:val="left"/>
              <w:rPr>
                <w:rFonts w:ascii="Arial Narrow" w:hAnsi="Arial Narrow"/>
                <w:sz w:val="20"/>
              </w:rPr>
            </w:pPr>
            <w:r w:rsidRPr="000A1787">
              <w:rPr>
                <w:rFonts w:ascii="Arial Narrow" w:hAnsi="Arial Narrow"/>
                <w:sz w:val="20"/>
              </w:rPr>
              <w:t>Lead harmonisation of major donor initiatives with MAF</w:t>
            </w:r>
          </w:p>
        </w:tc>
        <w:tc>
          <w:tcPr>
            <w:tcW w:w="4464" w:type="dxa"/>
          </w:tcPr>
          <w:p w:rsidR="000A1787" w:rsidRPr="000A1787" w:rsidRDefault="000A1787" w:rsidP="000A1787">
            <w:pPr>
              <w:widowControl w:val="0"/>
              <w:numPr>
                <w:ilvl w:val="0"/>
                <w:numId w:val="44"/>
              </w:numPr>
              <w:kinsoku w:val="0"/>
              <w:spacing w:before="0" w:after="0"/>
              <w:ind w:left="317" w:right="144"/>
              <w:contextualSpacing/>
              <w:jc w:val="left"/>
              <w:rPr>
                <w:rFonts w:ascii="Arial Narrow" w:eastAsiaTheme="minorEastAsia" w:hAnsi="Arial Narrow"/>
                <w:spacing w:val="-4"/>
                <w:w w:val="105"/>
                <w:sz w:val="20"/>
                <w:lang w:val="en-US" w:eastAsia="en-NZ"/>
              </w:rPr>
            </w:pPr>
            <w:r w:rsidRPr="000A1787">
              <w:rPr>
                <w:rFonts w:ascii="Arial Narrow" w:eastAsiaTheme="minorEastAsia" w:hAnsi="Arial Narrow"/>
                <w:spacing w:val="-4"/>
                <w:w w:val="105"/>
                <w:sz w:val="20"/>
                <w:lang w:val="en-US" w:eastAsia="en-NZ"/>
              </w:rPr>
              <w:t>Discussions around MAF Strategic Plan started</w:t>
            </w:r>
          </w:p>
        </w:tc>
      </w:tr>
      <w:tr w:rsidR="000A1787" w:rsidRPr="000A1787" w:rsidTr="00F0517E">
        <w:trPr>
          <w:jc w:val="center"/>
        </w:trPr>
        <w:tc>
          <w:tcPr>
            <w:tcW w:w="238" w:type="dxa"/>
            <w:vAlign w:val="center"/>
          </w:tcPr>
          <w:p w:rsidR="000A1787" w:rsidRPr="000A1787" w:rsidRDefault="000A1787" w:rsidP="000A1787">
            <w:pPr>
              <w:spacing w:before="0" w:after="0"/>
              <w:ind w:right="144"/>
              <w:jc w:val="center"/>
              <w:rPr>
                <w:rFonts w:ascii="Arial Narrow" w:hAnsi="Arial Narrow"/>
                <w:spacing w:val="-4"/>
                <w:w w:val="105"/>
                <w:sz w:val="20"/>
              </w:rPr>
            </w:pPr>
            <w:r w:rsidRPr="000A1787">
              <w:rPr>
                <w:rFonts w:ascii="Arial Narrow" w:hAnsi="Arial Narrow"/>
                <w:spacing w:val="-4"/>
                <w:w w:val="105"/>
                <w:sz w:val="20"/>
              </w:rPr>
              <w:t>4</w:t>
            </w:r>
          </w:p>
        </w:tc>
        <w:tc>
          <w:tcPr>
            <w:tcW w:w="4849" w:type="dxa"/>
            <w:vAlign w:val="center"/>
          </w:tcPr>
          <w:p w:rsidR="000A1787" w:rsidRPr="000A1787" w:rsidRDefault="000A1787" w:rsidP="000A1787">
            <w:pPr>
              <w:spacing w:before="0" w:after="0"/>
              <w:jc w:val="left"/>
              <w:rPr>
                <w:rFonts w:ascii="Arial Narrow" w:hAnsi="Arial Narrow"/>
                <w:sz w:val="20"/>
              </w:rPr>
            </w:pPr>
            <w:r w:rsidRPr="000A1787">
              <w:rPr>
                <w:rFonts w:ascii="Arial Narrow" w:hAnsi="Arial Narrow"/>
                <w:sz w:val="20"/>
              </w:rPr>
              <w:t>Improve flexibility of project scientific reporting</w:t>
            </w:r>
          </w:p>
        </w:tc>
        <w:tc>
          <w:tcPr>
            <w:tcW w:w="4464" w:type="dxa"/>
          </w:tcPr>
          <w:p w:rsidR="000A1787" w:rsidRPr="000A1787" w:rsidRDefault="000A1787" w:rsidP="000A1787">
            <w:pPr>
              <w:widowControl w:val="0"/>
              <w:numPr>
                <w:ilvl w:val="0"/>
                <w:numId w:val="44"/>
              </w:numPr>
              <w:kinsoku w:val="0"/>
              <w:spacing w:before="0" w:after="0"/>
              <w:ind w:left="317" w:right="144"/>
              <w:contextualSpacing/>
              <w:jc w:val="left"/>
              <w:rPr>
                <w:rFonts w:ascii="Arial Narrow" w:eastAsiaTheme="minorEastAsia" w:hAnsi="Arial Narrow"/>
                <w:spacing w:val="-4"/>
                <w:w w:val="105"/>
                <w:sz w:val="20"/>
                <w:lang w:val="en-US" w:eastAsia="en-NZ"/>
              </w:rPr>
            </w:pPr>
            <w:r w:rsidRPr="000A1787">
              <w:rPr>
                <w:rFonts w:ascii="Arial Narrow" w:eastAsiaTheme="minorEastAsia" w:hAnsi="Arial Narrow"/>
                <w:spacing w:val="-4"/>
                <w:w w:val="105"/>
                <w:sz w:val="20"/>
                <w:lang w:val="en-US" w:eastAsia="en-NZ"/>
              </w:rPr>
              <w:t>No changes noted; ; 2011 Annual Report in preparation</w:t>
            </w:r>
          </w:p>
        </w:tc>
      </w:tr>
      <w:tr w:rsidR="000A1787" w:rsidRPr="000A1787" w:rsidTr="00F0517E">
        <w:trPr>
          <w:jc w:val="center"/>
        </w:trPr>
        <w:tc>
          <w:tcPr>
            <w:tcW w:w="238" w:type="dxa"/>
            <w:vAlign w:val="center"/>
          </w:tcPr>
          <w:p w:rsidR="000A1787" w:rsidRPr="000A1787" w:rsidRDefault="000A1787" w:rsidP="000A1787">
            <w:pPr>
              <w:spacing w:before="0" w:after="0"/>
              <w:ind w:right="144"/>
              <w:jc w:val="center"/>
              <w:rPr>
                <w:rFonts w:ascii="Arial Narrow" w:hAnsi="Arial Narrow"/>
                <w:spacing w:val="-4"/>
                <w:w w:val="105"/>
                <w:sz w:val="20"/>
              </w:rPr>
            </w:pPr>
            <w:r w:rsidRPr="000A1787">
              <w:rPr>
                <w:rFonts w:ascii="Arial Narrow" w:hAnsi="Arial Narrow"/>
                <w:spacing w:val="-4"/>
                <w:w w:val="105"/>
                <w:sz w:val="20"/>
              </w:rPr>
              <w:t>5</w:t>
            </w:r>
          </w:p>
        </w:tc>
        <w:tc>
          <w:tcPr>
            <w:tcW w:w="4849" w:type="dxa"/>
            <w:vAlign w:val="center"/>
          </w:tcPr>
          <w:p w:rsidR="000A1787" w:rsidRPr="000A1787" w:rsidRDefault="000A1787" w:rsidP="000A1787">
            <w:pPr>
              <w:contextualSpacing/>
              <w:jc w:val="left"/>
              <w:rPr>
                <w:rFonts w:ascii="Arial Narrow" w:hAnsi="Arial Narrow"/>
                <w:sz w:val="20"/>
              </w:rPr>
            </w:pPr>
            <w:r w:rsidRPr="000A1787">
              <w:rPr>
                <w:rFonts w:ascii="Arial Narrow" w:hAnsi="Arial Narrow"/>
                <w:sz w:val="20"/>
              </w:rPr>
              <w:t>Understand soil fertility</w:t>
            </w:r>
          </w:p>
        </w:tc>
        <w:tc>
          <w:tcPr>
            <w:tcW w:w="4464" w:type="dxa"/>
          </w:tcPr>
          <w:p w:rsidR="000A1787" w:rsidRPr="000A1787" w:rsidRDefault="000A1787" w:rsidP="000A1787">
            <w:pPr>
              <w:widowControl w:val="0"/>
              <w:numPr>
                <w:ilvl w:val="0"/>
                <w:numId w:val="44"/>
              </w:numPr>
              <w:kinsoku w:val="0"/>
              <w:spacing w:before="0" w:after="0"/>
              <w:ind w:left="317" w:right="144"/>
              <w:contextualSpacing/>
              <w:jc w:val="left"/>
              <w:rPr>
                <w:rFonts w:ascii="Arial Narrow" w:eastAsiaTheme="minorEastAsia" w:hAnsi="Arial Narrow"/>
                <w:spacing w:val="-4"/>
                <w:w w:val="105"/>
                <w:sz w:val="20"/>
                <w:lang w:val="en-US" w:eastAsia="en-NZ"/>
              </w:rPr>
            </w:pPr>
            <w:r w:rsidRPr="000A1787">
              <w:rPr>
                <w:rFonts w:ascii="Arial Narrow" w:eastAsiaTheme="minorEastAsia" w:hAnsi="Arial Narrow"/>
                <w:spacing w:val="-4"/>
                <w:w w:val="105"/>
                <w:sz w:val="20"/>
                <w:lang w:val="en-US" w:eastAsia="en-NZ"/>
              </w:rPr>
              <w:t>Geology and soils report produced Q4 2011</w:t>
            </w:r>
          </w:p>
          <w:p w:rsidR="000A1787" w:rsidRPr="000A1787" w:rsidRDefault="000A1787" w:rsidP="000A1787">
            <w:pPr>
              <w:widowControl w:val="0"/>
              <w:numPr>
                <w:ilvl w:val="0"/>
                <w:numId w:val="44"/>
              </w:numPr>
              <w:kinsoku w:val="0"/>
              <w:spacing w:before="0" w:after="0"/>
              <w:ind w:left="317" w:right="144"/>
              <w:contextualSpacing/>
              <w:jc w:val="left"/>
              <w:rPr>
                <w:rFonts w:ascii="Arial Narrow" w:eastAsiaTheme="minorEastAsia" w:hAnsi="Arial Narrow"/>
                <w:spacing w:val="-4"/>
                <w:w w:val="105"/>
                <w:sz w:val="20"/>
                <w:lang w:val="en-US" w:eastAsia="en-NZ"/>
              </w:rPr>
            </w:pPr>
            <w:r w:rsidRPr="000A1787">
              <w:rPr>
                <w:rFonts w:ascii="Arial Narrow" w:eastAsiaTheme="minorEastAsia" w:hAnsi="Arial Narrow"/>
                <w:spacing w:val="-4"/>
                <w:w w:val="105"/>
                <w:sz w:val="20"/>
                <w:lang w:val="en-US" w:eastAsia="en-NZ"/>
              </w:rPr>
              <w:t>No soil fertility field trials yet</w:t>
            </w:r>
          </w:p>
        </w:tc>
      </w:tr>
      <w:tr w:rsidR="000A1787" w:rsidRPr="000A1787" w:rsidTr="00F0517E">
        <w:trPr>
          <w:jc w:val="center"/>
        </w:trPr>
        <w:tc>
          <w:tcPr>
            <w:tcW w:w="238" w:type="dxa"/>
            <w:vAlign w:val="center"/>
          </w:tcPr>
          <w:p w:rsidR="000A1787" w:rsidRPr="000A1787" w:rsidRDefault="000A1787" w:rsidP="000A1787">
            <w:pPr>
              <w:spacing w:before="0" w:after="0"/>
              <w:ind w:right="144"/>
              <w:jc w:val="center"/>
              <w:rPr>
                <w:rFonts w:ascii="Arial Narrow" w:hAnsi="Arial Narrow"/>
                <w:spacing w:val="-4"/>
                <w:w w:val="105"/>
                <w:sz w:val="20"/>
              </w:rPr>
            </w:pPr>
            <w:r w:rsidRPr="000A1787">
              <w:rPr>
                <w:rFonts w:ascii="Arial Narrow" w:hAnsi="Arial Narrow"/>
                <w:spacing w:val="-4"/>
                <w:w w:val="105"/>
                <w:sz w:val="20"/>
              </w:rPr>
              <w:t>6</w:t>
            </w:r>
          </w:p>
        </w:tc>
        <w:tc>
          <w:tcPr>
            <w:tcW w:w="4849" w:type="dxa"/>
            <w:vAlign w:val="center"/>
          </w:tcPr>
          <w:p w:rsidR="000A1787" w:rsidRPr="000A1787" w:rsidRDefault="000A1787" w:rsidP="000A1787">
            <w:pPr>
              <w:contextualSpacing/>
              <w:jc w:val="left"/>
              <w:rPr>
                <w:rFonts w:ascii="Arial Narrow" w:hAnsi="Arial Narrow"/>
                <w:sz w:val="20"/>
              </w:rPr>
            </w:pPr>
            <w:r w:rsidRPr="000A1787">
              <w:rPr>
                <w:rFonts w:ascii="Arial Narrow" w:hAnsi="Arial Narrow"/>
                <w:sz w:val="20"/>
              </w:rPr>
              <w:t>Use OFDTs as a vehicle for improving farmers’ agronomic practices</w:t>
            </w:r>
          </w:p>
        </w:tc>
        <w:tc>
          <w:tcPr>
            <w:tcW w:w="4464" w:type="dxa"/>
          </w:tcPr>
          <w:p w:rsidR="000A1787" w:rsidRPr="000A1787" w:rsidRDefault="000A1787" w:rsidP="000A1787">
            <w:pPr>
              <w:widowControl w:val="0"/>
              <w:numPr>
                <w:ilvl w:val="0"/>
                <w:numId w:val="44"/>
              </w:numPr>
              <w:kinsoku w:val="0"/>
              <w:spacing w:before="0" w:after="0"/>
              <w:ind w:left="317" w:right="144"/>
              <w:contextualSpacing/>
              <w:jc w:val="left"/>
              <w:rPr>
                <w:rFonts w:ascii="Arial Narrow" w:eastAsiaTheme="minorEastAsia" w:hAnsi="Arial Narrow"/>
                <w:spacing w:val="-4"/>
                <w:w w:val="105"/>
                <w:sz w:val="20"/>
                <w:lang w:val="en-US" w:eastAsia="en-NZ"/>
              </w:rPr>
            </w:pPr>
            <w:r w:rsidRPr="000A1787">
              <w:rPr>
                <w:rFonts w:ascii="Arial Narrow" w:eastAsiaTheme="minorEastAsia" w:hAnsi="Arial Narrow"/>
                <w:spacing w:val="-4"/>
                <w:w w:val="105"/>
                <w:sz w:val="20"/>
                <w:lang w:val="en-US" w:eastAsia="en-NZ"/>
              </w:rPr>
              <w:t>No OFDT “best bet” grower practices demonstrated yet</w:t>
            </w:r>
          </w:p>
        </w:tc>
      </w:tr>
      <w:tr w:rsidR="000A1787" w:rsidRPr="000A1787" w:rsidTr="00F0517E">
        <w:trPr>
          <w:jc w:val="center"/>
        </w:trPr>
        <w:tc>
          <w:tcPr>
            <w:tcW w:w="238" w:type="dxa"/>
            <w:vAlign w:val="center"/>
          </w:tcPr>
          <w:p w:rsidR="000A1787" w:rsidRPr="000A1787" w:rsidRDefault="000A1787" w:rsidP="000A1787">
            <w:pPr>
              <w:spacing w:before="0" w:after="0"/>
              <w:ind w:right="144"/>
              <w:jc w:val="center"/>
              <w:rPr>
                <w:rFonts w:ascii="Arial Narrow" w:hAnsi="Arial Narrow"/>
                <w:spacing w:val="-4"/>
                <w:w w:val="105"/>
                <w:sz w:val="20"/>
              </w:rPr>
            </w:pPr>
            <w:r w:rsidRPr="000A1787">
              <w:rPr>
                <w:rFonts w:ascii="Arial Narrow" w:hAnsi="Arial Narrow"/>
                <w:spacing w:val="-4"/>
                <w:w w:val="105"/>
                <w:sz w:val="20"/>
              </w:rPr>
              <w:t>7</w:t>
            </w:r>
          </w:p>
        </w:tc>
        <w:tc>
          <w:tcPr>
            <w:tcW w:w="4849" w:type="dxa"/>
            <w:vAlign w:val="center"/>
          </w:tcPr>
          <w:p w:rsidR="000A1787" w:rsidRPr="000A1787" w:rsidRDefault="000A1787" w:rsidP="000A1787">
            <w:pPr>
              <w:contextualSpacing/>
              <w:jc w:val="left"/>
              <w:rPr>
                <w:rFonts w:ascii="Arial Narrow" w:hAnsi="Arial Narrow"/>
                <w:sz w:val="20"/>
              </w:rPr>
            </w:pPr>
            <w:r w:rsidRPr="000A1787">
              <w:rPr>
                <w:rFonts w:ascii="Arial Narrow" w:hAnsi="Arial Narrow"/>
                <w:sz w:val="20"/>
              </w:rPr>
              <w:t>Improve priority setting in crop research</w:t>
            </w:r>
          </w:p>
        </w:tc>
        <w:tc>
          <w:tcPr>
            <w:tcW w:w="4464" w:type="dxa"/>
          </w:tcPr>
          <w:p w:rsidR="000A1787" w:rsidRPr="000A1787" w:rsidRDefault="000A1787" w:rsidP="000A1787">
            <w:pPr>
              <w:widowControl w:val="0"/>
              <w:numPr>
                <w:ilvl w:val="0"/>
                <w:numId w:val="44"/>
              </w:numPr>
              <w:kinsoku w:val="0"/>
              <w:spacing w:before="0" w:after="0"/>
              <w:ind w:left="317" w:right="144"/>
              <w:contextualSpacing/>
              <w:jc w:val="left"/>
              <w:rPr>
                <w:rFonts w:ascii="Arial Narrow" w:eastAsiaTheme="minorEastAsia" w:hAnsi="Arial Narrow"/>
                <w:spacing w:val="-4"/>
                <w:w w:val="105"/>
                <w:sz w:val="20"/>
                <w:lang w:val="en-US" w:eastAsia="en-NZ"/>
              </w:rPr>
            </w:pPr>
            <w:r w:rsidRPr="000A1787">
              <w:rPr>
                <w:rFonts w:ascii="Arial Narrow" w:eastAsiaTheme="minorEastAsia" w:hAnsi="Arial Narrow"/>
                <w:spacing w:val="-4"/>
                <w:w w:val="105"/>
                <w:sz w:val="20"/>
                <w:lang w:val="en-US" w:eastAsia="en-NZ"/>
              </w:rPr>
              <w:t>Revised TORs for Climate Change advisor includes improved agro-ecological zone definition</w:t>
            </w:r>
          </w:p>
        </w:tc>
      </w:tr>
      <w:tr w:rsidR="000A1787" w:rsidRPr="000A1787" w:rsidTr="00F0517E">
        <w:trPr>
          <w:jc w:val="center"/>
        </w:trPr>
        <w:tc>
          <w:tcPr>
            <w:tcW w:w="238" w:type="dxa"/>
            <w:vAlign w:val="center"/>
          </w:tcPr>
          <w:p w:rsidR="000A1787" w:rsidRPr="000A1787" w:rsidRDefault="000A1787" w:rsidP="000A1787">
            <w:pPr>
              <w:spacing w:before="0" w:after="0"/>
              <w:ind w:right="144"/>
              <w:jc w:val="center"/>
              <w:rPr>
                <w:rFonts w:ascii="Arial Narrow" w:hAnsi="Arial Narrow"/>
                <w:spacing w:val="-4"/>
                <w:w w:val="105"/>
                <w:sz w:val="20"/>
              </w:rPr>
            </w:pPr>
            <w:r w:rsidRPr="000A1787">
              <w:rPr>
                <w:rFonts w:ascii="Arial Narrow" w:hAnsi="Arial Narrow"/>
                <w:spacing w:val="-4"/>
                <w:w w:val="105"/>
                <w:sz w:val="20"/>
              </w:rPr>
              <w:t>8</w:t>
            </w:r>
          </w:p>
        </w:tc>
        <w:tc>
          <w:tcPr>
            <w:tcW w:w="4849" w:type="dxa"/>
            <w:vAlign w:val="center"/>
          </w:tcPr>
          <w:p w:rsidR="000A1787" w:rsidRPr="000A1787" w:rsidRDefault="000A1787" w:rsidP="000A1787">
            <w:pPr>
              <w:contextualSpacing/>
              <w:jc w:val="left"/>
              <w:rPr>
                <w:rFonts w:ascii="Arial Narrow" w:hAnsi="Arial Narrow"/>
                <w:sz w:val="20"/>
              </w:rPr>
            </w:pPr>
            <w:r w:rsidRPr="000A1787">
              <w:rPr>
                <w:rFonts w:ascii="Arial Narrow" w:hAnsi="Arial Narrow"/>
                <w:sz w:val="20"/>
              </w:rPr>
              <w:t>Raise farmers’ awareness of new varieties</w:t>
            </w:r>
          </w:p>
        </w:tc>
        <w:tc>
          <w:tcPr>
            <w:tcW w:w="4464" w:type="dxa"/>
          </w:tcPr>
          <w:p w:rsidR="000A1787" w:rsidRPr="000A1787" w:rsidRDefault="000A1787" w:rsidP="000A1787">
            <w:pPr>
              <w:widowControl w:val="0"/>
              <w:numPr>
                <w:ilvl w:val="0"/>
                <w:numId w:val="44"/>
              </w:numPr>
              <w:kinsoku w:val="0"/>
              <w:spacing w:before="0" w:after="0"/>
              <w:ind w:left="317" w:right="144"/>
              <w:contextualSpacing/>
              <w:jc w:val="left"/>
              <w:rPr>
                <w:rFonts w:ascii="Arial Narrow" w:eastAsiaTheme="minorEastAsia" w:hAnsi="Arial Narrow"/>
                <w:spacing w:val="-4"/>
                <w:w w:val="105"/>
                <w:sz w:val="20"/>
                <w:lang w:val="en-US" w:eastAsia="en-NZ"/>
              </w:rPr>
            </w:pPr>
            <w:r w:rsidRPr="000A1787">
              <w:rPr>
                <w:rFonts w:ascii="Arial Narrow" w:eastAsiaTheme="minorEastAsia" w:hAnsi="Arial Narrow"/>
                <w:spacing w:val="-4"/>
                <w:w w:val="105"/>
                <w:sz w:val="20"/>
                <w:lang w:val="en-US" w:eastAsia="en-NZ"/>
              </w:rPr>
              <w:t>Communications strategy developed, team engaged</w:t>
            </w:r>
          </w:p>
          <w:p w:rsidR="000A1787" w:rsidRPr="000A1787" w:rsidRDefault="000A1787" w:rsidP="000A1787">
            <w:pPr>
              <w:widowControl w:val="0"/>
              <w:numPr>
                <w:ilvl w:val="0"/>
                <w:numId w:val="44"/>
              </w:numPr>
              <w:kinsoku w:val="0"/>
              <w:spacing w:before="0" w:after="0"/>
              <w:ind w:left="317" w:right="144"/>
              <w:contextualSpacing/>
              <w:jc w:val="left"/>
              <w:rPr>
                <w:rFonts w:ascii="Arial Narrow" w:eastAsiaTheme="minorEastAsia" w:hAnsi="Arial Narrow"/>
                <w:spacing w:val="-4"/>
                <w:w w:val="105"/>
                <w:sz w:val="20"/>
                <w:lang w:val="en-US" w:eastAsia="en-NZ"/>
              </w:rPr>
            </w:pPr>
            <w:r w:rsidRPr="000A1787">
              <w:rPr>
                <w:rFonts w:ascii="Arial Narrow" w:eastAsiaTheme="minorEastAsia" w:hAnsi="Arial Narrow"/>
                <w:spacing w:val="-4"/>
                <w:w w:val="105"/>
                <w:sz w:val="20"/>
                <w:lang w:val="en-US" w:eastAsia="en-NZ"/>
              </w:rPr>
              <w:t>Baseline survey conducted Q4 2011</w:t>
            </w:r>
          </w:p>
        </w:tc>
      </w:tr>
    </w:tbl>
    <w:p w:rsidR="005D47EC" w:rsidRPr="003D1B5E" w:rsidRDefault="005D47EC" w:rsidP="002A5059">
      <w:pPr>
        <w:ind w:right="144"/>
        <w:rPr>
          <w:spacing w:val="-4"/>
          <w:w w:val="105"/>
          <w:lang w:val="en-GB"/>
        </w:rPr>
      </w:pPr>
    </w:p>
    <w:p w:rsidR="003424EC" w:rsidRPr="003D1B5E" w:rsidRDefault="003424EC" w:rsidP="003424EC">
      <w:pPr>
        <w:rPr>
          <w:lang w:val="en-GB"/>
        </w:rPr>
      </w:pPr>
    </w:p>
    <w:p w:rsidR="003424EC" w:rsidRPr="003D1B5E" w:rsidRDefault="003424EC" w:rsidP="003424EC">
      <w:pPr>
        <w:tabs>
          <w:tab w:val="num" w:pos="1440"/>
        </w:tabs>
        <w:jc w:val="center"/>
        <w:rPr>
          <w:lang w:val="en-GB"/>
        </w:rPr>
      </w:pPr>
      <w:r w:rsidRPr="003D1B5E">
        <w:rPr>
          <w:lang w:val="en-GB"/>
        </w:rPr>
        <w:sym w:font="Wingdings" w:char="F09A"/>
      </w:r>
      <w:r w:rsidRPr="003D1B5E">
        <w:rPr>
          <w:lang w:val="en-GB"/>
        </w:rPr>
        <w:t xml:space="preserve"> </w:t>
      </w:r>
      <w:r w:rsidRPr="003D1B5E">
        <w:rPr>
          <w:lang w:val="en-GB"/>
        </w:rPr>
        <w:sym w:font="Wingdings" w:char="F09B"/>
      </w:r>
    </w:p>
    <w:p w:rsidR="00B30C8B" w:rsidRPr="003D1B5E" w:rsidRDefault="00B30C8B" w:rsidP="00700E66">
      <w:pPr>
        <w:rPr>
          <w:lang w:val="en-GB"/>
        </w:rPr>
      </w:pPr>
    </w:p>
    <w:p w:rsidR="00983708" w:rsidRPr="003D1B5E" w:rsidRDefault="00983708" w:rsidP="00983708">
      <w:pPr>
        <w:pStyle w:val="Heading1"/>
        <w:rPr>
          <w:lang w:val="en-GB"/>
        </w:rPr>
      </w:pPr>
      <w:bookmarkStart w:id="27" w:name="_Toc326845357"/>
      <w:r w:rsidRPr="003D1B5E">
        <w:rPr>
          <w:lang w:val="en-GB"/>
        </w:rPr>
        <w:lastRenderedPageBreak/>
        <w:t>Recommendations</w:t>
      </w:r>
      <w:bookmarkEnd w:id="27"/>
    </w:p>
    <w:p w:rsidR="00E025C9" w:rsidRDefault="00E025C9" w:rsidP="00B97096">
      <w:pPr>
        <w:rPr>
          <w:lang w:val="en-GB"/>
        </w:rPr>
      </w:pPr>
      <w:r w:rsidRPr="00E025C9">
        <w:rPr>
          <w:lang w:val="en-GB"/>
        </w:rPr>
        <w:t xml:space="preserve">Based on document review, interviews with SOL3 stakeholders in Dili, Bobonaro District and field interviews in 5 </w:t>
      </w:r>
      <w:r w:rsidRPr="00E025C9">
        <w:rPr>
          <w:i/>
          <w:lang w:val="en-GB"/>
        </w:rPr>
        <w:t>sucos</w:t>
      </w:r>
      <w:r w:rsidRPr="00E025C9">
        <w:rPr>
          <w:lang w:val="en-GB"/>
        </w:rPr>
        <w:t>, the TAG recommends that SOL3 work with MAF to:</w:t>
      </w:r>
    </w:p>
    <w:p w:rsidR="00D30BD2" w:rsidRPr="00D30BD2" w:rsidRDefault="00E74D38" w:rsidP="004E751E">
      <w:pPr>
        <w:pStyle w:val="ListParagraph"/>
        <w:numPr>
          <w:ilvl w:val="0"/>
          <w:numId w:val="54"/>
        </w:numPr>
        <w:ind w:left="284" w:hanging="284"/>
        <w:jc w:val="both"/>
        <w:rPr>
          <w:lang w:val="en-GB"/>
        </w:rPr>
      </w:pPr>
      <w:r>
        <w:rPr>
          <w:b/>
          <w:lang w:val="en-GB"/>
        </w:rPr>
        <w:t>Establish</w:t>
      </w:r>
      <w:r w:rsidR="00D30BD2" w:rsidRPr="00D30BD2">
        <w:rPr>
          <w:b/>
          <w:lang w:val="en-GB"/>
        </w:rPr>
        <w:t xml:space="preserve"> </w:t>
      </w:r>
      <w:r w:rsidR="00D30BD2">
        <w:rPr>
          <w:b/>
          <w:lang w:val="en-GB"/>
        </w:rPr>
        <w:t xml:space="preserve">the </w:t>
      </w:r>
      <w:r w:rsidR="00D30BD2" w:rsidRPr="00D30BD2">
        <w:rPr>
          <w:b/>
          <w:lang w:val="en-GB"/>
        </w:rPr>
        <w:t>policy and institutional foundation for transition in 2014/15</w:t>
      </w:r>
      <w:r w:rsidR="00D30BD2" w:rsidRPr="00D30BD2">
        <w:rPr>
          <w:lang w:val="en-GB"/>
        </w:rPr>
        <w:t xml:space="preserve"> – the TAG </w:t>
      </w:r>
      <w:r w:rsidR="00F44710" w:rsidRPr="00341940">
        <w:rPr>
          <w:u w:val="single"/>
          <w:lang w:val="en-GB"/>
        </w:rPr>
        <w:t>recommends</w:t>
      </w:r>
      <w:r w:rsidR="00D30BD2" w:rsidRPr="00D30BD2">
        <w:rPr>
          <w:lang w:val="en-GB"/>
        </w:rPr>
        <w:t xml:space="preserve"> that the Team Leader and AusAID staff work together with the DG MAF to design a process that enables MAF to secure adequate recurrent budget and </w:t>
      </w:r>
      <w:r w:rsidR="00AA5ADC">
        <w:rPr>
          <w:lang w:val="en-GB"/>
        </w:rPr>
        <w:t xml:space="preserve">the number of </w:t>
      </w:r>
      <w:r w:rsidR="00D30BD2" w:rsidRPr="00D30BD2">
        <w:rPr>
          <w:lang w:val="en-GB"/>
        </w:rPr>
        <w:t xml:space="preserve">staff </w:t>
      </w:r>
      <w:r w:rsidR="00AA5ADC">
        <w:rPr>
          <w:lang w:val="en-GB"/>
        </w:rPr>
        <w:t xml:space="preserve">with required competencies </w:t>
      </w:r>
      <w:r w:rsidR="00D30BD2" w:rsidRPr="00D30BD2">
        <w:rPr>
          <w:lang w:val="en-GB"/>
        </w:rPr>
        <w:t>to take over operational responsibility for research, foundation seed production</w:t>
      </w:r>
      <w:r>
        <w:rPr>
          <w:lang w:val="en-GB"/>
        </w:rPr>
        <w:t>,</w:t>
      </w:r>
      <w:r w:rsidR="00D30BD2" w:rsidRPr="00D30BD2">
        <w:rPr>
          <w:lang w:val="en-GB"/>
        </w:rPr>
        <w:t xml:space="preserve"> and formal seed multiplication by the end of 2014.</w:t>
      </w:r>
    </w:p>
    <w:p w:rsidR="00D30BD2" w:rsidRPr="00D30BD2" w:rsidRDefault="00D30BD2" w:rsidP="004E751E">
      <w:pPr>
        <w:pStyle w:val="ListParagraph"/>
        <w:numPr>
          <w:ilvl w:val="0"/>
          <w:numId w:val="54"/>
        </w:numPr>
        <w:ind w:left="284" w:hanging="284"/>
        <w:jc w:val="both"/>
        <w:rPr>
          <w:lang w:val="en-GB"/>
        </w:rPr>
      </w:pPr>
      <w:r w:rsidRPr="00D30BD2">
        <w:rPr>
          <w:b/>
          <w:lang w:val="en-GB"/>
        </w:rPr>
        <w:t>Explore yield potential to inform future investments</w:t>
      </w:r>
      <w:r w:rsidRPr="00D30BD2">
        <w:rPr>
          <w:lang w:val="en-GB"/>
        </w:rPr>
        <w:t xml:space="preserve"> – the TAG </w:t>
      </w:r>
      <w:r w:rsidR="00F44710" w:rsidRPr="00341940">
        <w:rPr>
          <w:u w:val="single"/>
          <w:lang w:val="en-GB"/>
        </w:rPr>
        <w:t>recommends</w:t>
      </w:r>
      <w:r w:rsidRPr="00D30BD2">
        <w:rPr>
          <w:lang w:val="en-GB"/>
        </w:rPr>
        <w:t xml:space="preserve"> that C1</w:t>
      </w:r>
      <w:r w:rsidR="00AA5ADC">
        <w:rPr>
          <w:lang w:val="en-GB"/>
        </w:rPr>
        <w:t>, C2</w:t>
      </w:r>
      <w:r w:rsidRPr="00D30BD2">
        <w:rPr>
          <w:lang w:val="en-GB"/>
        </w:rPr>
        <w:t xml:space="preserve"> and C</w:t>
      </w:r>
      <w:r w:rsidR="00AA5ADC">
        <w:rPr>
          <w:lang w:val="en-GB"/>
        </w:rPr>
        <w:t>3</w:t>
      </w:r>
      <w:r w:rsidRPr="00D30BD2">
        <w:rPr>
          <w:lang w:val="en-GB"/>
        </w:rPr>
        <w:t xml:space="preserve"> teams work with their MAF partners to test the yield potential of recommended varieties through crop nutrition, weed management and plant density treatments on experiment station demonstration plots and with interested farmers as OFDTs</w:t>
      </w:r>
      <w:r w:rsidR="0005139A">
        <w:rPr>
          <w:lang w:val="en-GB"/>
        </w:rPr>
        <w:t xml:space="preserve"> or superimposed trials</w:t>
      </w:r>
      <w:r w:rsidRPr="00D30BD2">
        <w:rPr>
          <w:lang w:val="en-GB"/>
        </w:rPr>
        <w:t xml:space="preserve"> in formal seed and ISPG fields</w:t>
      </w:r>
      <w:r>
        <w:rPr>
          <w:lang w:val="en-GB"/>
        </w:rPr>
        <w:t>.</w:t>
      </w:r>
    </w:p>
    <w:p w:rsidR="00D30BD2" w:rsidRPr="00D30BD2" w:rsidRDefault="00D30BD2" w:rsidP="004E751E">
      <w:pPr>
        <w:pStyle w:val="ListParagraph"/>
        <w:numPr>
          <w:ilvl w:val="0"/>
          <w:numId w:val="54"/>
        </w:numPr>
        <w:ind w:left="284" w:hanging="284"/>
        <w:jc w:val="both"/>
        <w:rPr>
          <w:lang w:val="en-GB"/>
        </w:rPr>
      </w:pPr>
      <w:proofErr w:type="gramStart"/>
      <w:r w:rsidRPr="00D30BD2">
        <w:rPr>
          <w:b/>
          <w:lang w:val="en-GB"/>
        </w:rPr>
        <w:t>Use vulnerability criteria to select new varieties</w:t>
      </w:r>
      <w:r w:rsidRPr="00D30BD2">
        <w:rPr>
          <w:lang w:val="en-GB"/>
        </w:rPr>
        <w:t xml:space="preserve"> – the TAG </w:t>
      </w:r>
      <w:r w:rsidR="00F44710" w:rsidRPr="00341940">
        <w:rPr>
          <w:u w:val="single"/>
          <w:lang w:val="en-GB"/>
        </w:rPr>
        <w:t>recommends</w:t>
      </w:r>
      <w:proofErr w:type="gramEnd"/>
      <w:r w:rsidRPr="00D30BD2">
        <w:rPr>
          <w:lang w:val="en-GB"/>
        </w:rPr>
        <w:t xml:space="preserve"> that the Climate Change Adviser analyses vulnerability to food insecurity under historical climate variability scenarios to identify criteria</w:t>
      </w:r>
      <w:r w:rsidR="0005139A">
        <w:rPr>
          <w:lang w:val="en-GB"/>
        </w:rPr>
        <w:t>.  These</w:t>
      </w:r>
      <w:r w:rsidR="0084564A">
        <w:rPr>
          <w:lang w:val="en-GB"/>
        </w:rPr>
        <w:t xml:space="preserve"> </w:t>
      </w:r>
      <w:r w:rsidRPr="00D30BD2">
        <w:rPr>
          <w:lang w:val="en-GB"/>
        </w:rPr>
        <w:t xml:space="preserve">could be used to select new crop varieties </w:t>
      </w:r>
      <w:r w:rsidR="00FF2E0B">
        <w:rPr>
          <w:lang w:val="en-GB"/>
        </w:rPr>
        <w:t xml:space="preserve">and crop systems </w:t>
      </w:r>
      <w:r w:rsidRPr="00D30BD2">
        <w:rPr>
          <w:lang w:val="en-GB"/>
        </w:rPr>
        <w:t xml:space="preserve">that will </w:t>
      </w:r>
      <w:r>
        <w:rPr>
          <w:lang w:val="en-GB"/>
        </w:rPr>
        <w:t>increase</w:t>
      </w:r>
      <w:r w:rsidRPr="00D30BD2">
        <w:rPr>
          <w:lang w:val="en-GB"/>
        </w:rPr>
        <w:t xml:space="preserve"> household food security </w:t>
      </w:r>
      <w:r>
        <w:rPr>
          <w:lang w:val="en-GB"/>
        </w:rPr>
        <w:t>resilience</w:t>
      </w:r>
      <w:r w:rsidRPr="00D30BD2">
        <w:rPr>
          <w:lang w:val="en-GB"/>
        </w:rPr>
        <w:t xml:space="preserve"> under climate variability, particularly in the poorest regions of Timor-Leste.  This could include early season maize, multipurpose legumes, and crop</w:t>
      </w:r>
      <w:r w:rsidR="0005139A">
        <w:rPr>
          <w:lang w:val="en-GB"/>
        </w:rPr>
        <w:t xml:space="preserve"> combinations</w:t>
      </w:r>
      <w:r w:rsidRPr="00D30BD2">
        <w:rPr>
          <w:lang w:val="en-GB"/>
        </w:rPr>
        <w:t xml:space="preserve"> in farming systems </w:t>
      </w:r>
      <w:r>
        <w:rPr>
          <w:lang w:val="en-GB"/>
        </w:rPr>
        <w:t>designed</w:t>
      </w:r>
      <w:r w:rsidRPr="00D30BD2">
        <w:rPr>
          <w:lang w:val="en-GB"/>
        </w:rPr>
        <w:t xml:space="preserve"> for drought resilience.</w:t>
      </w:r>
    </w:p>
    <w:p w:rsidR="00D30BD2" w:rsidRPr="00D30BD2" w:rsidRDefault="00D30BD2" w:rsidP="004E751E">
      <w:pPr>
        <w:pStyle w:val="ListParagraph"/>
        <w:numPr>
          <w:ilvl w:val="0"/>
          <w:numId w:val="54"/>
        </w:numPr>
        <w:ind w:left="284" w:hanging="284"/>
        <w:jc w:val="both"/>
        <w:rPr>
          <w:lang w:val="en-GB"/>
        </w:rPr>
      </w:pPr>
      <w:r w:rsidRPr="00D30BD2">
        <w:rPr>
          <w:b/>
          <w:lang w:val="en-GB"/>
        </w:rPr>
        <w:t>Review efficiency of formal seed production</w:t>
      </w:r>
      <w:r w:rsidRPr="00D30BD2">
        <w:rPr>
          <w:lang w:val="en-GB"/>
        </w:rPr>
        <w:t xml:space="preserve"> – </w:t>
      </w:r>
      <w:r w:rsidR="00C91B7C">
        <w:rPr>
          <w:lang w:val="en-GB"/>
        </w:rPr>
        <w:t xml:space="preserve">As part of a broader national Seed Policy, </w:t>
      </w:r>
      <w:r w:rsidRPr="00D30BD2">
        <w:rPr>
          <w:lang w:val="en-GB"/>
        </w:rPr>
        <w:t xml:space="preserve">the TAG </w:t>
      </w:r>
      <w:r w:rsidR="00F44710" w:rsidRPr="00341940">
        <w:rPr>
          <w:u w:val="single"/>
          <w:lang w:val="en-GB"/>
        </w:rPr>
        <w:t>recommends</w:t>
      </w:r>
      <w:r w:rsidRPr="00D30BD2">
        <w:rPr>
          <w:lang w:val="en-GB"/>
        </w:rPr>
        <w:t xml:space="preserve"> that the full cost of producing foundation and certified seed is calculated and used to determine the most efficient options for cost recovery and for producing the amount of formal seed required to meet the needs of planned ISPG activities in SOL3 and with NGOs.</w:t>
      </w:r>
    </w:p>
    <w:p w:rsidR="00F3790B" w:rsidRPr="002E2738" w:rsidRDefault="00FB2DD9" w:rsidP="002E2738">
      <w:pPr>
        <w:pStyle w:val="ListParagraph"/>
        <w:numPr>
          <w:ilvl w:val="0"/>
          <w:numId w:val="54"/>
        </w:numPr>
        <w:ind w:left="284" w:hanging="284"/>
        <w:jc w:val="both"/>
        <w:rPr>
          <w:lang w:val="en-GB"/>
        </w:rPr>
      </w:pPr>
      <w:r w:rsidRPr="002E2738">
        <w:rPr>
          <w:b/>
          <w:lang w:val="en-GB"/>
        </w:rPr>
        <w:t>Review the impacts of seed distribution choices</w:t>
      </w:r>
      <w:r w:rsidRPr="002E2738">
        <w:rPr>
          <w:lang w:val="en-GB"/>
        </w:rPr>
        <w:t xml:space="preserve"> – the TAG recommends that SOL3 together with MAF evaluate the effects of distribution of high quality certified seed at no cost to farmers on the efficiency and effectiveness of distribution, ability to reach the maximum number of farmers and incentives for the development of a private seed sector.</w:t>
      </w:r>
    </w:p>
    <w:p w:rsidR="00D30BD2" w:rsidRPr="00D30BD2" w:rsidRDefault="00D30BD2" w:rsidP="004E751E">
      <w:pPr>
        <w:pStyle w:val="ListParagraph"/>
        <w:numPr>
          <w:ilvl w:val="0"/>
          <w:numId w:val="54"/>
        </w:numPr>
        <w:ind w:left="284" w:hanging="284"/>
        <w:jc w:val="both"/>
        <w:rPr>
          <w:lang w:val="en-GB"/>
        </w:rPr>
      </w:pPr>
      <w:r w:rsidRPr="00D30BD2">
        <w:rPr>
          <w:b/>
          <w:lang w:val="en-GB"/>
        </w:rPr>
        <w:t>Encourage wider use of social capital developed in ISPGs</w:t>
      </w:r>
      <w:r w:rsidRPr="00D30BD2">
        <w:rPr>
          <w:lang w:val="en-GB"/>
        </w:rPr>
        <w:t xml:space="preserve"> – the TAG </w:t>
      </w:r>
      <w:r w:rsidR="00F44710" w:rsidRPr="00341940">
        <w:rPr>
          <w:u w:val="single"/>
          <w:lang w:val="en-GB"/>
        </w:rPr>
        <w:t>recommends</w:t>
      </w:r>
      <w:r w:rsidRPr="00D30BD2">
        <w:rPr>
          <w:lang w:val="en-GB"/>
        </w:rPr>
        <w:t xml:space="preserve"> that the Team Leader work with the Adviser of Informal Seed Production and the MAF Director of Extension to engage with other rural development programs in Timor-Leste that could make use of the social capital being developed by SOL3 in ISPGs.  This could include groups benefiting from activities under programs such as RDP4, ACD, IFAD Cereal Drum Program, ILO infrastructure programs and health outreach programs.</w:t>
      </w:r>
    </w:p>
    <w:p w:rsidR="007755E6" w:rsidRPr="007755E6" w:rsidRDefault="007755E6" w:rsidP="004E751E">
      <w:pPr>
        <w:pStyle w:val="ListParagraph"/>
        <w:numPr>
          <w:ilvl w:val="0"/>
          <w:numId w:val="54"/>
        </w:numPr>
        <w:ind w:left="284" w:hanging="284"/>
        <w:jc w:val="both"/>
        <w:rPr>
          <w:lang w:val="en-GB"/>
        </w:rPr>
      </w:pPr>
      <w:r w:rsidRPr="007755E6">
        <w:rPr>
          <w:b/>
          <w:lang w:val="en-GB"/>
        </w:rPr>
        <w:t>Support SEOs to ensure they support SOL3 result</w:t>
      </w:r>
      <w:r w:rsidR="00FF2E0B">
        <w:rPr>
          <w:b/>
          <w:lang w:val="en-GB"/>
        </w:rPr>
        <w:t>s</w:t>
      </w:r>
      <w:r>
        <w:rPr>
          <w:lang w:val="en-GB"/>
        </w:rPr>
        <w:t xml:space="preserve"> – </w:t>
      </w:r>
      <w:r w:rsidRPr="007755E6">
        <w:rPr>
          <w:lang w:val="en-GB"/>
        </w:rPr>
        <w:t>the</w:t>
      </w:r>
      <w:r>
        <w:rPr>
          <w:lang w:val="en-GB"/>
        </w:rPr>
        <w:t xml:space="preserve"> </w:t>
      </w:r>
      <w:r w:rsidRPr="007755E6">
        <w:rPr>
          <w:lang w:val="en-GB"/>
        </w:rPr>
        <w:t xml:space="preserve">TAG </w:t>
      </w:r>
      <w:r w:rsidR="00F44710" w:rsidRPr="00341940">
        <w:rPr>
          <w:u w:val="single"/>
          <w:lang w:val="en-GB"/>
        </w:rPr>
        <w:t>recommends</w:t>
      </w:r>
      <w:r w:rsidRPr="007755E6">
        <w:rPr>
          <w:lang w:val="en-GB"/>
        </w:rPr>
        <w:t xml:space="preserve"> that SEOs responsible for IPSGs in priority areas be assisted with transportation and training where needed, and that their involvement with other donor-assisted activities and their workload be coordinated with MAF and the donor concerned as part of the AusAID contribution to harmonisation in the rural development sector.</w:t>
      </w:r>
    </w:p>
    <w:p w:rsidR="00D30BD2" w:rsidRPr="00D30BD2" w:rsidRDefault="00D30BD2" w:rsidP="004E751E">
      <w:pPr>
        <w:pStyle w:val="ListParagraph"/>
        <w:numPr>
          <w:ilvl w:val="0"/>
          <w:numId w:val="54"/>
        </w:numPr>
        <w:ind w:left="284" w:hanging="284"/>
        <w:jc w:val="both"/>
        <w:rPr>
          <w:lang w:val="en-GB"/>
        </w:rPr>
      </w:pPr>
      <w:r w:rsidRPr="00D30BD2">
        <w:rPr>
          <w:b/>
          <w:lang w:val="en-GB"/>
        </w:rPr>
        <w:t>Finalise performance management system and put it into practice</w:t>
      </w:r>
      <w:r w:rsidRPr="00D30BD2">
        <w:rPr>
          <w:lang w:val="en-GB"/>
        </w:rPr>
        <w:t xml:space="preserve"> – the TAG </w:t>
      </w:r>
      <w:r w:rsidR="00F44710" w:rsidRPr="00341940">
        <w:rPr>
          <w:u w:val="single"/>
          <w:lang w:val="en-GB"/>
        </w:rPr>
        <w:t>recommends</w:t>
      </w:r>
      <w:r w:rsidRPr="00D30BD2">
        <w:rPr>
          <w:lang w:val="en-GB"/>
        </w:rPr>
        <w:t xml:space="preserve"> that after </w:t>
      </w:r>
      <w:r w:rsidR="008D4FB4">
        <w:rPr>
          <w:lang w:val="en-GB"/>
        </w:rPr>
        <w:t xml:space="preserve">final consultation with MAF, AusAID and ACIAR, </w:t>
      </w:r>
      <w:r w:rsidRPr="00D30BD2">
        <w:rPr>
          <w:lang w:val="en-GB"/>
        </w:rPr>
        <w:t>minor refinement</w:t>
      </w:r>
      <w:r w:rsidR="008D4FB4">
        <w:rPr>
          <w:lang w:val="en-GB"/>
        </w:rPr>
        <w:t>s are made</w:t>
      </w:r>
      <w:r w:rsidRPr="00D30BD2">
        <w:rPr>
          <w:lang w:val="en-GB"/>
        </w:rPr>
        <w:t xml:space="preserve"> to finalise the performance management plan, evaluation framework and results framework </w:t>
      </w:r>
      <w:r w:rsidR="008D4FB4">
        <w:rPr>
          <w:lang w:val="en-GB"/>
        </w:rPr>
        <w:t xml:space="preserve">so that </w:t>
      </w:r>
      <w:r w:rsidRPr="00D30BD2">
        <w:rPr>
          <w:lang w:val="en-GB"/>
        </w:rPr>
        <w:t xml:space="preserve">the performance management system </w:t>
      </w:r>
      <w:r w:rsidR="008D4FB4">
        <w:rPr>
          <w:lang w:val="en-GB"/>
        </w:rPr>
        <w:t>can be</w:t>
      </w:r>
      <w:r w:rsidRPr="00D30BD2">
        <w:rPr>
          <w:lang w:val="en-GB"/>
        </w:rPr>
        <w:t xml:space="preserve"> operationalised and early monitoring results included in reports for the PMT</w:t>
      </w:r>
      <w:r w:rsidR="00FF2E0B">
        <w:rPr>
          <w:lang w:val="en-GB"/>
        </w:rPr>
        <w:t xml:space="preserve"> as soon as possible</w:t>
      </w:r>
      <w:r w:rsidRPr="00D30BD2">
        <w:rPr>
          <w:lang w:val="en-GB"/>
        </w:rPr>
        <w:t>.</w:t>
      </w:r>
    </w:p>
    <w:p w:rsidR="00D30BD2" w:rsidRPr="00D30BD2" w:rsidRDefault="00D30BD2" w:rsidP="004E751E">
      <w:pPr>
        <w:pStyle w:val="ListParagraph"/>
        <w:numPr>
          <w:ilvl w:val="0"/>
          <w:numId w:val="54"/>
        </w:numPr>
        <w:ind w:left="284" w:hanging="284"/>
        <w:jc w:val="both"/>
        <w:rPr>
          <w:lang w:val="en-GB"/>
        </w:rPr>
      </w:pPr>
      <w:r w:rsidRPr="00D30BD2">
        <w:rPr>
          <w:b/>
          <w:lang w:val="en-GB"/>
        </w:rPr>
        <w:t>Prepare for mid-term review</w:t>
      </w:r>
      <w:r w:rsidRPr="00D30BD2">
        <w:rPr>
          <w:lang w:val="en-GB"/>
        </w:rPr>
        <w:t xml:space="preserve"> – the TAG </w:t>
      </w:r>
      <w:r w:rsidR="00F44710" w:rsidRPr="00341940">
        <w:rPr>
          <w:u w:val="single"/>
          <w:lang w:val="en-GB"/>
        </w:rPr>
        <w:t>recommends</w:t>
      </w:r>
      <w:r w:rsidRPr="00D30BD2">
        <w:rPr>
          <w:lang w:val="en-GB"/>
        </w:rPr>
        <w:t xml:space="preserve"> that the mid-term review and TAG3 input before June 2013 focus on (1) institutional capacity to transition Components 1 and 2 to MAF; (2) sustainability of informal seed production systems; and (3) the adaptive research and policy </w:t>
      </w:r>
      <w:r w:rsidR="0005139A">
        <w:rPr>
          <w:lang w:val="en-GB"/>
        </w:rPr>
        <w:t>framework</w:t>
      </w:r>
      <w:r w:rsidRPr="00D30BD2">
        <w:rPr>
          <w:lang w:val="en-GB"/>
        </w:rPr>
        <w:t xml:space="preserve"> to enable sustainable food security in Timor-Leste in the longer term.</w:t>
      </w:r>
    </w:p>
    <w:p w:rsidR="00E34920" w:rsidRPr="006B4860" w:rsidRDefault="00E34920" w:rsidP="00BE3DEC">
      <w:pPr>
        <w:rPr>
          <w:color w:val="000000"/>
          <w:sz w:val="16"/>
          <w:szCs w:val="16"/>
          <w:lang w:val="en-GB"/>
        </w:rPr>
      </w:pPr>
    </w:p>
    <w:p w:rsidR="00582A5C" w:rsidRPr="006B4860" w:rsidRDefault="00582A5C" w:rsidP="00BE3DEC">
      <w:pPr>
        <w:rPr>
          <w:color w:val="000000"/>
          <w:sz w:val="16"/>
          <w:szCs w:val="16"/>
          <w:lang w:val="en-GB"/>
        </w:rPr>
        <w:sectPr w:rsidR="00582A5C" w:rsidRPr="006B4860" w:rsidSect="003C2A0E">
          <w:headerReference w:type="even" r:id="rId29"/>
          <w:headerReference w:type="default" r:id="rId30"/>
          <w:footerReference w:type="default" r:id="rId31"/>
          <w:headerReference w:type="first" r:id="rId32"/>
          <w:pgSz w:w="11909" w:h="16834" w:code="9"/>
          <w:pgMar w:top="851" w:right="1418" w:bottom="851" w:left="1418" w:header="578" w:footer="578" w:gutter="0"/>
          <w:pgNumType w:start="1"/>
          <w:cols w:space="720"/>
        </w:sectPr>
      </w:pPr>
    </w:p>
    <w:p w:rsidR="006E5EE9" w:rsidRPr="003D1B5E" w:rsidRDefault="006E5EE9" w:rsidP="006E5EE9">
      <w:pPr>
        <w:pBdr>
          <w:bottom w:val="single" w:sz="6" w:space="12" w:color="auto"/>
        </w:pBdr>
        <w:spacing w:after="360"/>
        <w:ind w:left="4320"/>
        <w:jc w:val="right"/>
        <w:rPr>
          <w:rFonts w:ascii="Arial" w:hAnsi="Arial"/>
          <w:b/>
          <w:sz w:val="44"/>
          <w:lang w:val="en-GB"/>
        </w:rPr>
      </w:pPr>
      <w:r w:rsidRPr="003D1B5E">
        <w:rPr>
          <w:rFonts w:ascii="Arial" w:hAnsi="Arial"/>
          <w:b/>
          <w:sz w:val="44"/>
          <w:lang w:val="en-GB"/>
        </w:rPr>
        <w:lastRenderedPageBreak/>
        <w:t>Annex 1</w:t>
      </w:r>
    </w:p>
    <w:p w:rsidR="006E5EE9" w:rsidRPr="003D1B5E" w:rsidRDefault="00854E11" w:rsidP="006E5EE9">
      <w:pPr>
        <w:pStyle w:val="BodyTextIndent2"/>
        <w:rPr>
          <w:lang w:val="en-GB"/>
        </w:rPr>
      </w:pPr>
      <w:r w:rsidRPr="003D1B5E">
        <w:rPr>
          <w:lang w:val="en-GB"/>
        </w:rPr>
        <w:t>TAG Rapid Appraisal SWOT Analysis</w:t>
      </w:r>
    </w:p>
    <w:p w:rsidR="006E5EE9" w:rsidRPr="003D1B5E" w:rsidRDefault="006E5EE9" w:rsidP="006E5EE9">
      <w:pPr>
        <w:pStyle w:val="BodyTextIndent2"/>
        <w:ind w:left="0"/>
        <w:jc w:val="both"/>
        <w:rPr>
          <w:lang w:val="en-GB"/>
        </w:rPr>
      </w:pPr>
    </w:p>
    <w:p w:rsidR="00582A5C" w:rsidRPr="003D1B5E" w:rsidRDefault="00582A5C" w:rsidP="006E5EE9">
      <w:pPr>
        <w:pStyle w:val="BodyTextIndent2"/>
        <w:ind w:left="0"/>
        <w:jc w:val="both"/>
        <w:rPr>
          <w:lang w:val="en-GB"/>
        </w:rPr>
        <w:sectPr w:rsidR="00582A5C" w:rsidRPr="003D1B5E" w:rsidSect="00582A5C">
          <w:headerReference w:type="even" r:id="rId33"/>
          <w:headerReference w:type="default" r:id="rId34"/>
          <w:headerReference w:type="first" r:id="rId35"/>
          <w:pgSz w:w="11909" w:h="16834" w:code="9"/>
          <w:pgMar w:top="851" w:right="1474" w:bottom="851" w:left="1474" w:header="578" w:footer="578" w:gutter="284"/>
          <w:pgNumType w:fmt="lowerRoman" w:start="1"/>
          <w:cols w:space="720"/>
          <w:vAlign w:val="center"/>
        </w:sectPr>
      </w:pPr>
    </w:p>
    <w:p w:rsidR="004B0B85" w:rsidRPr="003D1B5E" w:rsidRDefault="00826245" w:rsidP="006E5EE9">
      <w:pPr>
        <w:spacing w:before="120" w:after="240"/>
        <w:jc w:val="center"/>
        <w:rPr>
          <w:rFonts w:ascii="Arial" w:hAnsi="Arial"/>
          <w:b/>
          <w:sz w:val="28"/>
          <w:lang w:val="en-GB"/>
        </w:rPr>
      </w:pPr>
      <w:r w:rsidRPr="003D1B5E">
        <w:rPr>
          <w:rFonts w:ascii="Arial" w:hAnsi="Arial"/>
          <w:b/>
          <w:sz w:val="28"/>
          <w:lang w:val="en-GB"/>
        </w:rPr>
        <w:lastRenderedPageBreak/>
        <w:t>Annex 1</w:t>
      </w:r>
      <w:r w:rsidR="009C7DBE" w:rsidRPr="003D1B5E">
        <w:rPr>
          <w:rFonts w:ascii="Arial" w:hAnsi="Arial"/>
          <w:b/>
          <w:sz w:val="28"/>
          <w:lang w:val="en-GB"/>
        </w:rPr>
        <w:t xml:space="preserve">: </w:t>
      </w:r>
      <w:r w:rsidR="00700E66" w:rsidRPr="003D1B5E">
        <w:rPr>
          <w:rFonts w:ascii="Arial" w:hAnsi="Arial"/>
          <w:b/>
          <w:sz w:val="28"/>
          <w:lang w:val="en-GB"/>
        </w:rPr>
        <w:t xml:space="preserve">TAG </w:t>
      </w:r>
      <w:r w:rsidR="00854E11" w:rsidRPr="003D1B5E">
        <w:rPr>
          <w:rFonts w:ascii="Arial" w:hAnsi="Arial"/>
          <w:b/>
          <w:sz w:val="28"/>
          <w:lang w:val="en-GB"/>
        </w:rPr>
        <w:t>Rapid Appraisal</w:t>
      </w:r>
      <w:r w:rsidR="00700E66" w:rsidRPr="003D1B5E">
        <w:rPr>
          <w:rFonts w:ascii="Arial" w:hAnsi="Arial"/>
          <w:b/>
          <w:sz w:val="28"/>
          <w:lang w:val="en-GB"/>
        </w:rPr>
        <w:t xml:space="preserve"> SWOT Analysis</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8"/>
        <w:gridCol w:w="5015"/>
      </w:tblGrid>
      <w:tr w:rsidR="00CE6431" w:rsidRPr="003D1B5E" w:rsidTr="00030CDB">
        <w:tc>
          <w:tcPr>
            <w:tcW w:w="4908" w:type="dxa"/>
          </w:tcPr>
          <w:p w:rsidR="00CE6431" w:rsidRPr="003D1B5E" w:rsidRDefault="00CE6431" w:rsidP="00030CDB">
            <w:pPr>
              <w:jc w:val="center"/>
              <w:rPr>
                <w:rFonts w:ascii="Arial Narrow" w:hAnsi="Arial Narrow"/>
                <w:b/>
                <w:sz w:val="20"/>
                <w:lang w:val="en-GB"/>
              </w:rPr>
            </w:pPr>
            <w:r w:rsidRPr="003D1B5E">
              <w:rPr>
                <w:rFonts w:ascii="Arial Narrow" w:hAnsi="Arial Narrow"/>
                <w:b/>
                <w:sz w:val="20"/>
                <w:lang w:val="en-GB"/>
              </w:rPr>
              <w:t>Strengths</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Components 1 and 2 are mature and ready for gradual transition to MAF over next 2 years</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Soil information a useful start to understanding yield potential and options for food security</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 xml:space="preserve">P07 maize ready for release and </w:t>
            </w:r>
            <w:r w:rsidRPr="003D1B5E">
              <w:rPr>
                <w:rFonts w:ascii="Arial Narrow" w:hAnsi="Arial Narrow"/>
                <w:i/>
                <w:sz w:val="20"/>
                <w:lang w:val="en-GB"/>
              </w:rPr>
              <w:t>Matatag</w:t>
            </w:r>
            <w:r w:rsidRPr="003D1B5E">
              <w:rPr>
                <w:rFonts w:ascii="Arial Narrow" w:hAnsi="Arial Narrow"/>
                <w:sz w:val="20"/>
                <w:lang w:val="en-GB"/>
              </w:rPr>
              <w:t xml:space="preserve"> rice gaining wide acceptance</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MAF-IRRI engagement a good start to building MAF relationships for new germplasm and training</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Re-focused climate change effort aligned with SOL3 goal and purpose</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Component 1 gradually transferring research functions to MAF; Component 2 planning for transition</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Component 3 monitoring and performance on track</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 xml:space="preserve">SOL3 building social capital in ISPGs that can support other rural development efforts (RDP4, ACD </w:t>
            </w:r>
            <w:r w:rsidRPr="003D1B5E">
              <w:rPr>
                <w:rFonts w:ascii="Arial Narrow" w:hAnsi="Arial Narrow"/>
                <w:i/>
                <w:sz w:val="20"/>
                <w:lang w:val="en-GB"/>
              </w:rPr>
              <w:t>etc</w:t>
            </w:r>
            <w:r w:rsidRPr="003D1B5E">
              <w:rPr>
                <w:rFonts w:ascii="Arial Narrow" w:hAnsi="Arial Narrow"/>
                <w:sz w:val="20"/>
                <w:lang w:val="en-GB"/>
              </w:rPr>
              <w:t>.)</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Pivotal visit of SOL3 leaders to Nepal’s seed system</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Performance management plan and results framework ready to be finalised and put to use for next PMT</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Communications strategy and staffing to support change processes and adoption</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Baseline survey conducted with DNE enumerators</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Baseline survey aligned with MAF household food security surveys</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Credibility of SOL name continues</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MAF continues to have strong ownership of SOL</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Demand for quality seed still exceeds current supply</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Field occupational health and safety behaviours improved from TAG1 visit</w:t>
            </w:r>
          </w:p>
        </w:tc>
        <w:tc>
          <w:tcPr>
            <w:tcW w:w="5015" w:type="dxa"/>
          </w:tcPr>
          <w:p w:rsidR="00CE6431" w:rsidRPr="003D1B5E" w:rsidRDefault="00CE6431" w:rsidP="00030CDB">
            <w:pPr>
              <w:jc w:val="center"/>
              <w:rPr>
                <w:rFonts w:ascii="Arial Narrow" w:hAnsi="Arial Narrow"/>
                <w:b/>
                <w:sz w:val="20"/>
                <w:lang w:val="en-GB"/>
              </w:rPr>
            </w:pPr>
            <w:r w:rsidRPr="003D1B5E">
              <w:rPr>
                <w:rFonts w:ascii="Arial Narrow" w:hAnsi="Arial Narrow"/>
                <w:b/>
                <w:sz w:val="20"/>
                <w:lang w:val="en-GB"/>
              </w:rPr>
              <w:t>Weaknesses</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Institutional constraints continue to pose risks to sustainability and delivery of 2015 results</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No</w:t>
            </w:r>
            <w:r w:rsidR="00FC7B68">
              <w:rPr>
                <w:rFonts w:ascii="Arial Narrow" w:hAnsi="Arial Narrow"/>
                <w:sz w:val="20"/>
                <w:lang w:val="en-GB"/>
              </w:rPr>
              <w:t xml:space="preserve"> (or very limited)</w:t>
            </w:r>
            <w:r w:rsidRPr="003D1B5E">
              <w:rPr>
                <w:rFonts w:ascii="Arial Narrow" w:hAnsi="Arial Narrow"/>
                <w:sz w:val="20"/>
                <w:lang w:val="en-GB"/>
              </w:rPr>
              <w:t xml:space="preserve"> crop nutrient response curves available on SOL3 varieties; yield gaps persist</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No systematic monitoring and reporting of progress and performance yet – system ready to go, use it!</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Management monitoring not yet systematically used</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Early signs of strains to system as ISPG scales up</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Lack of formal seed policy to drive operating environment for national seed system</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Annual Plan lacks clear actions to prepare for transition in 2014 and 2015</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Annual research plans developed before field results are to hand</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Baseline consumed too much of M&amp;E/S</w:t>
            </w:r>
            <w:r w:rsidR="00FC7B68">
              <w:rPr>
                <w:rFonts w:ascii="Arial Narrow" w:hAnsi="Arial Narrow"/>
                <w:sz w:val="20"/>
                <w:lang w:val="en-GB"/>
              </w:rPr>
              <w:t>OSEK</w:t>
            </w:r>
            <w:r w:rsidRPr="003D1B5E">
              <w:rPr>
                <w:rFonts w:ascii="Arial Narrow" w:hAnsi="Arial Narrow"/>
                <w:sz w:val="20"/>
                <w:lang w:val="en-GB"/>
              </w:rPr>
              <w:t xml:space="preserve"> resource</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Website needs strengthening to make it more useful</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 xml:space="preserve">No full costing on unit costs of foundation and certified seed  for cost recovery </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MAF currently has insufficient recurrent budget to sustain component 1 and 2 activities by year 4</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Components 1 and 2 continue to be focused more on what is planned and done than how those processes are designed to transition to MAF implementation</w:t>
            </w:r>
          </w:p>
          <w:p w:rsidR="00CE6431" w:rsidRPr="003D1B5E" w:rsidRDefault="00CE6431" w:rsidP="00030CDB">
            <w:pPr>
              <w:numPr>
                <w:ilvl w:val="0"/>
                <w:numId w:val="14"/>
              </w:numPr>
              <w:jc w:val="left"/>
              <w:rPr>
                <w:rFonts w:ascii="Arial Narrow" w:hAnsi="Arial Narrow"/>
                <w:sz w:val="20"/>
                <w:lang w:val="en-GB"/>
              </w:rPr>
            </w:pPr>
            <w:r w:rsidRPr="003D1B5E">
              <w:rPr>
                <w:rFonts w:ascii="Arial Narrow" w:hAnsi="Arial Narrow"/>
                <w:sz w:val="20"/>
                <w:lang w:val="en-GB"/>
              </w:rPr>
              <w:t>Consistent approach to branding needed in formal and informal seed production</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AusAID QAI lacks management response to several identified risks and constraints</w:t>
            </w:r>
          </w:p>
        </w:tc>
      </w:tr>
    </w:tbl>
    <w:p w:rsidR="00030CDB" w:rsidRPr="003D1B5E" w:rsidRDefault="00030CDB">
      <w:pPr>
        <w:rPr>
          <w:lang w:val="en-GB"/>
        </w:rPr>
      </w:pPr>
      <w:r w:rsidRPr="003D1B5E">
        <w:rPr>
          <w:lang w:val="en-GB"/>
        </w:rPr>
        <w:br w:type="page"/>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8"/>
        <w:gridCol w:w="5015"/>
      </w:tblGrid>
      <w:tr w:rsidR="00CE6431" w:rsidRPr="003D1B5E" w:rsidTr="00030CDB">
        <w:tc>
          <w:tcPr>
            <w:tcW w:w="4908" w:type="dxa"/>
          </w:tcPr>
          <w:p w:rsidR="00CE6431" w:rsidRPr="003D1B5E" w:rsidRDefault="00CE6431" w:rsidP="00030CDB">
            <w:pPr>
              <w:jc w:val="center"/>
              <w:rPr>
                <w:rFonts w:ascii="Arial Narrow" w:hAnsi="Arial Narrow"/>
                <w:b/>
                <w:sz w:val="20"/>
                <w:lang w:val="en-GB"/>
              </w:rPr>
            </w:pPr>
            <w:r w:rsidRPr="003D1B5E">
              <w:rPr>
                <w:rFonts w:ascii="Arial Narrow" w:hAnsi="Arial Narrow"/>
                <w:b/>
                <w:sz w:val="20"/>
                <w:lang w:val="en-GB"/>
              </w:rPr>
              <w:lastRenderedPageBreak/>
              <w:t>Opportunities</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AusAID policy dialogue with GoT-L to support seed policy and budget case for successful transition to MAF</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2011/12 Velvet Bean-Maize results show promise; move to OFDTs</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 xml:space="preserve">Increase return to seed by establishing yield potential, determining yield gaps on experiment Stations </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Soil analysis and pot trials to better understand responses of key crops to nutrients</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Evaluation of climatic risk through crop model and historical weather data; de</w:t>
            </w:r>
            <w:r w:rsidR="00030CDB" w:rsidRPr="003D1B5E">
              <w:rPr>
                <w:rFonts w:ascii="Arial Narrow" w:hAnsi="Arial Narrow"/>
                <w:sz w:val="20"/>
                <w:lang w:val="en-GB"/>
              </w:rPr>
              <w:t>sign risk mitigation strategies</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 xml:space="preserve">Include </w:t>
            </w:r>
            <w:r w:rsidR="00030CDB" w:rsidRPr="003D1B5E">
              <w:rPr>
                <w:rFonts w:ascii="Arial Narrow" w:hAnsi="Arial Narrow"/>
                <w:sz w:val="20"/>
                <w:lang w:val="en-GB"/>
              </w:rPr>
              <w:t xml:space="preserve">preparation of </w:t>
            </w:r>
            <w:r w:rsidRPr="003D1B5E">
              <w:rPr>
                <w:rFonts w:ascii="Arial Narrow" w:hAnsi="Arial Narrow"/>
                <w:sz w:val="20"/>
                <w:lang w:val="en-GB"/>
              </w:rPr>
              <w:t>C1 and C2 transition plan in 2012/13 Annual Plan</w:t>
            </w:r>
          </w:p>
          <w:p w:rsidR="00030CDB" w:rsidRPr="003D1B5E" w:rsidRDefault="00030CDB" w:rsidP="00030CDB">
            <w:pPr>
              <w:numPr>
                <w:ilvl w:val="0"/>
                <w:numId w:val="13"/>
              </w:numPr>
              <w:jc w:val="left"/>
              <w:rPr>
                <w:rFonts w:ascii="Arial Narrow" w:hAnsi="Arial Narrow"/>
                <w:sz w:val="20"/>
                <w:lang w:val="en-GB"/>
              </w:rPr>
            </w:pPr>
            <w:r w:rsidRPr="003D1B5E">
              <w:rPr>
                <w:rFonts w:ascii="Arial Narrow" w:hAnsi="Arial Narrow"/>
                <w:sz w:val="20"/>
                <w:lang w:val="en-GB"/>
              </w:rPr>
              <w:t>Exchange visits with CIMMYT, ICRISAT, CIAT and CIP should yield relationships, flow of new varieties &amp; training opportunities to support transition of C1 to MAF</w:t>
            </w:r>
          </w:p>
          <w:p w:rsidR="00CE6431" w:rsidRPr="003D1B5E" w:rsidRDefault="00030CDB" w:rsidP="00030CDB">
            <w:pPr>
              <w:numPr>
                <w:ilvl w:val="0"/>
                <w:numId w:val="13"/>
              </w:numPr>
              <w:jc w:val="left"/>
              <w:rPr>
                <w:rFonts w:ascii="Arial Narrow" w:hAnsi="Arial Narrow"/>
                <w:sz w:val="20"/>
                <w:lang w:val="en-GB"/>
              </w:rPr>
            </w:pPr>
            <w:r w:rsidRPr="003D1B5E">
              <w:rPr>
                <w:rFonts w:ascii="Arial Narrow" w:hAnsi="Arial Narrow"/>
                <w:sz w:val="20"/>
                <w:lang w:val="en-GB"/>
              </w:rPr>
              <w:t>Assess s</w:t>
            </w:r>
            <w:r w:rsidR="00CE6431" w:rsidRPr="003D1B5E">
              <w:rPr>
                <w:rFonts w:ascii="Arial Narrow" w:hAnsi="Arial Narrow"/>
                <w:sz w:val="20"/>
                <w:lang w:val="en-GB"/>
              </w:rPr>
              <w:t>imple with/without crop input responses in C2 seed fields</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Seed treatment to i</w:t>
            </w:r>
            <w:r w:rsidR="00030CDB" w:rsidRPr="003D1B5E">
              <w:rPr>
                <w:rFonts w:ascii="Arial Narrow" w:hAnsi="Arial Narrow"/>
                <w:sz w:val="20"/>
                <w:lang w:val="en-GB"/>
              </w:rPr>
              <w:t>dentify C2 seed, improve standards</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Plan program of simple OFDTs to understand crop yield potential in 2012/13 growing season – link with C3</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Evaluation of varieties with different maturities</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Better targeting of science reporting</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Management training for MAF transition under C4</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Prepare to align SOL3 plans with MAF budget cycle</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Finish performance management plan and put it into practice ready for June PMT meeting</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Baseline data points to opportunities for gender</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Include schedule of case studies in 2012/13 annual plan</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Test hypotheses using baseline survey data</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Prepare communications products to meet emerging digital connectivity capacity as telecoms competition starts in Timor-Leste</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Increase focus on strategic, developmental issues including MAF recurrent budget, harmonisation with RDP IV, poverty targeting and food security strategy for urban communities and rural poor</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Australia lead</w:t>
            </w:r>
            <w:r w:rsidR="00FC7B68">
              <w:rPr>
                <w:rFonts w:ascii="Arial Narrow" w:hAnsi="Arial Narrow"/>
                <w:sz w:val="20"/>
                <w:lang w:val="en-GB"/>
              </w:rPr>
              <w:t>s</w:t>
            </w:r>
            <w:r w:rsidRPr="003D1B5E">
              <w:rPr>
                <w:rFonts w:ascii="Arial Narrow" w:hAnsi="Arial Narrow"/>
                <w:sz w:val="20"/>
                <w:lang w:val="en-GB"/>
              </w:rPr>
              <w:t xml:space="preserve"> harmonisation activities with donors supporting MAF to manage absorptive capacity</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Explicitly plan and use a wider range of capacity development methods including mentoring, on-the-job learning and learning-by-doing</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Develop transition plan for C1 and C2 before end 2012</w:t>
            </w:r>
          </w:p>
          <w:p w:rsidR="00CE6431" w:rsidRPr="003D1B5E" w:rsidRDefault="00CE6431" w:rsidP="00030CDB">
            <w:pPr>
              <w:jc w:val="left"/>
              <w:rPr>
                <w:rFonts w:ascii="Arial Narrow" w:hAnsi="Arial Narrow"/>
                <w:sz w:val="20"/>
                <w:lang w:val="en-GB"/>
              </w:rPr>
            </w:pPr>
          </w:p>
        </w:tc>
        <w:tc>
          <w:tcPr>
            <w:tcW w:w="5015" w:type="dxa"/>
          </w:tcPr>
          <w:p w:rsidR="00CE6431" w:rsidRPr="003D1B5E" w:rsidRDefault="00CE6431" w:rsidP="00030CDB">
            <w:pPr>
              <w:jc w:val="center"/>
              <w:rPr>
                <w:rFonts w:ascii="Arial Narrow" w:hAnsi="Arial Narrow"/>
                <w:b/>
                <w:sz w:val="20"/>
                <w:lang w:val="en-GB"/>
              </w:rPr>
            </w:pPr>
            <w:r w:rsidRPr="003D1B5E">
              <w:rPr>
                <w:rFonts w:ascii="Arial Narrow" w:hAnsi="Arial Narrow"/>
                <w:b/>
                <w:sz w:val="20"/>
                <w:lang w:val="en-GB"/>
              </w:rPr>
              <w:t>Threats</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Foundation and certified seed being given away undermines emerging market for quality seed</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Subsidised rice imports continue to undermine emerging market for quality seed and improved rice production</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MAF leadership rotation anticipated for March 2013</w:t>
            </w:r>
          </w:p>
          <w:p w:rsidR="00CE6431" w:rsidRPr="003D1B5E" w:rsidRDefault="00CE6431" w:rsidP="00030CDB">
            <w:pPr>
              <w:numPr>
                <w:ilvl w:val="0"/>
                <w:numId w:val="13"/>
              </w:numPr>
              <w:jc w:val="left"/>
              <w:rPr>
                <w:rFonts w:ascii="Arial Narrow" w:hAnsi="Arial Narrow"/>
                <w:sz w:val="20"/>
                <w:lang w:val="en-GB"/>
              </w:rPr>
            </w:pPr>
            <w:r w:rsidRPr="003D1B5E">
              <w:rPr>
                <w:rFonts w:ascii="Arial Narrow" w:hAnsi="Arial Narrow"/>
                <w:sz w:val="20"/>
                <w:lang w:val="en-GB"/>
              </w:rPr>
              <w:t>Competi</w:t>
            </w:r>
            <w:r w:rsidR="00030CDB" w:rsidRPr="003D1B5E">
              <w:rPr>
                <w:rFonts w:ascii="Arial Narrow" w:hAnsi="Arial Narrow"/>
                <w:sz w:val="20"/>
                <w:lang w:val="en-GB"/>
              </w:rPr>
              <w:t>ng demands on SEOs may jeopardis</w:t>
            </w:r>
            <w:r w:rsidRPr="003D1B5E">
              <w:rPr>
                <w:rFonts w:ascii="Arial Narrow" w:hAnsi="Arial Narrow"/>
                <w:sz w:val="20"/>
                <w:lang w:val="en-GB"/>
              </w:rPr>
              <w:t xml:space="preserve">e </w:t>
            </w:r>
            <w:r w:rsidR="00030CDB" w:rsidRPr="003D1B5E">
              <w:rPr>
                <w:rFonts w:ascii="Arial Narrow" w:hAnsi="Arial Narrow"/>
                <w:sz w:val="20"/>
                <w:lang w:val="en-GB"/>
              </w:rPr>
              <w:t xml:space="preserve">services provided to </w:t>
            </w:r>
            <w:r w:rsidRPr="003D1B5E">
              <w:rPr>
                <w:rFonts w:ascii="Arial Narrow" w:hAnsi="Arial Narrow"/>
                <w:sz w:val="20"/>
                <w:lang w:val="en-GB"/>
              </w:rPr>
              <w:t>ISGPs</w:t>
            </w:r>
          </w:p>
          <w:p w:rsidR="00CE6431" w:rsidRPr="003D1B5E" w:rsidRDefault="00CE6431" w:rsidP="00030CDB">
            <w:pPr>
              <w:numPr>
                <w:ilvl w:val="0"/>
                <w:numId w:val="15"/>
              </w:numPr>
              <w:jc w:val="left"/>
              <w:rPr>
                <w:rFonts w:ascii="Arial Narrow" w:hAnsi="Arial Narrow"/>
                <w:sz w:val="20"/>
                <w:lang w:val="en-GB"/>
              </w:rPr>
            </w:pPr>
            <w:r w:rsidRPr="003D1B5E">
              <w:rPr>
                <w:rFonts w:ascii="Arial Narrow" w:hAnsi="Arial Narrow"/>
                <w:sz w:val="20"/>
                <w:lang w:val="en-GB"/>
              </w:rPr>
              <w:t>Inadequate MAF budget to ensure successful transition</w:t>
            </w:r>
          </w:p>
          <w:p w:rsidR="00CE6431" w:rsidRPr="003D1B5E" w:rsidRDefault="00CE6431" w:rsidP="00030CDB">
            <w:pPr>
              <w:numPr>
                <w:ilvl w:val="0"/>
                <w:numId w:val="15"/>
              </w:numPr>
              <w:jc w:val="left"/>
              <w:rPr>
                <w:rFonts w:ascii="Arial Narrow" w:hAnsi="Arial Narrow"/>
                <w:sz w:val="20"/>
                <w:lang w:val="en-GB"/>
              </w:rPr>
            </w:pPr>
            <w:r w:rsidRPr="003D1B5E">
              <w:rPr>
                <w:rFonts w:ascii="Arial Narrow" w:hAnsi="Arial Narrow"/>
                <w:sz w:val="20"/>
                <w:lang w:val="en-GB"/>
              </w:rPr>
              <w:t>Lack of appropriate policies favouring domestic food production</w:t>
            </w:r>
          </w:p>
          <w:p w:rsidR="00CE6431" w:rsidRPr="003D1B5E" w:rsidRDefault="00CE6431" w:rsidP="00030CDB">
            <w:pPr>
              <w:numPr>
                <w:ilvl w:val="0"/>
                <w:numId w:val="15"/>
              </w:numPr>
              <w:jc w:val="left"/>
              <w:rPr>
                <w:rFonts w:ascii="Arial Narrow" w:hAnsi="Arial Narrow"/>
                <w:sz w:val="20"/>
                <w:lang w:val="en-GB"/>
              </w:rPr>
            </w:pPr>
            <w:r w:rsidRPr="003D1B5E">
              <w:rPr>
                <w:rFonts w:ascii="Arial Narrow" w:hAnsi="Arial Narrow"/>
                <w:sz w:val="20"/>
                <w:lang w:val="en-GB"/>
              </w:rPr>
              <w:t>Growth in population (demand) exceeds rates of increase in food supply</w:t>
            </w:r>
          </w:p>
        </w:tc>
      </w:tr>
    </w:tbl>
    <w:p w:rsidR="007C10A8" w:rsidRPr="003D1B5E" w:rsidRDefault="007C10A8" w:rsidP="006E5EE9">
      <w:pPr>
        <w:jc w:val="left"/>
        <w:rPr>
          <w:lang w:val="en-GB"/>
        </w:rPr>
      </w:pPr>
    </w:p>
    <w:p w:rsidR="00030CDB" w:rsidRPr="003D1B5E" w:rsidRDefault="00030CDB" w:rsidP="006E5EE9">
      <w:pPr>
        <w:jc w:val="left"/>
        <w:rPr>
          <w:lang w:val="en-GB"/>
        </w:rPr>
      </w:pPr>
    </w:p>
    <w:p w:rsidR="00582A5C" w:rsidRPr="003D1B5E" w:rsidRDefault="00582A5C" w:rsidP="006E5EE9">
      <w:pPr>
        <w:jc w:val="left"/>
        <w:rPr>
          <w:lang w:val="en-GB"/>
        </w:rPr>
        <w:sectPr w:rsidR="00582A5C" w:rsidRPr="003D1B5E" w:rsidSect="00CE6431">
          <w:headerReference w:type="even" r:id="rId36"/>
          <w:headerReference w:type="default" r:id="rId37"/>
          <w:headerReference w:type="first" r:id="rId38"/>
          <w:pgSz w:w="11909" w:h="16834" w:code="9"/>
          <w:pgMar w:top="851" w:right="1418" w:bottom="851" w:left="1418" w:header="578" w:footer="578" w:gutter="0"/>
          <w:pgNumType w:start="1"/>
          <w:cols w:space="720"/>
        </w:sectPr>
      </w:pPr>
    </w:p>
    <w:p w:rsidR="006E5EE9" w:rsidRPr="003D1B5E" w:rsidRDefault="006E5EE9" w:rsidP="006E5EE9">
      <w:pPr>
        <w:jc w:val="center"/>
        <w:rPr>
          <w:b/>
          <w:i/>
          <w:vanish/>
          <w:color w:val="FF0000"/>
          <w:sz w:val="32"/>
          <w:lang w:val="en-GB"/>
        </w:rPr>
      </w:pPr>
      <w:r w:rsidRPr="003D1B5E">
        <w:rPr>
          <w:b/>
          <w:i/>
          <w:vanish/>
          <w:color w:val="FF0000"/>
          <w:sz w:val="32"/>
          <w:lang w:val="en-GB"/>
        </w:rPr>
        <w:lastRenderedPageBreak/>
        <w:t>Annex Cover</w:t>
      </w:r>
    </w:p>
    <w:p w:rsidR="006E5EE9" w:rsidRPr="003D1B5E" w:rsidRDefault="00826245" w:rsidP="006E5EE9">
      <w:pPr>
        <w:pBdr>
          <w:bottom w:val="single" w:sz="6" w:space="12" w:color="auto"/>
        </w:pBdr>
        <w:spacing w:after="360"/>
        <w:ind w:left="4320"/>
        <w:jc w:val="right"/>
        <w:rPr>
          <w:rFonts w:ascii="Arial" w:hAnsi="Arial"/>
          <w:b/>
          <w:sz w:val="44"/>
          <w:lang w:val="en-GB"/>
        </w:rPr>
      </w:pPr>
      <w:r w:rsidRPr="003D1B5E">
        <w:rPr>
          <w:rFonts w:ascii="Arial" w:hAnsi="Arial"/>
          <w:b/>
          <w:sz w:val="44"/>
          <w:lang w:val="en-GB"/>
        </w:rPr>
        <w:t>Annex 2</w:t>
      </w:r>
    </w:p>
    <w:p w:rsidR="00A7141E" w:rsidRPr="003D1B5E" w:rsidRDefault="00F46B2B" w:rsidP="006E5EE9">
      <w:pPr>
        <w:pStyle w:val="BodyTextIndent2"/>
        <w:rPr>
          <w:lang w:val="en-GB"/>
        </w:rPr>
      </w:pPr>
      <w:r>
        <w:rPr>
          <w:lang w:val="en-GB"/>
        </w:rPr>
        <w:t>Measuring progress towards behaviour change</w:t>
      </w:r>
    </w:p>
    <w:p w:rsidR="00A7141E" w:rsidRPr="003D1B5E" w:rsidRDefault="00A7141E" w:rsidP="00A7141E">
      <w:pPr>
        <w:pStyle w:val="BodyTextIndent2"/>
        <w:ind w:left="0"/>
        <w:jc w:val="both"/>
        <w:rPr>
          <w:lang w:val="en-GB"/>
        </w:rPr>
      </w:pPr>
    </w:p>
    <w:p w:rsidR="00582A5C" w:rsidRPr="003D1B5E" w:rsidRDefault="00582A5C" w:rsidP="00A7141E">
      <w:pPr>
        <w:pStyle w:val="BodyTextIndent2"/>
        <w:ind w:left="0"/>
        <w:jc w:val="both"/>
        <w:rPr>
          <w:lang w:val="en-GB"/>
        </w:rPr>
        <w:sectPr w:rsidR="00582A5C" w:rsidRPr="003D1B5E" w:rsidSect="00582A5C">
          <w:headerReference w:type="even" r:id="rId39"/>
          <w:headerReference w:type="default" r:id="rId40"/>
          <w:headerReference w:type="first" r:id="rId41"/>
          <w:pgSz w:w="11909" w:h="16834" w:code="9"/>
          <w:pgMar w:top="851" w:right="1474" w:bottom="851" w:left="1474" w:header="578" w:footer="578" w:gutter="284"/>
          <w:pgNumType w:fmt="lowerRoman" w:start="1"/>
          <w:cols w:space="720"/>
          <w:vAlign w:val="center"/>
        </w:sectPr>
      </w:pPr>
    </w:p>
    <w:p w:rsidR="00A7141E" w:rsidRDefault="00A7141E" w:rsidP="00A7141E">
      <w:pPr>
        <w:jc w:val="center"/>
        <w:rPr>
          <w:rFonts w:ascii="Arial" w:hAnsi="Arial" w:cs="Arial"/>
          <w:b/>
          <w:sz w:val="28"/>
          <w:szCs w:val="28"/>
          <w:lang w:val="en-GB"/>
        </w:rPr>
      </w:pPr>
      <w:r w:rsidRPr="003D1B5E">
        <w:rPr>
          <w:rFonts w:ascii="Arial" w:hAnsi="Arial" w:cs="Arial"/>
          <w:b/>
          <w:sz w:val="28"/>
          <w:szCs w:val="28"/>
          <w:lang w:val="en-GB"/>
        </w:rPr>
        <w:lastRenderedPageBreak/>
        <w:t xml:space="preserve">Annex 2 </w:t>
      </w:r>
      <w:r w:rsidR="00E56CD0" w:rsidRPr="003D1B5E">
        <w:rPr>
          <w:rFonts w:ascii="Arial" w:hAnsi="Arial" w:cs="Arial"/>
          <w:b/>
          <w:sz w:val="28"/>
          <w:szCs w:val="28"/>
          <w:lang w:val="en-GB"/>
        </w:rPr>
        <w:t>–</w:t>
      </w:r>
      <w:r w:rsidRPr="003D1B5E">
        <w:rPr>
          <w:rFonts w:ascii="Arial" w:hAnsi="Arial" w:cs="Arial"/>
          <w:b/>
          <w:sz w:val="28"/>
          <w:szCs w:val="28"/>
          <w:lang w:val="en-GB"/>
        </w:rPr>
        <w:t xml:space="preserve"> </w:t>
      </w:r>
      <w:r w:rsidR="00F46B2B">
        <w:rPr>
          <w:rFonts w:ascii="Arial" w:hAnsi="Arial" w:cs="Arial"/>
          <w:b/>
          <w:sz w:val="28"/>
          <w:szCs w:val="28"/>
          <w:lang w:val="en-GB"/>
        </w:rPr>
        <w:t>Measuring progress towards behaviour change</w:t>
      </w:r>
    </w:p>
    <w:p w:rsidR="00F46B2B" w:rsidRDefault="00F46B2B" w:rsidP="00F46B2B">
      <w:pPr>
        <w:rPr>
          <w:rFonts w:ascii="Arial" w:hAnsi="Arial" w:cs="Arial"/>
          <w:sz w:val="28"/>
          <w:szCs w:val="28"/>
          <w:lang w:val="en-GB"/>
        </w:rPr>
      </w:pPr>
    </w:p>
    <w:p w:rsidR="00F46B2B" w:rsidRDefault="003424EC" w:rsidP="00F46B2B">
      <w:pPr>
        <w:rPr>
          <w:rFonts w:ascii="Arial" w:hAnsi="Arial" w:cs="Arial"/>
          <w:sz w:val="28"/>
          <w:szCs w:val="28"/>
          <w:lang w:val="en-GB"/>
        </w:rPr>
      </w:pPr>
      <w:r>
        <w:rPr>
          <w:rFonts w:ascii="Arial" w:hAnsi="Arial" w:cs="Arial"/>
          <w:noProof/>
          <w:sz w:val="28"/>
          <w:szCs w:val="28"/>
        </w:rPr>
        <w:drawing>
          <wp:inline distT="0" distB="0" distL="0" distR="0" wp14:anchorId="71779D66" wp14:editId="14DE3663">
            <wp:extent cx="9687098" cy="4869712"/>
            <wp:effectExtent l="0" t="0" r="0" b="0"/>
            <wp:docPr id="8" name="Picture 8" descr="Measuring progress towards behaviour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693275" cy="4872817"/>
                    </a:xfrm>
                    <a:prstGeom prst="rect">
                      <a:avLst/>
                    </a:prstGeom>
                    <a:noFill/>
                  </pic:spPr>
                </pic:pic>
              </a:graphicData>
            </a:graphic>
          </wp:inline>
        </w:drawing>
      </w:r>
    </w:p>
    <w:p w:rsidR="00F46B2B" w:rsidRPr="00F46B2B" w:rsidRDefault="00F46B2B" w:rsidP="00F46B2B">
      <w:pPr>
        <w:rPr>
          <w:rFonts w:ascii="Arial" w:hAnsi="Arial" w:cs="Arial"/>
          <w:sz w:val="28"/>
          <w:szCs w:val="28"/>
          <w:lang w:val="en-GB"/>
        </w:rPr>
      </w:pPr>
    </w:p>
    <w:sectPr w:rsidR="00F46B2B" w:rsidRPr="00F46B2B" w:rsidSect="001E518F">
      <w:headerReference w:type="even" r:id="rId43"/>
      <w:headerReference w:type="default" r:id="rId44"/>
      <w:footerReference w:type="default" r:id="rId45"/>
      <w:headerReference w:type="first" r:id="rId46"/>
      <w:pgSz w:w="16834" w:h="11909" w:orient="landscape" w:code="9"/>
      <w:pgMar w:top="1418" w:right="851" w:bottom="1418" w:left="851" w:header="578" w:footer="57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738" w:rsidRDefault="002E2738">
      <w:r>
        <w:separator/>
      </w:r>
    </w:p>
  </w:endnote>
  <w:endnote w:type="continuationSeparator" w:id="0">
    <w:p w:rsidR="002E2738" w:rsidRDefault="002E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NewCenturySchlbk">
    <w:panose1 w:val="00000000000000000000"/>
    <w:charset w:val="00"/>
    <w:family w:val="roman"/>
    <w:notTrueType/>
    <w:pitch w:val="variable"/>
    <w:sig w:usb0="00000003" w:usb1="00000000" w:usb2="00000000" w:usb3="00000000" w:csb0="00000001" w:csb1="00000000"/>
  </w:font>
  <w:font w:name="XEMIER+BentonGothic-Regular">
    <w:altName w:val="Benton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38" w:rsidRDefault="002E27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38" w:rsidRDefault="002E27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38" w:rsidRDefault="002E273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38" w:rsidRPr="00473D7B" w:rsidRDefault="002E2738">
    <w:pPr>
      <w:pStyle w:val="Footer"/>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38" w:rsidRPr="00A227E7" w:rsidRDefault="002E2738" w:rsidP="00A227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738" w:rsidRDefault="002E2738">
      <w:r>
        <w:separator/>
      </w:r>
    </w:p>
  </w:footnote>
  <w:footnote w:type="continuationSeparator" w:id="0">
    <w:p w:rsidR="002E2738" w:rsidRDefault="002E2738">
      <w:r>
        <w:continuationSeparator/>
      </w:r>
    </w:p>
  </w:footnote>
  <w:footnote w:id="1">
    <w:p w:rsidR="002E2738" w:rsidRPr="00B26302" w:rsidRDefault="002E2738" w:rsidP="00F43166">
      <w:pPr>
        <w:pStyle w:val="FootnoteText"/>
        <w:spacing w:after="0"/>
        <w:jc w:val="left"/>
        <w:rPr>
          <w:sz w:val="16"/>
          <w:szCs w:val="16"/>
        </w:rPr>
      </w:pPr>
      <w:r w:rsidRPr="00B26302">
        <w:rPr>
          <w:rStyle w:val="FootnoteReference"/>
          <w:sz w:val="16"/>
          <w:szCs w:val="16"/>
        </w:rPr>
        <w:footnoteRef/>
      </w:r>
      <w:r w:rsidRPr="00B26302">
        <w:rPr>
          <w:sz w:val="16"/>
          <w:szCs w:val="16"/>
        </w:rPr>
        <w:t xml:space="preserve"> For example see impact of telephone market liberalisation on rural livelihoods in PNG and Vanuatu</w:t>
      </w:r>
      <w:r>
        <w:rPr>
          <w:sz w:val="16"/>
          <w:szCs w:val="16"/>
        </w:rPr>
        <w:t xml:space="preserve"> at</w:t>
      </w:r>
      <w:r w:rsidRPr="00B26302">
        <w:rPr>
          <w:sz w:val="16"/>
          <w:szCs w:val="16"/>
        </w:rPr>
        <w:t xml:space="preserve">: </w:t>
      </w:r>
      <w:hyperlink r:id="rId1" w:history="1">
        <w:r w:rsidRPr="00245B5D">
          <w:rPr>
            <w:rStyle w:val="Hyperlink"/>
            <w:sz w:val="16"/>
            <w:szCs w:val="16"/>
          </w:rPr>
          <w:t>http://www.pacificpolicy.org/2012/05/net-effects/</w:t>
        </w:r>
      </w:hyperlink>
      <w:r>
        <w:rPr>
          <w:sz w:val="16"/>
          <w:szCs w:val="16"/>
        </w:rPr>
        <w:t xml:space="preserve"> and </w:t>
      </w:r>
      <w:hyperlink r:id="rId2" w:history="1">
        <w:r w:rsidRPr="00245B5D">
          <w:rPr>
            <w:rStyle w:val="Hyperlink"/>
            <w:sz w:val="16"/>
            <w:szCs w:val="16"/>
          </w:rPr>
          <w:t>http://www.odi.org.uk/resources/docs/6056.pdf</w:t>
        </w:r>
      </w:hyperlink>
      <w:r>
        <w:rPr>
          <w:sz w:val="16"/>
          <w:szCs w:val="16"/>
        </w:rPr>
        <w:t xml:space="preserve"> </w:t>
      </w:r>
    </w:p>
  </w:footnote>
  <w:footnote w:id="2">
    <w:p w:rsidR="002E2738" w:rsidRPr="003D040B" w:rsidRDefault="002E2738" w:rsidP="004B4FDA">
      <w:pPr>
        <w:pStyle w:val="FootnoteText"/>
        <w:spacing w:after="0"/>
        <w:rPr>
          <w:sz w:val="16"/>
          <w:szCs w:val="16"/>
          <w:lang w:val="en-NZ"/>
        </w:rPr>
      </w:pPr>
      <w:r w:rsidRPr="003D040B">
        <w:rPr>
          <w:rStyle w:val="FootnoteReference"/>
          <w:sz w:val="16"/>
          <w:szCs w:val="16"/>
        </w:rPr>
        <w:footnoteRef/>
      </w:r>
      <w:r w:rsidRPr="003D040B">
        <w:rPr>
          <w:sz w:val="16"/>
          <w:szCs w:val="16"/>
        </w:rPr>
        <w:t xml:space="preserve"> </w:t>
      </w:r>
      <w:proofErr w:type="spellStart"/>
      <w:proofErr w:type="gramStart"/>
      <w:r>
        <w:rPr>
          <w:sz w:val="16"/>
          <w:szCs w:val="16"/>
        </w:rPr>
        <w:t>Bientema</w:t>
      </w:r>
      <w:proofErr w:type="spellEnd"/>
      <w:r>
        <w:rPr>
          <w:sz w:val="16"/>
          <w:szCs w:val="16"/>
        </w:rPr>
        <w:t xml:space="preserve">, N.M. and </w:t>
      </w:r>
      <w:proofErr w:type="spellStart"/>
      <w:r>
        <w:rPr>
          <w:sz w:val="16"/>
          <w:szCs w:val="16"/>
        </w:rPr>
        <w:t>Stads</w:t>
      </w:r>
      <w:proofErr w:type="spellEnd"/>
      <w:r>
        <w:rPr>
          <w:sz w:val="16"/>
          <w:szCs w:val="16"/>
        </w:rPr>
        <w:t xml:space="preserve"> G-J.</w:t>
      </w:r>
      <w:proofErr w:type="gramEnd"/>
      <w:r w:rsidRPr="003D040B">
        <w:rPr>
          <w:sz w:val="16"/>
          <w:szCs w:val="16"/>
          <w:lang w:val="en-NZ"/>
        </w:rPr>
        <w:t xml:space="preserve"> </w:t>
      </w:r>
      <w:proofErr w:type="gramStart"/>
      <w:r w:rsidRPr="003D040B">
        <w:rPr>
          <w:sz w:val="16"/>
          <w:szCs w:val="16"/>
          <w:lang w:val="en-NZ"/>
        </w:rPr>
        <w:t xml:space="preserve">(2008) </w:t>
      </w:r>
      <w:r w:rsidRPr="003D040B">
        <w:rPr>
          <w:i/>
          <w:sz w:val="16"/>
          <w:szCs w:val="16"/>
          <w:lang w:val="en-NZ"/>
        </w:rPr>
        <w:t>Measuring Agricultural Research Investments</w:t>
      </w:r>
      <w:r w:rsidRPr="003D040B">
        <w:rPr>
          <w:sz w:val="16"/>
          <w:szCs w:val="16"/>
          <w:lang w:val="en-NZ"/>
        </w:rPr>
        <w:t>.</w:t>
      </w:r>
      <w:proofErr w:type="gramEnd"/>
      <w:r w:rsidRPr="003D040B">
        <w:rPr>
          <w:sz w:val="16"/>
          <w:szCs w:val="16"/>
          <w:lang w:val="en-NZ"/>
        </w:rPr>
        <w:t xml:space="preserve"> Agricultural Science and Technology Indicators, CGIAR Washington DC USA [see </w:t>
      </w:r>
      <w:hyperlink r:id="rId3" w:history="1">
        <w:r w:rsidRPr="003D040B">
          <w:rPr>
            <w:rStyle w:val="Hyperlink"/>
            <w:sz w:val="16"/>
            <w:szCs w:val="16"/>
            <w:lang w:val="en-NZ"/>
          </w:rPr>
          <w:t>http://www.asti.cgiar.org/pdf/Global_revision.pdf</w:t>
        </w:r>
      </w:hyperlink>
      <w:r w:rsidRPr="003D040B">
        <w:rPr>
          <w:sz w:val="16"/>
          <w:szCs w:val="16"/>
          <w:lang w:val="en-NZ"/>
        </w:rPr>
        <w:t xml:space="preserve"> ]</w:t>
      </w:r>
    </w:p>
  </w:footnote>
  <w:footnote w:id="3">
    <w:p w:rsidR="002E2738" w:rsidRPr="003D040B" w:rsidRDefault="002E2738" w:rsidP="004B4FDA">
      <w:pPr>
        <w:pStyle w:val="FootnoteText"/>
        <w:spacing w:after="0"/>
        <w:rPr>
          <w:sz w:val="16"/>
          <w:szCs w:val="16"/>
          <w:lang w:val="en-NZ"/>
        </w:rPr>
      </w:pPr>
      <w:r w:rsidRPr="003D040B">
        <w:rPr>
          <w:rStyle w:val="FootnoteReference"/>
          <w:sz w:val="16"/>
          <w:szCs w:val="16"/>
        </w:rPr>
        <w:footnoteRef/>
      </w:r>
      <w:r w:rsidRPr="003D040B">
        <w:rPr>
          <w:sz w:val="16"/>
          <w:szCs w:val="16"/>
        </w:rPr>
        <w:t xml:space="preserve"> </w:t>
      </w:r>
      <w:r w:rsidRPr="003D040B">
        <w:rPr>
          <w:sz w:val="16"/>
          <w:szCs w:val="16"/>
          <w:lang w:val="en-NZ"/>
        </w:rPr>
        <w:t xml:space="preserve">Government of </w:t>
      </w:r>
      <w:r>
        <w:rPr>
          <w:sz w:val="16"/>
          <w:szCs w:val="16"/>
          <w:lang w:val="en-NZ"/>
        </w:rPr>
        <w:t>Timor-Leste</w:t>
      </w:r>
      <w:r w:rsidRPr="003D040B">
        <w:rPr>
          <w:sz w:val="16"/>
          <w:szCs w:val="16"/>
          <w:lang w:val="en-NZ"/>
        </w:rPr>
        <w:t xml:space="preserve"> 2012 Budget Papers</w:t>
      </w:r>
    </w:p>
  </w:footnote>
  <w:footnote w:id="4">
    <w:p w:rsidR="002E2738" w:rsidRPr="007F07FF" w:rsidRDefault="002E2738" w:rsidP="007F07FF">
      <w:pPr>
        <w:pStyle w:val="FootnoteText"/>
        <w:spacing w:after="0"/>
        <w:rPr>
          <w:sz w:val="16"/>
          <w:szCs w:val="16"/>
        </w:rPr>
      </w:pPr>
      <w:r w:rsidRPr="007F07FF">
        <w:rPr>
          <w:rStyle w:val="FootnoteReference"/>
          <w:sz w:val="16"/>
          <w:szCs w:val="16"/>
        </w:rPr>
        <w:footnoteRef/>
      </w:r>
      <w:r w:rsidRPr="007F07FF">
        <w:rPr>
          <w:sz w:val="16"/>
          <w:szCs w:val="16"/>
        </w:rPr>
        <w:t xml:space="preserve"> http://www.fao.org/ag/agl/agll/nrdb/index.jsp?lang=en</w:t>
      </w:r>
    </w:p>
  </w:footnote>
  <w:footnote w:id="5">
    <w:p w:rsidR="002E2738" w:rsidRPr="007F07FF" w:rsidRDefault="002E2738" w:rsidP="007F07FF">
      <w:pPr>
        <w:ind w:left="720" w:hanging="720"/>
        <w:rPr>
          <w:sz w:val="16"/>
          <w:szCs w:val="16"/>
        </w:rPr>
      </w:pPr>
      <w:r w:rsidRPr="007F07FF">
        <w:rPr>
          <w:rStyle w:val="FootnoteReference"/>
          <w:sz w:val="16"/>
          <w:szCs w:val="16"/>
        </w:rPr>
        <w:footnoteRef/>
      </w:r>
      <w:r w:rsidRPr="007F07FF">
        <w:rPr>
          <w:sz w:val="16"/>
          <w:szCs w:val="16"/>
        </w:rPr>
        <w:t xml:space="preserve"> </w:t>
      </w:r>
      <w:r w:rsidRPr="007F07FF">
        <w:rPr>
          <w:sz w:val="16"/>
          <w:szCs w:val="16"/>
          <w:lang w:val="en-US"/>
        </w:rPr>
        <w:t xml:space="preserve">See </w:t>
      </w:r>
      <w:proofErr w:type="spellStart"/>
      <w:r w:rsidRPr="007F07FF">
        <w:rPr>
          <w:sz w:val="16"/>
          <w:szCs w:val="16"/>
        </w:rPr>
        <w:t>Henao</w:t>
      </w:r>
      <w:proofErr w:type="spellEnd"/>
      <w:r w:rsidRPr="007F07FF">
        <w:rPr>
          <w:sz w:val="16"/>
          <w:szCs w:val="16"/>
        </w:rPr>
        <w:t xml:space="preserve">, J. and </w:t>
      </w:r>
      <w:proofErr w:type="spellStart"/>
      <w:r w:rsidRPr="007F07FF">
        <w:rPr>
          <w:sz w:val="16"/>
          <w:szCs w:val="16"/>
        </w:rPr>
        <w:t>Baanante</w:t>
      </w:r>
      <w:proofErr w:type="spellEnd"/>
      <w:r w:rsidRPr="007F07FF">
        <w:rPr>
          <w:sz w:val="16"/>
          <w:szCs w:val="16"/>
        </w:rPr>
        <w:t xml:space="preserve"> C. 2006. Agricultural production and soil nutrient mining in Africa: implications for resource conservation and policy development.  p. 169 </w:t>
      </w:r>
      <w:proofErr w:type="gramStart"/>
      <w:r w:rsidRPr="007F07FF">
        <w:rPr>
          <w:sz w:val="16"/>
          <w:szCs w:val="16"/>
        </w:rPr>
        <w:t>In</w:t>
      </w:r>
      <w:proofErr w:type="gramEnd"/>
      <w:r w:rsidRPr="007F07FF">
        <w:rPr>
          <w:sz w:val="16"/>
          <w:szCs w:val="16"/>
        </w:rPr>
        <w:t xml:space="preserve">: Africa </w:t>
      </w:r>
      <w:r>
        <w:rPr>
          <w:sz w:val="16"/>
          <w:szCs w:val="16"/>
        </w:rPr>
        <w:t>Fertilis</w:t>
      </w:r>
      <w:r w:rsidRPr="007F07FF">
        <w:rPr>
          <w:sz w:val="16"/>
          <w:szCs w:val="16"/>
        </w:rPr>
        <w:t xml:space="preserve">er Summit Proceedings, International </w:t>
      </w:r>
      <w:r>
        <w:rPr>
          <w:sz w:val="16"/>
          <w:szCs w:val="16"/>
        </w:rPr>
        <w:t>Fertilis</w:t>
      </w:r>
      <w:r w:rsidRPr="007F07FF">
        <w:rPr>
          <w:sz w:val="16"/>
          <w:szCs w:val="16"/>
        </w:rPr>
        <w:t>er Development Center, Muscle Shoals, AL, USA.</w:t>
      </w:r>
    </w:p>
  </w:footnote>
  <w:footnote w:id="6">
    <w:p w:rsidR="002E2738" w:rsidRPr="007F07FF" w:rsidRDefault="002E2738" w:rsidP="007F07FF">
      <w:pPr>
        <w:pStyle w:val="FootnoteText"/>
        <w:spacing w:after="0"/>
        <w:rPr>
          <w:sz w:val="16"/>
          <w:szCs w:val="16"/>
          <w:lang w:val="en-US"/>
        </w:rPr>
      </w:pPr>
      <w:r w:rsidRPr="007F07FF">
        <w:rPr>
          <w:rStyle w:val="FootnoteReference"/>
          <w:sz w:val="16"/>
          <w:szCs w:val="16"/>
        </w:rPr>
        <w:footnoteRef/>
      </w:r>
      <w:r w:rsidRPr="007F07FF">
        <w:rPr>
          <w:sz w:val="16"/>
          <w:szCs w:val="16"/>
        </w:rPr>
        <w:t xml:space="preserve"> Maize-velvet bean replicated trials. </w:t>
      </w:r>
      <w:r w:rsidRPr="00322833">
        <w:rPr>
          <w:i/>
          <w:sz w:val="16"/>
          <w:szCs w:val="16"/>
        </w:rPr>
        <w:t>In</w:t>
      </w:r>
      <w:r w:rsidRPr="007F07FF">
        <w:rPr>
          <w:sz w:val="16"/>
          <w:szCs w:val="16"/>
        </w:rPr>
        <w:t xml:space="preserve">: </w:t>
      </w:r>
      <w:r w:rsidRPr="007F07FF">
        <w:rPr>
          <w:sz w:val="16"/>
          <w:szCs w:val="16"/>
          <w:lang w:val="en-US"/>
        </w:rPr>
        <w:t>Seeds of Life Annual Research Report 2011 (in preparation)</w:t>
      </w:r>
    </w:p>
  </w:footnote>
  <w:footnote w:id="7">
    <w:p w:rsidR="002E2738" w:rsidRPr="007F07FF" w:rsidRDefault="002E2738" w:rsidP="00322833">
      <w:pPr>
        <w:ind w:left="720" w:hanging="720"/>
        <w:rPr>
          <w:noProof/>
          <w:sz w:val="16"/>
          <w:szCs w:val="16"/>
        </w:rPr>
      </w:pPr>
      <w:r w:rsidRPr="007F07FF">
        <w:rPr>
          <w:rStyle w:val="FootnoteReference"/>
          <w:sz w:val="16"/>
          <w:szCs w:val="16"/>
        </w:rPr>
        <w:footnoteRef/>
      </w:r>
      <w:r w:rsidRPr="007F07FF">
        <w:rPr>
          <w:sz w:val="16"/>
          <w:szCs w:val="16"/>
        </w:rPr>
        <w:t xml:space="preserve"> Gilbert, N.</w:t>
      </w:r>
      <w:r>
        <w:rPr>
          <w:sz w:val="16"/>
          <w:szCs w:val="16"/>
        </w:rPr>
        <w:t>,</w:t>
      </w:r>
      <w:r w:rsidRPr="007F07FF">
        <w:rPr>
          <w:sz w:val="16"/>
          <w:szCs w:val="16"/>
        </w:rPr>
        <w:t xml:space="preserve"> 2012. </w:t>
      </w:r>
      <w:proofErr w:type="gramStart"/>
      <w:r w:rsidRPr="00152DC6">
        <w:rPr>
          <w:i/>
          <w:sz w:val="16"/>
          <w:szCs w:val="16"/>
        </w:rPr>
        <w:t>Dirt poor</w:t>
      </w:r>
      <w:r w:rsidRPr="007F07FF">
        <w:rPr>
          <w:sz w:val="16"/>
          <w:szCs w:val="16"/>
        </w:rPr>
        <w:t>.</w:t>
      </w:r>
      <w:proofErr w:type="gramEnd"/>
      <w:r w:rsidRPr="007F07FF">
        <w:rPr>
          <w:sz w:val="16"/>
          <w:szCs w:val="16"/>
        </w:rPr>
        <w:t xml:space="preserve"> The key to tackling hunger in Africa is enriching its soil. Nature 483, 525-527.</w:t>
      </w:r>
    </w:p>
  </w:footnote>
  <w:footnote w:id="8">
    <w:p w:rsidR="002E2738" w:rsidRPr="007F07FF" w:rsidRDefault="002E2738" w:rsidP="00322833">
      <w:pPr>
        <w:jc w:val="left"/>
        <w:rPr>
          <w:rFonts w:ascii="Arial" w:hAnsi="Arial" w:cs="Arial"/>
          <w:bCs/>
          <w:color w:val="111111"/>
          <w:sz w:val="16"/>
          <w:szCs w:val="16"/>
          <w:lang w:val="en-NZ" w:eastAsia="en-NZ"/>
        </w:rPr>
      </w:pPr>
      <w:r w:rsidRPr="007F07FF">
        <w:rPr>
          <w:rStyle w:val="FootnoteReference"/>
          <w:sz w:val="16"/>
          <w:szCs w:val="16"/>
        </w:rPr>
        <w:footnoteRef/>
      </w:r>
      <w:r w:rsidRPr="007F07FF">
        <w:rPr>
          <w:sz w:val="16"/>
          <w:szCs w:val="16"/>
        </w:rPr>
        <w:t xml:space="preserve"> </w:t>
      </w:r>
      <w:r>
        <w:rPr>
          <w:sz w:val="16"/>
          <w:szCs w:val="16"/>
          <w:lang w:val="en-US"/>
        </w:rPr>
        <w:t>See for example</w:t>
      </w:r>
      <w:r w:rsidRPr="007F07FF">
        <w:rPr>
          <w:sz w:val="16"/>
          <w:szCs w:val="16"/>
          <w:lang w:val="en-US"/>
        </w:rPr>
        <w:t xml:space="preserve">: </w:t>
      </w:r>
      <w:r w:rsidRPr="00322833">
        <w:rPr>
          <w:bCs/>
          <w:color w:val="111111"/>
          <w:sz w:val="16"/>
          <w:szCs w:val="16"/>
          <w:lang w:val="en-NZ" w:eastAsia="en-NZ"/>
        </w:rPr>
        <w:t>A. M. O. </w:t>
      </w:r>
      <w:proofErr w:type="spellStart"/>
      <w:r w:rsidRPr="00322833">
        <w:rPr>
          <w:bCs/>
          <w:color w:val="111111"/>
          <w:sz w:val="16"/>
          <w:szCs w:val="16"/>
          <w:lang w:val="en-NZ" w:eastAsia="en-NZ"/>
        </w:rPr>
        <w:t>Elwali</w:t>
      </w:r>
      <w:proofErr w:type="spellEnd"/>
      <w:r w:rsidRPr="00322833">
        <w:rPr>
          <w:bCs/>
          <w:color w:val="111111"/>
          <w:sz w:val="16"/>
          <w:szCs w:val="16"/>
          <w:lang w:val="en-NZ" w:eastAsia="en-NZ"/>
        </w:rPr>
        <w:t xml:space="preserve">, G.J. </w:t>
      </w:r>
      <w:proofErr w:type="spellStart"/>
      <w:r w:rsidRPr="00322833">
        <w:rPr>
          <w:bCs/>
          <w:color w:val="111111"/>
          <w:sz w:val="16"/>
          <w:szCs w:val="16"/>
          <w:lang w:val="en-NZ" w:eastAsia="en-NZ"/>
        </w:rPr>
        <w:t>Gascho</w:t>
      </w:r>
      <w:proofErr w:type="spellEnd"/>
      <w:r w:rsidRPr="00322833">
        <w:rPr>
          <w:bCs/>
          <w:color w:val="111111"/>
          <w:sz w:val="16"/>
          <w:szCs w:val="16"/>
          <w:lang w:val="en-NZ" w:eastAsia="en-NZ"/>
        </w:rPr>
        <w:t>, and M.E. Sumner. 1984. DRIS norms for 11 nutrients in corn leaves.  Agronomy Journal 77: 506-508.</w:t>
      </w:r>
      <w:r w:rsidRPr="007F07FF">
        <w:rPr>
          <w:bCs/>
          <w:color w:val="111111"/>
          <w:sz w:val="16"/>
          <w:szCs w:val="16"/>
          <w:lang w:val="en-NZ" w:eastAsia="en-NZ"/>
        </w:rPr>
        <w:t xml:space="preserve">; and K. Schaller (2007); </w:t>
      </w:r>
      <w:r w:rsidRPr="00322833">
        <w:rPr>
          <w:bCs/>
          <w:color w:val="111111"/>
          <w:sz w:val="16"/>
          <w:szCs w:val="16"/>
          <w:lang w:val="en-NZ" w:eastAsia="en-NZ"/>
        </w:rPr>
        <w:t>http://www.oiv2007.hu/documents/viticulture/270_oivschaller2007.pdf</w:t>
      </w:r>
    </w:p>
  </w:footnote>
  <w:footnote w:id="9">
    <w:p w:rsidR="002E2738" w:rsidRPr="00152DC6" w:rsidRDefault="002E2738" w:rsidP="00152DC6">
      <w:pPr>
        <w:pStyle w:val="FootnoteText"/>
        <w:spacing w:after="0"/>
        <w:rPr>
          <w:sz w:val="16"/>
          <w:szCs w:val="16"/>
          <w:lang w:val="en-US"/>
        </w:rPr>
      </w:pPr>
      <w:r w:rsidRPr="00152DC6">
        <w:rPr>
          <w:rStyle w:val="FootnoteReference"/>
          <w:sz w:val="16"/>
          <w:szCs w:val="16"/>
        </w:rPr>
        <w:footnoteRef/>
      </w:r>
      <w:r w:rsidRPr="00152DC6">
        <w:rPr>
          <w:sz w:val="16"/>
          <w:szCs w:val="16"/>
        </w:rPr>
        <w:t xml:space="preserve"> </w:t>
      </w:r>
      <w:r w:rsidRPr="00152DC6">
        <w:rPr>
          <w:sz w:val="16"/>
          <w:szCs w:val="16"/>
          <w:lang w:val="en-US"/>
        </w:rPr>
        <w:t>Fox, P.N. 2012. Trip report 11-21 March 2012 El Salvador.  ACIAR 5pp,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38" w:rsidRDefault="002E273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38" w:rsidRDefault="002E273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38" w:rsidRPr="00246108" w:rsidRDefault="002E2738" w:rsidP="00F609F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38" w:rsidRDefault="002E273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38" w:rsidRDefault="002E273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38" w:rsidRPr="00582A5C" w:rsidRDefault="000965D6" w:rsidP="00582A5C">
    <w:pPr>
      <w:tabs>
        <w:tab w:val="right" w:pos="8647"/>
      </w:tabs>
      <w:rPr>
        <w:rFonts w:ascii="Arial" w:hAnsi="Arial" w:cs="Arial"/>
        <w:b/>
        <w:sz w:val="20"/>
      </w:rPr>
    </w:pPr>
    <w:r>
      <w:fldChar w:fldCharType="begin"/>
    </w:r>
    <w:r>
      <w:instrText xml:space="preserve"> TITLE \* MERGEFORMAT </w:instrText>
    </w:r>
    <w:r>
      <w:fldChar w:fldCharType="separate"/>
    </w:r>
    <w:r w:rsidR="002E2738" w:rsidRPr="00A37A51">
      <w:rPr>
        <w:rFonts w:ascii="Arial" w:hAnsi="Arial" w:cs="Arial"/>
        <w:sz w:val="20"/>
      </w:rPr>
      <w:t>Timor-Leste Seeds of Life (Phase 3)</w:t>
    </w:r>
    <w:r>
      <w:rPr>
        <w:rFonts w:ascii="Arial" w:hAnsi="Arial" w:cs="Arial"/>
        <w:sz w:val="20"/>
      </w:rPr>
      <w:fldChar w:fldCharType="end"/>
    </w:r>
  </w:p>
  <w:p w:rsidR="002E2738" w:rsidRPr="00D93AD5" w:rsidRDefault="000965D6" w:rsidP="00582A5C">
    <w:pPr>
      <w:pBdr>
        <w:bottom w:val="single" w:sz="4" w:space="2" w:color="auto"/>
      </w:pBdr>
      <w:tabs>
        <w:tab w:val="right" w:pos="8647"/>
      </w:tabs>
      <w:spacing w:after="120"/>
      <w:rPr>
        <w:rFonts w:ascii="Arial" w:hAnsi="Arial" w:cs="Arial"/>
        <w:sz w:val="20"/>
      </w:rPr>
    </w:pPr>
    <w:r>
      <w:fldChar w:fldCharType="begin"/>
    </w:r>
    <w:r>
      <w:instrText xml:space="preserve"> SUBJECT  \* MERGEFORMAT </w:instrText>
    </w:r>
    <w:r>
      <w:fldChar w:fldCharType="separate"/>
    </w:r>
    <w:r w:rsidR="002E2738" w:rsidRPr="00A37A51">
      <w:rPr>
        <w:rFonts w:ascii="Arial" w:hAnsi="Arial" w:cs="Arial"/>
        <w:sz w:val="20"/>
      </w:rPr>
      <w:t>Technical Advisory Group Report - Second Visit</w:t>
    </w:r>
    <w:r>
      <w:rPr>
        <w:rFonts w:ascii="Arial" w:hAnsi="Arial" w:cs="Arial"/>
        <w:sz w:val="20"/>
      </w:rPr>
      <w:fldChar w:fldCharType="end"/>
    </w:r>
    <w:r w:rsidR="002E2738" w:rsidRPr="00D93AD5">
      <w:rPr>
        <w:rFonts w:ascii="Arial" w:hAnsi="Arial" w:cs="Arial"/>
        <w:sz w:val="20"/>
      </w:rPr>
      <w:t xml:space="preserve"> </w:t>
    </w:r>
    <w:r w:rsidR="002E2738" w:rsidRPr="00D93AD5">
      <w:rPr>
        <w:rFonts w:ascii="Arial" w:hAnsi="Arial" w:cs="Arial"/>
        <w:sz w:val="20"/>
      </w:rPr>
      <w:ptab w:relativeTo="margin" w:alignment="right" w:leader="none"/>
    </w:r>
    <w:r w:rsidR="002E2738" w:rsidRPr="00D93AD5">
      <w:rPr>
        <w:rFonts w:ascii="Arial" w:hAnsi="Arial" w:cs="Arial"/>
        <w:sz w:val="20"/>
      </w:rPr>
      <w:t>Annex 1-</w:t>
    </w:r>
    <w:r w:rsidR="002E2738" w:rsidRPr="00D93AD5">
      <w:rPr>
        <w:rStyle w:val="PageNumber"/>
        <w:rFonts w:ascii="Arial" w:hAnsi="Arial" w:cs="Arial"/>
        <w:sz w:val="20"/>
      </w:rPr>
      <w:fldChar w:fldCharType="begin"/>
    </w:r>
    <w:r w:rsidR="002E2738" w:rsidRPr="00D93AD5">
      <w:rPr>
        <w:rStyle w:val="PageNumber"/>
        <w:rFonts w:ascii="Arial" w:hAnsi="Arial" w:cs="Arial"/>
        <w:sz w:val="20"/>
      </w:rPr>
      <w:instrText xml:space="preserve"> PAGE </w:instrText>
    </w:r>
    <w:r w:rsidR="002E2738" w:rsidRPr="00D93AD5">
      <w:rPr>
        <w:rStyle w:val="PageNumber"/>
        <w:rFonts w:ascii="Arial" w:hAnsi="Arial" w:cs="Arial"/>
        <w:sz w:val="20"/>
      </w:rPr>
      <w:fldChar w:fldCharType="separate"/>
    </w:r>
    <w:r>
      <w:rPr>
        <w:rStyle w:val="PageNumber"/>
        <w:rFonts w:ascii="Arial" w:hAnsi="Arial" w:cs="Arial"/>
        <w:noProof/>
        <w:sz w:val="20"/>
      </w:rPr>
      <w:t>2</w:t>
    </w:r>
    <w:r w:rsidR="002E2738" w:rsidRPr="00D93AD5">
      <w:rPr>
        <w:rStyle w:val="PageNumber"/>
        <w:rFonts w:ascii="Arial" w:hAnsi="Arial" w:cs="Arial"/>
        <w:sz w:val="20"/>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38" w:rsidRDefault="002E273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38" w:rsidRDefault="002E273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38" w:rsidRPr="00246108" w:rsidRDefault="002E2738" w:rsidP="00F609FF">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38" w:rsidRDefault="002E2738">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38" w:rsidRDefault="002E27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38" w:rsidRDefault="002E2738">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38" w:rsidRPr="00582A5C" w:rsidRDefault="000965D6" w:rsidP="00582A5C">
    <w:pPr>
      <w:tabs>
        <w:tab w:val="right" w:pos="8647"/>
      </w:tabs>
      <w:rPr>
        <w:rFonts w:ascii="Arial" w:hAnsi="Arial" w:cs="Arial"/>
        <w:b/>
        <w:sz w:val="20"/>
      </w:rPr>
    </w:pPr>
    <w:r>
      <w:fldChar w:fldCharType="begin"/>
    </w:r>
    <w:r>
      <w:instrText xml:space="preserve"> TITLE \* MERGEFORMAT </w:instrText>
    </w:r>
    <w:r>
      <w:fldChar w:fldCharType="separate"/>
    </w:r>
    <w:r w:rsidR="002E2738" w:rsidRPr="00A37A51">
      <w:rPr>
        <w:rFonts w:ascii="Arial" w:hAnsi="Arial" w:cs="Arial"/>
        <w:sz w:val="20"/>
      </w:rPr>
      <w:t>Timor-Leste Seeds of Life (Phase 3)</w:t>
    </w:r>
    <w:r>
      <w:rPr>
        <w:rFonts w:ascii="Arial" w:hAnsi="Arial" w:cs="Arial"/>
        <w:sz w:val="20"/>
      </w:rPr>
      <w:fldChar w:fldCharType="end"/>
    </w:r>
  </w:p>
  <w:p w:rsidR="002E2738" w:rsidRPr="00D93AD5" w:rsidRDefault="000965D6" w:rsidP="00582A5C">
    <w:pPr>
      <w:pBdr>
        <w:bottom w:val="single" w:sz="4" w:space="2" w:color="auto"/>
      </w:pBdr>
      <w:tabs>
        <w:tab w:val="right" w:pos="8647"/>
      </w:tabs>
      <w:spacing w:after="120"/>
      <w:rPr>
        <w:rFonts w:ascii="Arial" w:hAnsi="Arial" w:cs="Arial"/>
        <w:sz w:val="20"/>
      </w:rPr>
    </w:pPr>
    <w:r>
      <w:fldChar w:fldCharType="begin"/>
    </w:r>
    <w:r>
      <w:instrText xml:space="preserve"> SUBJECT  \* MERGEFORMAT </w:instrText>
    </w:r>
    <w:r>
      <w:fldChar w:fldCharType="separate"/>
    </w:r>
    <w:r w:rsidR="002E2738" w:rsidRPr="00A37A51">
      <w:rPr>
        <w:rFonts w:ascii="Arial" w:hAnsi="Arial" w:cs="Arial"/>
        <w:sz w:val="20"/>
      </w:rPr>
      <w:t>Technical Advisory Group Report - Second Visit</w:t>
    </w:r>
    <w:r>
      <w:rPr>
        <w:rFonts w:ascii="Arial" w:hAnsi="Arial" w:cs="Arial"/>
        <w:sz w:val="20"/>
      </w:rPr>
      <w:fldChar w:fldCharType="end"/>
    </w:r>
    <w:r w:rsidR="002E2738" w:rsidRPr="00D93AD5">
      <w:rPr>
        <w:rFonts w:ascii="Arial" w:hAnsi="Arial" w:cs="Arial"/>
        <w:sz w:val="20"/>
      </w:rPr>
      <w:t xml:space="preserve"> </w:t>
    </w:r>
    <w:r w:rsidR="002E2738" w:rsidRPr="00D93AD5">
      <w:rPr>
        <w:rFonts w:ascii="Arial" w:hAnsi="Arial" w:cs="Arial"/>
        <w:sz w:val="20"/>
      </w:rPr>
      <w:ptab w:relativeTo="margin" w:alignment="right" w:leader="none"/>
    </w:r>
    <w:r w:rsidR="002E2738" w:rsidRPr="00D93AD5">
      <w:rPr>
        <w:rFonts w:ascii="Arial" w:hAnsi="Arial" w:cs="Arial"/>
        <w:sz w:val="20"/>
      </w:rPr>
      <w:t>Annex 2-</w:t>
    </w:r>
    <w:r w:rsidR="002E2738" w:rsidRPr="00D93AD5">
      <w:rPr>
        <w:rStyle w:val="PageNumber"/>
        <w:rFonts w:ascii="Arial" w:hAnsi="Arial" w:cs="Arial"/>
        <w:sz w:val="20"/>
      </w:rPr>
      <w:fldChar w:fldCharType="begin"/>
    </w:r>
    <w:r w:rsidR="002E2738" w:rsidRPr="00D93AD5">
      <w:rPr>
        <w:rStyle w:val="PageNumber"/>
        <w:rFonts w:ascii="Arial" w:hAnsi="Arial" w:cs="Arial"/>
        <w:sz w:val="20"/>
      </w:rPr>
      <w:instrText xml:space="preserve"> PAGE </w:instrText>
    </w:r>
    <w:r w:rsidR="002E2738" w:rsidRPr="00D93AD5">
      <w:rPr>
        <w:rStyle w:val="PageNumber"/>
        <w:rFonts w:ascii="Arial" w:hAnsi="Arial" w:cs="Arial"/>
        <w:sz w:val="20"/>
      </w:rPr>
      <w:fldChar w:fldCharType="separate"/>
    </w:r>
    <w:r>
      <w:rPr>
        <w:rStyle w:val="PageNumber"/>
        <w:rFonts w:ascii="Arial" w:hAnsi="Arial" w:cs="Arial"/>
        <w:noProof/>
        <w:sz w:val="20"/>
      </w:rPr>
      <w:t>1</w:t>
    </w:r>
    <w:r w:rsidR="002E2738" w:rsidRPr="00D93AD5">
      <w:rPr>
        <w:rStyle w:val="PageNumber"/>
        <w:rFonts w:ascii="Arial" w:hAnsi="Arial" w:cs="Arial"/>
        <w:sz w:val="20"/>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38" w:rsidRDefault="002E27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38" w:rsidRDefault="002E27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38" w:rsidRDefault="002E27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38" w:rsidRPr="00D93AD5" w:rsidRDefault="000965D6" w:rsidP="00D73430">
    <w:pPr>
      <w:tabs>
        <w:tab w:val="right" w:pos="8647"/>
      </w:tabs>
      <w:rPr>
        <w:rFonts w:ascii="Arial" w:hAnsi="Arial" w:cs="Arial"/>
        <w:b/>
        <w:sz w:val="20"/>
      </w:rPr>
    </w:pPr>
    <w:r>
      <w:fldChar w:fldCharType="begin"/>
    </w:r>
    <w:r>
      <w:instrText xml:space="preserve"> TITLE \* MERGEFORMAT </w:instrText>
    </w:r>
    <w:r>
      <w:fldChar w:fldCharType="separate"/>
    </w:r>
    <w:r w:rsidR="002E2738" w:rsidRPr="00A37A51">
      <w:rPr>
        <w:rFonts w:ascii="Arial" w:hAnsi="Arial" w:cs="Arial"/>
        <w:sz w:val="20"/>
      </w:rPr>
      <w:t>Timor-Leste Seeds of Life (Phase 3)</w:t>
    </w:r>
    <w:r>
      <w:rPr>
        <w:rFonts w:ascii="Arial" w:hAnsi="Arial" w:cs="Arial"/>
        <w:sz w:val="20"/>
      </w:rPr>
      <w:fldChar w:fldCharType="end"/>
    </w:r>
  </w:p>
  <w:p w:rsidR="002E2738" w:rsidRPr="00D93AD5" w:rsidRDefault="000965D6" w:rsidP="00D73430">
    <w:pPr>
      <w:pBdr>
        <w:bottom w:val="single" w:sz="4" w:space="2" w:color="auto"/>
      </w:pBdr>
      <w:tabs>
        <w:tab w:val="right" w:pos="8647"/>
      </w:tabs>
      <w:spacing w:after="120"/>
      <w:rPr>
        <w:rFonts w:ascii="Arial" w:hAnsi="Arial" w:cs="Arial"/>
        <w:sz w:val="20"/>
      </w:rPr>
    </w:pPr>
    <w:r>
      <w:fldChar w:fldCharType="begin"/>
    </w:r>
    <w:r>
      <w:instrText xml:space="preserve"> SUBJECT  \* MERGEFORMAT </w:instrText>
    </w:r>
    <w:r>
      <w:fldChar w:fldCharType="separate"/>
    </w:r>
    <w:r w:rsidR="002E2738" w:rsidRPr="00A37A51">
      <w:rPr>
        <w:rFonts w:ascii="Arial" w:hAnsi="Arial" w:cs="Arial"/>
        <w:sz w:val="20"/>
      </w:rPr>
      <w:t>Technical Advisory Group Report - Second Visit</w:t>
    </w:r>
    <w:r>
      <w:rPr>
        <w:rFonts w:ascii="Arial" w:hAnsi="Arial" w:cs="Arial"/>
        <w:sz w:val="20"/>
      </w:rPr>
      <w:fldChar w:fldCharType="end"/>
    </w:r>
    <w:r w:rsidR="002E2738" w:rsidRPr="00D93AD5">
      <w:rPr>
        <w:rFonts w:ascii="Arial" w:hAnsi="Arial" w:cs="Arial"/>
        <w:sz w:val="20"/>
      </w:rPr>
      <w:t xml:space="preserve"> </w:t>
    </w:r>
    <w:r w:rsidR="002E2738" w:rsidRPr="00D93AD5">
      <w:rPr>
        <w:rFonts w:ascii="Arial" w:hAnsi="Arial" w:cs="Arial"/>
        <w:sz w:val="20"/>
      </w:rPr>
      <w:tab/>
    </w:r>
    <w:r w:rsidR="002E2738" w:rsidRPr="00D93AD5">
      <w:rPr>
        <w:rFonts w:ascii="Arial" w:hAnsi="Arial" w:cs="Arial"/>
        <w:sz w:val="20"/>
      </w:rPr>
      <w:ptab w:relativeTo="margin" w:alignment="right" w:leader="none"/>
    </w:r>
    <w:r w:rsidR="002E2738" w:rsidRPr="00D93AD5">
      <w:rPr>
        <w:rStyle w:val="PageNumber"/>
        <w:rFonts w:ascii="Arial" w:hAnsi="Arial" w:cs="Arial"/>
        <w:sz w:val="20"/>
      </w:rPr>
      <w:fldChar w:fldCharType="begin"/>
    </w:r>
    <w:r w:rsidR="002E2738" w:rsidRPr="00D93AD5">
      <w:rPr>
        <w:rStyle w:val="PageNumber"/>
        <w:rFonts w:ascii="Arial" w:hAnsi="Arial" w:cs="Arial"/>
        <w:sz w:val="20"/>
      </w:rPr>
      <w:instrText xml:space="preserve"> PAGE </w:instrText>
    </w:r>
    <w:r w:rsidR="002E2738" w:rsidRPr="00D93AD5">
      <w:rPr>
        <w:rStyle w:val="PageNumber"/>
        <w:rFonts w:ascii="Arial" w:hAnsi="Arial" w:cs="Arial"/>
        <w:sz w:val="20"/>
      </w:rPr>
      <w:fldChar w:fldCharType="separate"/>
    </w:r>
    <w:r>
      <w:rPr>
        <w:rStyle w:val="PageNumber"/>
        <w:rFonts w:ascii="Arial" w:hAnsi="Arial" w:cs="Arial"/>
        <w:noProof/>
        <w:sz w:val="20"/>
      </w:rPr>
      <w:t>iv</w:t>
    </w:r>
    <w:r w:rsidR="002E2738" w:rsidRPr="00D93AD5">
      <w:rPr>
        <w:rStyle w:val="PageNumber"/>
        <w:rFonts w:ascii="Arial" w:hAnsi="Arial" w:cs="Arial"/>
        <w:sz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38" w:rsidRDefault="002E273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38" w:rsidRDefault="002E273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38" w:rsidRPr="00582A5C" w:rsidRDefault="000965D6" w:rsidP="00582A5C">
    <w:pPr>
      <w:tabs>
        <w:tab w:val="right" w:pos="8647"/>
      </w:tabs>
      <w:rPr>
        <w:rFonts w:ascii="Arial" w:hAnsi="Arial" w:cs="Arial"/>
        <w:b/>
        <w:sz w:val="20"/>
      </w:rPr>
    </w:pPr>
    <w:r>
      <w:fldChar w:fldCharType="begin"/>
    </w:r>
    <w:r>
      <w:instrText xml:space="preserve"> TITLE \* MERGEFORMAT </w:instrText>
    </w:r>
    <w:r>
      <w:fldChar w:fldCharType="separate"/>
    </w:r>
    <w:r w:rsidR="002E2738" w:rsidRPr="00A37A51">
      <w:rPr>
        <w:rFonts w:ascii="Arial" w:hAnsi="Arial" w:cs="Arial"/>
        <w:sz w:val="20"/>
      </w:rPr>
      <w:t>Timor-Leste Seeds of Life (Phase 3)</w:t>
    </w:r>
    <w:r>
      <w:rPr>
        <w:rFonts w:ascii="Arial" w:hAnsi="Arial" w:cs="Arial"/>
        <w:sz w:val="20"/>
      </w:rPr>
      <w:fldChar w:fldCharType="end"/>
    </w:r>
  </w:p>
  <w:p w:rsidR="002E2738" w:rsidRPr="00D93AD5" w:rsidRDefault="000965D6" w:rsidP="00582A5C">
    <w:pPr>
      <w:pBdr>
        <w:bottom w:val="single" w:sz="4" w:space="2" w:color="auto"/>
      </w:pBdr>
      <w:tabs>
        <w:tab w:val="right" w:pos="8647"/>
      </w:tabs>
      <w:spacing w:after="120"/>
      <w:rPr>
        <w:rFonts w:ascii="Arial" w:hAnsi="Arial" w:cs="Arial"/>
        <w:sz w:val="20"/>
      </w:rPr>
    </w:pPr>
    <w:r>
      <w:fldChar w:fldCharType="begin"/>
    </w:r>
    <w:r>
      <w:instrText xml:space="preserve"> SUBJECT  \* MERGEFORMAT </w:instrText>
    </w:r>
    <w:r>
      <w:fldChar w:fldCharType="separate"/>
    </w:r>
    <w:r w:rsidR="002E2738" w:rsidRPr="00A37A51">
      <w:rPr>
        <w:rFonts w:ascii="Arial" w:hAnsi="Arial" w:cs="Arial"/>
        <w:sz w:val="20"/>
      </w:rPr>
      <w:t>Technical Advisory Group Report - Second Visit</w:t>
    </w:r>
    <w:r>
      <w:rPr>
        <w:rFonts w:ascii="Arial" w:hAnsi="Arial" w:cs="Arial"/>
        <w:sz w:val="20"/>
      </w:rPr>
      <w:fldChar w:fldCharType="end"/>
    </w:r>
    <w:r w:rsidR="002E2738" w:rsidRPr="00D93AD5">
      <w:rPr>
        <w:rFonts w:ascii="Arial" w:hAnsi="Arial" w:cs="Arial"/>
        <w:sz w:val="20"/>
      </w:rPr>
      <w:t xml:space="preserve"> </w:t>
    </w:r>
    <w:r w:rsidR="002E2738" w:rsidRPr="00D93AD5">
      <w:rPr>
        <w:rFonts w:ascii="Arial" w:hAnsi="Arial" w:cs="Arial"/>
        <w:sz w:val="20"/>
      </w:rPr>
      <w:tab/>
    </w:r>
    <w:r w:rsidR="002E2738" w:rsidRPr="00D93AD5">
      <w:rPr>
        <w:rFonts w:ascii="Arial" w:hAnsi="Arial" w:cs="Arial"/>
        <w:sz w:val="20"/>
      </w:rPr>
      <w:ptab w:relativeTo="margin" w:alignment="right" w:leader="none"/>
    </w:r>
    <w:r w:rsidR="002E2738" w:rsidRPr="00D93AD5">
      <w:rPr>
        <w:rStyle w:val="PageNumber"/>
        <w:rFonts w:ascii="Arial" w:hAnsi="Arial" w:cs="Arial"/>
        <w:sz w:val="20"/>
      </w:rPr>
      <w:fldChar w:fldCharType="begin"/>
    </w:r>
    <w:r w:rsidR="002E2738" w:rsidRPr="00D93AD5">
      <w:rPr>
        <w:rStyle w:val="PageNumber"/>
        <w:rFonts w:ascii="Arial" w:hAnsi="Arial" w:cs="Arial"/>
        <w:sz w:val="20"/>
      </w:rPr>
      <w:instrText xml:space="preserve"> PAGE </w:instrText>
    </w:r>
    <w:r w:rsidR="002E2738" w:rsidRPr="00D93AD5">
      <w:rPr>
        <w:rStyle w:val="PageNumber"/>
        <w:rFonts w:ascii="Arial" w:hAnsi="Arial" w:cs="Arial"/>
        <w:sz w:val="20"/>
      </w:rPr>
      <w:fldChar w:fldCharType="separate"/>
    </w:r>
    <w:r>
      <w:rPr>
        <w:rStyle w:val="PageNumber"/>
        <w:rFonts w:ascii="Arial" w:hAnsi="Arial" w:cs="Arial"/>
        <w:noProof/>
        <w:sz w:val="20"/>
      </w:rPr>
      <w:t>21</w:t>
    </w:r>
    <w:r w:rsidR="002E2738" w:rsidRPr="00D93AD5">
      <w:rPr>
        <w:rStyle w:val="PageNumber"/>
        <w:rFonts w:ascii="Arial" w:hAnsi="Arial" w:cs="Arial"/>
        <w:sz w:val="20"/>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38" w:rsidRDefault="002E27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9FA84B6"/>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AE28C14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rFonts w:ascii="Arial" w:hAnsi="Arial" w:cs="Arial" w:hint="default"/>
        <w:b/>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6104889"/>
    <w:multiLevelType w:val="singleLevel"/>
    <w:tmpl w:val="C608A640"/>
    <w:lvl w:ilvl="0">
      <w:start w:val="1"/>
      <w:numFmt w:val="bullet"/>
      <w:pStyle w:val="ListBullet"/>
      <w:lvlText w:val=""/>
      <w:lvlJc w:val="left"/>
      <w:pPr>
        <w:tabs>
          <w:tab w:val="num" w:pos="360"/>
        </w:tabs>
        <w:ind w:left="360" w:hanging="360"/>
      </w:pPr>
      <w:rPr>
        <w:rFonts w:ascii="Symbol" w:hAnsi="Symbol" w:hint="default"/>
        <w:b/>
        <w:i w:val="0"/>
        <w:vertAlign w:val="baseline"/>
      </w:rPr>
    </w:lvl>
  </w:abstractNum>
  <w:abstractNum w:abstractNumId="3">
    <w:nsid w:val="06B633EC"/>
    <w:multiLevelType w:val="singleLevel"/>
    <w:tmpl w:val="0C09000F"/>
    <w:lvl w:ilvl="0">
      <w:start w:val="1"/>
      <w:numFmt w:val="decimal"/>
      <w:lvlText w:val="%1."/>
      <w:lvlJc w:val="left"/>
      <w:pPr>
        <w:tabs>
          <w:tab w:val="num" w:pos="360"/>
        </w:tabs>
        <w:ind w:left="360" w:hanging="360"/>
      </w:pPr>
    </w:lvl>
  </w:abstractNum>
  <w:abstractNum w:abstractNumId="4">
    <w:nsid w:val="0CAE15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D076F77"/>
    <w:multiLevelType w:val="hybridMultilevel"/>
    <w:tmpl w:val="E0863958"/>
    <w:lvl w:ilvl="0" w:tplc="8A8A41C4">
      <w:start w:val="1"/>
      <w:numFmt w:val="lowerLetter"/>
      <w:lvlText w:val="(%1)"/>
      <w:lvlJc w:val="left"/>
      <w:pPr>
        <w:tabs>
          <w:tab w:val="num" w:pos="1440"/>
        </w:tabs>
        <w:ind w:left="144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690444BC">
      <w:numFmt w:val="bullet"/>
      <w:lvlText w:val="-"/>
      <w:lvlJc w:val="left"/>
      <w:pPr>
        <w:tabs>
          <w:tab w:val="num" w:pos="2880"/>
        </w:tabs>
        <w:ind w:left="2880" w:hanging="360"/>
      </w:pPr>
      <w:rPr>
        <w:rFonts w:ascii="Times New Roman" w:eastAsia="Times New Roman" w:hAnsi="Times New Roman" w:cs="Times New Roman"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4775578"/>
    <w:multiLevelType w:val="hybridMultilevel"/>
    <w:tmpl w:val="206ACC62"/>
    <w:lvl w:ilvl="0" w:tplc="0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4C0983"/>
    <w:multiLevelType w:val="singleLevel"/>
    <w:tmpl w:val="0C09000F"/>
    <w:lvl w:ilvl="0">
      <w:start w:val="1"/>
      <w:numFmt w:val="decimal"/>
      <w:lvlText w:val="%1."/>
      <w:lvlJc w:val="left"/>
      <w:pPr>
        <w:tabs>
          <w:tab w:val="num" w:pos="360"/>
        </w:tabs>
        <w:ind w:left="360" w:hanging="360"/>
      </w:pPr>
    </w:lvl>
  </w:abstractNum>
  <w:abstractNum w:abstractNumId="8">
    <w:nsid w:val="20192099"/>
    <w:multiLevelType w:val="hybridMultilevel"/>
    <w:tmpl w:val="A808D0E4"/>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F90418"/>
    <w:multiLevelType w:val="hybridMultilevel"/>
    <w:tmpl w:val="8CCCD49A"/>
    <w:lvl w:ilvl="0" w:tplc="5024E04E">
      <w:start w:val="1"/>
      <w:numFmt w:val="bullet"/>
      <w:lvlText w:val="&gt;"/>
      <w:lvlJc w:val="left"/>
      <w:pPr>
        <w:tabs>
          <w:tab w:val="num" w:pos="1080"/>
        </w:tabs>
        <w:ind w:left="108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3262883"/>
    <w:multiLevelType w:val="singleLevel"/>
    <w:tmpl w:val="0C09000F"/>
    <w:lvl w:ilvl="0">
      <w:start w:val="1"/>
      <w:numFmt w:val="decimal"/>
      <w:lvlText w:val="%1."/>
      <w:lvlJc w:val="left"/>
      <w:pPr>
        <w:tabs>
          <w:tab w:val="num" w:pos="360"/>
        </w:tabs>
        <w:ind w:left="360" w:hanging="360"/>
      </w:pPr>
    </w:lvl>
  </w:abstractNum>
  <w:abstractNum w:abstractNumId="11">
    <w:nsid w:val="24115363"/>
    <w:multiLevelType w:val="hybridMultilevel"/>
    <w:tmpl w:val="D94A963A"/>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25264A5A"/>
    <w:multiLevelType w:val="hybridMultilevel"/>
    <w:tmpl w:val="29F4FDA8"/>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08090001">
      <w:start w:val="1"/>
      <w:numFmt w:val="bullet"/>
      <w:lvlText w:val=""/>
      <w:lvlJc w:val="left"/>
      <w:pPr>
        <w:tabs>
          <w:tab w:val="num" w:pos="2444"/>
        </w:tabs>
        <w:ind w:left="2444" w:hanging="360"/>
      </w:pPr>
      <w:rPr>
        <w:rFonts w:ascii="Symbol" w:hAnsi="Symbol" w:hint="default"/>
        <w:color w:val="auto"/>
        <w:sz w:val="20"/>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nsid w:val="25584F6A"/>
    <w:multiLevelType w:val="hybridMultilevel"/>
    <w:tmpl w:val="A6EC5CA2"/>
    <w:lvl w:ilvl="0" w:tplc="0C090001">
      <w:start w:val="1"/>
      <w:numFmt w:val="bullet"/>
      <w:lvlText w:val=""/>
      <w:lvlJc w:val="left"/>
      <w:pPr>
        <w:ind w:left="1260" w:hanging="360"/>
      </w:pPr>
      <w:rPr>
        <w:rFonts w:ascii="Symbol" w:hAnsi="Symbol" w:hint="default"/>
      </w:rPr>
    </w:lvl>
    <w:lvl w:ilvl="1" w:tplc="0C090003">
      <w:start w:val="1"/>
      <w:numFmt w:val="bullet"/>
      <w:lvlText w:val="o"/>
      <w:lvlJc w:val="left"/>
      <w:pPr>
        <w:ind w:left="1980" w:hanging="360"/>
      </w:pPr>
      <w:rPr>
        <w:rFonts w:ascii="Courier New" w:hAnsi="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14">
    <w:nsid w:val="27440C8B"/>
    <w:multiLevelType w:val="multilevel"/>
    <w:tmpl w:val="59E651A8"/>
    <w:name w:val="StandardBulletedList"/>
    <w:lvl w:ilvl="0">
      <w:start w:val="1"/>
      <w:numFmt w:val="bullet"/>
      <w:pStyle w:val="Bullet"/>
      <w:lvlText w:val="•"/>
      <w:lvlJc w:val="left"/>
      <w:pPr>
        <w:tabs>
          <w:tab w:val="num" w:pos="520"/>
        </w:tabs>
        <w:ind w:left="520" w:hanging="520"/>
      </w:pPr>
      <w:rPr>
        <w:rFonts w:ascii="Times New Roman" w:hAnsi="Times New Roman" w:cs="Times New Roman"/>
        <w:b w:val="0"/>
        <w:i w:val="0"/>
      </w:rPr>
    </w:lvl>
    <w:lvl w:ilvl="1">
      <w:start w:val="1"/>
      <w:numFmt w:val="bullet"/>
      <w:pStyle w:val="Dash"/>
      <w:lvlText w:val="–"/>
      <w:lvlJc w:val="left"/>
      <w:pPr>
        <w:tabs>
          <w:tab w:val="num" w:pos="1040"/>
        </w:tabs>
        <w:ind w:left="1040" w:hanging="520"/>
      </w:pPr>
      <w:rPr>
        <w:rFonts w:ascii="Times New Roman" w:hAnsi="Times New Roman" w:cs="Times New Roman"/>
        <w:b w:val="0"/>
        <w:i w:val="0"/>
      </w:rPr>
    </w:lvl>
    <w:lvl w:ilvl="2">
      <w:start w:val="1"/>
      <w:numFmt w:val="bullet"/>
      <w:pStyle w:val="DoubleDo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nsid w:val="291C5B1E"/>
    <w:multiLevelType w:val="hybridMultilevel"/>
    <w:tmpl w:val="8988A2C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C223B6"/>
    <w:multiLevelType w:val="hybridMultilevel"/>
    <w:tmpl w:val="61522508"/>
    <w:lvl w:ilvl="0" w:tplc="0C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2B786360"/>
    <w:multiLevelType w:val="singleLevel"/>
    <w:tmpl w:val="0409000F"/>
    <w:lvl w:ilvl="0">
      <w:start w:val="1"/>
      <w:numFmt w:val="decimal"/>
      <w:lvlText w:val="%1."/>
      <w:lvlJc w:val="left"/>
      <w:pPr>
        <w:tabs>
          <w:tab w:val="num" w:pos="360"/>
        </w:tabs>
        <w:ind w:left="360" w:hanging="360"/>
      </w:pPr>
    </w:lvl>
  </w:abstractNum>
  <w:abstractNum w:abstractNumId="18">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1960F0D"/>
    <w:multiLevelType w:val="hybridMultilevel"/>
    <w:tmpl w:val="3DAA1D82"/>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2AC2FBA"/>
    <w:multiLevelType w:val="hybridMultilevel"/>
    <w:tmpl w:val="2514F7C2"/>
    <w:lvl w:ilvl="0" w:tplc="3CC012F8">
      <w:start w:val="1"/>
      <w:numFmt w:val="lowerLetter"/>
      <w:pStyle w:val="List-outline-numbered"/>
      <w:lvlText w:val="%1)"/>
      <w:lvlJc w:val="left"/>
      <w:pPr>
        <w:tabs>
          <w:tab w:val="num" w:pos="-981"/>
        </w:tabs>
        <w:ind w:left="-981" w:hanging="360"/>
      </w:pPr>
      <w:rPr>
        <w:rFonts w:hint="default"/>
        <w:b w:val="0"/>
      </w:rPr>
    </w:lvl>
    <w:lvl w:ilvl="1" w:tplc="08090019">
      <w:start w:val="1"/>
      <w:numFmt w:val="lowerLetter"/>
      <w:lvlText w:val="%2."/>
      <w:lvlJc w:val="left"/>
      <w:pPr>
        <w:tabs>
          <w:tab w:val="num" w:pos="-261"/>
        </w:tabs>
        <w:ind w:left="-261" w:hanging="360"/>
      </w:pPr>
    </w:lvl>
    <w:lvl w:ilvl="2" w:tplc="0809001B">
      <w:start w:val="1"/>
      <w:numFmt w:val="lowerRoman"/>
      <w:lvlText w:val="%3."/>
      <w:lvlJc w:val="right"/>
      <w:pPr>
        <w:tabs>
          <w:tab w:val="num" w:pos="459"/>
        </w:tabs>
        <w:ind w:left="459" w:hanging="180"/>
      </w:pPr>
    </w:lvl>
    <w:lvl w:ilvl="3" w:tplc="0809000F">
      <w:start w:val="1"/>
      <w:numFmt w:val="decimal"/>
      <w:lvlText w:val="%4."/>
      <w:lvlJc w:val="left"/>
      <w:pPr>
        <w:tabs>
          <w:tab w:val="num" w:pos="1179"/>
        </w:tabs>
        <w:ind w:left="1179" w:hanging="360"/>
      </w:pPr>
    </w:lvl>
    <w:lvl w:ilvl="4" w:tplc="08090019">
      <w:start w:val="1"/>
      <w:numFmt w:val="lowerLetter"/>
      <w:lvlText w:val="%5."/>
      <w:lvlJc w:val="left"/>
      <w:pPr>
        <w:tabs>
          <w:tab w:val="num" w:pos="1899"/>
        </w:tabs>
        <w:ind w:left="1899" w:hanging="360"/>
      </w:pPr>
    </w:lvl>
    <w:lvl w:ilvl="5" w:tplc="0809001B" w:tentative="1">
      <w:start w:val="1"/>
      <w:numFmt w:val="lowerRoman"/>
      <w:lvlText w:val="%6."/>
      <w:lvlJc w:val="right"/>
      <w:pPr>
        <w:tabs>
          <w:tab w:val="num" w:pos="2619"/>
        </w:tabs>
        <w:ind w:left="2619" w:hanging="180"/>
      </w:pPr>
    </w:lvl>
    <w:lvl w:ilvl="6" w:tplc="0809000F" w:tentative="1">
      <w:start w:val="1"/>
      <w:numFmt w:val="decimal"/>
      <w:lvlText w:val="%7."/>
      <w:lvlJc w:val="left"/>
      <w:pPr>
        <w:tabs>
          <w:tab w:val="num" w:pos="3339"/>
        </w:tabs>
        <w:ind w:left="3339" w:hanging="360"/>
      </w:pPr>
    </w:lvl>
    <w:lvl w:ilvl="7" w:tplc="08090019" w:tentative="1">
      <w:start w:val="1"/>
      <w:numFmt w:val="lowerLetter"/>
      <w:lvlText w:val="%8."/>
      <w:lvlJc w:val="left"/>
      <w:pPr>
        <w:tabs>
          <w:tab w:val="num" w:pos="4059"/>
        </w:tabs>
        <w:ind w:left="4059" w:hanging="360"/>
      </w:pPr>
    </w:lvl>
    <w:lvl w:ilvl="8" w:tplc="0809001B" w:tentative="1">
      <w:start w:val="1"/>
      <w:numFmt w:val="lowerRoman"/>
      <w:lvlText w:val="%9."/>
      <w:lvlJc w:val="right"/>
      <w:pPr>
        <w:tabs>
          <w:tab w:val="num" w:pos="4779"/>
        </w:tabs>
        <w:ind w:left="4779" w:hanging="180"/>
      </w:pPr>
    </w:lvl>
  </w:abstractNum>
  <w:abstractNum w:abstractNumId="21">
    <w:nsid w:val="36B33F3F"/>
    <w:multiLevelType w:val="singleLevel"/>
    <w:tmpl w:val="0C09000F"/>
    <w:lvl w:ilvl="0">
      <w:start w:val="1"/>
      <w:numFmt w:val="decimal"/>
      <w:lvlText w:val="%1."/>
      <w:lvlJc w:val="left"/>
      <w:pPr>
        <w:tabs>
          <w:tab w:val="num" w:pos="360"/>
        </w:tabs>
        <w:ind w:left="360" w:hanging="360"/>
      </w:pPr>
    </w:lvl>
  </w:abstractNum>
  <w:abstractNum w:abstractNumId="22">
    <w:nsid w:val="37125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9D86575"/>
    <w:multiLevelType w:val="hybridMultilevel"/>
    <w:tmpl w:val="EB7ECAF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B3F23D0"/>
    <w:multiLevelType w:val="multilevel"/>
    <w:tmpl w:val="5BB4920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C1E7AAA"/>
    <w:multiLevelType w:val="hybridMultilevel"/>
    <w:tmpl w:val="D8CA6EA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3C747E35"/>
    <w:multiLevelType w:val="hybridMultilevel"/>
    <w:tmpl w:val="32D8D7DC"/>
    <w:lvl w:ilvl="0" w:tplc="2488DE72">
      <w:start w:val="1"/>
      <w:numFmt w:val="bullet"/>
      <w:lvlText w:val="­"/>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3F7A791E"/>
    <w:multiLevelType w:val="singleLevel"/>
    <w:tmpl w:val="ADA64D4C"/>
    <w:lvl w:ilvl="0">
      <w:start w:val="1"/>
      <w:numFmt w:val="bullet"/>
      <w:pStyle w:val="ListBullet2"/>
      <w:lvlText w:val=""/>
      <w:legacy w:legacy="1" w:legacySpace="0" w:legacyIndent="360"/>
      <w:lvlJc w:val="left"/>
      <w:pPr>
        <w:ind w:left="720" w:hanging="360"/>
      </w:pPr>
      <w:rPr>
        <w:rFonts w:ascii="Wingdings" w:hAnsi="Wingdings" w:hint="default"/>
      </w:rPr>
    </w:lvl>
  </w:abstractNum>
  <w:abstractNum w:abstractNumId="28">
    <w:nsid w:val="3F7C360E"/>
    <w:multiLevelType w:val="hybridMultilevel"/>
    <w:tmpl w:val="D57EDE68"/>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3817F0C"/>
    <w:multiLevelType w:val="multilevel"/>
    <w:tmpl w:val="83283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6735F79"/>
    <w:multiLevelType w:val="singleLevel"/>
    <w:tmpl w:val="0C09000F"/>
    <w:lvl w:ilvl="0">
      <w:start w:val="1"/>
      <w:numFmt w:val="decimal"/>
      <w:lvlText w:val="%1."/>
      <w:lvlJc w:val="left"/>
      <w:pPr>
        <w:tabs>
          <w:tab w:val="num" w:pos="360"/>
        </w:tabs>
        <w:ind w:left="360" w:hanging="360"/>
      </w:pPr>
    </w:lvl>
  </w:abstractNum>
  <w:abstractNum w:abstractNumId="31">
    <w:nsid w:val="47531147"/>
    <w:multiLevelType w:val="hybridMultilevel"/>
    <w:tmpl w:val="D5B06BB0"/>
    <w:lvl w:ilvl="0" w:tplc="6810A75C">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nsid w:val="4BA77911"/>
    <w:multiLevelType w:val="multilevel"/>
    <w:tmpl w:val="CB04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B90D4E"/>
    <w:multiLevelType w:val="hybridMultilevel"/>
    <w:tmpl w:val="29D07FB2"/>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4">
    <w:nsid w:val="4D284E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541B44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5B940673"/>
    <w:multiLevelType w:val="singleLevel"/>
    <w:tmpl w:val="929255A6"/>
    <w:lvl w:ilvl="0">
      <w:start w:val="1"/>
      <w:numFmt w:val="bullet"/>
      <w:lvlText w:val=""/>
      <w:lvlJc w:val="left"/>
      <w:pPr>
        <w:tabs>
          <w:tab w:val="num" w:pos="360"/>
        </w:tabs>
        <w:ind w:left="340" w:hanging="340"/>
      </w:pPr>
      <w:rPr>
        <w:rFonts w:ascii="Symbol" w:hAnsi="Symbol" w:hint="default"/>
      </w:rPr>
    </w:lvl>
  </w:abstractNum>
  <w:abstractNum w:abstractNumId="37">
    <w:nsid w:val="62005F02"/>
    <w:multiLevelType w:val="multilevel"/>
    <w:tmpl w:val="22D6E132"/>
    <w:lvl w:ilvl="0">
      <w:start w:val="1"/>
      <w:numFmt w:val="decimal"/>
      <w:pStyle w:val="Level1"/>
      <w:lvlText w:val="%1."/>
      <w:lvlJc w:val="left"/>
      <w:pPr>
        <w:tabs>
          <w:tab w:val="num" w:pos="720"/>
        </w:tabs>
        <w:ind w:left="720" w:hanging="720"/>
      </w:pPr>
      <w:rPr>
        <w:rFonts w:ascii="Palatino" w:hAnsi="Palatino" w:hint="default"/>
        <w:b w:val="0"/>
        <w:i w:val="0"/>
        <w:sz w:val="22"/>
      </w:rPr>
    </w:lvl>
    <w:lvl w:ilvl="1">
      <w:start w:val="1"/>
      <w:numFmt w:val="decimal"/>
      <w:pStyle w:val="Level11"/>
      <w:lvlText w:val="%1.%2"/>
      <w:lvlJc w:val="left"/>
      <w:pPr>
        <w:tabs>
          <w:tab w:val="num" w:pos="720"/>
        </w:tabs>
        <w:ind w:left="720" w:hanging="706"/>
      </w:pPr>
      <w:rPr>
        <w:rFonts w:ascii="Palatino" w:hAnsi="Palatino" w:hint="default"/>
        <w:b w:val="0"/>
        <w:i w:val="0"/>
        <w:sz w:val="22"/>
      </w:rPr>
    </w:lvl>
    <w:lvl w:ilvl="2">
      <w:start w:val="1"/>
      <w:numFmt w:val="lowerLetter"/>
      <w:pStyle w:val="Levela"/>
      <w:lvlText w:val="(%3)"/>
      <w:lvlJc w:val="left"/>
      <w:pPr>
        <w:tabs>
          <w:tab w:val="num" w:pos="1440"/>
        </w:tabs>
        <w:ind w:left="1440" w:hanging="720"/>
      </w:pPr>
      <w:rPr>
        <w:rFonts w:ascii="Palatino" w:hAnsi="Palatino" w:hint="default"/>
        <w:b w:val="0"/>
        <w:i w:val="0"/>
        <w:sz w:val="22"/>
      </w:rPr>
    </w:lvl>
    <w:lvl w:ilvl="3">
      <w:start w:val="1"/>
      <w:numFmt w:val="lowerRoman"/>
      <w:pStyle w:val="Leveli"/>
      <w:lvlText w:val="(%4)"/>
      <w:lvlJc w:val="left"/>
      <w:pPr>
        <w:tabs>
          <w:tab w:val="num" w:pos="2160"/>
        </w:tabs>
        <w:ind w:left="2160" w:hanging="720"/>
      </w:pPr>
      <w:rPr>
        <w:rFonts w:ascii="Palatino" w:hAnsi="Palatino" w:hint="default"/>
        <w:b w:val="0"/>
        <w:i w:val="0"/>
        <w:sz w:val="22"/>
      </w:rPr>
    </w:lvl>
    <w:lvl w:ilvl="4">
      <w:start w:val="1"/>
      <w:numFmt w:val="upperLetter"/>
      <w:pStyle w:val="PlainText"/>
      <w:lvlText w:val="(%5)"/>
      <w:lvlJc w:val="left"/>
      <w:pPr>
        <w:tabs>
          <w:tab w:val="num" w:pos="2880"/>
        </w:tabs>
        <w:ind w:left="2880" w:hanging="720"/>
      </w:pPr>
      <w:rPr>
        <w:rFonts w:ascii="Palatino" w:hAnsi="Palatino" w:hint="default"/>
        <w:b w:val="0"/>
        <w:i w:val="0"/>
        <w:sz w:val="22"/>
      </w:rPr>
    </w:lvl>
    <w:lvl w:ilvl="5">
      <w:start w:val="1"/>
      <w:numFmt w:val="upperRoman"/>
      <w:pStyle w:val="LevelA0"/>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nsid w:val="627D1051"/>
    <w:multiLevelType w:val="hybridMultilevel"/>
    <w:tmpl w:val="18444936"/>
    <w:lvl w:ilvl="0" w:tplc="D826AF2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3667EA6"/>
    <w:multiLevelType w:val="hybridMultilevel"/>
    <w:tmpl w:val="15D4A38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nsid w:val="663B3981"/>
    <w:multiLevelType w:val="singleLevel"/>
    <w:tmpl w:val="0C09000F"/>
    <w:lvl w:ilvl="0">
      <w:start w:val="1"/>
      <w:numFmt w:val="decimal"/>
      <w:lvlText w:val="%1."/>
      <w:lvlJc w:val="left"/>
      <w:pPr>
        <w:tabs>
          <w:tab w:val="num" w:pos="360"/>
        </w:tabs>
        <w:ind w:left="360" w:hanging="360"/>
      </w:pPr>
    </w:lvl>
  </w:abstractNum>
  <w:abstractNum w:abstractNumId="41">
    <w:nsid w:val="66661482"/>
    <w:multiLevelType w:val="hybridMultilevel"/>
    <w:tmpl w:val="AB9E4CB2"/>
    <w:lvl w:ilvl="0" w:tplc="0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9261EC5"/>
    <w:multiLevelType w:val="hybridMultilevel"/>
    <w:tmpl w:val="67022E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6A7A20B4"/>
    <w:multiLevelType w:val="hybridMultilevel"/>
    <w:tmpl w:val="D83C21A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4">
    <w:nsid w:val="6F1A11C3"/>
    <w:multiLevelType w:val="singleLevel"/>
    <w:tmpl w:val="27427A1A"/>
    <w:lvl w:ilvl="0">
      <w:start w:val="1"/>
      <w:numFmt w:val="decimal"/>
      <w:lvlText w:val="%1."/>
      <w:lvlJc w:val="left"/>
      <w:pPr>
        <w:tabs>
          <w:tab w:val="num" w:pos="360"/>
        </w:tabs>
        <w:ind w:left="360" w:hanging="360"/>
      </w:pPr>
    </w:lvl>
  </w:abstractNum>
  <w:abstractNum w:abstractNumId="45">
    <w:nsid w:val="774868B9"/>
    <w:multiLevelType w:val="hybridMultilevel"/>
    <w:tmpl w:val="EE4698EA"/>
    <w:lvl w:ilvl="0" w:tplc="AA6ED5E2">
      <w:start w:val="1"/>
      <w:numFmt w:val="bullet"/>
      <w:pStyle w:val="Table-list-bullet"/>
      <w:lvlText w:val="–"/>
      <w:lvlJc w:val="left"/>
      <w:pPr>
        <w:tabs>
          <w:tab w:val="num" w:pos="227"/>
        </w:tabs>
        <w:ind w:left="227"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78E5ADB"/>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7">
    <w:nsid w:val="77E7184C"/>
    <w:multiLevelType w:val="hybridMultilevel"/>
    <w:tmpl w:val="9F948E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nsid w:val="7A420425"/>
    <w:multiLevelType w:val="hybridMultilevel"/>
    <w:tmpl w:val="806072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nsid w:val="7A6C63EA"/>
    <w:multiLevelType w:val="singleLevel"/>
    <w:tmpl w:val="0C09000F"/>
    <w:lvl w:ilvl="0">
      <w:start w:val="1"/>
      <w:numFmt w:val="decimal"/>
      <w:lvlText w:val="%1."/>
      <w:lvlJc w:val="left"/>
      <w:pPr>
        <w:tabs>
          <w:tab w:val="num" w:pos="360"/>
        </w:tabs>
        <w:ind w:left="360" w:hanging="360"/>
      </w:pPr>
    </w:lvl>
  </w:abstractNum>
  <w:abstractNum w:abstractNumId="50">
    <w:nsid w:val="7B182796"/>
    <w:multiLevelType w:val="multilevel"/>
    <w:tmpl w:val="513E4784"/>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nsid w:val="7E275F12"/>
    <w:multiLevelType w:val="hybridMultilevel"/>
    <w:tmpl w:val="0B40D2AC"/>
    <w:lvl w:ilvl="0" w:tplc="8A8A41C4">
      <w:start w:val="1"/>
      <w:numFmt w:val="lowerLetter"/>
      <w:lvlText w:val="(%1)"/>
      <w:lvlJc w:val="left"/>
      <w:pPr>
        <w:tabs>
          <w:tab w:val="num" w:pos="1440"/>
        </w:tabs>
        <w:ind w:left="144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2">
    <w:nsid w:val="7F290E62"/>
    <w:multiLevelType w:val="singleLevel"/>
    <w:tmpl w:val="0C09000F"/>
    <w:lvl w:ilvl="0">
      <w:start w:val="1"/>
      <w:numFmt w:val="decimal"/>
      <w:lvlText w:val="%1."/>
      <w:lvlJc w:val="left"/>
      <w:pPr>
        <w:tabs>
          <w:tab w:val="num" w:pos="360"/>
        </w:tabs>
        <w:ind w:left="360" w:hanging="360"/>
      </w:pPr>
    </w:lvl>
  </w:abstractNum>
  <w:num w:numId="1">
    <w:abstractNumId w:val="2"/>
  </w:num>
  <w:num w:numId="2">
    <w:abstractNumId w:val="27"/>
  </w:num>
  <w:num w:numId="3">
    <w:abstractNumId w:val="1"/>
  </w:num>
  <w:num w:numId="4">
    <w:abstractNumId w:val="14"/>
  </w:num>
  <w:num w:numId="5">
    <w:abstractNumId w:val="12"/>
  </w:num>
  <w:num w:numId="6">
    <w:abstractNumId w:val="37"/>
  </w:num>
  <w:num w:numId="7">
    <w:abstractNumId w:val="50"/>
  </w:num>
  <w:num w:numId="8">
    <w:abstractNumId w:val="51"/>
  </w:num>
  <w:num w:numId="9">
    <w:abstractNumId w:val="45"/>
  </w:num>
  <w:num w:numId="10">
    <w:abstractNumId w:val="31"/>
  </w:num>
  <w:num w:numId="11">
    <w:abstractNumId w:val="20"/>
  </w:num>
  <w:num w:numId="12">
    <w:abstractNumId w:val="18"/>
  </w:num>
  <w:num w:numId="13">
    <w:abstractNumId w:val="22"/>
  </w:num>
  <w:num w:numId="14">
    <w:abstractNumId w:val="34"/>
  </w:num>
  <w:num w:numId="15">
    <w:abstractNumId w:val="4"/>
  </w:num>
  <w:num w:numId="16">
    <w:abstractNumId w:val="35"/>
  </w:num>
  <w:num w:numId="17">
    <w:abstractNumId w:val="26"/>
  </w:num>
  <w:num w:numId="18">
    <w:abstractNumId w:val="5"/>
  </w:num>
  <w:num w:numId="19">
    <w:abstractNumId w:val="9"/>
  </w:num>
  <w:num w:numId="20">
    <w:abstractNumId w:val="2"/>
  </w:num>
  <w:num w:numId="21">
    <w:abstractNumId w:val="0"/>
  </w:num>
  <w:num w:numId="22">
    <w:abstractNumId w:val="44"/>
  </w:num>
  <w:num w:numId="23">
    <w:abstractNumId w:val="36"/>
  </w:num>
  <w:num w:numId="24">
    <w:abstractNumId w:val="17"/>
  </w:num>
  <w:num w:numId="25">
    <w:abstractNumId w:val="49"/>
  </w:num>
  <w:num w:numId="26">
    <w:abstractNumId w:val="30"/>
  </w:num>
  <w:num w:numId="27">
    <w:abstractNumId w:val="52"/>
  </w:num>
  <w:num w:numId="28">
    <w:abstractNumId w:val="3"/>
  </w:num>
  <w:num w:numId="29">
    <w:abstractNumId w:val="7"/>
  </w:num>
  <w:num w:numId="30">
    <w:abstractNumId w:val="10"/>
  </w:num>
  <w:num w:numId="31">
    <w:abstractNumId w:val="40"/>
  </w:num>
  <w:num w:numId="32">
    <w:abstractNumId w:val="21"/>
  </w:num>
  <w:num w:numId="33">
    <w:abstractNumId w:val="46"/>
  </w:num>
  <w:num w:numId="34">
    <w:abstractNumId w:val="32"/>
  </w:num>
  <w:num w:numId="35">
    <w:abstractNumId w:val="25"/>
  </w:num>
  <w:num w:numId="36">
    <w:abstractNumId w:val="24"/>
  </w:num>
  <w:num w:numId="37">
    <w:abstractNumId w:val="19"/>
  </w:num>
  <w:num w:numId="38">
    <w:abstractNumId w:val="33"/>
  </w:num>
  <w:num w:numId="39">
    <w:abstractNumId w:val="39"/>
  </w:num>
  <w:num w:numId="40">
    <w:abstractNumId w:val="47"/>
  </w:num>
  <w:num w:numId="41">
    <w:abstractNumId w:val="42"/>
  </w:num>
  <w:num w:numId="42">
    <w:abstractNumId w:val="13"/>
  </w:num>
  <w:num w:numId="43">
    <w:abstractNumId w:val="1"/>
  </w:num>
  <w:num w:numId="44">
    <w:abstractNumId w:val="23"/>
  </w:num>
  <w:num w:numId="45">
    <w:abstractNumId w:val="15"/>
  </w:num>
  <w:num w:numId="46">
    <w:abstractNumId w:val="28"/>
  </w:num>
  <w:num w:numId="47">
    <w:abstractNumId w:val="8"/>
  </w:num>
  <w:num w:numId="48">
    <w:abstractNumId w:val="6"/>
  </w:num>
  <w:num w:numId="49">
    <w:abstractNumId w:val="38"/>
  </w:num>
  <w:num w:numId="50">
    <w:abstractNumId w:val="43"/>
  </w:num>
  <w:num w:numId="51">
    <w:abstractNumId w:val="48"/>
  </w:num>
  <w:num w:numId="52">
    <w:abstractNumId w:val="29"/>
  </w:num>
  <w:num w:numId="53">
    <w:abstractNumId w:val="11"/>
  </w:num>
  <w:num w:numId="54">
    <w:abstractNumId w:val="41"/>
  </w:num>
  <w:num w:numId="55">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ED5"/>
    <w:rsid w:val="00001017"/>
    <w:rsid w:val="00002076"/>
    <w:rsid w:val="000022EE"/>
    <w:rsid w:val="000048E7"/>
    <w:rsid w:val="00004C02"/>
    <w:rsid w:val="00004D96"/>
    <w:rsid w:val="00006B05"/>
    <w:rsid w:val="0000736C"/>
    <w:rsid w:val="00010DBE"/>
    <w:rsid w:val="00011510"/>
    <w:rsid w:val="00011716"/>
    <w:rsid w:val="00011F14"/>
    <w:rsid w:val="00011FFA"/>
    <w:rsid w:val="00013B77"/>
    <w:rsid w:val="00014068"/>
    <w:rsid w:val="00014691"/>
    <w:rsid w:val="00015945"/>
    <w:rsid w:val="00015CD3"/>
    <w:rsid w:val="00016393"/>
    <w:rsid w:val="00016647"/>
    <w:rsid w:val="00016742"/>
    <w:rsid w:val="0001696B"/>
    <w:rsid w:val="00017EF2"/>
    <w:rsid w:val="00020537"/>
    <w:rsid w:val="000207FC"/>
    <w:rsid w:val="00021262"/>
    <w:rsid w:val="00021E07"/>
    <w:rsid w:val="00021E1E"/>
    <w:rsid w:val="00021F59"/>
    <w:rsid w:val="000235E9"/>
    <w:rsid w:val="00023B02"/>
    <w:rsid w:val="00024ED9"/>
    <w:rsid w:val="0002600C"/>
    <w:rsid w:val="00027343"/>
    <w:rsid w:val="00027707"/>
    <w:rsid w:val="00027A16"/>
    <w:rsid w:val="00030063"/>
    <w:rsid w:val="000304F1"/>
    <w:rsid w:val="00030CDB"/>
    <w:rsid w:val="00031C95"/>
    <w:rsid w:val="000335F3"/>
    <w:rsid w:val="00033655"/>
    <w:rsid w:val="0003578D"/>
    <w:rsid w:val="00036121"/>
    <w:rsid w:val="000366A0"/>
    <w:rsid w:val="00042653"/>
    <w:rsid w:val="00042C2F"/>
    <w:rsid w:val="00044E0F"/>
    <w:rsid w:val="00045DBE"/>
    <w:rsid w:val="00047605"/>
    <w:rsid w:val="0004790E"/>
    <w:rsid w:val="0005139A"/>
    <w:rsid w:val="00051A16"/>
    <w:rsid w:val="00052A37"/>
    <w:rsid w:val="00053BF1"/>
    <w:rsid w:val="00054924"/>
    <w:rsid w:val="00056758"/>
    <w:rsid w:val="00057743"/>
    <w:rsid w:val="0006095F"/>
    <w:rsid w:val="00061246"/>
    <w:rsid w:val="000629E5"/>
    <w:rsid w:val="000633DD"/>
    <w:rsid w:val="00063B70"/>
    <w:rsid w:val="00063C4D"/>
    <w:rsid w:val="000645F3"/>
    <w:rsid w:val="00064814"/>
    <w:rsid w:val="00064F0C"/>
    <w:rsid w:val="00065BAD"/>
    <w:rsid w:val="00065F8C"/>
    <w:rsid w:val="00066886"/>
    <w:rsid w:val="000678B9"/>
    <w:rsid w:val="00071A4B"/>
    <w:rsid w:val="00071E0A"/>
    <w:rsid w:val="0007448E"/>
    <w:rsid w:val="0007449A"/>
    <w:rsid w:val="000748CE"/>
    <w:rsid w:val="00075BF8"/>
    <w:rsid w:val="00076357"/>
    <w:rsid w:val="0007642C"/>
    <w:rsid w:val="0008009C"/>
    <w:rsid w:val="000803C1"/>
    <w:rsid w:val="00080DEE"/>
    <w:rsid w:val="00081804"/>
    <w:rsid w:val="00081B9F"/>
    <w:rsid w:val="00081EBB"/>
    <w:rsid w:val="00082A87"/>
    <w:rsid w:val="00082AFE"/>
    <w:rsid w:val="00082C8B"/>
    <w:rsid w:val="0008500F"/>
    <w:rsid w:val="00086C72"/>
    <w:rsid w:val="00086FF5"/>
    <w:rsid w:val="00087550"/>
    <w:rsid w:val="0008761C"/>
    <w:rsid w:val="00087D83"/>
    <w:rsid w:val="0009170E"/>
    <w:rsid w:val="00093CD0"/>
    <w:rsid w:val="000965D6"/>
    <w:rsid w:val="00096C77"/>
    <w:rsid w:val="000A0005"/>
    <w:rsid w:val="000A0470"/>
    <w:rsid w:val="000A1332"/>
    <w:rsid w:val="000A16AF"/>
    <w:rsid w:val="000A1787"/>
    <w:rsid w:val="000A1F0D"/>
    <w:rsid w:val="000A2C3F"/>
    <w:rsid w:val="000A3191"/>
    <w:rsid w:val="000A455E"/>
    <w:rsid w:val="000A466B"/>
    <w:rsid w:val="000A4D86"/>
    <w:rsid w:val="000A501F"/>
    <w:rsid w:val="000A53D8"/>
    <w:rsid w:val="000A56DA"/>
    <w:rsid w:val="000A6F4A"/>
    <w:rsid w:val="000A769A"/>
    <w:rsid w:val="000A7F00"/>
    <w:rsid w:val="000B01BE"/>
    <w:rsid w:val="000B0BE9"/>
    <w:rsid w:val="000B2C52"/>
    <w:rsid w:val="000B43C9"/>
    <w:rsid w:val="000B453E"/>
    <w:rsid w:val="000B493A"/>
    <w:rsid w:val="000B5BFF"/>
    <w:rsid w:val="000B6C1B"/>
    <w:rsid w:val="000C0A4E"/>
    <w:rsid w:val="000C0B2C"/>
    <w:rsid w:val="000C0FCD"/>
    <w:rsid w:val="000C125C"/>
    <w:rsid w:val="000C175E"/>
    <w:rsid w:val="000C5058"/>
    <w:rsid w:val="000C6BD7"/>
    <w:rsid w:val="000D1DC9"/>
    <w:rsid w:val="000D1F89"/>
    <w:rsid w:val="000D2A3B"/>
    <w:rsid w:val="000D2A8E"/>
    <w:rsid w:val="000D3EDB"/>
    <w:rsid w:val="000D4CE7"/>
    <w:rsid w:val="000D6059"/>
    <w:rsid w:val="000D636E"/>
    <w:rsid w:val="000D69DF"/>
    <w:rsid w:val="000D6C13"/>
    <w:rsid w:val="000D6D7C"/>
    <w:rsid w:val="000E0750"/>
    <w:rsid w:val="000E14D0"/>
    <w:rsid w:val="000E1715"/>
    <w:rsid w:val="000E1C74"/>
    <w:rsid w:val="000E1CAA"/>
    <w:rsid w:val="000E3ABB"/>
    <w:rsid w:val="000E3B86"/>
    <w:rsid w:val="000E54FE"/>
    <w:rsid w:val="000E680C"/>
    <w:rsid w:val="000F0C85"/>
    <w:rsid w:val="000F1F44"/>
    <w:rsid w:val="000F52C6"/>
    <w:rsid w:val="001008D3"/>
    <w:rsid w:val="00100D87"/>
    <w:rsid w:val="001010C2"/>
    <w:rsid w:val="0010145D"/>
    <w:rsid w:val="00102E17"/>
    <w:rsid w:val="001032E0"/>
    <w:rsid w:val="00103B74"/>
    <w:rsid w:val="001040CD"/>
    <w:rsid w:val="00104AD9"/>
    <w:rsid w:val="001052D2"/>
    <w:rsid w:val="00105E20"/>
    <w:rsid w:val="00106CDD"/>
    <w:rsid w:val="00107917"/>
    <w:rsid w:val="00110011"/>
    <w:rsid w:val="00112A33"/>
    <w:rsid w:val="00113857"/>
    <w:rsid w:val="00113DDE"/>
    <w:rsid w:val="00114298"/>
    <w:rsid w:val="001152FF"/>
    <w:rsid w:val="00115E5A"/>
    <w:rsid w:val="00115ED9"/>
    <w:rsid w:val="00116855"/>
    <w:rsid w:val="001179C8"/>
    <w:rsid w:val="00120345"/>
    <w:rsid w:val="00120DE0"/>
    <w:rsid w:val="001233F4"/>
    <w:rsid w:val="00123EF8"/>
    <w:rsid w:val="00123EFE"/>
    <w:rsid w:val="00123FB1"/>
    <w:rsid w:val="00124668"/>
    <w:rsid w:val="00125087"/>
    <w:rsid w:val="00125403"/>
    <w:rsid w:val="0012578F"/>
    <w:rsid w:val="00125D13"/>
    <w:rsid w:val="00130283"/>
    <w:rsid w:val="0013158B"/>
    <w:rsid w:val="001318E5"/>
    <w:rsid w:val="001320B7"/>
    <w:rsid w:val="001336B7"/>
    <w:rsid w:val="00135A85"/>
    <w:rsid w:val="00140246"/>
    <w:rsid w:val="0014142D"/>
    <w:rsid w:val="001415CA"/>
    <w:rsid w:val="00145C27"/>
    <w:rsid w:val="0014636D"/>
    <w:rsid w:val="00147705"/>
    <w:rsid w:val="00147F36"/>
    <w:rsid w:val="00150656"/>
    <w:rsid w:val="00151C92"/>
    <w:rsid w:val="0015254E"/>
    <w:rsid w:val="00152DC6"/>
    <w:rsid w:val="00153E3E"/>
    <w:rsid w:val="001558E3"/>
    <w:rsid w:val="00160C88"/>
    <w:rsid w:val="001615E5"/>
    <w:rsid w:val="00162A6B"/>
    <w:rsid w:val="001643B8"/>
    <w:rsid w:val="00165598"/>
    <w:rsid w:val="00165D33"/>
    <w:rsid w:val="0016649B"/>
    <w:rsid w:val="001665DF"/>
    <w:rsid w:val="001670EF"/>
    <w:rsid w:val="001714DC"/>
    <w:rsid w:val="001716BB"/>
    <w:rsid w:val="00171CF6"/>
    <w:rsid w:val="00171E5A"/>
    <w:rsid w:val="00172C9A"/>
    <w:rsid w:val="001743A0"/>
    <w:rsid w:val="00174DED"/>
    <w:rsid w:val="001751E8"/>
    <w:rsid w:val="00175883"/>
    <w:rsid w:val="00175CB6"/>
    <w:rsid w:val="001771AA"/>
    <w:rsid w:val="00177B1D"/>
    <w:rsid w:val="001823E7"/>
    <w:rsid w:val="00182724"/>
    <w:rsid w:val="0018287A"/>
    <w:rsid w:val="00183284"/>
    <w:rsid w:val="00183513"/>
    <w:rsid w:val="00183976"/>
    <w:rsid w:val="00183EBA"/>
    <w:rsid w:val="001850A2"/>
    <w:rsid w:val="00185681"/>
    <w:rsid w:val="00185E58"/>
    <w:rsid w:val="00186888"/>
    <w:rsid w:val="00186A4A"/>
    <w:rsid w:val="00190E0A"/>
    <w:rsid w:val="001927A5"/>
    <w:rsid w:val="00194AF0"/>
    <w:rsid w:val="00195BF4"/>
    <w:rsid w:val="0019608B"/>
    <w:rsid w:val="00196FEC"/>
    <w:rsid w:val="001A09B4"/>
    <w:rsid w:val="001A1404"/>
    <w:rsid w:val="001A2669"/>
    <w:rsid w:val="001A274F"/>
    <w:rsid w:val="001A27E6"/>
    <w:rsid w:val="001A2C2C"/>
    <w:rsid w:val="001A309E"/>
    <w:rsid w:val="001A6BA5"/>
    <w:rsid w:val="001B14C3"/>
    <w:rsid w:val="001B17C2"/>
    <w:rsid w:val="001B339A"/>
    <w:rsid w:val="001B387E"/>
    <w:rsid w:val="001B5423"/>
    <w:rsid w:val="001B59F7"/>
    <w:rsid w:val="001B6B5D"/>
    <w:rsid w:val="001C0D56"/>
    <w:rsid w:val="001C26A4"/>
    <w:rsid w:val="001C4C20"/>
    <w:rsid w:val="001C5068"/>
    <w:rsid w:val="001C5119"/>
    <w:rsid w:val="001C5182"/>
    <w:rsid w:val="001C7227"/>
    <w:rsid w:val="001D0DE1"/>
    <w:rsid w:val="001D1168"/>
    <w:rsid w:val="001D27A4"/>
    <w:rsid w:val="001D2EF8"/>
    <w:rsid w:val="001D5253"/>
    <w:rsid w:val="001D52E9"/>
    <w:rsid w:val="001D70A1"/>
    <w:rsid w:val="001D771A"/>
    <w:rsid w:val="001E1169"/>
    <w:rsid w:val="001E1C9E"/>
    <w:rsid w:val="001E1ED3"/>
    <w:rsid w:val="001E4B12"/>
    <w:rsid w:val="001E518F"/>
    <w:rsid w:val="001E5CCA"/>
    <w:rsid w:val="001E5DAF"/>
    <w:rsid w:val="001E6CC9"/>
    <w:rsid w:val="001E7487"/>
    <w:rsid w:val="001E7DA0"/>
    <w:rsid w:val="001F058F"/>
    <w:rsid w:val="001F0F47"/>
    <w:rsid w:val="001F1085"/>
    <w:rsid w:val="001F1BFC"/>
    <w:rsid w:val="001F25DB"/>
    <w:rsid w:val="001F2897"/>
    <w:rsid w:val="001F32BC"/>
    <w:rsid w:val="001F3380"/>
    <w:rsid w:val="001F4C65"/>
    <w:rsid w:val="001F5CEA"/>
    <w:rsid w:val="001F7CBE"/>
    <w:rsid w:val="00200444"/>
    <w:rsid w:val="002015F4"/>
    <w:rsid w:val="00201738"/>
    <w:rsid w:val="00201E3E"/>
    <w:rsid w:val="0020253C"/>
    <w:rsid w:val="002031FD"/>
    <w:rsid w:val="002035D7"/>
    <w:rsid w:val="00205707"/>
    <w:rsid w:val="002059FA"/>
    <w:rsid w:val="00205EBE"/>
    <w:rsid w:val="002075DC"/>
    <w:rsid w:val="002077F8"/>
    <w:rsid w:val="00207921"/>
    <w:rsid w:val="00210BA6"/>
    <w:rsid w:val="0021169F"/>
    <w:rsid w:val="00211CBA"/>
    <w:rsid w:val="00214633"/>
    <w:rsid w:val="002146EB"/>
    <w:rsid w:val="00214BB5"/>
    <w:rsid w:val="00216744"/>
    <w:rsid w:val="00217A7C"/>
    <w:rsid w:val="002200E9"/>
    <w:rsid w:val="00220467"/>
    <w:rsid w:val="00220763"/>
    <w:rsid w:val="00222E9D"/>
    <w:rsid w:val="00223743"/>
    <w:rsid w:val="00223A99"/>
    <w:rsid w:val="00224066"/>
    <w:rsid w:val="00226353"/>
    <w:rsid w:val="00227A05"/>
    <w:rsid w:val="00227B6E"/>
    <w:rsid w:val="00230791"/>
    <w:rsid w:val="0023150C"/>
    <w:rsid w:val="00231D55"/>
    <w:rsid w:val="00233627"/>
    <w:rsid w:val="002359A2"/>
    <w:rsid w:val="0024011E"/>
    <w:rsid w:val="00240F0D"/>
    <w:rsid w:val="00241E87"/>
    <w:rsid w:val="00241FD6"/>
    <w:rsid w:val="00244225"/>
    <w:rsid w:val="00246108"/>
    <w:rsid w:val="00246878"/>
    <w:rsid w:val="00252170"/>
    <w:rsid w:val="00252387"/>
    <w:rsid w:val="00252571"/>
    <w:rsid w:val="00254DA5"/>
    <w:rsid w:val="002550FF"/>
    <w:rsid w:val="0025612D"/>
    <w:rsid w:val="00256168"/>
    <w:rsid w:val="00260C2E"/>
    <w:rsid w:val="00260F75"/>
    <w:rsid w:val="00262C29"/>
    <w:rsid w:val="0026394D"/>
    <w:rsid w:val="0026729A"/>
    <w:rsid w:val="002700C2"/>
    <w:rsid w:val="00270CB2"/>
    <w:rsid w:val="00271287"/>
    <w:rsid w:val="00272123"/>
    <w:rsid w:val="00272323"/>
    <w:rsid w:val="002735D7"/>
    <w:rsid w:val="0027482C"/>
    <w:rsid w:val="00274A0F"/>
    <w:rsid w:val="00275FAC"/>
    <w:rsid w:val="002766A9"/>
    <w:rsid w:val="002772FB"/>
    <w:rsid w:val="00283427"/>
    <w:rsid w:val="00285BE4"/>
    <w:rsid w:val="00291865"/>
    <w:rsid w:val="00291E78"/>
    <w:rsid w:val="00291F95"/>
    <w:rsid w:val="0029232E"/>
    <w:rsid w:val="00293167"/>
    <w:rsid w:val="0029334F"/>
    <w:rsid w:val="00293476"/>
    <w:rsid w:val="00295599"/>
    <w:rsid w:val="002A0DF7"/>
    <w:rsid w:val="002A0ED5"/>
    <w:rsid w:val="002A4168"/>
    <w:rsid w:val="002A5059"/>
    <w:rsid w:val="002A569C"/>
    <w:rsid w:val="002A630E"/>
    <w:rsid w:val="002A6473"/>
    <w:rsid w:val="002B0E9D"/>
    <w:rsid w:val="002B13B5"/>
    <w:rsid w:val="002B14FF"/>
    <w:rsid w:val="002B1F7D"/>
    <w:rsid w:val="002B2627"/>
    <w:rsid w:val="002B2D4A"/>
    <w:rsid w:val="002B31D0"/>
    <w:rsid w:val="002B3546"/>
    <w:rsid w:val="002C0505"/>
    <w:rsid w:val="002C0544"/>
    <w:rsid w:val="002C2EF2"/>
    <w:rsid w:val="002C3628"/>
    <w:rsid w:val="002C5B2A"/>
    <w:rsid w:val="002C6856"/>
    <w:rsid w:val="002C6B4F"/>
    <w:rsid w:val="002D18EA"/>
    <w:rsid w:val="002D2115"/>
    <w:rsid w:val="002D27D0"/>
    <w:rsid w:val="002D371F"/>
    <w:rsid w:val="002D39C5"/>
    <w:rsid w:val="002D3AA2"/>
    <w:rsid w:val="002D401F"/>
    <w:rsid w:val="002D4590"/>
    <w:rsid w:val="002D68C7"/>
    <w:rsid w:val="002D6AF9"/>
    <w:rsid w:val="002E1386"/>
    <w:rsid w:val="002E1F5C"/>
    <w:rsid w:val="002E2738"/>
    <w:rsid w:val="002E3138"/>
    <w:rsid w:val="002E488A"/>
    <w:rsid w:val="002E5B79"/>
    <w:rsid w:val="002E67D5"/>
    <w:rsid w:val="002E71A2"/>
    <w:rsid w:val="002E7996"/>
    <w:rsid w:val="002F26C4"/>
    <w:rsid w:val="002F47CD"/>
    <w:rsid w:val="002F565A"/>
    <w:rsid w:val="002F60CE"/>
    <w:rsid w:val="002F6237"/>
    <w:rsid w:val="002F7E21"/>
    <w:rsid w:val="00300F6A"/>
    <w:rsid w:val="00300F92"/>
    <w:rsid w:val="00301293"/>
    <w:rsid w:val="00303CAC"/>
    <w:rsid w:val="0030573C"/>
    <w:rsid w:val="00305E0A"/>
    <w:rsid w:val="003068A3"/>
    <w:rsid w:val="00306FEE"/>
    <w:rsid w:val="00307AA0"/>
    <w:rsid w:val="00307E7C"/>
    <w:rsid w:val="00307F4E"/>
    <w:rsid w:val="00310761"/>
    <w:rsid w:val="0031202D"/>
    <w:rsid w:val="00312308"/>
    <w:rsid w:val="00312E9E"/>
    <w:rsid w:val="00312ED5"/>
    <w:rsid w:val="00313E68"/>
    <w:rsid w:val="003146A3"/>
    <w:rsid w:val="0031604F"/>
    <w:rsid w:val="0031657A"/>
    <w:rsid w:val="00317027"/>
    <w:rsid w:val="00317F04"/>
    <w:rsid w:val="00320716"/>
    <w:rsid w:val="00321615"/>
    <w:rsid w:val="00322542"/>
    <w:rsid w:val="00322833"/>
    <w:rsid w:val="0032296E"/>
    <w:rsid w:val="00324356"/>
    <w:rsid w:val="00324A4B"/>
    <w:rsid w:val="00325A2C"/>
    <w:rsid w:val="00326F17"/>
    <w:rsid w:val="00326F52"/>
    <w:rsid w:val="003274D0"/>
    <w:rsid w:val="00327A50"/>
    <w:rsid w:val="00327E04"/>
    <w:rsid w:val="00331370"/>
    <w:rsid w:val="0033213B"/>
    <w:rsid w:val="00332315"/>
    <w:rsid w:val="00333837"/>
    <w:rsid w:val="00333950"/>
    <w:rsid w:val="00333A25"/>
    <w:rsid w:val="00333CA2"/>
    <w:rsid w:val="003352C2"/>
    <w:rsid w:val="003355CE"/>
    <w:rsid w:val="00335604"/>
    <w:rsid w:val="00336374"/>
    <w:rsid w:val="00336716"/>
    <w:rsid w:val="00336C0C"/>
    <w:rsid w:val="003408FF"/>
    <w:rsid w:val="00340CE0"/>
    <w:rsid w:val="00341940"/>
    <w:rsid w:val="00341CEE"/>
    <w:rsid w:val="00341D90"/>
    <w:rsid w:val="00341E40"/>
    <w:rsid w:val="003424EC"/>
    <w:rsid w:val="00344905"/>
    <w:rsid w:val="00344914"/>
    <w:rsid w:val="0034538C"/>
    <w:rsid w:val="00345B50"/>
    <w:rsid w:val="00346637"/>
    <w:rsid w:val="0034677B"/>
    <w:rsid w:val="00347004"/>
    <w:rsid w:val="00347B22"/>
    <w:rsid w:val="0035157B"/>
    <w:rsid w:val="00351D8F"/>
    <w:rsid w:val="003528D1"/>
    <w:rsid w:val="00352CC3"/>
    <w:rsid w:val="003534BA"/>
    <w:rsid w:val="00353523"/>
    <w:rsid w:val="00354354"/>
    <w:rsid w:val="003546BE"/>
    <w:rsid w:val="00354DF9"/>
    <w:rsid w:val="003554D2"/>
    <w:rsid w:val="00356ED1"/>
    <w:rsid w:val="003608E6"/>
    <w:rsid w:val="0036169E"/>
    <w:rsid w:val="00361EDA"/>
    <w:rsid w:val="00362383"/>
    <w:rsid w:val="00362F19"/>
    <w:rsid w:val="00367182"/>
    <w:rsid w:val="00367BFF"/>
    <w:rsid w:val="00367C07"/>
    <w:rsid w:val="003706FA"/>
    <w:rsid w:val="00371B0F"/>
    <w:rsid w:val="00373256"/>
    <w:rsid w:val="00373CBB"/>
    <w:rsid w:val="00374613"/>
    <w:rsid w:val="00376941"/>
    <w:rsid w:val="00381CD8"/>
    <w:rsid w:val="00382305"/>
    <w:rsid w:val="00385525"/>
    <w:rsid w:val="003859F5"/>
    <w:rsid w:val="00387717"/>
    <w:rsid w:val="00390434"/>
    <w:rsid w:val="00390F40"/>
    <w:rsid w:val="0039204A"/>
    <w:rsid w:val="0039222B"/>
    <w:rsid w:val="00392635"/>
    <w:rsid w:val="00394404"/>
    <w:rsid w:val="00394AE5"/>
    <w:rsid w:val="0039524D"/>
    <w:rsid w:val="003962F4"/>
    <w:rsid w:val="00396BF4"/>
    <w:rsid w:val="00397B61"/>
    <w:rsid w:val="003A1629"/>
    <w:rsid w:val="003A367E"/>
    <w:rsid w:val="003A3722"/>
    <w:rsid w:val="003A378D"/>
    <w:rsid w:val="003A4856"/>
    <w:rsid w:val="003A5798"/>
    <w:rsid w:val="003A5E9C"/>
    <w:rsid w:val="003A5FAE"/>
    <w:rsid w:val="003A7F9F"/>
    <w:rsid w:val="003B0099"/>
    <w:rsid w:val="003B1257"/>
    <w:rsid w:val="003B22A1"/>
    <w:rsid w:val="003C05FA"/>
    <w:rsid w:val="003C14A7"/>
    <w:rsid w:val="003C1FC3"/>
    <w:rsid w:val="003C2A0E"/>
    <w:rsid w:val="003C2F68"/>
    <w:rsid w:val="003C32C7"/>
    <w:rsid w:val="003C3633"/>
    <w:rsid w:val="003C3918"/>
    <w:rsid w:val="003C4EB8"/>
    <w:rsid w:val="003C4FBE"/>
    <w:rsid w:val="003C6BB2"/>
    <w:rsid w:val="003D0A5A"/>
    <w:rsid w:val="003D0BE4"/>
    <w:rsid w:val="003D0DD6"/>
    <w:rsid w:val="003D17AC"/>
    <w:rsid w:val="003D1B5E"/>
    <w:rsid w:val="003D2232"/>
    <w:rsid w:val="003D231F"/>
    <w:rsid w:val="003D2811"/>
    <w:rsid w:val="003D3672"/>
    <w:rsid w:val="003D3A6E"/>
    <w:rsid w:val="003D3DED"/>
    <w:rsid w:val="003D4035"/>
    <w:rsid w:val="003D4CC6"/>
    <w:rsid w:val="003D7134"/>
    <w:rsid w:val="003D7A5F"/>
    <w:rsid w:val="003E077F"/>
    <w:rsid w:val="003E305C"/>
    <w:rsid w:val="003E4FF0"/>
    <w:rsid w:val="003E6A75"/>
    <w:rsid w:val="003E6D30"/>
    <w:rsid w:val="003E7CC3"/>
    <w:rsid w:val="003F1A9F"/>
    <w:rsid w:val="003F3822"/>
    <w:rsid w:val="003F5625"/>
    <w:rsid w:val="003F5A51"/>
    <w:rsid w:val="003F71C7"/>
    <w:rsid w:val="003F784A"/>
    <w:rsid w:val="00400D10"/>
    <w:rsid w:val="00402281"/>
    <w:rsid w:val="00402332"/>
    <w:rsid w:val="004024F6"/>
    <w:rsid w:val="0040516A"/>
    <w:rsid w:val="00406A98"/>
    <w:rsid w:val="00406B22"/>
    <w:rsid w:val="00406F81"/>
    <w:rsid w:val="004123E2"/>
    <w:rsid w:val="004136CD"/>
    <w:rsid w:val="004153FC"/>
    <w:rsid w:val="00415B1D"/>
    <w:rsid w:val="004206CD"/>
    <w:rsid w:val="00420744"/>
    <w:rsid w:val="00421B9C"/>
    <w:rsid w:val="0042276C"/>
    <w:rsid w:val="00423A65"/>
    <w:rsid w:val="0042573B"/>
    <w:rsid w:val="0042719C"/>
    <w:rsid w:val="00430A2C"/>
    <w:rsid w:val="00430D9F"/>
    <w:rsid w:val="004314D6"/>
    <w:rsid w:val="004317DC"/>
    <w:rsid w:val="00432966"/>
    <w:rsid w:val="004350FC"/>
    <w:rsid w:val="0043545C"/>
    <w:rsid w:val="0043576C"/>
    <w:rsid w:val="00435875"/>
    <w:rsid w:val="004364B0"/>
    <w:rsid w:val="00436E21"/>
    <w:rsid w:val="00437121"/>
    <w:rsid w:val="00440DA5"/>
    <w:rsid w:val="0044174B"/>
    <w:rsid w:val="004443D7"/>
    <w:rsid w:val="0044640D"/>
    <w:rsid w:val="004479A2"/>
    <w:rsid w:val="00451463"/>
    <w:rsid w:val="00452D87"/>
    <w:rsid w:val="0045528F"/>
    <w:rsid w:val="004560EE"/>
    <w:rsid w:val="00456528"/>
    <w:rsid w:val="00461EDA"/>
    <w:rsid w:val="00464607"/>
    <w:rsid w:val="00470D92"/>
    <w:rsid w:val="004726AE"/>
    <w:rsid w:val="00473D7B"/>
    <w:rsid w:val="00474A92"/>
    <w:rsid w:val="0047536C"/>
    <w:rsid w:val="0047586B"/>
    <w:rsid w:val="004762A4"/>
    <w:rsid w:val="004802C8"/>
    <w:rsid w:val="004808A0"/>
    <w:rsid w:val="0048195F"/>
    <w:rsid w:val="00481A4C"/>
    <w:rsid w:val="00482B86"/>
    <w:rsid w:val="0048454B"/>
    <w:rsid w:val="00485FF9"/>
    <w:rsid w:val="004903AB"/>
    <w:rsid w:val="00490FD3"/>
    <w:rsid w:val="00491090"/>
    <w:rsid w:val="00491218"/>
    <w:rsid w:val="004914D9"/>
    <w:rsid w:val="00492E19"/>
    <w:rsid w:val="0049344B"/>
    <w:rsid w:val="0049439A"/>
    <w:rsid w:val="004948AB"/>
    <w:rsid w:val="004959D8"/>
    <w:rsid w:val="00495B88"/>
    <w:rsid w:val="004976EA"/>
    <w:rsid w:val="0049786B"/>
    <w:rsid w:val="004A0B9D"/>
    <w:rsid w:val="004A0E1F"/>
    <w:rsid w:val="004A13E6"/>
    <w:rsid w:val="004A14F0"/>
    <w:rsid w:val="004A1CE9"/>
    <w:rsid w:val="004A3977"/>
    <w:rsid w:val="004A4E0E"/>
    <w:rsid w:val="004A6715"/>
    <w:rsid w:val="004A6F25"/>
    <w:rsid w:val="004B0B85"/>
    <w:rsid w:val="004B0F5D"/>
    <w:rsid w:val="004B11F2"/>
    <w:rsid w:val="004B2303"/>
    <w:rsid w:val="004B245B"/>
    <w:rsid w:val="004B300F"/>
    <w:rsid w:val="004B413F"/>
    <w:rsid w:val="004B4CE0"/>
    <w:rsid w:val="004B4D23"/>
    <w:rsid w:val="004B4FDA"/>
    <w:rsid w:val="004B58F1"/>
    <w:rsid w:val="004B5EA1"/>
    <w:rsid w:val="004B6436"/>
    <w:rsid w:val="004B728E"/>
    <w:rsid w:val="004B7756"/>
    <w:rsid w:val="004B7C9A"/>
    <w:rsid w:val="004C0596"/>
    <w:rsid w:val="004C08C3"/>
    <w:rsid w:val="004C0E67"/>
    <w:rsid w:val="004C1F73"/>
    <w:rsid w:val="004C3894"/>
    <w:rsid w:val="004C39EC"/>
    <w:rsid w:val="004C3FFE"/>
    <w:rsid w:val="004C4D5C"/>
    <w:rsid w:val="004C4E77"/>
    <w:rsid w:val="004C6CD3"/>
    <w:rsid w:val="004C7FB2"/>
    <w:rsid w:val="004D38CF"/>
    <w:rsid w:val="004D3B0E"/>
    <w:rsid w:val="004D3B72"/>
    <w:rsid w:val="004D4C35"/>
    <w:rsid w:val="004D5741"/>
    <w:rsid w:val="004E2A07"/>
    <w:rsid w:val="004E3531"/>
    <w:rsid w:val="004E3534"/>
    <w:rsid w:val="004E42D7"/>
    <w:rsid w:val="004E42EC"/>
    <w:rsid w:val="004E55C7"/>
    <w:rsid w:val="004E570E"/>
    <w:rsid w:val="004E60D7"/>
    <w:rsid w:val="004E751E"/>
    <w:rsid w:val="004F018C"/>
    <w:rsid w:val="004F04FB"/>
    <w:rsid w:val="004F2204"/>
    <w:rsid w:val="004F226C"/>
    <w:rsid w:val="004F2282"/>
    <w:rsid w:val="004F2BC6"/>
    <w:rsid w:val="004F4BB2"/>
    <w:rsid w:val="004F546F"/>
    <w:rsid w:val="004F64C9"/>
    <w:rsid w:val="004F746F"/>
    <w:rsid w:val="004F75AD"/>
    <w:rsid w:val="00500669"/>
    <w:rsid w:val="00501599"/>
    <w:rsid w:val="0050210C"/>
    <w:rsid w:val="00510BE7"/>
    <w:rsid w:val="005110A9"/>
    <w:rsid w:val="00511439"/>
    <w:rsid w:val="00512950"/>
    <w:rsid w:val="00512C6E"/>
    <w:rsid w:val="00512F95"/>
    <w:rsid w:val="00513C6B"/>
    <w:rsid w:val="0051479B"/>
    <w:rsid w:val="005150BF"/>
    <w:rsid w:val="00515243"/>
    <w:rsid w:val="0051672B"/>
    <w:rsid w:val="00516A4C"/>
    <w:rsid w:val="00517544"/>
    <w:rsid w:val="00517C13"/>
    <w:rsid w:val="00517FBD"/>
    <w:rsid w:val="00520067"/>
    <w:rsid w:val="00520324"/>
    <w:rsid w:val="00522240"/>
    <w:rsid w:val="00522CD4"/>
    <w:rsid w:val="00523805"/>
    <w:rsid w:val="005247E3"/>
    <w:rsid w:val="005248A4"/>
    <w:rsid w:val="005254FE"/>
    <w:rsid w:val="00525BD5"/>
    <w:rsid w:val="00526045"/>
    <w:rsid w:val="005262C3"/>
    <w:rsid w:val="00526EA2"/>
    <w:rsid w:val="0052757B"/>
    <w:rsid w:val="0053089F"/>
    <w:rsid w:val="00531DDA"/>
    <w:rsid w:val="00532588"/>
    <w:rsid w:val="00532647"/>
    <w:rsid w:val="00535EDD"/>
    <w:rsid w:val="005360A2"/>
    <w:rsid w:val="00536321"/>
    <w:rsid w:val="00536524"/>
    <w:rsid w:val="0054055A"/>
    <w:rsid w:val="0054081B"/>
    <w:rsid w:val="00541D7F"/>
    <w:rsid w:val="00542778"/>
    <w:rsid w:val="00543746"/>
    <w:rsid w:val="005450B9"/>
    <w:rsid w:val="00546054"/>
    <w:rsid w:val="00546C9A"/>
    <w:rsid w:val="00546D77"/>
    <w:rsid w:val="00547903"/>
    <w:rsid w:val="005515F4"/>
    <w:rsid w:val="0055160B"/>
    <w:rsid w:val="005518FF"/>
    <w:rsid w:val="00552140"/>
    <w:rsid w:val="0055323F"/>
    <w:rsid w:val="00553CDE"/>
    <w:rsid w:val="00554C64"/>
    <w:rsid w:val="00555779"/>
    <w:rsid w:val="00557FF5"/>
    <w:rsid w:val="005614EB"/>
    <w:rsid w:val="00561901"/>
    <w:rsid w:val="00561BFE"/>
    <w:rsid w:val="00561FB2"/>
    <w:rsid w:val="00562795"/>
    <w:rsid w:val="0056308D"/>
    <w:rsid w:val="005630C5"/>
    <w:rsid w:val="00563D57"/>
    <w:rsid w:val="0057057C"/>
    <w:rsid w:val="0057170C"/>
    <w:rsid w:val="00571F0F"/>
    <w:rsid w:val="00573F82"/>
    <w:rsid w:val="005747CA"/>
    <w:rsid w:val="005812C9"/>
    <w:rsid w:val="005827DD"/>
    <w:rsid w:val="00582A5C"/>
    <w:rsid w:val="0058423D"/>
    <w:rsid w:val="00590CE1"/>
    <w:rsid w:val="00590F7C"/>
    <w:rsid w:val="005925C0"/>
    <w:rsid w:val="00593147"/>
    <w:rsid w:val="005943A6"/>
    <w:rsid w:val="0059444F"/>
    <w:rsid w:val="00594915"/>
    <w:rsid w:val="00595AF1"/>
    <w:rsid w:val="005974E5"/>
    <w:rsid w:val="005A01CA"/>
    <w:rsid w:val="005A171C"/>
    <w:rsid w:val="005A35A3"/>
    <w:rsid w:val="005A5585"/>
    <w:rsid w:val="005A631A"/>
    <w:rsid w:val="005A65E4"/>
    <w:rsid w:val="005A76B3"/>
    <w:rsid w:val="005B0572"/>
    <w:rsid w:val="005B0795"/>
    <w:rsid w:val="005B0E76"/>
    <w:rsid w:val="005B380E"/>
    <w:rsid w:val="005B7227"/>
    <w:rsid w:val="005B729C"/>
    <w:rsid w:val="005B7FB4"/>
    <w:rsid w:val="005C0266"/>
    <w:rsid w:val="005C0614"/>
    <w:rsid w:val="005C0E2A"/>
    <w:rsid w:val="005C23D0"/>
    <w:rsid w:val="005C550E"/>
    <w:rsid w:val="005C68CA"/>
    <w:rsid w:val="005C6E51"/>
    <w:rsid w:val="005D17C0"/>
    <w:rsid w:val="005D1AB4"/>
    <w:rsid w:val="005D4205"/>
    <w:rsid w:val="005D47EC"/>
    <w:rsid w:val="005D50A8"/>
    <w:rsid w:val="005D67D0"/>
    <w:rsid w:val="005D6BD5"/>
    <w:rsid w:val="005D74EC"/>
    <w:rsid w:val="005E136E"/>
    <w:rsid w:val="005E1CE0"/>
    <w:rsid w:val="005E227D"/>
    <w:rsid w:val="005E23B1"/>
    <w:rsid w:val="005E2568"/>
    <w:rsid w:val="005E48B0"/>
    <w:rsid w:val="005E644E"/>
    <w:rsid w:val="005E7470"/>
    <w:rsid w:val="005E7B25"/>
    <w:rsid w:val="005F06AF"/>
    <w:rsid w:val="005F1070"/>
    <w:rsid w:val="005F1AB7"/>
    <w:rsid w:val="005F1CEA"/>
    <w:rsid w:val="005F2AA9"/>
    <w:rsid w:val="005F49FC"/>
    <w:rsid w:val="005F51E9"/>
    <w:rsid w:val="005F543C"/>
    <w:rsid w:val="005F7DE6"/>
    <w:rsid w:val="005F7FA7"/>
    <w:rsid w:val="00600409"/>
    <w:rsid w:val="00602990"/>
    <w:rsid w:val="00603D97"/>
    <w:rsid w:val="00603E72"/>
    <w:rsid w:val="00607B20"/>
    <w:rsid w:val="00607E2E"/>
    <w:rsid w:val="00610424"/>
    <w:rsid w:val="00610B0D"/>
    <w:rsid w:val="006111E5"/>
    <w:rsid w:val="00611982"/>
    <w:rsid w:val="00611B25"/>
    <w:rsid w:val="00612968"/>
    <w:rsid w:val="006141E6"/>
    <w:rsid w:val="00614603"/>
    <w:rsid w:val="00614930"/>
    <w:rsid w:val="00623295"/>
    <w:rsid w:val="00624A93"/>
    <w:rsid w:val="00627A8A"/>
    <w:rsid w:val="00627AFF"/>
    <w:rsid w:val="0063074B"/>
    <w:rsid w:val="00630CA8"/>
    <w:rsid w:val="00631E74"/>
    <w:rsid w:val="006337FE"/>
    <w:rsid w:val="006342A8"/>
    <w:rsid w:val="00635F0C"/>
    <w:rsid w:val="00637101"/>
    <w:rsid w:val="00640581"/>
    <w:rsid w:val="006419CA"/>
    <w:rsid w:val="00642568"/>
    <w:rsid w:val="006431C0"/>
    <w:rsid w:val="00645038"/>
    <w:rsid w:val="006457A7"/>
    <w:rsid w:val="0064633C"/>
    <w:rsid w:val="00646CCC"/>
    <w:rsid w:val="00647820"/>
    <w:rsid w:val="00650AD5"/>
    <w:rsid w:val="006523DE"/>
    <w:rsid w:val="00653306"/>
    <w:rsid w:val="00653649"/>
    <w:rsid w:val="0065417C"/>
    <w:rsid w:val="0065419E"/>
    <w:rsid w:val="0065448C"/>
    <w:rsid w:val="006544EC"/>
    <w:rsid w:val="00655413"/>
    <w:rsid w:val="00656999"/>
    <w:rsid w:val="0066039D"/>
    <w:rsid w:val="00660804"/>
    <w:rsid w:val="00663159"/>
    <w:rsid w:val="00663D0F"/>
    <w:rsid w:val="00664B5D"/>
    <w:rsid w:val="00664B96"/>
    <w:rsid w:val="006654F9"/>
    <w:rsid w:val="00670DF1"/>
    <w:rsid w:val="00671202"/>
    <w:rsid w:val="00671319"/>
    <w:rsid w:val="00672685"/>
    <w:rsid w:val="006736A3"/>
    <w:rsid w:val="00674371"/>
    <w:rsid w:val="00675083"/>
    <w:rsid w:val="006764E7"/>
    <w:rsid w:val="00676EBD"/>
    <w:rsid w:val="006771F4"/>
    <w:rsid w:val="006777CA"/>
    <w:rsid w:val="006819B0"/>
    <w:rsid w:val="00682FA4"/>
    <w:rsid w:val="00683462"/>
    <w:rsid w:val="00685441"/>
    <w:rsid w:val="006859FA"/>
    <w:rsid w:val="0068726A"/>
    <w:rsid w:val="0068768A"/>
    <w:rsid w:val="00687DB3"/>
    <w:rsid w:val="006902A0"/>
    <w:rsid w:val="00691C55"/>
    <w:rsid w:val="00692115"/>
    <w:rsid w:val="006922E8"/>
    <w:rsid w:val="0069306A"/>
    <w:rsid w:val="00694294"/>
    <w:rsid w:val="00694614"/>
    <w:rsid w:val="0069625F"/>
    <w:rsid w:val="00696ED7"/>
    <w:rsid w:val="006A003D"/>
    <w:rsid w:val="006A0856"/>
    <w:rsid w:val="006A1A1B"/>
    <w:rsid w:val="006A2A1D"/>
    <w:rsid w:val="006A40E9"/>
    <w:rsid w:val="006A438C"/>
    <w:rsid w:val="006A5379"/>
    <w:rsid w:val="006A59B6"/>
    <w:rsid w:val="006A5E3A"/>
    <w:rsid w:val="006A691F"/>
    <w:rsid w:val="006B151E"/>
    <w:rsid w:val="006B1A64"/>
    <w:rsid w:val="006B38B2"/>
    <w:rsid w:val="006B4860"/>
    <w:rsid w:val="006B5761"/>
    <w:rsid w:val="006C1442"/>
    <w:rsid w:val="006C270B"/>
    <w:rsid w:val="006C2C59"/>
    <w:rsid w:val="006C3756"/>
    <w:rsid w:val="006C3B46"/>
    <w:rsid w:val="006C5410"/>
    <w:rsid w:val="006C6E0C"/>
    <w:rsid w:val="006C79FA"/>
    <w:rsid w:val="006C7E17"/>
    <w:rsid w:val="006D001E"/>
    <w:rsid w:val="006D18AB"/>
    <w:rsid w:val="006D18C1"/>
    <w:rsid w:val="006D1961"/>
    <w:rsid w:val="006D1C59"/>
    <w:rsid w:val="006D4F38"/>
    <w:rsid w:val="006D7514"/>
    <w:rsid w:val="006D7EE7"/>
    <w:rsid w:val="006D7F4D"/>
    <w:rsid w:val="006D7F51"/>
    <w:rsid w:val="006E184F"/>
    <w:rsid w:val="006E1A5E"/>
    <w:rsid w:val="006E20AE"/>
    <w:rsid w:val="006E4744"/>
    <w:rsid w:val="006E4EF6"/>
    <w:rsid w:val="006E588A"/>
    <w:rsid w:val="006E5A5F"/>
    <w:rsid w:val="006E5EE9"/>
    <w:rsid w:val="006E616A"/>
    <w:rsid w:val="006E7445"/>
    <w:rsid w:val="006F074F"/>
    <w:rsid w:val="006F15EF"/>
    <w:rsid w:val="006F3F66"/>
    <w:rsid w:val="006F59B1"/>
    <w:rsid w:val="006F5F56"/>
    <w:rsid w:val="006F60C5"/>
    <w:rsid w:val="006F67D6"/>
    <w:rsid w:val="006F6BBF"/>
    <w:rsid w:val="006F7C0B"/>
    <w:rsid w:val="00700E66"/>
    <w:rsid w:val="0070109D"/>
    <w:rsid w:val="007026F5"/>
    <w:rsid w:val="00703AD2"/>
    <w:rsid w:val="00704608"/>
    <w:rsid w:val="00704ED9"/>
    <w:rsid w:val="00705AD4"/>
    <w:rsid w:val="007065F4"/>
    <w:rsid w:val="00710010"/>
    <w:rsid w:val="0071017D"/>
    <w:rsid w:val="007104C6"/>
    <w:rsid w:val="00710BBD"/>
    <w:rsid w:val="00711220"/>
    <w:rsid w:val="007113A8"/>
    <w:rsid w:val="00711CFA"/>
    <w:rsid w:val="00712FF5"/>
    <w:rsid w:val="0071449B"/>
    <w:rsid w:val="00714508"/>
    <w:rsid w:val="00717CF4"/>
    <w:rsid w:val="00720060"/>
    <w:rsid w:val="0072014A"/>
    <w:rsid w:val="00720E0E"/>
    <w:rsid w:val="00721325"/>
    <w:rsid w:val="007224E3"/>
    <w:rsid w:val="00722517"/>
    <w:rsid w:val="00722825"/>
    <w:rsid w:val="0072309E"/>
    <w:rsid w:val="007247E0"/>
    <w:rsid w:val="007308DC"/>
    <w:rsid w:val="00732141"/>
    <w:rsid w:val="007326F0"/>
    <w:rsid w:val="007327C5"/>
    <w:rsid w:val="007327ED"/>
    <w:rsid w:val="00733394"/>
    <w:rsid w:val="007336E8"/>
    <w:rsid w:val="00734191"/>
    <w:rsid w:val="00734EC9"/>
    <w:rsid w:val="00735412"/>
    <w:rsid w:val="007357B7"/>
    <w:rsid w:val="00737463"/>
    <w:rsid w:val="00741D2C"/>
    <w:rsid w:val="00743662"/>
    <w:rsid w:val="00743771"/>
    <w:rsid w:val="007439F9"/>
    <w:rsid w:val="00743F58"/>
    <w:rsid w:val="0074494B"/>
    <w:rsid w:val="00744AB6"/>
    <w:rsid w:val="00744EDB"/>
    <w:rsid w:val="007458D4"/>
    <w:rsid w:val="00746527"/>
    <w:rsid w:val="00747186"/>
    <w:rsid w:val="0074748E"/>
    <w:rsid w:val="00747993"/>
    <w:rsid w:val="0075276A"/>
    <w:rsid w:val="00753015"/>
    <w:rsid w:val="007542BF"/>
    <w:rsid w:val="007545B2"/>
    <w:rsid w:val="00756DCA"/>
    <w:rsid w:val="00760718"/>
    <w:rsid w:val="007628C0"/>
    <w:rsid w:val="00763998"/>
    <w:rsid w:val="00763B1D"/>
    <w:rsid w:val="00763C5E"/>
    <w:rsid w:val="007648C4"/>
    <w:rsid w:val="00765648"/>
    <w:rsid w:val="00766513"/>
    <w:rsid w:val="00767245"/>
    <w:rsid w:val="0077078D"/>
    <w:rsid w:val="0077126A"/>
    <w:rsid w:val="007725EF"/>
    <w:rsid w:val="00775419"/>
    <w:rsid w:val="007755E6"/>
    <w:rsid w:val="00775C84"/>
    <w:rsid w:val="007805E0"/>
    <w:rsid w:val="00783FF4"/>
    <w:rsid w:val="007842F6"/>
    <w:rsid w:val="0078537A"/>
    <w:rsid w:val="00787617"/>
    <w:rsid w:val="007904DC"/>
    <w:rsid w:val="0079483D"/>
    <w:rsid w:val="00795EDC"/>
    <w:rsid w:val="007964AE"/>
    <w:rsid w:val="00797124"/>
    <w:rsid w:val="007971A1"/>
    <w:rsid w:val="0079742D"/>
    <w:rsid w:val="007A00D2"/>
    <w:rsid w:val="007A40DB"/>
    <w:rsid w:val="007A484D"/>
    <w:rsid w:val="007A4A98"/>
    <w:rsid w:val="007A4F8B"/>
    <w:rsid w:val="007A6948"/>
    <w:rsid w:val="007B009A"/>
    <w:rsid w:val="007B029C"/>
    <w:rsid w:val="007B04D6"/>
    <w:rsid w:val="007B1F2A"/>
    <w:rsid w:val="007B25EC"/>
    <w:rsid w:val="007B2FC7"/>
    <w:rsid w:val="007B3154"/>
    <w:rsid w:val="007B3B70"/>
    <w:rsid w:val="007B3BEF"/>
    <w:rsid w:val="007B4D83"/>
    <w:rsid w:val="007B5367"/>
    <w:rsid w:val="007C10A8"/>
    <w:rsid w:val="007C2499"/>
    <w:rsid w:val="007C6656"/>
    <w:rsid w:val="007C6B50"/>
    <w:rsid w:val="007D0E75"/>
    <w:rsid w:val="007D14BC"/>
    <w:rsid w:val="007D28E0"/>
    <w:rsid w:val="007D347F"/>
    <w:rsid w:val="007D4C28"/>
    <w:rsid w:val="007D5B9B"/>
    <w:rsid w:val="007D65C2"/>
    <w:rsid w:val="007D6AC7"/>
    <w:rsid w:val="007E042C"/>
    <w:rsid w:val="007E31C7"/>
    <w:rsid w:val="007E3A00"/>
    <w:rsid w:val="007E440F"/>
    <w:rsid w:val="007E6905"/>
    <w:rsid w:val="007E74EA"/>
    <w:rsid w:val="007E7865"/>
    <w:rsid w:val="007F07FF"/>
    <w:rsid w:val="007F086F"/>
    <w:rsid w:val="007F11F1"/>
    <w:rsid w:val="007F15FD"/>
    <w:rsid w:val="007F25AD"/>
    <w:rsid w:val="007F35CF"/>
    <w:rsid w:val="007F3BB7"/>
    <w:rsid w:val="007F482B"/>
    <w:rsid w:val="007F5039"/>
    <w:rsid w:val="007F7B17"/>
    <w:rsid w:val="008004DF"/>
    <w:rsid w:val="00800827"/>
    <w:rsid w:val="00800E0D"/>
    <w:rsid w:val="00800E7A"/>
    <w:rsid w:val="00801215"/>
    <w:rsid w:val="008020E8"/>
    <w:rsid w:val="00802A16"/>
    <w:rsid w:val="00802E6B"/>
    <w:rsid w:val="00804C6D"/>
    <w:rsid w:val="008056A6"/>
    <w:rsid w:val="008069A6"/>
    <w:rsid w:val="00807A16"/>
    <w:rsid w:val="008103BB"/>
    <w:rsid w:val="008125A4"/>
    <w:rsid w:val="008128E7"/>
    <w:rsid w:val="008139F8"/>
    <w:rsid w:val="00813A78"/>
    <w:rsid w:val="00813BA0"/>
    <w:rsid w:val="00814E44"/>
    <w:rsid w:val="00817ACC"/>
    <w:rsid w:val="008204CC"/>
    <w:rsid w:val="00820D7E"/>
    <w:rsid w:val="00821087"/>
    <w:rsid w:val="008223CC"/>
    <w:rsid w:val="00823661"/>
    <w:rsid w:val="0082531B"/>
    <w:rsid w:val="00825C34"/>
    <w:rsid w:val="00826210"/>
    <w:rsid w:val="00826245"/>
    <w:rsid w:val="00827976"/>
    <w:rsid w:val="00827A76"/>
    <w:rsid w:val="00830067"/>
    <w:rsid w:val="0083042F"/>
    <w:rsid w:val="008311D4"/>
    <w:rsid w:val="00831314"/>
    <w:rsid w:val="0083230A"/>
    <w:rsid w:val="0083386B"/>
    <w:rsid w:val="0083661A"/>
    <w:rsid w:val="008370FC"/>
    <w:rsid w:val="00837176"/>
    <w:rsid w:val="00837ECF"/>
    <w:rsid w:val="00840CF7"/>
    <w:rsid w:val="00841E29"/>
    <w:rsid w:val="0084221A"/>
    <w:rsid w:val="008438AE"/>
    <w:rsid w:val="00843B31"/>
    <w:rsid w:val="00843F8A"/>
    <w:rsid w:val="00844E0F"/>
    <w:rsid w:val="0084564A"/>
    <w:rsid w:val="00847321"/>
    <w:rsid w:val="00851DB8"/>
    <w:rsid w:val="00854A06"/>
    <w:rsid w:val="00854E11"/>
    <w:rsid w:val="008558C7"/>
    <w:rsid w:val="0085593A"/>
    <w:rsid w:val="00855DEF"/>
    <w:rsid w:val="0085624C"/>
    <w:rsid w:val="00856438"/>
    <w:rsid w:val="00856E6A"/>
    <w:rsid w:val="00857564"/>
    <w:rsid w:val="0085760D"/>
    <w:rsid w:val="0085772F"/>
    <w:rsid w:val="00857ED5"/>
    <w:rsid w:val="00861F02"/>
    <w:rsid w:val="00863E17"/>
    <w:rsid w:val="00864B35"/>
    <w:rsid w:val="008654F1"/>
    <w:rsid w:val="008665FF"/>
    <w:rsid w:val="00870278"/>
    <w:rsid w:val="0087061C"/>
    <w:rsid w:val="00871F55"/>
    <w:rsid w:val="0087295E"/>
    <w:rsid w:val="0087597C"/>
    <w:rsid w:val="00875D30"/>
    <w:rsid w:val="00876BB6"/>
    <w:rsid w:val="00877C20"/>
    <w:rsid w:val="00883FE9"/>
    <w:rsid w:val="00886417"/>
    <w:rsid w:val="00887412"/>
    <w:rsid w:val="00890F29"/>
    <w:rsid w:val="008922BB"/>
    <w:rsid w:val="00892C7E"/>
    <w:rsid w:val="00892CCB"/>
    <w:rsid w:val="00893B67"/>
    <w:rsid w:val="008944DA"/>
    <w:rsid w:val="00894A39"/>
    <w:rsid w:val="00895ABD"/>
    <w:rsid w:val="008A06CA"/>
    <w:rsid w:val="008A0D55"/>
    <w:rsid w:val="008A18A9"/>
    <w:rsid w:val="008A1F32"/>
    <w:rsid w:val="008A3C69"/>
    <w:rsid w:val="008A583F"/>
    <w:rsid w:val="008A5CED"/>
    <w:rsid w:val="008A6184"/>
    <w:rsid w:val="008A7497"/>
    <w:rsid w:val="008A7A3D"/>
    <w:rsid w:val="008A7B64"/>
    <w:rsid w:val="008B0478"/>
    <w:rsid w:val="008B0817"/>
    <w:rsid w:val="008B0897"/>
    <w:rsid w:val="008B0CE4"/>
    <w:rsid w:val="008B1579"/>
    <w:rsid w:val="008B1DD5"/>
    <w:rsid w:val="008B22A1"/>
    <w:rsid w:val="008B3ED5"/>
    <w:rsid w:val="008B5184"/>
    <w:rsid w:val="008B5266"/>
    <w:rsid w:val="008B5BF0"/>
    <w:rsid w:val="008B5F0A"/>
    <w:rsid w:val="008B6630"/>
    <w:rsid w:val="008B74F6"/>
    <w:rsid w:val="008C0999"/>
    <w:rsid w:val="008C0B7C"/>
    <w:rsid w:val="008C4330"/>
    <w:rsid w:val="008C4B2D"/>
    <w:rsid w:val="008C4CAA"/>
    <w:rsid w:val="008C6A59"/>
    <w:rsid w:val="008C7B70"/>
    <w:rsid w:val="008C7C23"/>
    <w:rsid w:val="008D06CA"/>
    <w:rsid w:val="008D0CA0"/>
    <w:rsid w:val="008D0D83"/>
    <w:rsid w:val="008D0DB1"/>
    <w:rsid w:val="008D12D2"/>
    <w:rsid w:val="008D2B7A"/>
    <w:rsid w:val="008D38E7"/>
    <w:rsid w:val="008D4285"/>
    <w:rsid w:val="008D4EA2"/>
    <w:rsid w:val="008D4FB4"/>
    <w:rsid w:val="008D5155"/>
    <w:rsid w:val="008D54A2"/>
    <w:rsid w:val="008E02A0"/>
    <w:rsid w:val="008E0A80"/>
    <w:rsid w:val="008E0CFF"/>
    <w:rsid w:val="008E2B37"/>
    <w:rsid w:val="008E4497"/>
    <w:rsid w:val="008E47C2"/>
    <w:rsid w:val="008E5D61"/>
    <w:rsid w:val="008E5EE4"/>
    <w:rsid w:val="008E64F1"/>
    <w:rsid w:val="008E7922"/>
    <w:rsid w:val="008F0029"/>
    <w:rsid w:val="008F017F"/>
    <w:rsid w:val="008F04EB"/>
    <w:rsid w:val="008F0C3F"/>
    <w:rsid w:val="008F303A"/>
    <w:rsid w:val="008F5778"/>
    <w:rsid w:val="008F5C0B"/>
    <w:rsid w:val="008F70FB"/>
    <w:rsid w:val="008F737A"/>
    <w:rsid w:val="008F7922"/>
    <w:rsid w:val="008F79EE"/>
    <w:rsid w:val="008F7E69"/>
    <w:rsid w:val="0090338D"/>
    <w:rsid w:val="00903424"/>
    <w:rsid w:val="00903474"/>
    <w:rsid w:val="00903B0C"/>
    <w:rsid w:val="00904335"/>
    <w:rsid w:val="00904563"/>
    <w:rsid w:val="00904EA8"/>
    <w:rsid w:val="009059BA"/>
    <w:rsid w:val="0090691C"/>
    <w:rsid w:val="0090727D"/>
    <w:rsid w:val="00910A37"/>
    <w:rsid w:val="00910CCA"/>
    <w:rsid w:val="00910D65"/>
    <w:rsid w:val="009131EE"/>
    <w:rsid w:val="009139E5"/>
    <w:rsid w:val="00915CC0"/>
    <w:rsid w:val="00915F7E"/>
    <w:rsid w:val="00916123"/>
    <w:rsid w:val="0091710F"/>
    <w:rsid w:val="0091726B"/>
    <w:rsid w:val="009172C7"/>
    <w:rsid w:val="009201C8"/>
    <w:rsid w:val="0092058E"/>
    <w:rsid w:val="0092438B"/>
    <w:rsid w:val="00924C18"/>
    <w:rsid w:val="00925574"/>
    <w:rsid w:val="009260EF"/>
    <w:rsid w:val="00926DD9"/>
    <w:rsid w:val="00927911"/>
    <w:rsid w:val="00930A4F"/>
    <w:rsid w:val="00932780"/>
    <w:rsid w:val="009333BD"/>
    <w:rsid w:val="00933592"/>
    <w:rsid w:val="0093389D"/>
    <w:rsid w:val="00933E91"/>
    <w:rsid w:val="00933F61"/>
    <w:rsid w:val="009345A7"/>
    <w:rsid w:val="0093670B"/>
    <w:rsid w:val="00936ABD"/>
    <w:rsid w:val="00936DE0"/>
    <w:rsid w:val="00936F47"/>
    <w:rsid w:val="00936FDA"/>
    <w:rsid w:val="00941A7A"/>
    <w:rsid w:val="00944198"/>
    <w:rsid w:val="0094495C"/>
    <w:rsid w:val="00944B7A"/>
    <w:rsid w:val="00945011"/>
    <w:rsid w:val="0094620E"/>
    <w:rsid w:val="0094629A"/>
    <w:rsid w:val="009463A0"/>
    <w:rsid w:val="009516B9"/>
    <w:rsid w:val="00952FC1"/>
    <w:rsid w:val="009548B7"/>
    <w:rsid w:val="00954A2E"/>
    <w:rsid w:val="009559A8"/>
    <w:rsid w:val="009570AE"/>
    <w:rsid w:val="00957CCA"/>
    <w:rsid w:val="009609D0"/>
    <w:rsid w:val="009620B9"/>
    <w:rsid w:val="0096554A"/>
    <w:rsid w:val="00965798"/>
    <w:rsid w:val="00966746"/>
    <w:rsid w:val="00967CCC"/>
    <w:rsid w:val="00970422"/>
    <w:rsid w:val="00970997"/>
    <w:rsid w:val="00970CD4"/>
    <w:rsid w:val="00971735"/>
    <w:rsid w:val="00972716"/>
    <w:rsid w:val="00973CD3"/>
    <w:rsid w:val="00974414"/>
    <w:rsid w:val="00974ED9"/>
    <w:rsid w:val="0097515B"/>
    <w:rsid w:val="00980861"/>
    <w:rsid w:val="00980A7F"/>
    <w:rsid w:val="00981B0E"/>
    <w:rsid w:val="0098230B"/>
    <w:rsid w:val="009835CF"/>
    <w:rsid w:val="00983708"/>
    <w:rsid w:val="00984977"/>
    <w:rsid w:val="00984CFA"/>
    <w:rsid w:val="00984EEB"/>
    <w:rsid w:val="00985834"/>
    <w:rsid w:val="009858F5"/>
    <w:rsid w:val="00986A3F"/>
    <w:rsid w:val="0098741C"/>
    <w:rsid w:val="0099016E"/>
    <w:rsid w:val="00991603"/>
    <w:rsid w:val="00993FD8"/>
    <w:rsid w:val="0099475C"/>
    <w:rsid w:val="009949EC"/>
    <w:rsid w:val="009955E1"/>
    <w:rsid w:val="0099618A"/>
    <w:rsid w:val="00997056"/>
    <w:rsid w:val="009971D1"/>
    <w:rsid w:val="009A2402"/>
    <w:rsid w:val="009A30DD"/>
    <w:rsid w:val="009A4567"/>
    <w:rsid w:val="009A45FC"/>
    <w:rsid w:val="009A4EA7"/>
    <w:rsid w:val="009A5D4E"/>
    <w:rsid w:val="009B1F76"/>
    <w:rsid w:val="009B3F1D"/>
    <w:rsid w:val="009B415B"/>
    <w:rsid w:val="009B4F75"/>
    <w:rsid w:val="009B52F6"/>
    <w:rsid w:val="009C2092"/>
    <w:rsid w:val="009C4A0D"/>
    <w:rsid w:val="009C7374"/>
    <w:rsid w:val="009C7DBE"/>
    <w:rsid w:val="009D0167"/>
    <w:rsid w:val="009D2C23"/>
    <w:rsid w:val="009D3E37"/>
    <w:rsid w:val="009D4724"/>
    <w:rsid w:val="009D4F23"/>
    <w:rsid w:val="009D4F99"/>
    <w:rsid w:val="009D5734"/>
    <w:rsid w:val="009D78CF"/>
    <w:rsid w:val="009D7B78"/>
    <w:rsid w:val="009E0578"/>
    <w:rsid w:val="009E0F0B"/>
    <w:rsid w:val="009E1713"/>
    <w:rsid w:val="009E2C80"/>
    <w:rsid w:val="009E44A2"/>
    <w:rsid w:val="009E456A"/>
    <w:rsid w:val="009E6195"/>
    <w:rsid w:val="009E6CC6"/>
    <w:rsid w:val="009E7E2F"/>
    <w:rsid w:val="009F154C"/>
    <w:rsid w:val="009F226C"/>
    <w:rsid w:val="009F43A6"/>
    <w:rsid w:val="009F69D3"/>
    <w:rsid w:val="009F6A15"/>
    <w:rsid w:val="00A00BAC"/>
    <w:rsid w:val="00A01421"/>
    <w:rsid w:val="00A0260E"/>
    <w:rsid w:val="00A02AAD"/>
    <w:rsid w:val="00A03865"/>
    <w:rsid w:val="00A05F39"/>
    <w:rsid w:val="00A06024"/>
    <w:rsid w:val="00A07BEA"/>
    <w:rsid w:val="00A10317"/>
    <w:rsid w:val="00A10418"/>
    <w:rsid w:val="00A125B1"/>
    <w:rsid w:val="00A154FC"/>
    <w:rsid w:val="00A16E12"/>
    <w:rsid w:val="00A172F5"/>
    <w:rsid w:val="00A177F3"/>
    <w:rsid w:val="00A17F5A"/>
    <w:rsid w:val="00A20503"/>
    <w:rsid w:val="00A2058E"/>
    <w:rsid w:val="00A21057"/>
    <w:rsid w:val="00A227E7"/>
    <w:rsid w:val="00A26597"/>
    <w:rsid w:val="00A275B8"/>
    <w:rsid w:val="00A301B1"/>
    <w:rsid w:val="00A30462"/>
    <w:rsid w:val="00A31595"/>
    <w:rsid w:val="00A35672"/>
    <w:rsid w:val="00A36A14"/>
    <w:rsid w:val="00A37A51"/>
    <w:rsid w:val="00A410D5"/>
    <w:rsid w:val="00A42010"/>
    <w:rsid w:val="00A42C18"/>
    <w:rsid w:val="00A43ADE"/>
    <w:rsid w:val="00A44DCA"/>
    <w:rsid w:val="00A45570"/>
    <w:rsid w:val="00A45FC3"/>
    <w:rsid w:val="00A47825"/>
    <w:rsid w:val="00A47AD7"/>
    <w:rsid w:val="00A501E3"/>
    <w:rsid w:val="00A5231E"/>
    <w:rsid w:val="00A525E4"/>
    <w:rsid w:val="00A54988"/>
    <w:rsid w:val="00A54CF1"/>
    <w:rsid w:val="00A54E7C"/>
    <w:rsid w:val="00A55D37"/>
    <w:rsid w:val="00A56C3A"/>
    <w:rsid w:val="00A577EE"/>
    <w:rsid w:val="00A6082D"/>
    <w:rsid w:val="00A62CDD"/>
    <w:rsid w:val="00A62D0B"/>
    <w:rsid w:val="00A64616"/>
    <w:rsid w:val="00A64717"/>
    <w:rsid w:val="00A65A55"/>
    <w:rsid w:val="00A66866"/>
    <w:rsid w:val="00A66FC4"/>
    <w:rsid w:val="00A7141E"/>
    <w:rsid w:val="00A72CD2"/>
    <w:rsid w:val="00A7311F"/>
    <w:rsid w:val="00A74DC0"/>
    <w:rsid w:val="00A75447"/>
    <w:rsid w:val="00A76871"/>
    <w:rsid w:val="00A77C6B"/>
    <w:rsid w:val="00A80FF8"/>
    <w:rsid w:val="00A81D9F"/>
    <w:rsid w:val="00A82330"/>
    <w:rsid w:val="00A8366D"/>
    <w:rsid w:val="00A851A0"/>
    <w:rsid w:val="00A859F8"/>
    <w:rsid w:val="00A85FA1"/>
    <w:rsid w:val="00A872DD"/>
    <w:rsid w:val="00A8762C"/>
    <w:rsid w:val="00A91EDD"/>
    <w:rsid w:val="00A95AC3"/>
    <w:rsid w:val="00A96A8F"/>
    <w:rsid w:val="00A97047"/>
    <w:rsid w:val="00A97CFB"/>
    <w:rsid w:val="00AA27B1"/>
    <w:rsid w:val="00AA48BE"/>
    <w:rsid w:val="00AA5ADC"/>
    <w:rsid w:val="00AA69E9"/>
    <w:rsid w:val="00AA7DBF"/>
    <w:rsid w:val="00AB10F5"/>
    <w:rsid w:val="00AB110B"/>
    <w:rsid w:val="00AB111E"/>
    <w:rsid w:val="00AB2404"/>
    <w:rsid w:val="00AB3415"/>
    <w:rsid w:val="00AB3525"/>
    <w:rsid w:val="00AB61D6"/>
    <w:rsid w:val="00AB6DF5"/>
    <w:rsid w:val="00AB77AB"/>
    <w:rsid w:val="00AC13AC"/>
    <w:rsid w:val="00AC218D"/>
    <w:rsid w:val="00AC2384"/>
    <w:rsid w:val="00AC3264"/>
    <w:rsid w:val="00AC3F0C"/>
    <w:rsid w:val="00AC49EB"/>
    <w:rsid w:val="00AC576E"/>
    <w:rsid w:val="00AC5AF9"/>
    <w:rsid w:val="00AC666E"/>
    <w:rsid w:val="00AC6EEC"/>
    <w:rsid w:val="00AC72E2"/>
    <w:rsid w:val="00AC7FE6"/>
    <w:rsid w:val="00AD0317"/>
    <w:rsid w:val="00AD04D4"/>
    <w:rsid w:val="00AD1B65"/>
    <w:rsid w:val="00AD1BE1"/>
    <w:rsid w:val="00AD4FED"/>
    <w:rsid w:val="00AD512F"/>
    <w:rsid w:val="00AD6400"/>
    <w:rsid w:val="00AD66EA"/>
    <w:rsid w:val="00AD747E"/>
    <w:rsid w:val="00AE0286"/>
    <w:rsid w:val="00AE333D"/>
    <w:rsid w:val="00AE46C4"/>
    <w:rsid w:val="00AE4C2F"/>
    <w:rsid w:val="00AE4C9A"/>
    <w:rsid w:val="00AE4F0D"/>
    <w:rsid w:val="00AE58FA"/>
    <w:rsid w:val="00AE7F8E"/>
    <w:rsid w:val="00AF0BFC"/>
    <w:rsid w:val="00AF1539"/>
    <w:rsid w:val="00AF21BB"/>
    <w:rsid w:val="00AF243A"/>
    <w:rsid w:val="00AF338C"/>
    <w:rsid w:val="00AF3888"/>
    <w:rsid w:val="00AF3E4B"/>
    <w:rsid w:val="00AF739C"/>
    <w:rsid w:val="00B02274"/>
    <w:rsid w:val="00B04FB3"/>
    <w:rsid w:val="00B05E31"/>
    <w:rsid w:val="00B06417"/>
    <w:rsid w:val="00B07307"/>
    <w:rsid w:val="00B079B3"/>
    <w:rsid w:val="00B07E61"/>
    <w:rsid w:val="00B1001A"/>
    <w:rsid w:val="00B10405"/>
    <w:rsid w:val="00B11410"/>
    <w:rsid w:val="00B119C2"/>
    <w:rsid w:val="00B12D21"/>
    <w:rsid w:val="00B1311D"/>
    <w:rsid w:val="00B1382C"/>
    <w:rsid w:val="00B13A33"/>
    <w:rsid w:val="00B13DD4"/>
    <w:rsid w:val="00B14972"/>
    <w:rsid w:val="00B15368"/>
    <w:rsid w:val="00B1576E"/>
    <w:rsid w:val="00B1690B"/>
    <w:rsid w:val="00B17E84"/>
    <w:rsid w:val="00B20F76"/>
    <w:rsid w:val="00B216ED"/>
    <w:rsid w:val="00B21E48"/>
    <w:rsid w:val="00B2403E"/>
    <w:rsid w:val="00B252BA"/>
    <w:rsid w:val="00B25D68"/>
    <w:rsid w:val="00B25FEE"/>
    <w:rsid w:val="00B26302"/>
    <w:rsid w:val="00B2642D"/>
    <w:rsid w:val="00B26714"/>
    <w:rsid w:val="00B27BC6"/>
    <w:rsid w:val="00B300D3"/>
    <w:rsid w:val="00B30C8B"/>
    <w:rsid w:val="00B30D07"/>
    <w:rsid w:val="00B30FD7"/>
    <w:rsid w:val="00B32E2B"/>
    <w:rsid w:val="00B33865"/>
    <w:rsid w:val="00B34042"/>
    <w:rsid w:val="00B35821"/>
    <w:rsid w:val="00B35E8B"/>
    <w:rsid w:val="00B363F9"/>
    <w:rsid w:val="00B3785E"/>
    <w:rsid w:val="00B40A15"/>
    <w:rsid w:val="00B40B6F"/>
    <w:rsid w:val="00B40EA8"/>
    <w:rsid w:val="00B41817"/>
    <w:rsid w:val="00B427DA"/>
    <w:rsid w:val="00B432B4"/>
    <w:rsid w:val="00B435F6"/>
    <w:rsid w:val="00B44D21"/>
    <w:rsid w:val="00B44EE5"/>
    <w:rsid w:val="00B450B0"/>
    <w:rsid w:val="00B4581F"/>
    <w:rsid w:val="00B45A6A"/>
    <w:rsid w:val="00B4678E"/>
    <w:rsid w:val="00B46BFF"/>
    <w:rsid w:val="00B47122"/>
    <w:rsid w:val="00B4753C"/>
    <w:rsid w:val="00B4766F"/>
    <w:rsid w:val="00B47843"/>
    <w:rsid w:val="00B47E58"/>
    <w:rsid w:val="00B508AC"/>
    <w:rsid w:val="00B5152B"/>
    <w:rsid w:val="00B51814"/>
    <w:rsid w:val="00B51C41"/>
    <w:rsid w:val="00B52227"/>
    <w:rsid w:val="00B52831"/>
    <w:rsid w:val="00B5458D"/>
    <w:rsid w:val="00B54C15"/>
    <w:rsid w:val="00B57514"/>
    <w:rsid w:val="00B60379"/>
    <w:rsid w:val="00B624B6"/>
    <w:rsid w:val="00B63311"/>
    <w:rsid w:val="00B63F1B"/>
    <w:rsid w:val="00B640BC"/>
    <w:rsid w:val="00B64602"/>
    <w:rsid w:val="00B654F1"/>
    <w:rsid w:val="00B65AC2"/>
    <w:rsid w:val="00B67B61"/>
    <w:rsid w:val="00B708ED"/>
    <w:rsid w:val="00B70929"/>
    <w:rsid w:val="00B71490"/>
    <w:rsid w:val="00B729A2"/>
    <w:rsid w:val="00B73372"/>
    <w:rsid w:val="00B752F4"/>
    <w:rsid w:val="00B769D4"/>
    <w:rsid w:val="00B80376"/>
    <w:rsid w:val="00B81BA6"/>
    <w:rsid w:val="00B82E7A"/>
    <w:rsid w:val="00B830D9"/>
    <w:rsid w:val="00B84D72"/>
    <w:rsid w:val="00B87BF0"/>
    <w:rsid w:val="00B90141"/>
    <w:rsid w:val="00B911C9"/>
    <w:rsid w:val="00B91216"/>
    <w:rsid w:val="00B91B22"/>
    <w:rsid w:val="00B9341E"/>
    <w:rsid w:val="00B934EF"/>
    <w:rsid w:val="00B94EF1"/>
    <w:rsid w:val="00B97096"/>
    <w:rsid w:val="00B970FD"/>
    <w:rsid w:val="00B978A0"/>
    <w:rsid w:val="00B97E97"/>
    <w:rsid w:val="00BA0E56"/>
    <w:rsid w:val="00BA19F3"/>
    <w:rsid w:val="00BA314D"/>
    <w:rsid w:val="00BA3210"/>
    <w:rsid w:val="00BA3995"/>
    <w:rsid w:val="00BA43E2"/>
    <w:rsid w:val="00BA486D"/>
    <w:rsid w:val="00BA5053"/>
    <w:rsid w:val="00BA50DC"/>
    <w:rsid w:val="00BB0CB4"/>
    <w:rsid w:val="00BB136C"/>
    <w:rsid w:val="00BB176E"/>
    <w:rsid w:val="00BB3135"/>
    <w:rsid w:val="00BB40B1"/>
    <w:rsid w:val="00BB4ED7"/>
    <w:rsid w:val="00BB6971"/>
    <w:rsid w:val="00BB7704"/>
    <w:rsid w:val="00BC0770"/>
    <w:rsid w:val="00BC2FF6"/>
    <w:rsid w:val="00BC44F0"/>
    <w:rsid w:val="00BC46ED"/>
    <w:rsid w:val="00BC4BCC"/>
    <w:rsid w:val="00BC530D"/>
    <w:rsid w:val="00BC5BE4"/>
    <w:rsid w:val="00BC6E10"/>
    <w:rsid w:val="00BC7D3C"/>
    <w:rsid w:val="00BC7D47"/>
    <w:rsid w:val="00BC7F45"/>
    <w:rsid w:val="00BD2DAD"/>
    <w:rsid w:val="00BD3CF0"/>
    <w:rsid w:val="00BD4291"/>
    <w:rsid w:val="00BD4D44"/>
    <w:rsid w:val="00BD791D"/>
    <w:rsid w:val="00BE142B"/>
    <w:rsid w:val="00BE31F4"/>
    <w:rsid w:val="00BE3DEC"/>
    <w:rsid w:val="00BE3FA6"/>
    <w:rsid w:val="00BE4A63"/>
    <w:rsid w:val="00BE4DFF"/>
    <w:rsid w:val="00BE4EF2"/>
    <w:rsid w:val="00BE6718"/>
    <w:rsid w:val="00BE6BB8"/>
    <w:rsid w:val="00BE718A"/>
    <w:rsid w:val="00BE7DD2"/>
    <w:rsid w:val="00BF095A"/>
    <w:rsid w:val="00BF0A84"/>
    <w:rsid w:val="00BF20E3"/>
    <w:rsid w:val="00BF254C"/>
    <w:rsid w:val="00BF643C"/>
    <w:rsid w:val="00BF67F1"/>
    <w:rsid w:val="00C0218D"/>
    <w:rsid w:val="00C04241"/>
    <w:rsid w:val="00C04EA4"/>
    <w:rsid w:val="00C070EE"/>
    <w:rsid w:val="00C07AED"/>
    <w:rsid w:val="00C12C22"/>
    <w:rsid w:val="00C13AE9"/>
    <w:rsid w:val="00C14680"/>
    <w:rsid w:val="00C15B51"/>
    <w:rsid w:val="00C15D59"/>
    <w:rsid w:val="00C1618A"/>
    <w:rsid w:val="00C165F3"/>
    <w:rsid w:val="00C167D0"/>
    <w:rsid w:val="00C16CC2"/>
    <w:rsid w:val="00C20166"/>
    <w:rsid w:val="00C210AF"/>
    <w:rsid w:val="00C24D0C"/>
    <w:rsid w:val="00C26CDD"/>
    <w:rsid w:val="00C26DE8"/>
    <w:rsid w:val="00C27816"/>
    <w:rsid w:val="00C279F9"/>
    <w:rsid w:val="00C302BE"/>
    <w:rsid w:val="00C30F7F"/>
    <w:rsid w:val="00C3107B"/>
    <w:rsid w:val="00C31BEA"/>
    <w:rsid w:val="00C331AA"/>
    <w:rsid w:val="00C341F6"/>
    <w:rsid w:val="00C34526"/>
    <w:rsid w:val="00C36E51"/>
    <w:rsid w:val="00C40244"/>
    <w:rsid w:val="00C40AD7"/>
    <w:rsid w:val="00C42518"/>
    <w:rsid w:val="00C42E47"/>
    <w:rsid w:val="00C440A4"/>
    <w:rsid w:val="00C44854"/>
    <w:rsid w:val="00C45163"/>
    <w:rsid w:val="00C462AB"/>
    <w:rsid w:val="00C477B6"/>
    <w:rsid w:val="00C51550"/>
    <w:rsid w:val="00C515A7"/>
    <w:rsid w:val="00C516BC"/>
    <w:rsid w:val="00C529FE"/>
    <w:rsid w:val="00C540D1"/>
    <w:rsid w:val="00C547DC"/>
    <w:rsid w:val="00C551A0"/>
    <w:rsid w:val="00C55490"/>
    <w:rsid w:val="00C55BAE"/>
    <w:rsid w:val="00C55E88"/>
    <w:rsid w:val="00C5636F"/>
    <w:rsid w:val="00C565AB"/>
    <w:rsid w:val="00C60E79"/>
    <w:rsid w:val="00C62550"/>
    <w:rsid w:val="00C64A1C"/>
    <w:rsid w:val="00C65C50"/>
    <w:rsid w:val="00C65D19"/>
    <w:rsid w:val="00C663F3"/>
    <w:rsid w:val="00C66CA2"/>
    <w:rsid w:val="00C671D4"/>
    <w:rsid w:val="00C6727C"/>
    <w:rsid w:val="00C67426"/>
    <w:rsid w:val="00C674C0"/>
    <w:rsid w:val="00C709A9"/>
    <w:rsid w:val="00C71332"/>
    <w:rsid w:val="00C715A5"/>
    <w:rsid w:val="00C71CC8"/>
    <w:rsid w:val="00C73B53"/>
    <w:rsid w:val="00C74608"/>
    <w:rsid w:val="00C74F79"/>
    <w:rsid w:val="00C75301"/>
    <w:rsid w:val="00C75767"/>
    <w:rsid w:val="00C75E93"/>
    <w:rsid w:val="00C778BC"/>
    <w:rsid w:val="00C80D7D"/>
    <w:rsid w:val="00C81BC4"/>
    <w:rsid w:val="00C83B13"/>
    <w:rsid w:val="00C85336"/>
    <w:rsid w:val="00C85812"/>
    <w:rsid w:val="00C85902"/>
    <w:rsid w:val="00C86DB3"/>
    <w:rsid w:val="00C86E6B"/>
    <w:rsid w:val="00C905BA"/>
    <w:rsid w:val="00C91B7C"/>
    <w:rsid w:val="00C91E10"/>
    <w:rsid w:val="00C92F6D"/>
    <w:rsid w:val="00C95327"/>
    <w:rsid w:val="00C9564F"/>
    <w:rsid w:val="00C958CB"/>
    <w:rsid w:val="00C9633A"/>
    <w:rsid w:val="00C96649"/>
    <w:rsid w:val="00CA0459"/>
    <w:rsid w:val="00CA0546"/>
    <w:rsid w:val="00CA0A5B"/>
    <w:rsid w:val="00CA0CDF"/>
    <w:rsid w:val="00CA1FB6"/>
    <w:rsid w:val="00CA27A1"/>
    <w:rsid w:val="00CA28CA"/>
    <w:rsid w:val="00CA467D"/>
    <w:rsid w:val="00CA4730"/>
    <w:rsid w:val="00CA5061"/>
    <w:rsid w:val="00CA6C3F"/>
    <w:rsid w:val="00CA791D"/>
    <w:rsid w:val="00CA7E17"/>
    <w:rsid w:val="00CB2D30"/>
    <w:rsid w:val="00CB328F"/>
    <w:rsid w:val="00CB42BF"/>
    <w:rsid w:val="00CB533B"/>
    <w:rsid w:val="00CB5EDE"/>
    <w:rsid w:val="00CB6BE3"/>
    <w:rsid w:val="00CB7183"/>
    <w:rsid w:val="00CC07DC"/>
    <w:rsid w:val="00CC0846"/>
    <w:rsid w:val="00CC0C5A"/>
    <w:rsid w:val="00CC0FD7"/>
    <w:rsid w:val="00CC15F6"/>
    <w:rsid w:val="00CC201E"/>
    <w:rsid w:val="00CC2312"/>
    <w:rsid w:val="00CC2F8D"/>
    <w:rsid w:val="00CC3A62"/>
    <w:rsid w:val="00CD0CC8"/>
    <w:rsid w:val="00CD0DBD"/>
    <w:rsid w:val="00CD1200"/>
    <w:rsid w:val="00CD13E6"/>
    <w:rsid w:val="00CD296D"/>
    <w:rsid w:val="00CD33CB"/>
    <w:rsid w:val="00CD51AB"/>
    <w:rsid w:val="00CD6493"/>
    <w:rsid w:val="00CD6A43"/>
    <w:rsid w:val="00CD7A27"/>
    <w:rsid w:val="00CE049E"/>
    <w:rsid w:val="00CE0D83"/>
    <w:rsid w:val="00CE0ED5"/>
    <w:rsid w:val="00CE21F6"/>
    <w:rsid w:val="00CE2857"/>
    <w:rsid w:val="00CE2C9C"/>
    <w:rsid w:val="00CE407C"/>
    <w:rsid w:val="00CE4665"/>
    <w:rsid w:val="00CE5B8C"/>
    <w:rsid w:val="00CE6277"/>
    <w:rsid w:val="00CE6431"/>
    <w:rsid w:val="00CE6F7B"/>
    <w:rsid w:val="00CE741A"/>
    <w:rsid w:val="00CF1D59"/>
    <w:rsid w:val="00CF2058"/>
    <w:rsid w:val="00CF2A6B"/>
    <w:rsid w:val="00CF3456"/>
    <w:rsid w:val="00CF43B8"/>
    <w:rsid w:val="00CF4EEB"/>
    <w:rsid w:val="00CF4FB0"/>
    <w:rsid w:val="00CF6B7B"/>
    <w:rsid w:val="00CF7AF9"/>
    <w:rsid w:val="00D000B1"/>
    <w:rsid w:val="00D009C2"/>
    <w:rsid w:val="00D014C3"/>
    <w:rsid w:val="00D01AFD"/>
    <w:rsid w:val="00D01C6F"/>
    <w:rsid w:val="00D0288E"/>
    <w:rsid w:val="00D03289"/>
    <w:rsid w:val="00D04502"/>
    <w:rsid w:val="00D061C6"/>
    <w:rsid w:val="00D0663D"/>
    <w:rsid w:val="00D06647"/>
    <w:rsid w:val="00D10621"/>
    <w:rsid w:val="00D10C26"/>
    <w:rsid w:val="00D1140D"/>
    <w:rsid w:val="00D11F4F"/>
    <w:rsid w:val="00D1296E"/>
    <w:rsid w:val="00D12A5F"/>
    <w:rsid w:val="00D13315"/>
    <w:rsid w:val="00D13E5D"/>
    <w:rsid w:val="00D145EE"/>
    <w:rsid w:val="00D146FF"/>
    <w:rsid w:val="00D14959"/>
    <w:rsid w:val="00D1776A"/>
    <w:rsid w:val="00D17896"/>
    <w:rsid w:val="00D17D4B"/>
    <w:rsid w:val="00D2279C"/>
    <w:rsid w:val="00D229D1"/>
    <w:rsid w:val="00D22B3A"/>
    <w:rsid w:val="00D23EA9"/>
    <w:rsid w:val="00D245C8"/>
    <w:rsid w:val="00D245D1"/>
    <w:rsid w:val="00D24786"/>
    <w:rsid w:val="00D25117"/>
    <w:rsid w:val="00D25736"/>
    <w:rsid w:val="00D27C9B"/>
    <w:rsid w:val="00D3025A"/>
    <w:rsid w:val="00D30375"/>
    <w:rsid w:val="00D30BD2"/>
    <w:rsid w:val="00D32B53"/>
    <w:rsid w:val="00D334B7"/>
    <w:rsid w:val="00D334F2"/>
    <w:rsid w:val="00D3399E"/>
    <w:rsid w:val="00D33D26"/>
    <w:rsid w:val="00D34497"/>
    <w:rsid w:val="00D3588D"/>
    <w:rsid w:val="00D35A36"/>
    <w:rsid w:val="00D402E3"/>
    <w:rsid w:val="00D41E5D"/>
    <w:rsid w:val="00D4208F"/>
    <w:rsid w:val="00D442C3"/>
    <w:rsid w:val="00D44855"/>
    <w:rsid w:val="00D44AF3"/>
    <w:rsid w:val="00D45D01"/>
    <w:rsid w:val="00D45D24"/>
    <w:rsid w:val="00D45E43"/>
    <w:rsid w:val="00D4632B"/>
    <w:rsid w:val="00D47FC0"/>
    <w:rsid w:val="00D50124"/>
    <w:rsid w:val="00D50DDB"/>
    <w:rsid w:val="00D515EA"/>
    <w:rsid w:val="00D518D0"/>
    <w:rsid w:val="00D5692C"/>
    <w:rsid w:val="00D572FB"/>
    <w:rsid w:val="00D57684"/>
    <w:rsid w:val="00D57F47"/>
    <w:rsid w:val="00D60438"/>
    <w:rsid w:val="00D60A52"/>
    <w:rsid w:val="00D61C79"/>
    <w:rsid w:val="00D655D5"/>
    <w:rsid w:val="00D66163"/>
    <w:rsid w:val="00D6634F"/>
    <w:rsid w:val="00D66991"/>
    <w:rsid w:val="00D70819"/>
    <w:rsid w:val="00D70A02"/>
    <w:rsid w:val="00D711A5"/>
    <w:rsid w:val="00D71658"/>
    <w:rsid w:val="00D72460"/>
    <w:rsid w:val="00D72762"/>
    <w:rsid w:val="00D73430"/>
    <w:rsid w:val="00D73857"/>
    <w:rsid w:val="00D76789"/>
    <w:rsid w:val="00D76B36"/>
    <w:rsid w:val="00D7731F"/>
    <w:rsid w:val="00D77FB1"/>
    <w:rsid w:val="00D80818"/>
    <w:rsid w:val="00D80969"/>
    <w:rsid w:val="00D816AF"/>
    <w:rsid w:val="00D84235"/>
    <w:rsid w:val="00D87DD1"/>
    <w:rsid w:val="00D92B04"/>
    <w:rsid w:val="00D92C24"/>
    <w:rsid w:val="00D92DBF"/>
    <w:rsid w:val="00D93A34"/>
    <w:rsid w:val="00D93AD5"/>
    <w:rsid w:val="00D94949"/>
    <w:rsid w:val="00D94EBE"/>
    <w:rsid w:val="00D97B61"/>
    <w:rsid w:val="00D97D69"/>
    <w:rsid w:val="00DA1696"/>
    <w:rsid w:val="00DA1A47"/>
    <w:rsid w:val="00DA1C72"/>
    <w:rsid w:val="00DA3C05"/>
    <w:rsid w:val="00DA4D6B"/>
    <w:rsid w:val="00DA718F"/>
    <w:rsid w:val="00DB018C"/>
    <w:rsid w:val="00DB01B5"/>
    <w:rsid w:val="00DB01DE"/>
    <w:rsid w:val="00DB023F"/>
    <w:rsid w:val="00DB0ECD"/>
    <w:rsid w:val="00DB1B70"/>
    <w:rsid w:val="00DB2442"/>
    <w:rsid w:val="00DB2BCA"/>
    <w:rsid w:val="00DB560D"/>
    <w:rsid w:val="00DB61DD"/>
    <w:rsid w:val="00DB6CC5"/>
    <w:rsid w:val="00DC067E"/>
    <w:rsid w:val="00DC0CBC"/>
    <w:rsid w:val="00DC1676"/>
    <w:rsid w:val="00DC26AB"/>
    <w:rsid w:val="00DC34EA"/>
    <w:rsid w:val="00DC435F"/>
    <w:rsid w:val="00DC6088"/>
    <w:rsid w:val="00DC6454"/>
    <w:rsid w:val="00DC7871"/>
    <w:rsid w:val="00DD1242"/>
    <w:rsid w:val="00DD62F3"/>
    <w:rsid w:val="00DD6662"/>
    <w:rsid w:val="00DD7187"/>
    <w:rsid w:val="00DE0934"/>
    <w:rsid w:val="00DE0A06"/>
    <w:rsid w:val="00DE0B60"/>
    <w:rsid w:val="00DE194B"/>
    <w:rsid w:val="00DE19C0"/>
    <w:rsid w:val="00DE4529"/>
    <w:rsid w:val="00DE5DD2"/>
    <w:rsid w:val="00DE6A35"/>
    <w:rsid w:val="00DE73D0"/>
    <w:rsid w:val="00DE79A3"/>
    <w:rsid w:val="00DF0013"/>
    <w:rsid w:val="00DF04A8"/>
    <w:rsid w:val="00DF1E49"/>
    <w:rsid w:val="00DF3303"/>
    <w:rsid w:val="00DF49EA"/>
    <w:rsid w:val="00DF58F5"/>
    <w:rsid w:val="00DF7C04"/>
    <w:rsid w:val="00E0061D"/>
    <w:rsid w:val="00E0142A"/>
    <w:rsid w:val="00E01E31"/>
    <w:rsid w:val="00E025C9"/>
    <w:rsid w:val="00E04126"/>
    <w:rsid w:val="00E04A3E"/>
    <w:rsid w:val="00E050E8"/>
    <w:rsid w:val="00E067FD"/>
    <w:rsid w:val="00E06BA0"/>
    <w:rsid w:val="00E0786D"/>
    <w:rsid w:val="00E07EFF"/>
    <w:rsid w:val="00E11A18"/>
    <w:rsid w:val="00E131D9"/>
    <w:rsid w:val="00E13EE3"/>
    <w:rsid w:val="00E1490C"/>
    <w:rsid w:val="00E1512A"/>
    <w:rsid w:val="00E15C4F"/>
    <w:rsid w:val="00E16AEB"/>
    <w:rsid w:val="00E17AB6"/>
    <w:rsid w:val="00E17CA3"/>
    <w:rsid w:val="00E2018F"/>
    <w:rsid w:val="00E20B44"/>
    <w:rsid w:val="00E22ABF"/>
    <w:rsid w:val="00E25C4E"/>
    <w:rsid w:val="00E264C2"/>
    <w:rsid w:val="00E305E5"/>
    <w:rsid w:val="00E31185"/>
    <w:rsid w:val="00E31DBD"/>
    <w:rsid w:val="00E33527"/>
    <w:rsid w:val="00E34920"/>
    <w:rsid w:val="00E35AE2"/>
    <w:rsid w:val="00E40258"/>
    <w:rsid w:val="00E42A79"/>
    <w:rsid w:val="00E43B22"/>
    <w:rsid w:val="00E445C4"/>
    <w:rsid w:val="00E447A2"/>
    <w:rsid w:val="00E453D7"/>
    <w:rsid w:val="00E4566B"/>
    <w:rsid w:val="00E4778A"/>
    <w:rsid w:val="00E52E98"/>
    <w:rsid w:val="00E533A0"/>
    <w:rsid w:val="00E53CA6"/>
    <w:rsid w:val="00E5486B"/>
    <w:rsid w:val="00E5590A"/>
    <w:rsid w:val="00E56CD0"/>
    <w:rsid w:val="00E573CD"/>
    <w:rsid w:val="00E57C3C"/>
    <w:rsid w:val="00E600BE"/>
    <w:rsid w:val="00E60209"/>
    <w:rsid w:val="00E6139F"/>
    <w:rsid w:val="00E61455"/>
    <w:rsid w:val="00E61AAA"/>
    <w:rsid w:val="00E61F5C"/>
    <w:rsid w:val="00E620F8"/>
    <w:rsid w:val="00E622C0"/>
    <w:rsid w:val="00E62339"/>
    <w:rsid w:val="00E637D5"/>
    <w:rsid w:val="00E66CDD"/>
    <w:rsid w:val="00E724F8"/>
    <w:rsid w:val="00E738AE"/>
    <w:rsid w:val="00E747A3"/>
    <w:rsid w:val="00E74B6C"/>
    <w:rsid w:val="00E74D38"/>
    <w:rsid w:val="00E766F3"/>
    <w:rsid w:val="00E7737D"/>
    <w:rsid w:val="00E8138B"/>
    <w:rsid w:val="00E82545"/>
    <w:rsid w:val="00E834FC"/>
    <w:rsid w:val="00E839BA"/>
    <w:rsid w:val="00E839EA"/>
    <w:rsid w:val="00E83C08"/>
    <w:rsid w:val="00E83E14"/>
    <w:rsid w:val="00E85E79"/>
    <w:rsid w:val="00E86841"/>
    <w:rsid w:val="00E8776B"/>
    <w:rsid w:val="00E90323"/>
    <w:rsid w:val="00E90DC2"/>
    <w:rsid w:val="00E91E9C"/>
    <w:rsid w:val="00E9372A"/>
    <w:rsid w:val="00E94300"/>
    <w:rsid w:val="00E95B2D"/>
    <w:rsid w:val="00E96FF3"/>
    <w:rsid w:val="00E9758F"/>
    <w:rsid w:val="00EA053D"/>
    <w:rsid w:val="00EA178C"/>
    <w:rsid w:val="00EA17DD"/>
    <w:rsid w:val="00EA2DC3"/>
    <w:rsid w:val="00EA35F8"/>
    <w:rsid w:val="00EA58DF"/>
    <w:rsid w:val="00EA7321"/>
    <w:rsid w:val="00EB05FA"/>
    <w:rsid w:val="00EB2FE8"/>
    <w:rsid w:val="00EB4BF4"/>
    <w:rsid w:val="00EB4EA6"/>
    <w:rsid w:val="00EB5050"/>
    <w:rsid w:val="00EB5D65"/>
    <w:rsid w:val="00EB62FB"/>
    <w:rsid w:val="00EB67B8"/>
    <w:rsid w:val="00EB6824"/>
    <w:rsid w:val="00EB7043"/>
    <w:rsid w:val="00EC2B97"/>
    <w:rsid w:val="00EC3451"/>
    <w:rsid w:val="00EC398D"/>
    <w:rsid w:val="00EC4EED"/>
    <w:rsid w:val="00EC715B"/>
    <w:rsid w:val="00EC756F"/>
    <w:rsid w:val="00EC7E1E"/>
    <w:rsid w:val="00EC7FDD"/>
    <w:rsid w:val="00ED0635"/>
    <w:rsid w:val="00ED112E"/>
    <w:rsid w:val="00ED28E6"/>
    <w:rsid w:val="00ED5DE1"/>
    <w:rsid w:val="00ED5F2A"/>
    <w:rsid w:val="00ED6246"/>
    <w:rsid w:val="00ED6EC6"/>
    <w:rsid w:val="00EE09D0"/>
    <w:rsid w:val="00EE0DD5"/>
    <w:rsid w:val="00EE15B9"/>
    <w:rsid w:val="00EE2047"/>
    <w:rsid w:val="00EE211C"/>
    <w:rsid w:val="00EE3340"/>
    <w:rsid w:val="00EE3736"/>
    <w:rsid w:val="00EE4FA2"/>
    <w:rsid w:val="00EE50D5"/>
    <w:rsid w:val="00EE525D"/>
    <w:rsid w:val="00EE5656"/>
    <w:rsid w:val="00EE5C6B"/>
    <w:rsid w:val="00EE5E44"/>
    <w:rsid w:val="00EE66F3"/>
    <w:rsid w:val="00EE7402"/>
    <w:rsid w:val="00EE7DE9"/>
    <w:rsid w:val="00EF246D"/>
    <w:rsid w:val="00EF25F3"/>
    <w:rsid w:val="00EF2E7D"/>
    <w:rsid w:val="00EF4D41"/>
    <w:rsid w:val="00EF586B"/>
    <w:rsid w:val="00EF5B8F"/>
    <w:rsid w:val="00EF64CC"/>
    <w:rsid w:val="00F02EB5"/>
    <w:rsid w:val="00F05025"/>
    <w:rsid w:val="00F0517E"/>
    <w:rsid w:val="00F0553F"/>
    <w:rsid w:val="00F0588C"/>
    <w:rsid w:val="00F0698E"/>
    <w:rsid w:val="00F06A20"/>
    <w:rsid w:val="00F077ED"/>
    <w:rsid w:val="00F12A86"/>
    <w:rsid w:val="00F13004"/>
    <w:rsid w:val="00F147C6"/>
    <w:rsid w:val="00F14E87"/>
    <w:rsid w:val="00F14F5D"/>
    <w:rsid w:val="00F15B3C"/>
    <w:rsid w:val="00F16857"/>
    <w:rsid w:val="00F20D56"/>
    <w:rsid w:val="00F216C6"/>
    <w:rsid w:val="00F2184F"/>
    <w:rsid w:val="00F250A1"/>
    <w:rsid w:val="00F25FB1"/>
    <w:rsid w:val="00F268D4"/>
    <w:rsid w:val="00F27EE5"/>
    <w:rsid w:val="00F30F1E"/>
    <w:rsid w:val="00F31486"/>
    <w:rsid w:val="00F31571"/>
    <w:rsid w:val="00F32630"/>
    <w:rsid w:val="00F32792"/>
    <w:rsid w:val="00F33FF9"/>
    <w:rsid w:val="00F34A51"/>
    <w:rsid w:val="00F36086"/>
    <w:rsid w:val="00F3726B"/>
    <w:rsid w:val="00F3790B"/>
    <w:rsid w:val="00F40840"/>
    <w:rsid w:val="00F41348"/>
    <w:rsid w:val="00F42DD9"/>
    <w:rsid w:val="00F43166"/>
    <w:rsid w:val="00F439BC"/>
    <w:rsid w:val="00F44710"/>
    <w:rsid w:val="00F44EF3"/>
    <w:rsid w:val="00F4698B"/>
    <w:rsid w:val="00F46B2B"/>
    <w:rsid w:val="00F47347"/>
    <w:rsid w:val="00F5193E"/>
    <w:rsid w:val="00F5364B"/>
    <w:rsid w:val="00F53902"/>
    <w:rsid w:val="00F54227"/>
    <w:rsid w:val="00F5746C"/>
    <w:rsid w:val="00F577A1"/>
    <w:rsid w:val="00F57A23"/>
    <w:rsid w:val="00F57F7D"/>
    <w:rsid w:val="00F603F6"/>
    <w:rsid w:val="00F609FF"/>
    <w:rsid w:val="00F61C80"/>
    <w:rsid w:val="00F62678"/>
    <w:rsid w:val="00F62A87"/>
    <w:rsid w:val="00F62C13"/>
    <w:rsid w:val="00F63A80"/>
    <w:rsid w:val="00F63B73"/>
    <w:rsid w:val="00F63D92"/>
    <w:rsid w:val="00F65179"/>
    <w:rsid w:val="00F65D63"/>
    <w:rsid w:val="00F66980"/>
    <w:rsid w:val="00F67498"/>
    <w:rsid w:val="00F67976"/>
    <w:rsid w:val="00F7116A"/>
    <w:rsid w:val="00F71199"/>
    <w:rsid w:val="00F7171F"/>
    <w:rsid w:val="00F71A99"/>
    <w:rsid w:val="00F71C27"/>
    <w:rsid w:val="00F73612"/>
    <w:rsid w:val="00F736F2"/>
    <w:rsid w:val="00F76032"/>
    <w:rsid w:val="00F80B17"/>
    <w:rsid w:val="00F80F74"/>
    <w:rsid w:val="00F81673"/>
    <w:rsid w:val="00F82592"/>
    <w:rsid w:val="00F82B0A"/>
    <w:rsid w:val="00F82BD0"/>
    <w:rsid w:val="00F837D7"/>
    <w:rsid w:val="00F8393B"/>
    <w:rsid w:val="00F8548D"/>
    <w:rsid w:val="00F859C6"/>
    <w:rsid w:val="00F87E2F"/>
    <w:rsid w:val="00F9085C"/>
    <w:rsid w:val="00F91107"/>
    <w:rsid w:val="00F9132A"/>
    <w:rsid w:val="00F917D3"/>
    <w:rsid w:val="00F91E49"/>
    <w:rsid w:val="00F92346"/>
    <w:rsid w:val="00F92F06"/>
    <w:rsid w:val="00F9469E"/>
    <w:rsid w:val="00F950E0"/>
    <w:rsid w:val="00F950F2"/>
    <w:rsid w:val="00F9617F"/>
    <w:rsid w:val="00F9792B"/>
    <w:rsid w:val="00FA282C"/>
    <w:rsid w:val="00FA28BE"/>
    <w:rsid w:val="00FA488C"/>
    <w:rsid w:val="00FA6952"/>
    <w:rsid w:val="00FA72AF"/>
    <w:rsid w:val="00FA76BE"/>
    <w:rsid w:val="00FB1481"/>
    <w:rsid w:val="00FB20C5"/>
    <w:rsid w:val="00FB28A1"/>
    <w:rsid w:val="00FB2DD9"/>
    <w:rsid w:val="00FB335C"/>
    <w:rsid w:val="00FB50C3"/>
    <w:rsid w:val="00FB5889"/>
    <w:rsid w:val="00FB63C7"/>
    <w:rsid w:val="00FB6AA0"/>
    <w:rsid w:val="00FB717B"/>
    <w:rsid w:val="00FB7FD6"/>
    <w:rsid w:val="00FC1E5E"/>
    <w:rsid w:val="00FC2AA0"/>
    <w:rsid w:val="00FC2E44"/>
    <w:rsid w:val="00FC34D1"/>
    <w:rsid w:val="00FC3D98"/>
    <w:rsid w:val="00FC5148"/>
    <w:rsid w:val="00FC531E"/>
    <w:rsid w:val="00FC557C"/>
    <w:rsid w:val="00FC5924"/>
    <w:rsid w:val="00FC6E54"/>
    <w:rsid w:val="00FC7A9D"/>
    <w:rsid w:val="00FC7B68"/>
    <w:rsid w:val="00FD023D"/>
    <w:rsid w:val="00FD03F5"/>
    <w:rsid w:val="00FD129B"/>
    <w:rsid w:val="00FD2B6B"/>
    <w:rsid w:val="00FD383D"/>
    <w:rsid w:val="00FD4833"/>
    <w:rsid w:val="00FD4B5D"/>
    <w:rsid w:val="00FD4EAB"/>
    <w:rsid w:val="00FD4F5E"/>
    <w:rsid w:val="00FD55CC"/>
    <w:rsid w:val="00FD586B"/>
    <w:rsid w:val="00FD5B97"/>
    <w:rsid w:val="00FD5F41"/>
    <w:rsid w:val="00FD6A9D"/>
    <w:rsid w:val="00FE0F23"/>
    <w:rsid w:val="00FE148E"/>
    <w:rsid w:val="00FE1F0C"/>
    <w:rsid w:val="00FE2B4B"/>
    <w:rsid w:val="00FE34E8"/>
    <w:rsid w:val="00FE49E1"/>
    <w:rsid w:val="00FE4BDF"/>
    <w:rsid w:val="00FE5F77"/>
    <w:rsid w:val="00FF01D4"/>
    <w:rsid w:val="00FF088E"/>
    <w:rsid w:val="00FF1A98"/>
    <w:rsid w:val="00FF27F0"/>
    <w:rsid w:val="00FF2E0B"/>
    <w:rsid w:val="00FF3EDB"/>
    <w:rsid w:val="00FF417A"/>
    <w:rsid w:val="00FF45F7"/>
    <w:rsid w:val="00FF5B6C"/>
    <w:rsid w:val="00FF7C2E"/>
    <w:rsid w:val="00FF7C64"/>
    <w:rsid w:val="00FF7F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EB"/>
    <w:pPr>
      <w:jc w:val="both"/>
    </w:pPr>
    <w:rPr>
      <w:rFonts w:ascii="Times New Roman" w:hAnsi="Times New Roman"/>
    </w:rPr>
  </w:style>
  <w:style w:type="paragraph" w:styleId="Heading1">
    <w:name w:val="heading 1"/>
    <w:basedOn w:val="Normal"/>
    <w:next w:val="Normal"/>
    <w:link w:val="Heading1Char"/>
    <w:qFormat/>
    <w:pPr>
      <w:keepNext/>
      <w:pageBreakBefore/>
      <w:numPr>
        <w:numId w:val="3"/>
      </w:numPr>
      <w:spacing w:before="240" w:after="240"/>
      <w:jc w:val="left"/>
      <w:outlineLvl w:val="0"/>
    </w:pPr>
    <w:rPr>
      <w:rFonts w:ascii="Arial" w:hAnsi="Arial"/>
      <w:b/>
      <w:sz w:val="36"/>
    </w:rPr>
  </w:style>
  <w:style w:type="paragraph" w:styleId="Heading2">
    <w:name w:val="heading 2"/>
    <w:aliases w:val="D&amp;M Heading 2"/>
    <w:basedOn w:val="Normal"/>
    <w:next w:val="Normal"/>
    <w:link w:val="Heading2Char"/>
    <w:qFormat/>
    <w:pPr>
      <w:keepNext/>
      <w:numPr>
        <w:ilvl w:val="1"/>
        <w:numId w:val="3"/>
      </w:numPr>
      <w:tabs>
        <w:tab w:val="left" w:pos="709"/>
      </w:tabs>
      <w:spacing w:before="120" w:after="60"/>
      <w:jc w:val="left"/>
      <w:outlineLvl w:val="1"/>
    </w:pPr>
    <w:rPr>
      <w:rFonts w:ascii="Arial" w:hAnsi="Arial"/>
      <w:b/>
      <w:sz w:val="28"/>
    </w:rPr>
  </w:style>
  <w:style w:type="paragraph" w:styleId="Heading3">
    <w:name w:val="heading 3"/>
    <w:basedOn w:val="Normal"/>
    <w:next w:val="Normal"/>
    <w:link w:val="Heading3Char"/>
    <w:qFormat/>
    <w:pPr>
      <w:keepNext/>
      <w:numPr>
        <w:ilvl w:val="2"/>
        <w:numId w:val="3"/>
      </w:numPr>
      <w:spacing w:before="120" w:after="60"/>
      <w:jc w:val="left"/>
      <w:outlineLvl w:val="2"/>
    </w:pPr>
    <w:rPr>
      <w:rFonts w:ascii="Arial" w:hAnsi="Arial"/>
      <w:b/>
    </w:rPr>
  </w:style>
  <w:style w:type="paragraph" w:styleId="Heading4">
    <w:name w:val="heading 4"/>
    <w:basedOn w:val="Normal"/>
    <w:next w:val="Normal"/>
    <w:link w:val="Heading4Char"/>
    <w:autoRedefine/>
    <w:qFormat/>
    <w:pPr>
      <w:keepNext/>
      <w:numPr>
        <w:ilvl w:val="3"/>
        <w:numId w:val="3"/>
      </w:numPr>
      <w:spacing w:after="120"/>
      <w:jc w:val="left"/>
      <w:outlineLvl w:val="3"/>
    </w:pPr>
    <w:rPr>
      <w:b/>
    </w:rPr>
  </w:style>
  <w:style w:type="paragraph" w:styleId="Heading5">
    <w:name w:val="heading 5"/>
    <w:basedOn w:val="Normal"/>
    <w:next w:val="Normal"/>
    <w:link w:val="Heading5Char"/>
    <w:qFormat/>
    <w:pPr>
      <w:keepNext/>
      <w:numPr>
        <w:ilvl w:val="4"/>
        <w:numId w:val="3"/>
      </w:numPr>
      <w:spacing w:after="240"/>
      <w:jc w:val="left"/>
      <w:outlineLvl w:val="4"/>
    </w:pPr>
    <w:rPr>
      <w:b/>
    </w:rPr>
  </w:style>
  <w:style w:type="paragraph" w:styleId="Heading6">
    <w:name w:val="heading 6"/>
    <w:basedOn w:val="Normal"/>
    <w:next w:val="Normal"/>
    <w:link w:val="Heading6Char"/>
    <w:qFormat/>
    <w:pPr>
      <w:keepNext/>
      <w:numPr>
        <w:ilvl w:val="5"/>
        <w:numId w:val="3"/>
      </w:numPr>
      <w:spacing w:after="240"/>
      <w:jc w:val="left"/>
      <w:outlineLvl w:val="5"/>
    </w:pPr>
    <w:rPr>
      <w:b/>
    </w:rPr>
  </w:style>
  <w:style w:type="paragraph" w:styleId="Heading7">
    <w:name w:val="heading 7"/>
    <w:basedOn w:val="Normal"/>
    <w:next w:val="Normal"/>
    <w:link w:val="Heading7Char"/>
    <w:qFormat/>
    <w:pPr>
      <w:keepNext/>
      <w:numPr>
        <w:ilvl w:val="6"/>
        <w:numId w:val="3"/>
      </w:numPr>
      <w:spacing w:after="240"/>
      <w:jc w:val="left"/>
      <w:outlineLvl w:val="6"/>
    </w:pPr>
    <w:rPr>
      <w:b/>
    </w:rPr>
  </w:style>
  <w:style w:type="paragraph" w:styleId="Heading8">
    <w:name w:val="heading 8"/>
    <w:basedOn w:val="Normal"/>
    <w:next w:val="Normal"/>
    <w:link w:val="Heading8Char"/>
    <w:qFormat/>
    <w:pPr>
      <w:keepNext/>
      <w:numPr>
        <w:ilvl w:val="7"/>
        <w:numId w:val="3"/>
      </w:numPr>
      <w:spacing w:after="240"/>
      <w:jc w:val="left"/>
      <w:outlineLvl w:val="7"/>
    </w:pPr>
    <w:rPr>
      <w:b/>
    </w:rPr>
  </w:style>
  <w:style w:type="paragraph" w:styleId="Heading9">
    <w:name w:val="heading 9"/>
    <w:basedOn w:val="Normal"/>
    <w:next w:val="Normal"/>
    <w:link w:val="Heading9Char"/>
    <w:qFormat/>
    <w:pPr>
      <w:keepNext/>
      <w:numPr>
        <w:ilvl w:val="8"/>
        <w:numId w:val="3"/>
      </w:numPr>
      <w:spacing w:after="240"/>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right" w:pos="8647"/>
      </w:tabs>
      <w:spacing w:before="240" w:after="60"/>
      <w:ind w:left="432" w:hanging="432"/>
      <w:jc w:val="left"/>
    </w:pPr>
    <w:rPr>
      <w:rFonts w:ascii="Arial" w:hAnsi="Arial"/>
      <w:b/>
    </w:rPr>
  </w:style>
  <w:style w:type="paragraph" w:styleId="TOC2">
    <w:name w:val="toc 2"/>
    <w:basedOn w:val="Normal"/>
    <w:next w:val="Normal"/>
    <w:semiHidden/>
    <w:pPr>
      <w:tabs>
        <w:tab w:val="right" w:leader="dot" w:pos="8647"/>
      </w:tabs>
      <w:ind w:left="992" w:hanging="561"/>
      <w:jc w:val="left"/>
    </w:pPr>
    <w:rPr>
      <w:rFonts w:ascii="Arial" w:hAnsi="Arial"/>
    </w:rPr>
  </w:style>
  <w:style w:type="paragraph" w:styleId="TOC3">
    <w:name w:val="toc 3"/>
    <w:basedOn w:val="Normal"/>
    <w:next w:val="Normal"/>
    <w:semiHidden/>
    <w:pPr>
      <w:tabs>
        <w:tab w:val="right" w:leader="dot" w:pos="8647"/>
      </w:tabs>
      <w:ind w:left="1440" w:hanging="576"/>
      <w:jc w:val="left"/>
    </w:pPr>
    <w:rPr>
      <w:rFonts w:ascii="Arial" w:hAnsi="Arial"/>
    </w:rPr>
  </w:style>
  <w:style w:type="character" w:styleId="PageNumber">
    <w:name w:val="page number"/>
    <w:basedOn w:val="DefaultParagraphFont"/>
  </w:style>
  <w:style w:type="paragraph" w:styleId="TOC4">
    <w:name w:val="toc 4"/>
    <w:basedOn w:val="Normal"/>
    <w:next w:val="Normal"/>
    <w:semiHidden/>
    <w:pPr>
      <w:tabs>
        <w:tab w:val="right" w:leader="dot" w:pos="9029"/>
      </w:tabs>
      <w:ind w:left="1728" w:hanging="432"/>
      <w:jc w:val="left"/>
    </w:pPr>
  </w:style>
  <w:style w:type="paragraph" w:styleId="TableofFigures">
    <w:name w:val="table of figures"/>
    <w:basedOn w:val="TOC1"/>
    <w:next w:val="Normal"/>
    <w:uiPriority w:val="99"/>
    <w:pPr>
      <w:tabs>
        <w:tab w:val="right" w:leader="dot" w:pos="8647"/>
      </w:tabs>
      <w:ind w:left="1440" w:hanging="1440"/>
    </w:pPr>
    <w:rPr>
      <w:b w:val="0"/>
    </w:rPr>
  </w:style>
  <w:style w:type="paragraph" w:styleId="ListBullet">
    <w:name w:val="List Bullet"/>
    <w:aliases w:val="List Bullet Char1,List Bullet Char Char,List Bullet Char2 Char Char,List Bullet Char Char1 Char Char,list letter Char Char Char1 Char Char,list letter Char1 Char1 Char Char,List Bullet Char Char Char Char Char,list letter Char,list letter"/>
    <w:basedOn w:val="Normal"/>
    <w:next w:val="Normal"/>
    <w:link w:val="ListBulletChar"/>
    <w:pPr>
      <w:numPr>
        <w:numId w:val="1"/>
      </w:numPr>
    </w:pPr>
  </w:style>
  <w:style w:type="paragraph" w:styleId="ListBullet2">
    <w:name w:val="List Bullet 2"/>
    <w:basedOn w:val="Normal"/>
    <w:next w:val="Normal"/>
    <w:autoRedefine/>
    <w:pPr>
      <w:numPr>
        <w:numId w:val="2"/>
      </w:numPr>
      <w:spacing w:after="80"/>
    </w:pPr>
  </w:style>
  <w:style w:type="character" w:styleId="EndnoteReference">
    <w:name w:val="endnote reference"/>
    <w:basedOn w:val="DefaultParagraphFont"/>
    <w:semiHidden/>
    <w:rPr>
      <w:vertAlign w:val="superscript"/>
    </w:rPr>
  </w:style>
  <w:style w:type="paragraph" w:customStyle="1" w:styleId="Title-FIGURE">
    <w:name w:val="Title - FIGURE"/>
    <w:basedOn w:val="Normal"/>
    <w:next w:val="Normal"/>
    <w:rsid w:val="00F92346"/>
    <w:pPr>
      <w:keepNext/>
    </w:pPr>
    <w:rPr>
      <w:b/>
    </w:rPr>
  </w:style>
  <w:style w:type="paragraph" w:styleId="Header">
    <w:name w:val="header"/>
    <w:basedOn w:val="Normal"/>
    <w:link w:val="HeaderChar"/>
    <w:pPr>
      <w:tabs>
        <w:tab w:val="right" w:pos="9029"/>
      </w:tabs>
    </w:pPr>
  </w:style>
  <w:style w:type="paragraph" w:styleId="Footer">
    <w:name w:val="footer"/>
    <w:basedOn w:val="Normal"/>
    <w:link w:val="FooterChar"/>
    <w:pPr>
      <w:tabs>
        <w:tab w:val="left" w:pos="576"/>
        <w:tab w:val="right" w:pos="9029"/>
      </w:tabs>
    </w:pPr>
  </w:style>
  <w:style w:type="character" w:styleId="FootnoteReference">
    <w:name w:val="footnote reference"/>
    <w:aliases w:val="ftref"/>
    <w:basedOn w:val="DefaultParagraphFont"/>
    <w:semiHidden/>
    <w:rPr>
      <w:vertAlign w:val="superscript"/>
    </w:rPr>
  </w:style>
  <w:style w:type="paragraph" w:styleId="FootnoteText">
    <w:name w:val="footnote text"/>
    <w:aliases w:val="Footnote Text Char, Char Char, Char,ft,single space,footnote text,fn,Footnote Text Char Char Char Char,Char Char,Char"/>
    <w:basedOn w:val="Normal"/>
    <w:link w:val="FootnoteTextChar1"/>
    <w:semiHidden/>
    <w:pPr>
      <w:spacing w:after="120"/>
      <w:ind w:left="720" w:hanging="720"/>
    </w:pPr>
    <w:rPr>
      <w:sz w:val="20"/>
    </w:rPr>
  </w:style>
  <w:style w:type="paragraph" w:styleId="BodyText2">
    <w:name w:val="Body Text 2"/>
    <w:basedOn w:val="Normal"/>
    <w:link w:val="BodyText2Char"/>
    <w:pPr>
      <w:jc w:val="center"/>
    </w:pPr>
    <w:rPr>
      <w:rFonts w:ascii="Tahoma" w:hAnsi="Tahoma"/>
      <w:b/>
      <w:i/>
      <w:vanish/>
      <w:color w:val="FF0000"/>
    </w:rPr>
  </w:style>
  <w:style w:type="paragraph" w:styleId="Title">
    <w:name w:val="Title"/>
    <w:basedOn w:val="Normal"/>
    <w:qFormat/>
    <w:pPr>
      <w:jc w:val="center"/>
    </w:pPr>
    <w:rPr>
      <w:b/>
      <w:color w:val="000080"/>
      <w:lang w:val="en-US"/>
    </w:rPr>
  </w:style>
  <w:style w:type="paragraph" w:styleId="BodyTextIndent">
    <w:name w:val="Body Text Indent"/>
    <w:basedOn w:val="Normal"/>
    <w:link w:val="BodyTextIndentChar"/>
    <w:pPr>
      <w:ind w:left="720"/>
    </w:pPr>
    <w:rPr>
      <w:color w:val="FF00FF"/>
      <w:lang w:val="en-US"/>
    </w:rPr>
  </w:style>
  <w:style w:type="paragraph" w:styleId="BodyTextIndent2">
    <w:name w:val="Body Text Indent 2"/>
    <w:basedOn w:val="Normal"/>
    <w:pPr>
      <w:ind w:left="3828"/>
      <w:jc w:val="right"/>
    </w:pPr>
    <w:rPr>
      <w:rFonts w:ascii="Arial" w:hAnsi="Arial"/>
      <w:b/>
      <w:sz w:val="44"/>
    </w:rPr>
  </w:style>
  <w:style w:type="paragraph" w:styleId="Caption">
    <w:name w:val="caption"/>
    <w:basedOn w:val="Normal"/>
    <w:next w:val="Normal"/>
    <w:qFormat/>
    <w:pPr>
      <w:spacing w:before="120" w:after="120"/>
      <w:jc w:val="left"/>
    </w:pPr>
    <w:rPr>
      <w:rFonts w:ascii="Arial" w:hAnsi="Arial"/>
      <w:b/>
    </w:rPr>
  </w:style>
  <w:style w:type="paragraph" w:customStyle="1" w:styleId="Title-TABLE">
    <w:name w:val="Title - TABLE"/>
    <w:basedOn w:val="Normal"/>
    <w:next w:val="Normal"/>
    <w:pPr>
      <w:keepNext/>
      <w:spacing w:after="240"/>
      <w:jc w:val="center"/>
    </w:pPr>
    <w:rPr>
      <w:b/>
    </w:rPr>
  </w:style>
  <w:style w:type="paragraph" w:styleId="DocumentMap">
    <w:name w:val="Document Map"/>
    <w:basedOn w:val="Normal"/>
    <w:link w:val="DocumentMapChar"/>
    <w:semiHidden/>
    <w:pPr>
      <w:shd w:val="clear" w:color="auto" w:fill="000080"/>
    </w:pPr>
    <w:rPr>
      <w:rFonts w:ascii="Tahoma" w:hAnsi="Tahoma"/>
    </w:rPr>
  </w:style>
  <w:style w:type="paragraph" w:styleId="BodyText">
    <w:name w:val="Body Text"/>
    <w:aliases w:val="(Alt+1),BodyText,body,text,Body,bt"/>
    <w:basedOn w:val="Normal"/>
    <w:link w:val="BodyTextChar"/>
    <w:pPr>
      <w:spacing w:after="240"/>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pPr>
      <w:spacing w:line="300" w:lineRule="auto"/>
    </w:pPr>
    <w:rPr>
      <w:sz w:val="22"/>
      <w:lang w:val="en-US"/>
    </w:rPr>
  </w:style>
  <w:style w:type="character" w:styleId="Hyperlink">
    <w:name w:val="Hyperlink"/>
    <w:basedOn w:val="DefaultParagraphFont"/>
    <w:uiPriority w:val="99"/>
    <w:rPr>
      <w:color w:val="0000FF"/>
      <w:u w:val="single"/>
    </w:rPr>
  </w:style>
  <w:style w:type="paragraph" w:customStyle="1" w:styleId="CoverMasthead">
    <w:name w:val="Cover Masthead"/>
    <w:basedOn w:val="BodyText"/>
    <w:pPr>
      <w:spacing w:before="100" w:after="100"/>
      <w:jc w:val="left"/>
    </w:pPr>
    <w:rPr>
      <w:rFonts w:ascii="Arial Black" w:hAnsi="Arial Black"/>
      <w:caps/>
      <w:spacing w:val="80"/>
      <w:sz w:val="28"/>
    </w:rPr>
  </w:style>
  <w:style w:type="paragraph" w:customStyle="1" w:styleId="CoverTitle">
    <w:name w:val="Cover Title"/>
    <w:basedOn w:val="BodyText"/>
    <w:pPr>
      <w:spacing w:before="100" w:after="0"/>
      <w:jc w:val="left"/>
    </w:pPr>
    <w:rPr>
      <w:rFonts w:ascii="Arial" w:hAnsi="Arial"/>
      <w:sz w:val="36"/>
    </w:rPr>
  </w:style>
  <w:style w:type="paragraph" w:customStyle="1" w:styleId="CoverCompany">
    <w:name w:val="Cover Company"/>
    <w:basedOn w:val="BodyText"/>
    <w:pPr>
      <w:spacing w:before="100" w:after="100"/>
      <w:jc w:val="left"/>
    </w:pPr>
    <w:rPr>
      <w:rFonts w:ascii="Arial" w:hAnsi="Arial"/>
      <w:b/>
      <w:sz w:val="28"/>
    </w:rPr>
  </w:style>
  <w:style w:type="paragraph" w:customStyle="1" w:styleId="CoverAddress">
    <w:name w:val="Cover Address"/>
    <w:basedOn w:val="BodyText"/>
    <w:pPr>
      <w:spacing w:after="0"/>
      <w:jc w:val="left"/>
    </w:pPr>
    <w:rPr>
      <w:rFonts w:ascii="Arial" w:hAnsi="Arial"/>
      <w:sz w:val="18"/>
    </w:rPr>
  </w:style>
  <w:style w:type="paragraph" w:customStyle="1" w:styleId="CoverDoc">
    <w:name w:val="Cover Doc"/>
    <w:basedOn w:val="BodyText"/>
    <w:pPr>
      <w:spacing w:before="100" w:after="100"/>
      <w:jc w:val="left"/>
    </w:pPr>
    <w:rPr>
      <w:rFonts w:ascii="Arial" w:hAnsi="Arial"/>
      <w:caps/>
      <w:sz w:val="18"/>
    </w:rPr>
  </w:style>
  <w:style w:type="paragraph" w:customStyle="1" w:styleId="KLNormal">
    <w:name w:val="KL Normal"/>
    <w:basedOn w:val="Normal"/>
  </w:style>
  <w:style w:type="paragraph" w:customStyle="1" w:styleId="TOCHeading">
    <w:name w:val="TOCHeading"/>
    <w:basedOn w:val="Normal"/>
    <w:pPr>
      <w:spacing w:line="288" w:lineRule="auto"/>
      <w:jc w:val="left"/>
    </w:pPr>
    <w:rPr>
      <w:rFonts w:ascii="Arial Black" w:hAnsi="Arial Black"/>
      <w:sz w:val="32"/>
    </w:rPr>
  </w:style>
  <w:style w:type="paragraph" w:customStyle="1" w:styleId="Tabletext">
    <w:name w:val="Table text"/>
    <w:basedOn w:val="BodyText"/>
    <w:pPr>
      <w:keepNext/>
      <w:spacing w:after="0"/>
      <w:jc w:val="left"/>
    </w:pPr>
    <w:rPr>
      <w:sz w:val="20"/>
      <w:lang w:val="en-GB"/>
    </w:rPr>
  </w:style>
  <w:style w:type="paragraph" w:styleId="BodyText3">
    <w:name w:val="Body Text 3"/>
    <w:basedOn w:val="Normal"/>
    <w:link w:val="BodyText3Char"/>
    <w:pPr>
      <w:spacing w:before="240"/>
    </w:pPr>
    <w:rPr>
      <w:color w:val="000000"/>
      <w:sz w:val="18"/>
    </w:rPr>
  </w:style>
  <w:style w:type="paragraph" w:customStyle="1" w:styleId="CharCharCharCharCharCharCharCharCharCharCharCharCharCharCharCharChar">
    <w:name w:val="Char Char Char (文字) (文字) Char Char Char Char (文字) (文字) Char Char Char (文字) (文字) Char Char Char Char Char Char Char"/>
    <w:basedOn w:val="Normal"/>
    <w:rsid w:val="00676EBD"/>
    <w:pPr>
      <w:spacing w:after="160" w:line="240" w:lineRule="exact"/>
      <w:jc w:val="left"/>
    </w:pPr>
    <w:rPr>
      <w:rFonts w:ascii="Arial" w:hAnsi="Arial" w:cs="Arial"/>
      <w:sz w:val="20"/>
      <w:lang w:val="en-US"/>
    </w:rPr>
  </w:style>
  <w:style w:type="paragraph" w:styleId="NoSpacing">
    <w:name w:val="No Spacing"/>
    <w:qFormat/>
    <w:rsid w:val="00676EBD"/>
    <w:rPr>
      <w:rFonts w:ascii="Calibri" w:eastAsia="Calibri" w:hAnsi="Calibri"/>
      <w:sz w:val="22"/>
      <w:szCs w:val="22"/>
      <w:lang w:eastAsia="en-US"/>
    </w:rPr>
  </w:style>
  <w:style w:type="paragraph" w:customStyle="1" w:styleId="ListParagraph1">
    <w:name w:val="List Paragraph1"/>
    <w:aliases w:val="AusAID List Paragraph"/>
    <w:basedOn w:val="Normal"/>
    <w:uiPriority w:val="34"/>
    <w:qFormat/>
    <w:rsid w:val="00676EBD"/>
    <w:pPr>
      <w:spacing w:before="600" w:after="80"/>
      <w:ind w:left="720"/>
      <w:contextualSpacing/>
      <w:jc w:val="left"/>
    </w:pPr>
    <w:rPr>
      <w:rFonts w:ascii="Calibri" w:eastAsia="Calibri" w:hAnsi="Calibri"/>
      <w:sz w:val="22"/>
      <w:szCs w:val="22"/>
    </w:rPr>
  </w:style>
  <w:style w:type="character" w:customStyle="1" w:styleId="FootnoteTextChar1">
    <w:name w:val="Footnote Text Char1"/>
    <w:aliases w:val="Footnote Text Char Char, Char Char Char, Char Char1,ft Char,single space Char,footnote text Char,fn Char,Footnote Text Char Char Char Char Char,Char Char Char,Char Char1"/>
    <w:basedOn w:val="DefaultParagraphFont"/>
    <w:link w:val="FootnoteText"/>
    <w:semiHidden/>
    <w:rsid w:val="00676EBD"/>
    <w:rPr>
      <w:lang w:val="en-AU" w:eastAsia="en-US" w:bidi="ar-SA"/>
    </w:rPr>
  </w:style>
  <w:style w:type="paragraph" w:customStyle="1" w:styleId="Bullet">
    <w:name w:val="Bullet"/>
    <w:basedOn w:val="Normal"/>
    <w:rsid w:val="00676EBD"/>
    <w:pPr>
      <w:numPr>
        <w:numId w:val="4"/>
      </w:numPr>
      <w:spacing w:after="240" w:line="320" w:lineRule="exact"/>
      <w:jc w:val="left"/>
    </w:pPr>
    <w:rPr>
      <w:rFonts w:ascii="Palatino" w:hAnsi="Palatino"/>
      <w:color w:val="000000"/>
      <w:sz w:val="22"/>
      <w:szCs w:val="22"/>
    </w:rPr>
  </w:style>
  <w:style w:type="paragraph" w:customStyle="1" w:styleId="Dash">
    <w:name w:val="Dash"/>
    <w:basedOn w:val="Normal"/>
    <w:rsid w:val="00676EBD"/>
    <w:pPr>
      <w:numPr>
        <w:ilvl w:val="1"/>
        <w:numId w:val="4"/>
      </w:numPr>
      <w:spacing w:after="240" w:line="320" w:lineRule="exact"/>
      <w:jc w:val="left"/>
    </w:pPr>
    <w:rPr>
      <w:rFonts w:ascii="Palatino" w:hAnsi="Palatino"/>
      <w:color w:val="000000"/>
      <w:sz w:val="22"/>
      <w:szCs w:val="22"/>
    </w:rPr>
  </w:style>
  <w:style w:type="paragraph" w:customStyle="1" w:styleId="DoubleDot">
    <w:name w:val="Double Dot"/>
    <w:basedOn w:val="Normal"/>
    <w:rsid w:val="00676EBD"/>
    <w:pPr>
      <w:numPr>
        <w:ilvl w:val="2"/>
        <w:numId w:val="4"/>
      </w:numPr>
      <w:spacing w:after="240" w:line="320" w:lineRule="exact"/>
      <w:jc w:val="left"/>
    </w:pPr>
    <w:rPr>
      <w:rFonts w:ascii="Palatino" w:hAnsi="Palatino"/>
      <w:color w:val="000000"/>
      <w:sz w:val="22"/>
      <w:szCs w:val="22"/>
    </w:rPr>
  </w:style>
  <w:style w:type="table" w:styleId="TableGrid">
    <w:name w:val="Table Grid"/>
    <w:basedOn w:val="TableNormal"/>
    <w:rsid w:val="00150656"/>
    <w:pPr>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
    <w:name w:val="List-bullet-1"/>
    <w:basedOn w:val="Normal"/>
    <w:link w:val="List-bullet-1Char"/>
    <w:rsid w:val="00150656"/>
    <w:pPr>
      <w:numPr>
        <w:numId w:val="5"/>
      </w:numPr>
      <w:spacing w:before="120"/>
      <w:jc w:val="left"/>
    </w:pPr>
    <w:rPr>
      <w:rFonts w:ascii="Arial" w:hAnsi="Arial" w:cs="Arial"/>
      <w:sz w:val="20"/>
      <w:szCs w:val="22"/>
    </w:rPr>
  </w:style>
  <w:style w:type="character" w:customStyle="1" w:styleId="ListBulletChar">
    <w:name w:val="List Bullet Char"/>
    <w:aliases w:val="List Bullet Char1 Char,List Bullet Char Char Char,List Bullet Char2 Char Char Char,List Bullet Char Char1 Char Char Char,list letter Char Char Char1 Char Char Char,list letter Char1 Char1 Char Char Char,list letter Char Char2"/>
    <w:basedOn w:val="DefaultParagraphFont"/>
    <w:link w:val="ListBullet"/>
    <w:rsid w:val="001E5DAF"/>
    <w:rPr>
      <w:sz w:val="24"/>
      <w:lang w:val="en-AU" w:eastAsia="en-US" w:bidi="ar-SA"/>
    </w:rPr>
  </w:style>
  <w:style w:type="character" w:customStyle="1" w:styleId="listletterChar2Char">
    <w:name w:val="list letter Char2 Char"/>
    <w:basedOn w:val="DefaultParagraphFont"/>
    <w:rsid w:val="00520324"/>
    <w:rPr>
      <w:sz w:val="24"/>
      <w:lang w:val="en-AU" w:eastAsia="en-US" w:bidi="ar-SA"/>
    </w:rPr>
  </w:style>
  <w:style w:type="paragraph" w:customStyle="1" w:styleId="Default">
    <w:name w:val="Default"/>
    <w:rsid w:val="00541D7F"/>
    <w:pPr>
      <w:autoSpaceDE w:val="0"/>
      <w:autoSpaceDN w:val="0"/>
      <w:adjustRightInd w:val="0"/>
    </w:pPr>
    <w:rPr>
      <w:color w:val="000000"/>
      <w:lang w:val="en-GB" w:eastAsia="en-GB"/>
    </w:rPr>
  </w:style>
  <w:style w:type="character" w:customStyle="1" w:styleId="Heading3Char">
    <w:name w:val="Heading 3 Char"/>
    <w:basedOn w:val="DefaultParagraphFont"/>
    <w:link w:val="Heading3"/>
    <w:rsid w:val="008B22A1"/>
    <w:rPr>
      <w:rFonts w:ascii="Arial" w:hAnsi="Arial"/>
      <w:b/>
      <w:sz w:val="24"/>
      <w:lang w:eastAsia="en-US"/>
    </w:rPr>
  </w:style>
  <w:style w:type="character" w:customStyle="1" w:styleId="CharChar2">
    <w:name w:val="Char Char2"/>
    <w:basedOn w:val="DefaultParagraphFont"/>
    <w:semiHidden/>
    <w:rsid w:val="00D000B1"/>
    <w:rPr>
      <w:rFonts w:ascii="Calibri" w:eastAsia="Calibri" w:hAnsi="Calibri"/>
      <w:lang w:val="en-AU" w:eastAsia="en-US" w:bidi="ar-SA"/>
    </w:rPr>
  </w:style>
  <w:style w:type="character" w:styleId="CommentReference">
    <w:name w:val="annotation reference"/>
    <w:basedOn w:val="DefaultParagraphFont"/>
    <w:semiHidden/>
    <w:rsid w:val="00CE049E"/>
    <w:rPr>
      <w:sz w:val="16"/>
      <w:szCs w:val="16"/>
    </w:rPr>
  </w:style>
  <w:style w:type="paragraph" w:styleId="CommentText">
    <w:name w:val="annotation text"/>
    <w:basedOn w:val="Normal"/>
    <w:semiHidden/>
    <w:rsid w:val="00CE049E"/>
    <w:rPr>
      <w:sz w:val="20"/>
    </w:rPr>
  </w:style>
  <w:style w:type="paragraph" w:styleId="CommentSubject">
    <w:name w:val="annotation subject"/>
    <w:basedOn w:val="CommentText"/>
    <w:next w:val="CommentText"/>
    <w:semiHidden/>
    <w:rsid w:val="00CE049E"/>
    <w:rPr>
      <w:b/>
      <w:bCs/>
    </w:rPr>
  </w:style>
  <w:style w:type="paragraph" w:styleId="BalloonText">
    <w:name w:val="Balloon Text"/>
    <w:basedOn w:val="Normal"/>
    <w:link w:val="BalloonTextChar"/>
    <w:rsid w:val="00CE049E"/>
    <w:rPr>
      <w:rFonts w:ascii="Tahoma" w:hAnsi="Tahoma" w:cs="Tahoma"/>
      <w:sz w:val="16"/>
      <w:szCs w:val="16"/>
    </w:rPr>
  </w:style>
  <w:style w:type="character" w:customStyle="1" w:styleId="CharChar10">
    <w:name w:val="Char Char10"/>
    <w:basedOn w:val="DefaultParagraphFont"/>
    <w:rsid w:val="00A54CF1"/>
    <w:rPr>
      <w:rFonts w:ascii="Arial" w:eastAsia="Times New Roman" w:hAnsi="Arial" w:cs="Times New Roman"/>
      <w:b/>
      <w:sz w:val="24"/>
      <w:szCs w:val="20"/>
      <w:lang w:val="en-AU"/>
    </w:rPr>
  </w:style>
  <w:style w:type="paragraph" w:customStyle="1" w:styleId="CharCharCharCharCharCharCharCharCharChar">
    <w:name w:val="Char Char Char (文字) (文字) Char Char Char Char (文字) (文字) Char Char Char (文字) (文字)"/>
    <w:basedOn w:val="Normal"/>
    <w:rsid w:val="00E5590A"/>
    <w:pPr>
      <w:spacing w:after="160" w:line="240" w:lineRule="exact"/>
      <w:jc w:val="left"/>
    </w:pPr>
    <w:rPr>
      <w:rFonts w:ascii="Arial" w:hAnsi="Arial" w:cs="Arial"/>
      <w:sz w:val="20"/>
      <w:lang w:val="en-US"/>
    </w:rPr>
  </w:style>
  <w:style w:type="paragraph" w:customStyle="1" w:styleId="CharCharCharCharCharCharCharCharCharCharCharCharChar">
    <w:name w:val="Char Char Char (文字) (文字) Char Char Char Char (文字) (文字) Char Char Char (文字) (文字) Char Char Char"/>
    <w:basedOn w:val="Normal"/>
    <w:rsid w:val="00333837"/>
    <w:pPr>
      <w:spacing w:after="160" w:line="240" w:lineRule="exact"/>
      <w:jc w:val="left"/>
    </w:pPr>
    <w:rPr>
      <w:rFonts w:ascii="Arial" w:hAnsi="Arial" w:cs="Arial"/>
      <w:sz w:val="20"/>
      <w:lang w:val="en-US"/>
    </w:rPr>
  </w:style>
  <w:style w:type="character" w:customStyle="1" w:styleId="PaulBridgman">
    <w:name w:val="Paul_Bridgman"/>
    <w:basedOn w:val="DefaultParagraphFont"/>
    <w:semiHidden/>
    <w:rsid w:val="00875D30"/>
    <w:rPr>
      <w:rFonts w:ascii="Arial" w:hAnsi="Arial" w:cs="Arial"/>
      <w:color w:val="auto"/>
      <w:sz w:val="20"/>
      <w:szCs w:val="20"/>
    </w:rPr>
  </w:style>
  <w:style w:type="paragraph" w:customStyle="1" w:styleId="CharCharCharCharCharCharCharCharCharCharChar">
    <w:name w:val="Char Char Char (文字) (文字) Char Char Char Char (文字) (文字) Char Char Char (文字) (文字) Char"/>
    <w:basedOn w:val="Normal"/>
    <w:rsid w:val="005F1070"/>
    <w:pPr>
      <w:spacing w:after="160" w:line="240" w:lineRule="exact"/>
      <w:jc w:val="left"/>
    </w:pPr>
    <w:rPr>
      <w:rFonts w:ascii="Arial" w:hAnsi="Arial" w:cs="Arial"/>
      <w:sz w:val="20"/>
      <w:lang w:val="en-US"/>
    </w:rPr>
  </w:style>
  <w:style w:type="paragraph" w:customStyle="1" w:styleId="CONLevel1">
    <w:name w:val=".CON  Level   1."/>
    <w:basedOn w:val="Normal"/>
    <w:next w:val="Normal"/>
    <w:rsid w:val="00B25D68"/>
    <w:pPr>
      <w:keepNext/>
      <w:numPr>
        <w:numId w:val="7"/>
      </w:numPr>
      <w:spacing w:before="240"/>
      <w:jc w:val="left"/>
      <w:outlineLvl w:val="1"/>
    </w:pPr>
    <w:rPr>
      <w:b/>
      <w:szCs w:val="22"/>
    </w:rPr>
  </w:style>
  <w:style w:type="paragraph" w:customStyle="1" w:styleId="CONLevel11">
    <w:name w:val=".CON  Level   1.1"/>
    <w:basedOn w:val="Normal"/>
    <w:next w:val="Normal"/>
    <w:link w:val="CONLevel11Char"/>
    <w:rsid w:val="00B25D68"/>
    <w:pPr>
      <w:numPr>
        <w:ilvl w:val="1"/>
        <w:numId w:val="7"/>
      </w:numPr>
      <w:spacing w:before="240"/>
      <w:jc w:val="left"/>
      <w:outlineLvl w:val="2"/>
    </w:pPr>
    <w:rPr>
      <w:szCs w:val="22"/>
    </w:rPr>
  </w:style>
  <w:style w:type="paragraph" w:customStyle="1" w:styleId="CONLevela">
    <w:name w:val=".CON  Level  (a)"/>
    <w:basedOn w:val="Normal"/>
    <w:next w:val="Normal"/>
    <w:rsid w:val="00B25D68"/>
    <w:pPr>
      <w:numPr>
        <w:ilvl w:val="2"/>
        <w:numId w:val="7"/>
      </w:numPr>
      <w:spacing w:before="240"/>
      <w:jc w:val="left"/>
      <w:outlineLvl w:val="3"/>
    </w:pPr>
    <w:rPr>
      <w:szCs w:val="22"/>
    </w:rPr>
  </w:style>
  <w:style w:type="paragraph" w:customStyle="1" w:styleId="CONLeveli">
    <w:name w:val=".CON  Level  (i)"/>
    <w:basedOn w:val="Normal"/>
    <w:next w:val="Normal"/>
    <w:rsid w:val="00B25D68"/>
    <w:pPr>
      <w:numPr>
        <w:ilvl w:val="3"/>
        <w:numId w:val="7"/>
      </w:numPr>
      <w:spacing w:before="240"/>
      <w:jc w:val="left"/>
      <w:outlineLvl w:val="4"/>
    </w:pPr>
    <w:rPr>
      <w:szCs w:val="22"/>
    </w:rPr>
  </w:style>
  <w:style w:type="paragraph" w:customStyle="1" w:styleId="CONLevelA0">
    <w:name w:val=".CON  Level (A)"/>
    <w:basedOn w:val="Normal"/>
    <w:next w:val="Normal"/>
    <w:rsid w:val="00B25D68"/>
    <w:pPr>
      <w:numPr>
        <w:ilvl w:val="4"/>
        <w:numId w:val="7"/>
      </w:numPr>
      <w:spacing w:before="240"/>
      <w:jc w:val="left"/>
      <w:outlineLvl w:val="5"/>
    </w:pPr>
    <w:rPr>
      <w:szCs w:val="22"/>
    </w:rPr>
  </w:style>
  <w:style w:type="paragraph" w:customStyle="1" w:styleId="CONLevelI0">
    <w:name w:val=".CON  Level (I)"/>
    <w:basedOn w:val="Normal"/>
    <w:next w:val="Normal"/>
    <w:rsid w:val="00B25D68"/>
    <w:pPr>
      <w:numPr>
        <w:ilvl w:val="5"/>
        <w:numId w:val="7"/>
      </w:numPr>
      <w:spacing w:before="240"/>
      <w:jc w:val="left"/>
      <w:outlineLvl w:val="6"/>
    </w:pPr>
    <w:rPr>
      <w:szCs w:val="22"/>
    </w:rPr>
  </w:style>
  <w:style w:type="paragraph" w:customStyle="1" w:styleId="Level1">
    <w:name w:val="Level 1."/>
    <w:basedOn w:val="Normal"/>
    <w:rsid w:val="00B25D68"/>
    <w:pPr>
      <w:numPr>
        <w:numId w:val="6"/>
      </w:numPr>
      <w:spacing w:before="240"/>
      <w:jc w:val="left"/>
    </w:pPr>
    <w:rPr>
      <w:szCs w:val="22"/>
    </w:rPr>
  </w:style>
  <w:style w:type="paragraph" w:customStyle="1" w:styleId="Level11">
    <w:name w:val="Level 1.1"/>
    <w:basedOn w:val="Normal"/>
    <w:rsid w:val="00B25D68"/>
    <w:pPr>
      <w:numPr>
        <w:ilvl w:val="1"/>
        <w:numId w:val="6"/>
      </w:numPr>
      <w:spacing w:before="240"/>
      <w:jc w:val="left"/>
    </w:pPr>
    <w:rPr>
      <w:szCs w:val="22"/>
    </w:rPr>
  </w:style>
  <w:style w:type="paragraph" w:customStyle="1" w:styleId="Levela">
    <w:name w:val="Level (a)"/>
    <w:basedOn w:val="Normal"/>
    <w:rsid w:val="00B25D68"/>
    <w:pPr>
      <w:numPr>
        <w:ilvl w:val="2"/>
        <w:numId w:val="6"/>
      </w:numPr>
      <w:spacing w:before="240"/>
      <w:jc w:val="left"/>
    </w:pPr>
    <w:rPr>
      <w:szCs w:val="22"/>
    </w:rPr>
  </w:style>
  <w:style w:type="paragraph" w:customStyle="1" w:styleId="Leveli">
    <w:name w:val="Level (i)"/>
    <w:basedOn w:val="Normal"/>
    <w:rsid w:val="00B25D68"/>
    <w:pPr>
      <w:numPr>
        <w:ilvl w:val="3"/>
        <w:numId w:val="6"/>
      </w:numPr>
      <w:spacing w:before="240"/>
      <w:jc w:val="left"/>
    </w:pPr>
    <w:rPr>
      <w:szCs w:val="22"/>
    </w:rPr>
  </w:style>
  <w:style w:type="paragraph" w:styleId="PlainText">
    <w:name w:val="Plain Text"/>
    <w:basedOn w:val="Normal"/>
    <w:rsid w:val="00B25D68"/>
    <w:pPr>
      <w:numPr>
        <w:ilvl w:val="4"/>
        <w:numId w:val="6"/>
      </w:numPr>
      <w:spacing w:before="240"/>
      <w:jc w:val="left"/>
    </w:pPr>
    <w:rPr>
      <w:rFonts w:ascii="Courier New" w:hAnsi="Courier New" w:cs="Courier New"/>
      <w:sz w:val="20"/>
    </w:rPr>
  </w:style>
  <w:style w:type="paragraph" w:customStyle="1" w:styleId="LevelA0">
    <w:name w:val="Level(A)"/>
    <w:basedOn w:val="Normal"/>
    <w:rsid w:val="00B25D68"/>
    <w:pPr>
      <w:numPr>
        <w:ilvl w:val="5"/>
        <w:numId w:val="6"/>
      </w:numPr>
      <w:spacing w:before="240"/>
      <w:jc w:val="left"/>
    </w:pPr>
    <w:rPr>
      <w:szCs w:val="22"/>
    </w:rPr>
  </w:style>
  <w:style w:type="character" w:customStyle="1" w:styleId="CONLevel11Char">
    <w:name w:val=".CON  Level   1.1 Char"/>
    <w:basedOn w:val="DefaultParagraphFont"/>
    <w:link w:val="CONLevel11"/>
    <w:rsid w:val="00B25D68"/>
    <w:rPr>
      <w:sz w:val="24"/>
      <w:szCs w:val="22"/>
      <w:lang w:val="en-AU" w:eastAsia="en-US" w:bidi="ar-SA"/>
    </w:rPr>
  </w:style>
  <w:style w:type="table" w:customStyle="1" w:styleId="Tablewithnoheader">
    <w:name w:val="Table with no header"/>
    <w:basedOn w:val="TableNormal"/>
    <w:rsid w:val="00B25D68"/>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rPr>
        <w:sz w:val="20"/>
      </w:rPr>
    </w:tblStylePr>
  </w:style>
  <w:style w:type="character" w:customStyle="1" w:styleId="List-bullet-1Char">
    <w:name w:val="List-bullet-1 Char"/>
    <w:basedOn w:val="DefaultParagraphFont"/>
    <w:link w:val="List-bullet-1"/>
    <w:rsid w:val="00B25D68"/>
    <w:rPr>
      <w:rFonts w:ascii="Arial" w:hAnsi="Arial" w:cs="Arial"/>
      <w:szCs w:val="22"/>
      <w:lang w:val="en-AU" w:eastAsia="en-US" w:bidi="ar-SA"/>
    </w:rPr>
  </w:style>
  <w:style w:type="paragraph" w:customStyle="1" w:styleId="Table-list-bullet">
    <w:name w:val="Table-list-bullet"/>
    <w:basedOn w:val="Normal"/>
    <w:rsid w:val="00B25D68"/>
    <w:pPr>
      <w:numPr>
        <w:numId w:val="9"/>
      </w:numPr>
      <w:spacing w:before="60"/>
      <w:jc w:val="left"/>
    </w:pPr>
    <w:rPr>
      <w:rFonts w:ascii="Arial" w:hAnsi="Arial"/>
      <w:sz w:val="20"/>
    </w:rPr>
  </w:style>
  <w:style w:type="paragraph" w:customStyle="1" w:styleId="List-bullet-2">
    <w:name w:val="List-bullet-2"/>
    <w:basedOn w:val="Normal"/>
    <w:link w:val="List-bullet-2Char"/>
    <w:rsid w:val="00B25D68"/>
    <w:pPr>
      <w:numPr>
        <w:numId w:val="10"/>
      </w:numPr>
      <w:spacing w:before="80"/>
      <w:jc w:val="left"/>
    </w:pPr>
    <w:rPr>
      <w:rFonts w:ascii="Arial" w:hAnsi="Arial" w:cs="Arial"/>
      <w:sz w:val="20"/>
      <w:szCs w:val="22"/>
      <w:lang w:val="en-US"/>
    </w:rPr>
  </w:style>
  <w:style w:type="character" w:customStyle="1" w:styleId="List-bullet-2Char">
    <w:name w:val="List-bullet-2 Char"/>
    <w:basedOn w:val="DefaultParagraphFont"/>
    <w:link w:val="List-bullet-2"/>
    <w:rsid w:val="00B25D68"/>
    <w:rPr>
      <w:rFonts w:ascii="Arial" w:hAnsi="Arial" w:cs="Arial"/>
      <w:szCs w:val="22"/>
      <w:lang w:val="en-US" w:eastAsia="en-US" w:bidi="ar-SA"/>
    </w:rPr>
  </w:style>
  <w:style w:type="character" w:customStyle="1" w:styleId="listletterCharChar">
    <w:name w:val="list letter Char Char"/>
    <w:aliases w:val="list letter Char Char1"/>
    <w:basedOn w:val="DefaultParagraphFont"/>
    <w:rsid w:val="00516A4C"/>
    <w:rPr>
      <w:sz w:val="24"/>
      <w:lang w:val="en-AU" w:eastAsia="en-US" w:bidi="ar-SA"/>
    </w:rPr>
  </w:style>
  <w:style w:type="paragraph" w:customStyle="1" w:styleId="List-outline-numbered">
    <w:name w:val="List-outline-numbered"/>
    <w:basedOn w:val="Normal"/>
    <w:rsid w:val="00196FEC"/>
    <w:pPr>
      <w:numPr>
        <w:numId w:val="11"/>
      </w:numPr>
      <w:jc w:val="left"/>
    </w:pPr>
  </w:style>
  <w:style w:type="paragraph" w:customStyle="1" w:styleId="Table-normal-text">
    <w:name w:val="Table-normal-text"/>
    <w:basedOn w:val="Normal"/>
    <w:rsid w:val="00E82545"/>
    <w:pPr>
      <w:spacing w:before="60"/>
      <w:jc w:val="left"/>
    </w:pPr>
    <w:rPr>
      <w:rFonts w:ascii="Arial" w:hAnsi="Arial"/>
      <w:sz w:val="20"/>
    </w:rPr>
  </w:style>
  <w:style w:type="table" w:customStyle="1" w:styleId="Tablewithheader">
    <w:name w:val="Table with header"/>
    <w:basedOn w:val="Tablewithnoheader"/>
    <w:rsid w:val="00E82545"/>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customStyle="1" w:styleId="List-number-2">
    <w:name w:val="List-number-2"/>
    <w:basedOn w:val="Normal"/>
    <w:rsid w:val="00825C34"/>
    <w:pPr>
      <w:numPr>
        <w:ilvl w:val="1"/>
        <w:numId w:val="12"/>
      </w:numPr>
      <w:spacing w:before="120" w:after="120"/>
      <w:jc w:val="left"/>
    </w:pPr>
    <w:rPr>
      <w:rFonts w:ascii="Arial" w:hAnsi="Arial"/>
      <w:sz w:val="20"/>
    </w:rPr>
  </w:style>
  <w:style w:type="paragraph" w:customStyle="1" w:styleId="List-number-1">
    <w:name w:val="List-number-1"/>
    <w:basedOn w:val="Normal"/>
    <w:rsid w:val="00825C34"/>
    <w:pPr>
      <w:numPr>
        <w:numId w:val="12"/>
      </w:numPr>
      <w:spacing w:before="120" w:after="120"/>
      <w:jc w:val="left"/>
    </w:pPr>
    <w:rPr>
      <w:rFonts w:ascii="Arial" w:hAnsi="Arial"/>
      <w:sz w:val="20"/>
    </w:rPr>
  </w:style>
  <w:style w:type="character" w:customStyle="1" w:styleId="FootnoteTextCharCharCharCharCharChar">
    <w:name w:val="Footnote Text Char Char Char Char Char Char"/>
    <w:basedOn w:val="DefaultParagraphFont"/>
    <w:rsid w:val="00C95327"/>
    <w:rPr>
      <w:szCs w:val="24"/>
      <w:lang w:val="en-AU" w:eastAsia="en-US" w:bidi="ar-SA"/>
    </w:rPr>
  </w:style>
  <w:style w:type="character" w:customStyle="1" w:styleId="ParagraphNo">
    <w:name w:val="Paragraph No"/>
    <w:basedOn w:val="DefaultParagraphFont"/>
    <w:rsid w:val="004F04FB"/>
    <w:rPr>
      <w:rFonts w:cs="Times New Roman"/>
      <w:color w:val="000080"/>
    </w:rPr>
  </w:style>
  <w:style w:type="paragraph" w:customStyle="1" w:styleId="HeadNote">
    <w:name w:val="Head Note"/>
    <w:basedOn w:val="Normal"/>
    <w:rsid w:val="00BA3995"/>
    <w:pPr>
      <w:keepNext/>
      <w:overflowPunct w:val="0"/>
      <w:autoSpaceDE w:val="0"/>
      <w:autoSpaceDN w:val="0"/>
      <w:adjustRightInd w:val="0"/>
      <w:spacing w:before="480" w:after="240"/>
      <w:textAlignment w:val="baseline"/>
    </w:pPr>
    <w:rPr>
      <w:rFonts w:ascii="NewCenturySchlbk" w:eastAsia="Calibri" w:hAnsi="NewCenturySchlbk" w:cs="NewCenturySchlbk"/>
      <w:b/>
      <w:bCs/>
      <w:sz w:val="26"/>
      <w:szCs w:val="26"/>
    </w:rPr>
  </w:style>
  <w:style w:type="paragraph" w:customStyle="1" w:styleId="QualifyingText">
    <w:name w:val="Qualifying Text"/>
    <w:basedOn w:val="Normal"/>
    <w:rsid w:val="00BA3995"/>
    <w:pPr>
      <w:tabs>
        <w:tab w:val="left" w:pos="720"/>
        <w:tab w:val="left" w:pos="1166"/>
      </w:tabs>
      <w:overflowPunct w:val="0"/>
      <w:autoSpaceDE w:val="0"/>
      <w:autoSpaceDN w:val="0"/>
      <w:adjustRightInd w:val="0"/>
      <w:spacing w:after="240"/>
      <w:textAlignment w:val="baseline"/>
    </w:pPr>
    <w:rPr>
      <w:rFonts w:ascii="NewCenturySchlbk" w:eastAsia="Calibri" w:hAnsi="NewCenturySchlbk" w:cs="NewCenturySchlbk"/>
      <w:sz w:val="26"/>
      <w:szCs w:val="26"/>
    </w:rPr>
  </w:style>
  <w:style w:type="character" w:customStyle="1" w:styleId="SectionNo">
    <w:name w:val="Section No"/>
    <w:basedOn w:val="DefaultParagraphFont"/>
    <w:rsid w:val="00BA3995"/>
    <w:rPr>
      <w:rFonts w:cs="Times New Roman"/>
      <w:color w:val="000080"/>
    </w:rPr>
  </w:style>
  <w:style w:type="character" w:customStyle="1" w:styleId="SubSectionNo">
    <w:name w:val="Sub Section No"/>
    <w:basedOn w:val="DefaultParagraphFont"/>
    <w:rsid w:val="00BA3995"/>
    <w:rPr>
      <w:rFonts w:cs="Times New Roman"/>
      <w:b/>
      <w:bCs/>
      <w:color w:val="000080"/>
    </w:rPr>
  </w:style>
  <w:style w:type="paragraph" w:customStyle="1" w:styleId="SubSection">
    <w:name w:val="Sub Section"/>
    <w:basedOn w:val="Normal"/>
    <w:rsid w:val="00BA3995"/>
    <w:pPr>
      <w:tabs>
        <w:tab w:val="left" w:pos="1170"/>
      </w:tabs>
      <w:overflowPunct w:val="0"/>
      <w:autoSpaceDE w:val="0"/>
      <w:autoSpaceDN w:val="0"/>
      <w:adjustRightInd w:val="0"/>
      <w:spacing w:after="240"/>
      <w:ind w:firstLine="720"/>
      <w:textAlignment w:val="baseline"/>
    </w:pPr>
    <w:rPr>
      <w:rFonts w:ascii="NewCenturySchlbk" w:eastAsia="Calibri" w:hAnsi="NewCenturySchlbk" w:cs="NewCenturySchlbk"/>
      <w:sz w:val="26"/>
      <w:szCs w:val="26"/>
    </w:rPr>
  </w:style>
  <w:style w:type="character" w:customStyle="1" w:styleId="Heading1Char">
    <w:name w:val="Heading 1 Char"/>
    <w:basedOn w:val="DefaultParagraphFont"/>
    <w:link w:val="Heading1"/>
    <w:rsid w:val="00700E66"/>
    <w:rPr>
      <w:rFonts w:ascii="Arial" w:hAnsi="Arial"/>
      <w:b/>
      <w:sz w:val="36"/>
      <w:lang w:eastAsia="en-US"/>
    </w:rPr>
  </w:style>
  <w:style w:type="character" w:customStyle="1" w:styleId="Heading2Char">
    <w:name w:val="Heading 2 Char"/>
    <w:aliases w:val="D&amp;M Heading 2 Char"/>
    <w:basedOn w:val="DefaultParagraphFont"/>
    <w:link w:val="Heading2"/>
    <w:rsid w:val="00700E66"/>
    <w:rPr>
      <w:rFonts w:ascii="Arial" w:hAnsi="Arial"/>
      <w:b/>
      <w:sz w:val="28"/>
      <w:lang w:eastAsia="en-US"/>
    </w:rPr>
  </w:style>
  <w:style w:type="character" w:customStyle="1" w:styleId="Heading4Char">
    <w:name w:val="Heading 4 Char"/>
    <w:basedOn w:val="DefaultParagraphFont"/>
    <w:link w:val="Heading4"/>
    <w:rsid w:val="00700E66"/>
    <w:rPr>
      <w:b/>
      <w:sz w:val="24"/>
      <w:lang w:eastAsia="en-US"/>
    </w:rPr>
  </w:style>
  <w:style w:type="character" w:customStyle="1" w:styleId="Heading5Char">
    <w:name w:val="Heading 5 Char"/>
    <w:basedOn w:val="DefaultParagraphFont"/>
    <w:link w:val="Heading5"/>
    <w:rsid w:val="00700E66"/>
    <w:rPr>
      <w:b/>
      <w:sz w:val="24"/>
      <w:lang w:eastAsia="en-US"/>
    </w:rPr>
  </w:style>
  <w:style w:type="character" w:customStyle="1" w:styleId="Heading6Char">
    <w:name w:val="Heading 6 Char"/>
    <w:basedOn w:val="DefaultParagraphFont"/>
    <w:link w:val="Heading6"/>
    <w:rsid w:val="00700E66"/>
    <w:rPr>
      <w:b/>
      <w:sz w:val="24"/>
      <w:lang w:eastAsia="en-US"/>
    </w:rPr>
  </w:style>
  <w:style w:type="character" w:customStyle="1" w:styleId="Heading7Char">
    <w:name w:val="Heading 7 Char"/>
    <w:basedOn w:val="DefaultParagraphFont"/>
    <w:link w:val="Heading7"/>
    <w:rsid w:val="00700E66"/>
    <w:rPr>
      <w:b/>
      <w:sz w:val="24"/>
      <w:lang w:eastAsia="en-US"/>
    </w:rPr>
  </w:style>
  <w:style w:type="character" w:customStyle="1" w:styleId="Heading8Char">
    <w:name w:val="Heading 8 Char"/>
    <w:basedOn w:val="DefaultParagraphFont"/>
    <w:link w:val="Heading8"/>
    <w:rsid w:val="00700E66"/>
    <w:rPr>
      <w:b/>
      <w:sz w:val="24"/>
      <w:lang w:eastAsia="en-US"/>
    </w:rPr>
  </w:style>
  <w:style w:type="character" w:customStyle="1" w:styleId="Heading9Char">
    <w:name w:val="Heading 9 Char"/>
    <w:basedOn w:val="DefaultParagraphFont"/>
    <w:link w:val="Heading9"/>
    <w:rsid w:val="00700E66"/>
    <w:rPr>
      <w:b/>
      <w:sz w:val="24"/>
      <w:lang w:eastAsia="en-US"/>
    </w:rPr>
  </w:style>
  <w:style w:type="character" w:customStyle="1" w:styleId="HeaderChar">
    <w:name w:val="Header Char"/>
    <w:basedOn w:val="DefaultParagraphFont"/>
    <w:link w:val="Header"/>
    <w:rsid w:val="00700E66"/>
    <w:rPr>
      <w:sz w:val="24"/>
      <w:lang w:eastAsia="en-US"/>
    </w:rPr>
  </w:style>
  <w:style w:type="character" w:customStyle="1" w:styleId="FooterChar">
    <w:name w:val="Footer Char"/>
    <w:basedOn w:val="DefaultParagraphFont"/>
    <w:link w:val="Footer"/>
    <w:rsid w:val="00700E66"/>
    <w:rPr>
      <w:sz w:val="24"/>
      <w:lang w:eastAsia="en-US"/>
    </w:rPr>
  </w:style>
  <w:style w:type="paragraph" w:styleId="TOC5">
    <w:name w:val="toc 5"/>
    <w:basedOn w:val="Normal"/>
    <w:next w:val="Normal"/>
    <w:rsid w:val="00700E66"/>
    <w:pPr>
      <w:tabs>
        <w:tab w:val="right" w:leader="dot" w:pos="9029"/>
      </w:tabs>
      <w:ind w:left="960"/>
    </w:pPr>
  </w:style>
  <w:style w:type="paragraph" w:styleId="TOC6">
    <w:name w:val="toc 6"/>
    <w:basedOn w:val="Normal"/>
    <w:next w:val="Normal"/>
    <w:rsid w:val="00700E66"/>
    <w:pPr>
      <w:tabs>
        <w:tab w:val="right" w:leader="dot" w:pos="9029"/>
      </w:tabs>
      <w:ind w:left="1200"/>
    </w:pPr>
  </w:style>
  <w:style w:type="paragraph" w:styleId="TOC7">
    <w:name w:val="toc 7"/>
    <w:basedOn w:val="Normal"/>
    <w:next w:val="Normal"/>
    <w:rsid w:val="00700E66"/>
    <w:pPr>
      <w:tabs>
        <w:tab w:val="right" w:leader="dot" w:pos="9029"/>
      </w:tabs>
      <w:ind w:left="1440"/>
    </w:pPr>
  </w:style>
  <w:style w:type="paragraph" w:styleId="TOC8">
    <w:name w:val="toc 8"/>
    <w:basedOn w:val="Normal"/>
    <w:next w:val="Normal"/>
    <w:rsid w:val="00700E66"/>
    <w:pPr>
      <w:tabs>
        <w:tab w:val="right" w:leader="dot" w:pos="9029"/>
      </w:tabs>
      <w:ind w:left="1680"/>
    </w:pPr>
  </w:style>
  <w:style w:type="paragraph" w:styleId="TOC9">
    <w:name w:val="toc 9"/>
    <w:basedOn w:val="Normal"/>
    <w:next w:val="Normal"/>
    <w:rsid w:val="00700E66"/>
    <w:pPr>
      <w:tabs>
        <w:tab w:val="right" w:leader="dot" w:pos="9029"/>
      </w:tabs>
      <w:ind w:left="1920"/>
    </w:pPr>
  </w:style>
  <w:style w:type="paragraph" w:customStyle="1" w:styleId="TITLE1">
    <w:name w:val="TITLE1"/>
    <w:basedOn w:val="Normal"/>
    <w:next w:val="Normal"/>
    <w:rsid w:val="00700E66"/>
    <w:pPr>
      <w:spacing w:after="240"/>
      <w:jc w:val="center"/>
    </w:pPr>
    <w:rPr>
      <w:b/>
      <w:smallCaps/>
      <w:sz w:val="40"/>
    </w:rPr>
  </w:style>
  <w:style w:type="paragraph" w:customStyle="1" w:styleId="TITLE2">
    <w:name w:val="TITLE2"/>
    <w:basedOn w:val="TITLE1"/>
    <w:next w:val="Normal"/>
    <w:rsid w:val="00700E66"/>
    <w:rPr>
      <w:sz w:val="32"/>
    </w:rPr>
  </w:style>
  <w:style w:type="character" w:customStyle="1" w:styleId="BodyTextChar">
    <w:name w:val="Body Text Char"/>
    <w:aliases w:val="(Alt+1) Char,BodyText Char,body Char,text Char,Body Char,bt Char"/>
    <w:basedOn w:val="DefaultParagraphFont"/>
    <w:link w:val="BodyText"/>
    <w:rsid w:val="00700E66"/>
    <w:rPr>
      <w:sz w:val="24"/>
      <w:lang w:eastAsia="en-US"/>
    </w:rPr>
  </w:style>
  <w:style w:type="character" w:customStyle="1" w:styleId="BodyText2Char">
    <w:name w:val="Body Text 2 Char"/>
    <w:basedOn w:val="DefaultParagraphFont"/>
    <w:link w:val="BodyText2"/>
    <w:rsid w:val="00700E66"/>
    <w:rPr>
      <w:rFonts w:ascii="Tahoma" w:hAnsi="Tahoma"/>
      <w:b/>
      <w:i/>
      <w:vanish/>
      <w:color w:val="FF0000"/>
      <w:sz w:val="24"/>
      <w:lang w:eastAsia="en-US"/>
    </w:rPr>
  </w:style>
  <w:style w:type="character" w:customStyle="1" w:styleId="BodyText3Char">
    <w:name w:val="Body Text 3 Char"/>
    <w:basedOn w:val="DefaultParagraphFont"/>
    <w:link w:val="BodyText3"/>
    <w:rsid w:val="00700E66"/>
    <w:rPr>
      <w:color w:val="000000"/>
      <w:sz w:val="18"/>
      <w:lang w:eastAsia="en-US"/>
    </w:rPr>
  </w:style>
  <w:style w:type="character" w:customStyle="1" w:styleId="BodyTextIndentChar">
    <w:name w:val="Body Text Indent Char"/>
    <w:basedOn w:val="DefaultParagraphFont"/>
    <w:link w:val="BodyTextIndent"/>
    <w:rsid w:val="00700E66"/>
    <w:rPr>
      <w:color w:val="FF00FF"/>
      <w:sz w:val="24"/>
      <w:lang w:val="en-US" w:eastAsia="en-US"/>
    </w:rPr>
  </w:style>
  <w:style w:type="character" w:customStyle="1" w:styleId="DocumentMapChar">
    <w:name w:val="Document Map Char"/>
    <w:basedOn w:val="DefaultParagraphFont"/>
    <w:link w:val="DocumentMap"/>
    <w:semiHidden/>
    <w:rsid w:val="00700E66"/>
    <w:rPr>
      <w:rFonts w:ascii="Tahoma" w:hAnsi="Tahoma"/>
      <w:sz w:val="24"/>
      <w:shd w:val="clear" w:color="auto" w:fill="000080"/>
      <w:lang w:eastAsia="en-US"/>
    </w:rPr>
  </w:style>
  <w:style w:type="paragraph" w:styleId="NormalWeb">
    <w:name w:val="Normal (Web)"/>
    <w:basedOn w:val="Normal"/>
    <w:rsid w:val="00700E66"/>
    <w:pPr>
      <w:spacing w:before="61" w:after="68"/>
      <w:jc w:val="left"/>
    </w:pPr>
    <w:rPr>
      <w:lang w:val="en-GB" w:eastAsia="en-GB"/>
    </w:rPr>
  </w:style>
  <w:style w:type="character" w:styleId="HTMLAcronym">
    <w:name w:val="HTML Acronym"/>
    <w:basedOn w:val="DefaultParagraphFont"/>
    <w:rsid w:val="00700E66"/>
  </w:style>
  <w:style w:type="character" w:styleId="Strong">
    <w:name w:val="Strong"/>
    <w:basedOn w:val="DefaultParagraphFont"/>
    <w:qFormat/>
    <w:rsid w:val="00700E66"/>
    <w:rPr>
      <w:b/>
      <w:bCs/>
    </w:rPr>
  </w:style>
  <w:style w:type="character" w:customStyle="1" w:styleId="BalloonTextChar">
    <w:name w:val="Balloon Text Char"/>
    <w:basedOn w:val="DefaultParagraphFont"/>
    <w:link w:val="BalloonText"/>
    <w:rsid w:val="00700E66"/>
    <w:rPr>
      <w:rFonts w:ascii="Tahoma" w:hAnsi="Tahoma" w:cs="Tahoma"/>
      <w:sz w:val="16"/>
      <w:szCs w:val="16"/>
      <w:lang w:eastAsia="en-US"/>
    </w:rPr>
  </w:style>
  <w:style w:type="character" w:styleId="FollowedHyperlink">
    <w:name w:val="FollowedHyperlink"/>
    <w:basedOn w:val="DefaultParagraphFont"/>
    <w:rsid w:val="00700E66"/>
    <w:rPr>
      <w:color w:val="800080" w:themeColor="followedHyperlink"/>
      <w:u w:val="single"/>
    </w:rPr>
  </w:style>
  <w:style w:type="character" w:customStyle="1" w:styleId="bodyheading1">
    <w:name w:val="bodyheading1"/>
    <w:basedOn w:val="DefaultParagraphFont"/>
    <w:rsid w:val="00324356"/>
  </w:style>
  <w:style w:type="paragraph" w:styleId="ListParagraph">
    <w:name w:val="List Paragraph"/>
    <w:basedOn w:val="Normal"/>
    <w:uiPriority w:val="34"/>
    <w:qFormat/>
    <w:rsid w:val="004D5741"/>
    <w:pPr>
      <w:widowControl w:val="0"/>
      <w:kinsoku w:val="0"/>
      <w:ind w:left="720"/>
      <w:contextualSpacing/>
      <w:jc w:val="left"/>
    </w:pPr>
    <w:rPr>
      <w:rFonts w:eastAsiaTheme="minorEastAsia"/>
      <w:lang w:val="en-US" w:eastAsia="en-NZ"/>
    </w:rPr>
  </w:style>
  <w:style w:type="paragraph" w:styleId="Revision">
    <w:name w:val="Revision"/>
    <w:hidden/>
    <w:uiPriority w:val="99"/>
    <w:semiHidden/>
    <w:rsid w:val="00271287"/>
    <w:rPr>
      <w:lang w:eastAsia="en-US"/>
    </w:rPr>
  </w:style>
  <w:style w:type="table" w:customStyle="1" w:styleId="TableGrid1">
    <w:name w:val="Table Grid1"/>
    <w:basedOn w:val="TableNormal"/>
    <w:next w:val="TableGrid"/>
    <w:rsid w:val="000A1787"/>
    <w:pPr>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me">
    <w:name w:val="name"/>
    <w:basedOn w:val="DefaultParagraphFont"/>
    <w:rsid w:val="00DE09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EB"/>
    <w:pPr>
      <w:jc w:val="both"/>
    </w:pPr>
    <w:rPr>
      <w:rFonts w:ascii="Times New Roman" w:hAnsi="Times New Roman"/>
    </w:rPr>
  </w:style>
  <w:style w:type="paragraph" w:styleId="Heading1">
    <w:name w:val="heading 1"/>
    <w:basedOn w:val="Normal"/>
    <w:next w:val="Normal"/>
    <w:link w:val="Heading1Char"/>
    <w:qFormat/>
    <w:pPr>
      <w:keepNext/>
      <w:pageBreakBefore/>
      <w:numPr>
        <w:numId w:val="3"/>
      </w:numPr>
      <w:spacing w:before="240" w:after="240"/>
      <w:jc w:val="left"/>
      <w:outlineLvl w:val="0"/>
    </w:pPr>
    <w:rPr>
      <w:rFonts w:ascii="Arial" w:hAnsi="Arial"/>
      <w:b/>
      <w:sz w:val="36"/>
    </w:rPr>
  </w:style>
  <w:style w:type="paragraph" w:styleId="Heading2">
    <w:name w:val="heading 2"/>
    <w:aliases w:val="D&amp;M Heading 2"/>
    <w:basedOn w:val="Normal"/>
    <w:next w:val="Normal"/>
    <w:link w:val="Heading2Char"/>
    <w:qFormat/>
    <w:pPr>
      <w:keepNext/>
      <w:numPr>
        <w:ilvl w:val="1"/>
        <w:numId w:val="3"/>
      </w:numPr>
      <w:tabs>
        <w:tab w:val="left" w:pos="709"/>
      </w:tabs>
      <w:spacing w:before="120" w:after="60"/>
      <w:jc w:val="left"/>
      <w:outlineLvl w:val="1"/>
    </w:pPr>
    <w:rPr>
      <w:rFonts w:ascii="Arial" w:hAnsi="Arial"/>
      <w:b/>
      <w:sz w:val="28"/>
    </w:rPr>
  </w:style>
  <w:style w:type="paragraph" w:styleId="Heading3">
    <w:name w:val="heading 3"/>
    <w:basedOn w:val="Normal"/>
    <w:next w:val="Normal"/>
    <w:link w:val="Heading3Char"/>
    <w:qFormat/>
    <w:pPr>
      <w:keepNext/>
      <w:numPr>
        <w:ilvl w:val="2"/>
        <w:numId w:val="3"/>
      </w:numPr>
      <w:spacing w:before="120" w:after="60"/>
      <w:jc w:val="left"/>
      <w:outlineLvl w:val="2"/>
    </w:pPr>
    <w:rPr>
      <w:rFonts w:ascii="Arial" w:hAnsi="Arial"/>
      <w:b/>
    </w:rPr>
  </w:style>
  <w:style w:type="paragraph" w:styleId="Heading4">
    <w:name w:val="heading 4"/>
    <w:basedOn w:val="Normal"/>
    <w:next w:val="Normal"/>
    <w:link w:val="Heading4Char"/>
    <w:autoRedefine/>
    <w:qFormat/>
    <w:pPr>
      <w:keepNext/>
      <w:numPr>
        <w:ilvl w:val="3"/>
        <w:numId w:val="3"/>
      </w:numPr>
      <w:spacing w:after="120"/>
      <w:jc w:val="left"/>
      <w:outlineLvl w:val="3"/>
    </w:pPr>
    <w:rPr>
      <w:b/>
    </w:rPr>
  </w:style>
  <w:style w:type="paragraph" w:styleId="Heading5">
    <w:name w:val="heading 5"/>
    <w:basedOn w:val="Normal"/>
    <w:next w:val="Normal"/>
    <w:link w:val="Heading5Char"/>
    <w:qFormat/>
    <w:pPr>
      <w:keepNext/>
      <w:numPr>
        <w:ilvl w:val="4"/>
        <w:numId w:val="3"/>
      </w:numPr>
      <w:spacing w:after="240"/>
      <w:jc w:val="left"/>
      <w:outlineLvl w:val="4"/>
    </w:pPr>
    <w:rPr>
      <w:b/>
    </w:rPr>
  </w:style>
  <w:style w:type="paragraph" w:styleId="Heading6">
    <w:name w:val="heading 6"/>
    <w:basedOn w:val="Normal"/>
    <w:next w:val="Normal"/>
    <w:link w:val="Heading6Char"/>
    <w:qFormat/>
    <w:pPr>
      <w:keepNext/>
      <w:numPr>
        <w:ilvl w:val="5"/>
        <w:numId w:val="3"/>
      </w:numPr>
      <w:spacing w:after="240"/>
      <w:jc w:val="left"/>
      <w:outlineLvl w:val="5"/>
    </w:pPr>
    <w:rPr>
      <w:b/>
    </w:rPr>
  </w:style>
  <w:style w:type="paragraph" w:styleId="Heading7">
    <w:name w:val="heading 7"/>
    <w:basedOn w:val="Normal"/>
    <w:next w:val="Normal"/>
    <w:link w:val="Heading7Char"/>
    <w:qFormat/>
    <w:pPr>
      <w:keepNext/>
      <w:numPr>
        <w:ilvl w:val="6"/>
        <w:numId w:val="3"/>
      </w:numPr>
      <w:spacing w:after="240"/>
      <w:jc w:val="left"/>
      <w:outlineLvl w:val="6"/>
    </w:pPr>
    <w:rPr>
      <w:b/>
    </w:rPr>
  </w:style>
  <w:style w:type="paragraph" w:styleId="Heading8">
    <w:name w:val="heading 8"/>
    <w:basedOn w:val="Normal"/>
    <w:next w:val="Normal"/>
    <w:link w:val="Heading8Char"/>
    <w:qFormat/>
    <w:pPr>
      <w:keepNext/>
      <w:numPr>
        <w:ilvl w:val="7"/>
        <w:numId w:val="3"/>
      </w:numPr>
      <w:spacing w:after="240"/>
      <w:jc w:val="left"/>
      <w:outlineLvl w:val="7"/>
    </w:pPr>
    <w:rPr>
      <w:b/>
    </w:rPr>
  </w:style>
  <w:style w:type="paragraph" w:styleId="Heading9">
    <w:name w:val="heading 9"/>
    <w:basedOn w:val="Normal"/>
    <w:next w:val="Normal"/>
    <w:link w:val="Heading9Char"/>
    <w:qFormat/>
    <w:pPr>
      <w:keepNext/>
      <w:numPr>
        <w:ilvl w:val="8"/>
        <w:numId w:val="3"/>
      </w:numPr>
      <w:spacing w:after="240"/>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right" w:pos="8647"/>
      </w:tabs>
      <w:spacing w:before="240" w:after="60"/>
      <w:ind w:left="432" w:hanging="432"/>
      <w:jc w:val="left"/>
    </w:pPr>
    <w:rPr>
      <w:rFonts w:ascii="Arial" w:hAnsi="Arial"/>
      <w:b/>
    </w:rPr>
  </w:style>
  <w:style w:type="paragraph" w:styleId="TOC2">
    <w:name w:val="toc 2"/>
    <w:basedOn w:val="Normal"/>
    <w:next w:val="Normal"/>
    <w:semiHidden/>
    <w:pPr>
      <w:tabs>
        <w:tab w:val="right" w:leader="dot" w:pos="8647"/>
      </w:tabs>
      <w:ind w:left="992" w:hanging="561"/>
      <w:jc w:val="left"/>
    </w:pPr>
    <w:rPr>
      <w:rFonts w:ascii="Arial" w:hAnsi="Arial"/>
    </w:rPr>
  </w:style>
  <w:style w:type="paragraph" w:styleId="TOC3">
    <w:name w:val="toc 3"/>
    <w:basedOn w:val="Normal"/>
    <w:next w:val="Normal"/>
    <w:semiHidden/>
    <w:pPr>
      <w:tabs>
        <w:tab w:val="right" w:leader="dot" w:pos="8647"/>
      </w:tabs>
      <w:ind w:left="1440" w:hanging="576"/>
      <w:jc w:val="left"/>
    </w:pPr>
    <w:rPr>
      <w:rFonts w:ascii="Arial" w:hAnsi="Arial"/>
    </w:rPr>
  </w:style>
  <w:style w:type="character" w:styleId="PageNumber">
    <w:name w:val="page number"/>
    <w:basedOn w:val="DefaultParagraphFont"/>
  </w:style>
  <w:style w:type="paragraph" w:styleId="TOC4">
    <w:name w:val="toc 4"/>
    <w:basedOn w:val="Normal"/>
    <w:next w:val="Normal"/>
    <w:semiHidden/>
    <w:pPr>
      <w:tabs>
        <w:tab w:val="right" w:leader="dot" w:pos="9029"/>
      </w:tabs>
      <w:ind w:left="1728" w:hanging="432"/>
      <w:jc w:val="left"/>
    </w:pPr>
  </w:style>
  <w:style w:type="paragraph" w:styleId="TableofFigures">
    <w:name w:val="table of figures"/>
    <w:basedOn w:val="TOC1"/>
    <w:next w:val="Normal"/>
    <w:uiPriority w:val="99"/>
    <w:pPr>
      <w:tabs>
        <w:tab w:val="right" w:leader="dot" w:pos="8647"/>
      </w:tabs>
      <w:ind w:left="1440" w:hanging="1440"/>
    </w:pPr>
    <w:rPr>
      <w:b w:val="0"/>
    </w:rPr>
  </w:style>
  <w:style w:type="paragraph" w:styleId="ListBullet">
    <w:name w:val="List Bullet"/>
    <w:aliases w:val="List Bullet Char1,List Bullet Char Char,List Bullet Char2 Char Char,List Bullet Char Char1 Char Char,list letter Char Char Char1 Char Char,list letter Char1 Char1 Char Char,List Bullet Char Char Char Char Char,list letter Char,list letter"/>
    <w:basedOn w:val="Normal"/>
    <w:next w:val="Normal"/>
    <w:link w:val="ListBulletChar"/>
    <w:pPr>
      <w:numPr>
        <w:numId w:val="1"/>
      </w:numPr>
    </w:pPr>
  </w:style>
  <w:style w:type="paragraph" w:styleId="ListBullet2">
    <w:name w:val="List Bullet 2"/>
    <w:basedOn w:val="Normal"/>
    <w:next w:val="Normal"/>
    <w:autoRedefine/>
    <w:pPr>
      <w:numPr>
        <w:numId w:val="2"/>
      </w:numPr>
      <w:spacing w:after="80"/>
    </w:pPr>
  </w:style>
  <w:style w:type="character" w:styleId="EndnoteReference">
    <w:name w:val="endnote reference"/>
    <w:basedOn w:val="DefaultParagraphFont"/>
    <w:semiHidden/>
    <w:rPr>
      <w:vertAlign w:val="superscript"/>
    </w:rPr>
  </w:style>
  <w:style w:type="paragraph" w:customStyle="1" w:styleId="Title-FIGURE">
    <w:name w:val="Title - FIGURE"/>
    <w:basedOn w:val="Normal"/>
    <w:next w:val="Normal"/>
    <w:rsid w:val="00F92346"/>
    <w:pPr>
      <w:keepNext/>
    </w:pPr>
    <w:rPr>
      <w:b/>
    </w:rPr>
  </w:style>
  <w:style w:type="paragraph" w:styleId="Header">
    <w:name w:val="header"/>
    <w:basedOn w:val="Normal"/>
    <w:link w:val="HeaderChar"/>
    <w:pPr>
      <w:tabs>
        <w:tab w:val="right" w:pos="9029"/>
      </w:tabs>
    </w:pPr>
  </w:style>
  <w:style w:type="paragraph" w:styleId="Footer">
    <w:name w:val="footer"/>
    <w:basedOn w:val="Normal"/>
    <w:link w:val="FooterChar"/>
    <w:pPr>
      <w:tabs>
        <w:tab w:val="left" w:pos="576"/>
        <w:tab w:val="right" w:pos="9029"/>
      </w:tabs>
    </w:pPr>
  </w:style>
  <w:style w:type="character" w:styleId="FootnoteReference">
    <w:name w:val="footnote reference"/>
    <w:aliases w:val="ftref"/>
    <w:basedOn w:val="DefaultParagraphFont"/>
    <w:semiHidden/>
    <w:rPr>
      <w:vertAlign w:val="superscript"/>
    </w:rPr>
  </w:style>
  <w:style w:type="paragraph" w:styleId="FootnoteText">
    <w:name w:val="footnote text"/>
    <w:aliases w:val="Footnote Text Char, Char Char, Char,ft,single space,footnote text,fn,Footnote Text Char Char Char Char,Char Char,Char"/>
    <w:basedOn w:val="Normal"/>
    <w:link w:val="FootnoteTextChar1"/>
    <w:semiHidden/>
    <w:pPr>
      <w:spacing w:after="120"/>
      <w:ind w:left="720" w:hanging="720"/>
    </w:pPr>
    <w:rPr>
      <w:sz w:val="20"/>
    </w:rPr>
  </w:style>
  <w:style w:type="paragraph" w:styleId="BodyText2">
    <w:name w:val="Body Text 2"/>
    <w:basedOn w:val="Normal"/>
    <w:link w:val="BodyText2Char"/>
    <w:pPr>
      <w:jc w:val="center"/>
    </w:pPr>
    <w:rPr>
      <w:rFonts w:ascii="Tahoma" w:hAnsi="Tahoma"/>
      <w:b/>
      <w:i/>
      <w:vanish/>
      <w:color w:val="FF0000"/>
    </w:rPr>
  </w:style>
  <w:style w:type="paragraph" w:styleId="Title">
    <w:name w:val="Title"/>
    <w:basedOn w:val="Normal"/>
    <w:qFormat/>
    <w:pPr>
      <w:jc w:val="center"/>
    </w:pPr>
    <w:rPr>
      <w:b/>
      <w:color w:val="000080"/>
      <w:lang w:val="en-US"/>
    </w:rPr>
  </w:style>
  <w:style w:type="paragraph" w:styleId="BodyTextIndent">
    <w:name w:val="Body Text Indent"/>
    <w:basedOn w:val="Normal"/>
    <w:link w:val="BodyTextIndentChar"/>
    <w:pPr>
      <w:ind w:left="720"/>
    </w:pPr>
    <w:rPr>
      <w:color w:val="FF00FF"/>
      <w:lang w:val="en-US"/>
    </w:rPr>
  </w:style>
  <w:style w:type="paragraph" w:styleId="BodyTextIndent2">
    <w:name w:val="Body Text Indent 2"/>
    <w:basedOn w:val="Normal"/>
    <w:pPr>
      <w:ind w:left="3828"/>
      <w:jc w:val="right"/>
    </w:pPr>
    <w:rPr>
      <w:rFonts w:ascii="Arial" w:hAnsi="Arial"/>
      <w:b/>
      <w:sz w:val="44"/>
    </w:rPr>
  </w:style>
  <w:style w:type="paragraph" w:styleId="Caption">
    <w:name w:val="caption"/>
    <w:basedOn w:val="Normal"/>
    <w:next w:val="Normal"/>
    <w:qFormat/>
    <w:pPr>
      <w:spacing w:before="120" w:after="120"/>
      <w:jc w:val="left"/>
    </w:pPr>
    <w:rPr>
      <w:rFonts w:ascii="Arial" w:hAnsi="Arial"/>
      <w:b/>
    </w:rPr>
  </w:style>
  <w:style w:type="paragraph" w:customStyle="1" w:styleId="Title-TABLE">
    <w:name w:val="Title - TABLE"/>
    <w:basedOn w:val="Normal"/>
    <w:next w:val="Normal"/>
    <w:pPr>
      <w:keepNext/>
      <w:spacing w:after="240"/>
      <w:jc w:val="center"/>
    </w:pPr>
    <w:rPr>
      <w:b/>
    </w:rPr>
  </w:style>
  <w:style w:type="paragraph" w:styleId="DocumentMap">
    <w:name w:val="Document Map"/>
    <w:basedOn w:val="Normal"/>
    <w:link w:val="DocumentMapChar"/>
    <w:semiHidden/>
    <w:pPr>
      <w:shd w:val="clear" w:color="auto" w:fill="000080"/>
    </w:pPr>
    <w:rPr>
      <w:rFonts w:ascii="Tahoma" w:hAnsi="Tahoma"/>
    </w:rPr>
  </w:style>
  <w:style w:type="paragraph" w:styleId="BodyText">
    <w:name w:val="Body Text"/>
    <w:aliases w:val="(Alt+1),BodyText,body,text,Body,bt"/>
    <w:basedOn w:val="Normal"/>
    <w:link w:val="BodyTextChar"/>
    <w:pPr>
      <w:spacing w:after="240"/>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pPr>
      <w:spacing w:line="300" w:lineRule="auto"/>
    </w:pPr>
    <w:rPr>
      <w:sz w:val="22"/>
      <w:lang w:val="en-US"/>
    </w:rPr>
  </w:style>
  <w:style w:type="character" w:styleId="Hyperlink">
    <w:name w:val="Hyperlink"/>
    <w:basedOn w:val="DefaultParagraphFont"/>
    <w:uiPriority w:val="99"/>
    <w:rPr>
      <w:color w:val="0000FF"/>
      <w:u w:val="single"/>
    </w:rPr>
  </w:style>
  <w:style w:type="paragraph" w:customStyle="1" w:styleId="CoverMasthead">
    <w:name w:val="Cover Masthead"/>
    <w:basedOn w:val="BodyText"/>
    <w:pPr>
      <w:spacing w:before="100" w:after="100"/>
      <w:jc w:val="left"/>
    </w:pPr>
    <w:rPr>
      <w:rFonts w:ascii="Arial Black" w:hAnsi="Arial Black"/>
      <w:caps/>
      <w:spacing w:val="80"/>
      <w:sz w:val="28"/>
    </w:rPr>
  </w:style>
  <w:style w:type="paragraph" w:customStyle="1" w:styleId="CoverTitle">
    <w:name w:val="Cover Title"/>
    <w:basedOn w:val="BodyText"/>
    <w:pPr>
      <w:spacing w:before="100" w:after="0"/>
      <w:jc w:val="left"/>
    </w:pPr>
    <w:rPr>
      <w:rFonts w:ascii="Arial" w:hAnsi="Arial"/>
      <w:sz w:val="36"/>
    </w:rPr>
  </w:style>
  <w:style w:type="paragraph" w:customStyle="1" w:styleId="CoverCompany">
    <w:name w:val="Cover Company"/>
    <w:basedOn w:val="BodyText"/>
    <w:pPr>
      <w:spacing w:before="100" w:after="100"/>
      <w:jc w:val="left"/>
    </w:pPr>
    <w:rPr>
      <w:rFonts w:ascii="Arial" w:hAnsi="Arial"/>
      <w:b/>
      <w:sz w:val="28"/>
    </w:rPr>
  </w:style>
  <w:style w:type="paragraph" w:customStyle="1" w:styleId="CoverAddress">
    <w:name w:val="Cover Address"/>
    <w:basedOn w:val="BodyText"/>
    <w:pPr>
      <w:spacing w:after="0"/>
      <w:jc w:val="left"/>
    </w:pPr>
    <w:rPr>
      <w:rFonts w:ascii="Arial" w:hAnsi="Arial"/>
      <w:sz w:val="18"/>
    </w:rPr>
  </w:style>
  <w:style w:type="paragraph" w:customStyle="1" w:styleId="CoverDoc">
    <w:name w:val="Cover Doc"/>
    <w:basedOn w:val="BodyText"/>
    <w:pPr>
      <w:spacing w:before="100" w:after="100"/>
      <w:jc w:val="left"/>
    </w:pPr>
    <w:rPr>
      <w:rFonts w:ascii="Arial" w:hAnsi="Arial"/>
      <w:caps/>
      <w:sz w:val="18"/>
    </w:rPr>
  </w:style>
  <w:style w:type="paragraph" w:customStyle="1" w:styleId="KLNormal">
    <w:name w:val="KL Normal"/>
    <w:basedOn w:val="Normal"/>
  </w:style>
  <w:style w:type="paragraph" w:customStyle="1" w:styleId="TOCHeading">
    <w:name w:val="TOCHeading"/>
    <w:basedOn w:val="Normal"/>
    <w:pPr>
      <w:spacing w:line="288" w:lineRule="auto"/>
      <w:jc w:val="left"/>
    </w:pPr>
    <w:rPr>
      <w:rFonts w:ascii="Arial Black" w:hAnsi="Arial Black"/>
      <w:sz w:val="32"/>
    </w:rPr>
  </w:style>
  <w:style w:type="paragraph" w:customStyle="1" w:styleId="Tabletext">
    <w:name w:val="Table text"/>
    <w:basedOn w:val="BodyText"/>
    <w:pPr>
      <w:keepNext/>
      <w:spacing w:after="0"/>
      <w:jc w:val="left"/>
    </w:pPr>
    <w:rPr>
      <w:sz w:val="20"/>
      <w:lang w:val="en-GB"/>
    </w:rPr>
  </w:style>
  <w:style w:type="paragraph" w:styleId="BodyText3">
    <w:name w:val="Body Text 3"/>
    <w:basedOn w:val="Normal"/>
    <w:link w:val="BodyText3Char"/>
    <w:pPr>
      <w:spacing w:before="240"/>
    </w:pPr>
    <w:rPr>
      <w:color w:val="000000"/>
      <w:sz w:val="18"/>
    </w:rPr>
  </w:style>
  <w:style w:type="paragraph" w:customStyle="1" w:styleId="CharCharCharCharCharCharCharCharCharCharCharCharCharCharCharCharChar">
    <w:name w:val="Char Char Char (文字) (文字) Char Char Char Char (文字) (文字) Char Char Char (文字) (文字) Char Char Char Char Char Char Char"/>
    <w:basedOn w:val="Normal"/>
    <w:rsid w:val="00676EBD"/>
    <w:pPr>
      <w:spacing w:after="160" w:line="240" w:lineRule="exact"/>
      <w:jc w:val="left"/>
    </w:pPr>
    <w:rPr>
      <w:rFonts w:ascii="Arial" w:hAnsi="Arial" w:cs="Arial"/>
      <w:sz w:val="20"/>
      <w:lang w:val="en-US"/>
    </w:rPr>
  </w:style>
  <w:style w:type="paragraph" w:styleId="NoSpacing">
    <w:name w:val="No Spacing"/>
    <w:qFormat/>
    <w:rsid w:val="00676EBD"/>
    <w:rPr>
      <w:rFonts w:ascii="Calibri" w:eastAsia="Calibri" w:hAnsi="Calibri"/>
      <w:sz w:val="22"/>
      <w:szCs w:val="22"/>
      <w:lang w:eastAsia="en-US"/>
    </w:rPr>
  </w:style>
  <w:style w:type="paragraph" w:customStyle="1" w:styleId="ListParagraph1">
    <w:name w:val="List Paragraph1"/>
    <w:aliases w:val="AusAID List Paragraph"/>
    <w:basedOn w:val="Normal"/>
    <w:uiPriority w:val="34"/>
    <w:qFormat/>
    <w:rsid w:val="00676EBD"/>
    <w:pPr>
      <w:spacing w:before="600" w:after="80"/>
      <w:ind w:left="720"/>
      <w:contextualSpacing/>
      <w:jc w:val="left"/>
    </w:pPr>
    <w:rPr>
      <w:rFonts w:ascii="Calibri" w:eastAsia="Calibri" w:hAnsi="Calibri"/>
      <w:sz w:val="22"/>
      <w:szCs w:val="22"/>
    </w:rPr>
  </w:style>
  <w:style w:type="character" w:customStyle="1" w:styleId="FootnoteTextChar1">
    <w:name w:val="Footnote Text Char1"/>
    <w:aliases w:val="Footnote Text Char Char, Char Char Char, Char Char1,ft Char,single space Char,footnote text Char,fn Char,Footnote Text Char Char Char Char Char,Char Char Char,Char Char1"/>
    <w:basedOn w:val="DefaultParagraphFont"/>
    <w:link w:val="FootnoteText"/>
    <w:semiHidden/>
    <w:rsid w:val="00676EBD"/>
    <w:rPr>
      <w:lang w:val="en-AU" w:eastAsia="en-US" w:bidi="ar-SA"/>
    </w:rPr>
  </w:style>
  <w:style w:type="paragraph" w:customStyle="1" w:styleId="Bullet">
    <w:name w:val="Bullet"/>
    <w:basedOn w:val="Normal"/>
    <w:rsid w:val="00676EBD"/>
    <w:pPr>
      <w:numPr>
        <w:numId w:val="4"/>
      </w:numPr>
      <w:spacing w:after="240" w:line="320" w:lineRule="exact"/>
      <w:jc w:val="left"/>
    </w:pPr>
    <w:rPr>
      <w:rFonts w:ascii="Palatino" w:hAnsi="Palatino"/>
      <w:color w:val="000000"/>
      <w:sz w:val="22"/>
      <w:szCs w:val="22"/>
    </w:rPr>
  </w:style>
  <w:style w:type="paragraph" w:customStyle="1" w:styleId="Dash">
    <w:name w:val="Dash"/>
    <w:basedOn w:val="Normal"/>
    <w:rsid w:val="00676EBD"/>
    <w:pPr>
      <w:numPr>
        <w:ilvl w:val="1"/>
        <w:numId w:val="4"/>
      </w:numPr>
      <w:spacing w:after="240" w:line="320" w:lineRule="exact"/>
      <w:jc w:val="left"/>
    </w:pPr>
    <w:rPr>
      <w:rFonts w:ascii="Palatino" w:hAnsi="Palatino"/>
      <w:color w:val="000000"/>
      <w:sz w:val="22"/>
      <w:szCs w:val="22"/>
    </w:rPr>
  </w:style>
  <w:style w:type="paragraph" w:customStyle="1" w:styleId="DoubleDot">
    <w:name w:val="Double Dot"/>
    <w:basedOn w:val="Normal"/>
    <w:rsid w:val="00676EBD"/>
    <w:pPr>
      <w:numPr>
        <w:ilvl w:val="2"/>
        <w:numId w:val="4"/>
      </w:numPr>
      <w:spacing w:after="240" w:line="320" w:lineRule="exact"/>
      <w:jc w:val="left"/>
    </w:pPr>
    <w:rPr>
      <w:rFonts w:ascii="Palatino" w:hAnsi="Palatino"/>
      <w:color w:val="000000"/>
      <w:sz w:val="22"/>
      <w:szCs w:val="22"/>
    </w:rPr>
  </w:style>
  <w:style w:type="table" w:styleId="TableGrid">
    <w:name w:val="Table Grid"/>
    <w:basedOn w:val="TableNormal"/>
    <w:rsid w:val="00150656"/>
    <w:pPr>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
    <w:name w:val="List-bullet-1"/>
    <w:basedOn w:val="Normal"/>
    <w:link w:val="List-bullet-1Char"/>
    <w:rsid w:val="00150656"/>
    <w:pPr>
      <w:numPr>
        <w:numId w:val="5"/>
      </w:numPr>
      <w:spacing w:before="120"/>
      <w:jc w:val="left"/>
    </w:pPr>
    <w:rPr>
      <w:rFonts w:ascii="Arial" w:hAnsi="Arial" w:cs="Arial"/>
      <w:sz w:val="20"/>
      <w:szCs w:val="22"/>
    </w:rPr>
  </w:style>
  <w:style w:type="character" w:customStyle="1" w:styleId="ListBulletChar">
    <w:name w:val="List Bullet Char"/>
    <w:aliases w:val="List Bullet Char1 Char,List Bullet Char Char Char,List Bullet Char2 Char Char Char,List Bullet Char Char1 Char Char Char,list letter Char Char Char1 Char Char Char,list letter Char1 Char1 Char Char Char,list letter Char Char2"/>
    <w:basedOn w:val="DefaultParagraphFont"/>
    <w:link w:val="ListBullet"/>
    <w:rsid w:val="001E5DAF"/>
    <w:rPr>
      <w:sz w:val="24"/>
      <w:lang w:val="en-AU" w:eastAsia="en-US" w:bidi="ar-SA"/>
    </w:rPr>
  </w:style>
  <w:style w:type="character" w:customStyle="1" w:styleId="listletterChar2Char">
    <w:name w:val="list letter Char2 Char"/>
    <w:basedOn w:val="DefaultParagraphFont"/>
    <w:rsid w:val="00520324"/>
    <w:rPr>
      <w:sz w:val="24"/>
      <w:lang w:val="en-AU" w:eastAsia="en-US" w:bidi="ar-SA"/>
    </w:rPr>
  </w:style>
  <w:style w:type="paragraph" w:customStyle="1" w:styleId="Default">
    <w:name w:val="Default"/>
    <w:rsid w:val="00541D7F"/>
    <w:pPr>
      <w:autoSpaceDE w:val="0"/>
      <w:autoSpaceDN w:val="0"/>
      <w:adjustRightInd w:val="0"/>
    </w:pPr>
    <w:rPr>
      <w:color w:val="000000"/>
      <w:lang w:val="en-GB" w:eastAsia="en-GB"/>
    </w:rPr>
  </w:style>
  <w:style w:type="character" w:customStyle="1" w:styleId="Heading3Char">
    <w:name w:val="Heading 3 Char"/>
    <w:basedOn w:val="DefaultParagraphFont"/>
    <w:link w:val="Heading3"/>
    <w:rsid w:val="008B22A1"/>
    <w:rPr>
      <w:rFonts w:ascii="Arial" w:hAnsi="Arial"/>
      <w:b/>
      <w:sz w:val="24"/>
      <w:lang w:eastAsia="en-US"/>
    </w:rPr>
  </w:style>
  <w:style w:type="character" w:customStyle="1" w:styleId="CharChar2">
    <w:name w:val="Char Char2"/>
    <w:basedOn w:val="DefaultParagraphFont"/>
    <w:semiHidden/>
    <w:rsid w:val="00D000B1"/>
    <w:rPr>
      <w:rFonts w:ascii="Calibri" w:eastAsia="Calibri" w:hAnsi="Calibri"/>
      <w:lang w:val="en-AU" w:eastAsia="en-US" w:bidi="ar-SA"/>
    </w:rPr>
  </w:style>
  <w:style w:type="character" w:styleId="CommentReference">
    <w:name w:val="annotation reference"/>
    <w:basedOn w:val="DefaultParagraphFont"/>
    <w:semiHidden/>
    <w:rsid w:val="00CE049E"/>
    <w:rPr>
      <w:sz w:val="16"/>
      <w:szCs w:val="16"/>
    </w:rPr>
  </w:style>
  <w:style w:type="paragraph" w:styleId="CommentText">
    <w:name w:val="annotation text"/>
    <w:basedOn w:val="Normal"/>
    <w:semiHidden/>
    <w:rsid w:val="00CE049E"/>
    <w:rPr>
      <w:sz w:val="20"/>
    </w:rPr>
  </w:style>
  <w:style w:type="paragraph" w:styleId="CommentSubject">
    <w:name w:val="annotation subject"/>
    <w:basedOn w:val="CommentText"/>
    <w:next w:val="CommentText"/>
    <w:semiHidden/>
    <w:rsid w:val="00CE049E"/>
    <w:rPr>
      <w:b/>
      <w:bCs/>
    </w:rPr>
  </w:style>
  <w:style w:type="paragraph" w:styleId="BalloonText">
    <w:name w:val="Balloon Text"/>
    <w:basedOn w:val="Normal"/>
    <w:link w:val="BalloonTextChar"/>
    <w:rsid w:val="00CE049E"/>
    <w:rPr>
      <w:rFonts w:ascii="Tahoma" w:hAnsi="Tahoma" w:cs="Tahoma"/>
      <w:sz w:val="16"/>
      <w:szCs w:val="16"/>
    </w:rPr>
  </w:style>
  <w:style w:type="character" w:customStyle="1" w:styleId="CharChar10">
    <w:name w:val="Char Char10"/>
    <w:basedOn w:val="DefaultParagraphFont"/>
    <w:rsid w:val="00A54CF1"/>
    <w:rPr>
      <w:rFonts w:ascii="Arial" w:eastAsia="Times New Roman" w:hAnsi="Arial" w:cs="Times New Roman"/>
      <w:b/>
      <w:sz w:val="24"/>
      <w:szCs w:val="20"/>
      <w:lang w:val="en-AU"/>
    </w:rPr>
  </w:style>
  <w:style w:type="paragraph" w:customStyle="1" w:styleId="CharCharCharCharCharCharCharCharCharChar">
    <w:name w:val="Char Char Char (文字) (文字) Char Char Char Char (文字) (文字) Char Char Char (文字) (文字)"/>
    <w:basedOn w:val="Normal"/>
    <w:rsid w:val="00E5590A"/>
    <w:pPr>
      <w:spacing w:after="160" w:line="240" w:lineRule="exact"/>
      <w:jc w:val="left"/>
    </w:pPr>
    <w:rPr>
      <w:rFonts w:ascii="Arial" w:hAnsi="Arial" w:cs="Arial"/>
      <w:sz w:val="20"/>
      <w:lang w:val="en-US"/>
    </w:rPr>
  </w:style>
  <w:style w:type="paragraph" w:customStyle="1" w:styleId="CharCharCharCharCharCharCharCharCharCharCharCharChar">
    <w:name w:val="Char Char Char (文字) (文字) Char Char Char Char (文字) (文字) Char Char Char (文字) (文字) Char Char Char"/>
    <w:basedOn w:val="Normal"/>
    <w:rsid w:val="00333837"/>
    <w:pPr>
      <w:spacing w:after="160" w:line="240" w:lineRule="exact"/>
      <w:jc w:val="left"/>
    </w:pPr>
    <w:rPr>
      <w:rFonts w:ascii="Arial" w:hAnsi="Arial" w:cs="Arial"/>
      <w:sz w:val="20"/>
      <w:lang w:val="en-US"/>
    </w:rPr>
  </w:style>
  <w:style w:type="character" w:customStyle="1" w:styleId="PaulBridgman">
    <w:name w:val="Paul_Bridgman"/>
    <w:basedOn w:val="DefaultParagraphFont"/>
    <w:semiHidden/>
    <w:rsid w:val="00875D30"/>
    <w:rPr>
      <w:rFonts w:ascii="Arial" w:hAnsi="Arial" w:cs="Arial"/>
      <w:color w:val="auto"/>
      <w:sz w:val="20"/>
      <w:szCs w:val="20"/>
    </w:rPr>
  </w:style>
  <w:style w:type="paragraph" w:customStyle="1" w:styleId="CharCharCharCharCharCharCharCharCharCharChar">
    <w:name w:val="Char Char Char (文字) (文字) Char Char Char Char (文字) (文字) Char Char Char (文字) (文字) Char"/>
    <w:basedOn w:val="Normal"/>
    <w:rsid w:val="005F1070"/>
    <w:pPr>
      <w:spacing w:after="160" w:line="240" w:lineRule="exact"/>
      <w:jc w:val="left"/>
    </w:pPr>
    <w:rPr>
      <w:rFonts w:ascii="Arial" w:hAnsi="Arial" w:cs="Arial"/>
      <w:sz w:val="20"/>
      <w:lang w:val="en-US"/>
    </w:rPr>
  </w:style>
  <w:style w:type="paragraph" w:customStyle="1" w:styleId="CONLevel1">
    <w:name w:val=".CON  Level   1."/>
    <w:basedOn w:val="Normal"/>
    <w:next w:val="Normal"/>
    <w:rsid w:val="00B25D68"/>
    <w:pPr>
      <w:keepNext/>
      <w:numPr>
        <w:numId w:val="7"/>
      </w:numPr>
      <w:spacing w:before="240"/>
      <w:jc w:val="left"/>
      <w:outlineLvl w:val="1"/>
    </w:pPr>
    <w:rPr>
      <w:b/>
      <w:szCs w:val="22"/>
    </w:rPr>
  </w:style>
  <w:style w:type="paragraph" w:customStyle="1" w:styleId="CONLevel11">
    <w:name w:val=".CON  Level   1.1"/>
    <w:basedOn w:val="Normal"/>
    <w:next w:val="Normal"/>
    <w:link w:val="CONLevel11Char"/>
    <w:rsid w:val="00B25D68"/>
    <w:pPr>
      <w:numPr>
        <w:ilvl w:val="1"/>
        <w:numId w:val="7"/>
      </w:numPr>
      <w:spacing w:before="240"/>
      <w:jc w:val="left"/>
      <w:outlineLvl w:val="2"/>
    </w:pPr>
    <w:rPr>
      <w:szCs w:val="22"/>
    </w:rPr>
  </w:style>
  <w:style w:type="paragraph" w:customStyle="1" w:styleId="CONLevela">
    <w:name w:val=".CON  Level  (a)"/>
    <w:basedOn w:val="Normal"/>
    <w:next w:val="Normal"/>
    <w:rsid w:val="00B25D68"/>
    <w:pPr>
      <w:numPr>
        <w:ilvl w:val="2"/>
        <w:numId w:val="7"/>
      </w:numPr>
      <w:spacing w:before="240"/>
      <w:jc w:val="left"/>
      <w:outlineLvl w:val="3"/>
    </w:pPr>
    <w:rPr>
      <w:szCs w:val="22"/>
    </w:rPr>
  </w:style>
  <w:style w:type="paragraph" w:customStyle="1" w:styleId="CONLeveli">
    <w:name w:val=".CON  Level  (i)"/>
    <w:basedOn w:val="Normal"/>
    <w:next w:val="Normal"/>
    <w:rsid w:val="00B25D68"/>
    <w:pPr>
      <w:numPr>
        <w:ilvl w:val="3"/>
        <w:numId w:val="7"/>
      </w:numPr>
      <w:spacing w:before="240"/>
      <w:jc w:val="left"/>
      <w:outlineLvl w:val="4"/>
    </w:pPr>
    <w:rPr>
      <w:szCs w:val="22"/>
    </w:rPr>
  </w:style>
  <w:style w:type="paragraph" w:customStyle="1" w:styleId="CONLevelA0">
    <w:name w:val=".CON  Level (A)"/>
    <w:basedOn w:val="Normal"/>
    <w:next w:val="Normal"/>
    <w:rsid w:val="00B25D68"/>
    <w:pPr>
      <w:numPr>
        <w:ilvl w:val="4"/>
        <w:numId w:val="7"/>
      </w:numPr>
      <w:spacing w:before="240"/>
      <w:jc w:val="left"/>
      <w:outlineLvl w:val="5"/>
    </w:pPr>
    <w:rPr>
      <w:szCs w:val="22"/>
    </w:rPr>
  </w:style>
  <w:style w:type="paragraph" w:customStyle="1" w:styleId="CONLevelI0">
    <w:name w:val=".CON  Level (I)"/>
    <w:basedOn w:val="Normal"/>
    <w:next w:val="Normal"/>
    <w:rsid w:val="00B25D68"/>
    <w:pPr>
      <w:numPr>
        <w:ilvl w:val="5"/>
        <w:numId w:val="7"/>
      </w:numPr>
      <w:spacing w:before="240"/>
      <w:jc w:val="left"/>
      <w:outlineLvl w:val="6"/>
    </w:pPr>
    <w:rPr>
      <w:szCs w:val="22"/>
    </w:rPr>
  </w:style>
  <w:style w:type="paragraph" w:customStyle="1" w:styleId="Level1">
    <w:name w:val="Level 1."/>
    <w:basedOn w:val="Normal"/>
    <w:rsid w:val="00B25D68"/>
    <w:pPr>
      <w:numPr>
        <w:numId w:val="6"/>
      </w:numPr>
      <w:spacing w:before="240"/>
      <w:jc w:val="left"/>
    </w:pPr>
    <w:rPr>
      <w:szCs w:val="22"/>
    </w:rPr>
  </w:style>
  <w:style w:type="paragraph" w:customStyle="1" w:styleId="Level11">
    <w:name w:val="Level 1.1"/>
    <w:basedOn w:val="Normal"/>
    <w:rsid w:val="00B25D68"/>
    <w:pPr>
      <w:numPr>
        <w:ilvl w:val="1"/>
        <w:numId w:val="6"/>
      </w:numPr>
      <w:spacing w:before="240"/>
      <w:jc w:val="left"/>
    </w:pPr>
    <w:rPr>
      <w:szCs w:val="22"/>
    </w:rPr>
  </w:style>
  <w:style w:type="paragraph" w:customStyle="1" w:styleId="Levela">
    <w:name w:val="Level (a)"/>
    <w:basedOn w:val="Normal"/>
    <w:rsid w:val="00B25D68"/>
    <w:pPr>
      <w:numPr>
        <w:ilvl w:val="2"/>
        <w:numId w:val="6"/>
      </w:numPr>
      <w:spacing w:before="240"/>
      <w:jc w:val="left"/>
    </w:pPr>
    <w:rPr>
      <w:szCs w:val="22"/>
    </w:rPr>
  </w:style>
  <w:style w:type="paragraph" w:customStyle="1" w:styleId="Leveli">
    <w:name w:val="Level (i)"/>
    <w:basedOn w:val="Normal"/>
    <w:rsid w:val="00B25D68"/>
    <w:pPr>
      <w:numPr>
        <w:ilvl w:val="3"/>
        <w:numId w:val="6"/>
      </w:numPr>
      <w:spacing w:before="240"/>
      <w:jc w:val="left"/>
    </w:pPr>
    <w:rPr>
      <w:szCs w:val="22"/>
    </w:rPr>
  </w:style>
  <w:style w:type="paragraph" w:styleId="PlainText">
    <w:name w:val="Plain Text"/>
    <w:basedOn w:val="Normal"/>
    <w:rsid w:val="00B25D68"/>
    <w:pPr>
      <w:numPr>
        <w:ilvl w:val="4"/>
        <w:numId w:val="6"/>
      </w:numPr>
      <w:spacing w:before="240"/>
      <w:jc w:val="left"/>
    </w:pPr>
    <w:rPr>
      <w:rFonts w:ascii="Courier New" w:hAnsi="Courier New" w:cs="Courier New"/>
      <w:sz w:val="20"/>
    </w:rPr>
  </w:style>
  <w:style w:type="paragraph" w:customStyle="1" w:styleId="LevelA0">
    <w:name w:val="Level(A)"/>
    <w:basedOn w:val="Normal"/>
    <w:rsid w:val="00B25D68"/>
    <w:pPr>
      <w:numPr>
        <w:ilvl w:val="5"/>
        <w:numId w:val="6"/>
      </w:numPr>
      <w:spacing w:before="240"/>
      <w:jc w:val="left"/>
    </w:pPr>
    <w:rPr>
      <w:szCs w:val="22"/>
    </w:rPr>
  </w:style>
  <w:style w:type="character" w:customStyle="1" w:styleId="CONLevel11Char">
    <w:name w:val=".CON  Level   1.1 Char"/>
    <w:basedOn w:val="DefaultParagraphFont"/>
    <w:link w:val="CONLevel11"/>
    <w:rsid w:val="00B25D68"/>
    <w:rPr>
      <w:sz w:val="24"/>
      <w:szCs w:val="22"/>
      <w:lang w:val="en-AU" w:eastAsia="en-US" w:bidi="ar-SA"/>
    </w:rPr>
  </w:style>
  <w:style w:type="table" w:customStyle="1" w:styleId="Tablewithnoheader">
    <w:name w:val="Table with no header"/>
    <w:basedOn w:val="TableNormal"/>
    <w:rsid w:val="00B25D68"/>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rPr>
        <w:sz w:val="20"/>
      </w:rPr>
    </w:tblStylePr>
  </w:style>
  <w:style w:type="character" w:customStyle="1" w:styleId="List-bullet-1Char">
    <w:name w:val="List-bullet-1 Char"/>
    <w:basedOn w:val="DefaultParagraphFont"/>
    <w:link w:val="List-bullet-1"/>
    <w:rsid w:val="00B25D68"/>
    <w:rPr>
      <w:rFonts w:ascii="Arial" w:hAnsi="Arial" w:cs="Arial"/>
      <w:szCs w:val="22"/>
      <w:lang w:val="en-AU" w:eastAsia="en-US" w:bidi="ar-SA"/>
    </w:rPr>
  </w:style>
  <w:style w:type="paragraph" w:customStyle="1" w:styleId="Table-list-bullet">
    <w:name w:val="Table-list-bullet"/>
    <w:basedOn w:val="Normal"/>
    <w:rsid w:val="00B25D68"/>
    <w:pPr>
      <w:numPr>
        <w:numId w:val="9"/>
      </w:numPr>
      <w:spacing w:before="60"/>
      <w:jc w:val="left"/>
    </w:pPr>
    <w:rPr>
      <w:rFonts w:ascii="Arial" w:hAnsi="Arial"/>
      <w:sz w:val="20"/>
    </w:rPr>
  </w:style>
  <w:style w:type="paragraph" w:customStyle="1" w:styleId="List-bullet-2">
    <w:name w:val="List-bullet-2"/>
    <w:basedOn w:val="Normal"/>
    <w:link w:val="List-bullet-2Char"/>
    <w:rsid w:val="00B25D68"/>
    <w:pPr>
      <w:numPr>
        <w:numId w:val="10"/>
      </w:numPr>
      <w:spacing w:before="80"/>
      <w:jc w:val="left"/>
    </w:pPr>
    <w:rPr>
      <w:rFonts w:ascii="Arial" w:hAnsi="Arial" w:cs="Arial"/>
      <w:sz w:val="20"/>
      <w:szCs w:val="22"/>
      <w:lang w:val="en-US"/>
    </w:rPr>
  </w:style>
  <w:style w:type="character" w:customStyle="1" w:styleId="List-bullet-2Char">
    <w:name w:val="List-bullet-2 Char"/>
    <w:basedOn w:val="DefaultParagraphFont"/>
    <w:link w:val="List-bullet-2"/>
    <w:rsid w:val="00B25D68"/>
    <w:rPr>
      <w:rFonts w:ascii="Arial" w:hAnsi="Arial" w:cs="Arial"/>
      <w:szCs w:val="22"/>
      <w:lang w:val="en-US" w:eastAsia="en-US" w:bidi="ar-SA"/>
    </w:rPr>
  </w:style>
  <w:style w:type="character" w:customStyle="1" w:styleId="listletterCharChar">
    <w:name w:val="list letter Char Char"/>
    <w:aliases w:val="list letter Char Char1"/>
    <w:basedOn w:val="DefaultParagraphFont"/>
    <w:rsid w:val="00516A4C"/>
    <w:rPr>
      <w:sz w:val="24"/>
      <w:lang w:val="en-AU" w:eastAsia="en-US" w:bidi="ar-SA"/>
    </w:rPr>
  </w:style>
  <w:style w:type="paragraph" w:customStyle="1" w:styleId="List-outline-numbered">
    <w:name w:val="List-outline-numbered"/>
    <w:basedOn w:val="Normal"/>
    <w:rsid w:val="00196FEC"/>
    <w:pPr>
      <w:numPr>
        <w:numId w:val="11"/>
      </w:numPr>
      <w:jc w:val="left"/>
    </w:pPr>
  </w:style>
  <w:style w:type="paragraph" w:customStyle="1" w:styleId="Table-normal-text">
    <w:name w:val="Table-normal-text"/>
    <w:basedOn w:val="Normal"/>
    <w:rsid w:val="00E82545"/>
    <w:pPr>
      <w:spacing w:before="60"/>
      <w:jc w:val="left"/>
    </w:pPr>
    <w:rPr>
      <w:rFonts w:ascii="Arial" w:hAnsi="Arial"/>
      <w:sz w:val="20"/>
    </w:rPr>
  </w:style>
  <w:style w:type="table" w:customStyle="1" w:styleId="Tablewithheader">
    <w:name w:val="Table with header"/>
    <w:basedOn w:val="Tablewithnoheader"/>
    <w:rsid w:val="00E82545"/>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customStyle="1" w:styleId="List-number-2">
    <w:name w:val="List-number-2"/>
    <w:basedOn w:val="Normal"/>
    <w:rsid w:val="00825C34"/>
    <w:pPr>
      <w:numPr>
        <w:ilvl w:val="1"/>
        <w:numId w:val="12"/>
      </w:numPr>
      <w:spacing w:before="120" w:after="120"/>
      <w:jc w:val="left"/>
    </w:pPr>
    <w:rPr>
      <w:rFonts w:ascii="Arial" w:hAnsi="Arial"/>
      <w:sz w:val="20"/>
    </w:rPr>
  </w:style>
  <w:style w:type="paragraph" w:customStyle="1" w:styleId="List-number-1">
    <w:name w:val="List-number-1"/>
    <w:basedOn w:val="Normal"/>
    <w:rsid w:val="00825C34"/>
    <w:pPr>
      <w:numPr>
        <w:numId w:val="12"/>
      </w:numPr>
      <w:spacing w:before="120" w:after="120"/>
      <w:jc w:val="left"/>
    </w:pPr>
    <w:rPr>
      <w:rFonts w:ascii="Arial" w:hAnsi="Arial"/>
      <w:sz w:val="20"/>
    </w:rPr>
  </w:style>
  <w:style w:type="character" w:customStyle="1" w:styleId="FootnoteTextCharCharCharCharCharChar">
    <w:name w:val="Footnote Text Char Char Char Char Char Char"/>
    <w:basedOn w:val="DefaultParagraphFont"/>
    <w:rsid w:val="00C95327"/>
    <w:rPr>
      <w:szCs w:val="24"/>
      <w:lang w:val="en-AU" w:eastAsia="en-US" w:bidi="ar-SA"/>
    </w:rPr>
  </w:style>
  <w:style w:type="character" w:customStyle="1" w:styleId="ParagraphNo">
    <w:name w:val="Paragraph No"/>
    <w:basedOn w:val="DefaultParagraphFont"/>
    <w:rsid w:val="004F04FB"/>
    <w:rPr>
      <w:rFonts w:cs="Times New Roman"/>
      <w:color w:val="000080"/>
    </w:rPr>
  </w:style>
  <w:style w:type="paragraph" w:customStyle="1" w:styleId="HeadNote">
    <w:name w:val="Head Note"/>
    <w:basedOn w:val="Normal"/>
    <w:rsid w:val="00BA3995"/>
    <w:pPr>
      <w:keepNext/>
      <w:overflowPunct w:val="0"/>
      <w:autoSpaceDE w:val="0"/>
      <w:autoSpaceDN w:val="0"/>
      <w:adjustRightInd w:val="0"/>
      <w:spacing w:before="480" w:after="240"/>
      <w:textAlignment w:val="baseline"/>
    </w:pPr>
    <w:rPr>
      <w:rFonts w:ascii="NewCenturySchlbk" w:eastAsia="Calibri" w:hAnsi="NewCenturySchlbk" w:cs="NewCenturySchlbk"/>
      <w:b/>
      <w:bCs/>
      <w:sz w:val="26"/>
      <w:szCs w:val="26"/>
    </w:rPr>
  </w:style>
  <w:style w:type="paragraph" w:customStyle="1" w:styleId="QualifyingText">
    <w:name w:val="Qualifying Text"/>
    <w:basedOn w:val="Normal"/>
    <w:rsid w:val="00BA3995"/>
    <w:pPr>
      <w:tabs>
        <w:tab w:val="left" w:pos="720"/>
        <w:tab w:val="left" w:pos="1166"/>
      </w:tabs>
      <w:overflowPunct w:val="0"/>
      <w:autoSpaceDE w:val="0"/>
      <w:autoSpaceDN w:val="0"/>
      <w:adjustRightInd w:val="0"/>
      <w:spacing w:after="240"/>
      <w:textAlignment w:val="baseline"/>
    </w:pPr>
    <w:rPr>
      <w:rFonts w:ascii="NewCenturySchlbk" w:eastAsia="Calibri" w:hAnsi="NewCenturySchlbk" w:cs="NewCenturySchlbk"/>
      <w:sz w:val="26"/>
      <w:szCs w:val="26"/>
    </w:rPr>
  </w:style>
  <w:style w:type="character" w:customStyle="1" w:styleId="SectionNo">
    <w:name w:val="Section No"/>
    <w:basedOn w:val="DefaultParagraphFont"/>
    <w:rsid w:val="00BA3995"/>
    <w:rPr>
      <w:rFonts w:cs="Times New Roman"/>
      <w:color w:val="000080"/>
    </w:rPr>
  </w:style>
  <w:style w:type="character" w:customStyle="1" w:styleId="SubSectionNo">
    <w:name w:val="Sub Section No"/>
    <w:basedOn w:val="DefaultParagraphFont"/>
    <w:rsid w:val="00BA3995"/>
    <w:rPr>
      <w:rFonts w:cs="Times New Roman"/>
      <w:b/>
      <w:bCs/>
      <w:color w:val="000080"/>
    </w:rPr>
  </w:style>
  <w:style w:type="paragraph" w:customStyle="1" w:styleId="SubSection">
    <w:name w:val="Sub Section"/>
    <w:basedOn w:val="Normal"/>
    <w:rsid w:val="00BA3995"/>
    <w:pPr>
      <w:tabs>
        <w:tab w:val="left" w:pos="1170"/>
      </w:tabs>
      <w:overflowPunct w:val="0"/>
      <w:autoSpaceDE w:val="0"/>
      <w:autoSpaceDN w:val="0"/>
      <w:adjustRightInd w:val="0"/>
      <w:spacing w:after="240"/>
      <w:ind w:firstLine="720"/>
      <w:textAlignment w:val="baseline"/>
    </w:pPr>
    <w:rPr>
      <w:rFonts w:ascii="NewCenturySchlbk" w:eastAsia="Calibri" w:hAnsi="NewCenturySchlbk" w:cs="NewCenturySchlbk"/>
      <w:sz w:val="26"/>
      <w:szCs w:val="26"/>
    </w:rPr>
  </w:style>
  <w:style w:type="character" w:customStyle="1" w:styleId="Heading1Char">
    <w:name w:val="Heading 1 Char"/>
    <w:basedOn w:val="DefaultParagraphFont"/>
    <w:link w:val="Heading1"/>
    <w:rsid w:val="00700E66"/>
    <w:rPr>
      <w:rFonts w:ascii="Arial" w:hAnsi="Arial"/>
      <w:b/>
      <w:sz w:val="36"/>
      <w:lang w:eastAsia="en-US"/>
    </w:rPr>
  </w:style>
  <w:style w:type="character" w:customStyle="1" w:styleId="Heading2Char">
    <w:name w:val="Heading 2 Char"/>
    <w:aliases w:val="D&amp;M Heading 2 Char"/>
    <w:basedOn w:val="DefaultParagraphFont"/>
    <w:link w:val="Heading2"/>
    <w:rsid w:val="00700E66"/>
    <w:rPr>
      <w:rFonts w:ascii="Arial" w:hAnsi="Arial"/>
      <w:b/>
      <w:sz w:val="28"/>
      <w:lang w:eastAsia="en-US"/>
    </w:rPr>
  </w:style>
  <w:style w:type="character" w:customStyle="1" w:styleId="Heading4Char">
    <w:name w:val="Heading 4 Char"/>
    <w:basedOn w:val="DefaultParagraphFont"/>
    <w:link w:val="Heading4"/>
    <w:rsid w:val="00700E66"/>
    <w:rPr>
      <w:b/>
      <w:sz w:val="24"/>
      <w:lang w:eastAsia="en-US"/>
    </w:rPr>
  </w:style>
  <w:style w:type="character" w:customStyle="1" w:styleId="Heading5Char">
    <w:name w:val="Heading 5 Char"/>
    <w:basedOn w:val="DefaultParagraphFont"/>
    <w:link w:val="Heading5"/>
    <w:rsid w:val="00700E66"/>
    <w:rPr>
      <w:b/>
      <w:sz w:val="24"/>
      <w:lang w:eastAsia="en-US"/>
    </w:rPr>
  </w:style>
  <w:style w:type="character" w:customStyle="1" w:styleId="Heading6Char">
    <w:name w:val="Heading 6 Char"/>
    <w:basedOn w:val="DefaultParagraphFont"/>
    <w:link w:val="Heading6"/>
    <w:rsid w:val="00700E66"/>
    <w:rPr>
      <w:b/>
      <w:sz w:val="24"/>
      <w:lang w:eastAsia="en-US"/>
    </w:rPr>
  </w:style>
  <w:style w:type="character" w:customStyle="1" w:styleId="Heading7Char">
    <w:name w:val="Heading 7 Char"/>
    <w:basedOn w:val="DefaultParagraphFont"/>
    <w:link w:val="Heading7"/>
    <w:rsid w:val="00700E66"/>
    <w:rPr>
      <w:b/>
      <w:sz w:val="24"/>
      <w:lang w:eastAsia="en-US"/>
    </w:rPr>
  </w:style>
  <w:style w:type="character" w:customStyle="1" w:styleId="Heading8Char">
    <w:name w:val="Heading 8 Char"/>
    <w:basedOn w:val="DefaultParagraphFont"/>
    <w:link w:val="Heading8"/>
    <w:rsid w:val="00700E66"/>
    <w:rPr>
      <w:b/>
      <w:sz w:val="24"/>
      <w:lang w:eastAsia="en-US"/>
    </w:rPr>
  </w:style>
  <w:style w:type="character" w:customStyle="1" w:styleId="Heading9Char">
    <w:name w:val="Heading 9 Char"/>
    <w:basedOn w:val="DefaultParagraphFont"/>
    <w:link w:val="Heading9"/>
    <w:rsid w:val="00700E66"/>
    <w:rPr>
      <w:b/>
      <w:sz w:val="24"/>
      <w:lang w:eastAsia="en-US"/>
    </w:rPr>
  </w:style>
  <w:style w:type="character" w:customStyle="1" w:styleId="HeaderChar">
    <w:name w:val="Header Char"/>
    <w:basedOn w:val="DefaultParagraphFont"/>
    <w:link w:val="Header"/>
    <w:rsid w:val="00700E66"/>
    <w:rPr>
      <w:sz w:val="24"/>
      <w:lang w:eastAsia="en-US"/>
    </w:rPr>
  </w:style>
  <w:style w:type="character" w:customStyle="1" w:styleId="FooterChar">
    <w:name w:val="Footer Char"/>
    <w:basedOn w:val="DefaultParagraphFont"/>
    <w:link w:val="Footer"/>
    <w:rsid w:val="00700E66"/>
    <w:rPr>
      <w:sz w:val="24"/>
      <w:lang w:eastAsia="en-US"/>
    </w:rPr>
  </w:style>
  <w:style w:type="paragraph" w:styleId="TOC5">
    <w:name w:val="toc 5"/>
    <w:basedOn w:val="Normal"/>
    <w:next w:val="Normal"/>
    <w:rsid w:val="00700E66"/>
    <w:pPr>
      <w:tabs>
        <w:tab w:val="right" w:leader="dot" w:pos="9029"/>
      </w:tabs>
      <w:ind w:left="960"/>
    </w:pPr>
  </w:style>
  <w:style w:type="paragraph" w:styleId="TOC6">
    <w:name w:val="toc 6"/>
    <w:basedOn w:val="Normal"/>
    <w:next w:val="Normal"/>
    <w:rsid w:val="00700E66"/>
    <w:pPr>
      <w:tabs>
        <w:tab w:val="right" w:leader="dot" w:pos="9029"/>
      </w:tabs>
      <w:ind w:left="1200"/>
    </w:pPr>
  </w:style>
  <w:style w:type="paragraph" w:styleId="TOC7">
    <w:name w:val="toc 7"/>
    <w:basedOn w:val="Normal"/>
    <w:next w:val="Normal"/>
    <w:rsid w:val="00700E66"/>
    <w:pPr>
      <w:tabs>
        <w:tab w:val="right" w:leader="dot" w:pos="9029"/>
      </w:tabs>
      <w:ind w:left="1440"/>
    </w:pPr>
  </w:style>
  <w:style w:type="paragraph" w:styleId="TOC8">
    <w:name w:val="toc 8"/>
    <w:basedOn w:val="Normal"/>
    <w:next w:val="Normal"/>
    <w:rsid w:val="00700E66"/>
    <w:pPr>
      <w:tabs>
        <w:tab w:val="right" w:leader="dot" w:pos="9029"/>
      </w:tabs>
      <w:ind w:left="1680"/>
    </w:pPr>
  </w:style>
  <w:style w:type="paragraph" w:styleId="TOC9">
    <w:name w:val="toc 9"/>
    <w:basedOn w:val="Normal"/>
    <w:next w:val="Normal"/>
    <w:rsid w:val="00700E66"/>
    <w:pPr>
      <w:tabs>
        <w:tab w:val="right" w:leader="dot" w:pos="9029"/>
      </w:tabs>
      <w:ind w:left="1920"/>
    </w:pPr>
  </w:style>
  <w:style w:type="paragraph" w:customStyle="1" w:styleId="TITLE1">
    <w:name w:val="TITLE1"/>
    <w:basedOn w:val="Normal"/>
    <w:next w:val="Normal"/>
    <w:rsid w:val="00700E66"/>
    <w:pPr>
      <w:spacing w:after="240"/>
      <w:jc w:val="center"/>
    </w:pPr>
    <w:rPr>
      <w:b/>
      <w:smallCaps/>
      <w:sz w:val="40"/>
    </w:rPr>
  </w:style>
  <w:style w:type="paragraph" w:customStyle="1" w:styleId="TITLE2">
    <w:name w:val="TITLE2"/>
    <w:basedOn w:val="TITLE1"/>
    <w:next w:val="Normal"/>
    <w:rsid w:val="00700E66"/>
    <w:rPr>
      <w:sz w:val="32"/>
    </w:rPr>
  </w:style>
  <w:style w:type="character" w:customStyle="1" w:styleId="BodyTextChar">
    <w:name w:val="Body Text Char"/>
    <w:aliases w:val="(Alt+1) Char,BodyText Char,body Char,text Char,Body Char,bt Char"/>
    <w:basedOn w:val="DefaultParagraphFont"/>
    <w:link w:val="BodyText"/>
    <w:rsid w:val="00700E66"/>
    <w:rPr>
      <w:sz w:val="24"/>
      <w:lang w:eastAsia="en-US"/>
    </w:rPr>
  </w:style>
  <w:style w:type="character" w:customStyle="1" w:styleId="BodyText2Char">
    <w:name w:val="Body Text 2 Char"/>
    <w:basedOn w:val="DefaultParagraphFont"/>
    <w:link w:val="BodyText2"/>
    <w:rsid w:val="00700E66"/>
    <w:rPr>
      <w:rFonts w:ascii="Tahoma" w:hAnsi="Tahoma"/>
      <w:b/>
      <w:i/>
      <w:vanish/>
      <w:color w:val="FF0000"/>
      <w:sz w:val="24"/>
      <w:lang w:eastAsia="en-US"/>
    </w:rPr>
  </w:style>
  <w:style w:type="character" w:customStyle="1" w:styleId="BodyText3Char">
    <w:name w:val="Body Text 3 Char"/>
    <w:basedOn w:val="DefaultParagraphFont"/>
    <w:link w:val="BodyText3"/>
    <w:rsid w:val="00700E66"/>
    <w:rPr>
      <w:color w:val="000000"/>
      <w:sz w:val="18"/>
      <w:lang w:eastAsia="en-US"/>
    </w:rPr>
  </w:style>
  <w:style w:type="character" w:customStyle="1" w:styleId="BodyTextIndentChar">
    <w:name w:val="Body Text Indent Char"/>
    <w:basedOn w:val="DefaultParagraphFont"/>
    <w:link w:val="BodyTextIndent"/>
    <w:rsid w:val="00700E66"/>
    <w:rPr>
      <w:color w:val="FF00FF"/>
      <w:sz w:val="24"/>
      <w:lang w:val="en-US" w:eastAsia="en-US"/>
    </w:rPr>
  </w:style>
  <w:style w:type="character" w:customStyle="1" w:styleId="DocumentMapChar">
    <w:name w:val="Document Map Char"/>
    <w:basedOn w:val="DefaultParagraphFont"/>
    <w:link w:val="DocumentMap"/>
    <w:semiHidden/>
    <w:rsid w:val="00700E66"/>
    <w:rPr>
      <w:rFonts w:ascii="Tahoma" w:hAnsi="Tahoma"/>
      <w:sz w:val="24"/>
      <w:shd w:val="clear" w:color="auto" w:fill="000080"/>
      <w:lang w:eastAsia="en-US"/>
    </w:rPr>
  </w:style>
  <w:style w:type="paragraph" w:styleId="NormalWeb">
    <w:name w:val="Normal (Web)"/>
    <w:basedOn w:val="Normal"/>
    <w:rsid w:val="00700E66"/>
    <w:pPr>
      <w:spacing w:before="61" w:after="68"/>
      <w:jc w:val="left"/>
    </w:pPr>
    <w:rPr>
      <w:lang w:val="en-GB" w:eastAsia="en-GB"/>
    </w:rPr>
  </w:style>
  <w:style w:type="character" w:styleId="HTMLAcronym">
    <w:name w:val="HTML Acronym"/>
    <w:basedOn w:val="DefaultParagraphFont"/>
    <w:rsid w:val="00700E66"/>
  </w:style>
  <w:style w:type="character" w:styleId="Strong">
    <w:name w:val="Strong"/>
    <w:basedOn w:val="DefaultParagraphFont"/>
    <w:qFormat/>
    <w:rsid w:val="00700E66"/>
    <w:rPr>
      <w:b/>
      <w:bCs/>
    </w:rPr>
  </w:style>
  <w:style w:type="character" w:customStyle="1" w:styleId="BalloonTextChar">
    <w:name w:val="Balloon Text Char"/>
    <w:basedOn w:val="DefaultParagraphFont"/>
    <w:link w:val="BalloonText"/>
    <w:rsid w:val="00700E66"/>
    <w:rPr>
      <w:rFonts w:ascii="Tahoma" w:hAnsi="Tahoma" w:cs="Tahoma"/>
      <w:sz w:val="16"/>
      <w:szCs w:val="16"/>
      <w:lang w:eastAsia="en-US"/>
    </w:rPr>
  </w:style>
  <w:style w:type="character" w:styleId="FollowedHyperlink">
    <w:name w:val="FollowedHyperlink"/>
    <w:basedOn w:val="DefaultParagraphFont"/>
    <w:rsid w:val="00700E66"/>
    <w:rPr>
      <w:color w:val="800080" w:themeColor="followedHyperlink"/>
      <w:u w:val="single"/>
    </w:rPr>
  </w:style>
  <w:style w:type="character" w:customStyle="1" w:styleId="bodyheading1">
    <w:name w:val="bodyheading1"/>
    <w:basedOn w:val="DefaultParagraphFont"/>
    <w:rsid w:val="00324356"/>
  </w:style>
  <w:style w:type="paragraph" w:styleId="ListParagraph">
    <w:name w:val="List Paragraph"/>
    <w:basedOn w:val="Normal"/>
    <w:uiPriority w:val="34"/>
    <w:qFormat/>
    <w:rsid w:val="004D5741"/>
    <w:pPr>
      <w:widowControl w:val="0"/>
      <w:kinsoku w:val="0"/>
      <w:ind w:left="720"/>
      <w:contextualSpacing/>
      <w:jc w:val="left"/>
    </w:pPr>
    <w:rPr>
      <w:rFonts w:eastAsiaTheme="minorEastAsia"/>
      <w:lang w:val="en-US" w:eastAsia="en-NZ"/>
    </w:rPr>
  </w:style>
  <w:style w:type="paragraph" w:styleId="Revision">
    <w:name w:val="Revision"/>
    <w:hidden/>
    <w:uiPriority w:val="99"/>
    <w:semiHidden/>
    <w:rsid w:val="00271287"/>
    <w:rPr>
      <w:lang w:eastAsia="en-US"/>
    </w:rPr>
  </w:style>
  <w:style w:type="table" w:customStyle="1" w:styleId="TableGrid1">
    <w:name w:val="Table Grid1"/>
    <w:basedOn w:val="TableNormal"/>
    <w:next w:val="TableGrid"/>
    <w:rsid w:val="000A1787"/>
    <w:pPr>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me">
    <w:name w:val="name"/>
    <w:basedOn w:val="DefaultParagraphFont"/>
    <w:rsid w:val="00DE0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78084">
      <w:bodyDiv w:val="1"/>
      <w:marLeft w:val="0"/>
      <w:marRight w:val="0"/>
      <w:marTop w:val="0"/>
      <w:marBottom w:val="0"/>
      <w:divBdr>
        <w:top w:val="none" w:sz="0" w:space="0" w:color="auto"/>
        <w:left w:val="none" w:sz="0" w:space="0" w:color="auto"/>
        <w:bottom w:val="none" w:sz="0" w:space="0" w:color="auto"/>
        <w:right w:val="none" w:sz="0" w:space="0" w:color="auto"/>
      </w:divBdr>
    </w:div>
    <w:div w:id="362947803">
      <w:bodyDiv w:val="1"/>
      <w:marLeft w:val="960"/>
      <w:marRight w:val="0"/>
      <w:marTop w:val="0"/>
      <w:marBottom w:val="0"/>
      <w:divBdr>
        <w:top w:val="none" w:sz="0" w:space="0" w:color="auto"/>
        <w:left w:val="none" w:sz="0" w:space="0" w:color="auto"/>
        <w:bottom w:val="none" w:sz="0" w:space="0" w:color="auto"/>
        <w:right w:val="none" w:sz="0" w:space="0" w:color="auto"/>
      </w:divBdr>
      <w:divsChild>
        <w:div w:id="63259516">
          <w:marLeft w:val="0"/>
          <w:marRight w:val="0"/>
          <w:marTop w:val="0"/>
          <w:marBottom w:val="0"/>
          <w:divBdr>
            <w:top w:val="none" w:sz="0" w:space="0" w:color="auto"/>
            <w:left w:val="none" w:sz="0" w:space="0" w:color="auto"/>
            <w:bottom w:val="none" w:sz="0" w:space="0" w:color="auto"/>
            <w:right w:val="none" w:sz="0" w:space="0" w:color="auto"/>
          </w:divBdr>
        </w:div>
      </w:divsChild>
    </w:div>
    <w:div w:id="644773992">
      <w:bodyDiv w:val="1"/>
      <w:marLeft w:val="960"/>
      <w:marRight w:val="0"/>
      <w:marTop w:val="0"/>
      <w:marBottom w:val="0"/>
      <w:divBdr>
        <w:top w:val="none" w:sz="0" w:space="0" w:color="auto"/>
        <w:left w:val="none" w:sz="0" w:space="0" w:color="auto"/>
        <w:bottom w:val="none" w:sz="0" w:space="0" w:color="auto"/>
        <w:right w:val="none" w:sz="0" w:space="0" w:color="auto"/>
      </w:divBdr>
      <w:divsChild>
        <w:div w:id="1170290806">
          <w:marLeft w:val="0"/>
          <w:marRight w:val="0"/>
          <w:marTop w:val="0"/>
          <w:marBottom w:val="0"/>
          <w:divBdr>
            <w:top w:val="none" w:sz="0" w:space="0" w:color="auto"/>
            <w:left w:val="none" w:sz="0" w:space="0" w:color="auto"/>
            <w:bottom w:val="none" w:sz="0" w:space="0" w:color="auto"/>
            <w:right w:val="none" w:sz="0" w:space="0" w:color="auto"/>
          </w:divBdr>
        </w:div>
      </w:divsChild>
    </w:div>
    <w:div w:id="979116252">
      <w:bodyDiv w:val="1"/>
      <w:marLeft w:val="960"/>
      <w:marRight w:val="0"/>
      <w:marTop w:val="0"/>
      <w:marBottom w:val="0"/>
      <w:divBdr>
        <w:top w:val="none" w:sz="0" w:space="0" w:color="auto"/>
        <w:left w:val="none" w:sz="0" w:space="0" w:color="auto"/>
        <w:bottom w:val="none" w:sz="0" w:space="0" w:color="auto"/>
        <w:right w:val="none" w:sz="0" w:space="0" w:color="auto"/>
      </w:divBdr>
      <w:divsChild>
        <w:div w:id="1446193210">
          <w:marLeft w:val="0"/>
          <w:marRight w:val="0"/>
          <w:marTop w:val="0"/>
          <w:marBottom w:val="0"/>
          <w:divBdr>
            <w:top w:val="none" w:sz="0" w:space="0" w:color="auto"/>
            <w:left w:val="none" w:sz="0" w:space="0" w:color="auto"/>
            <w:bottom w:val="none" w:sz="0" w:space="0" w:color="auto"/>
            <w:right w:val="none" w:sz="0" w:space="0" w:color="auto"/>
          </w:divBdr>
        </w:div>
      </w:divsChild>
    </w:div>
    <w:div w:id="1159731511">
      <w:bodyDiv w:val="1"/>
      <w:marLeft w:val="0"/>
      <w:marRight w:val="0"/>
      <w:marTop w:val="0"/>
      <w:marBottom w:val="0"/>
      <w:divBdr>
        <w:top w:val="none" w:sz="0" w:space="0" w:color="auto"/>
        <w:left w:val="none" w:sz="0" w:space="0" w:color="auto"/>
        <w:bottom w:val="none" w:sz="0" w:space="0" w:color="auto"/>
        <w:right w:val="none" w:sz="0" w:space="0" w:color="auto"/>
      </w:divBdr>
      <w:divsChild>
        <w:div w:id="416102492">
          <w:marLeft w:val="0"/>
          <w:marRight w:val="0"/>
          <w:marTop w:val="0"/>
          <w:marBottom w:val="0"/>
          <w:divBdr>
            <w:top w:val="none" w:sz="0" w:space="0" w:color="auto"/>
            <w:left w:val="none" w:sz="0" w:space="0" w:color="auto"/>
            <w:bottom w:val="none" w:sz="0" w:space="0" w:color="auto"/>
            <w:right w:val="none" w:sz="0" w:space="0" w:color="auto"/>
          </w:divBdr>
          <w:divsChild>
            <w:div w:id="2024938255">
              <w:marLeft w:val="0"/>
              <w:marRight w:val="0"/>
              <w:marTop w:val="0"/>
              <w:marBottom w:val="0"/>
              <w:divBdr>
                <w:top w:val="none" w:sz="0" w:space="0" w:color="auto"/>
                <w:left w:val="none" w:sz="0" w:space="0" w:color="auto"/>
                <w:bottom w:val="none" w:sz="0" w:space="0" w:color="auto"/>
                <w:right w:val="none" w:sz="0" w:space="0" w:color="auto"/>
              </w:divBdr>
              <w:divsChild>
                <w:div w:id="2089033166">
                  <w:marLeft w:val="0"/>
                  <w:marRight w:val="0"/>
                  <w:marTop w:val="0"/>
                  <w:marBottom w:val="0"/>
                  <w:divBdr>
                    <w:top w:val="none" w:sz="0" w:space="0" w:color="auto"/>
                    <w:left w:val="none" w:sz="0" w:space="0" w:color="auto"/>
                    <w:bottom w:val="none" w:sz="0" w:space="0" w:color="auto"/>
                    <w:right w:val="none" w:sz="0" w:space="0" w:color="auto"/>
                  </w:divBdr>
                  <w:divsChild>
                    <w:div w:id="678775353">
                      <w:marLeft w:val="0"/>
                      <w:marRight w:val="0"/>
                      <w:marTop w:val="0"/>
                      <w:marBottom w:val="0"/>
                      <w:divBdr>
                        <w:top w:val="none" w:sz="0" w:space="0" w:color="auto"/>
                        <w:left w:val="none" w:sz="0" w:space="0" w:color="auto"/>
                        <w:bottom w:val="none" w:sz="0" w:space="0" w:color="auto"/>
                        <w:right w:val="none" w:sz="0" w:space="0" w:color="auto"/>
                      </w:divBdr>
                      <w:divsChild>
                        <w:div w:id="35588898">
                          <w:marLeft w:val="0"/>
                          <w:marRight w:val="0"/>
                          <w:marTop w:val="0"/>
                          <w:marBottom w:val="0"/>
                          <w:divBdr>
                            <w:top w:val="none" w:sz="0" w:space="0" w:color="auto"/>
                            <w:left w:val="none" w:sz="0" w:space="0" w:color="auto"/>
                            <w:bottom w:val="none" w:sz="0" w:space="0" w:color="auto"/>
                            <w:right w:val="none" w:sz="0" w:space="0" w:color="auto"/>
                          </w:divBdr>
                          <w:divsChild>
                            <w:div w:id="150872160">
                              <w:marLeft w:val="0"/>
                              <w:marRight w:val="0"/>
                              <w:marTop w:val="0"/>
                              <w:marBottom w:val="0"/>
                              <w:divBdr>
                                <w:top w:val="none" w:sz="0" w:space="0" w:color="auto"/>
                                <w:left w:val="none" w:sz="0" w:space="0" w:color="auto"/>
                                <w:bottom w:val="none" w:sz="0" w:space="0" w:color="auto"/>
                                <w:right w:val="none" w:sz="0" w:space="0" w:color="auto"/>
                              </w:divBdr>
                              <w:divsChild>
                                <w:div w:id="1776442605">
                                  <w:marLeft w:val="0"/>
                                  <w:marRight w:val="0"/>
                                  <w:marTop w:val="0"/>
                                  <w:marBottom w:val="0"/>
                                  <w:divBdr>
                                    <w:top w:val="none" w:sz="0" w:space="0" w:color="auto"/>
                                    <w:left w:val="none" w:sz="0" w:space="0" w:color="auto"/>
                                    <w:bottom w:val="none" w:sz="0" w:space="0" w:color="auto"/>
                                    <w:right w:val="none" w:sz="0" w:space="0" w:color="auto"/>
                                  </w:divBdr>
                                  <w:divsChild>
                                    <w:div w:id="20019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734845">
      <w:bodyDiv w:val="1"/>
      <w:marLeft w:val="0"/>
      <w:marRight w:val="0"/>
      <w:marTop w:val="0"/>
      <w:marBottom w:val="0"/>
      <w:divBdr>
        <w:top w:val="none" w:sz="0" w:space="0" w:color="auto"/>
        <w:left w:val="none" w:sz="0" w:space="0" w:color="auto"/>
        <w:bottom w:val="none" w:sz="0" w:space="0" w:color="auto"/>
        <w:right w:val="none" w:sz="0" w:space="0" w:color="auto"/>
      </w:divBdr>
    </w:div>
    <w:div w:id="1219512775">
      <w:bodyDiv w:val="1"/>
      <w:marLeft w:val="0"/>
      <w:marRight w:val="0"/>
      <w:marTop w:val="0"/>
      <w:marBottom w:val="0"/>
      <w:divBdr>
        <w:top w:val="none" w:sz="0" w:space="0" w:color="auto"/>
        <w:left w:val="none" w:sz="0" w:space="0" w:color="auto"/>
        <w:bottom w:val="none" w:sz="0" w:space="0" w:color="auto"/>
        <w:right w:val="none" w:sz="0" w:space="0" w:color="auto"/>
      </w:divBdr>
    </w:div>
    <w:div w:id="1735085140">
      <w:bodyDiv w:val="1"/>
      <w:marLeft w:val="0"/>
      <w:marRight w:val="0"/>
      <w:marTop w:val="0"/>
      <w:marBottom w:val="0"/>
      <w:divBdr>
        <w:top w:val="none" w:sz="0" w:space="0" w:color="auto"/>
        <w:left w:val="none" w:sz="0" w:space="0" w:color="auto"/>
        <w:bottom w:val="none" w:sz="0" w:space="0" w:color="auto"/>
        <w:right w:val="none" w:sz="0" w:space="0" w:color="auto"/>
      </w:divBdr>
    </w:div>
    <w:div w:id="2133937460">
      <w:bodyDiv w:val="1"/>
      <w:marLeft w:val="960"/>
      <w:marRight w:val="0"/>
      <w:marTop w:val="0"/>
      <w:marBottom w:val="0"/>
      <w:divBdr>
        <w:top w:val="none" w:sz="0" w:space="0" w:color="auto"/>
        <w:left w:val="none" w:sz="0" w:space="0" w:color="auto"/>
        <w:bottom w:val="none" w:sz="0" w:space="0" w:color="auto"/>
        <w:right w:val="none" w:sz="0" w:space="0" w:color="auto"/>
      </w:divBdr>
      <w:divsChild>
        <w:div w:id="1606116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1.png"/><Relationship Id="rId26" Type="http://schemas.openxmlformats.org/officeDocument/2006/relationships/hyperlink" Target="http://www.oryza.com/" TargetMode="External"/><Relationship Id="rId39" Type="http://schemas.openxmlformats.org/officeDocument/2006/relationships/header" Target="header16.xml"/><Relationship Id="rId21" Type="http://schemas.openxmlformats.org/officeDocument/2006/relationships/hyperlink" Target="http://www.youtube.com/watch?v=y5ZOwi-xRLY" TargetMode="External"/><Relationship Id="rId34" Type="http://schemas.openxmlformats.org/officeDocument/2006/relationships/header" Target="header11.xml"/><Relationship Id="rId42" Type="http://schemas.openxmlformats.org/officeDocument/2006/relationships/image" Target="media/image7.png"/><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7.xml"/><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header" Target="header9.xml"/><Relationship Id="rId37" Type="http://schemas.openxmlformats.org/officeDocument/2006/relationships/header" Target="header14.xml"/><Relationship Id="rId40" Type="http://schemas.openxmlformats.org/officeDocument/2006/relationships/header" Target="header17.xml"/><Relationship Id="rId45"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hyperlink" Target="http://seedsoflifetimor.org/" TargetMode="External"/><Relationship Id="rId36" Type="http://schemas.openxmlformats.org/officeDocument/2006/relationships/header" Target="header13.xml"/><Relationship Id="rId49"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image" Target="media/image2.png"/><Relationship Id="rId31" Type="http://schemas.openxmlformats.org/officeDocument/2006/relationships/footer" Target="footer4.xml"/><Relationship Id="rId44"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hyperlink" Target="http://www.apsim.info/Wiki/Default.aspx?Page=APSIM-Model&amp;NS=&amp;AspxAutoDetectCookieSupport=1" TargetMode="External"/><Relationship Id="rId30" Type="http://schemas.openxmlformats.org/officeDocument/2006/relationships/header" Target="header8.xml"/><Relationship Id="rId35" Type="http://schemas.openxmlformats.org/officeDocument/2006/relationships/header" Target="header12.xml"/><Relationship Id="rId43" Type="http://schemas.openxmlformats.org/officeDocument/2006/relationships/header" Target="header19.xml"/><Relationship Id="rId4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oleObject" Target="embeddings/oleObject1.bin"/><Relationship Id="rId33" Type="http://schemas.openxmlformats.org/officeDocument/2006/relationships/header" Target="header10.xml"/><Relationship Id="rId38" Type="http://schemas.openxmlformats.org/officeDocument/2006/relationships/header" Target="header15.xml"/><Relationship Id="rId46" Type="http://schemas.openxmlformats.org/officeDocument/2006/relationships/header" Target="header21.xml"/><Relationship Id="rId20" Type="http://schemas.openxmlformats.org/officeDocument/2006/relationships/image" Target="media/image3.emf"/><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asti.cgiar.org/pdf/Global_revision.pdf" TargetMode="External"/><Relationship Id="rId2" Type="http://schemas.openxmlformats.org/officeDocument/2006/relationships/hyperlink" Target="http://www.odi.org.uk/resources/docs/6056.pdf" TargetMode="External"/><Relationship Id="rId1" Type="http://schemas.openxmlformats.org/officeDocument/2006/relationships/hyperlink" Target="http://www.pacificpolicy.org/2012/05/net-effec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ewrep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BDAFE-E334-4574-89E9-D5673C942F85}"/>
</file>

<file path=customXml/itemProps2.xml><?xml version="1.0" encoding="utf-8"?>
<ds:datastoreItem xmlns:ds="http://schemas.openxmlformats.org/officeDocument/2006/customXml" ds:itemID="{9AB45177-B359-45A3-BA65-B48F107D4299}"/>
</file>

<file path=customXml/itemProps3.xml><?xml version="1.0" encoding="utf-8"?>
<ds:datastoreItem xmlns:ds="http://schemas.openxmlformats.org/officeDocument/2006/customXml" ds:itemID="{AE9064C8-4CDA-4974-8EF0-92654E149558}"/>
</file>

<file path=customXml/itemProps4.xml><?xml version="1.0" encoding="utf-8"?>
<ds:datastoreItem xmlns:ds="http://schemas.openxmlformats.org/officeDocument/2006/customXml" ds:itemID="{FE4A69FC-193D-4B4A-8175-35FE6B70F6CE}"/>
</file>

<file path=docProps/app.xml><?xml version="1.0" encoding="utf-8"?>
<Properties xmlns="http://schemas.openxmlformats.org/officeDocument/2006/extended-properties" xmlns:vt="http://schemas.openxmlformats.org/officeDocument/2006/docPropsVTypes">
  <Template>newrep3.dot</Template>
  <TotalTime>0</TotalTime>
  <Pages>31</Pages>
  <Words>14574</Words>
  <Characters>80851</Characters>
  <Application>Microsoft Office Word</Application>
  <DocSecurity>0</DocSecurity>
  <Lines>1470</Lines>
  <Paragraphs>497</Paragraphs>
  <ScaleCrop>false</ScaleCrop>
  <HeadingPairs>
    <vt:vector size="2" baseType="variant">
      <vt:variant>
        <vt:lpstr>Title</vt:lpstr>
      </vt:variant>
      <vt:variant>
        <vt:i4>1</vt:i4>
      </vt:variant>
    </vt:vector>
  </HeadingPairs>
  <TitlesOfParts>
    <vt:vector size="1" baseType="lpstr">
      <vt:lpstr>Timor-Leste Seeds of Life (Phase 3)</vt:lpstr>
    </vt:vector>
  </TitlesOfParts>
  <Manager>AusAID</Manager>
  <Company>J.D.Fargher</Company>
  <LinksUpToDate>false</LinksUpToDate>
  <CharactersWithSpaces>94928</CharactersWithSpaces>
  <SharedDoc>false</SharedDoc>
  <HLinks>
    <vt:vector size="30" baseType="variant">
      <vt:variant>
        <vt:i4>1048627</vt:i4>
      </vt:variant>
      <vt:variant>
        <vt:i4>107</vt:i4>
      </vt:variant>
      <vt:variant>
        <vt:i4>0</vt:i4>
      </vt:variant>
      <vt:variant>
        <vt:i4>5</vt:i4>
      </vt:variant>
      <vt:variant>
        <vt:lpwstr/>
      </vt:variant>
      <vt:variant>
        <vt:lpwstr>_Toc253314359</vt:lpwstr>
      </vt:variant>
      <vt:variant>
        <vt:i4>1048627</vt:i4>
      </vt:variant>
      <vt:variant>
        <vt:i4>98</vt:i4>
      </vt:variant>
      <vt:variant>
        <vt:i4>0</vt:i4>
      </vt:variant>
      <vt:variant>
        <vt:i4>5</vt:i4>
      </vt:variant>
      <vt:variant>
        <vt:lpwstr/>
      </vt:variant>
      <vt:variant>
        <vt:lpwstr>_Toc253314358</vt:lpwstr>
      </vt:variant>
      <vt:variant>
        <vt:i4>1048627</vt:i4>
      </vt:variant>
      <vt:variant>
        <vt:i4>92</vt:i4>
      </vt:variant>
      <vt:variant>
        <vt:i4>0</vt:i4>
      </vt:variant>
      <vt:variant>
        <vt:i4>5</vt:i4>
      </vt:variant>
      <vt:variant>
        <vt:lpwstr/>
      </vt:variant>
      <vt:variant>
        <vt:lpwstr>_Toc253314357</vt:lpwstr>
      </vt:variant>
      <vt:variant>
        <vt:i4>1048627</vt:i4>
      </vt:variant>
      <vt:variant>
        <vt:i4>86</vt:i4>
      </vt:variant>
      <vt:variant>
        <vt:i4>0</vt:i4>
      </vt:variant>
      <vt:variant>
        <vt:i4>5</vt:i4>
      </vt:variant>
      <vt:variant>
        <vt:lpwstr/>
      </vt:variant>
      <vt:variant>
        <vt:lpwstr>_Toc253314356</vt:lpwstr>
      </vt:variant>
      <vt:variant>
        <vt:i4>1048627</vt:i4>
      </vt:variant>
      <vt:variant>
        <vt:i4>80</vt:i4>
      </vt:variant>
      <vt:variant>
        <vt:i4>0</vt:i4>
      </vt:variant>
      <vt:variant>
        <vt:i4>5</vt:i4>
      </vt:variant>
      <vt:variant>
        <vt:lpwstr/>
      </vt:variant>
      <vt:variant>
        <vt:lpwstr>_Toc253314355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Timor-Leste Seeds of Life (Phase 3)</dc:title>
  <dc:subject>Technical Advisory Group Report - Second Visit</dc:subject>
  <dc:creator>John Fargher and Greg Edmeades</dc:creator>
  <cp:lastModifiedBy>Tom Ffrench</cp:lastModifiedBy>
  <cp:revision>2</cp:revision>
  <cp:lastPrinted>2012-06-07T05:13:00Z</cp:lastPrinted>
  <dcterms:created xsi:type="dcterms:W3CDTF">2013-09-12T01:30:00Z</dcterms:created>
  <dcterms:modified xsi:type="dcterms:W3CDTF">2013-09-12T01:30:00Z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Order">
    <vt:r8>42800</vt:r8>
  </property>
  <property fmtid="{D5CDD505-2E9C-101B-9397-08002B2CF9AE}" pid="6" name="PublishingRollupImage">
    <vt:lpwstr/>
  </property>
  <property fmtid="{D5CDD505-2E9C-101B-9397-08002B2CF9AE}" pid="7" name="AusAIDAggregationLevel">
    <vt:lpwstr/>
  </property>
  <property fmtid="{D5CDD505-2E9C-101B-9397-08002B2CF9AE}" pid="9" name="PublishingContactEmail">
    <vt:lpwstr/>
  </property>
  <property fmtid="{D5CDD505-2E9C-101B-9397-08002B2CF9AE}" pid="10" name="AusAIDPageDescriptionMetadata">
    <vt:lpwstr/>
  </property>
  <property fmtid="{D5CDD505-2E9C-101B-9397-08002B2CF9AE}" pid="11" name="xd_Signature">
    <vt:bool>false</vt:bool>
  </property>
  <property fmtid="{D5CDD505-2E9C-101B-9397-08002B2CF9AE}" pid="13" name="xd_ProgID">
    <vt:lpwstr/>
  </property>
  <property fmtid="{D5CDD505-2E9C-101B-9397-08002B2CF9AE}" pid="14" name="PublishingContactPicture">
    <vt:lpwstr/>
  </property>
  <property fmtid="{D5CDD505-2E9C-101B-9397-08002B2CF9AE}" pid="15" name="PublishingVariationGroupID">
    <vt:lpwstr/>
  </property>
  <property fmtid="{D5CDD505-2E9C-101B-9397-08002B2CF9AE}" pid="16" name="AusAIDIdentifierMetadata">
    <vt:lpwstr/>
  </property>
  <property fmtid="{D5CDD505-2E9C-101B-9397-08002B2CF9AE}" pid="17" name="RSS Feed Link">
    <vt:lpwstr/>
  </property>
  <property fmtid="{D5CDD505-2E9C-101B-9397-08002B2CF9AE}" pid="18" name="PublishingVariationRelationshipLinkFieldID">
    <vt:lpwstr/>
  </property>
  <property fmtid="{D5CDD505-2E9C-101B-9397-08002B2CF9AE}" pid="19" name="PublishingContactName">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AusAIDPageSubjectMetadata">
    <vt:lpwstr/>
  </property>
  <property fmtid="{D5CDD505-2E9C-101B-9397-08002B2CF9AE}" pid="25" name="AusAIDCategoryMetadata">
    <vt:lpwstr/>
  </property>
  <property fmtid="{D5CDD505-2E9C-101B-9397-08002B2CF9AE}" pid="26" name="AusAIDDocumentTypeMetaData">
    <vt:lpwstr/>
  </property>
  <property fmtid="{D5CDD505-2E9C-101B-9397-08002B2CF9AE}" pid="27" name="WCMSLanguage">
    <vt:lpwstr/>
  </property>
  <property fmtid="{D5CDD505-2E9C-101B-9397-08002B2CF9AE}" pid="28" name="TemplateUrl">
    <vt:lpwstr/>
  </property>
  <property fmtid="{D5CDD505-2E9C-101B-9397-08002B2CF9AE}" pid="29" name="Audience">
    <vt:lpwstr/>
  </property>
</Properties>
</file>