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BC3D5" w14:textId="77777777" w:rsidR="00FE6F2A" w:rsidRDefault="00FE6F2A" w:rsidP="00F25A93">
      <w:pPr>
        <w:pStyle w:val="SpacebeforeTitle"/>
      </w:pPr>
      <w:bookmarkStart w:id="0" w:name="_GoBack"/>
      <w:bookmarkEnd w:id="0"/>
    </w:p>
    <w:p w14:paraId="2D8BC3DB" w14:textId="6DCF7D65" w:rsidR="00DE53B6" w:rsidRPr="007A5842" w:rsidRDefault="007A5842" w:rsidP="007A5842">
      <w:pPr>
        <w:rPr>
          <w:sz w:val="34"/>
          <w:szCs w:val="34"/>
        </w:rPr>
      </w:pPr>
      <w:r w:rsidRPr="007A5842">
        <w:rPr>
          <w:rFonts w:asciiTheme="majorHAnsi" w:eastAsiaTheme="majorEastAsia" w:hAnsiTheme="majorHAnsi" w:cstheme="majorBidi"/>
          <w:b/>
          <w:bCs/>
          <w:caps/>
          <w:spacing w:val="-10"/>
          <w:kern w:val="28"/>
          <w:sz w:val="34"/>
          <w:szCs w:val="34"/>
        </w:rPr>
        <w:t>Southeast Asia Economic Governance and Infrastructure FACILITY</w:t>
      </w:r>
    </w:p>
    <w:p w14:paraId="3EA86385" w14:textId="082D3D0E" w:rsidR="007A5842" w:rsidRPr="007B7918" w:rsidRDefault="007A5842" w:rsidP="007A5842">
      <w:pPr>
        <w:pStyle w:val="BodyText"/>
        <w:rPr>
          <w:color w:val="000000" w:themeColor="text1"/>
        </w:rPr>
      </w:pPr>
      <w:r w:rsidRPr="007B7918">
        <w:rPr>
          <w:color w:val="000000" w:themeColor="text1"/>
        </w:rPr>
        <w:t>Australia is committed to supporting Southeast Asian countries with the difficult reforms needed to unlock their economic growth potential</w:t>
      </w:r>
      <w:r w:rsidR="00043996">
        <w:rPr>
          <w:color w:val="000000" w:themeColor="text1"/>
        </w:rPr>
        <w:t xml:space="preserve"> and</w:t>
      </w:r>
      <w:r w:rsidRPr="007B7918">
        <w:rPr>
          <w:color w:val="000000" w:themeColor="text1"/>
        </w:rPr>
        <w:t xml:space="preserve"> </w:t>
      </w:r>
      <w:bookmarkStart w:id="1" w:name="_Hlk18307265"/>
      <w:r w:rsidRPr="007B7918">
        <w:rPr>
          <w:color w:val="000000" w:themeColor="text1"/>
        </w:rPr>
        <w:t>prepare and implement quality infrastructure projects</w:t>
      </w:r>
      <w:bookmarkEnd w:id="1"/>
      <w:r w:rsidRPr="007B7918">
        <w:rPr>
          <w:color w:val="000000" w:themeColor="text1"/>
        </w:rPr>
        <w:t>.</w:t>
      </w:r>
    </w:p>
    <w:p w14:paraId="5CFEAA53" w14:textId="64C65D48" w:rsidR="007A5842" w:rsidRPr="007B7918" w:rsidRDefault="007A5842" w:rsidP="007A5842">
      <w:pPr>
        <w:pStyle w:val="BodyText"/>
        <w:rPr>
          <w:color w:val="000000" w:themeColor="text1"/>
          <w:lang w:val="en-AU"/>
        </w:rPr>
      </w:pPr>
      <w:r w:rsidRPr="007B7918">
        <w:rPr>
          <w:color w:val="000000" w:themeColor="text1"/>
          <w:lang w:val="en-AU"/>
        </w:rPr>
        <w:t xml:space="preserve">The Australian Government </w:t>
      </w:r>
      <w:r w:rsidR="009B6566">
        <w:rPr>
          <w:color w:val="000000" w:themeColor="text1"/>
          <w:lang w:val="en-AU"/>
        </w:rPr>
        <w:t>is planning to</w:t>
      </w:r>
      <w:r w:rsidR="00ED45E9">
        <w:rPr>
          <w:color w:val="000000" w:themeColor="text1"/>
          <w:lang w:val="en-AU"/>
        </w:rPr>
        <w:t xml:space="preserve"> invest AUD</w:t>
      </w:r>
      <w:r w:rsidRPr="007B7918">
        <w:rPr>
          <w:color w:val="000000" w:themeColor="text1"/>
          <w:lang w:val="en-AU"/>
        </w:rPr>
        <w:t xml:space="preserve">15 million per year into a new facility to support government-to-government partnerships and other Australian institutional linkages with Southeast Asia, </w:t>
      </w:r>
      <w:r w:rsidR="00302CF5">
        <w:rPr>
          <w:color w:val="000000" w:themeColor="text1"/>
          <w:lang w:val="en-AU"/>
        </w:rPr>
        <w:t>aimed at</w:t>
      </w:r>
      <w:r w:rsidRPr="007B7918">
        <w:rPr>
          <w:color w:val="000000" w:themeColor="text1"/>
          <w:lang w:val="en-AU"/>
        </w:rPr>
        <w:t xml:space="preserve"> improving economic governance for better infrastructure outcomes.</w:t>
      </w:r>
    </w:p>
    <w:p w14:paraId="30D91728" w14:textId="0D050B2C" w:rsidR="007A5842" w:rsidRDefault="007A5842" w:rsidP="007A5842">
      <w:pPr>
        <w:pStyle w:val="BodyText"/>
        <w:rPr>
          <w:color w:val="000000" w:themeColor="text1"/>
          <w:lang w:val="en-AU"/>
        </w:rPr>
      </w:pPr>
      <w:r w:rsidRPr="007B7918">
        <w:rPr>
          <w:color w:val="000000" w:themeColor="text1"/>
          <w:lang w:val="en-AU"/>
        </w:rPr>
        <w:t>Australian agencies are well placed to partner with Southeast Asian counterparts</w:t>
      </w:r>
      <w:r w:rsidR="00C72613">
        <w:rPr>
          <w:color w:val="000000" w:themeColor="text1"/>
          <w:lang w:val="en-AU"/>
        </w:rPr>
        <w:t xml:space="preserve"> and regional bodies including ASEAN through their</w:t>
      </w:r>
      <w:r w:rsidRPr="007B7918">
        <w:rPr>
          <w:color w:val="000000" w:themeColor="text1"/>
          <w:lang w:val="en-AU"/>
        </w:rPr>
        <w:t xml:space="preserve"> common professional understanding of the work and the issues faced. Australia is keen to share the lessons and experience our governments and institutions have gained to help improve the infrastructure ecosystem in the region. The development of enduring relationships between Australian and Southeast Asian </w:t>
      </w:r>
      <w:r w:rsidR="004D2440">
        <w:rPr>
          <w:color w:val="000000" w:themeColor="text1"/>
          <w:lang w:val="en-AU"/>
        </w:rPr>
        <w:t>institutions</w:t>
      </w:r>
      <w:r w:rsidR="00C72613" w:rsidRPr="007B7918">
        <w:rPr>
          <w:color w:val="000000" w:themeColor="text1"/>
          <w:lang w:val="en-AU"/>
        </w:rPr>
        <w:t xml:space="preserve"> </w:t>
      </w:r>
      <w:r w:rsidRPr="007B7918">
        <w:rPr>
          <w:color w:val="000000" w:themeColor="text1"/>
          <w:lang w:val="en-AU"/>
        </w:rPr>
        <w:t>h</w:t>
      </w:r>
      <w:r w:rsidR="009B6566">
        <w:rPr>
          <w:color w:val="000000" w:themeColor="text1"/>
          <w:lang w:val="en-AU"/>
        </w:rPr>
        <w:t>as value for all parties and is expected to</w:t>
      </w:r>
      <w:r w:rsidRPr="007B7918">
        <w:rPr>
          <w:color w:val="000000" w:themeColor="text1"/>
          <w:lang w:val="en-AU"/>
        </w:rPr>
        <w:t xml:space="preserve"> be strengthened through this new facility.</w:t>
      </w:r>
    </w:p>
    <w:p w14:paraId="3A1D92B2" w14:textId="499317A7" w:rsidR="009A5C98" w:rsidRDefault="00C72613" w:rsidP="007A5842">
      <w:pPr>
        <w:pStyle w:val="BodyText"/>
        <w:rPr>
          <w:color w:val="000000" w:themeColor="text1"/>
          <w:lang w:val="en-AU"/>
        </w:rPr>
      </w:pPr>
      <w:r>
        <w:rPr>
          <w:color w:val="000000" w:themeColor="text1"/>
          <w:lang w:val="en-AU"/>
        </w:rPr>
        <w:t xml:space="preserve">During </w:t>
      </w:r>
      <w:r w:rsidR="009A5C98">
        <w:rPr>
          <w:color w:val="000000" w:themeColor="text1"/>
          <w:lang w:val="en-AU"/>
        </w:rPr>
        <w:t xml:space="preserve">July and August 2019 consultations were </w:t>
      </w:r>
      <w:r>
        <w:rPr>
          <w:color w:val="000000" w:themeColor="text1"/>
          <w:lang w:val="en-AU"/>
        </w:rPr>
        <w:t xml:space="preserve">undertaken throughout </w:t>
      </w:r>
      <w:r w:rsidR="009A5C98">
        <w:rPr>
          <w:color w:val="000000" w:themeColor="text1"/>
          <w:lang w:val="en-AU"/>
        </w:rPr>
        <w:t xml:space="preserve">Southeast Asia.  </w:t>
      </w:r>
      <w:r w:rsidR="00EA6CDA">
        <w:rPr>
          <w:color w:val="000000" w:themeColor="text1"/>
          <w:lang w:val="en-AU"/>
        </w:rPr>
        <w:t>A</w:t>
      </w:r>
      <w:r w:rsidR="009A5C98">
        <w:rPr>
          <w:color w:val="000000" w:themeColor="text1"/>
          <w:lang w:val="en-AU"/>
        </w:rPr>
        <w:t xml:space="preserve"> wide range of stakeholders </w:t>
      </w:r>
      <w:r w:rsidR="00043996">
        <w:rPr>
          <w:color w:val="000000" w:themeColor="text1"/>
          <w:lang w:val="en-AU"/>
        </w:rPr>
        <w:t xml:space="preserve">provided insights into </w:t>
      </w:r>
      <w:r>
        <w:rPr>
          <w:color w:val="000000" w:themeColor="text1"/>
          <w:lang w:val="en-AU"/>
        </w:rPr>
        <w:t>the opportunities for increase</w:t>
      </w:r>
      <w:r w:rsidR="00302CF5">
        <w:rPr>
          <w:color w:val="000000" w:themeColor="text1"/>
          <w:lang w:val="en-AU"/>
        </w:rPr>
        <w:t>d</w:t>
      </w:r>
      <w:r>
        <w:rPr>
          <w:color w:val="000000" w:themeColor="text1"/>
          <w:lang w:val="en-AU"/>
        </w:rPr>
        <w:t xml:space="preserve"> engagement, where Australian experience is of greatest </w:t>
      </w:r>
      <w:r w:rsidR="00DC30DA">
        <w:rPr>
          <w:color w:val="000000" w:themeColor="text1"/>
          <w:lang w:val="en-AU"/>
        </w:rPr>
        <w:t>relevance</w:t>
      </w:r>
      <w:r>
        <w:rPr>
          <w:color w:val="000000" w:themeColor="text1"/>
          <w:lang w:val="en-AU"/>
        </w:rPr>
        <w:t xml:space="preserve"> and </w:t>
      </w:r>
      <w:r w:rsidR="00043996">
        <w:rPr>
          <w:color w:val="000000" w:themeColor="text1"/>
          <w:lang w:val="en-AU"/>
        </w:rPr>
        <w:t xml:space="preserve">how government partnerships </w:t>
      </w:r>
      <w:r w:rsidR="00DC30DA">
        <w:rPr>
          <w:color w:val="000000" w:themeColor="text1"/>
          <w:lang w:val="en-AU"/>
        </w:rPr>
        <w:t>may</w:t>
      </w:r>
      <w:r w:rsidR="00043996">
        <w:rPr>
          <w:color w:val="000000" w:themeColor="text1"/>
          <w:lang w:val="en-AU"/>
        </w:rPr>
        <w:t xml:space="preserve"> </w:t>
      </w:r>
      <w:r>
        <w:rPr>
          <w:color w:val="000000" w:themeColor="text1"/>
          <w:lang w:val="en-AU"/>
        </w:rPr>
        <w:t xml:space="preserve">help support </w:t>
      </w:r>
      <w:r w:rsidR="00DC30DA">
        <w:rPr>
          <w:color w:val="000000" w:themeColor="text1"/>
          <w:lang w:val="en-AU"/>
        </w:rPr>
        <w:t xml:space="preserve">improved </w:t>
      </w:r>
      <w:r>
        <w:rPr>
          <w:color w:val="000000" w:themeColor="text1"/>
          <w:lang w:val="en-AU"/>
        </w:rPr>
        <w:t>infrastructure decision-making and</w:t>
      </w:r>
      <w:r w:rsidR="00043996">
        <w:rPr>
          <w:color w:val="000000" w:themeColor="text1"/>
          <w:lang w:val="en-AU"/>
        </w:rPr>
        <w:t xml:space="preserve"> the </w:t>
      </w:r>
      <w:r w:rsidR="00043996" w:rsidRPr="00043996">
        <w:rPr>
          <w:color w:val="000000" w:themeColor="text1"/>
          <w:lang w:val="en-AU"/>
        </w:rPr>
        <w:t>prepar</w:t>
      </w:r>
      <w:r w:rsidR="00043996">
        <w:rPr>
          <w:color w:val="000000" w:themeColor="text1"/>
          <w:lang w:val="en-AU"/>
        </w:rPr>
        <w:t>ation</w:t>
      </w:r>
      <w:r w:rsidR="00043996" w:rsidRPr="00043996">
        <w:rPr>
          <w:color w:val="000000" w:themeColor="text1"/>
          <w:lang w:val="en-AU"/>
        </w:rPr>
        <w:t xml:space="preserve"> and </w:t>
      </w:r>
      <w:r w:rsidR="00043996">
        <w:rPr>
          <w:color w:val="000000" w:themeColor="text1"/>
          <w:lang w:val="en-AU"/>
        </w:rPr>
        <w:t>implementation of</w:t>
      </w:r>
      <w:r w:rsidR="00043996" w:rsidRPr="00043996">
        <w:rPr>
          <w:color w:val="000000" w:themeColor="text1"/>
          <w:lang w:val="en-AU"/>
        </w:rPr>
        <w:t xml:space="preserve"> quality infrastructure projects</w:t>
      </w:r>
      <w:r w:rsidR="00043996">
        <w:rPr>
          <w:color w:val="000000" w:themeColor="text1"/>
          <w:lang w:val="en-AU"/>
        </w:rPr>
        <w:t>.</w:t>
      </w:r>
    </w:p>
    <w:p w14:paraId="58849CFC" w14:textId="34BA9676" w:rsidR="00BC08B5" w:rsidRDefault="00C72613" w:rsidP="00EA6CDA">
      <w:pPr>
        <w:pStyle w:val="BodyText"/>
        <w:rPr>
          <w:color w:val="000000" w:themeColor="text1"/>
          <w:lang w:val="en-AU"/>
        </w:rPr>
      </w:pPr>
      <w:r>
        <w:rPr>
          <w:color w:val="000000" w:themeColor="text1"/>
          <w:lang w:val="en-AU"/>
        </w:rPr>
        <w:t>Acknowledging</w:t>
      </w:r>
      <w:r w:rsidR="00EA6CDA">
        <w:rPr>
          <w:color w:val="000000" w:themeColor="text1"/>
          <w:lang w:val="en-AU"/>
        </w:rPr>
        <w:t xml:space="preserve"> the G20 </w:t>
      </w:r>
      <w:r w:rsidR="00EA6CDA" w:rsidRPr="00EA6CDA">
        <w:rPr>
          <w:color w:val="000000" w:themeColor="text1"/>
          <w:lang w:val="en-AU"/>
        </w:rPr>
        <w:t xml:space="preserve">Principles </w:t>
      </w:r>
      <w:r w:rsidR="00EA6CDA">
        <w:rPr>
          <w:color w:val="000000" w:themeColor="text1"/>
          <w:lang w:val="en-AU"/>
        </w:rPr>
        <w:t>f</w:t>
      </w:r>
      <w:r w:rsidR="00EA6CDA" w:rsidRPr="00EA6CDA">
        <w:rPr>
          <w:color w:val="000000" w:themeColor="text1"/>
          <w:lang w:val="en-AU"/>
        </w:rPr>
        <w:t>or Quality Infrastructure Investment</w:t>
      </w:r>
      <w:r w:rsidR="00EA6CDA">
        <w:rPr>
          <w:color w:val="000000" w:themeColor="text1"/>
          <w:lang w:val="en-AU"/>
        </w:rPr>
        <w:t xml:space="preserve"> (June 2019)</w:t>
      </w:r>
      <w:r w:rsidR="00302CF5">
        <w:rPr>
          <w:color w:val="000000" w:themeColor="text1"/>
          <w:lang w:val="en-AU"/>
        </w:rPr>
        <w:t>,</w:t>
      </w:r>
      <w:r w:rsidR="00EA6CDA">
        <w:rPr>
          <w:color w:val="000000" w:themeColor="text1"/>
          <w:lang w:val="en-AU"/>
        </w:rPr>
        <w:t xml:space="preserve"> </w:t>
      </w:r>
      <w:r>
        <w:rPr>
          <w:color w:val="000000" w:themeColor="text1"/>
          <w:lang w:val="en-AU"/>
        </w:rPr>
        <w:t xml:space="preserve">integrating </w:t>
      </w:r>
      <w:r w:rsidR="00EA6CDA">
        <w:rPr>
          <w:color w:val="000000" w:themeColor="text1"/>
          <w:lang w:val="en-AU"/>
        </w:rPr>
        <w:t>climate change resilience and s</w:t>
      </w:r>
      <w:r w:rsidR="00EA6CDA" w:rsidRPr="00EA6CDA">
        <w:rPr>
          <w:color w:val="000000" w:themeColor="text1"/>
          <w:lang w:val="en-AU"/>
        </w:rPr>
        <w:t xml:space="preserve">ocial </w:t>
      </w:r>
      <w:r w:rsidR="00EA6CDA">
        <w:rPr>
          <w:color w:val="000000" w:themeColor="text1"/>
          <w:lang w:val="en-AU"/>
        </w:rPr>
        <w:t>c</w:t>
      </w:r>
      <w:r w:rsidR="00EA6CDA" w:rsidRPr="00EA6CDA">
        <w:rPr>
          <w:color w:val="000000" w:themeColor="text1"/>
          <w:lang w:val="en-AU"/>
        </w:rPr>
        <w:t>onsiderations</w:t>
      </w:r>
      <w:r w:rsidR="00EA6CDA">
        <w:rPr>
          <w:color w:val="000000" w:themeColor="text1"/>
          <w:lang w:val="en-AU"/>
        </w:rPr>
        <w:t xml:space="preserve"> </w:t>
      </w:r>
      <w:r>
        <w:rPr>
          <w:color w:val="000000" w:themeColor="text1"/>
          <w:lang w:val="en-AU"/>
        </w:rPr>
        <w:t>throughout the infrastructure investment cycle</w:t>
      </w:r>
      <w:r w:rsidR="00EA6CDA">
        <w:rPr>
          <w:color w:val="000000" w:themeColor="text1"/>
          <w:lang w:val="en-AU"/>
        </w:rPr>
        <w:t xml:space="preserve"> </w:t>
      </w:r>
      <w:r>
        <w:rPr>
          <w:color w:val="000000" w:themeColor="text1"/>
          <w:lang w:val="en-AU"/>
        </w:rPr>
        <w:t xml:space="preserve">are </w:t>
      </w:r>
      <w:r w:rsidR="00BC08B5">
        <w:rPr>
          <w:color w:val="000000" w:themeColor="text1"/>
          <w:lang w:val="en-AU"/>
        </w:rPr>
        <w:t>considered</w:t>
      </w:r>
      <w:r w:rsidR="00EA6CDA">
        <w:rPr>
          <w:color w:val="000000" w:themeColor="text1"/>
          <w:lang w:val="en-AU"/>
        </w:rPr>
        <w:t xml:space="preserve"> essential </w:t>
      </w:r>
      <w:r>
        <w:rPr>
          <w:color w:val="000000" w:themeColor="text1"/>
          <w:lang w:val="en-AU"/>
        </w:rPr>
        <w:t xml:space="preserve">to </w:t>
      </w:r>
      <w:r w:rsidR="00EA6CDA">
        <w:rPr>
          <w:color w:val="000000" w:themeColor="text1"/>
          <w:lang w:val="en-AU"/>
        </w:rPr>
        <w:t>m</w:t>
      </w:r>
      <w:r w:rsidR="00EA6CDA" w:rsidRPr="00EA6CDA">
        <w:rPr>
          <w:color w:val="000000" w:themeColor="text1"/>
          <w:lang w:val="en-AU"/>
        </w:rPr>
        <w:t>aximiz</w:t>
      </w:r>
      <w:r w:rsidR="00302CF5">
        <w:rPr>
          <w:color w:val="000000" w:themeColor="text1"/>
          <w:lang w:val="en-AU"/>
        </w:rPr>
        <w:t>e</w:t>
      </w:r>
      <w:r w:rsidR="00EA6CDA" w:rsidRPr="00EA6CDA">
        <w:rPr>
          <w:color w:val="000000" w:themeColor="text1"/>
          <w:lang w:val="en-AU"/>
        </w:rPr>
        <w:t xml:space="preserve"> positive impact </w:t>
      </w:r>
      <w:r>
        <w:rPr>
          <w:color w:val="000000" w:themeColor="text1"/>
          <w:lang w:val="en-AU"/>
        </w:rPr>
        <w:t>and achieve</w:t>
      </w:r>
      <w:r w:rsidR="00EA6CDA" w:rsidRPr="00EA6CDA">
        <w:rPr>
          <w:color w:val="000000" w:themeColor="text1"/>
          <w:lang w:val="en-AU"/>
        </w:rPr>
        <w:t xml:space="preserve"> sustainable</w:t>
      </w:r>
      <w:r w:rsidR="00EA6CDA">
        <w:rPr>
          <w:color w:val="000000" w:themeColor="text1"/>
          <w:lang w:val="en-AU"/>
        </w:rPr>
        <w:t xml:space="preserve"> </w:t>
      </w:r>
      <w:r w:rsidR="00EA6CDA" w:rsidRPr="00EA6CDA">
        <w:rPr>
          <w:color w:val="000000" w:themeColor="text1"/>
          <w:lang w:val="en-AU"/>
        </w:rPr>
        <w:t>growth and development</w:t>
      </w:r>
      <w:r w:rsidR="00EA6CDA">
        <w:rPr>
          <w:color w:val="000000" w:themeColor="text1"/>
          <w:lang w:val="en-AU"/>
        </w:rPr>
        <w:t xml:space="preserve">. </w:t>
      </w:r>
      <w:r w:rsidR="009B6566">
        <w:rPr>
          <w:color w:val="000000" w:themeColor="text1"/>
          <w:lang w:val="en-AU"/>
        </w:rPr>
        <w:t xml:space="preserve">The facility is </w:t>
      </w:r>
      <w:r w:rsidR="00BC08B5">
        <w:rPr>
          <w:color w:val="000000" w:themeColor="text1"/>
          <w:lang w:val="en-AU"/>
        </w:rPr>
        <w:t xml:space="preserve">therefore </w:t>
      </w:r>
      <w:r w:rsidR="009B6566">
        <w:rPr>
          <w:color w:val="000000" w:themeColor="text1"/>
          <w:lang w:val="en-AU"/>
        </w:rPr>
        <w:t xml:space="preserve">expected to </w:t>
      </w:r>
      <w:r w:rsidR="00BC08B5">
        <w:rPr>
          <w:color w:val="000000" w:themeColor="text1"/>
          <w:lang w:val="en-AU"/>
        </w:rPr>
        <w:t>implement c</w:t>
      </w:r>
      <w:r w:rsidR="00EA6CDA">
        <w:rPr>
          <w:color w:val="000000" w:themeColor="text1"/>
          <w:lang w:val="en-AU"/>
        </w:rPr>
        <w:t>limate change</w:t>
      </w:r>
      <w:r w:rsidR="00DC30DA">
        <w:rPr>
          <w:color w:val="000000" w:themeColor="text1"/>
          <w:lang w:val="en-AU"/>
        </w:rPr>
        <w:t xml:space="preserve"> resilience</w:t>
      </w:r>
      <w:r w:rsidR="00EA6CDA">
        <w:rPr>
          <w:color w:val="000000" w:themeColor="text1"/>
          <w:lang w:val="en-AU"/>
        </w:rPr>
        <w:t xml:space="preserve">, </w:t>
      </w:r>
      <w:r w:rsidR="00EA6CDA" w:rsidRPr="00EA6CDA">
        <w:rPr>
          <w:color w:val="000000" w:themeColor="text1"/>
          <w:lang w:val="en-AU"/>
        </w:rPr>
        <w:t xml:space="preserve">gender equality and social inclusion </w:t>
      </w:r>
      <w:r w:rsidR="00302CF5">
        <w:rPr>
          <w:color w:val="000000" w:themeColor="text1"/>
          <w:lang w:val="en-AU"/>
        </w:rPr>
        <w:t>as overarching principles</w:t>
      </w:r>
      <w:r w:rsidR="00BC08B5">
        <w:rPr>
          <w:color w:val="000000" w:themeColor="text1"/>
          <w:lang w:val="en-AU"/>
        </w:rPr>
        <w:t>.</w:t>
      </w:r>
      <w:r w:rsidR="00EA6CDA">
        <w:rPr>
          <w:color w:val="000000" w:themeColor="text1"/>
          <w:lang w:val="en-AU"/>
        </w:rPr>
        <w:t xml:space="preserve"> </w:t>
      </w:r>
    </w:p>
    <w:p w14:paraId="261BBFE9" w14:textId="7A608DB3" w:rsidR="00043996" w:rsidRDefault="009B6566" w:rsidP="00EA6CDA">
      <w:pPr>
        <w:pStyle w:val="BodyText"/>
        <w:rPr>
          <w:color w:val="000000" w:themeColor="text1"/>
          <w:lang w:val="en-AU"/>
        </w:rPr>
      </w:pPr>
      <w:r>
        <w:rPr>
          <w:color w:val="000000" w:themeColor="text1"/>
          <w:lang w:val="en-AU"/>
        </w:rPr>
        <w:t>There are t</w:t>
      </w:r>
      <w:r w:rsidR="00302CF5">
        <w:rPr>
          <w:color w:val="000000" w:themeColor="text1"/>
          <w:lang w:val="en-AU"/>
        </w:rPr>
        <w:t xml:space="preserve">hree </w:t>
      </w:r>
      <w:r>
        <w:rPr>
          <w:color w:val="000000" w:themeColor="text1"/>
          <w:lang w:val="en-AU"/>
        </w:rPr>
        <w:t xml:space="preserve">proposed </w:t>
      </w:r>
      <w:r w:rsidR="00302CF5">
        <w:rPr>
          <w:color w:val="000000" w:themeColor="text1"/>
          <w:lang w:val="en-AU"/>
        </w:rPr>
        <w:t xml:space="preserve">focus areas </w:t>
      </w:r>
      <w:r w:rsidR="00DC30DA">
        <w:rPr>
          <w:color w:val="000000" w:themeColor="text1"/>
          <w:lang w:val="en-AU"/>
        </w:rPr>
        <w:t xml:space="preserve">for the facility </w:t>
      </w:r>
      <w:r>
        <w:rPr>
          <w:color w:val="000000" w:themeColor="text1"/>
          <w:lang w:val="en-AU"/>
        </w:rPr>
        <w:t>that are intended to</w:t>
      </w:r>
      <w:r w:rsidR="00DC30DA">
        <w:rPr>
          <w:color w:val="000000" w:themeColor="text1"/>
          <w:lang w:val="en-AU"/>
        </w:rPr>
        <w:t xml:space="preserve"> support improved infrastructure</w:t>
      </w:r>
      <w:r w:rsidR="00C72613">
        <w:rPr>
          <w:color w:val="000000" w:themeColor="text1"/>
          <w:lang w:val="en-AU"/>
        </w:rPr>
        <w:t xml:space="preserve"> decision-making and draw </w:t>
      </w:r>
      <w:r w:rsidR="00C72613" w:rsidRPr="007B7918">
        <w:rPr>
          <w:color w:val="000000" w:themeColor="text1"/>
          <w:lang w:val="en-AU"/>
        </w:rPr>
        <w:t>on Australia’s strengths and identified areas of expertise</w:t>
      </w:r>
      <w:r w:rsidR="00C72613">
        <w:rPr>
          <w:color w:val="000000" w:themeColor="text1"/>
          <w:lang w:val="en-AU"/>
        </w:rPr>
        <w:t>. C</w:t>
      </w:r>
      <w:r w:rsidR="00BC08B5" w:rsidRPr="00BC08B5">
        <w:rPr>
          <w:color w:val="000000" w:themeColor="text1"/>
          <w:lang w:val="en-AU"/>
        </w:rPr>
        <w:t xml:space="preserve">limate change, gender equality and social inclusion </w:t>
      </w:r>
      <w:r w:rsidR="00BC08B5">
        <w:rPr>
          <w:color w:val="000000" w:themeColor="text1"/>
          <w:lang w:val="en-AU"/>
        </w:rPr>
        <w:t xml:space="preserve">will be integrated </w:t>
      </w:r>
      <w:r w:rsidR="001F429F">
        <w:rPr>
          <w:color w:val="000000" w:themeColor="text1"/>
          <w:lang w:val="en-AU"/>
        </w:rPr>
        <w:t>throughout</w:t>
      </w:r>
      <w:r w:rsidR="00BC08B5" w:rsidRPr="007B7918">
        <w:rPr>
          <w:color w:val="000000" w:themeColor="text1"/>
          <w:lang w:val="en-AU"/>
        </w:rPr>
        <w:t>.</w:t>
      </w:r>
      <w:r w:rsidR="00BC08B5">
        <w:rPr>
          <w:color w:val="000000" w:themeColor="text1"/>
          <w:lang w:val="en-AU"/>
        </w:rPr>
        <w:t xml:space="preserve"> </w:t>
      </w:r>
      <w:r w:rsidR="00BC08B5" w:rsidRPr="007B7918">
        <w:rPr>
          <w:color w:val="000000" w:themeColor="text1"/>
          <w:lang w:val="en-AU"/>
        </w:rPr>
        <w:t xml:space="preserve">The </w:t>
      </w:r>
      <w:r w:rsidR="00BC08B5">
        <w:rPr>
          <w:color w:val="000000" w:themeColor="text1"/>
          <w:lang w:val="en-AU"/>
        </w:rPr>
        <w:t>three</w:t>
      </w:r>
      <w:r w:rsidR="00BC08B5" w:rsidRPr="007B7918">
        <w:rPr>
          <w:color w:val="000000" w:themeColor="text1"/>
          <w:lang w:val="en-AU"/>
        </w:rPr>
        <w:t xml:space="preserve"> </w:t>
      </w:r>
      <w:r>
        <w:rPr>
          <w:color w:val="000000" w:themeColor="text1"/>
          <w:lang w:val="en-AU"/>
        </w:rPr>
        <w:t xml:space="preserve">proposed </w:t>
      </w:r>
      <w:r w:rsidR="0091235B">
        <w:rPr>
          <w:color w:val="000000" w:themeColor="text1"/>
          <w:lang w:val="en-AU"/>
        </w:rPr>
        <w:t>areas</w:t>
      </w:r>
      <w:r w:rsidR="0067714E">
        <w:rPr>
          <w:color w:val="000000" w:themeColor="text1"/>
          <w:lang w:val="en-AU"/>
        </w:rPr>
        <w:t xml:space="preserve"> are</w:t>
      </w:r>
      <w:r w:rsidR="00BC08B5" w:rsidRPr="007B7918">
        <w:rPr>
          <w:color w:val="000000" w:themeColor="text1"/>
          <w:lang w:val="en-AU"/>
        </w:rPr>
        <w:t>:</w:t>
      </w:r>
    </w:p>
    <w:p w14:paraId="0A61C42C" w14:textId="77777777" w:rsidR="00BC08B5" w:rsidRPr="007B7918" w:rsidRDefault="00BC08B5" w:rsidP="00BC08B5">
      <w:pPr>
        <w:pStyle w:val="ListBullet"/>
        <w:rPr>
          <w:color w:val="000000" w:themeColor="text1"/>
          <w:sz w:val="22"/>
          <w:lang w:val="en-AU"/>
        </w:rPr>
      </w:pPr>
      <w:r w:rsidRPr="007B7918">
        <w:rPr>
          <w:bCs/>
          <w:color w:val="000000" w:themeColor="text1"/>
          <w:sz w:val="22"/>
          <w:lang w:val="en-AU"/>
        </w:rPr>
        <w:t>planning and prioritisation</w:t>
      </w:r>
      <w:r w:rsidRPr="007B7918">
        <w:rPr>
          <w:color w:val="000000" w:themeColor="text1"/>
          <w:sz w:val="22"/>
          <w:lang w:val="en-AU"/>
        </w:rPr>
        <w:t xml:space="preserve"> of project</w:t>
      </w:r>
      <w:r>
        <w:rPr>
          <w:color w:val="000000" w:themeColor="text1"/>
          <w:sz w:val="22"/>
          <w:lang w:val="en-AU"/>
        </w:rPr>
        <w:t>s</w:t>
      </w:r>
    </w:p>
    <w:p w14:paraId="63AF8BAC" w14:textId="54108FBE" w:rsidR="00BC08B5" w:rsidRPr="007B7918" w:rsidRDefault="00BC08B5" w:rsidP="00BC08B5">
      <w:pPr>
        <w:pStyle w:val="ListBullet"/>
        <w:rPr>
          <w:color w:val="000000" w:themeColor="text1"/>
          <w:sz w:val="22"/>
          <w:lang w:val="en-AU"/>
        </w:rPr>
      </w:pPr>
      <w:r w:rsidRPr="007B7918">
        <w:rPr>
          <w:bCs/>
          <w:color w:val="000000" w:themeColor="text1"/>
          <w:sz w:val="22"/>
          <w:lang w:val="en-AU"/>
        </w:rPr>
        <w:t>implementation support for public infrastructure procurement</w:t>
      </w:r>
      <w:r w:rsidRPr="007B7918">
        <w:rPr>
          <w:color w:val="000000" w:themeColor="text1"/>
          <w:sz w:val="22"/>
          <w:lang w:val="en-AU"/>
        </w:rPr>
        <w:t xml:space="preserve"> (including </w:t>
      </w:r>
      <w:r w:rsidR="00DC30DA">
        <w:rPr>
          <w:color w:val="000000" w:themeColor="text1"/>
          <w:sz w:val="22"/>
          <w:lang w:val="en-AU"/>
        </w:rPr>
        <w:t xml:space="preserve">traditional government budget-funded projects, </w:t>
      </w:r>
      <w:r w:rsidRPr="007B7918">
        <w:rPr>
          <w:color w:val="000000" w:themeColor="text1"/>
          <w:sz w:val="22"/>
          <w:lang w:val="en-AU"/>
        </w:rPr>
        <w:t>public–private partnerships, contract management and service level agreements)</w:t>
      </w:r>
    </w:p>
    <w:p w14:paraId="608E2E75" w14:textId="060D2D99" w:rsidR="00BC08B5" w:rsidRPr="007B7918" w:rsidRDefault="00BC08B5" w:rsidP="00967955">
      <w:pPr>
        <w:pStyle w:val="ListBullet"/>
        <w:spacing w:after="120"/>
        <w:rPr>
          <w:color w:val="000000" w:themeColor="text1"/>
          <w:sz w:val="22"/>
          <w:lang w:val="en-AU"/>
        </w:rPr>
      </w:pPr>
      <w:proofErr w:type="gramStart"/>
      <w:r w:rsidRPr="007B7918">
        <w:rPr>
          <w:bCs/>
          <w:color w:val="000000" w:themeColor="text1"/>
          <w:sz w:val="22"/>
          <w:lang w:val="en-AU"/>
        </w:rPr>
        <w:t>sector</w:t>
      </w:r>
      <w:proofErr w:type="gramEnd"/>
      <w:r w:rsidRPr="007B7918">
        <w:rPr>
          <w:bCs/>
          <w:color w:val="000000" w:themeColor="text1"/>
          <w:sz w:val="22"/>
          <w:lang w:val="en-AU"/>
        </w:rPr>
        <w:t xml:space="preserve"> policy and regulation</w:t>
      </w:r>
      <w:r w:rsidRPr="007B7918">
        <w:rPr>
          <w:color w:val="000000" w:themeColor="text1"/>
          <w:sz w:val="22"/>
          <w:lang w:val="en-AU"/>
        </w:rPr>
        <w:t xml:space="preserve"> (e.g. market operation and regulation, competition policy, oversight of infrastructure quality and pricing)</w:t>
      </w:r>
      <w:r w:rsidR="00BE5E05">
        <w:rPr>
          <w:color w:val="000000" w:themeColor="text1"/>
          <w:sz w:val="22"/>
          <w:lang w:val="en-AU"/>
        </w:rPr>
        <w:t>.</w:t>
      </w:r>
    </w:p>
    <w:p w14:paraId="50EF9859" w14:textId="32EF8A77" w:rsidR="00043996" w:rsidRPr="007B7918" w:rsidRDefault="00DC30DA" w:rsidP="007A5842">
      <w:pPr>
        <w:pStyle w:val="BodyText"/>
        <w:rPr>
          <w:color w:val="000000" w:themeColor="text1"/>
          <w:lang w:val="en-AU"/>
        </w:rPr>
      </w:pPr>
      <w:r>
        <w:rPr>
          <w:bCs/>
          <w:color w:val="000000" w:themeColor="text1"/>
          <w:lang w:val="en-AU"/>
        </w:rPr>
        <w:t>T</w:t>
      </w:r>
      <w:r w:rsidR="00BC08B5">
        <w:rPr>
          <w:bCs/>
          <w:color w:val="000000" w:themeColor="text1"/>
          <w:lang w:val="en-AU"/>
        </w:rPr>
        <w:t xml:space="preserve">he facility </w:t>
      </w:r>
      <w:r w:rsidR="009B6566">
        <w:rPr>
          <w:bCs/>
          <w:color w:val="000000" w:themeColor="text1"/>
          <w:lang w:val="en-AU"/>
        </w:rPr>
        <w:t>is planning to</w:t>
      </w:r>
      <w:r w:rsidR="00302CF5">
        <w:rPr>
          <w:bCs/>
          <w:color w:val="000000" w:themeColor="text1"/>
          <w:lang w:val="en-AU"/>
        </w:rPr>
        <w:t xml:space="preserve"> </w:t>
      </w:r>
      <w:r w:rsidR="00BC08B5" w:rsidRPr="007B7918">
        <w:rPr>
          <w:color w:val="000000" w:themeColor="text1"/>
          <w:lang w:val="en-AU"/>
        </w:rPr>
        <w:t xml:space="preserve">support </w:t>
      </w:r>
      <w:r w:rsidR="00503457">
        <w:rPr>
          <w:color w:val="000000" w:themeColor="text1"/>
          <w:lang w:val="en-AU"/>
        </w:rPr>
        <w:t xml:space="preserve">outcomes in these areas </w:t>
      </w:r>
      <w:r w:rsidR="00BC08B5" w:rsidRPr="007B7918">
        <w:rPr>
          <w:color w:val="000000" w:themeColor="text1"/>
          <w:lang w:val="en-AU"/>
        </w:rPr>
        <w:t xml:space="preserve">through </w:t>
      </w:r>
      <w:r w:rsidR="00BC08B5">
        <w:rPr>
          <w:color w:val="000000" w:themeColor="text1"/>
          <w:lang w:val="en-AU"/>
        </w:rPr>
        <w:t>four</w:t>
      </w:r>
      <w:r w:rsidR="009B6566">
        <w:rPr>
          <w:color w:val="000000" w:themeColor="text1"/>
          <w:lang w:val="en-AU"/>
        </w:rPr>
        <w:t xml:space="preserve"> proposed</w:t>
      </w:r>
      <w:r w:rsidR="00BC08B5" w:rsidRPr="007B7918">
        <w:rPr>
          <w:color w:val="000000" w:themeColor="text1"/>
          <w:lang w:val="en-AU"/>
        </w:rPr>
        <w:t xml:space="preserve"> </w:t>
      </w:r>
      <w:r w:rsidR="00BC08B5">
        <w:rPr>
          <w:color w:val="000000" w:themeColor="text1"/>
          <w:lang w:val="en-AU"/>
        </w:rPr>
        <w:t xml:space="preserve">mutually reinforcing </w:t>
      </w:r>
      <w:r w:rsidR="00503457">
        <w:rPr>
          <w:color w:val="000000" w:themeColor="text1"/>
          <w:lang w:val="en-AU"/>
        </w:rPr>
        <w:t>approaches</w:t>
      </w:r>
      <w:r w:rsidR="00BC08B5">
        <w:rPr>
          <w:color w:val="000000" w:themeColor="text1"/>
          <w:lang w:val="en-AU"/>
        </w:rPr>
        <w:t>:</w:t>
      </w:r>
    </w:p>
    <w:p w14:paraId="05971F04" w14:textId="3164570A" w:rsidR="007A5842" w:rsidRPr="007B7918" w:rsidRDefault="007A5842" w:rsidP="00503457">
      <w:pPr>
        <w:pStyle w:val="ListBullet"/>
        <w:rPr>
          <w:lang w:val="en-AU"/>
        </w:rPr>
      </w:pPr>
      <w:r w:rsidRPr="00967955">
        <w:rPr>
          <w:bCs/>
          <w:color w:val="000000" w:themeColor="text1"/>
          <w:sz w:val="22"/>
          <w:lang w:val="en-AU"/>
        </w:rPr>
        <w:t>a quick response mechanism featuring high calibre, internationally credible, senior advisers</w:t>
      </w:r>
      <w:r w:rsidR="00503457" w:rsidRPr="00967955">
        <w:rPr>
          <w:bCs/>
          <w:color w:val="000000" w:themeColor="text1"/>
          <w:sz w:val="22"/>
          <w:lang w:val="en-AU"/>
        </w:rPr>
        <w:t xml:space="preserve"> </w:t>
      </w:r>
      <w:r w:rsidR="00503457">
        <w:rPr>
          <w:bCs/>
          <w:color w:val="000000" w:themeColor="text1"/>
          <w:sz w:val="22"/>
          <w:lang w:val="en-AU"/>
        </w:rPr>
        <w:t xml:space="preserve">that </w:t>
      </w:r>
      <w:r w:rsidR="00503457" w:rsidRPr="00503457">
        <w:rPr>
          <w:bCs/>
          <w:color w:val="000000" w:themeColor="text1"/>
          <w:sz w:val="22"/>
          <w:lang w:val="en-AU"/>
        </w:rPr>
        <w:t>will be available to provide advice at short notice to Southeast Asian governments</w:t>
      </w:r>
      <w:r w:rsidR="00503457">
        <w:rPr>
          <w:bCs/>
          <w:color w:val="000000" w:themeColor="text1"/>
          <w:sz w:val="22"/>
          <w:lang w:val="en-AU"/>
        </w:rPr>
        <w:t xml:space="preserve"> and regional institutions</w:t>
      </w:r>
    </w:p>
    <w:p w14:paraId="118D95C7" w14:textId="3A3FD251" w:rsidR="007A5842" w:rsidRDefault="007A5842" w:rsidP="007A5842">
      <w:pPr>
        <w:pStyle w:val="ListBullet"/>
        <w:rPr>
          <w:bCs/>
          <w:color w:val="000000" w:themeColor="text1"/>
          <w:sz w:val="22"/>
          <w:lang w:val="en-AU"/>
        </w:rPr>
      </w:pPr>
      <w:r w:rsidRPr="007B7918">
        <w:rPr>
          <w:bCs/>
          <w:color w:val="000000" w:themeColor="text1"/>
          <w:sz w:val="22"/>
          <w:lang w:val="en-AU"/>
        </w:rPr>
        <w:t xml:space="preserve">long term engagement through </w:t>
      </w:r>
      <w:r w:rsidR="00ED45E9">
        <w:rPr>
          <w:bCs/>
          <w:color w:val="000000" w:themeColor="text1"/>
          <w:sz w:val="22"/>
          <w:lang w:val="en-AU"/>
        </w:rPr>
        <w:t>government-to-</w:t>
      </w:r>
      <w:r w:rsidRPr="007B7918">
        <w:rPr>
          <w:bCs/>
          <w:color w:val="000000" w:themeColor="text1"/>
          <w:sz w:val="22"/>
          <w:lang w:val="en-AU"/>
        </w:rPr>
        <w:t>government partnerships that will offer access to Australian government and industry expertise</w:t>
      </w:r>
    </w:p>
    <w:p w14:paraId="70DDBF53" w14:textId="60826944" w:rsidR="00BC08B5" w:rsidRDefault="00503457" w:rsidP="007A5842">
      <w:pPr>
        <w:pStyle w:val="ListBullet"/>
        <w:rPr>
          <w:bCs/>
          <w:color w:val="000000" w:themeColor="text1"/>
          <w:sz w:val="22"/>
          <w:lang w:val="en-AU"/>
        </w:rPr>
      </w:pPr>
      <w:r>
        <w:rPr>
          <w:bCs/>
          <w:color w:val="000000" w:themeColor="text1"/>
          <w:sz w:val="22"/>
          <w:lang w:val="en-AU"/>
        </w:rPr>
        <w:t>t</w:t>
      </w:r>
      <w:r w:rsidR="00BE5E05">
        <w:rPr>
          <w:bCs/>
          <w:color w:val="000000" w:themeColor="text1"/>
          <w:sz w:val="22"/>
          <w:lang w:val="en-AU"/>
        </w:rPr>
        <w:t>echnical a</w:t>
      </w:r>
      <w:r w:rsidR="00BC08B5">
        <w:rPr>
          <w:bCs/>
          <w:color w:val="000000" w:themeColor="text1"/>
          <w:sz w:val="22"/>
          <w:lang w:val="en-AU"/>
        </w:rPr>
        <w:t>ssistance that supplements and supports the government to government partnerships, and</w:t>
      </w:r>
    </w:p>
    <w:p w14:paraId="29224536" w14:textId="3E8F99F9" w:rsidR="00BC08B5" w:rsidRDefault="00503457" w:rsidP="00967955">
      <w:pPr>
        <w:pStyle w:val="ListBullet"/>
        <w:spacing w:after="120"/>
        <w:rPr>
          <w:bCs/>
          <w:color w:val="000000" w:themeColor="text1"/>
          <w:sz w:val="22"/>
          <w:lang w:val="en-AU"/>
        </w:rPr>
      </w:pPr>
      <w:proofErr w:type="gramStart"/>
      <w:r>
        <w:rPr>
          <w:bCs/>
          <w:color w:val="000000" w:themeColor="text1"/>
          <w:sz w:val="22"/>
          <w:lang w:val="en-AU"/>
        </w:rPr>
        <w:t>r</w:t>
      </w:r>
      <w:r w:rsidR="00BC08B5">
        <w:rPr>
          <w:bCs/>
          <w:color w:val="000000" w:themeColor="text1"/>
          <w:sz w:val="22"/>
          <w:lang w:val="en-AU"/>
        </w:rPr>
        <w:t>egional</w:t>
      </w:r>
      <w:proofErr w:type="gramEnd"/>
      <w:r w:rsidR="00BC08B5">
        <w:rPr>
          <w:bCs/>
          <w:color w:val="000000" w:themeColor="text1"/>
          <w:sz w:val="22"/>
          <w:lang w:val="en-AU"/>
        </w:rPr>
        <w:t xml:space="preserve"> networking and learning, </w:t>
      </w:r>
      <w:r w:rsidR="00BC08B5" w:rsidRPr="00BC08B5">
        <w:rPr>
          <w:bCs/>
          <w:color w:val="000000" w:themeColor="text1"/>
          <w:sz w:val="22"/>
          <w:lang w:val="en-AU"/>
        </w:rPr>
        <w:t>focusing on specific issues which bring together Australian know-how and countries</w:t>
      </w:r>
      <w:r w:rsidR="00E82152" w:rsidRPr="00E82152">
        <w:rPr>
          <w:bCs/>
          <w:color w:val="000000" w:themeColor="text1"/>
          <w:sz w:val="22"/>
          <w:lang w:val="en-AU"/>
        </w:rPr>
        <w:t xml:space="preserve"> </w:t>
      </w:r>
      <w:r w:rsidR="00E82152">
        <w:rPr>
          <w:bCs/>
          <w:color w:val="000000" w:themeColor="text1"/>
          <w:sz w:val="22"/>
          <w:lang w:val="en-AU"/>
        </w:rPr>
        <w:t xml:space="preserve">in the </w:t>
      </w:r>
      <w:r w:rsidR="00E82152" w:rsidRPr="00BC08B5">
        <w:rPr>
          <w:bCs/>
          <w:color w:val="000000" w:themeColor="text1"/>
          <w:sz w:val="22"/>
          <w:lang w:val="en-AU"/>
        </w:rPr>
        <w:t>region</w:t>
      </w:r>
      <w:r w:rsidR="00E82152">
        <w:rPr>
          <w:bCs/>
          <w:color w:val="000000" w:themeColor="text1"/>
          <w:sz w:val="22"/>
          <w:lang w:val="en-AU"/>
        </w:rPr>
        <w:t>.</w:t>
      </w:r>
    </w:p>
    <w:p w14:paraId="5579F946" w14:textId="4DD0D6AC" w:rsidR="007A5842" w:rsidRPr="007B7918" w:rsidRDefault="00503457" w:rsidP="007A5842">
      <w:pPr>
        <w:pStyle w:val="BodyText"/>
        <w:rPr>
          <w:color w:val="000000" w:themeColor="text1"/>
          <w:lang w:val="en-AU"/>
        </w:rPr>
      </w:pPr>
      <w:r>
        <w:rPr>
          <w:color w:val="000000" w:themeColor="text1"/>
          <w:lang w:val="en-AU"/>
        </w:rPr>
        <w:t>The facility, primarily through th</w:t>
      </w:r>
      <w:r w:rsidR="009B6566">
        <w:rPr>
          <w:color w:val="000000" w:themeColor="text1"/>
          <w:lang w:val="en-AU"/>
        </w:rPr>
        <w:t>e quick response mechanism, is expected to</w:t>
      </w:r>
      <w:r w:rsidR="007A5842" w:rsidRPr="007B7918">
        <w:rPr>
          <w:color w:val="000000" w:themeColor="text1"/>
          <w:lang w:val="en-AU"/>
        </w:rPr>
        <w:t xml:space="preserve"> identify opportunities f</w:t>
      </w:r>
      <w:r w:rsidR="00443429">
        <w:rPr>
          <w:color w:val="000000" w:themeColor="text1"/>
          <w:lang w:val="en-AU"/>
        </w:rPr>
        <w:t>or longer term partnerships between</w:t>
      </w:r>
      <w:r w:rsidR="007A5842" w:rsidRPr="007B7918">
        <w:rPr>
          <w:color w:val="000000" w:themeColor="text1"/>
          <w:lang w:val="en-AU"/>
        </w:rPr>
        <w:t xml:space="preserve"> Australian </w:t>
      </w:r>
      <w:r w:rsidR="00443429">
        <w:rPr>
          <w:color w:val="000000" w:themeColor="text1"/>
          <w:lang w:val="en-AU"/>
        </w:rPr>
        <w:t>and Southeast Asian ag</w:t>
      </w:r>
      <w:r w:rsidR="007A5842" w:rsidRPr="007B7918">
        <w:rPr>
          <w:color w:val="000000" w:themeColor="text1"/>
          <w:lang w:val="en-AU"/>
        </w:rPr>
        <w:t>encies</w:t>
      </w:r>
      <w:r>
        <w:rPr>
          <w:color w:val="000000" w:themeColor="text1"/>
          <w:lang w:val="en-AU"/>
        </w:rPr>
        <w:t xml:space="preserve"> </w:t>
      </w:r>
      <w:r w:rsidR="00443429">
        <w:rPr>
          <w:color w:val="000000" w:themeColor="text1"/>
          <w:lang w:val="en-AU"/>
        </w:rPr>
        <w:t xml:space="preserve">that </w:t>
      </w:r>
      <w:r>
        <w:rPr>
          <w:color w:val="000000" w:themeColor="text1"/>
          <w:lang w:val="en-AU"/>
        </w:rPr>
        <w:t>support policy and regulatory reform in the three focus areas</w:t>
      </w:r>
      <w:r w:rsidR="007A5842" w:rsidRPr="007B7918">
        <w:rPr>
          <w:color w:val="000000" w:themeColor="text1"/>
          <w:lang w:val="en-AU"/>
        </w:rPr>
        <w:t xml:space="preserve">. Activities </w:t>
      </w:r>
      <w:r w:rsidR="009B6566">
        <w:rPr>
          <w:color w:val="000000" w:themeColor="text1"/>
          <w:lang w:val="en-AU"/>
        </w:rPr>
        <w:t>are expected</w:t>
      </w:r>
      <w:r w:rsidR="003A53EA">
        <w:rPr>
          <w:color w:val="000000" w:themeColor="text1"/>
          <w:lang w:val="en-AU"/>
        </w:rPr>
        <w:t xml:space="preserve"> to</w:t>
      </w:r>
      <w:r w:rsidR="007A5842" w:rsidRPr="007B7918">
        <w:rPr>
          <w:color w:val="000000" w:themeColor="text1"/>
          <w:lang w:val="en-AU"/>
        </w:rPr>
        <w:t xml:space="preserve"> </w:t>
      </w:r>
      <w:r w:rsidR="00302CF5">
        <w:rPr>
          <w:color w:val="000000" w:themeColor="text1"/>
          <w:lang w:val="en-AU"/>
        </w:rPr>
        <w:t>be selected based on</w:t>
      </w:r>
      <w:r w:rsidR="00144DAF">
        <w:rPr>
          <w:color w:val="000000" w:themeColor="text1"/>
          <w:lang w:val="en-AU"/>
        </w:rPr>
        <w:t xml:space="preserve"> </w:t>
      </w:r>
      <w:r w:rsidR="007A5842" w:rsidRPr="007B7918">
        <w:rPr>
          <w:color w:val="000000" w:themeColor="text1"/>
          <w:lang w:val="en-AU"/>
        </w:rPr>
        <w:t>issues and areas of engagement that:</w:t>
      </w:r>
    </w:p>
    <w:p w14:paraId="435CC8AC" w14:textId="0D9A7860" w:rsidR="007A5842" w:rsidRPr="007B7918" w:rsidRDefault="00ED45E9" w:rsidP="007A5842">
      <w:pPr>
        <w:pStyle w:val="ListBullet"/>
        <w:rPr>
          <w:color w:val="000000" w:themeColor="text1"/>
          <w:sz w:val="22"/>
          <w:lang w:val="en-AU"/>
        </w:rPr>
      </w:pPr>
      <w:r>
        <w:rPr>
          <w:bCs/>
          <w:color w:val="000000" w:themeColor="text1"/>
          <w:sz w:val="22"/>
          <w:lang w:val="en-AU"/>
        </w:rPr>
        <w:t>aim to</w:t>
      </w:r>
      <w:r w:rsidR="007A5842" w:rsidRPr="007B7918">
        <w:rPr>
          <w:color w:val="000000" w:themeColor="text1"/>
          <w:sz w:val="22"/>
          <w:lang w:val="en-AU"/>
        </w:rPr>
        <w:t xml:space="preserve"> deliver improvements in infrastructure decision-making</w:t>
      </w:r>
    </w:p>
    <w:p w14:paraId="598B4AF2" w14:textId="77777777" w:rsidR="007A5842" w:rsidRPr="007B7918" w:rsidRDefault="007A5842" w:rsidP="007A5842">
      <w:pPr>
        <w:pStyle w:val="ListBullet"/>
        <w:rPr>
          <w:color w:val="000000" w:themeColor="text1"/>
          <w:sz w:val="22"/>
          <w:lang w:val="en-AU"/>
        </w:rPr>
      </w:pPr>
      <w:r w:rsidRPr="007B7918">
        <w:rPr>
          <w:bCs/>
          <w:color w:val="000000" w:themeColor="text1"/>
          <w:sz w:val="22"/>
          <w:lang w:val="en-AU"/>
        </w:rPr>
        <w:t>draw on Australian distinctiveness and depth of expertise</w:t>
      </w:r>
      <w:r w:rsidRPr="007B7918">
        <w:rPr>
          <w:color w:val="000000" w:themeColor="text1"/>
          <w:sz w:val="22"/>
          <w:lang w:val="en-AU"/>
        </w:rPr>
        <w:t xml:space="preserve"> </w:t>
      </w:r>
    </w:p>
    <w:p w14:paraId="4FC7054C" w14:textId="77777777" w:rsidR="007A5842" w:rsidRPr="007B7918" w:rsidRDefault="007A5842" w:rsidP="007A5842">
      <w:pPr>
        <w:pStyle w:val="ListBullet"/>
        <w:rPr>
          <w:color w:val="000000" w:themeColor="text1"/>
          <w:sz w:val="22"/>
          <w:lang w:val="en-AU"/>
        </w:rPr>
      </w:pPr>
      <w:r w:rsidRPr="007B7918">
        <w:rPr>
          <w:color w:val="000000" w:themeColor="text1"/>
          <w:sz w:val="22"/>
          <w:lang w:val="en-AU"/>
        </w:rPr>
        <w:t>are</w:t>
      </w:r>
      <w:r w:rsidRPr="007B7918">
        <w:rPr>
          <w:bCs/>
          <w:color w:val="000000" w:themeColor="text1"/>
          <w:sz w:val="22"/>
          <w:lang w:val="en-AU"/>
        </w:rPr>
        <w:t xml:space="preserve"> complementary to</w:t>
      </w:r>
      <w:r w:rsidRPr="007B7918">
        <w:rPr>
          <w:color w:val="000000" w:themeColor="text1"/>
          <w:sz w:val="22"/>
          <w:lang w:val="en-AU"/>
        </w:rPr>
        <w:t xml:space="preserve"> the work of others</w:t>
      </w:r>
    </w:p>
    <w:p w14:paraId="21231738" w14:textId="4B69C8A4" w:rsidR="007A5842" w:rsidRPr="007B7918" w:rsidRDefault="007A5842" w:rsidP="007A5842">
      <w:pPr>
        <w:pStyle w:val="ListBullet"/>
        <w:rPr>
          <w:color w:val="000000" w:themeColor="text1"/>
          <w:sz w:val="22"/>
          <w:lang w:val="en-AU"/>
        </w:rPr>
      </w:pPr>
      <w:r w:rsidRPr="007B7918">
        <w:rPr>
          <w:bCs/>
          <w:color w:val="000000" w:themeColor="text1"/>
          <w:sz w:val="22"/>
          <w:lang w:val="en-AU"/>
        </w:rPr>
        <w:t>deliver value for money</w:t>
      </w:r>
      <w:r w:rsidR="00245F57">
        <w:rPr>
          <w:color w:val="000000" w:themeColor="text1"/>
          <w:sz w:val="22"/>
          <w:lang w:val="en-AU"/>
        </w:rPr>
        <w:t xml:space="preserve"> </w:t>
      </w:r>
    </w:p>
    <w:p w14:paraId="5A3E7451" w14:textId="079DD721" w:rsidR="007A5842" w:rsidRPr="001D6B56" w:rsidRDefault="00ED45E9" w:rsidP="007A5842">
      <w:pPr>
        <w:pStyle w:val="ListBullet"/>
        <w:rPr>
          <w:color w:val="000000" w:themeColor="text1"/>
          <w:sz w:val="22"/>
          <w:lang w:val="en-AU"/>
        </w:rPr>
      </w:pPr>
      <w:r>
        <w:rPr>
          <w:bCs/>
          <w:color w:val="000000" w:themeColor="text1"/>
          <w:sz w:val="22"/>
          <w:lang w:val="en-AU"/>
        </w:rPr>
        <w:t>strengthen</w:t>
      </w:r>
      <w:r w:rsidR="007A5842" w:rsidRPr="007B7918">
        <w:rPr>
          <w:bCs/>
          <w:color w:val="000000" w:themeColor="text1"/>
          <w:sz w:val="22"/>
          <w:lang w:val="en-AU"/>
        </w:rPr>
        <w:t xml:space="preserve"> government-to-government </w:t>
      </w:r>
      <w:r>
        <w:rPr>
          <w:bCs/>
          <w:color w:val="000000" w:themeColor="text1"/>
          <w:sz w:val="22"/>
          <w:lang w:val="en-AU"/>
        </w:rPr>
        <w:t>relationships</w:t>
      </w:r>
      <w:r w:rsidR="007A5842" w:rsidRPr="007B7918">
        <w:rPr>
          <w:bCs/>
          <w:color w:val="000000" w:themeColor="text1"/>
          <w:sz w:val="22"/>
          <w:lang w:val="en-AU"/>
        </w:rPr>
        <w:t>.</w:t>
      </w:r>
    </w:p>
    <w:p w14:paraId="4D52C423" w14:textId="328A31AE" w:rsidR="001D6B56" w:rsidRDefault="001D6B56" w:rsidP="00967955">
      <w:pPr>
        <w:pStyle w:val="ListBullet"/>
        <w:numPr>
          <w:ilvl w:val="0"/>
          <w:numId w:val="0"/>
        </w:numPr>
        <w:ind w:left="284"/>
        <w:rPr>
          <w:color w:val="000000" w:themeColor="text1"/>
          <w:sz w:val="22"/>
          <w:lang w:val="en-AU"/>
        </w:rPr>
      </w:pPr>
    </w:p>
    <w:p w14:paraId="7AA0B10E" w14:textId="77777777" w:rsidR="001D6B56" w:rsidRPr="007B7918" w:rsidRDefault="001D6B56" w:rsidP="00967955">
      <w:pPr>
        <w:pStyle w:val="ListBullet"/>
        <w:numPr>
          <w:ilvl w:val="0"/>
          <w:numId w:val="0"/>
        </w:numPr>
        <w:ind w:left="284"/>
        <w:rPr>
          <w:color w:val="000000" w:themeColor="text1"/>
          <w:sz w:val="22"/>
          <w:lang w:val="en-AU"/>
        </w:rPr>
      </w:pPr>
    </w:p>
    <w:p w14:paraId="29013160" w14:textId="46744D74" w:rsidR="007A5842" w:rsidRPr="007B7918" w:rsidRDefault="007A5842" w:rsidP="007A5842">
      <w:pPr>
        <w:pStyle w:val="BodyText"/>
        <w:rPr>
          <w:color w:val="000000" w:themeColor="text1"/>
          <w:lang w:val="en-AU"/>
        </w:rPr>
      </w:pPr>
      <w:r w:rsidRPr="007B7918">
        <w:rPr>
          <w:color w:val="000000" w:themeColor="text1"/>
          <w:lang w:val="en-AU"/>
        </w:rPr>
        <w:t xml:space="preserve">The facility will build on Australia’s existing institutional and other relationships in Southeast Asia. This includes Australia’s embassies and high commissions, existing government-to-government relationships and Australian bilateral </w:t>
      </w:r>
      <w:r w:rsidR="001D6B56">
        <w:rPr>
          <w:color w:val="000000" w:themeColor="text1"/>
          <w:lang w:val="en-AU"/>
        </w:rPr>
        <w:t xml:space="preserve">and regional </w:t>
      </w:r>
      <w:r w:rsidRPr="007B7918">
        <w:rPr>
          <w:color w:val="000000" w:themeColor="text1"/>
          <w:lang w:val="en-AU"/>
        </w:rPr>
        <w:t>investments in the region.</w:t>
      </w:r>
      <w:r w:rsidR="00144DAF">
        <w:rPr>
          <w:color w:val="000000" w:themeColor="text1"/>
          <w:lang w:val="en-AU"/>
        </w:rPr>
        <w:t xml:space="preserve"> The facility will also work closely with the multilateral development banks, other bilateral donors and regional institutions focussed on infrastructure-related issues.</w:t>
      </w:r>
      <w:r w:rsidRPr="007B7918">
        <w:rPr>
          <w:color w:val="000000" w:themeColor="text1"/>
          <w:lang w:val="en-AU"/>
        </w:rPr>
        <w:t xml:space="preserve"> </w:t>
      </w:r>
    </w:p>
    <w:p w14:paraId="2DD00392" w14:textId="03BCC1A2" w:rsidR="007A5842" w:rsidRPr="007B7918" w:rsidRDefault="00E82152" w:rsidP="007A5842">
      <w:pPr>
        <w:pStyle w:val="BodyText"/>
        <w:rPr>
          <w:color w:val="000000" w:themeColor="text1"/>
          <w:lang w:val="en-AU"/>
        </w:rPr>
      </w:pPr>
      <w:r>
        <w:rPr>
          <w:color w:val="000000" w:themeColor="text1"/>
          <w:lang w:val="en-AU"/>
        </w:rPr>
        <w:t xml:space="preserve">The facility </w:t>
      </w:r>
      <w:r w:rsidR="003A53EA">
        <w:rPr>
          <w:color w:val="000000" w:themeColor="text1"/>
          <w:lang w:val="en-AU"/>
        </w:rPr>
        <w:t xml:space="preserve">is expected to </w:t>
      </w:r>
      <w:r>
        <w:rPr>
          <w:color w:val="000000" w:themeColor="text1"/>
          <w:lang w:val="en-AU"/>
        </w:rPr>
        <w:t xml:space="preserve">be led by DFAT and supported by </w:t>
      </w:r>
      <w:r w:rsidR="001F429F">
        <w:rPr>
          <w:color w:val="000000" w:themeColor="text1"/>
          <w:lang w:val="en-AU"/>
        </w:rPr>
        <w:t xml:space="preserve">high calibre </w:t>
      </w:r>
      <w:r>
        <w:rPr>
          <w:color w:val="000000" w:themeColor="text1"/>
          <w:lang w:val="en-AU"/>
        </w:rPr>
        <w:t xml:space="preserve">contracted </w:t>
      </w:r>
      <w:r w:rsidR="001F429F">
        <w:rPr>
          <w:color w:val="000000" w:themeColor="text1"/>
          <w:lang w:val="en-AU"/>
        </w:rPr>
        <w:t>staff.</w:t>
      </w:r>
      <w:r w:rsidR="007A5842" w:rsidRPr="007B7918">
        <w:rPr>
          <w:color w:val="000000" w:themeColor="text1"/>
          <w:lang w:val="en-AU"/>
        </w:rPr>
        <w:t xml:space="preserve"> </w:t>
      </w:r>
    </w:p>
    <w:p w14:paraId="2025CDC2" w14:textId="4A6BC841" w:rsidR="007A5842" w:rsidRPr="007B7918" w:rsidRDefault="003A53EA" w:rsidP="007A5842">
      <w:pPr>
        <w:pStyle w:val="BodyText"/>
        <w:rPr>
          <w:color w:val="000000" w:themeColor="text1"/>
          <w:lang w:val="en-AU"/>
        </w:rPr>
      </w:pPr>
      <w:r>
        <w:rPr>
          <w:color w:val="000000" w:themeColor="text1"/>
          <w:lang w:val="en-AU"/>
        </w:rPr>
        <w:t>Design of the facility is anticipated to</w:t>
      </w:r>
      <w:r w:rsidR="007A5842" w:rsidRPr="007B7918">
        <w:rPr>
          <w:color w:val="000000" w:themeColor="text1"/>
          <w:lang w:val="en-AU"/>
        </w:rPr>
        <w:t xml:space="preserve"> conclude in 2019 with operations expected to commence in July 2020.</w:t>
      </w:r>
    </w:p>
    <w:p w14:paraId="0611FA3C" w14:textId="6BABB07F" w:rsidR="007B7918" w:rsidRPr="00773363" w:rsidRDefault="005953DE" w:rsidP="005953DE">
      <w:pPr>
        <w:pStyle w:val="BodyText"/>
        <w:rPr>
          <w:lang w:val="en-AU"/>
        </w:rPr>
      </w:pPr>
      <w:r>
        <w:rPr>
          <w:color w:val="000000" w:themeColor="text1"/>
          <w:lang w:val="en-AU"/>
        </w:rPr>
        <w:t xml:space="preserve">Proposed </w:t>
      </w:r>
      <w:r w:rsidR="001D6B56">
        <w:rPr>
          <w:color w:val="000000" w:themeColor="text1"/>
          <w:lang w:val="en-AU"/>
        </w:rPr>
        <w:t>focus areas</w:t>
      </w:r>
      <w:r w:rsidR="008A6231">
        <w:rPr>
          <w:color w:val="000000" w:themeColor="text1"/>
          <w:lang w:val="en-AU"/>
        </w:rPr>
        <w:t xml:space="preserve"> and the areas</w:t>
      </w:r>
      <w:r w:rsidR="003A53EA">
        <w:rPr>
          <w:color w:val="000000" w:themeColor="text1"/>
          <w:lang w:val="en-AU"/>
        </w:rPr>
        <w:t xml:space="preserve"> of expertise DFAT expects to provide through the facility </w:t>
      </w:r>
      <w:r w:rsidR="007A5842" w:rsidRPr="007B7918">
        <w:rPr>
          <w:color w:val="000000" w:themeColor="text1"/>
          <w:lang w:val="en-AU"/>
        </w:rPr>
        <w:t>are outlined</w:t>
      </w:r>
      <w:r w:rsidR="007B7918">
        <w:rPr>
          <w:color w:val="000000" w:themeColor="text1"/>
          <w:lang w:val="en-AU"/>
        </w:rPr>
        <w:t xml:space="preserve"> in the</w:t>
      </w:r>
      <w:r w:rsidR="007A5842" w:rsidRPr="007B7918">
        <w:rPr>
          <w:color w:val="000000" w:themeColor="text1"/>
          <w:lang w:val="en-AU"/>
        </w:rPr>
        <w:t xml:space="preserve"> </w:t>
      </w:r>
      <w:r w:rsidR="007B7918">
        <w:rPr>
          <w:color w:val="000000" w:themeColor="text1"/>
          <w:lang w:val="en-AU"/>
        </w:rPr>
        <w:t>t</w:t>
      </w:r>
      <w:r w:rsidR="007A5842" w:rsidRPr="007B7918">
        <w:rPr>
          <w:color w:val="000000" w:themeColor="text1"/>
          <w:lang w:val="en-AU"/>
        </w:rPr>
        <w:t>abl</w:t>
      </w:r>
      <w:r w:rsidR="007B7918">
        <w:rPr>
          <w:color w:val="000000" w:themeColor="text1"/>
          <w:lang w:val="en-AU"/>
        </w:rPr>
        <w:t>e</w:t>
      </w:r>
      <w:r w:rsidR="007A5842" w:rsidRPr="007B7918">
        <w:rPr>
          <w:color w:val="000000" w:themeColor="text1"/>
          <w:lang w:val="en-AU"/>
        </w:rPr>
        <w:t xml:space="preserve"> below.</w:t>
      </w:r>
    </w:p>
    <w:tbl>
      <w:tblPr>
        <w:tblStyle w:val="TableGridLight"/>
        <w:tblpPr w:leftFromText="181" w:rightFromText="181" w:vertAnchor="text" w:horzAnchor="margin" w:tblpY="126"/>
        <w:tblW w:w="5000" w:type="pct"/>
        <w:tblBorders>
          <w:left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Pr>
      <w:tblGrid>
        <w:gridCol w:w="2572"/>
        <w:gridCol w:w="7884"/>
      </w:tblGrid>
      <w:tr w:rsidR="003A53EA" w:rsidRPr="00553BC5" w14:paraId="11EA51F7" w14:textId="77777777" w:rsidTr="003A53EA">
        <w:trPr>
          <w:tblHeader/>
        </w:trPr>
        <w:tc>
          <w:tcPr>
            <w:tcW w:w="1230" w:type="pct"/>
            <w:tcBorders>
              <w:top w:val="single" w:sz="4" w:space="0" w:color="FFFFFF" w:themeColor="background1"/>
              <w:left w:val="single" w:sz="4" w:space="0" w:color="FFFFFF" w:themeColor="background1"/>
              <w:bottom w:val="single" w:sz="4" w:space="0" w:color="FFFFFF" w:themeColor="background1"/>
              <w:right w:val="single" w:sz="6" w:space="0" w:color="FFFFFF" w:themeColor="background1"/>
            </w:tcBorders>
            <w:shd w:val="clear" w:color="auto" w:fill="495965"/>
          </w:tcPr>
          <w:p w14:paraId="6E5FA94C" w14:textId="69886408" w:rsidR="003A53EA" w:rsidRPr="007B7918" w:rsidRDefault="003A53EA" w:rsidP="00D33667">
            <w:pPr>
              <w:pStyle w:val="TableText"/>
              <w:framePr w:hSpace="0" w:wrap="auto" w:vAnchor="margin" w:hAnchor="text" w:yAlign="inline"/>
              <w:rPr>
                <w:rFonts w:asciiTheme="majorHAnsi" w:hAnsiTheme="majorHAnsi" w:cstheme="majorHAnsi"/>
                <w:b/>
                <w:color w:val="FFFFFF" w:themeColor="background1"/>
              </w:rPr>
            </w:pPr>
            <w:r>
              <w:rPr>
                <w:rFonts w:asciiTheme="majorHAnsi" w:hAnsiTheme="majorHAnsi" w:cstheme="majorHAnsi"/>
                <w:b/>
                <w:color w:val="FFFFFF" w:themeColor="background1"/>
              </w:rPr>
              <w:t>Focus Areas</w:t>
            </w:r>
          </w:p>
        </w:tc>
        <w:tc>
          <w:tcPr>
            <w:tcW w:w="3770" w:type="pct"/>
            <w:tcBorders>
              <w:top w:val="single" w:sz="4" w:space="0" w:color="FFFFFF" w:themeColor="background1"/>
              <w:left w:val="single" w:sz="6" w:space="0" w:color="FFFFFF" w:themeColor="background1"/>
              <w:bottom w:val="single" w:sz="4" w:space="0" w:color="FFFFFF" w:themeColor="background1"/>
              <w:right w:val="single" w:sz="4" w:space="0" w:color="FFFFFF" w:themeColor="background1"/>
            </w:tcBorders>
            <w:shd w:val="clear" w:color="auto" w:fill="495965"/>
            <w:vAlign w:val="center"/>
          </w:tcPr>
          <w:p w14:paraId="70FF6C4A" w14:textId="79BD9F9D" w:rsidR="003A53EA" w:rsidRPr="007B7918" w:rsidRDefault="008A6231" w:rsidP="003A53EA">
            <w:pPr>
              <w:pStyle w:val="TableText"/>
              <w:framePr w:hSpace="0" w:wrap="auto" w:vAnchor="margin" w:hAnchor="text" w:yAlign="inline"/>
              <w:rPr>
                <w:rFonts w:asciiTheme="majorHAnsi" w:hAnsiTheme="majorHAnsi" w:cstheme="majorHAnsi"/>
                <w:b/>
                <w:color w:val="FFFFFF" w:themeColor="background1"/>
              </w:rPr>
            </w:pPr>
            <w:r>
              <w:rPr>
                <w:rFonts w:asciiTheme="majorHAnsi" w:hAnsiTheme="majorHAnsi" w:cstheme="majorHAnsi"/>
                <w:b/>
                <w:color w:val="FFFFFF" w:themeColor="background1"/>
              </w:rPr>
              <w:t>Areas</w:t>
            </w:r>
            <w:r w:rsidR="00585722">
              <w:rPr>
                <w:rFonts w:asciiTheme="majorHAnsi" w:hAnsiTheme="majorHAnsi" w:cstheme="majorHAnsi"/>
                <w:b/>
                <w:color w:val="FFFFFF" w:themeColor="background1"/>
              </w:rPr>
              <w:t xml:space="preserve"> of </w:t>
            </w:r>
            <w:r w:rsidR="003A53EA">
              <w:rPr>
                <w:rFonts w:asciiTheme="majorHAnsi" w:hAnsiTheme="majorHAnsi" w:cstheme="majorHAnsi"/>
                <w:b/>
                <w:color w:val="FFFFFF" w:themeColor="background1"/>
              </w:rPr>
              <w:t>Expertise</w:t>
            </w:r>
          </w:p>
        </w:tc>
      </w:tr>
      <w:tr w:rsidR="007B7918" w:rsidRPr="00553BC5" w14:paraId="5B70D2C9" w14:textId="77777777" w:rsidTr="007B7918">
        <w:tc>
          <w:tcPr>
            <w:tcW w:w="5000" w:type="pct"/>
            <w:gridSpan w:val="2"/>
            <w:tcBorders>
              <w:top w:val="single" w:sz="4" w:space="0" w:color="FFFFFF" w:themeColor="background1"/>
            </w:tcBorders>
            <w:shd w:val="clear" w:color="auto" w:fill="auto"/>
          </w:tcPr>
          <w:tbl>
            <w:tblPr>
              <w:tblStyle w:val="TableGridLight"/>
              <w:tblpPr w:leftFromText="181" w:rightFromText="181" w:vertAnchor="text" w:horzAnchor="margin" w:tblpY="126"/>
              <w:tblW w:w="5000" w:type="pct"/>
              <w:tblBorders>
                <w:left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Pr>
            <w:tblGrid>
              <w:gridCol w:w="2519"/>
              <w:gridCol w:w="7721"/>
            </w:tblGrid>
            <w:tr w:rsidR="00E82152" w:rsidRPr="00245F57" w14:paraId="1CA36C2A" w14:textId="77777777" w:rsidTr="00465DE4">
              <w:tc>
                <w:tcPr>
                  <w:tcW w:w="5000" w:type="pct"/>
                  <w:gridSpan w:val="2"/>
                  <w:shd w:val="clear" w:color="auto" w:fill="auto"/>
                </w:tcPr>
                <w:p w14:paraId="088976E9" w14:textId="204B6FE2" w:rsidR="00E82152" w:rsidRPr="00245F57" w:rsidRDefault="00E82152" w:rsidP="00967955">
                  <w:pPr>
                    <w:pStyle w:val="TableText"/>
                    <w:framePr w:hSpace="0" w:wrap="auto" w:vAnchor="margin" w:hAnchor="text" w:yAlign="inline"/>
                    <w:spacing w:after="0"/>
                    <w:ind w:hanging="105"/>
                    <w:rPr>
                      <w:rFonts w:asciiTheme="majorHAnsi" w:hAnsiTheme="majorHAnsi" w:cstheme="majorHAnsi"/>
                      <w:b/>
                      <w:color w:val="000000" w:themeColor="text1"/>
                      <w:sz w:val="16"/>
                      <w:szCs w:val="16"/>
                    </w:rPr>
                  </w:pPr>
                  <w:r>
                    <w:rPr>
                      <w:rFonts w:asciiTheme="majorHAnsi" w:hAnsiTheme="majorHAnsi" w:cstheme="majorHAnsi"/>
                      <w:b/>
                      <w:color w:val="000000" w:themeColor="text1"/>
                    </w:rPr>
                    <w:t>Overarching Principles</w:t>
                  </w:r>
                </w:p>
              </w:tc>
            </w:tr>
            <w:tr w:rsidR="003A53EA" w:rsidRPr="00245F57" w14:paraId="0AB5803A" w14:textId="77777777" w:rsidTr="003A53EA">
              <w:tc>
                <w:tcPr>
                  <w:tcW w:w="1230" w:type="pct"/>
                </w:tcPr>
                <w:p w14:paraId="44793E7B" w14:textId="77777777" w:rsidR="003A53EA" w:rsidRPr="007B7918" w:rsidRDefault="003A53EA" w:rsidP="00967955">
                  <w:pPr>
                    <w:pStyle w:val="TableText"/>
                    <w:framePr w:hSpace="0" w:wrap="auto" w:vAnchor="margin" w:hAnchor="text" w:yAlign="inline"/>
                    <w:ind w:left="-105"/>
                    <w:rPr>
                      <w:rFonts w:asciiTheme="majorHAnsi" w:hAnsiTheme="majorHAnsi" w:cstheme="majorHAnsi"/>
                      <w:color w:val="000000" w:themeColor="text1"/>
                    </w:rPr>
                  </w:pPr>
                  <w:r w:rsidRPr="007B7918">
                    <w:rPr>
                      <w:rFonts w:asciiTheme="majorHAnsi" w:hAnsiTheme="majorHAnsi" w:cstheme="majorHAnsi"/>
                      <w:color w:val="000000" w:themeColor="text1"/>
                    </w:rPr>
                    <w:t>Gender equality and social inclusion throughout infrastructure planning and delivery</w:t>
                  </w:r>
                </w:p>
              </w:tc>
              <w:tc>
                <w:tcPr>
                  <w:tcW w:w="3770" w:type="pct"/>
                </w:tcPr>
                <w:p w14:paraId="13936F87" w14:textId="77777777" w:rsidR="003A53EA" w:rsidRPr="00245F57" w:rsidRDefault="003A53EA" w:rsidP="00E82152">
                  <w:pPr>
                    <w:pStyle w:val="Tablebullet"/>
                    <w:rPr>
                      <w:rFonts w:asciiTheme="majorHAnsi" w:hAnsiTheme="majorHAnsi" w:cstheme="majorHAnsi"/>
                      <w:color w:val="000000" w:themeColor="text1"/>
                      <w:szCs w:val="16"/>
                    </w:rPr>
                  </w:pPr>
                  <w:r w:rsidRPr="00245F57">
                    <w:rPr>
                      <w:rFonts w:asciiTheme="majorHAnsi" w:hAnsiTheme="majorHAnsi" w:cstheme="majorHAnsi"/>
                      <w:color w:val="000000" w:themeColor="text1"/>
                      <w:szCs w:val="16"/>
                    </w:rPr>
                    <w:t xml:space="preserve">Accurate assessment of benefits of new infrastructure through understanding broader social impacts (e.g. access to services for women) </w:t>
                  </w:r>
                </w:p>
                <w:p w14:paraId="3C685C9B" w14:textId="28A0799F" w:rsidR="003A53EA" w:rsidRPr="00245F57" w:rsidRDefault="003A53EA" w:rsidP="00E82152">
                  <w:pPr>
                    <w:pStyle w:val="Tablebullet"/>
                    <w:rPr>
                      <w:rFonts w:asciiTheme="majorHAnsi" w:hAnsiTheme="majorHAnsi" w:cstheme="majorHAnsi"/>
                      <w:color w:val="000000" w:themeColor="text1"/>
                      <w:szCs w:val="16"/>
                    </w:rPr>
                  </w:pPr>
                  <w:r>
                    <w:rPr>
                      <w:rFonts w:asciiTheme="majorHAnsi" w:hAnsiTheme="majorHAnsi" w:cstheme="majorHAnsi"/>
                      <w:color w:val="000000" w:themeColor="text1"/>
                      <w:szCs w:val="16"/>
                    </w:rPr>
                    <w:t>Improving</w:t>
                  </w:r>
                  <w:r w:rsidRPr="00245F57">
                    <w:rPr>
                      <w:rFonts w:asciiTheme="majorHAnsi" w:hAnsiTheme="majorHAnsi" w:cstheme="majorHAnsi"/>
                      <w:color w:val="000000" w:themeColor="text1"/>
                      <w:szCs w:val="16"/>
                    </w:rPr>
                    <w:t xml:space="preserve"> risk management for government and private sector through community consultation</w:t>
                  </w:r>
                </w:p>
              </w:tc>
            </w:tr>
            <w:tr w:rsidR="003A53EA" w:rsidRPr="00245F57" w14:paraId="794FE292" w14:textId="77777777" w:rsidTr="00C6120F">
              <w:tc>
                <w:tcPr>
                  <w:tcW w:w="1230" w:type="pct"/>
                </w:tcPr>
                <w:p w14:paraId="7004FA59" w14:textId="77777777" w:rsidR="003A53EA" w:rsidRPr="007B7918" w:rsidRDefault="003A53EA" w:rsidP="00967955">
                  <w:pPr>
                    <w:pStyle w:val="TableText"/>
                    <w:framePr w:hSpace="0" w:wrap="auto" w:vAnchor="margin" w:hAnchor="text" w:yAlign="inline"/>
                    <w:ind w:left="-105"/>
                    <w:rPr>
                      <w:rFonts w:asciiTheme="majorHAnsi" w:hAnsiTheme="majorHAnsi" w:cstheme="majorHAnsi"/>
                      <w:color w:val="000000" w:themeColor="text1"/>
                    </w:rPr>
                  </w:pPr>
                  <w:r w:rsidRPr="007B7918">
                    <w:rPr>
                      <w:rFonts w:asciiTheme="majorHAnsi" w:hAnsiTheme="majorHAnsi" w:cstheme="majorHAnsi"/>
                      <w:color w:val="000000" w:themeColor="text1"/>
                    </w:rPr>
                    <w:t>Strengthening climate change resilience in infrastructure planning and outcomes</w:t>
                  </w:r>
                </w:p>
              </w:tc>
              <w:tc>
                <w:tcPr>
                  <w:tcW w:w="1" w:type="pct"/>
                </w:tcPr>
                <w:p w14:paraId="7C2C6AAA" w14:textId="7A6FDC56" w:rsidR="003A53EA" w:rsidRPr="00245F57" w:rsidRDefault="003A53EA" w:rsidP="00E82152">
                  <w:pPr>
                    <w:pStyle w:val="Tablebullet"/>
                    <w:rPr>
                      <w:rFonts w:asciiTheme="majorHAnsi" w:hAnsiTheme="majorHAnsi" w:cstheme="majorHAnsi"/>
                      <w:color w:val="000000" w:themeColor="text1"/>
                      <w:szCs w:val="16"/>
                    </w:rPr>
                  </w:pPr>
                  <w:r>
                    <w:rPr>
                      <w:rFonts w:asciiTheme="majorHAnsi" w:hAnsiTheme="majorHAnsi" w:cstheme="majorHAnsi"/>
                      <w:color w:val="000000" w:themeColor="text1"/>
                      <w:szCs w:val="16"/>
                    </w:rPr>
                    <w:t>Reducing</w:t>
                  </w:r>
                  <w:r w:rsidRPr="00245F57">
                    <w:rPr>
                      <w:rFonts w:asciiTheme="majorHAnsi" w:hAnsiTheme="majorHAnsi" w:cstheme="majorHAnsi"/>
                      <w:color w:val="000000" w:themeColor="text1"/>
                      <w:szCs w:val="16"/>
                    </w:rPr>
                    <w:t xml:space="preserve"> lifetime costs for infrastructure assets (e.g. due to reduced impact from weather events) </w:t>
                  </w:r>
                </w:p>
                <w:p w14:paraId="53AB9A6B" w14:textId="04C06071" w:rsidR="003A53EA" w:rsidRPr="00245F57" w:rsidRDefault="003A53EA" w:rsidP="00E82152">
                  <w:pPr>
                    <w:pStyle w:val="Tablebullet"/>
                    <w:rPr>
                      <w:rFonts w:asciiTheme="majorHAnsi" w:hAnsiTheme="majorHAnsi" w:cstheme="majorHAnsi"/>
                      <w:color w:val="000000" w:themeColor="text1"/>
                      <w:szCs w:val="16"/>
                    </w:rPr>
                  </w:pPr>
                  <w:r>
                    <w:rPr>
                      <w:rFonts w:asciiTheme="majorHAnsi" w:hAnsiTheme="majorHAnsi" w:cstheme="majorHAnsi"/>
                      <w:color w:val="000000" w:themeColor="text1"/>
                      <w:szCs w:val="16"/>
                    </w:rPr>
                    <w:t>Improving</w:t>
                  </w:r>
                  <w:r w:rsidRPr="00245F57">
                    <w:rPr>
                      <w:rFonts w:asciiTheme="majorHAnsi" w:hAnsiTheme="majorHAnsi" w:cstheme="majorHAnsi"/>
                      <w:color w:val="000000" w:themeColor="text1"/>
                      <w:szCs w:val="16"/>
                    </w:rPr>
                    <w:t xml:space="preserve"> infrastructure planning over </w:t>
                  </w:r>
                  <w:r>
                    <w:rPr>
                      <w:rFonts w:asciiTheme="majorHAnsi" w:hAnsiTheme="majorHAnsi" w:cstheme="majorHAnsi"/>
                      <w:color w:val="000000" w:themeColor="text1"/>
                      <w:szCs w:val="16"/>
                    </w:rPr>
                    <w:t xml:space="preserve">a </w:t>
                  </w:r>
                  <w:r w:rsidRPr="00245F57">
                    <w:rPr>
                      <w:rFonts w:asciiTheme="majorHAnsi" w:hAnsiTheme="majorHAnsi" w:cstheme="majorHAnsi"/>
                      <w:color w:val="000000" w:themeColor="text1"/>
                      <w:szCs w:val="16"/>
                    </w:rPr>
                    <w:t xml:space="preserve">long-term horizon </w:t>
                  </w:r>
                </w:p>
              </w:tc>
            </w:tr>
          </w:tbl>
          <w:p w14:paraId="6557269A" w14:textId="179A06F0" w:rsidR="007B7918" w:rsidRPr="007B7918" w:rsidRDefault="007B7918" w:rsidP="007B7918">
            <w:pPr>
              <w:pStyle w:val="TableText"/>
              <w:framePr w:hSpace="0" w:wrap="auto" w:vAnchor="margin" w:hAnchor="text" w:yAlign="inline"/>
              <w:spacing w:after="0"/>
              <w:rPr>
                <w:rFonts w:asciiTheme="majorHAnsi" w:hAnsiTheme="majorHAnsi" w:cstheme="majorHAnsi"/>
                <w:b/>
                <w:color w:val="000000" w:themeColor="text1"/>
              </w:rPr>
            </w:pPr>
            <w:r w:rsidRPr="007B7918">
              <w:rPr>
                <w:rFonts w:asciiTheme="majorHAnsi" w:hAnsiTheme="majorHAnsi" w:cstheme="majorHAnsi"/>
                <w:b/>
                <w:color w:val="000000" w:themeColor="text1"/>
              </w:rPr>
              <w:t>Major Themes</w:t>
            </w:r>
          </w:p>
        </w:tc>
      </w:tr>
      <w:tr w:rsidR="003A53EA" w:rsidRPr="00553BC5" w14:paraId="6DA293C5" w14:textId="77777777" w:rsidTr="003A53EA">
        <w:tc>
          <w:tcPr>
            <w:tcW w:w="1230" w:type="pct"/>
          </w:tcPr>
          <w:p w14:paraId="125357FE" w14:textId="77777777" w:rsidR="003A53EA" w:rsidRPr="007B7918" w:rsidRDefault="003A53EA" w:rsidP="007B7918">
            <w:pPr>
              <w:pStyle w:val="TableText"/>
              <w:framePr w:hSpace="0" w:wrap="auto" w:vAnchor="margin" w:hAnchor="text" w:yAlign="inline"/>
              <w:rPr>
                <w:rFonts w:asciiTheme="majorHAnsi" w:hAnsiTheme="majorHAnsi" w:cstheme="majorHAnsi"/>
                <w:color w:val="000000" w:themeColor="text1"/>
              </w:rPr>
            </w:pPr>
            <w:r w:rsidRPr="007B7918">
              <w:rPr>
                <w:rFonts w:asciiTheme="majorHAnsi" w:hAnsiTheme="majorHAnsi" w:cstheme="majorHAnsi"/>
                <w:color w:val="000000" w:themeColor="text1"/>
              </w:rPr>
              <w:t xml:space="preserve">Planning and prioritisation of projects using a ‘gateway’ approach </w:t>
            </w:r>
          </w:p>
        </w:tc>
        <w:tc>
          <w:tcPr>
            <w:tcW w:w="3770" w:type="pct"/>
          </w:tcPr>
          <w:p w14:paraId="760B47CB" w14:textId="77777777" w:rsidR="003A53EA" w:rsidRPr="00245F57" w:rsidRDefault="003A53EA" w:rsidP="007B7918">
            <w:pPr>
              <w:pStyle w:val="Tablebullet"/>
              <w:rPr>
                <w:rFonts w:asciiTheme="majorHAnsi" w:hAnsiTheme="majorHAnsi" w:cstheme="majorHAnsi"/>
                <w:color w:val="000000" w:themeColor="text1"/>
                <w:szCs w:val="16"/>
              </w:rPr>
            </w:pPr>
            <w:r w:rsidRPr="00245F57">
              <w:rPr>
                <w:rFonts w:asciiTheme="majorHAnsi" w:hAnsiTheme="majorHAnsi" w:cstheme="majorHAnsi"/>
                <w:color w:val="000000" w:themeColor="text1"/>
                <w:szCs w:val="16"/>
              </w:rPr>
              <w:t xml:space="preserve">Rigour applied to successive ‘gates’ as a project moves from concept to business case to delivery strategy to benefits analysis </w:t>
            </w:r>
          </w:p>
          <w:p w14:paraId="29CE23D8" w14:textId="7EBCF140" w:rsidR="003A53EA" w:rsidRPr="00245F57" w:rsidRDefault="003A53EA" w:rsidP="007B7918">
            <w:pPr>
              <w:pStyle w:val="Tablebullet"/>
              <w:rPr>
                <w:rFonts w:asciiTheme="majorHAnsi" w:hAnsiTheme="majorHAnsi" w:cstheme="majorHAnsi"/>
                <w:color w:val="000000" w:themeColor="text1"/>
                <w:szCs w:val="16"/>
              </w:rPr>
            </w:pPr>
            <w:r>
              <w:rPr>
                <w:rFonts w:asciiTheme="majorHAnsi" w:hAnsiTheme="majorHAnsi" w:cstheme="majorHAnsi"/>
                <w:color w:val="000000" w:themeColor="text1"/>
                <w:szCs w:val="16"/>
              </w:rPr>
              <w:t>Application of consistent</w:t>
            </w:r>
            <w:r w:rsidRPr="00245F57">
              <w:rPr>
                <w:rFonts w:asciiTheme="majorHAnsi" w:hAnsiTheme="majorHAnsi" w:cstheme="majorHAnsi"/>
                <w:color w:val="000000" w:themeColor="text1"/>
                <w:szCs w:val="16"/>
              </w:rPr>
              <w:t xml:space="preserve"> criteria and analyses used to evaluate projects at different gates</w:t>
            </w:r>
          </w:p>
          <w:p w14:paraId="6441DAED" w14:textId="0F9BC19D" w:rsidR="003A53EA" w:rsidRPr="00245F57" w:rsidRDefault="003A53EA" w:rsidP="007B7918">
            <w:pPr>
              <w:pStyle w:val="Tablebullet"/>
              <w:rPr>
                <w:rFonts w:asciiTheme="majorHAnsi" w:hAnsiTheme="majorHAnsi" w:cstheme="majorHAnsi"/>
                <w:color w:val="000000" w:themeColor="text1"/>
                <w:szCs w:val="16"/>
              </w:rPr>
            </w:pPr>
            <w:r>
              <w:rPr>
                <w:rFonts w:asciiTheme="majorHAnsi" w:hAnsiTheme="majorHAnsi" w:cstheme="majorHAnsi"/>
                <w:color w:val="000000" w:themeColor="text1"/>
                <w:szCs w:val="16"/>
              </w:rPr>
              <w:t>Improving</w:t>
            </w:r>
            <w:r w:rsidRPr="00245F57">
              <w:rPr>
                <w:rFonts w:asciiTheme="majorHAnsi" w:hAnsiTheme="majorHAnsi" w:cstheme="majorHAnsi"/>
                <w:color w:val="000000" w:themeColor="text1"/>
                <w:szCs w:val="16"/>
              </w:rPr>
              <w:t xml:space="preserve"> cost-benefit assessments</w:t>
            </w:r>
          </w:p>
          <w:p w14:paraId="4D789E8C" w14:textId="77777777" w:rsidR="003A53EA" w:rsidRPr="00245F57" w:rsidRDefault="003A53EA" w:rsidP="007B7918">
            <w:pPr>
              <w:pStyle w:val="Tablebullet"/>
              <w:rPr>
                <w:rFonts w:asciiTheme="majorHAnsi" w:hAnsiTheme="majorHAnsi" w:cstheme="majorHAnsi"/>
                <w:color w:val="000000" w:themeColor="text1"/>
                <w:szCs w:val="16"/>
              </w:rPr>
            </w:pPr>
            <w:r w:rsidRPr="00245F57">
              <w:rPr>
                <w:rFonts w:asciiTheme="majorHAnsi" w:hAnsiTheme="majorHAnsi" w:cstheme="majorHAnsi"/>
                <w:color w:val="000000" w:themeColor="text1"/>
                <w:szCs w:val="16"/>
              </w:rPr>
              <w:t>Transparency of project pipeline to facilitate private sector involvement</w:t>
            </w:r>
          </w:p>
          <w:p w14:paraId="65AB09C4" w14:textId="42116D87" w:rsidR="003A53EA" w:rsidRPr="00245F57" w:rsidRDefault="003A53EA" w:rsidP="003A53EA">
            <w:pPr>
              <w:pStyle w:val="Tablebullet"/>
              <w:rPr>
                <w:rFonts w:asciiTheme="majorHAnsi" w:hAnsiTheme="majorHAnsi" w:cstheme="majorHAnsi"/>
                <w:color w:val="000000" w:themeColor="text1"/>
                <w:szCs w:val="16"/>
              </w:rPr>
            </w:pPr>
            <w:r>
              <w:rPr>
                <w:rFonts w:asciiTheme="majorHAnsi" w:hAnsiTheme="majorHAnsi" w:cstheme="majorHAnsi"/>
                <w:color w:val="000000" w:themeColor="text1"/>
                <w:szCs w:val="16"/>
              </w:rPr>
              <w:t>P</w:t>
            </w:r>
            <w:r w:rsidRPr="00245F57">
              <w:rPr>
                <w:rFonts w:asciiTheme="majorHAnsi" w:hAnsiTheme="majorHAnsi" w:cstheme="majorHAnsi"/>
                <w:color w:val="000000" w:themeColor="text1"/>
                <w:szCs w:val="16"/>
              </w:rPr>
              <w:t>rioritis</w:t>
            </w:r>
            <w:r>
              <w:rPr>
                <w:rFonts w:asciiTheme="majorHAnsi" w:hAnsiTheme="majorHAnsi" w:cstheme="majorHAnsi"/>
                <w:color w:val="000000" w:themeColor="text1"/>
                <w:szCs w:val="16"/>
              </w:rPr>
              <w:t>ing</w:t>
            </w:r>
            <w:r w:rsidRPr="00245F57">
              <w:rPr>
                <w:rFonts w:asciiTheme="majorHAnsi" w:hAnsiTheme="majorHAnsi" w:cstheme="majorHAnsi"/>
                <w:color w:val="000000" w:themeColor="text1"/>
                <w:szCs w:val="16"/>
              </w:rPr>
              <w:t xml:space="preserve"> national and regional infrastructure planning, given needs and potential benefits </w:t>
            </w:r>
          </w:p>
        </w:tc>
      </w:tr>
      <w:tr w:rsidR="003A53EA" w:rsidRPr="00553BC5" w14:paraId="3BA4A2B7" w14:textId="77777777" w:rsidTr="003A53EA">
        <w:tc>
          <w:tcPr>
            <w:tcW w:w="1230" w:type="pct"/>
          </w:tcPr>
          <w:p w14:paraId="110BD82B" w14:textId="77777777" w:rsidR="003A53EA" w:rsidRPr="007B7918" w:rsidRDefault="003A53EA" w:rsidP="007B7918">
            <w:pPr>
              <w:pStyle w:val="TableText"/>
              <w:framePr w:hSpace="0" w:wrap="auto" w:vAnchor="margin" w:hAnchor="text" w:yAlign="inline"/>
              <w:rPr>
                <w:rFonts w:asciiTheme="majorHAnsi" w:hAnsiTheme="majorHAnsi" w:cstheme="majorHAnsi"/>
                <w:color w:val="000000" w:themeColor="text1"/>
              </w:rPr>
            </w:pPr>
            <w:r w:rsidRPr="007B7918">
              <w:rPr>
                <w:rFonts w:asciiTheme="majorHAnsi" w:hAnsiTheme="majorHAnsi" w:cstheme="majorHAnsi"/>
                <w:color w:val="000000" w:themeColor="text1"/>
              </w:rPr>
              <w:t>Implementation support for public procurement (including public–private partnerships)</w:t>
            </w:r>
          </w:p>
        </w:tc>
        <w:tc>
          <w:tcPr>
            <w:tcW w:w="3770" w:type="pct"/>
          </w:tcPr>
          <w:p w14:paraId="5ABC97E1" w14:textId="39FDD5A7" w:rsidR="003A53EA" w:rsidRPr="00245F57" w:rsidRDefault="003A53EA" w:rsidP="007B7918">
            <w:pPr>
              <w:pStyle w:val="Tablebullet"/>
              <w:rPr>
                <w:rFonts w:asciiTheme="majorHAnsi" w:hAnsiTheme="majorHAnsi" w:cstheme="majorHAnsi"/>
                <w:color w:val="000000" w:themeColor="text1"/>
                <w:szCs w:val="16"/>
              </w:rPr>
            </w:pPr>
            <w:r>
              <w:rPr>
                <w:rFonts w:asciiTheme="majorHAnsi" w:hAnsiTheme="majorHAnsi" w:cstheme="majorHAnsi"/>
                <w:color w:val="000000" w:themeColor="text1"/>
                <w:szCs w:val="16"/>
              </w:rPr>
              <w:t>Improving</w:t>
            </w:r>
            <w:r w:rsidRPr="00245F57">
              <w:rPr>
                <w:rFonts w:asciiTheme="majorHAnsi" w:hAnsiTheme="majorHAnsi" w:cstheme="majorHAnsi"/>
                <w:color w:val="000000" w:themeColor="text1"/>
                <w:szCs w:val="16"/>
              </w:rPr>
              <w:t xml:space="preserve"> skills in tender processes, bid evaluation and contract management </w:t>
            </w:r>
          </w:p>
          <w:p w14:paraId="101B756C" w14:textId="1BD35BA9" w:rsidR="003A53EA" w:rsidRPr="00245F57" w:rsidRDefault="003A53EA" w:rsidP="007B7918">
            <w:pPr>
              <w:pStyle w:val="Tablebullet"/>
              <w:rPr>
                <w:rFonts w:asciiTheme="majorHAnsi" w:hAnsiTheme="majorHAnsi" w:cstheme="majorHAnsi"/>
                <w:color w:val="000000" w:themeColor="text1"/>
                <w:szCs w:val="16"/>
              </w:rPr>
            </w:pPr>
            <w:r>
              <w:rPr>
                <w:rFonts w:asciiTheme="majorHAnsi" w:hAnsiTheme="majorHAnsi" w:cstheme="majorHAnsi"/>
                <w:color w:val="000000" w:themeColor="text1"/>
                <w:szCs w:val="16"/>
              </w:rPr>
              <w:t>Improving</w:t>
            </w:r>
            <w:r w:rsidRPr="00245F57">
              <w:rPr>
                <w:rFonts w:asciiTheme="majorHAnsi" w:hAnsiTheme="majorHAnsi" w:cstheme="majorHAnsi"/>
                <w:color w:val="000000" w:themeColor="text1"/>
                <w:szCs w:val="16"/>
              </w:rPr>
              <w:t xml:space="preserve"> outcomes of contract re-negotiation and/or dispute resolution</w:t>
            </w:r>
          </w:p>
          <w:p w14:paraId="08746C2E" w14:textId="76B5306A" w:rsidR="003A53EA" w:rsidRPr="00245F57" w:rsidRDefault="003A53EA" w:rsidP="007B7918">
            <w:pPr>
              <w:pStyle w:val="Tablebullet"/>
              <w:rPr>
                <w:rFonts w:asciiTheme="majorHAnsi" w:hAnsiTheme="majorHAnsi" w:cstheme="majorHAnsi"/>
                <w:color w:val="000000" w:themeColor="text1"/>
                <w:szCs w:val="16"/>
              </w:rPr>
            </w:pPr>
            <w:r>
              <w:rPr>
                <w:rFonts w:asciiTheme="majorHAnsi" w:hAnsiTheme="majorHAnsi" w:cstheme="majorHAnsi"/>
                <w:color w:val="000000" w:themeColor="text1"/>
                <w:szCs w:val="16"/>
              </w:rPr>
              <w:t>P</w:t>
            </w:r>
            <w:r w:rsidRPr="00245F57">
              <w:rPr>
                <w:rFonts w:asciiTheme="majorHAnsi" w:hAnsiTheme="majorHAnsi" w:cstheme="majorHAnsi"/>
                <w:color w:val="000000" w:themeColor="text1"/>
                <w:szCs w:val="16"/>
              </w:rPr>
              <w:t>rocurement strategy (when to use public–private partnership models, how to decide)</w:t>
            </w:r>
          </w:p>
          <w:p w14:paraId="4D6BCD02" w14:textId="34FEE88B" w:rsidR="003A53EA" w:rsidRPr="00245F57" w:rsidRDefault="003A53EA" w:rsidP="007B7918">
            <w:pPr>
              <w:pStyle w:val="Tablebullet"/>
              <w:rPr>
                <w:rFonts w:asciiTheme="majorHAnsi" w:hAnsiTheme="majorHAnsi" w:cstheme="majorHAnsi"/>
                <w:color w:val="000000" w:themeColor="text1"/>
                <w:szCs w:val="16"/>
              </w:rPr>
            </w:pPr>
            <w:r>
              <w:rPr>
                <w:rFonts w:asciiTheme="majorHAnsi" w:hAnsiTheme="majorHAnsi" w:cstheme="majorHAnsi"/>
                <w:color w:val="000000" w:themeColor="text1"/>
                <w:szCs w:val="16"/>
              </w:rPr>
              <w:t>P</w:t>
            </w:r>
            <w:r w:rsidRPr="00245F57">
              <w:rPr>
                <w:rFonts w:asciiTheme="majorHAnsi" w:hAnsiTheme="majorHAnsi" w:cstheme="majorHAnsi"/>
                <w:color w:val="000000" w:themeColor="text1"/>
                <w:szCs w:val="16"/>
              </w:rPr>
              <w:t xml:space="preserve">ublic–private partnership implementation for major projects under newly drafted public–private partnership laws </w:t>
            </w:r>
          </w:p>
        </w:tc>
      </w:tr>
      <w:tr w:rsidR="003A53EA" w:rsidRPr="00553BC5" w14:paraId="392B14D8" w14:textId="77777777" w:rsidTr="003A53EA">
        <w:tc>
          <w:tcPr>
            <w:tcW w:w="1230" w:type="pct"/>
          </w:tcPr>
          <w:p w14:paraId="360309EB" w14:textId="77777777" w:rsidR="003A53EA" w:rsidRPr="007B7918" w:rsidRDefault="003A53EA" w:rsidP="007B7918">
            <w:pPr>
              <w:pStyle w:val="TableText"/>
              <w:framePr w:hSpace="0" w:wrap="auto" w:vAnchor="margin" w:hAnchor="text" w:yAlign="inline"/>
              <w:rPr>
                <w:rFonts w:asciiTheme="majorHAnsi" w:hAnsiTheme="majorHAnsi" w:cstheme="majorHAnsi"/>
                <w:color w:val="000000" w:themeColor="text1"/>
              </w:rPr>
            </w:pPr>
            <w:r w:rsidRPr="007B7918">
              <w:rPr>
                <w:rFonts w:asciiTheme="majorHAnsi" w:hAnsiTheme="majorHAnsi" w:cstheme="majorHAnsi"/>
                <w:color w:val="000000" w:themeColor="text1"/>
              </w:rPr>
              <w:t>Sector policy and regulation (e.g. electricity transmission and distribution, water utilities, toll roads)</w:t>
            </w:r>
          </w:p>
        </w:tc>
        <w:tc>
          <w:tcPr>
            <w:tcW w:w="3770" w:type="pct"/>
          </w:tcPr>
          <w:p w14:paraId="266E8863" w14:textId="77777777" w:rsidR="003A53EA" w:rsidRPr="00245F57" w:rsidRDefault="003A53EA" w:rsidP="007B7918">
            <w:pPr>
              <w:pStyle w:val="Tablebullet"/>
              <w:rPr>
                <w:rFonts w:asciiTheme="majorHAnsi" w:hAnsiTheme="majorHAnsi" w:cstheme="majorHAnsi"/>
                <w:color w:val="000000" w:themeColor="text1"/>
                <w:szCs w:val="16"/>
              </w:rPr>
            </w:pPr>
            <w:r w:rsidRPr="00245F57">
              <w:rPr>
                <w:rFonts w:asciiTheme="majorHAnsi" w:hAnsiTheme="majorHAnsi" w:cstheme="majorHAnsi"/>
                <w:color w:val="000000" w:themeColor="text1"/>
                <w:szCs w:val="16"/>
              </w:rPr>
              <w:t xml:space="preserve">Independent evaluation and enforcement of pricing for services </w:t>
            </w:r>
          </w:p>
          <w:p w14:paraId="7972FED9" w14:textId="77777777" w:rsidR="003A53EA" w:rsidRPr="00245F57" w:rsidRDefault="003A53EA" w:rsidP="007B7918">
            <w:pPr>
              <w:pStyle w:val="Tablebullet"/>
              <w:rPr>
                <w:rFonts w:asciiTheme="majorHAnsi" w:hAnsiTheme="majorHAnsi" w:cstheme="majorHAnsi"/>
                <w:color w:val="000000" w:themeColor="text1"/>
                <w:szCs w:val="16"/>
              </w:rPr>
            </w:pPr>
            <w:r w:rsidRPr="00245F57">
              <w:rPr>
                <w:rFonts w:asciiTheme="majorHAnsi" w:hAnsiTheme="majorHAnsi" w:cstheme="majorHAnsi"/>
                <w:color w:val="000000" w:themeColor="text1"/>
                <w:szCs w:val="16"/>
              </w:rPr>
              <w:t xml:space="preserve">Efficient pricing frameworks (e.g. road pricing for different vehicle types) </w:t>
            </w:r>
          </w:p>
          <w:p w14:paraId="4BA7D693" w14:textId="77777777" w:rsidR="003A53EA" w:rsidRPr="00245F57" w:rsidRDefault="003A53EA" w:rsidP="007B7918">
            <w:pPr>
              <w:pStyle w:val="Tablebullet"/>
              <w:rPr>
                <w:rFonts w:asciiTheme="majorHAnsi" w:hAnsiTheme="majorHAnsi" w:cstheme="majorHAnsi"/>
                <w:color w:val="000000" w:themeColor="text1"/>
                <w:szCs w:val="16"/>
              </w:rPr>
            </w:pPr>
            <w:r w:rsidRPr="00245F57">
              <w:rPr>
                <w:rFonts w:asciiTheme="majorHAnsi" w:hAnsiTheme="majorHAnsi" w:cstheme="majorHAnsi"/>
                <w:color w:val="000000" w:themeColor="text1"/>
                <w:szCs w:val="16"/>
              </w:rPr>
              <w:t xml:space="preserve">Definition of service obligations (e.g. service provision for electrification) </w:t>
            </w:r>
          </w:p>
          <w:p w14:paraId="49360A04" w14:textId="00DF961B" w:rsidR="003A53EA" w:rsidRPr="00245F57" w:rsidRDefault="003A53EA" w:rsidP="007B7918">
            <w:pPr>
              <w:pStyle w:val="Tablebullet"/>
              <w:rPr>
                <w:rFonts w:asciiTheme="majorHAnsi" w:hAnsiTheme="majorHAnsi" w:cstheme="majorHAnsi"/>
                <w:color w:val="000000" w:themeColor="text1"/>
                <w:szCs w:val="16"/>
              </w:rPr>
            </w:pPr>
            <w:r w:rsidRPr="00245F57">
              <w:rPr>
                <w:rFonts w:asciiTheme="majorHAnsi" w:hAnsiTheme="majorHAnsi" w:cstheme="majorHAnsi"/>
                <w:color w:val="000000" w:themeColor="text1"/>
                <w:szCs w:val="16"/>
              </w:rPr>
              <w:t xml:space="preserve">Consumer protection policies, regulation and enforcement </w:t>
            </w:r>
          </w:p>
        </w:tc>
      </w:tr>
    </w:tbl>
    <w:p w14:paraId="3C4E6A13" w14:textId="441303F8" w:rsidR="00967955" w:rsidRDefault="00967955">
      <w:pPr>
        <w:suppressAutoHyphens w:val="0"/>
        <w:spacing w:before="0" w:after="120" w:line="440" w:lineRule="atLeast"/>
      </w:pPr>
    </w:p>
    <w:p w14:paraId="6ECF049F" w14:textId="73B2C5FD" w:rsidR="00257C5B" w:rsidRDefault="00257C5B" w:rsidP="007B7918"/>
    <w:p w14:paraId="2C627292" w14:textId="77777777" w:rsidR="00257C5B" w:rsidRPr="00257C5B" w:rsidRDefault="00257C5B" w:rsidP="00257C5B">
      <w:pPr>
        <w:spacing w:before="0" w:after="0"/>
        <w:rPr>
          <w:sz w:val="16"/>
          <w:szCs w:val="16"/>
          <w:lang w:val="en-AU"/>
        </w:rPr>
      </w:pPr>
    </w:p>
    <w:sectPr w:rsidR="00257C5B" w:rsidRPr="00257C5B" w:rsidSect="007A5842">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425" w:footer="56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BC3E1" w14:textId="77777777" w:rsidR="00687BE6" w:rsidRDefault="00687BE6" w:rsidP="00D37B04">
      <w:r>
        <w:separator/>
      </w:r>
    </w:p>
  </w:endnote>
  <w:endnote w:type="continuationSeparator" w:id="0">
    <w:p w14:paraId="2D8BC3E2" w14:textId="77777777" w:rsidR="00687BE6" w:rsidRDefault="00687BE6"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152FA" w14:textId="77777777" w:rsidR="00D81522" w:rsidRDefault="00D815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BC3E4" w14:textId="51C635C1" w:rsidR="007D283B" w:rsidRDefault="007B7918">
    <w:pPr>
      <w:pStyle w:val="Footer"/>
    </w:pPr>
    <w:r>
      <w:rPr>
        <w:noProof/>
        <w:lang w:val="en-AU" w:eastAsia="en-AU"/>
      </w:rPr>
      <w:drawing>
        <wp:anchor distT="0" distB="0" distL="114300" distR="114300" simplePos="0" relativeHeight="251670528" behindDoc="1" locked="0" layoutInCell="1" allowOverlap="1" wp14:anchorId="2D8BC3EC" wp14:editId="55172CDB">
          <wp:simplePos x="0" y="0"/>
          <wp:positionH relativeFrom="margin">
            <wp:align>right</wp:align>
          </wp:positionH>
          <wp:positionV relativeFrom="page">
            <wp:posOffset>9820275</wp:posOffset>
          </wp:positionV>
          <wp:extent cx="6619875" cy="659765"/>
          <wp:effectExtent l="0" t="0" r="9525" b="6985"/>
          <wp:wrapNone/>
          <wp:docPr id="8" name="Picture 8"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S-Granite-Footer-PT.png"/>
                  <pic:cNvPicPr/>
                </pic:nvPicPr>
                <pic:blipFill>
                  <a:blip r:embed="rId1">
                    <a:extLst>
                      <a:ext uri="{28A0092B-C50C-407E-A947-70E740481C1C}">
                        <a14:useLocalDpi xmlns:a14="http://schemas.microsoft.com/office/drawing/2010/main" val="0"/>
                      </a:ext>
                    </a:extLst>
                  </a:blip>
                  <a:stretch>
                    <a:fillRect/>
                  </a:stretch>
                </pic:blipFill>
                <pic:spPr>
                  <a:xfrm>
                    <a:off x="0" y="0"/>
                    <a:ext cx="6619875" cy="659765"/>
                  </a:xfrm>
                  <a:prstGeom prst="rect">
                    <a:avLst/>
                  </a:prstGeom>
                </pic:spPr>
              </pic:pic>
            </a:graphicData>
          </a:graphic>
          <wp14:sizeRelH relativeFrom="margin">
            <wp14:pctWidth>0</wp14:pctWidth>
          </wp14:sizeRelH>
          <wp14:sizeRelV relativeFrom="margin">
            <wp14:pctHeight>0</wp14:pctHeight>
          </wp14:sizeRelV>
        </wp:anchor>
      </w:drawing>
    </w:r>
    <w:r w:rsidR="007D283B">
      <w:rPr>
        <w:b/>
        <w:noProof/>
        <w:lang w:val="en-AU" w:eastAsia="en-AU"/>
      </w:rPr>
      <w:drawing>
        <wp:inline distT="0" distB="0" distL="0" distR="0" wp14:anchorId="2D8BC3EA" wp14:editId="2D8BC3EB">
          <wp:extent cx="103505" cy="86360"/>
          <wp:effectExtent l="0" t="0" r="0" b="8890"/>
          <wp:docPr id="6" name="Picture 6"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007D283B">
      <w:rPr>
        <w:b/>
      </w:rPr>
      <w:t xml:space="preserve">@DFAT  </w:t>
    </w:r>
    <w:r w:rsidR="007D283B">
      <w:rPr>
        <w:rStyle w:val="Green"/>
        <w:b/>
      </w:rPr>
      <w:t>DFAT.GOV.AU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BC3E7" w14:textId="45B6C195" w:rsidR="007D283B" w:rsidRDefault="007A5842">
    <w:pPr>
      <w:pStyle w:val="Footer"/>
    </w:pPr>
    <w:r>
      <w:rPr>
        <w:noProof/>
        <w:lang w:val="en-AU" w:eastAsia="en-AU"/>
      </w:rPr>
      <w:drawing>
        <wp:anchor distT="0" distB="0" distL="114300" distR="114300" simplePos="0" relativeHeight="251666432" behindDoc="1" locked="0" layoutInCell="1" allowOverlap="1" wp14:anchorId="2D8BC3F4" wp14:editId="13CFFC28">
          <wp:simplePos x="0" y="0"/>
          <wp:positionH relativeFrom="margin">
            <wp:align>right</wp:align>
          </wp:positionH>
          <wp:positionV relativeFrom="page">
            <wp:posOffset>9867900</wp:posOffset>
          </wp:positionV>
          <wp:extent cx="6638925" cy="659765"/>
          <wp:effectExtent l="0" t="0" r="9525" b="6985"/>
          <wp:wrapNone/>
          <wp:docPr id="7" name="Picture 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S-Granite-Footer-PT.png"/>
                  <pic:cNvPicPr/>
                </pic:nvPicPr>
                <pic:blipFill>
                  <a:blip r:embed="rId1">
                    <a:extLst>
                      <a:ext uri="{28A0092B-C50C-407E-A947-70E740481C1C}">
                        <a14:useLocalDpi xmlns:a14="http://schemas.microsoft.com/office/drawing/2010/main" val="0"/>
                      </a:ext>
                    </a:extLst>
                  </a:blip>
                  <a:stretch>
                    <a:fillRect/>
                  </a:stretch>
                </pic:blipFill>
                <pic:spPr>
                  <a:xfrm>
                    <a:off x="0" y="0"/>
                    <a:ext cx="6638925" cy="659765"/>
                  </a:xfrm>
                  <a:prstGeom prst="rect">
                    <a:avLst/>
                  </a:prstGeom>
                </pic:spPr>
              </pic:pic>
            </a:graphicData>
          </a:graphic>
          <wp14:sizeRelH relativeFrom="margin">
            <wp14:pctWidth>0</wp14:pctWidth>
          </wp14:sizeRelH>
          <wp14:sizeRelV relativeFrom="margin">
            <wp14:pctHeight>0</wp14:pctHeight>
          </wp14:sizeRelV>
        </wp:anchor>
      </w:drawing>
    </w:r>
    <w:r w:rsidR="007D283B">
      <w:rPr>
        <w:b/>
        <w:noProof/>
        <w:lang w:val="en-AU" w:eastAsia="en-AU"/>
      </w:rPr>
      <w:drawing>
        <wp:inline distT="0" distB="0" distL="0" distR="0" wp14:anchorId="2D8BC3F2" wp14:editId="2D8BC3F3">
          <wp:extent cx="103505" cy="86360"/>
          <wp:effectExtent l="0" t="0" r="0" b="8890"/>
          <wp:docPr id="4" name="Picture 4"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007D283B">
      <w:rPr>
        <w:b/>
      </w:rPr>
      <w:t xml:space="preserve">@DFAT  </w:t>
    </w:r>
    <w:r w:rsidR="007D283B">
      <w:rPr>
        <w:rStyle w:val="Green"/>
        <w:b/>
      </w:rPr>
      <w:t>DFAT.GOV.AU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BC3DF" w14:textId="77777777" w:rsidR="00687BE6" w:rsidRPr="008C5A0E" w:rsidRDefault="00687BE6" w:rsidP="00D37B04">
      <w:pPr>
        <w:pStyle w:val="Footer"/>
      </w:pPr>
    </w:p>
  </w:footnote>
  <w:footnote w:type="continuationSeparator" w:id="0">
    <w:p w14:paraId="2D8BC3E0" w14:textId="77777777" w:rsidR="00687BE6" w:rsidRDefault="00687BE6"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22B72" w14:textId="77777777" w:rsidR="00D81522" w:rsidRDefault="00D815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BC3E3" w14:textId="43258FC6" w:rsidR="002D5B25" w:rsidRPr="000854FD" w:rsidRDefault="00FB2622" w:rsidP="007A5842">
    <w:pPr>
      <w:pStyle w:val="Header"/>
      <w:tabs>
        <w:tab w:val="clear" w:pos="4513"/>
        <w:tab w:val="clear" w:pos="9026"/>
        <w:tab w:val="left" w:pos="2865"/>
      </w:tabs>
    </w:pPr>
    <w:r>
      <w:rPr>
        <w:noProof/>
        <w:lang w:val="en-AU" w:eastAsia="en-AU"/>
      </w:rPr>
      <w:drawing>
        <wp:anchor distT="0" distB="0" distL="114300" distR="114300" simplePos="0" relativeHeight="251665408" behindDoc="1" locked="0" layoutInCell="1" allowOverlap="1" wp14:anchorId="2D8BC3E8" wp14:editId="161531DA">
          <wp:simplePos x="0" y="0"/>
          <wp:positionH relativeFrom="margin">
            <wp:align>right</wp:align>
          </wp:positionH>
          <wp:positionV relativeFrom="page">
            <wp:posOffset>180975</wp:posOffset>
          </wp:positionV>
          <wp:extent cx="6652310" cy="646430"/>
          <wp:effectExtent l="0" t="0" r="0" b="1270"/>
          <wp:wrapNone/>
          <wp:docPr id="5" name="Picture 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S-Granite-Header-PT.png"/>
                  <pic:cNvPicPr/>
                </pic:nvPicPr>
                <pic:blipFill>
                  <a:blip r:embed="rId1">
                    <a:extLst>
                      <a:ext uri="{28A0092B-C50C-407E-A947-70E740481C1C}">
                        <a14:useLocalDpi xmlns:a14="http://schemas.microsoft.com/office/drawing/2010/main" val="0"/>
                      </a:ext>
                    </a:extLst>
                  </a:blip>
                  <a:stretch>
                    <a:fillRect/>
                  </a:stretch>
                </pic:blipFill>
                <pic:spPr>
                  <a:xfrm>
                    <a:off x="0" y="0"/>
                    <a:ext cx="6652310" cy="646430"/>
                  </a:xfrm>
                  <a:prstGeom prst="rect">
                    <a:avLst/>
                  </a:prstGeom>
                </pic:spPr>
              </pic:pic>
            </a:graphicData>
          </a:graphic>
          <wp14:sizeRelH relativeFrom="margin">
            <wp14:pctWidth>0</wp14:pctWidth>
          </wp14:sizeRelH>
          <wp14:sizeRelV relativeFrom="margin">
            <wp14:pctHeight>0</wp14:pctHeight>
          </wp14:sizeRelV>
        </wp:anchor>
      </w:drawing>
    </w:r>
    <w:r w:rsidR="007A5842">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BC3E6" w14:textId="11758E42" w:rsidR="00D37B04" w:rsidRPr="00943730" w:rsidRDefault="00FB2622" w:rsidP="00943730">
    <w:pPr>
      <w:pStyle w:val="Header"/>
    </w:pPr>
    <w:r>
      <w:rPr>
        <w:noProof/>
        <w:lang w:val="en-AU" w:eastAsia="en-AU"/>
      </w:rPr>
      <w:drawing>
        <wp:anchor distT="0" distB="0" distL="114300" distR="114300" simplePos="0" relativeHeight="251663360" behindDoc="1" locked="0" layoutInCell="1" allowOverlap="1" wp14:anchorId="2D8BC3EE" wp14:editId="783923F6">
          <wp:simplePos x="0" y="0"/>
          <wp:positionH relativeFrom="margin">
            <wp:align>right</wp:align>
          </wp:positionH>
          <wp:positionV relativeFrom="page">
            <wp:posOffset>180975</wp:posOffset>
          </wp:positionV>
          <wp:extent cx="6648450" cy="890837"/>
          <wp:effectExtent l="0" t="0" r="0" b="5080"/>
          <wp:wrapNone/>
          <wp:docPr id="3" name="Picture 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S-Granite-Header-PT.png"/>
                  <pic:cNvPicPr/>
                </pic:nvPicPr>
                <pic:blipFill>
                  <a:blip r:embed="rId1">
                    <a:extLst>
                      <a:ext uri="{28A0092B-C50C-407E-A947-70E740481C1C}">
                        <a14:useLocalDpi xmlns:a14="http://schemas.microsoft.com/office/drawing/2010/main" val="0"/>
                      </a:ext>
                    </a:extLst>
                  </a:blip>
                  <a:stretch>
                    <a:fillRect/>
                  </a:stretch>
                </pic:blipFill>
                <pic:spPr>
                  <a:xfrm>
                    <a:off x="0" y="0"/>
                    <a:ext cx="6648450" cy="890837"/>
                  </a:xfrm>
                  <a:prstGeom prst="rect">
                    <a:avLst/>
                  </a:prstGeom>
                </pic:spPr>
              </pic:pic>
            </a:graphicData>
          </a:graphic>
          <wp14:sizeRelH relativeFrom="margin">
            <wp14:pctWidth>0</wp14:pctWidth>
          </wp14:sizeRelH>
          <wp14:sizeRelV relativeFrom="margin">
            <wp14:pctHeight>0</wp14:pctHeight>
          </wp14:sizeRelV>
        </wp:anchor>
      </w:drawing>
    </w:r>
    <w:r w:rsidR="002D5B25" w:rsidRPr="00943730">
      <w:fldChar w:fldCharType="begin"/>
    </w:r>
    <w:r w:rsidR="002D5B25" w:rsidRPr="00943730">
      <w:instrText xml:space="preserve"> DATE  \@ "MMMM yyyy"  \* MERGEFORMAT </w:instrText>
    </w:r>
    <w:r w:rsidR="002D5B25" w:rsidRPr="00943730">
      <w:fldChar w:fldCharType="separate"/>
    </w:r>
    <w:r w:rsidR="00D81522">
      <w:rPr>
        <w:noProof/>
      </w:rPr>
      <w:t>September 2019</w:t>
    </w:r>
    <w:r w:rsidR="002D5B25" w:rsidRPr="00943730">
      <w:fldChar w:fldCharType="end"/>
    </w:r>
    <w:r w:rsidR="002D5B25" w:rsidRPr="00943730">
      <w:rPr>
        <w:noProof/>
        <w:lang w:val="en-AU" w:eastAsia="en-AU"/>
      </w:rPr>
      <w:drawing>
        <wp:anchor distT="0" distB="0" distL="114300" distR="114300" simplePos="0" relativeHeight="251669504" behindDoc="1" locked="1" layoutInCell="1" allowOverlap="1" wp14:anchorId="2D8BC3F0" wp14:editId="2CAB864C">
          <wp:simplePos x="0" y="0"/>
          <wp:positionH relativeFrom="margin">
            <wp:posOffset>0</wp:posOffset>
          </wp:positionH>
          <wp:positionV relativeFrom="page">
            <wp:posOffset>691515</wp:posOffset>
          </wp:positionV>
          <wp:extent cx="3166745" cy="554355"/>
          <wp:effectExtent l="0" t="0" r="0" b="0"/>
          <wp:wrapNone/>
          <wp:docPr id="10" name="Picture 10" descr="Department of Foreign Affairs and Trade" title="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4405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6EBC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0C51149"/>
    <w:multiLevelType w:val="hybridMultilevel"/>
    <w:tmpl w:val="77486742"/>
    <w:lvl w:ilvl="0" w:tplc="A6907C72">
      <w:start w:val="1"/>
      <w:numFmt w:val="bullet"/>
      <w:pStyle w:val="Ta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4"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31E71D2B"/>
    <w:multiLevelType w:val="multilevel"/>
    <w:tmpl w:val="7630A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6706DA"/>
    <w:multiLevelType w:val="hybridMultilevel"/>
    <w:tmpl w:val="2A520D14"/>
    <w:lvl w:ilvl="0" w:tplc="0C090017">
      <w:start w:val="1"/>
      <w:numFmt w:val="lowerLetter"/>
      <w:lvlText w:val="%1)"/>
      <w:lvlJc w:val="left"/>
      <w:pPr>
        <w:ind w:left="720" w:hanging="360"/>
      </w:pPr>
    </w:lvl>
    <w:lvl w:ilvl="1" w:tplc="47E8E3F0">
      <w:start w:val="1"/>
      <w:numFmt w:val="bullet"/>
      <w:pStyle w:val="ListBullet"/>
      <w:lvlText w:val=""/>
      <w:lvlJc w:val="left"/>
      <w:pPr>
        <w:ind w:left="284" w:hanging="284"/>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5D3C1EA7"/>
    <w:multiLevelType w:val="multilevel"/>
    <w:tmpl w:val="FA1455BE"/>
    <w:numStyleLink w:val="BulletsList"/>
  </w:abstractNum>
  <w:abstractNum w:abstractNumId="19" w15:restartNumberingAfterBreak="0">
    <w:nsid w:val="5D8455BE"/>
    <w:multiLevelType w:val="multilevel"/>
    <w:tmpl w:val="FA1455BE"/>
    <w:numStyleLink w:val="BulletsList"/>
  </w:abstractNum>
  <w:abstractNum w:abstractNumId="2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73107305"/>
    <w:multiLevelType w:val="multilevel"/>
    <w:tmpl w:val="FA1455B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7"/>
  </w:num>
  <w:num w:numId="10">
    <w:abstractNumId w:val="2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8"/>
  </w:num>
  <w:num w:numId="22">
    <w:abstractNumId w:val="14"/>
  </w:num>
  <w:num w:numId="23">
    <w:abstractNumId w:val="14"/>
  </w:num>
  <w:num w:numId="24">
    <w:abstractNumId w:val="18"/>
  </w:num>
  <w:num w:numId="25">
    <w:abstractNumId w:val="18"/>
  </w:num>
  <w:num w:numId="26">
    <w:abstractNumId w:val="18"/>
  </w:num>
  <w:num w:numId="27">
    <w:abstractNumId w:val="17"/>
  </w:num>
  <w:num w:numId="28">
    <w:abstractNumId w:val="10"/>
  </w:num>
  <w:num w:numId="29">
    <w:abstractNumId w:val="10"/>
  </w:num>
  <w:num w:numId="30">
    <w:abstractNumId w:val="10"/>
  </w:num>
  <w:num w:numId="31">
    <w:abstractNumId w:val="13"/>
  </w:num>
  <w:num w:numId="32">
    <w:abstractNumId w:val="22"/>
  </w:num>
  <w:num w:numId="33">
    <w:abstractNumId w:val="19"/>
  </w:num>
  <w:num w:numId="34">
    <w:abstractNumId w:val="15"/>
  </w:num>
  <w:num w:numId="35">
    <w:abstractNumId w:val="16"/>
  </w:num>
  <w:num w:numId="36">
    <w:abstractNumId w:val="12"/>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DA8"/>
    <w:rsid w:val="000020C1"/>
    <w:rsid w:val="00010DE9"/>
    <w:rsid w:val="0002080A"/>
    <w:rsid w:val="0002782F"/>
    <w:rsid w:val="00035BBF"/>
    <w:rsid w:val="00043996"/>
    <w:rsid w:val="00050806"/>
    <w:rsid w:val="000546D9"/>
    <w:rsid w:val="00054E4D"/>
    <w:rsid w:val="00060073"/>
    <w:rsid w:val="000616C6"/>
    <w:rsid w:val="00077139"/>
    <w:rsid w:val="000854FD"/>
    <w:rsid w:val="000B37F5"/>
    <w:rsid w:val="000C24B4"/>
    <w:rsid w:val="000D66D6"/>
    <w:rsid w:val="000E1348"/>
    <w:rsid w:val="001040B1"/>
    <w:rsid w:val="00113288"/>
    <w:rsid w:val="001214BE"/>
    <w:rsid w:val="0013101C"/>
    <w:rsid w:val="00136E75"/>
    <w:rsid w:val="00144DAF"/>
    <w:rsid w:val="001461D6"/>
    <w:rsid w:val="001541EA"/>
    <w:rsid w:val="00161B42"/>
    <w:rsid w:val="00181443"/>
    <w:rsid w:val="001B539F"/>
    <w:rsid w:val="001D090B"/>
    <w:rsid w:val="001D663E"/>
    <w:rsid w:val="001D6B56"/>
    <w:rsid w:val="001E1DC0"/>
    <w:rsid w:val="001F429F"/>
    <w:rsid w:val="002451B9"/>
    <w:rsid w:val="00245F57"/>
    <w:rsid w:val="00257C5B"/>
    <w:rsid w:val="0028602A"/>
    <w:rsid w:val="002914E3"/>
    <w:rsid w:val="002A114E"/>
    <w:rsid w:val="002B2824"/>
    <w:rsid w:val="002B5E10"/>
    <w:rsid w:val="002C793D"/>
    <w:rsid w:val="002D5B25"/>
    <w:rsid w:val="002F4F2B"/>
    <w:rsid w:val="003002C0"/>
    <w:rsid w:val="00301144"/>
    <w:rsid w:val="00302CF5"/>
    <w:rsid w:val="003031C6"/>
    <w:rsid w:val="00304984"/>
    <w:rsid w:val="00312BF8"/>
    <w:rsid w:val="003148B7"/>
    <w:rsid w:val="003158C3"/>
    <w:rsid w:val="003274CD"/>
    <w:rsid w:val="00333501"/>
    <w:rsid w:val="003457C4"/>
    <w:rsid w:val="0035119D"/>
    <w:rsid w:val="00376D27"/>
    <w:rsid w:val="0039344A"/>
    <w:rsid w:val="003A53EA"/>
    <w:rsid w:val="003B4F12"/>
    <w:rsid w:val="003C7921"/>
    <w:rsid w:val="003F2041"/>
    <w:rsid w:val="00402ACC"/>
    <w:rsid w:val="004120EC"/>
    <w:rsid w:val="00412FC4"/>
    <w:rsid w:val="00423F31"/>
    <w:rsid w:val="00431899"/>
    <w:rsid w:val="00440752"/>
    <w:rsid w:val="00443429"/>
    <w:rsid w:val="00463D03"/>
    <w:rsid w:val="00482AE8"/>
    <w:rsid w:val="00486804"/>
    <w:rsid w:val="004B3775"/>
    <w:rsid w:val="004D0BA0"/>
    <w:rsid w:val="004D2440"/>
    <w:rsid w:val="004D2770"/>
    <w:rsid w:val="004E058F"/>
    <w:rsid w:val="004E3B87"/>
    <w:rsid w:val="00503457"/>
    <w:rsid w:val="00506C1C"/>
    <w:rsid w:val="00510921"/>
    <w:rsid w:val="00510AD3"/>
    <w:rsid w:val="00513348"/>
    <w:rsid w:val="00513AD8"/>
    <w:rsid w:val="005204D2"/>
    <w:rsid w:val="00522396"/>
    <w:rsid w:val="0053067C"/>
    <w:rsid w:val="00533B5D"/>
    <w:rsid w:val="00585722"/>
    <w:rsid w:val="005953DE"/>
    <w:rsid w:val="005A20F6"/>
    <w:rsid w:val="005B2DB1"/>
    <w:rsid w:val="005B7A92"/>
    <w:rsid w:val="005D3655"/>
    <w:rsid w:val="005E3E95"/>
    <w:rsid w:val="005E4830"/>
    <w:rsid w:val="005F53BA"/>
    <w:rsid w:val="00622B86"/>
    <w:rsid w:val="00623BA1"/>
    <w:rsid w:val="006346BC"/>
    <w:rsid w:val="0066652A"/>
    <w:rsid w:val="006719C3"/>
    <w:rsid w:val="006760AA"/>
    <w:rsid w:val="0067714E"/>
    <w:rsid w:val="00680522"/>
    <w:rsid w:val="00682167"/>
    <w:rsid w:val="00687BE6"/>
    <w:rsid w:val="006C42AF"/>
    <w:rsid w:val="006E318F"/>
    <w:rsid w:val="00711D8E"/>
    <w:rsid w:val="00712672"/>
    <w:rsid w:val="00734E3F"/>
    <w:rsid w:val="00736985"/>
    <w:rsid w:val="00745DF5"/>
    <w:rsid w:val="0076250F"/>
    <w:rsid w:val="00780FA5"/>
    <w:rsid w:val="00795D76"/>
    <w:rsid w:val="007A5842"/>
    <w:rsid w:val="007B6200"/>
    <w:rsid w:val="007B7918"/>
    <w:rsid w:val="007D283B"/>
    <w:rsid w:val="007D2C3C"/>
    <w:rsid w:val="007F3395"/>
    <w:rsid w:val="00801B9F"/>
    <w:rsid w:val="0080204D"/>
    <w:rsid w:val="00833F6E"/>
    <w:rsid w:val="00842565"/>
    <w:rsid w:val="008475F0"/>
    <w:rsid w:val="008557A7"/>
    <w:rsid w:val="00860013"/>
    <w:rsid w:val="00870928"/>
    <w:rsid w:val="008735BD"/>
    <w:rsid w:val="0089405C"/>
    <w:rsid w:val="00897FA2"/>
    <w:rsid w:val="008A5AFE"/>
    <w:rsid w:val="008A6231"/>
    <w:rsid w:val="008B5140"/>
    <w:rsid w:val="008C5A0E"/>
    <w:rsid w:val="008E6ADA"/>
    <w:rsid w:val="0091235B"/>
    <w:rsid w:val="00943730"/>
    <w:rsid w:val="00957EE5"/>
    <w:rsid w:val="00967955"/>
    <w:rsid w:val="00975CA5"/>
    <w:rsid w:val="00986590"/>
    <w:rsid w:val="00992C76"/>
    <w:rsid w:val="009969D6"/>
    <w:rsid w:val="009A50B8"/>
    <w:rsid w:val="009A5C98"/>
    <w:rsid w:val="009B4D3B"/>
    <w:rsid w:val="009B6566"/>
    <w:rsid w:val="009D7407"/>
    <w:rsid w:val="009E0866"/>
    <w:rsid w:val="009E273C"/>
    <w:rsid w:val="009F1350"/>
    <w:rsid w:val="009F6423"/>
    <w:rsid w:val="00A11B24"/>
    <w:rsid w:val="00A179C0"/>
    <w:rsid w:val="00A24A62"/>
    <w:rsid w:val="00A31C9F"/>
    <w:rsid w:val="00A4144F"/>
    <w:rsid w:val="00A61B4D"/>
    <w:rsid w:val="00A623E8"/>
    <w:rsid w:val="00A80F95"/>
    <w:rsid w:val="00A83051"/>
    <w:rsid w:val="00A97BF1"/>
    <w:rsid w:val="00AA298A"/>
    <w:rsid w:val="00AC164A"/>
    <w:rsid w:val="00AE448A"/>
    <w:rsid w:val="00AF2050"/>
    <w:rsid w:val="00B03CA8"/>
    <w:rsid w:val="00B14414"/>
    <w:rsid w:val="00B17FB1"/>
    <w:rsid w:val="00B33C0A"/>
    <w:rsid w:val="00B55E19"/>
    <w:rsid w:val="00B857E1"/>
    <w:rsid w:val="00B92E28"/>
    <w:rsid w:val="00B94758"/>
    <w:rsid w:val="00BA4B6D"/>
    <w:rsid w:val="00BB26C5"/>
    <w:rsid w:val="00BC08B5"/>
    <w:rsid w:val="00BE3927"/>
    <w:rsid w:val="00BE5E05"/>
    <w:rsid w:val="00BF4DE6"/>
    <w:rsid w:val="00BF7331"/>
    <w:rsid w:val="00C06B13"/>
    <w:rsid w:val="00C224B6"/>
    <w:rsid w:val="00C27D25"/>
    <w:rsid w:val="00C42541"/>
    <w:rsid w:val="00C42CDE"/>
    <w:rsid w:val="00C50E0F"/>
    <w:rsid w:val="00C5182A"/>
    <w:rsid w:val="00C63EE9"/>
    <w:rsid w:val="00C72613"/>
    <w:rsid w:val="00CA16F3"/>
    <w:rsid w:val="00CA37B1"/>
    <w:rsid w:val="00CB1959"/>
    <w:rsid w:val="00CC741B"/>
    <w:rsid w:val="00CD0E4B"/>
    <w:rsid w:val="00CE4C89"/>
    <w:rsid w:val="00CF07BA"/>
    <w:rsid w:val="00D0296C"/>
    <w:rsid w:val="00D32D6F"/>
    <w:rsid w:val="00D33667"/>
    <w:rsid w:val="00D37B04"/>
    <w:rsid w:val="00D540C6"/>
    <w:rsid w:val="00D64BD1"/>
    <w:rsid w:val="00D81522"/>
    <w:rsid w:val="00D82C27"/>
    <w:rsid w:val="00D92254"/>
    <w:rsid w:val="00DC30DA"/>
    <w:rsid w:val="00DE084C"/>
    <w:rsid w:val="00DE23C4"/>
    <w:rsid w:val="00DE53B6"/>
    <w:rsid w:val="00E14F51"/>
    <w:rsid w:val="00E357B7"/>
    <w:rsid w:val="00E53800"/>
    <w:rsid w:val="00E6081F"/>
    <w:rsid w:val="00E82152"/>
    <w:rsid w:val="00E8296D"/>
    <w:rsid w:val="00E8457B"/>
    <w:rsid w:val="00E9101C"/>
    <w:rsid w:val="00EA04B2"/>
    <w:rsid w:val="00EA20F3"/>
    <w:rsid w:val="00EA6CDA"/>
    <w:rsid w:val="00ED2831"/>
    <w:rsid w:val="00ED43D1"/>
    <w:rsid w:val="00ED45E9"/>
    <w:rsid w:val="00EE4EE1"/>
    <w:rsid w:val="00EF4574"/>
    <w:rsid w:val="00F034D0"/>
    <w:rsid w:val="00F25A93"/>
    <w:rsid w:val="00F2684E"/>
    <w:rsid w:val="00F5404C"/>
    <w:rsid w:val="00F729EF"/>
    <w:rsid w:val="00F77CAE"/>
    <w:rsid w:val="00F81798"/>
    <w:rsid w:val="00F82271"/>
    <w:rsid w:val="00F83428"/>
    <w:rsid w:val="00F96BB9"/>
    <w:rsid w:val="00FB2622"/>
    <w:rsid w:val="00FD78BC"/>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D8BC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FC4"/>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2451B9"/>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833F6E"/>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2451B9"/>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1B9"/>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833F6E"/>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2451B9"/>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2451B9"/>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B2622"/>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2451B9"/>
    <w:pPr>
      <w:spacing w:before="400" w:after="400" w:line="280" w:lineRule="exact"/>
    </w:pPr>
    <w:rPr>
      <w:b/>
      <w:color w:val="65C5B4" w:themeColor="accent1"/>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B2622"/>
    <w:rPr>
      <w:b/>
      <w:caps/>
      <w:color w:val="FFFFFF" w:themeColor="background1"/>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2451B9"/>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D82C27"/>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link w:val="TableTextChar"/>
    <w:uiPriority w:val="99"/>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NormalWeb">
    <w:name w:val="Normal (Web)"/>
    <w:basedOn w:val="Normal"/>
    <w:uiPriority w:val="99"/>
    <w:semiHidden/>
    <w:unhideWhenUsed/>
    <w:rsid w:val="00DE23C4"/>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paragraph" w:styleId="ListBullet">
    <w:name w:val="List Bullet"/>
    <w:basedOn w:val="Normal"/>
    <w:uiPriority w:val="99"/>
    <w:unhideWhenUsed/>
    <w:qFormat/>
    <w:locked/>
    <w:rsid w:val="007A5842"/>
    <w:pPr>
      <w:numPr>
        <w:ilvl w:val="1"/>
        <w:numId w:val="35"/>
      </w:numPr>
      <w:suppressAutoHyphens w:val="0"/>
      <w:spacing w:before="0" w:after="240" w:line="276" w:lineRule="auto"/>
      <w:contextualSpacing/>
    </w:pPr>
    <w:rPr>
      <w:color w:val="auto"/>
      <w:sz w:val="20"/>
    </w:rPr>
  </w:style>
  <w:style w:type="character" w:customStyle="1" w:styleId="TableTextChar">
    <w:name w:val="Table Text Char"/>
    <w:basedOn w:val="DefaultParagraphFont"/>
    <w:link w:val="TableText"/>
    <w:uiPriority w:val="99"/>
    <w:rsid w:val="007B7918"/>
    <w:rPr>
      <w:rFonts w:ascii="Calibri" w:hAnsi="Calibri"/>
      <w:color w:val="495965" w:themeColor="text2"/>
      <w:szCs w:val="21"/>
      <w:lang w:val="en-GB"/>
    </w:rPr>
  </w:style>
  <w:style w:type="paragraph" w:styleId="ListBullet2">
    <w:name w:val="List Bullet 2"/>
    <w:basedOn w:val="Normal"/>
    <w:uiPriority w:val="99"/>
    <w:unhideWhenUsed/>
    <w:locked/>
    <w:rsid w:val="007B7918"/>
    <w:pPr>
      <w:tabs>
        <w:tab w:val="num" w:pos="643"/>
      </w:tabs>
      <w:suppressAutoHyphens w:val="0"/>
      <w:spacing w:before="0" w:after="160" w:line="259" w:lineRule="auto"/>
      <w:ind w:left="643" w:hanging="360"/>
      <w:contextualSpacing/>
    </w:pPr>
    <w:rPr>
      <w:color w:val="auto"/>
      <w:sz w:val="20"/>
    </w:rPr>
  </w:style>
  <w:style w:type="table" w:styleId="TableGridLight">
    <w:name w:val="Grid Table Light"/>
    <w:basedOn w:val="TableNormal"/>
    <w:uiPriority w:val="40"/>
    <w:locked/>
    <w:rsid w:val="007B79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bullet">
    <w:name w:val="Table bullet"/>
    <w:basedOn w:val="TableText"/>
    <w:qFormat/>
    <w:rsid w:val="007B7918"/>
    <w:pPr>
      <w:framePr w:hSpace="0" w:wrap="auto" w:vAnchor="margin" w:hAnchor="text" w:yAlign="inline"/>
      <w:numPr>
        <w:numId w:val="36"/>
      </w:numPr>
      <w:suppressAutoHyphens w:val="0"/>
      <w:spacing w:before="0" w:line="240" w:lineRule="auto"/>
      <w:ind w:left="227" w:hanging="227"/>
    </w:pPr>
    <w:rPr>
      <w:rFonts w:ascii="Arial" w:eastAsia="Times New Roman" w:hAnsi="Arial" w:cs="Times New Roman"/>
      <w:color w:val="auto"/>
      <w:sz w:val="16"/>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68650">
      <w:bodyDiv w:val="1"/>
      <w:marLeft w:val="0"/>
      <w:marRight w:val="0"/>
      <w:marTop w:val="0"/>
      <w:marBottom w:val="0"/>
      <w:divBdr>
        <w:top w:val="none" w:sz="0" w:space="0" w:color="auto"/>
        <w:left w:val="none" w:sz="0" w:space="0" w:color="auto"/>
        <w:bottom w:val="none" w:sz="0" w:space="0" w:color="auto"/>
        <w:right w:val="none" w:sz="0" w:space="0" w:color="auto"/>
      </w:divBdr>
    </w:div>
    <w:div w:id="587810983">
      <w:bodyDiv w:val="1"/>
      <w:marLeft w:val="0"/>
      <w:marRight w:val="0"/>
      <w:marTop w:val="0"/>
      <w:marBottom w:val="0"/>
      <w:divBdr>
        <w:top w:val="none" w:sz="0" w:space="0" w:color="auto"/>
        <w:left w:val="none" w:sz="0" w:space="0" w:color="auto"/>
        <w:bottom w:val="none" w:sz="0" w:space="0" w:color="auto"/>
        <w:right w:val="none" w:sz="0" w:space="0" w:color="auto"/>
      </w:divBdr>
    </w:div>
    <w:div w:id="729889710">
      <w:bodyDiv w:val="1"/>
      <w:marLeft w:val="0"/>
      <w:marRight w:val="0"/>
      <w:marTop w:val="0"/>
      <w:marBottom w:val="0"/>
      <w:divBdr>
        <w:top w:val="none" w:sz="0" w:space="0" w:color="auto"/>
        <w:left w:val="none" w:sz="0" w:space="0" w:color="auto"/>
        <w:bottom w:val="none" w:sz="0" w:space="0" w:color="auto"/>
        <w:right w:val="none" w:sz="0" w:space="0" w:color="auto"/>
      </w:divBdr>
    </w:div>
    <w:div w:id="1035040252">
      <w:bodyDiv w:val="1"/>
      <w:marLeft w:val="0"/>
      <w:marRight w:val="0"/>
      <w:marTop w:val="0"/>
      <w:marBottom w:val="0"/>
      <w:divBdr>
        <w:top w:val="none" w:sz="0" w:space="0" w:color="auto"/>
        <w:left w:val="none" w:sz="0" w:space="0" w:color="auto"/>
        <w:bottom w:val="none" w:sz="0" w:space="0" w:color="auto"/>
        <w:right w:val="none" w:sz="0" w:space="0" w:color="auto"/>
      </w:divBdr>
    </w:div>
    <w:div w:id="139273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DB0A13-8160-4BE0-A7DC-A5323F22CAA5}"/>
</file>

<file path=customXml/itemProps2.xml><?xml version="1.0" encoding="utf-8"?>
<ds:datastoreItem xmlns:ds="http://schemas.openxmlformats.org/officeDocument/2006/customXml" ds:itemID="{CB59048E-51E6-45F7-A4A0-35D23D67E216}"/>
</file>

<file path=customXml/itemProps3.xml><?xml version="1.0" encoding="utf-8"?>
<ds:datastoreItem xmlns:ds="http://schemas.openxmlformats.org/officeDocument/2006/customXml" ds:itemID="{0B94D4E7-A565-4988-A771-CE38F8FF7FC8}"/>
</file>

<file path=customXml/itemProps4.xml><?xml version="1.0" encoding="utf-8"?>
<ds:datastoreItem xmlns:ds="http://schemas.openxmlformats.org/officeDocument/2006/customXml" ds:itemID="{F478E61B-655D-4A7B-824D-0B62974127B5}"/>
</file>

<file path=docProps/app.xml><?xml version="1.0" encoding="utf-8"?>
<Properties xmlns="http://schemas.openxmlformats.org/officeDocument/2006/extended-properties" xmlns:vt="http://schemas.openxmlformats.org/officeDocument/2006/docPropsVTypes">
  <Template>Normal.dotm</Template>
  <TotalTime>0</TotalTime>
  <Pages>2</Pages>
  <Words>1026</Words>
  <Characters>5551</Characters>
  <Application>Microsoft Office Word</Application>
  <DocSecurity>0</DocSecurity>
  <Lines>99</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SEAEGIF Industry Briefing Note</dc:title>
  <dc:creator/>
  <cp:lastModifiedBy/>
  <cp:revision>1</cp:revision>
  <dcterms:created xsi:type="dcterms:W3CDTF">2019-09-25T05:44:00Z</dcterms:created>
  <dcterms:modified xsi:type="dcterms:W3CDTF">2019-09-25T05:44:00Z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e8320ad0-6968-42d8-abfb-1e4c322aac0d</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0x0101008B6CD19F33B76B469A344754A006CD29</vt:lpwstr>
  </property>
  <property fmtid="{D5CDD505-2E9C-101B-9397-08002B2CF9AE}" pid="6" name="TemplateUrl">
    <vt:lpwstr/>
  </property>
  <property fmtid="{D5CDD505-2E9C-101B-9397-08002B2CF9AE}" pid="7" name="Order">
    <vt:r8>1138300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