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53A75B4D" w:rsidR="0086112F" w:rsidRDefault="000928D2" w:rsidP="00735289">
      <w:pPr>
        <w:spacing w:after="120" w:line="240" w:lineRule="atLeast"/>
        <w:rPr>
          <w:rFonts w:ascii="Calibri" w:hAnsi="Calibri" w:cs="Calibri"/>
          <w:b/>
          <w:bCs/>
          <w:sz w:val="40"/>
          <w:szCs w:val="40"/>
        </w:rPr>
      </w:pPr>
      <w:r>
        <w:rPr>
          <w:rFonts w:ascii="Calibri" w:hAnsi="Calibri" w:cs="Calibri"/>
          <w:b/>
          <w:bCs/>
          <w:sz w:val="40"/>
          <w:szCs w:val="40"/>
        </w:rPr>
        <w:t>SNAPSHOT</w:t>
      </w:r>
    </w:p>
    <w:p w14:paraId="6AE4018C" w14:textId="64BEF0C2" w:rsidR="000928D2" w:rsidRPr="000928D2" w:rsidRDefault="000928D2" w:rsidP="00735289">
      <w:pPr>
        <w:spacing w:after="120" w:line="240" w:lineRule="atLeast"/>
        <w:rPr>
          <w:rFonts w:ascii="Calibri" w:hAnsi="Calibri" w:cs="Calibri"/>
          <w:b/>
          <w:bCs/>
          <w:sz w:val="40"/>
          <w:szCs w:val="40"/>
        </w:rPr>
      </w:pPr>
      <w:bookmarkStart w:id="1" w:name="_Hlk198828533"/>
      <w:r w:rsidRPr="000928D2">
        <w:rPr>
          <w:rFonts w:ascii="Calibri" w:hAnsi="Calibri" w:cs="Calibri"/>
          <w:b/>
          <w:bCs/>
          <w:sz w:val="40"/>
          <w:szCs w:val="40"/>
        </w:rPr>
        <w:t>YEMEN SANCTIONS FRAMEWORK</w:t>
      </w:r>
    </w:p>
    <w:p w14:paraId="481C5451" w14:textId="7C8AAB8E" w:rsidR="000928D2" w:rsidRPr="005B3724" w:rsidRDefault="000928D2" w:rsidP="00735289">
      <w:pPr>
        <w:pStyle w:val="H2-Heading2"/>
        <w:spacing w:before="120" w:after="120" w:line="240" w:lineRule="atLeast"/>
      </w:pPr>
      <w:r w:rsidRPr="005B3724">
        <w:t>Why are sanctions imposed?</w:t>
      </w:r>
    </w:p>
    <w:p w14:paraId="01DB7608"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The United Nations Security Council (UNSC) imposes a limited arms embargo and other sanctions measures in relation to Yemen in response to Yemen’s ongoing political, security, economic and humanitarian challenges. Australia implements the UNSC sanctions concerning Yemen by incorporating them into Australian law.</w:t>
      </w:r>
    </w:p>
    <w:p w14:paraId="5B4BB2C6" w14:textId="77777777" w:rsidR="000928D2" w:rsidRPr="005B3724" w:rsidRDefault="000928D2" w:rsidP="00735289">
      <w:pPr>
        <w:pStyle w:val="H2-Heading2"/>
        <w:spacing w:before="120" w:after="120" w:line="240" w:lineRule="atLeast"/>
      </w:pPr>
      <w:r w:rsidRPr="005B3724">
        <w:t>What is prohibited by the Yemen sanctions framework?</w:t>
      </w:r>
    </w:p>
    <w:p w14:paraId="021633AC"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The Yemen sanctions framework imposes the following sanctions measures:</w:t>
      </w:r>
    </w:p>
    <w:tbl>
      <w:tblPr>
        <w:tblW w:w="9034" w:type="dxa"/>
        <w:tblCellMar>
          <w:top w:w="15" w:type="dxa"/>
          <w:left w:w="15" w:type="dxa"/>
          <w:bottom w:w="15" w:type="dxa"/>
          <w:right w:w="15" w:type="dxa"/>
        </w:tblCellMar>
        <w:tblLook w:val="04A0" w:firstRow="1" w:lastRow="0" w:firstColumn="1" w:lastColumn="0" w:noHBand="0" w:noVBand="1"/>
      </w:tblPr>
      <w:tblGrid>
        <w:gridCol w:w="6655"/>
        <w:gridCol w:w="992"/>
        <w:gridCol w:w="1387"/>
      </w:tblGrid>
      <w:tr w:rsidR="000928D2" w:rsidRPr="000928D2" w14:paraId="656BF743" w14:textId="77777777" w:rsidTr="005B3724">
        <w:trPr>
          <w:tblHeader/>
        </w:trPr>
        <w:tc>
          <w:tcPr>
            <w:tcW w:w="6655"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28C8FA85" w14:textId="77777777" w:rsidR="000928D2" w:rsidRPr="000928D2" w:rsidRDefault="000928D2" w:rsidP="00735289">
            <w:pPr>
              <w:spacing w:after="120" w:line="240" w:lineRule="atLeast"/>
              <w:jc w:val="center"/>
              <w:rPr>
                <w:rFonts w:ascii="Calibri" w:hAnsi="Calibri" w:cs="Calibri"/>
                <w:b/>
                <w:bCs/>
                <w:color w:val="FFFFFF" w:themeColor="background1"/>
                <w:sz w:val="22"/>
              </w:rPr>
            </w:pPr>
            <w:r w:rsidRPr="000928D2">
              <w:rPr>
                <w:rFonts w:ascii="Calibri" w:hAnsi="Calibri" w:cs="Calibri"/>
                <w:b/>
                <w:bCs/>
                <w:color w:val="FFFFFF" w:themeColor="background1"/>
                <w:sz w:val="22"/>
              </w:rPr>
              <w:t>Measure</w:t>
            </w:r>
          </w:p>
        </w:tc>
        <w:tc>
          <w:tcPr>
            <w:tcW w:w="992"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13F7A2A" w14:textId="77777777" w:rsidR="000928D2" w:rsidRPr="000928D2" w:rsidRDefault="000928D2" w:rsidP="00735289">
            <w:pPr>
              <w:spacing w:after="120" w:line="240" w:lineRule="atLeast"/>
              <w:jc w:val="center"/>
              <w:rPr>
                <w:rFonts w:ascii="Calibri" w:hAnsi="Calibri" w:cs="Calibri"/>
                <w:b/>
                <w:bCs/>
                <w:color w:val="FFFFFF" w:themeColor="background1"/>
                <w:sz w:val="22"/>
              </w:rPr>
            </w:pPr>
            <w:r w:rsidRPr="000928D2">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B3E706E" w14:textId="77777777" w:rsidR="000928D2" w:rsidRPr="000928D2" w:rsidRDefault="000928D2" w:rsidP="00735289">
            <w:pPr>
              <w:spacing w:after="120" w:line="240" w:lineRule="atLeast"/>
              <w:jc w:val="center"/>
              <w:rPr>
                <w:rFonts w:ascii="Calibri" w:hAnsi="Calibri" w:cs="Calibri"/>
                <w:b/>
                <w:bCs/>
                <w:color w:val="FFFFFF" w:themeColor="background1"/>
                <w:sz w:val="22"/>
              </w:rPr>
            </w:pPr>
            <w:r w:rsidRPr="000928D2">
              <w:rPr>
                <w:rFonts w:ascii="Calibri" w:hAnsi="Calibri" w:cs="Calibri"/>
                <w:b/>
                <w:bCs/>
                <w:color w:val="FFFFFF" w:themeColor="background1"/>
                <w:sz w:val="22"/>
              </w:rPr>
              <w:t>Autonomous</w:t>
            </w:r>
          </w:p>
        </w:tc>
      </w:tr>
      <w:tr w:rsidR="000928D2" w:rsidRPr="005B3724" w14:paraId="361A306C" w14:textId="77777777" w:rsidTr="005B3724">
        <w:tc>
          <w:tcPr>
            <w:tcW w:w="6655" w:type="dxa"/>
            <w:tcBorders>
              <w:top w:val="single" w:sz="6" w:space="0" w:color="D5D5D5"/>
              <w:left w:val="single" w:sz="6" w:space="0" w:color="D5D5D5"/>
              <w:bottom w:val="single" w:sz="6" w:space="0" w:color="D5D5D5"/>
              <w:right w:val="single" w:sz="6" w:space="0" w:color="D5D5D5"/>
            </w:tcBorders>
            <w:vAlign w:val="center"/>
            <w:hideMark/>
          </w:tcPr>
          <w:p w14:paraId="79F9B43B"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restrictions on supplying arms or related materiel, and related services, to designated persons and entities</w:t>
            </w:r>
          </w:p>
        </w:tc>
        <w:tc>
          <w:tcPr>
            <w:tcW w:w="992" w:type="dxa"/>
            <w:tcBorders>
              <w:top w:val="single" w:sz="6" w:space="0" w:color="D5D5D5"/>
              <w:left w:val="single" w:sz="6" w:space="0" w:color="D5D5D5"/>
              <w:bottom w:val="single" w:sz="6" w:space="0" w:color="D5D5D5"/>
              <w:right w:val="single" w:sz="6" w:space="0" w:color="D5D5D5"/>
            </w:tcBorders>
            <w:vAlign w:val="center"/>
            <w:hideMark/>
          </w:tcPr>
          <w:p w14:paraId="7B84350A" w14:textId="77777777" w:rsidR="000928D2" w:rsidRPr="005B3724" w:rsidRDefault="000928D2" w:rsidP="00735289">
            <w:pPr>
              <w:spacing w:after="120" w:line="240" w:lineRule="atLeast"/>
              <w:jc w:val="center"/>
              <w:rPr>
                <w:rFonts w:ascii="Calibri" w:hAnsi="Calibri" w:cs="Calibri"/>
                <w:sz w:val="22"/>
              </w:rPr>
            </w:pPr>
            <w:r w:rsidRPr="005B3724">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9F3B958" w14:textId="1AF4CFF9" w:rsidR="000928D2" w:rsidRPr="005B3724" w:rsidRDefault="00735289" w:rsidP="00735289">
            <w:pPr>
              <w:spacing w:after="120" w:line="240" w:lineRule="atLeast"/>
              <w:jc w:val="center"/>
              <w:rPr>
                <w:rFonts w:ascii="Calibri" w:hAnsi="Calibri" w:cs="Calibri"/>
                <w:sz w:val="22"/>
              </w:rPr>
            </w:pPr>
            <w:r>
              <w:rPr>
                <w:rFonts w:ascii="Calibri" w:hAnsi="Calibri" w:cs="Calibri"/>
                <w:sz w:val="22"/>
              </w:rPr>
              <w:t>-</w:t>
            </w:r>
          </w:p>
        </w:tc>
      </w:tr>
      <w:tr w:rsidR="000928D2" w:rsidRPr="005B3724" w14:paraId="0BC557DA" w14:textId="77777777" w:rsidTr="005B3724">
        <w:tc>
          <w:tcPr>
            <w:tcW w:w="6655" w:type="dxa"/>
            <w:tcBorders>
              <w:top w:val="single" w:sz="6" w:space="0" w:color="D5D5D5"/>
              <w:left w:val="single" w:sz="6" w:space="0" w:color="D5D5D5"/>
              <w:bottom w:val="single" w:sz="6" w:space="0" w:color="D5D5D5"/>
              <w:right w:val="single" w:sz="6" w:space="0" w:color="D5D5D5"/>
            </w:tcBorders>
            <w:vAlign w:val="center"/>
            <w:hideMark/>
          </w:tcPr>
          <w:p w14:paraId="25C075B4"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restrictions on providing assets to designated persons or entities</w:t>
            </w:r>
          </w:p>
        </w:tc>
        <w:tc>
          <w:tcPr>
            <w:tcW w:w="992" w:type="dxa"/>
            <w:tcBorders>
              <w:top w:val="single" w:sz="6" w:space="0" w:color="D5D5D5"/>
              <w:left w:val="single" w:sz="6" w:space="0" w:color="D5D5D5"/>
              <w:bottom w:val="single" w:sz="6" w:space="0" w:color="D5D5D5"/>
              <w:right w:val="single" w:sz="6" w:space="0" w:color="D5D5D5"/>
            </w:tcBorders>
            <w:vAlign w:val="center"/>
            <w:hideMark/>
          </w:tcPr>
          <w:p w14:paraId="63704564" w14:textId="77777777" w:rsidR="000928D2" w:rsidRPr="005B3724" w:rsidRDefault="000928D2" w:rsidP="00735289">
            <w:pPr>
              <w:spacing w:after="120" w:line="240" w:lineRule="atLeast"/>
              <w:jc w:val="center"/>
              <w:rPr>
                <w:rFonts w:ascii="Calibri" w:hAnsi="Calibri" w:cs="Calibri"/>
                <w:sz w:val="22"/>
              </w:rPr>
            </w:pPr>
            <w:r w:rsidRPr="005B3724">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52306B6" w14:textId="41E85436" w:rsidR="000928D2" w:rsidRPr="005B3724" w:rsidRDefault="00735289" w:rsidP="00735289">
            <w:pPr>
              <w:spacing w:after="120" w:line="240" w:lineRule="atLeast"/>
              <w:jc w:val="center"/>
              <w:rPr>
                <w:rFonts w:ascii="Calibri" w:hAnsi="Calibri" w:cs="Calibri"/>
                <w:sz w:val="22"/>
              </w:rPr>
            </w:pPr>
            <w:r>
              <w:rPr>
                <w:rFonts w:ascii="Calibri" w:hAnsi="Calibri" w:cs="Calibri"/>
                <w:sz w:val="22"/>
              </w:rPr>
              <w:t>-</w:t>
            </w:r>
          </w:p>
        </w:tc>
      </w:tr>
      <w:tr w:rsidR="000928D2" w:rsidRPr="005B3724" w14:paraId="3AD5936D" w14:textId="77777777" w:rsidTr="005B3724">
        <w:tc>
          <w:tcPr>
            <w:tcW w:w="6655" w:type="dxa"/>
            <w:tcBorders>
              <w:top w:val="single" w:sz="6" w:space="0" w:color="D5D5D5"/>
              <w:left w:val="single" w:sz="6" w:space="0" w:color="D5D5D5"/>
              <w:bottom w:val="single" w:sz="6" w:space="0" w:color="D5D5D5"/>
              <w:right w:val="single" w:sz="6" w:space="0" w:color="D5D5D5"/>
            </w:tcBorders>
            <w:vAlign w:val="center"/>
            <w:hideMark/>
          </w:tcPr>
          <w:p w14:paraId="2CC7F09B"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restrictions on dealing with the assets of designated persons or entities</w:t>
            </w:r>
          </w:p>
        </w:tc>
        <w:tc>
          <w:tcPr>
            <w:tcW w:w="992" w:type="dxa"/>
            <w:tcBorders>
              <w:top w:val="single" w:sz="6" w:space="0" w:color="D5D5D5"/>
              <w:left w:val="single" w:sz="6" w:space="0" w:color="D5D5D5"/>
              <w:bottom w:val="single" w:sz="6" w:space="0" w:color="D5D5D5"/>
              <w:right w:val="single" w:sz="6" w:space="0" w:color="D5D5D5"/>
            </w:tcBorders>
            <w:vAlign w:val="center"/>
            <w:hideMark/>
          </w:tcPr>
          <w:p w14:paraId="0D663CCF" w14:textId="77777777" w:rsidR="000928D2" w:rsidRPr="005B3724" w:rsidRDefault="000928D2" w:rsidP="00735289">
            <w:pPr>
              <w:spacing w:after="120" w:line="240" w:lineRule="atLeast"/>
              <w:jc w:val="center"/>
              <w:rPr>
                <w:rFonts w:ascii="Calibri" w:hAnsi="Calibri" w:cs="Calibri"/>
                <w:sz w:val="22"/>
              </w:rPr>
            </w:pPr>
            <w:r w:rsidRPr="005B3724">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6378427" w14:textId="7DAEC987" w:rsidR="000928D2" w:rsidRPr="005B3724" w:rsidRDefault="00735289" w:rsidP="00735289">
            <w:pPr>
              <w:spacing w:after="120" w:line="240" w:lineRule="atLeast"/>
              <w:jc w:val="center"/>
              <w:rPr>
                <w:rFonts w:ascii="Calibri" w:hAnsi="Calibri" w:cs="Calibri"/>
                <w:sz w:val="22"/>
              </w:rPr>
            </w:pPr>
            <w:r>
              <w:rPr>
                <w:rFonts w:ascii="Calibri" w:hAnsi="Calibri" w:cs="Calibri"/>
                <w:sz w:val="22"/>
              </w:rPr>
              <w:t>-</w:t>
            </w:r>
          </w:p>
        </w:tc>
      </w:tr>
      <w:tr w:rsidR="000928D2" w:rsidRPr="005B3724" w14:paraId="23FB00D2" w14:textId="77777777" w:rsidTr="005B3724">
        <w:tc>
          <w:tcPr>
            <w:tcW w:w="6655" w:type="dxa"/>
            <w:tcBorders>
              <w:top w:val="single" w:sz="6" w:space="0" w:color="D5D5D5"/>
              <w:left w:val="single" w:sz="6" w:space="0" w:color="D5D5D5"/>
              <w:bottom w:val="single" w:sz="6" w:space="0" w:color="D5D5D5"/>
              <w:right w:val="single" w:sz="6" w:space="0" w:color="D5D5D5"/>
            </w:tcBorders>
            <w:vAlign w:val="center"/>
            <w:hideMark/>
          </w:tcPr>
          <w:p w14:paraId="2E858C79"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travel bans on designated persons</w:t>
            </w:r>
          </w:p>
        </w:tc>
        <w:tc>
          <w:tcPr>
            <w:tcW w:w="992" w:type="dxa"/>
            <w:tcBorders>
              <w:top w:val="single" w:sz="6" w:space="0" w:color="D5D5D5"/>
              <w:left w:val="single" w:sz="6" w:space="0" w:color="D5D5D5"/>
              <w:bottom w:val="single" w:sz="6" w:space="0" w:color="D5D5D5"/>
              <w:right w:val="single" w:sz="6" w:space="0" w:color="D5D5D5"/>
            </w:tcBorders>
            <w:vAlign w:val="center"/>
            <w:hideMark/>
          </w:tcPr>
          <w:p w14:paraId="546AC98F" w14:textId="77777777" w:rsidR="000928D2" w:rsidRPr="005B3724" w:rsidRDefault="000928D2" w:rsidP="00735289">
            <w:pPr>
              <w:spacing w:after="120" w:line="240" w:lineRule="atLeast"/>
              <w:jc w:val="center"/>
              <w:rPr>
                <w:rFonts w:ascii="Calibri" w:hAnsi="Calibri" w:cs="Calibri"/>
                <w:sz w:val="22"/>
              </w:rPr>
            </w:pPr>
            <w:r w:rsidRPr="005B3724">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FC3575B" w14:textId="140A2888" w:rsidR="000928D2" w:rsidRPr="005B3724" w:rsidRDefault="00735289" w:rsidP="00735289">
            <w:pPr>
              <w:spacing w:after="120" w:line="240" w:lineRule="atLeast"/>
              <w:jc w:val="center"/>
              <w:rPr>
                <w:rFonts w:ascii="Calibri" w:hAnsi="Calibri" w:cs="Calibri"/>
                <w:sz w:val="22"/>
              </w:rPr>
            </w:pPr>
            <w:r>
              <w:rPr>
                <w:rFonts w:ascii="Calibri" w:hAnsi="Calibri" w:cs="Calibri"/>
                <w:sz w:val="22"/>
              </w:rPr>
              <w:t>-</w:t>
            </w:r>
          </w:p>
        </w:tc>
      </w:tr>
    </w:tbl>
    <w:p w14:paraId="5CBDB219" w14:textId="77777777" w:rsidR="00F600D2" w:rsidRDefault="00F600D2" w:rsidP="00735289">
      <w:pPr>
        <w:spacing w:after="120" w:line="240" w:lineRule="atLeast"/>
        <w:rPr>
          <w:rFonts w:ascii="Calibri" w:hAnsi="Calibri" w:cs="Calibri"/>
          <w:b/>
          <w:bCs/>
          <w:sz w:val="22"/>
        </w:rPr>
      </w:pPr>
    </w:p>
    <w:p w14:paraId="6F5B4C0E" w14:textId="4C6BC051" w:rsidR="000928D2" w:rsidRPr="005B3724" w:rsidRDefault="000928D2" w:rsidP="00735289">
      <w:pPr>
        <w:pStyle w:val="H2-Heading2"/>
        <w:spacing w:before="120" w:after="120" w:line="240" w:lineRule="atLeast"/>
      </w:pPr>
      <w:r w:rsidRPr="005B3724">
        <w:t>Restrictions on supplying arms and related materiel to designated persons or entities</w:t>
      </w:r>
    </w:p>
    <w:p w14:paraId="1C81B823"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The Yemen sanctions framework imposes a limited arms embargo. The following actions are prohibited in relation to a designated person or entity (or a person acting on their behalf or at their direction in Yemen):</w:t>
      </w:r>
    </w:p>
    <w:p w14:paraId="3781E4B7" w14:textId="77777777" w:rsidR="000928D2" w:rsidRPr="005B3724" w:rsidRDefault="000928D2" w:rsidP="00735289">
      <w:pPr>
        <w:numPr>
          <w:ilvl w:val="0"/>
          <w:numId w:val="45"/>
        </w:numPr>
        <w:suppressAutoHyphens w:val="0"/>
        <w:spacing w:after="120" w:line="240" w:lineRule="atLeast"/>
        <w:rPr>
          <w:rFonts w:ascii="Calibri" w:hAnsi="Calibri" w:cs="Calibri"/>
          <w:sz w:val="22"/>
        </w:rPr>
      </w:pPr>
      <w:r w:rsidRPr="005B3724">
        <w:rPr>
          <w:rFonts w:ascii="Calibri" w:hAnsi="Calibri" w:cs="Calibri"/>
          <w:sz w:val="22"/>
        </w:rPr>
        <w:t>to directly or indirectly supply, sell or transfer arms or related matériel.</w:t>
      </w:r>
    </w:p>
    <w:p w14:paraId="0D301DB2" w14:textId="2E85A23E"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 xml:space="preserve">Arms or related matériel includes, but is not limited to, weapons, ammunition, military vehicles and equipment, and spare parts and accessories for any of those things. It also includes paramilitary equipment. While each case will be considered individually, goods on the Defence and Strategic Goods List are likely to be considered arms or related matériel. Depending on the context, end user and end use, other goods may also be considered arms or related matériel. </w:t>
      </w:r>
    </w:p>
    <w:p w14:paraId="09EFE7A5" w14:textId="77777777" w:rsidR="000928D2" w:rsidRPr="005B3724" w:rsidRDefault="000928D2" w:rsidP="00735289">
      <w:pPr>
        <w:pStyle w:val="H2-Heading2"/>
        <w:spacing w:before="120" w:after="120" w:line="240" w:lineRule="atLeast"/>
      </w:pPr>
      <w:r w:rsidRPr="005B3724">
        <w:t>Restrictions on providing certain services to designated persons or entities</w:t>
      </w:r>
    </w:p>
    <w:p w14:paraId="53965E56"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To complement the restrictions on the providing assets to designated persons or entities, providing services that relate to those sanctioned assets is also restricted. It is prohibited to:</w:t>
      </w:r>
    </w:p>
    <w:p w14:paraId="4AADE853" w14:textId="77777777" w:rsidR="000928D2" w:rsidRPr="005B3724" w:rsidRDefault="000928D2" w:rsidP="00735289">
      <w:pPr>
        <w:numPr>
          <w:ilvl w:val="0"/>
          <w:numId w:val="46"/>
        </w:numPr>
        <w:suppressAutoHyphens w:val="0"/>
        <w:spacing w:after="120" w:line="240" w:lineRule="atLeast"/>
        <w:rPr>
          <w:rFonts w:ascii="Calibri" w:hAnsi="Calibri" w:cs="Calibri"/>
          <w:sz w:val="22"/>
        </w:rPr>
      </w:pPr>
      <w:r w:rsidRPr="005B3724">
        <w:rPr>
          <w:rFonts w:ascii="Calibri" w:hAnsi="Calibri" w:cs="Calibri"/>
          <w:sz w:val="22"/>
        </w:rPr>
        <w:t>provide technical assistance, training, financial or other assistance which relates to:</w:t>
      </w:r>
    </w:p>
    <w:p w14:paraId="0CB6A540" w14:textId="77777777" w:rsidR="000928D2" w:rsidRPr="005B3724" w:rsidRDefault="000928D2" w:rsidP="00735289">
      <w:pPr>
        <w:numPr>
          <w:ilvl w:val="1"/>
          <w:numId w:val="46"/>
        </w:numPr>
        <w:suppressAutoHyphens w:val="0"/>
        <w:spacing w:after="120" w:line="240" w:lineRule="atLeast"/>
        <w:rPr>
          <w:rFonts w:ascii="Calibri" w:hAnsi="Calibri" w:cs="Calibri"/>
          <w:sz w:val="22"/>
        </w:rPr>
      </w:pPr>
      <w:r w:rsidRPr="005B3724">
        <w:rPr>
          <w:rFonts w:ascii="Calibri" w:hAnsi="Calibri" w:cs="Calibri"/>
          <w:sz w:val="22"/>
        </w:rPr>
        <w:t>a military activity, or</w:t>
      </w:r>
    </w:p>
    <w:p w14:paraId="55EE4DB5" w14:textId="77777777" w:rsidR="000928D2" w:rsidRPr="005B3724" w:rsidRDefault="000928D2" w:rsidP="00735289">
      <w:pPr>
        <w:numPr>
          <w:ilvl w:val="1"/>
          <w:numId w:val="46"/>
        </w:numPr>
        <w:suppressAutoHyphens w:val="0"/>
        <w:spacing w:after="120" w:line="240" w:lineRule="atLeast"/>
        <w:rPr>
          <w:rFonts w:ascii="Calibri" w:hAnsi="Calibri" w:cs="Calibri"/>
          <w:sz w:val="22"/>
        </w:rPr>
      </w:pPr>
      <w:r w:rsidRPr="005B3724">
        <w:rPr>
          <w:rFonts w:ascii="Calibri" w:hAnsi="Calibri" w:cs="Calibri"/>
          <w:sz w:val="22"/>
        </w:rPr>
        <w:t>the provision, maintenance or use of arms or related matériel, including providing armed mercenary personnel (whether or not originating in Australia).</w:t>
      </w:r>
    </w:p>
    <w:p w14:paraId="32280135" w14:textId="77777777" w:rsidR="000928D2" w:rsidRPr="005B3724" w:rsidRDefault="000928D2" w:rsidP="00735289">
      <w:pPr>
        <w:pStyle w:val="H2-Heading2"/>
        <w:spacing w:before="120" w:after="120" w:line="240" w:lineRule="atLeast"/>
      </w:pPr>
      <w:r w:rsidRPr="005B3724">
        <w:t>Restrictions on providing assets to designated persons or entities</w:t>
      </w:r>
    </w:p>
    <w:p w14:paraId="36F87A53" w14:textId="75798BE1" w:rsidR="00735289" w:rsidRDefault="000928D2" w:rsidP="00735289">
      <w:pPr>
        <w:spacing w:after="120" w:line="240" w:lineRule="atLeast"/>
        <w:rPr>
          <w:rFonts w:ascii="Calibri" w:hAnsi="Calibri" w:cs="Calibri"/>
          <w:sz w:val="22"/>
        </w:rPr>
      </w:pPr>
      <w:r w:rsidRPr="005B3724">
        <w:rPr>
          <w:rFonts w:ascii="Calibri" w:hAnsi="Calibri" w:cs="Calibri"/>
          <w:sz w:val="22"/>
        </w:rPr>
        <w:t>It is prohibited to directly or indirectly make an asset available to (or for the benefit of) a designated person or entity.</w:t>
      </w:r>
      <w:r w:rsidR="00735289">
        <w:rPr>
          <w:rFonts w:ascii="Calibri" w:hAnsi="Calibri" w:cs="Calibri"/>
          <w:sz w:val="22"/>
        </w:rPr>
        <w:br w:type="page"/>
      </w:r>
    </w:p>
    <w:p w14:paraId="2C56E6E6" w14:textId="77777777" w:rsidR="000928D2" w:rsidRPr="005B3724" w:rsidRDefault="000928D2" w:rsidP="00735289">
      <w:pPr>
        <w:pStyle w:val="H2-Heading2"/>
        <w:spacing w:before="120" w:after="120" w:line="240" w:lineRule="atLeast"/>
      </w:pPr>
      <w:r w:rsidRPr="005B3724">
        <w:lastRenderedPageBreak/>
        <w:t>Restrictions on dealing with the assets of designated persons or entities (requirement to freeze assets)</w:t>
      </w:r>
    </w:p>
    <w:p w14:paraId="1CE4D01C"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111091C0"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Go to the </w:t>
      </w:r>
      <w:hyperlink r:id="rId8" w:history="1">
        <w:r w:rsidRPr="005B3724">
          <w:rPr>
            <w:rStyle w:val="Hyperlink"/>
            <w:rFonts w:ascii="Calibri" w:hAnsi="Calibri" w:cs="Calibri"/>
            <w:sz w:val="22"/>
          </w:rPr>
          <w:t>Consolidated List</w:t>
        </w:r>
      </w:hyperlink>
      <w:r w:rsidRPr="005B3724">
        <w:rPr>
          <w:rFonts w:ascii="Calibri" w:hAnsi="Calibri" w:cs="Calibri"/>
          <w:sz w:val="22"/>
        </w:rPr>
        <w:t> to search the names of designated persons and entities.</w:t>
      </w:r>
    </w:p>
    <w:p w14:paraId="43B4227B" w14:textId="13539DC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 xml:space="preserve">If you become aware that you are holding an asset of a designated person or entity, you are required to freeze (hold) that asset and notify the AFP as soon as possible. </w:t>
      </w:r>
    </w:p>
    <w:p w14:paraId="709B9735" w14:textId="77777777" w:rsidR="000928D2" w:rsidRPr="005B3724" w:rsidRDefault="000928D2" w:rsidP="00735289">
      <w:pPr>
        <w:pStyle w:val="H2-Heading2"/>
        <w:spacing w:before="120" w:after="120" w:line="240" w:lineRule="atLeast"/>
      </w:pPr>
      <w:r w:rsidRPr="005B3724">
        <w:t>Travel bans</w:t>
      </w:r>
    </w:p>
    <w:p w14:paraId="1C04B3E2"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All persons designated for the Yemen sanctions framework are prohibited from transiting through or entering Australia.</w:t>
      </w:r>
    </w:p>
    <w:bookmarkEnd w:id="1"/>
    <w:p w14:paraId="7C149A28" w14:textId="77777777" w:rsidR="0030236A" w:rsidRDefault="0030236A" w:rsidP="00735289">
      <w:pPr>
        <w:pStyle w:val="H2-Heading2"/>
        <w:spacing w:before="120" w:after="120" w:line="240" w:lineRule="atLeast"/>
      </w:pPr>
      <w:r w:rsidRPr="0030236A">
        <w:t xml:space="preserve">Who must comply with sanctions? </w:t>
      </w:r>
    </w:p>
    <w:p w14:paraId="3AC43932" w14:textId="14D2F52E" w:rsidR="0030236A" w:rsidRPr="0030236A" w:rsidRDefault="0030236A" w:rsidP="00735289">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735289" w:rsidRDefault="00497A7E" w:rsidP="00735289">
      <w:pPr>
        <w:pStyle w:val="H2-Heading2"/>
        <w:spacing w:before="120" w:after="120" w:line="240" w:lineRule="atLeast"/>
      </w:pPr>
      <w:r w:rsidRPr="00735289">
        <w:t>Relevant legislation</w:t>
      </w:r>
    </w:p>
    <w:p w14:paraId="697705B1" w14:textId="77777777" w:rsidR="000928D2" w:rsidRPr="005B3724" w:rsidRDefault="000928D2" w:rsidP="00735289">
      <w:pPr>
        <w:spacing w:after="120" w:line="240" w:lineRule="atLeast"/>
        <w:rPr>
          <w:rFonts w:ascii="Calibri" w:hAnsi="Calibri" w:cs="Calibri"/>
          <w:sz w:val="22"/>
        </w:rPr>
      </w:pPr>
      <w:r w:rsidRPr="005B3724">
        <w:rPr>
          <w:rFonts w:ascii="Calibri" w:hAnsi="Calibri" w:cs="Calibri"/>
          <w:sz w:val="22"/>
        </w:rPr>
        <w:t>The relevant legislation for the Yemen sanctions framework includes the following:</w:t>
      </w:r>
    </w:p>
    <w:p w14:paraId="162245BF" w14:textId="77777777" w:rsidR="000928D2" w:rsidRPr="005B3724" w:rsidRDefault="000928D2" w:rsidP="00735289">
      <w:pPr>
        <w:numPr>
          <w:ilvl w:val="0"/>
          <w:numId w:val="47"/>
        </w:numPr>
        <w:suppressAutoHyphens w:val="0"/>
        <w:spacing w:after="120" w:line="240" w:lineRule="atLeast"/>
        <w:rPr>
          <w:rFonts w:ascii="Calibri" w:hAnsi="Calibri" w:cs="Calibri"/>
          <w:sz w:val="22"/>
        </w:rPr>
      </w:pPr>
      <w:hyperlink r:id="rId9" w:history="1">
        <w:r w:rsidRPr="005B3724">
          <w:rPr>
            <w:rStyle w:val="Hyperlink"/>
            <w:rFonts w:ascii="Calibri" w:hAnsi="Calibri" w:cs="Calibri"/>
            <w:sz w:val="22"/>
          </w:rPr>
          <w:t>Charter of the United Nations Act 1945</w:t>
        </w:r>
      </w:hyperlink>
    </w:p>
    <w:p w14:paraId="3BDA8030" w14:textId="77777777" w:rsidR="000928D2" w:rsidRPr="005B3724" w:rsidRDefault="000928D2" w:rsidP="00735289">
      <w:pPr>
        <w:numPr>
          <w:ilvl w:val="0"/>
          <w:numId w:val="47"/>
        </w:numPr>
        <w:suppressAutoHyphens w:val="0"/>
        <w:spacing w:after="120" w:line="240" w:lineRule="atLeast"/>
        <w:rPr>
          <w:rFonts w:ascii="Calibri" w:hAnsi="Calibri" w:cs="Calibri"/>
          <w:sz w:val="22"/>
        </w:rPr>
      </w:pPr>
      <w:hyperlink r:id="rId10" w:history="1">
        <w:r w:rsidRPr="005B3724">
          <w:rPr>
            <w:rStyle w:val="Hyperlink"/>
            <w:rFonts w:ascii="Calibri" w:hAnsi="Calibri" w:cs="Calibri"/>
            <w:sz w:val="22"/>
          </w:rPr>
          <w:t>Charter of the United Nations (Dealing with Assets) Regulations 2008</w:t>
        </w:r>
      </w:hyperlink>
    </w:p>
    <w:p w14:paraId="48747612" w14:textId="77777777" w:rsidR="000928D2" w:rsidRPr="005B3724" w:rsidRDefault="000928D2" w:rsidP="00735289">
      <w:pPr>
        <w:numPr>
          <w:ilvl w:val="0"/>
          <w:numId w:val="47"/>
        </w:numPr>
        <w:suppressAutoHyphens w:val="0"/>
        <w:spacing w:after="120" w:line="240" w:lineRule="atLeast"/>
        <w:rPr>
          <w:rFonts w:ascii="Calibri" w:hAnsi="Calibri" w:cs="Calibri"/>
          <w:sz w:val="22"/>
        </w:rPr>
      </w:pPr>
      <w:hyperlink r:id="rId11" w:history="1">
        <w:r w:rsidRPr="005B3724">
          <w:rPr>
            <w:rStyle w:val="Hyperlink"/>
            <w:rFonts w:ascii="Calibri" w:hAnsi="Calibri" w:cs="Calibri"/>
            <w:sz w:val="22"/>
          </w:rPr>
          <w:t>Charter of the United Nations (Sanctions – Yemen) Regulation 2014</w:t>
        </w:r>
      </w:hyperlink>
    </w:p>
    <w:p w14:paraId="36E27911" w14:textId="77777777" w:rsidR="000928D2" w:rsidRPr="005B3724" w:rsidRDefault="000928D2" w:rsidP="00735289">
      <w:pPr>
        <w:numPr>
          <w:ilvl w:val="0"/>
          <w:numId w:val="47"/>
        </w:numPr>
        <w:suppressAutoHyphens w:val="0"/>
        <w:spacing w:after="120" w:line="240" w:lineRule="atLeast"/>
        <w:rPr>
          <w:rFonts w:ascii="Calibri" w:hAnsi="Calibri" w:cs="Calibri"/>
          <w:sz w:val="22"/>
        </w:rPr>
      </w:pPr>
      <w:hyperlink r:id="rId12" w:history="1">
        <w:r w:rsidRPr="005B3724">
          <w:rPr>
            <w:rStyle w:val="Hyperlink"/>
            <w:rFonts w:ascii="Calibri" w:hAnsi="Calibri" w:cs="Calibri"/>
            <w:sz w:val="22"/>
          </w:rPr>
          <w:t>Autonomous Sanctions Regulations 2011</w:t>
        </w:r>
      </w:hyperlink>
    </w:p>
    <w:p w14:paraId="294B4390" w14:textId="77777777" w:rsidR="000928D2" w:rsidRPr="005B3724" w:rsidRDefault="000928D2" w:rsidP="00735289">
      <w:pPr>
        <w:numPr>
          <w:ilvl w:val="0"/>
          <w:numId w:val="47"/>
        </w:numPr>
        <w:suppressAutoHyphens w:val="0"/>
        <w:spacing w:after="120" w:line="240" w:lineRule="atLeast"/>
        <w:rPr>
          <w:rFonts w:ascii="Calibri" w:hAnsi="Calibri" w:cs="Calibri"/>
          <w:sz w:val="22"/>
        </w:rPr>
      </w:pPr>
      <w:hyperlink r:id="rId13" w:history="1">
        <w:r w:rsidRPr="005B3724">
          <w:rPr>
            <w:rStyle w:val="Hyperlink"/>
            <w:rFonts w:ascii="Calibri" w:hAnsi="Calibri" w:cs="Calibri"/>
            <w:sz w:val="22"/>
          </w:rPr>
          <w:t>Migration Regulations 1994</w:t>
        </w:r>
      </w:hyperlink>
    </w:p>
    <w:p w14:paraId="476BC29B" w14:textId="77777777" w:rsidR="000928D2" w:rsidRPr="005B3724" w:rsidRDefault="000928D2" w:rsidP="00735289">
      <w:pPr>
        <w:numPr>
          <w:ilvl w:val="0"/>
          <w:numId w:val="47"/>
        </w:numPr>
        <w:suppressAutoHyphens w:val="0"/>
        <w:spacing w:after="120" w:line="240" w:lineRule="atLeast"/>
        <w:rPr>
          <w:rFonts w:ascii="Calibri" w:hAnsi="Calibri" w:cs="Calibri"/>
          <w:sz w:val="22"/>
        </w:rPr>
      </w:pPr>
      <w:hyperlink r:id="rId14" w:history="1">
        <w:r w:rsidRPr="005B3724">
          <w:rPr>
            <w:rStyle w:val="Hyperlink"/>
            <w:rFonts w:ascii="Calibri" w:hAnsi="Calibri" w:cs="Calibri"/>
            <w:sz w:val="22"/>
          </w:rPr>
          <w:t>Migration (United Nations Security Council Resolutions) Regulations 2007</w:t>
        </w:r>
      </w:hyperlink>
    </w:p>
    <w:p w14:paraId="128FE428" w14:textId="77777777" w:rsidR="00735289" w:rsidRPr="001A6190" w:rsidRDefault="00735289" w:rsidP="00735289">
      <w:pPr>
        <w:pStyle w:val="H2-Heading2"/>
        <w:spacing w:before="120" w:after="120" w:line="240" w:lineRule="atLeast"/>
      </w:pPr>
      <w:r w:rsidRPr="001A6190">
        <w:t>Where can I get more information?</w:t>
      </w:r>
    </w:p>
    <w:p w14:paraId="35309F2F" w14:textId="77777777" w:rsidR="00735289" w:rsidRPr="001A6190" w:rsidRDefault="00735289" w:rsidP="00735289">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5"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2557A0F2" w14:textId="77777777" w:rsidR="00735289" w:rsidRPr="001A6190" w:rsidRDefault="00735289" w:rsidP="00735289">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6" w:history="1">
        <w:r w:rsidRPr="001A6190">
          <w:rPr>
            <w:rStyle w:val="Hyperlink"/>
            <w:rFonts w:ascii="Calibri" w:eastAsia="Calibri" w:hAnsi="Calibri" w:cs="Calibri"/>
            <w:sz w:val="22"/>
            <w:szCs w:val="22"/>
            <w:lang w:val="en-GB" w:eastAsia="en-US"/>
          </w:rPr>
          <w:t>sanctions@dfat.gov.au</w:t>
        </w:r>
      </w:hyperlink>
    </w:p>
    <w:p w14:paraId="2DC639B5" w14:textId="77777777" w:rsidR="00735289" w:rsidRPr="001A6190" w:rsidRDefault="00735289" w:rsidP="00735289">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7"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44D00803" w:rsidR="007F6492" w:rsidRPr="00515171" w:rsidRDefault="00735289" w:rsidP="00735289">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C775" w14:textId="77777777" w:rsidR="00180038" w:rsidRDefault="00180038" w:rsidP="00EE32FE">
      <w:pPr>
        <w:spacing w:after="0" w:line="240" w:lineRule="auto"/>
      </w:pPr>
      <w:r>
        <w:separator/>
      </w:r>
    </w:p>
  </w:endnote>
  <w:endnote w:type="continuationSeparator" w:id="0">
    <w:p w14:paraId="79116580" w14:textId="77777777" w:rsidR="00180038" w:rsidRDefault="00180038" w:rsidP="00EE32FE">
      <w:pPr>
        <w:spacing w:after="0" w:line="240" w:lineRule="auto"/>
      </w:pPr>
      <w:r>
        <w:continuationSeparator/>
      </w:r>
    </w:p>
  </w:endnote>
  <w:endnote w:type="continuationNotice" w:id="1">
    <w:p w14:paraId="7DF70D5C" w14:textId="77777777" w:rsidR="00180038" w:rsidRDefault="001800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5AB5" w14:textId="77777777" w:rsidR="00C6344D" w:rsidRDefault="00C63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A22DA" w14:textId="77777777" w:rsidR="00180038" w:rsidRDefault="00180038" w:rsidP="00EE32FE">
      <w:pPr>
        <w:spacing w:after="0" w:line="240" w:lineRule="auto"/>
      </w:pPr>
      <w:bookmarkStart w:id="0" w:name="_Hlk127364773"/>
      <w:bookmarkEnd w:id="0"/>
      <w:r>
        <w:separator/>
      </w:r>
    </w:p>
  </w:footnote>
  <w:footnote w:type="continuationSeparator" w:id="0">
    <w:p w14:paraId="3948AE2F" w14:textId="77777777" w:rsidR="00180038" w:rsidRDefault="00180038" w:rsidP="00EE32FE">
      <w:pPr>
        <w:spacing w:after="0" w:line="240" w:lineRule="auto"/>
      </w:pPr>
      <w:r>
        <w:continuationSeparator/>
      </w:r>
    </w:p>
  </w:footnote>
  <w:footnote w:type="continuationNotice" w:id="1">
    <w:p w14:paraId="56B34837" w14:textId="77777777" w:rsidR="00180038" w:rsidRDefault="001800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6DA4" w14:textId="77777777" w:rsidR="00C6344D" w:rsidRDefault="00C63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1AB4C1B3">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41F044B4" w:rsidR="00F74B5D" w:rsidRPr="007F6492" w:rsidRDefault="007F6492" w:rsidP="00C6344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6344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41F044B4" w:rsidR="00F74B5D" w:rsidRPr="007F6492" w:rsidRDefault="007F6492" w:rsidP="00C6344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6344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3988952B">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790B38DC" w:rsidR="00F74B5D" w:rsidRPr="007F6492" w:rsidRDefault="007F6492" w:rsidP="00C6344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6344D">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790B38DC" w:rsidR="00F74B5D" w:rsidRPr="007F6492" w:rsidRDefault="007F6492" w:rsidP="00C6344D">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C6344D">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88D478F"/>
    <w:multiLevelType w:val="multilevel"/>
    <w:tmpl w:val="DE3E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6"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1" w15:restartNumberingAfterBreak="0">
    <w:nsid w:val="1B456B43"/>
    <w:multiLevelType w:val="multilevel"/>
    <w:tmpl w:val="54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3" w15:restartNumberingAfterBreak="0">
    <w:nsid w:val="28476690"/>
    <w:multiLevelType w:val="multilevel"/>
    <w:tmpl w:val="004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F3E82"/>
    <w:multiLevelType w:val="multilevel"/>
    <w:tmpl w:val="9A24D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7"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22" w15:restartNumberingAfterBreak="0">
    <w:nsid w:val="3E174B1E"/>
    <w:multiLevelType w:val="multilevel"/>
    <w:tmpl w:val="1AC8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B4719"/>
    <w:multiLevelType w:val="multilevel"/>
    <w:tmpl w:val="AAE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F6889"/>
    <w:multiLevelType w:val="multilevel"/>
    <w:tmpl w:val="1E2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C29E8"/>
    <w:multiLevelType w:val="multilevel"/>
    <w:tmpl w:val="EA2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34"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8" w15:restartNumberingAfterBreak="0">
    <w:nsid w:val="75F50FA4"/>
    <w:multiLevelType w:val="multilevel"/>
    <w:tmpl w:val="7EA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4C5740"/>
    <w:multiLevelType w:val="multilevel"/>
    <w:tmpl w:val="F0A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2"/>
  </w:num>
  <w:num w:numId="2" w16cid:durableId="1828091873">
    <w:abstractNumId w:val="10"/>
  </w:num>
  <w:num w:numId="3" w16cid:durableId="2005669602">
    <w:abstractNumId w:val="5"/>
  </w:num>
  <w:num w:numId="4" w16cid:durableId="275605714">
    <w:abstractNumId w:val="17"/>
  </w:num>
  <w:num w:numId="5" w16cid:durableId="1999454773">
    <w:abstractNumId w:val="17"/>
    <w:lvlOverride w:ilvl="0">
      <w:startOverride w:val="1"/>
    </w:lvlOverride>
  </w:num>
  <w:num w:numId="6" w16cid:durableId="747845784">
    <w:abstractNumId w:val="17"/>
    <w:lvlOverride w:ilvl="0">
      <w:startOverride w:val="1"/>
    </w:lvlOverride>
  </w:num>
  <w:num w:numId="7" w16cid:durableId="861363557">
    <w:abstractNumId w:val="23"/>
  </w:num>
  <w:num w:numId="8" w16cid:durableId="1596094065">
    <w:abstractNumId w:val="8"/>
  </w:num>
  <w:num w:numId="9" w16cid:durableId="1268003391">
    <w:abstractNumId w:val="17"/>
    <w:lvlOverride w:ilvl="0">
      <w:startOverride w:val="1"/>
    </w:lvlOverride>
  </w:num>
  <w:num w:numId="10" w16cid:durableId="1057706030">
    <w:abstractNumId w:val="17"/>
    <w:lvlOverride w:ilvl="0">
      <w:startOverride w:val="1"/>
    </w:lvlOverride>
  </w:num>
  <w:num w:numId="11" w16cid:durableId="261258166">
    <w:abstractNumId w:val="17"/>
    <w:lvlOverride w:ilvl="0">
      <w:startOverride w:val="1"/>
    </w:lvlOverride>
  </w:num>
  <w:num w:numId="12" w16cid:durableId="637806003">
    <w:abstractNumId w:val="37"/>
  </w:num>
  <w:num w:numId="13" w16cid:durableId="40903924">
    <w:abstractNumId w:val="1"/>
  </w:num>
  <w:num w:numId="14" w16cid:durableId="1045452493">
    <w:abstractNumId w:val="33"/>
  </w:num>
  <w:num w:numId="15" w16cid:durableId="301816347">
    <w:abstractNumId w:val="21"/>
  </w:num>
  <w:num w:numId="16" w16cid:durableId="168299835">
    <w:abstractNumId w:val="16"/>
  </w:num>
  <w:num w:numId="17" w16cid:durableId="1655992847">
    <w:abstractNumId w:val="32"/>
  </w:num>
  <w:num w:numId="18" w16cid:durableId="981034831">
    <w:abstractNumId w:val="35"/>
  </w:num>
  <w:num w:numId="19" w16cid:durableId="1494180434">
    <w:abstractNumId w:val="39"/>
  </w:num>
  <w:num w:numId="20" w16cid:durableId="541133819">
    <w:abstractNumId w:val="19"/>
  </w:num>
  <w:num w:numId="21" w16cid:durableId="6955581">
    <w:abstractNumId w:val="28"/>
  </w:num>
  <w:num w:numId="22" w16cid:durableId="977566466">
    <w:abstractNumId w:val="6"/>
  </w:num>
  <w:num w:numId="23" w16cid:durableId="1055809684">
    <w:abstractNumId w:val="34"/>
  </w:num>
  <w:num w:numId="24" w16cid:durableId="1176649159">
    <w:abstractNumId w:val="9"/>
  </w:num>
  <w:num w:numId="25" w16cid:durableId="1595627187">
    <w:abstractNumId w:val="18"/>
  </w:num>
  <w:num w:numId="26" w16cid:durableId="1294023004">
    <w:abstractNumId w:val="26"/>
  </w:num>
  <w:num w:numId="27" w16cid:durableId="667751827">
    <w:abstractNumId w:val="41"/>
  </w:num>
  <w:num w:numId="28" w16cid:durableId="1971134082">
    <w:abstractNumId w:val="24"/>
  </w:num>
  <w:num w:numId="29" w16cid:durableId="1111820970">
    <w:abstractNumId w:val="0"/>
  </w:num>
  <w:num w:numId="30" w16cid:durableId="357512319">
    <w:abstractNumId w:val="29"/>
  </w:num>
  <w:num w:numId="31" w16cid:durableId="1880699316">
    <w:abstractNumId w:val="3"/>
  </w:num>
  <w:num w:numId="32" w16cid:durableId="1408920762">
    <w:abstractNumId w:val="4"/>
  </w:num>
  <w:num w:numId="33" w16cid:durableId="27881660">
    <w:abstractNumId w:val="30"/>
  </w:num>
  <w:num w:numId="34" w16cid:durableId="679434431">
    <w:abstractNumId w:val="15"/>
  </w:num>
  <w:num w:numId="35" w16cid:durableId="1059397808">
    <w:abstractNumId w:val="36"/>
  </w:num>
  <w:num w:numId="36" w16cid:durableId="705524848">
    <w:abstractNumId w:val="20"/>
  </w:num>
  <w:num w:numId="37" w16cid:durableId="1282230222">
    <w:abstractNumId w:val="7"/>
  </w:num>
  <w:num w:numId="38" w16cid:durableId="371267835">
    <w:abstractNumId w:val="13"/>
  </w:num>
  <w:num w:numId="39" w16cid:durableId="751700207">
    <w:abstractNumId w:val="38"/>
  </w:num>
  <w:num w:numId="40" w16cid:durableId="604732178">
    <w:abstractNumId w:val="27"/>
  </w:num>
  <w:num w:numId="41" w16cid:durableId="1962573518">
    <w:abstractNumId w:val="22"/>
  </w:num>
  <w:num w:numId="42" w16cid:durableId="1254975631">
    <w:abstractNumId w:val="11"/>
  </w:num>
  <w:num w:numId="43" w16cid:durableId="1705910224">
    <w:abstractNumId w:val="40"/>
  </w:num>
  <w:num w:numId="44" w16cid:durableId="603342300">
    <w:abstractNumId w:val="2"/>
  </w:num>
  <w:num w:numId="45" w16cid:durableId="154341504">
    <w:abstractNumId w:val="31"/>
  </w:num>
  <w:num w:numId="46" w16cid:durableId="175274473">
    <w:abstractNumId w:val="14"/>
  </w:num>
  <w:num w:numId="47" w16cid:durableId="180924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28D2"/>
    <w:rsid w:val="00095224"/>
    <w:rsid w:val="000B2F34"/>
    <w:rsid w:val="000C2ABD"/>
    <w:rsid w:val="000D74E6"/>
    <w:rsid w:val="000F1407"/>
    <w:rsid w:val="000F5CFA"/>
    <w:rsid w:val="001030C0"/>
    <w:rsid w:val="0010695A"/>
    <w:rsid w:val="00130AA1"/>
    <w:rsid w:val="00130E30"/>
    <w:rsid w:val="00136910"/>
    <w:rsid w:val="001405B7"/>
    <w:rsid w:val="00141ACA"/>
    <w:rsid w:val="00154402"/>
    <w:rsid w:val="00180038"/>
    <w:rsid w:val="001869DB"/>
    <w:rsid w:val="0019463F"/>
    <w:rsid w:val="00196680"/>
    <w:rsid w:val="001A3EEE"/>
    <w:rsid w:val="001C11C6"/>
    <w:rsid w:val="001D29C1"/>
    <w:rsid w:val="001E164F"/>
    <w:rsid w:val="0021791D"/>
    <w:rsid w:val="00221470"/>
    <w:rsid w:val="00232F10"/>
    <w:rsid w:val="00245819"/>
    <w:rsid w:val="00246196"/>
    <w:rsid w:val="00250ABF"/>
    <w:rsid w:val="00271AA6"/>
    <w:rsid w:val="002736D7"/>
    <w:rsid w:val="00284DE8"/>
    <w:rsid w:val="002903BA"/>
    <w:rsid w:val="002923D5"/>
    <w:rsid w:val="002965B1"/>
    <w:rsid w:val="002A0EEC"/>
    <w:rsid w:val="002B1BB1"/>
    <w:rsid w:val="002C1236"/>
    <w:rsid w:val="002C673E"/>
    <w:rsid w:val="002D3D4C"/>
    <w:rsid w:val="002E0D9B"/>
    <w:rsid w:val="002E13BA"/>
    <w:rsid w:val="002E1F88"/>
    <w:rsid w:val="002F55E5"/>
    <w:rsid w:val="0030236A"/>
    <w:rsid w:val="00311A87"/>
    <w:rsid w:val="0031368E"/>
    <w:rsid w:val="00343F6F"/>
    <w:rsid w:val="003559B2"/>
    <w:rsid w:val="00360506"/>
    <w:rsid w:val="003616ED"/>
    <w:rsid w:val="003906B1"/>
    <w:rsid w:val="003945C2"/>
    <w:rsid w:val="003B4BA8"/>
    <w:rsid w:val="003C5891"/>
    <w:rsid w:val="00402CDC"/>
    <w:rsid w:val="004041C7"/>
    <w:rsid w:val="00455588"/>
    <w:rsid w:val="00463734"/>
    <w:rsid w:val="00497A7E"/>
    <w:rsid w:val="004B1CC3"/>
    <w:rsid w:val="004B7115"/>
    <w:rsid w:val="004B741D"/>
    <w:rsid w:val="004C2D06"/>
    <w:rsid w:val="004C5E51"/>
    <w:rsid w:val="004D1D79"/>
    <w:rsid w:val="004D1D85"/>
    <w:rsid w:val="00515171"/>
    <w:rsid w:val="0052724F"/>
    <w:rsid w:val="00532AF1"/>
    <w:rsid w:val="00545162"/>
    <w:rsid w:val="00562DAD"/>
    <w:rsid w:val="00572A9A"/>
    <w:rsid w:val="00592E1A"/>
    <w:rsid w:val="00595180"/>
    <w:rsid w:val="0059608A"/>
    <w:rsid w:val="005A4153"/>
    <w:rsid w:val="005A45E3"/>
    <w:rsid w:val="005A7142"/>
    <w:rsid w:val="005D0161"/>
    <w:rsid w:val="005D317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332ED"/>
    <w:rsid w:val="00735289"/>
    <w:rsid w:val="007514EF"/>
    <w:rsid w:val="00790F87"/>
    <w:rsid w:val="00791418"/>
    <w:rsid w:val="0079447C"/>
    <w:rsid w:val="0079728E"/>
    <w:rsid w:val="007B2612"/>
    <w:rsid w:val="007C0A48"/>
    <w:rsid w:val="007C5166"/>
    <w:rsid w:val="007D219F"/>
    <w:rsid w:val="007E0016"/>
    <w:rsid w:val="007F34A3"/>
    <w:rsid w:val="007F63D7"/>
    <w:rsid w:val="007F6492"/>
    <w:rsid w:val="0083629D"/>
    <w:rsid w:val="00845374"/>
    <w:rsid w:val="0086112F"/>
    <w:rsid w:val="0086423F"/>
    <w:rsid w:val="00864660"/>
    <w:rsid w:val="008778CC"/>
    <w:rsid w:val="008A226C"/>
    <w:rsid w:val="008B5A4C"/>
    <w:rsid w:val="008C2577"/>
    <w:rsid w:val="008D1518"/>
    <w:rsid w:val="008E0018"/>
    <w:rsid w:val="00927E4F"/>
    <w:rsid w:val="009524F0"/>
    <w:rsid w:val="009550C6"/>
    <w:rsid w:val="0096463B"/>
    <w:rsid w:val="00975C47"/>
    <w:rsid w:val="009E2354"/>
    <w:rsid w:val="009E75FE"/>
    <w:rsid w:val="009F2AB9"/>
    <w:rsid w:val="00A01D6E"/>
    <w:rsid w:val="00A02589"/>
    <w:rsid w:val="00A1504A"/>
    <w:rsid w:val="00A4001E"/>
    <w:rsid w:val="00A560AF"/>
    <w:rsid w:val="00A63C72"/>
    <w:rsid w:val="00AA6ACC"/>
    <w:rsid w:val="00AB2A87"/>
    <w:rsid w:val="00AC014B"/>
    <w:rsid w:val="00AC497D"/>
    <w:rsid w:val="00AE7645"/>
    <w:rsid w:val="00AF7C26"/>
    <w:rsid w:val="00B24207"/>
    <w:rsid w:val="00B323DC"/>
    <w:rsid w:val="00B64A07"/>
    <w:rsid w:val="00B70166"/>
    <w:rsid w:val="00BB4E0A"/>
    <w:rsid w:val="00BC4022"/>
    <w:rsid w:val="00BD73C6"/>
    <w:rsid w:val="00BE1B97"/>
    <w:rsid w:val="00BF2D53"/>
    <w:rsid w:val="00BF5F03"/>
    <w:rsid w:val="00C02DDF"/>
    <w:rsid w:val="00C31BE5"/>
    <w:rsid w:val="00C40760"/>
    <w:rsid w:val="00C6065A"/>
    <w:rsid w:val="00C60EBF"/>
    <w:rsid w:val="00C6344D"/>
    <w:rsid w:val="00C73502"/>
    <w:rsid w:val="00C75A18"/>
    <w:rsid w:val="00CA5C68"/>
    <w:rsid w:val="00CF14DB"/>
    <w:rsid w:val="00CF4E8C"/>
    <w:rsid w:val="00D019C2"/>
    <w:rsid w:val="00D13028"/>
    <w:rsid w:val="00D15631"/>
    <w:rsid w:val="00D41C68"/>
    <w:rsid w:val="00D700C8"/>
    <w:rsid w:val="00D96326"/>
    <w:rsid w:val="00DA6024"/>
    <w:rsid w:val="00DB08C7"/>
    <w:rsid w:val="00DB14F3"/>
    <w:rsid w:val="00DB17C7"/>
    <w:rsid w:val="00DD3AE1"/>
    <w:rsid w:val="00DD3CA3"/>
    <w:rsid w:val="00DD66A7"/>
    <w:rsid w:val="00DF79EE"/>
    <w:rsid w:val="00E140FB"/>
    <w:rsid w:val="00E149B9"/>
    <w:rsid w:val="00E32042"/>
    <w:rsid w:val="00E363E8"/>
    <w:rsid w:val="00E93A90"/>
    <w:rsid w:val="00EB2369"/>
    <w:rsid w:val="00EC08A9"/>
    <w:rsid w:val="00EC1229"/>
    <w:rsid w:val="00EE32FE"/>
    <w:rsid w:val="00EF45E7"/>
    <w:rsid w:val="00F119EF"/>
    <w:rsid w:val="00F30470"/>
    <w:rsid w:val="00F3536B"/>
    <w:rsid w:val="00F44C2A"/>
    <w:rsid w:val="00F4597C"/>
    <w:rsid w:val="00F600D2"/>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735289"/>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F600D2"/>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F600D2"/>
    <w:rPr>
      <w:sz w:val="16"/>
      <w:szCs w:val="16"/>
    </w:rPr>
  </w:style>
  <w:style w:type="paragraph" w:styleId="CommentText">
    <w:name w:val="annotation text"/>
    <w:basedOn w:val="Normal"/>
    <w:link w:val="CommentTextChar"/>
    <w:uiPriority w:val="99"/>
    <w:unhideWhenUsed/>
    <w:rsid w:val="00F600D2"/>
    <w:pPr>
      <w:spacing w:line="240" w:lineRule="auto"/>
    </w:pPr>
    <w:rPr>
      <w:sz w:val="20"/>
      <w:szCs w:val="20"/>
    </w:rPr>
  </w:style>
  <w:style w:type="character" w:customStyle="1" w:styleId="CommentTextChar">
    <w:name w:val="Comment Text Char"/>
    <w:basedOn w:val="DefaultParagraphFont"/>
    <w:link w:val="CommentText"/>
    <w:uiPriority w:val="99"/>
    <w:rsid w:val="00F600D2"/>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F600D2"/>
    <w:rPr>
      <w:b/>
      <w:bCs/>
    </w:rPr>
  </w:style>
  <w:style w:type="character" w:customStyle="1" w:styleId="CommentSubjectChar">
    <w:name w:val="Comment Subject Char"/>
    <w:basedOn w:val="CommentTextChar"/>
    <w:link w:val="CommentSubject"/>
    <w:uiPriority w:val="99"/>
    <w:semiHidden/>
    <w:rsid w:val="00F600D2"/>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735289"/>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https://www.legislation.gov.au/F1996B03551/latest/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F2011L02673/latest/text" TargetMode="External"/><Relationship Id="rId17" Type="http://schemas.openxmlformats.org/officeDocument/2006/relationships/hyperlink" Target="https://www.dfat.gov.au/international-relations/security/sanctions/contacts-and-lin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ctions@df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4L00551/latest/tex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international-relations/security/sanctions" TargetMode="External"/><Relationship Id="rId23" Type="http://schemas.openxmlformats.org/officeDocument/2006/relationships/footer" Target="footer3.xml"/><Relationship Id="rId10" Type="http://schemas.openxmlformats.org/officeDocument/2006/relationships/hyperlink" Target="https://www.legislation.gov.au/F2008L00917/latest/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au/C1945A00032/latest/text" TargetMode="External"/><Relationship Id="rId14" Type="http://schemas.openxmlformats.org/officeDocument/2006/relationships/hyperlink" Target="https://www.legislation.gov.au/F2007L01791/latest/tex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4143</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Yemen sanctions framework</dc:title>
  <dc:subject/>
  <dc:creator/>
  <cp:keywords>[SEC=OFFICIAL]</cp:keywords>
  <dc:description/>
  <cp:lastModifiedBy/>
  <cp:revision>1</cp:revision>
  <dcterms:created xsi:type="dcterms:W3CDTF">2025-06-13T01:32:00Z</dcterms:created>
  <dcterms:modified xsi:type="dcterms:W3CDTF">2025-06-13T01:33:00Z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v=2022.1;a=SHA256;h=3E1CFFF2ADA3BDFCEE44431378EA8562125BB4FF7622038DA0AAC90B7E4D1C59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5FD074E21A763A0551B6A8F15AF521A8</vt:lpwstr>
  </property>
  <property fmtid="{D5CDD505-2E9C-101B-9397-08002B2CF9AE}" pid="20" name="PM_Hash_Salt">
    <vt:lpwstr>287E22D685667EE1BBFBDCA6E8E82A1C</vt:lpwstr>
  </property>
  <property fmtid="{D5CDD505-2E9C-101B-9397-08002B2CF9AE}" pid="21" name="PM_Hash_SHA1">
    <vt:lpwstr>6414EBCC9846074278BA268F02B3189510D1E498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