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0CAA15BE" w:rsidR="0086112F" w:rsidRPr="0025448A" w:rsidRDefault="00AC014B" w:rsidP="0025448A">
      <w:pPr>
        <w:pStyle w:val="H1-Heading1"/>
        <w:spacing w:before="120" w:after="120" w:line="240" w:lineRule="atLeast"/>
      </w:pPr>
      <w:r w:rsidRPr="0025448A">
        <w:t>SNAPSHOT</w:t>
      </w:r>
    </w:p>
    <w:p w14:paraId="43C4EF96" w14:textId="5040E51D" w:rsidR="00D15631" w:rsidRPr="0025448A" w:rsidRDefault="00D15631" w:rsidP="0025448A">
      <w:pPr>
        <w:pStyle w:val="H1-Heading1"/>
        <w:spacing w:before="120" w:after="120" w:line="240" w:lineRule="atLeast"/>
      </w:pPr>
      <w:bookmarkStart w:id="1" w:name="_Hlk198812941"/>
      <w:bookmarkStart w:id="2" w:name="_Hlk200700002"/>
      <w:r w:rsidRPr="0025448A">
        <w:t xml:space="preserve">SUDAN AND SOUTH SUDAN </w:t>
      </w:r>
      <w:bookmarkEnd w:id="2"/>
      <w:r w:rsidRPr="0025448A">
        <w:t>SANCTIONS FRAMEWORKS</w:t>
      </w:r>
    </w:p>
    <w:p w14:paraId="752819D7" w14:textId="5558A98A" w:rsidR="00D15631" w:rsidRPr="00C7310A" w:rsidRDefault="00D15631" w:rsidP="0025448A">
      <w:pPr>
        <w:pStyle w:val="H2-Heading2"/>
        <w:spacing w:before="120" w:after="120" w:line="240" w:lineRule="atLeast"/>
      </w:pPr>
      <w:r w:rsidRPr="00C7310A">
        <w:t>Why are sanctions imposed?</w:t>
      </w:r>
    </w:p>
    <w:p w14:paraId="1E7450D5" w14:textId="77777777" w:rsidR="00D15631" w:rsidRPr="00C7310A" w:rsidRDefault="00D15631" w:rsidP="0025448A">
      <w:pPr>
        <w:spacing w:after="120" w:line="240" w:lineRule="atLeast"/>
        <w:rPr>
          <w:rFonts w:cstheme="minorHAnsi"/>
          <w:sz w:val="22"/>
        </w:rPr>
      </w:pPr>
      <w:r w:rsidRPr="00C7310A">
        <w:rPr>
          <w:rFonts w:cstheme="minorHAnsi"/>
          <w:sz w:val="22"/>
        </w:rPr>
        <w:t xml:space="preserve">In 2004, the United Nations Security Council (UNSC) imposed sanctions in relation to Sudan in response to the ongoing humanitarian crisis and widespread human rights violations in Sudan. The sanctions </w:t>
      </w:r>
      <w:r w:rsidRPr="00D15631">
        <w:rPr>
          <w:rFonts w:cstheme="minorHAnsi"/>
          <w:sz w:val="22"/>
        </w:rPr>
        <w:t>framework</w:t>
      </w:r>
      <w:r w:rsidRPr="00C7310A">
        <w:rPr>
          <w:rFonts w:cstheme="minorHAnsi"/>
          <w:sz w:val="22"/>
        </w:rPr>
        <w:t xml:space="preserve"> has been amended and renewed by several subsequent UNSC resolutions. Following the independence of the Republic of South Sudan in 2011, the UNSC’s Sudan Sanctions Committee confirmed that the sanctions </w:t>
      </w:r>
      <w:r w:rsidRPr="00D15631">
        <w:rPr>
          <w:rFonts w:cstheme="minorHAnsi"/>
          <w:sz w:val="22"/>
        </w:rPr>
        <w:t>framework</w:t>
      </w:r>
      <w:r w:rsidRPr="00D15631" w:rsidDel="006A4DCD">
        <w:rPr>
          <w:rFonts w:cstheme="minorHAnsi"/>
          <w:sz w:val="22"/>
        </w:rPr>
        <w:t xml:space="preserve"> </w:t>
      </w:r>
      <w:r w:rsidRPr="00C7310A">
        <w:rPr>
          <w:rFonts w:cstheme="minorHAnsi"/>
          <w:sz w:val="22"/>
        </w:rPr>
        <w:t>in relation to Sudan does not apply to South Sudan. However, in 2015 the UNSC decided to impose sanctions in relation to South Sudan in view of the deterioration of the security and humanitarian situation, including ongoing human rights violations and abuses. In July 2018, the UNSC imposed an arms embargo on South Sudan in response to ongoing hostilities and peace agreement violations.</w:t>
      </w:r>
    </w:p>
    <w:p w14:paraId="6F4DBB71" w14:textId="77777777" w:rsidR="00D15631" w:rsidRPr="00C7310A" w:rsidRDefault="00D15631" w:rsidP="0025448A">
      <w:pPr>
        <w:spacing w:after="120" w:line="240" w:lineRule="atLeast"/>
        <w:rPr>
          <w:rFonts w:cstheme="minorHAnsi"/>
          <w:sz w:val="22"/>
        </w:rPr>
      </w:pPr>
      <w:r w:rsidRPr="00C7310A">
        <w:rPr>
          <w:rFonts w:cstheme="minorHAnsi"/>
          <w:sz w:val="22"/>
        </w:rPr>
        <w:t>Australia implements UNSC sanctions by incorporating them into Australian sanctions law.</w:t>
      </w:r>
    </w:p>
    <w:p w14:paraId="141CC382" w14:textId="77777777" w:rsidR="00D15631" w:rsidRPr="00C7310A" w:rsidRDefault="00D15631" w:rsidP="0025448A">
      <w:pPr>
        <w:pStyle w:val="H2-Heading2"/>
        <w:spacing w:before="120" w:after="120" w:line="240" w:lineRule="atLeast"/>
      </w:pPr>
      <w:r w:rsidRPr="00C7310A">
        <w:t xml:space="preserve">What is prohibited by the Sudan and South Sudan sanctions </w:t>
      </w:r>
      <w:r w:rsidRPr="00D15631">
        <w:t>frameworks</w:t>
      </w:r>
      <w:r w:rsidRPr="00C7310A">
        <w:t>?</w:t>
      </w:r>
    </w:p>
    <w:p w14:paraId="2E85039B" w14:textId="77777777" w:rsidR="00D15631" w:rsidRPr="00C7310A" w:rsidRDefault="00D15631" w:rsidP="0025448A">
      <w:pPr>
        <w:spacing w:after="120" w:line="240" w:lineRule="atLeast"/>
        <w:rPr>
          <w:rFonts w:cstheme="minorHAnsi"/>
          <w:sz w:val="22"/>
        </w:rPr>
      </w:pPr>
      <w:r w:rsidRPr="00C7310A">
        <w:rPr>
          <w:rFonts w:cstheme="minorHAnsi"/>
          <w:sz w:val="22"/>
        </w:rPr>
        <w:t xml:space="preserve">The South Sudan and Sudan sanctions </w:t>
      </w:r>
      <w:r w:rsidRPr="00D15631">
        <w:rPr>
          <w:rFonts w:cstheme="minorHAnsi"/>
          <w:sz w:val="22"/>
        </w:rPr>
        <w:t>framework</w:t>
      </w:r>
      <w:r w:rsidRPr="00C7310A">
        <w:rPr>
          <w:rFonts w:cstheme="minorHAnsi"/>
          <w:sz w:val="22"/>
        </w:rPr>
        <w:t>s impose the following sanctions measures:</w:t>
      </w:r>
    </w:p>
    <w:tbl>
      <w:tblPr>
        <w:tblW w:w="10146" w:type="dxa"/>
        <w:tblCellMar>
          <w:top w:w="15" w:type="dxa"/>
          <w:left w:w="15" w:type="dxa"/>
          <w:bottom w:w="15" w:type="dxa"/>
          <w:right w:w="15" w:type="dxa"/>
        </w:tblCellMar>
        <w:tblLook w:val="04A0" w:firstRow="1" w:lastRow="0" w:firstColumn="1" w:lastColumn="0" w:noHBand="0" w:noVBand="1"/>
      </w:tblPr>
      <w:tblGrid>
        <w:gridCol w:w="7363"/>
        <w:gridCol w:w="1418"/>
        <w:gridCol w:w="1365"/>
      </w:tblGrid>
      <w:tr w:rsidR="00D15631" w:rsidRPr="00D15631" w14:paraId="5721D451" w14:textId="77777777" w:rsidTr="00D15631">
        <w:trPr>
          <w:tblHeader/>
        </w:trPr>
        <w:tc>
          <w:tcPr>
            <w:tcW w:w="7363"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FE81FAF" w14:textId="77777777" w:rsidR="00D15631" w:rsidRPr="00C7310A" w:rsidRDefault="00D15631" w:rsidP="0025448A">
            <w:pPr>
              <w:spacing w:after="120" w:line="240" w:lineRule="atLeast"/>
              <w:jc w:val="center"/>
              <w:rPr>
                <w:rFonts w:cstheme="minorHAnsi"/>
                <w:b/>
                <w:bCs/>
                <w:color w:val="FFFFFF" w:themeColor="background1"/>
                <w:sz w:val="22"/>
              </w:rPr>
            </w:pPr>
            <w:r w:rsidRPr="00C7310A">
              <w:rPr>
                <w:rFonts w:cstheme="minorHAnsi"/>
                <w:b/>
                <w:bCs/>
                <w:color w:val="FFFFFF" w:themeColor="background1"/>
                <w:sz w:val="22"/>
              </w:rPr>
              <w:t>Measure</w:t>
            </w:r>
          </w:p>
        </w:tc>
        <w:tc>
          <w:tcPr>
            <w:tcW w:w="1418"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47145643" w14:textId="77777777" w:rsidR="00D15631" w:rsidRPr="00C7310A" w:rsidRDefault="00D15631" w:rsidP="0025448A">
            <w:pPr>
              <w:spacing w:after="120" w:line="240" w:lineRule="atLeast"/>
              <w:jc w:val="center"/>
              <w:rPr>
                <w:rFonts w:cstheme="minorHAnsi"/>
                <w:b/>
                <w:bCs/>
                <w:color w:val="FFFFFF" w:themeColor="background1"/>
                <w:sz w:val="22"/>
              </w:rPr>
            </w:pPr>
            <w:r w:rsidRPr="00C7310A">
              <w:rPr>
                <w:rFonts w:cstheme="minorHAnsi"/>
                <w:b/>
                <w:bCs/>
                <w:color w:val="FFFFFF" w:themeColor="background1"/>
                <w:sz w:val="22"/>
              </w:rPr>
              <w:t>Sudan</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23E3270" w14:textId="77777777" w:rsidR="00D15631" w:rsidRPr="00C7310A" w:rsidRDefault="00D15631" w:rsidP="0025448A">
            <w:pPr>
              <w:spacing w:after="120" w:line="240" w:lineRule="atLeast"/>
              <w:jc w:val="center"/>
              <w:rPr>
                <w:rFonts w:cstheme="minorHAnsi"/>
                <w:b/>
                <w:bCs/>
                <w:color w:val="FFFFFF" w:themeColor="background1"/>
                <w:sz w:val="22"/>
              </w:rPr>
            </w:pPr>
            <w:r w:rsidRPr="00C7310A">
              <w:rPr>
                <w:rFonts w:cstheme="minorHAnsi"/>
                <w:b/>
                <w:bCs/>
                <w:color w:val="FFFFFF" w:themeColor="background1"/>
                <w:sz w:val="22"/>
              </w:rPr>
              <w:t>South Sudan</w:t>
            </w:r>
          </w:p>
        </w:tc>
      </w:tr>
      <w:tr w:rsidR="00D15631" w:rsidRPr="00C7310A" w14:paraId="0D3A687F" w14:textId="77777777" w:rsidTr="00D15631">
        <w:tc>
          <w:tcPr>
            <w:tcW w:w="7363" w:type="dxa"/>
            <w:tcBorders>
              <w:top w:val="single" w:sz="6" w:space="0" w:color="D5D5D5"/>
              <w:left w:val="single" w:sz="6" w:space="0" w:color="D5D5D5"/>
              <w:bottom w:val="single" w:sz="6" w:space="0" w:color="D5D5D5"/>
              <w:right w:val="single" w:sz="6" w:space="0" w:color="D5D5D5"/>
            </w:tcBorders>
            <w:vAlign w:val="center"/>
            <w:hideMark/>
          </w:tcPr>
          <w:p w14:paraId="47DB1B57" w14:textId="77777777" w:rsidR="00D15631" w:rsidRPr="00C7310A" w:rsidRDefault="00D15631" w:rsidP="0025448A">
            <w:pPr>
              <w:spacing w:after="120" w:line="240" w:lineRule="atLeast"/>
              <w:rPr>
                <w:rFonts w:cstheme="minorHAnsi"/>
                <w:sz w:val="22"/>
              </w:rPr>
            </w:pPr>
            <w:r w:rsidRPr="00C7310A">
              <w:rPr>
                <w:rFonts w:cstheme="minorHAnsi"/>
                <w:sz w:val="22"/>
              </w:rPr>
              <w:t>restrictions on supplying arms or related matériel, and related services, to designated persons or entities</w:t>
            </w:r>
          </w:p>
        </w:tc>
        <w:tc>
          <w:tcPr>
            <w:tcW w:w="1418" w:type="dxa"/>
            <w:tcBorders>
              <w:top w:val="single" w:sz="6" w:space="0" w:color="D5D5D5"/>
              <w:left w:val="single" w:sz="6" w:space="0" w:color="D5D5D5"/>
              <w:bottom w:val="single" w:sz="6" w:space="0" w:color="D5D5D5"/>
              <w:right w:val="single" w:sz="6" w:space="0" w:color="D5D5D5"/>
            </w:tcBorders>
            <w:vAlign w:val="center"/>
            <w:hideMark/>
          </w:tcPr>
          <w:p w14:paraId="3BB4B25F" w14:textId="77777777" w:rsidR="00D15631" w:rsidRPr="00C7310A" w:rsidRDefault="00D15631" w:rsidP="0025448A">
            <w:pPr>
              <w:spacing w:after="120" w:line="240" w:lineRule="atLeast"/>
              <w:jc w:val="center"/>
              <w:rPr>
                <w:rFonts w:cstheme="minorHAnsi"/>
                <w:sz w:val="22"/>
              </w:rPr>
            </w:pPr>
            <w:r w:rsidRPr="00C7310A">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E2BB138" w14:textId="77777777" w:rsidR="00D15631" w:rsidRPr="00C7310A" w:rsidRDefault="00D15631" w:rsidP="0025448A">
            <w:pPr>
              <w:spacing w:after="120" w:line="240" w:lineRule="atLeast"/>
              <w:jc w:val="center"/>
              <w:rPr>
                <w:rFonts w:cstheme="minorHAnsi"/>
                <w:sz w:val="22"/>
              </w:rPr>
            </w:pPr>
            <w:r w:rsidRPr="00C7310A">
              <w:rPr>
                <w:rFonts w:ascii="Segoe UI Symbol" w:hAnsi="Segoe UI Symbol" w:cs="Segoe UI Symbol"/>
                <w:sz w:val="22"/>
              </w:rPr>
              <w:t>✓</w:t>
            </w:r>
          </w:p>
        </w:tc>
      </w:tr>
      <w:tr w:rsidR="00D15631" w:rsidRPr="00C7310A" w14:paraId="639A5539" w14:textId="77777777" w:rsidTr="00D15631">
        <w:tc>
          <w:tcPr>
            <w:tcW w:w="7363" w:type="dxa"/>
            <w:tcBorders>
              <w:top w:val="single" w:sz="6" w:space="0" w:color="D5D5D5"/>
              <w:left w:val="single" w:sz="6" w:space="0" w:color="D5D5D5"/>
              <w:bottom w:val="single" w:sz="6" w:space="0" w:color="D5D5D5"/>
              <w:right w:val="single" w:sz="6" w:space="0" w:color="D5D5D5"/>
            </w:tcBorders>
            <w:vAlign w:val="center"/>
            <w:hideMark/>
          </w:tcPr>
          <w:p w14:paraId="14C777A0" w14:textId="77777777" w:rsidR="00D15631" w:rsidRPr="00C7310A" w:rsidRDefault="00D15631" w:rsidP="0025448A">
            <w:pPr>
              <w:spacing w:after="120" w:line="240" w:lineRule="atLeast"/>
              <w:rPr>
                <w:rFonts w:cstheme="minorHAnsi"/>
                <w:sz w:val="22"/>
              </w:rPr>
            </w:pPr>
            <w:r w:rsidRPr="00C7310A">
              <w:rPr>
                <w:rFonts w:cstheme="minorHAnsi"/>
                <w:sz w:val="22"/>
              </w:rPr>
              <w:t>restrictions on providing assets to designated persons or entities</w:t>
            </w:r>
          </w:p>
        </w:tc>
        <w:tc>
          <w:tcPr>
            <w:tcW w:w="1418" w:type="dxa"/>
            <w:tcBorders>
              <w:top w:val="single" w:sz="6" w:space="0" w:color="D5D5D5"/>
              <w:left w:val="single" w:sz="6" w:space="0" w:color="D5D5D5"/>
              <w:bottom w:val="single" w:sz="6" w:space="0" w:color="D5D5D5"/>
              <w:right w:val="single" w:sz="6" w:space="0" w:color="D5D5D5"/>
            </w:tcBorders>
            <w:vAlign w:val="center"/>
            <w:hideMark/>
          </w:tcPr>
          <w:p w14:paraId="43450466" w14:textId="77777777" w:rsidR="00D15631" w:rsidRPr="00C7310A" w:rsidRDefault="00D15631" w:rsidP="0025448A">
            <w:pPr>
              <w:spacing w:after="120" w:line="240" w:lineRule="atLeast"/>
              <w:jc w:val="center"/>
              <w:rPr>
                <w:rFonts w:cstheme="minorHAnsi"/>
                <w:sz w:val="22"/>
              </w:rPr>
            </w:pPr>
            <w:r w:rsidRPr="00C7310A">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9C69DA3" w14:textId="77777777" w:rsidR="00D15631" w:rsidRPr="00C7310A" w:rsidRDefault="00D15631" w:rsidP="0025448A">
            <w:pPr>
              <w:spacing w:after="120" w:line="240" w:lineRule="atLeast"/>
              <w:jc w:val="center"/>
              <w:rPr>
                <w:rFonts w:cstheme="minorHAnsi"/>
                <w:sz w:val="22"/>
              </w:rPr>
            </w:pPr>
            <w:r w:rsidRPr="00C7310A">
              <w:rPr>
                <w:rFonts w:ascii="Segoe UI Symbol" w:hAnsi="Segoe UI Symbol" w:cs="Segoe UI Symbol"/>
                <w:sz w:val="22"/>
              </w:rPr>
              <w:t>✓</w:t>
            </w:r>
          </w:p>
        </w:tc>
      </w:tr>
      <w:tr w:rsidR="00D15631" w:rsidRPr="00C7310A" w14:paraId="299F5897" w14:textId="77777777" w:rsidTr="00D15631">
        <w:tc>
          <w:tcPr>
            <w:tcW w:w="7363" w:type="dxa"/>
            <w:tcBorders>
              <w:top w:val="single" w:sz="6" w:space="0" w:color="D5D5D5"/>
              <w:left w:val="single" w:sz="6" w:space="0" w:color="D5D5D5"/>
              <w:bottom w:val="single" w:sz="6" w:space="0" w:color="D5D5D5"/>
              <w:right w:val="single" w:sz="6" w:space="0" w:color="D5D5D5"/>
            </w:tcBorders>
            <w:vAlign w:val="center"/>
            <w:hideMark/>
          </w:tcPr>
          <w:p w14:paraId="32C451D6" w14:textId="77777777" w:rsidR="00D15631" w:rsidRPr="00C7310A" w:rsidRDefault="00D15631" w:rsidP="0025448A">
            <w:pPr>
              <w:spacing w:after="120" w:line="240" w:lineRule="atLeast"/>
              <w:rPr>
                <w:rFonts w:cstheme="minorHAnsi"/>
                <w:sz w:val="22"/>
              </w:rPr>
            </w:pPr>
            <w:r w:rsidRPr="00C7310A">
              <w:rPr>
                <w:rFonts w:cstheme="minorHAnsi"/>
                <w:sz w:val="22"/>
              </w:rPr>
              <w:t>restrictions on dealing with the assets of designated persons or entities</w:t>
            </w:r>
          </w:p>
        </w:tc>
        <w:tc>
          <w:tcPr>
            <w:tcW w:w="1418" w:type="dxa"/>
            <w:tcBorders>
              <w:top w:val="single" w:sz="6" w:space="0" w:color="D5D5D5"/>
              <w:left w:val="single" w:sz="6" w:space="0" w:color="D5D5D5"/>
              <w:bottom w:val="single" w:sz="6" w:space="0" w:color="D5D5D5"/>
              <w:right w:val="single" w:sz="6" w:space="0" w:color="D5D5D5"/>
            </w:tcBorders>
            <w:vAlign w:val="center"/>
            <w:hideMark/>
          </w:tcPr>
          <w:p w14:paraId="30844853" w14:textId="77777777" w:rsidR="00D15631" w:rsidRPr="00C7310A" w:rsidRDefault="00D15631" w:rsidP="0025448A">
            <w:pPr>
              <w:spacing w:after="120" w:line="240" w:lineRule="atLeast"/>
              <w:jc w:val="center"/>
              <w:rPr>
                <w:rFonts w:cstheme="minorHAnsi"/>
                <w:sz w:val="22"/>
              </w:rPr>
            </w:pPr>
            <w:r w:rsidRPr="00C7310A">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DD759DD" w14:textId="77777777" w:rsidR="00D15631" w:rsidRPr="00C7310A" w:rsidRDefault="00D15631" w:rsidP="0025448A">
            <w:pPr>
              <w:spacing w:after="120" w:line="240" w:lineRule="atLeast"/>
              <w:jc w:val="center"/>
              <w:rPr>
                <w:rFonts w:cstheme="minorHAnsi"/>
                <w:sz w:val="22"/>
              </w:rPr>
            </w:pPr>
            <w:r w:rsidRPr="00C7310A">
              <w:rPr>
                <w:rFonts w:ascii="Segoe UI Symbol" w:hAnsi="Segoe UI Symbol" w:cs="Segoe UI Symbol"/>
                <w:sz w:val="22"/>
              </w:rPr>
              <w:t>✓</w:t>
            </w:r>
          </w:p>
        </w:tc>
      </w:tr>
      <w:tr w:rsidR="00D15631" w:rsidRPr="00C7310A" w14:paraId="5D8ADD47" w14:textId="77777777" w:rsidTr="00D15631">
        <w:tc>
          <w:tcPr>
            <w:tcW w:w="7363" w:type="dxa"/>
            <w:tcBorders>
              <w:top w:val="single" w:sz="6" w:space="0" w:color="D5D5D5"/>
              <w:left w:val="single" w:sz="6" w:space="0" w:color="D5D5D5"/>
              <w:bottom w:val="single" w:sz="6" w:space="0" w:color="D5D5D5"/>
              <w:right w:val="single" w:sz="6" w:space="0" w:color="D5D5D5"/>
            </w:tcBorders>
            <w:vAlign w:val="center"/>
            <w:hideMark/>
          </w:tcPr>
          <w:p w14:paraId="61166282" w14:textId="77777777" w:rsidR="00D15631" w:rsidRPr="00C7310A" w:rsidRDefault="00D15631" w:rsidP="0025448A">
            <w:pPr>
              <w:spacing w:after="120" w:line="240" w:lineRule="atLeast"/>
              <w:rPr>
                <w:rFonts w:cstheme="minorHAnsi"/>
                <w:sz w:val="22"/>
              </w:rPr>
            </w:pPr>
            <w:r w:rsidRPr="00C7310A">
              <w:rPr>
                <w:rFonts w:cstheme="minorHAnsi"/>
                <w:sz w:val="22"/>
              </w:rPr>
              <w:t>travel bans on designated persons</w:t>
            </w:r>
          </w:p>
        </w:tc>
        <w:tc>
          <w:tcPr>
            <w:tcW w:w="1418" w:type="dxa"/>
            <w:tcBorders>
              <w:top w:val="single" w:sz="6" w:space="0" w:color="D5D5D5"/>
              <w:left w:val="single" w:sz="6" w:space="0" w:color="D5D5D5"/>
              <w:bottom w:val="single" w:sz="6" w:space="0" w:color="D5D5D5"/>
              <w:right w:val="single" w:sz="6" w:space="0" w:color="D5D5D5"/>
            </w:tcBorders>
            <w:vAlign w:val="center"/>
            <w:hideMark/>
          </w:tcPr>
          <w:p w14:paraId="32CE0445" w14:textId="77777777" w:rsidR="00D15631" w:rsidRPr="00C7310A" w:rsidRDefault="00D15631" w:rsidP="0025448A">
            <w:pPr>
              <w:spacing w:after="120" w:line="240" w:lineRule="atLeast"/>
              <w:jc w:val="center"/>
              <w:rPr>
                <w:rFonts w:cstheme="minorHAnsi"/>
                <w:sz w:val="22"/>
              </w:rPr>
            </w:pPr>
            <w:r w:rsidRPr="00C7310A">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486AC40" w14:textId="77777777" w:rsidR="00D15631" w:rsidRPr="00C7310A" w:rsidRDefault="00D15631" w:rsidP="0025448A">
            <w:pPr>
              <w:spacing w:after="120" w:line="240" w:lineRule="atLeast"/>
              <w:jc w:val="center"/>
              <w:rPr>
                <w:rFonts w:cstheme="minorHAnsi"/>
                <w:sz w:val="22"/>
              </w:rPr>
            </w:pPr>
            <w:r w:rsidRPr="00C7310A">
              <w:rPr>
                <w:rFonts w:ascii="Segoe UI Symbol" w:hAnsi="Segoe UI Symbol" w:cs="Segoe UI Symbol"/>
                <w:sz w:val="22"/>
              </w:rPr>
              <w:t>✓</w:t>
            </w:r>
          </w:p>
        </w:tc>
      </w:tr>
    </w:tbl>
    <w:p w14:paraId="3357D851" w14:textId="5360DBC5" w:rsidR="00D15631" w:rsidRPr="00C7310A" w:rsidRDefault="00D15631" w:rsidP="0025448A">
      <w:pPr>
        <w:pStyle w:val="H2-Heading2"/>
        <w:spacing w:before="120" w:after="120" w:line="240" w:lineRule="atLeast"/>
      </w:pPr>
      <w:r w:rsidRPr="00C7310A">
        <w:t>Restrictions on supplying arms or related matériel</w:t>
      </w:r>
    </w:p>
    <w:p w14:paraId="4C126801" w14:textId="77777777" w:rsidR="00D15631" w:rsidRPr="00C7310A" w:rsidRDefault="00D15631" w:rsidP="0025448A">
      <w:pPr>
        <w:spacing w:after="120" w:line="240" w:lineRule="atLeast"/>
        <w:rPr>
          <w:rFonts w:cstheme="minorHAnsi"/>
          <w:sz w:val="22"/>
        </w:rPr>
      </w:pPr>
      <w:r w:rsidRPr="00C7310A">
        <w:rPr>
          <w:rFonts w:cstheme="minorHAnsi"/>
          <w:sz w:val="22"/>
        </w:rPr>
        <w:t xml:space="preserve">Both the Sudan and South Sudan sanctions </w:t>
      </w:r>
      <w:r w:rsidRPr="00D15631">
        <w:rPr>
          <w:rFonts w:cstheme="minorHAnsi"/>
          <w:sz w:val="22"/>
        </w:rPr>
        <w:t>framework</w:t>
      </w:r>
      <w:r w:rsidRPr="00C7310A">
        <w:rPr>
          <w:rFonts w:cstheme="minorHAnsi"/>
          <w:sz w:val="22"/>
        </w:rPr>
        <w:t>s impose an arms embargo. It is prohibited to directly or indirectly supply, sell or transfer arms or related matériel to designated persons or entities.</w:t>
      </w:r>
    </w:p>
    <w:p w14:paraId="0135304E" w14:textId="09686141" w:rsidR="009E779D" w:rsidRDefault="00D15631" w:rsidP="0025448A">
      <w:pPr>
        <w:spacing w:after="120" w:line="240" w:lineRule="atLeast"/>
        <w:rPr>
          <w:rFonts w:cstheme="minorHAnsi"/>
          <w:b/>
          <w:bCs/>
          <w:sz w:val="22"/>
        </w:rPr>
      </w:pPr>
      <w:r w:rsidRPr="00C7310A">
        <w:rPr>
          <w:rFonts w:cstheme="minorHAnsi"/>
          <w:sz w:val="22"/>
        </w:rPr>
        <w:t xml:space="preserve">Arms or related matériel includes, but is not limited to, weapons, ammunition, military vehicles and equipment, and spare parts and accessories for any of those things. It also includes paramilitary equipment. While each case will be considered individually, goods on the Defence and Strategic Goods List are likely to be considered arms or related matériel. Depending on the context, end user and end use, other goods may also be considered arms or related matériel. </w:t>
      </w:r>
    </w:p>
    <w:p w14:paraId="43F29C9E" w14:textId="51080A82" w:rsidR="00D15631" w:rsidRPr="00C7310A" w:rsidRDefault="00D15631" w:rsidP="0025448A">
      <w:pPr>
        <w:pStyle w:val="H2-Heading2"/>
        <w:spacing w:before="120" w:after="120" w:line="240" w:lineRule="atLeast"/>
      </w:pPr>
      <w:r w:rsidRPr="00C7310A">
        <w:t>Restrictions on providing certain services</w:t>
      </w:r>
    </w:p>
    <w:p w14:paraId="4D6F320A" w14:textId="77777777" w:rsidR="00D15631" w:rsidRPr="00C7310A" w:rsidRDefault="00D15631" w:rsidP="0025448A">
      <w:pPr>
        <w:spacing w:after="120" w:line="240" w:lineRule="atLeast"/>
        <w:rPr>
          <w:rFonts w:cstheme="minorHAnsi"/>
          <w:sz w:val="22"/>
        </w:rPr>
      </w:pPr>
      <w:r w:rsidRPr="00C7310A">
        <w:rPr>
          <w:rFonts w:cstheme="minorHAnsi"/>
          <w:sz w:val="22"/>
        </w:rPr>
        <w:t>To complement the restrictions on supplying arms or related matériel, providing services that relate to those sanctioned goods is also restricted. It is prohibited to provide technical training or assistance which relates to the provision, manufacture, maintenance or use of arms or related matériel to a designated person or entity.</w:t>
      </w:r>
    </w:p>
    <w:p w14:paraId="3DDF7EE7" w14:textId="77777777" w:rsidR="00D15631" w:rsidRPr="00C7310A" w:rsidRDefault="00D15631" w:rsidP="0025448A">
      <w:pPr>
        <w:pStyle w:val="H2-Heading2"/>
        <w:spacing w:before="120" w:after="120" w:line="240" w:lineRule="atLeast"/>
      </w:pPr>
      <w:r w:rsidRPr="00C7310A">
        <w:t>Restrictions on providing assets to designated persons or entities</w:t>
      </w:r>
    </w:p>
    <w:p w14:paraId="38C4A346" w14:textId="6AB883DB" w:rsidR="0025448A" w:rsidRDefault="00D15631" w:rsidP="0025448A">
      <w:pPr>
        <w:spacing w:after="120" w:line="240" w:lineRule="atLeast"/>
        <w:rPr>
          <w:rFonts w:cstheme="minorHAnsi"/>
          <w:sz w:val="22"/>
        </w:rPr>
      </w:pPr>
      <w:r w:rsidRPr="00C7310A">
        <w:rPr>
          <w:rFonts w:cstheme="minorHAnsi"/>
          <w:sz w:val="22"/>
        </w:rPr>
        <w:t>It is prohibited to directly or indirectly make an asset available to (or for the benefit of) a designated person or entity.</w:t>
      </w:r>
      <w:r w:rsidR="0025448A">
        <w:rPr>
          <w:rFonts w:cstheme="minorHAnsi"/>
          <w:sz w:val="22"/>
        </w:rPr>
        <w:br w:type="page"/>
      </w:r>
    </w:p>
    <w:p w14:paraId="1BE2E08D" w14:textId="77777777" w:rsidR="00D15631" w:rsidRPr="00C7310A" w:rsidRDefault="00D15631" w:rsidP="0025448A">
      <w:pPr>
        <w:pStyle w:val="H2-Heading2"/>
        <w:spacing w:before="120" w:after="120" w:line="240" w:lineRule="atLeast"/>
      </w:pPr>
      <w:r w:rsidRPr="00C7310A">
        <w:lastRenderedPageBreak/>
        <w:t>Restrictions on dealing with the assets of designated persons or entities (requirement to freeze assets)</w:t>
      </w:r>
    </w:p>
    <w:p w14:paraId="69CD3898" w14:textId="77777777" w:rsidR="00D15631" w:rsidRPr="00C7310A" w:rsidRDefault="00D15631" w:rsidP="0025448A">
      <w:pPr>
        <w:spacing w:after="120" w:line="240" w:lineRule="atLeast"/>
        <w:rPr>
          <w:rFonts w:cstheme="minorHAnsi"/>
          <w:sz w:val="22"/>
        </w:rPr>
      </w:pPr>
      <w:r w:rsidRPr="00C7310A">
        <w:rPr>
          <w:rFonts w:cstheme="minorHAns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010101FA" w14:textId="408D75FD" w:rsidR="00D15631" w:rsidRPr="00C7310A" w:rsidRDefault="00D15631" w:rsidP="0025448A">
      <w:pPr>
        <w:spacing w:after="120" w:line="240" w:lineRule="atLeast"/>
        <w:rPr>
          <w:rFonts w:cstheme="minorHAnsi"/>
          <w:sz w:val="22"/>
        </w:rPr>
      </w:pPr>
      <w:r w:rsidRPr="00C7310A">
        <w:rPr>
          <w:rFonts w:cstheme="minorHAnsi"/>
          <w:sz w:val="22"/>
        </w:rPr>
        <w:t>Go to the</w:t>
      </w:r>
      <w:r w:rsidR="0025448A">
        <w:rPr>
          <w:rFonts w:cstheme="minorHAnsi"/>
          <w:sz w:val="22"/>
        </w:rPr>
        <w:t xml:space="preserve"> </w:t>
      </w:r>
      <w:hyperlink r:id="rId8" w:history="1">
        <w:r w:rsidRPr="00C7310A">
          <w:rPr>
            <w:rStyle w:val="Hyperlink"/>
            <w:rFonts w:cstheme="minorHAnsi"/>
            <w:sz w:val="22"/>
          </w:rPr>
          <w:t>Consolidated List</w:t>
        </w:r>
      </w:hyperlink>
      <w:r w:rsidR="0025448A">
        <w:rPr>
          <w:rFonts w:cstheme="minorHAnsi"/>
          <w:sz w:val="22"/>
        </w:rPr>
        <w:t xml:space="preserve"> </w:t>
      </w:r>
      <w:r w:rsidRPr="00C7310A">
        <w:rPr>
          <w:rFonts w:cstheme="minorHAnsi"/>
          <w:sz w:val="22"/>
        </w:rPr>
        <w:t>to search the names of designated persons and entities.</w:t>
      </w:r>
    </w:p>
    <w:p w14:paraId="1EB596BC" w14:textId="436D6716" w:rsidR="00D15631" w:rsidRPr="00C7310A" w:rsidRDefault="00D15631" w:rsidP="0025448A">
      <w:pPr>
        <w:spacing w:after="120" w:line="240" w:lineRule="atLeast"/>
        <w:rPr>
          <w:rFonts w:cstheme="minorHAnsi"/>
          <w:sz w:val="22"/>
        </w:rPr>
      </w:pPr>
      <w:r w:rsidRPr="00C7310A">
        <w:rPr>
          <w:rFonts w:cstheme="minorHAnsi"/>
          <w:sz w:val="22"/>
        </w:rPr>
        <w:t xml:space="preserve">If you become aware that you are holding an asset of a designated person or entity, you are required to freeze (hold) that asset and notify the AFP as soon as possible. </w:t>
      </w:r>
    </w:p>
    <w:p w14:paraId="376465A4" w14:textId="77777777" w:rsidR="00D15631" w:rsidRPr="00C7310A" w:rsidRDefault="00D15631" w:rsidP="0025448A">
      <w:pPr>
        <w:pStyle w:val="H2-Heading2"/>
        <w:spacing w:before="120" w:after="120" w:line="240" w:lineRule="atLeast"/>
      </w:pPr>
      <w:r w:rsidRPr="00C7310A">
        <w:t>Travel bans</w:t>
      </w:r>
    </w:p>
    <w:p w14:paraId="219C2487" w14:textId="77777777" w:rsidR="00D15631" w:rsidRPr="00C7310A" w:rsidRDefault="00D15631" w:rsidP="0025448A">
      <w:pPr>
        <w:spacing w:after="120" w:line="240" w:lineRule="atLeast"/>
        <w:rPr>
          <w:rFonts w:cstheme="minorHAnsi"/>
          <w:sz w:val="22"/>
        </w:rPr>
      </w:pPr>
      <w:r w:rsidRPr="00C7310A">
        <w:rPr>
          <w:rFonts w:cstheme="minorHAnsi"/>
          <w:sz w:val="22"/>
        </w:rPr>
        <w:t xml:space="preserve">All persons designated for the Sudan and South Sudan sanctions </w:t>
      </w:r>
      <w:r w:rsidRPr="00D15631">
        <w:rPr>
          <w:rFonts w:cstheme="minorHAnsi"/>
          <w:sz w:val="22"/>
        </w:rPr>
        <w:t>frameworks</w:t>
      </w:r>
      <w:r w:rsidRPr="00C7310A">
        <w:rPr>
          <w:rFonts w:cstheme="minorHAnsi"/>
          <w:sz w:val="22"/>
        </w:rPr>
        <w:t xml:space="preserve"> are prohibited from transiting through or entering Australia.</w:t>
      </w:r>
    </w:p>
    <w:bookmarkEnd w:id="1"/>
    <w:p w14:paraId="7C149A28" w14:textId="77777777" w:rsidR="0030236A" w:rsidRDefault="0030236A" w:rsidP="0025448A">
      <w:pPr>
        <w:pStyle w:val="H2-Heading2"/>
        <w:spacing w:before="120" w:after="120" w:line="240" w:lineRule="atLeast"/>
      </w:pPr>
      <w:r w:rsidRPr="0030236A">
        <w:t xml:space="preserve">Who must comply with sanctions? </w:t>
      </w:r>
    </w:p>
    <w:p w14:paraId="3AC43932" w14:textId="14D2F52E" w:rsidR="0030236A" w:rsidRPr="0030236A" w:rsidRDefault="0030236A" w:rsidP="0025448A">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25448A" w:rsidRDefault="00497A7E" w:rsidP="0025448A">
      <w:pPr>
        <w:pStyle w:val="H2-Heading2"/>
        <w:spacing w:before="120" w:after="120" w:line="240" w:lineRule="atLeast"/>
      </w:pPr>
      <w:r w:rsidRPr="0025448A">
        <w:t>Relevant legislation</w:t>
      </w:r>
    </w:p>
    <w:p w14:paraId="7527891A" w14:textId="77777777" w:rsidR="00D15631" w:rsidRPr="00C7310A" w:rsidRDefault="00D15631" w:rsidP="0025448A">
      <w:pPr>
        <w:spacing w:after="120" w:line="240" w:lineRule="atLeast"/>
        <w:rPr>
          <w:rFonts w:ascii="Calibri" w:hAnsi="Calibri" w:cs="Calibri"/>
          <w:sz w:val="22"/>
        </w:rPr>
      </w:pPr>
      <w:r w:rsidRPr="00C7310A">
        <w:rPr>
          <w:rFonts w:ascii="Calibri" w:hAnsi="Calibri" w:cs="Calibri"/>
          <w:sz w:val="22"/>
        </w:rPr>
        <w:t xml:space="preserve">The relevant legislation for the Sudan and South Sudan sanctions </w:t>
      </w:r>
      <w:r w:rsidRPr="00D15631">
        <w:rPr>
          <w:rFonts w:ascii="Calibri" w:hAnsi="Calibri" w:cs="Calibri"/>
          <w:sz w:val="22"/>
        </w:rPr>
        <w:t>framework</w:t>
      </w:r>
      <w:r w:rsidRPr="00C7310A">
        <w:rPr>
          <w:rFonts w:ascii="Calibri" w:hAnsi="Calibri" w:cs="Calibri"/>
          <w:sz w:val="22"/>
        </w:rPr>
        <w:t>s includes the following:</w:t>
      </w:r>
    </w:p>
    <w:p w14:paraId="08C399B8" w14:textId="77777777" w:rsidR="00D15631" w:rsidRPr="00C7310A" w:rsidRDefault="00D15631" w:rsidP="0025448A">
      <w:pPr>
        <w:numPr>
          <w:ilvl w:val="0"/>
          <w:numId w:val="38"/>
        </w:numPr>
        <w:suppressAutoHyphens w:val="0"/>
        <w:spacing w:after="120" w:line="240" w:lineRule="atLeast"/>
        <w:rPr>
          <w:rFonts w:ascii="Calibri" w:hAnsi="Calibri" w:cs="Calibri"/>
          <w:sz w:val="22"/>
        </w:rPr>
      </w:pPr>
      <w:hyperlink r:id="rId9" w:history="1">
        <w:r w:rsidRPr="00C7310A">
          <w:rPr>
            <w:rStyle w:val="Hyperlink"/>
            <w:rFonts w:ascii="Calibri" w:hAnsi="Calibri" w:cs="Calibri"/>
            <w:sz w:val="22"/>
          </w:rPr>
          <w:t>Charter of the United Nations Act 1945</w:t>
        </w:r>
      </w:hyperlink>
    </w:p>
    <w:p w14:paraId="52ECD147" w14:textId="77777777" w:rsidR="00D15631" w:rsidRPr="00C7310A" w:rsidRDefault="00D15631" w:rsidP="0025448A">
      <w:pPr>
        <w:numPr>
          <w:ilvl w:val="0"/>
          <w:numId w:val="38"/>
        </w:numPr>
        <w:suppressAutoHyphens w:val="0"/>
        <w:spacing w:after="120" w:line="240" w:lineRule="atLeast"/>
        <w:rPr>
          <w:rFonts w:ascii="Calibri" w:hAnsi="Calibri" w:cs="Calibri"/>
          <w:sz w:val="22"/>
        </w:rPr>
      </w:pPr>
      <w:hyperlink r:id="rId10" w:history="1">
        <w:r w:rsidRPr="00C7310A">
          <w:rPr>
            <w:rStyle w:val="Hyperlink"/>
            <w:rFonts w:ascii="Calibri" w:hAnsi="Calibri" w:cs="Calibri"/>
            <w:sz w:val="22"/>
          </w:rPr>
          <w:t>Charter of the United Nations (Dealing with Assets) Regulations 2008</w:t>
        </w:r>
      </w:hyperlink>
    </w:p>
    <w:p w14:paraId="62257BCA" w14:textId="77777777" w:rsidR="00D15631" w:rsidRPr="00C7310A" w:rsidRDefault="00D15631" w:rsidP="0025448A">
      <w:pPr>
        <w:numPr>
          <w:ilvl w:val="0"/>
          <w:numId w:val="38"/>
        </w:numPr>
        <w:suppressAutoHyphens w:val="0"/>
        <w:spacing w:after="120" w:line="240" w:lineRule="atLeast"/>
        <w:rPr>
          <w:rFonts w:ascii="Calibri" w:hAnsi="Calibri" w:cs="Calibri"/>
          <w:sz w:val="22"/>
        </w:rPr>
      </w:pPr>
      <w:hyperlink r:id="rId11" w:history="1">
        <w:r w:rsidRPr="00C7310A">
          <w:rPr>
            <w:rStyle w:val="Hyperlink"/>
            <w:rFonts w:ascii="Calibri" w:hAnsi="Calibri" w:cs="Calibri"/>
            <w:sz w:val="22"/>
          </w:rPr>
          <w:t>Charter of the United Nations (Sanctions – Sudan) Regulations 2008</w:t>
        </w:r>
      </w:hyperlink>
    </w:p>
    <w:p w14:paraId="530ADCE8" w14:textId="77777777" w:rsidR="00D15631" w:rsidRPr="00C7310A" w:rsidRDefault="00D15631" w:rsidP="0025448A">
      <w:pPr>
        <w:numPr>
          <w:ilvl w:val="0"/>
          <w:numId w:val="38"/>
        </w:numPr>
        <w:suppressAutoHyphens w:val="0"/>
        <w:spacing w:after="120" w:line="240" w:lineRule="atLeast"/>
        <w:rPr>
          <w:rFonts w:ascii="Calibri" w:hAnsi="Calibri" w:cs="Calibri"/>
          <w:sz w:val="22"/>
        </w:rPr>
      </w:pPr>
      <w:hyperlink r:id="rId12" w:history="1">
        <w:r w:rsidRPr="00C7310A">
          <w:rPr>
            <w:rStyle w:val="Hyperlink"/>
            <w:rFonts w:ascii="Calibri" w:hAnsi="Calibri" w:cs="Calibri"/>
            <w:sz w:val="22"/>
          </w:rPr>
          <w:t>Charter of the United Nations (Sanctions – South Sudan) Regulations 2015</w:t>
        </w:r>
      </w:hyperlink>
    </w:p>
    <w:p w14:paraId="62C99907" w14:textId="77777777" w:rsidR="00D15631" w:rsidRPr="00C7310A" w:rsidRDefault="00D15631" w:rsidP="0025448A">
      <w:pPr>
        <w:numPr>
          <w:ilvl w:val="0"/>
          <w:numId w:val="38"/>
        </w:numPr>
        <w:suppressAutoHyphens w:val="0"/>
        <w:spacing w:after="120" w:line="240" w:lineRule="atLeast"/>
        <w:rPr>
          <w:rFonts w:ascii="Calibri" w:hAnsi="Calibri" w:cs="Calibri"/>
          <w:sz w:val="22"/>
        </w:rPr>
      </w:pPr>
      <w:hyperlink r:id="rId13" w:history="1">
        <w:r w:rsidRPr="00C7310A">
          <w:rPr>
            <w:rStyle w:val="Hyperlink"/>
            <w:rFonts w:ascii="Calibri" w:hAnsi="Calibri" w:cs="Calibri"/>
            <w:sz w:val="22"/>
          </w:rPr>
          <w:t>Customs (Prohibited Exports) Regulations 1958</w:t>
        </w:r>
      </w:hyperlink>
    </w:p>
    <w:p w14:paraId="6B009F32" w14:textId="77777777" w:rsidR="00D15631" w:rsidRPr="00C7310A" w:rsidRDefault="00D15631" w:rsidP="0025448A">
      <w:pPr>
        <w:numPr>
          <w:ilvl w:val="0"/>
          <w:numId w:val="38"/>
        </w:numPr>
        <w:suppressAutoHyphens w:val="0"/>
        <w:spacing w:after="120" w:line="240" w:lineRule="atLeast"/>
        <w:rPr>
          <w:rFonts w:ascii="Calibri" w:hAnsi="Calibri" w:cs="Calibri"/>
          <w:sz w:val="22"/>
        </w:rPr>
      </w:pPr>
      <w:hyperlink r:id="rId14" w:history="1">
        <w:r w:rsidRPr="00C7310A">
          <w:rPr>
            <w:rStyle w:val="Hyperlink"/>
            <w:rFonts w:ascii="Calibri" w:hAnsi="Calibri" w:cs="Calibri"/>
            <w:sz w:val="22"/>
          </w:rPr>
          <w:t>Autonomous Sanctions Regulations 2011</w:t>
        </w:r>
      </w:hyperlink>
    </w:p>
    <w:p w14:paraId="11E83275" w14:textId="77777777" w:rsidR="00D15631" w:rsidRPr="00C7310A" w:rsidRDefault="00D15631" w:rsidP="0025448A">
      <w:pPr>
        <w:numPr>
          <w:ilvl w:val="0"/>
          <w:numId w:val="38"/>
        </w:numPr>
        <w:suppressAutoHyphens w:val="0"/>
        <w:spacing w:after="120" w:line="240" w:lineRule="atLeast"/>
        <w:rPr>
          <w:rFonts w:ascii="Calibri" w:hAnsi="Calibri" w:cs="Calibri"/>
          <w:sz w:val="22"/>
        </w:rPr>
      </w:pPr>
      <w:hyperlink r:id="rId15" w:history="1">
        <w:r w:rsidRPr="00C7310A">
          <w:rPr>
            <w:rStyle w:val="Hyperlink"/>
            <w:rFonts w:ascii="Calibri" w:hAnsi="Calibri" w:cs="Calibri"/>
            <w:sz w:val="22"/>
          </w:rPr>
          <w:t>Migration Regulations 1994</w:t>
        </w:r>
      </w:hyperlink>
    </w:p>
    <w:p w14:paraId="13E47E8F" w14:textId="77777777" w:rsidR="00D15631" w:rsidRPr="00C7310A" w:rsidRDefault="00D15631" w:rsidP="0025448A">
      <w:pPr>
        <w:numPr>
          <w:ilvl w:val="0"/>
          <w:numId w:val="38"/>
        </w:numPr>
        <w:suppressAutoHyphens w:val="0"/>
        <w:spacing w:after="120" w:line="240" w:lineRule="atLeast"/>
        <w:rPr>
          <w:rFonts w:ascii="Calibri" w:hAnsi="Calibri" w:cs="Calibri"/>
          <w:sz w:val="22"/>
        </w:rPr>
      </w:pPr>
      <w:hyperlink r:id="rId16" w:history="1">
        <w:r w:rsidRPr="00C7310A">
          <w:rPr>
            <w:rStyle w:val="Hyperlink"/>
            <w:rFonts w:ascii="Calibri" w:hAnsi="Calibri" w:cs="Calibri"/>
            <w:sz w:val="22"/>
          </w:rPr>
          <w:t>Migration (United Nations Security Council Resolutions) Regulations 2007</w:t>
        </w:r>
      </w:hyperlink>
    </w:p>
    <w:p w14:paraId="6082F935" w14:textId="77777777" w:rsidR="0025448A" w:rsidRPr="001A6190" w:rsidRDefault="0025448A" w:rsidP="0025448A">
      <w:pPr>
        <w:pStyle w:val="H2-Heading2"/>
        <w:spacing w:before="120" w:after="120" w:line="240" w:lineRule="atLeast"/>
      </w:pPr>
      <w:r w:rsidRPr="001A6190">
        <w:t>Where can I get more information?</w:t>
      </w:r>
    </w:p>
    <w:p w14:paraId="1B9F54A0" w14:textId="77777777" w:rsidR="0025448A" w:rsidRPr="001A6190" w:rsidRDefault="0025448A" w:rsidP="0025448A">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7"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4A7E46F4" w14:textId="77777777" w:rsidR="0025448A" w:rsidRPr="001A6190" w:rsidRDefault="0025448A" w:rsidP="0025448A">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8" w:history="1">
        <w:r w:rsidRPr="001A6190">
          <w:rPr>
            <w:rStyle w:val="Hyperlink"/>
            <w:rFonts w:ascii="Calibri" w:eastAsia="Calibri" w:hAnsi="Calibri" w:cs="Calibri"/>
            <w:sz w:val="22"/>
            <w:szCs w:val="22"/>
            <w:lang w:val="en-GB" w:eastAsia="en-US"/>
          </w:rPr>
          <w:t>sanctions@dfat.gov.au</w:t>
        </w:r>
      </w:hyperlink>
    </w:p>
    <w:p w14:paraId="6974EDC2" w14:textId="77777777" w:rsidR="0025448A" w:rsidRPr="001A6190" w:rsidRDefault="0025448A" w:rsidP="0025448A">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9"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5D213A0" w14:textId="77777777" w:rsidR="0025448A" w:rsidRPr="0043027E" w:rsidRDefault="0025448A" w:rsidP="0025448A">
      <w:pPr>
        <w:pStyle w:val="NormalWeb"/>
        <w:spacing w:before="120" w:beforeAutospacing="0" w:after="120" w:afterAutospacing="0" w:line="240" w:lineRule="atLeast"/>
        <w:ind w:left="360"/>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25448A" w:rsidRPr="0043027E" w:rsidSect="007F6492">
      <w:headerReference w:type="even" r:id="rId20"/>
      <w:headerReference w:type="default" r:id="rId21"/>
      <w:footerReference w:type="even" r:id="rId22"/>
      <w:footerReference w:type="default" r:id="rId23"/>
      <w:headerReference w:type="first" r:id="rId24"/>
      <w:footerReference w:type="first" r:id="rId25"/>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054C" w14:textId="77777777" w:rsidR="00920D04" w:rsidRDefault="00920D04" w:rsidP="00EE32FE">
      <w:pPr>
        <w:spacing w:after="0" w:line="240" w:lineRule="auto"/>
      </w:pPr>
      <w:r>
        <w:separator/>
      </w:r>
    </w:p>
  </w:endnote>
  <w:endnote w:type="continuationSeparator" w:id="0">
    <w:p w14:paraId="29071D3E" w14:textId="77777777" w:rsidR="00920D04" w:rsidRDefault="00920D04" w:rsidP="00EE32FE">
      <w:pPr>
        <w:spacing w:after="0" w:line="240" w:lineRule="auto"/>
      </w:pPr>
      <w:r>
        <w:continuationSeparator/>
      </w:r>
    </w:p>
  </w:endnote>
  <w:endnote w:type="continuationNotice" w:id="1">
    <w:p w14:paraId="54856594" w14:textId="77777777" w:rsidR="00920D04" w:rsidRDefault="00920D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F040" w14:textId="77777777" w:rsidR="001C057C" w:rsidRDefault="001C0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0001" w14:textId="77777777" w:rsidR="00920D04" w:rsidRDefault="00920D04" w:rsidP="00EE32FE">
      <w:pPr>
        <w:spacing w:after="0" w:line="240" w:lineRule="auto"/>
      </w:pPr>
      <w:bookmarkStart w:id="0" w:name="_Hlk127364773"/>
      <w:bookmarkEnd w:id="0"/>
      <w:r>
        <w:separator/>
      </w:r>
    </w:p>
  </w:footnote>
  <w:footnote w:type="continuationSeparator" w:id="0">
    <w:p w14:paraId="37FFD146" w14:textId="77777777" w:rsidR="00920D04" w:rsidRDefault="00920D04" w:rsidP="00EE32FE">
      <w:pPr>
        <w:spacing w:after="0" w:line="240" w:lineRule="auto"/>
      </w:pPr>
      <w:r>
        <w:continuationSeparator/>
      </w:r>
    </w:p>
  </w:footnote>
  <w:footnote w:type="continuationNotice" w:id="1">
    <w:p w14:paraId="29E6A7CE" w14:textId="77777777" w:rsidR="00920D04" w:rsidRDefault="00920D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C13" w14:textId="77777777" w:rsidR="001C057C" w:rsidRDefault="001C0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5F79A8E1">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08060791" w:rsidR="00F74B5D" w:rsidRPr="007F6492" w:rsidRDefault="007F6492" w:rsidP="001C057C">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C057C">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08060791" w:rsidR="00F74B5D" w:rsidRPr="007F6492" w:rsidRDefault="007F6492" w:rsidP="001C057C">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C057C">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6A5CEE23">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51702991" w:rsidR="00F74B5D" w:rsidRPr="007F6492" w:rsidRDefault="007F6492" w:rsidP="001C057C">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C057C">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51702991" w:rsidR="00F74B5D" w:rsidRPr="007F6492" w:rsidRDefault="007F6492" w:rsidP="001C057C">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C057C">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5"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0"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1" w15:restartNumberingAfterBreak="0">
    <w:nsid w:val="28476690"/>
    <w:multiLevelType w:val="multilevel"/>
    <w:tmpl w:val="004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4"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9"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27"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31"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0"/>
  </w:num>
  <w:num w:numId="2" w16cid:durableId="1828091873">
    <w:abstractNumId w:val="9"/>
  </w:num>
  <w:num w:numId="3" w16cid:durableId="2005669602">
    <w:abstractNumId w:val="4"/>
  </w:num>
  <w:num w:numId="4" w16cid:durableId="275605714">
    <w:abstractNumId w:val="14"/>
  </w:num>
  <w:num w:numId="5" w16cid:durableId="1999454773">
    <w:abstractNumId w:val="14"/>
    <w:lvlOverride w:ilvl="0">
      <w:startOverride w:val="1"/>
    </w:lvlOverride>
  </w:num>
  <w:num w:numId="6" w16cid:durableId="747845784">
    <w:abstractNumId w:val="14"/>
    <w:lvlOverride w:ilvl="0">
      <w:startOverride w:val="1"/>
    </w:lvlOverride>
  </w:num>
  <w:num w:numId="7" w16cid:durableId="861363557">
    <w:abstractNumId w:val="19"/>
  </w:num>
  <w:num w:numId="8" w16cid:durableId="1596094065">
    <w:abstractNumId w:val="7"/>
  </w:num>
  <w:num w:numId="9" w16cid:durableId="1268003391">
    <w:abstractNumId w:val="14"/>
    <w:lvlOverride w:ilvl="0">
      <w:startOverride w:val="1"/>
    </w:lvlOverride>
  </w:num>
  <w:num w:numId="10" w16cid:durableId="1057706030">
    <w:abstractNumId w:val="14"/>
    <w:lvlOverride w:ilvl="0">
      <w:startOverride w:val="1"/>
    </w:lvlOverride>
  </w:num>
  <w:num w:numId="11" w16cid:durableId="261258166">
    <w:abstractNumId w:val="14"/>
    <w:lvlOverride w:ilvl="0">
      <w:startOverride w:val="1"/>
    </w:lvlOverride>
  </w:num>
  <w:num w:numId="12" w16cid:durableId="637806003">
    <w:abstractNumId w:val="30"/>
  </w:num>
  <w:num w:numId="13" w16cid:durableId="40903924">
    <w:abstractNumId w:val="1"/>
  </w:num>
  <w:num w:numId="14" w16cid:durableId="1045452493">
    <w:abstractNumId w:val="26"/>
  </w:num>
  <w:num w:numId="15" w16cid:durableId="301816347">
    <w:abstractNumId w:val="18"/>
  </w:num>
  <w:num w:numId="16" w16cid:durableId="168299835">
    <w:abstractNumId w:val="13"/>
  </w:num>
  <w:num w:numId="17" w16cid:durableId="1655992847">
    <w:abstractNumId w:val="25"/>
  </w:num>
  <w:num w:numId="18" w16cid:durableId="981034831">
    <w:abstractNumId w:val="28"/>
  </w:num>
  <w:num w:numId="19" w16cid:durableId="1494180434">
    <w:abstractNumId w:val="31"/>
  </w:num>
  <w:num w:numId="20" w16cid:durableId="541133819">
    <w:abstractNumId w:val="16"/>
  </w:num>
  <w:num w:numId="21" w16cid:durableId="6955581">
    <w:abstractNumId w:val="22"/>
  </w:num>
  <w:num w:numId="22" w16cid:durableId="977566466">
    <w:abstractNumId w:val="5"/>
  </w:num>
  <w:num w:numId="23" w16cid:durableId="1055809684">
    <w:abstractNumId w:val="27"/>
  </w:num>
  <w:num w:numId="24" w16cid:durableId="1176649159">
    <w:abstractNumId w:val="8"/>
  </w:num>
  <w:num w:numId="25" w16cid:durableId="1595627187">
    <w:abstractNumId w:val="15"/>
  </w:num>
  <w:num w:numId="26" w16cid:durableId="1294023004">
    <w:abstractNumId w:val="21"/>
  </w:num>
  <w:num w:numId="27" w16cid:durableId="667751827">
    <w:abstractNumId w:val="32"/>
  </w:num>
  <w:num w:numId="28" w16cid:durableId="1971134082">
    <w:abstractNumId w:val="20"/>
  </w:num>
  <w:num w:numId="29" w16cid:durableId="1111820970">
    <w:abstractNumId w:val="0"/>
  </w:num>
  <w:num w:numId="30" w16cid:durableId="357512319">
    <w:abstractNumId w:val="23"/>
  </w:num>
  <w:num w:numId="31" w16cid:durableId="1880699316">
    <w:abstractNumId w:val="2"/>
  </w:num>
  <w:num w:numId="32" w16cid:durableId="1408920762">
    <w:abstractNumId w:val="3"/>
  </w:num>
  <w:num w:numId="33" w16cid:durableId="27881660">
    <w:abstractNumId w:val="24"/>
  </w:num>
  <w:num w:numId="34" w16cid:durableId="679434431">
    <w:abstractNumId w:val="12"/>
  </w:num>
  <w:num w:numId="35" w16cid:durableId="1059397808">
    <w:abstractNumId w:val="29"/>
  </w:num>
  <w:num w:numId="36" w16cid:durableId="705524848">
    <w:abstractNumId w:val="17"/>
  </w:num>
  <w:num w:numId="37" w16cid:durableId="1282230222">
    <w:abstractNumId w:val="6"/>
  </w:num>
  <w:num w:numId="38" w16cid:durableId="3712678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61748"/>
    <w:rsid w:val="0007092D"/>
    <w:rsid w:val="00085465"/>
    <w:rsid w:val="00095224"/>
    <w:rsid w:val="000B2F34"/>
    <w:rsid w:val="000C2ABD"/>
    <w:rsid w:val="000D74E6"/>
    <w:rsid w:val="000F1407"/>
    <w:rsid w:val="000F5CFA"/>
    <w:rsid w:val="001030C0"/>
    <w:rsid w:val="00130AA1"/>
    <w:rsid w:val="00134C7A"/>
    <w:rsid w:val="00136910"/>
    <w:rsid w:val="001405B7"/>
    <w:rsid w:val="00141ACA"/>
    <w:rsid w:val="00154402"/>
    <w:rsid w:val="001869DB"/>
    <w:rsid w:val="0019463F"/>
    <w:rsid w:val="00196680"/>
    <w:rsid w:val="001A3EEE"/>
    <w:rsid w:val="001C057C"/>
    <w:rsid w:val="001C11C6"/>
    <w:rsid w:val="001D29C1"/>
    <w:rsid w:val="001E164F"/>
    <w:rsid w:val="0021791D"/>
    <w:rsid w:val="00221470"/>
    <w:rsid w:val="00232F10"/>
    <w:rsid w:val="00245819"/>
    <w:rsid w:val="00246196"/>
    <w:rsid w:val="00250ABF"/>
    <w:rsid w:val="0025448A"/>
    <w:rsid w:val="00271AA6"/>
    <w:rsid w:val="002736D7"/>
    <w:rsid w:val="002903BA"/>
    <w:rsid w:val="002923D5"/>
    <w:rsid w:val="002965B1"/>
    <w:rsid w:val="002A0EEC"/>
    <w:rsid w:val="002B1BB1"/>
    <w:rsid w:val="002C1236"/>
    <w:rsid w:val="002C673E"/>
    <w:rsid w:val="002D3D4C"/>
    <w:rsid w:val="002E13BA"/>
    <w:rsid w:val="002E1F88"/>
    <w:rsid w:val="002F5A64"/>
    <w:rsid w:val="0030236A"/>
    <w:rsid w:val="00311A87"/>
    <w:rsid w:val="0031368E"/>
    <w:rsid w:val="00343F6F"/>
    <w:rsid w:val="003559B2"/>
    <w:rsid w:val="00360506"/>
    <w:rsid w:val="003616ED"/>
    <w:rsid w:val="003906B1"/>
    <w:rsid w:val="003945C2"/>
    <w:rsid w:val="003B4BA8"/>
    <w:rsid w:val="003C5891"/>
    <w:rsid w:val="00402CDC"/>
    <w:rsid w:val="004041C7"/>
    <w:rsid w:val="00455588"/>
    <w:rsid w:val="00463734"/>
    <w:rsid w:val="0047316F"/>
    <w:rsid w:val="00497A7E"/>
    <w:rsid w:val="004B1CC3"/>
    <w:rsid w:val="004B7115"/>
    <w:rsid w:val="004C2D06"/>
    <w:rsid w:val="004C5E51"/>
    <w:rsid w:val="004D1D79"/>
    <w:rsid w:val="004D1D85"/>
    <w:rsid w:val="00515171"/>
    <w:rsid w:val="00523CD5"/>
    <w:rsid w:val="0052724F"/>
    <w:rsid w:val="00545162"/>
    <w:rsid w:val="00562DAD"/>
    <w:rsid w:val="00572A9A"/>
    <w:rsid w:val="00592E1A"/>
    <w:rsid w:val="00595180"/>
    <w:rsid w:val="005A4153"/>
    <w:rsid w:val="005A45E3"/>
    <w:rsid w:val="005A7142"/>
    <w:rsid w:val="005D3172"/>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5698"/>
    <w:rsid w:val="00700D1C"/>
    <w:rsid w:val="00703F0C"/>
    <w:rsid w:val="00703FAC"/>
    <w:rsid w:val="007332ED"/>
    <w:rsid w:val="007514EF"/>
    <w:rsid w:val="00790F87"/>
    <w:rsid w:val="00791418"/>
    <w:rsid w:val="0079447C"/>
    <w:rsid w:val="0079728E"/>
    <w:rsid w:val="007B2612"/>
    <w:rsid w:val="007C5166"/>
    <w:rsid w:val="007D219F"/>
    <w:rsid w:val="007E0016"/>
    <w:rsid w:val="007F63D7"/>
    <w:rsid w:val="007F6492"/>
    <w:rsid w:val="0083629D"/>
    <w:rsid w:val="00845374"/>
    <w:rsid w:val="0086112F"/>
    <w:rsid w:val="0086423F"/>
    <w:rsid w:val="00864660"/>
    <w:rsid w:val="008778CC"/>
    <w:rsid w:val="008A226C"/>
    <w:rsid w:val="008B5A4C"/>
    <w:rsid w:val="008C2577"/>
    <w:rsid w:val="008E0018"/>
    <w:rsid w:val="00920D04"/>
    <w:rsid w:val="00927E4F"/>
    <w:rsid w:val="009524F0"/>
    <w:rsid w:val="009550C6"/>
    <w:rsid w:val="0096463B"/>
    <w:rsid w:val="00975C47"/>
    <w:rsid w:val="009E2354"/>
    <w:rsid w:val="009E779D"/>
    <w:rsid w:val="009F2AB9"/>
    <w:rsid w:val="00A01D6E"/>
    <w:rsid w:val="00A02589"/>
    <w:rsid w:val="00A1504A"/>
    <w:rsid w:val="00A4001E"/>
    <w:rsid w:val="00A560AF"/>
    <w:rsid w:val="00A63C72"/>
    <w:rsid w:val="00A81F45"/>
    <w:rsid w:val="00AA6ACC"/>
    <w:rsid w:val="00AB2A87"/>
    <w:rsid w:val="00AC014B"/>
    <w:rsid w:val="00AC2D6F"/>
    <w:rsid w:val="00AC497D"/>
    <w:rsid w:val="00AE7645"/>
    <w:rsid w:val="00AF7C26"/>
    <w:rsid w:val="00B24207"/>
    <w:rsid w:val="00B323DC"/>
    <w:rsid w:val="00B64A07"/>
    <w:rsid w:val="00B70166"/>
    <w:rsid w:val="00BB4E0A"/>
    <w:rsid w:val="00BC4022"/>
    <w:rsid w:val="00BD73C6"/>
    <w:rsid w:val="00BE1B97"/>
    <w:rsid w:val="00BF5F03"/>
    <w:rsid w:val="00C02DDF"/>
    <w:rsid w:val="00C40760"/>
    <w:rsid w:val="00C6065A"/>
    <w:rsid w:val="00C60EBF"/>
    <w:rsid w:val="00C73502"/>
    <w:rsid w:val="00C75A18"/>
    <w:rsid w:val="00CA5C68"/>
    <w:rsid w:val="00CF14DB"/>
    <w:rsid w:val="00CF4E8C"/>
    <w:rsid w:val="00D019C2"/>
    <w:rsid w:val="00D13028"/>
    <w:rsid w:val="00D15631"/>
    <w:rsid w:val="00D41C68"/>
    <w:rsid w:val="00D700C8"/>
    <w:rsid w:val="00D96326"/>
    <w:rsid w:val="00DA6024"/>
    <w:rsid w:val="00DB08C7"/>
    <w:rsid w:val="00DB14F3"/>
    <w:rsid w:val="00DD3AE1"/>
    <w:rsid w:val="00DD3CA3"/>
    <w:rsid w:val="00DD66A7"/>
    <w:rsid w:val="00DF67BD"/>
    <w:rsid w:val="00DF79EE"/>
    <w:rsid w:val="00E140FB"/>
    <w:rsid w:val="00E149B9"/>
    <w:rsid w:val="00E32042"/>
    <w:rsid w:val="00E363E8"/>
    <w:rsid w:val="00E93A90"/>
    <w:rsid w:val="00EB2369"/>
    <w:rsid w:val="00EC08A9"/>
    <w:rsid w:val="00EC1229"/>
    <w:rsid w:val="00EE32FE"/>
    <w:rsid w:val="00EF45E7"/>
    <w:rsid w:val="00F119EF"/>
    <w:rsid w:val="00F30470"/>
    <w:rsid w:val="00F3536B"/>
    <w:rsid w:val="00F44C2A"/>
    <w:rsid w:val="00F4597C"/>
    <w:rsid w:val="00F6146D"/>
    <w:rsid w:val="00F63247"/>
    <w:rsid w:val="00F74379"/>
    <w:rsid w:val="00F74B5D"/>
    <w:rsid w:val="00F913C0"/>
    <w:rsid w:val="00F959D5"/>
    <w:rsid w:val="00FB76D5"/>
    <w:rsid w:val="00FC0ACE"/>
    <w:rsid w:val="00FD0D04"/>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25448A"/>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25448A"/>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9E779D"/>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9E779D"/>
    <w:rPr>
      <w:sz w:val="16"/>
      <w:szCs w:val="16"/>
    </w:rPr>
  </w:style>
  <w:style w:type="paragraph" w:styleId="CommentText">
    <w:name w:val="annotation text"/>
    <w:basedOn w:val="Normal"/>
    <w:link w:val="CommentTextChar"/>
    <w:uiPriority w:val="99"/>
    <w:unhideWhenUsed/>
    <w:rsid w:val="009E779D"/>
    <w:pPr>
      <w:spacing w:line="240" w:lineRule="auto"/>
    </w:pPr>
    <w:rPr>
      <w:sz w:val="20"/>
      <w:szCs w:val="20"/>
    </w:rPr>
  </w:style>
  <w:style w:type="character" w:customStyle="1" w:styleId="CommentTextChar">
    <w:name w:val="Comment Text Char"/>
    <w:basedOn w:val="DefaultParagraphFont"/>
    <w:link w:val="CommentText"/>
    <w:uiPriority w:val="99"/>
    <w:rsid w:val="009E779D"/>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9E779D"/>
    <w:rPr>
      <w:b/>
      <w:bCs/>
    </w:rPr>
  </w:style>
  <w:style w:type="character" w:customStyle="1" w:styleId="CommentSubjectChar">
    <w:name w:val="Comment Subject Char"/>
    <w:basedOn w:val="CommentTextChar"/>
    <w:link w:val="CommentSubject"/>
    <w:uiPriority w:val="99"/>
    <w:semiHidden/>
    <w:rsid w:val="009E779D"/>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25448A"/>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consolidated-list" TargetMode="External"/><Relationship Id="rId13" Type="http://schemas.openxmlformats.org/officeDocument/2006/relationships/hyperlink" Target="https://www.legislation.gov.au/F1996B03403/latest/text" TargetMode="External"/><Relationship Id="rId18" Type="http://schemas.openxmlformats.org/officeDocument/2006/relationships/hyperlink" Target="mailto:sanctions@dfat.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egislation.gov.au/Details/F2019C00135" TargetMode="External"/><Relationship Id="rId17" Type="http://schemas.openxmlformats.org/officeDocument/2006/relationships/hyperlink" Target="https://www.dfat.gov.au/international-relations/security/sanct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egislation.gov.au/Details/F2007L0179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9C0013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slation.gov.au/F1996B03551/latest/text" TargetMode="External"/><Relationship Id="rId23" Type="http://schemas.openxmlformats.org/officeDocument/2006/relationships/footer" Target="footer2.xml"/><Relationship Id="rId10" Type="http://schemas.openxmlformats.org/officeDocument/2006/relationships/hyperlink" Target="https://www.legislation.gov.au/F2008L00917/latest/text" TargetMode="External"/><Relationship Id="rId19" Type="http://schemas.openxmlformats.org/officeDocument/2006/relationships/hyperlink" Target="https://www.dfat.gov.au/international-relations/security/sanctions/contacts-and-links" TargetMode="External"/><Relationship Id="rId4" Type="http://schemas.openxmlformats.org/officeDocument/2006/relationships/settings" Target="settings.xml"/><Relationship Id="rId9" Type="http://schemas.openxmlformats.org/officeDocument/2006/relationships/hyperlink" Target="https://www.legislation.gov.au/C1945A00032/latest/text" TargetMode="External"/><Relationship Id="rId14" Type="http://schemas.openxmlformats.org/officeDocument/2006/relationships/hyperlink" Target="https://www.legislation.gov.au/F2011L02673/latest/tex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4573</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Sudan and South Sudan sanctions framework</dc:title>
  <dc:subject/>
  <dc:creator/>
  <cp:keywords>[SEC=OFFICIAL]</cp:keywords>
  <dc:description/>
  <cp:lastModifiedBy/>
  <cp:revision>1</cp:revision>
  <dcterms:created xsi:type="dcterms:W3CDTF">2025-06-12T23:40:00Z</dcterms:created>
  <dcterms:modified xsi:type="dcterms:W3CDTF">2025-06-12T23:44:00Z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v=2022.1;a=SHA256;h=448FA0EDE8ECF42B89C88A35FC97AA8D9D4CC76E5E69EBCF3AF8DB18C6C257D4</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4FA65FE934C6576119F9CBC4E1180EAB</vt:lpwstr>
  </property>
  <property fmtid="{D5CDD505-2E9C-101B-9397-08002B2CF9AE}" pid="20" name="PM_Hash_Salt">
    <vt:lpwstr>6A00E03CC289227D09E896F858E97D70</vt:lpwstr>
  </property>
  <property fmtid="{D5CDD505-2E9C-101B-9397-08002B2CF9AE}" pid="21" name="PM_Hash_SHA1">
    <vt:lpwstr>1B1C964F54C718667984163AFF6307FB1D8A9443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