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10D8218F" w:rsidR="0086112F" w:rsidRPr="00887A0A" w:rsidRDefault="00700D1C" w:rsidP="00887A0A">
      <w:pPr>
        <w:pStyle w:val="H1-Heading1"/>
      </w:pPr>
      <w:r w:rsidRPr="00887A0A">
        <w:t>SNAPSHOT</w:t>
      </w:r>
    </w:p>
    <w:p w14:paraId="1A9F1D1E" w14:textId="7F938A36" w:rsidR="00CB7EF7" w:rsidRPr="00887A0A" w:rsidRDefault="00CB7EF7" w:rsidP="00887A0A">
      <w:pPr>
        <w:pStyle w:val="H1-Heading1"/>
      </w:pPr>
      <w:bookmarkStart w:id="1" w:name="_Hlk200633248"/>
      <w:r w:rsidRPr="00887A0A">
        <w:t>LEBANON</w:t>
      </w:r>
      <w:bookmarkEnd w:id="1"/>
      <w:r w:rsidRPr="00887A0A">
        <w:t xml:space="preserve"> SANCTIONS FRAMEWORK</w:t>
      </w:r>
    </w:p>
    <w:p w14:paraId="652CCF01" w14:textId="45554D5C" w:rsidR="00CB7EF7" w:rsidRPr="006F57CC" w:rsidRDefault="00CB7EF7" w:rsidP="006F57CC">
      <w:pPr>
        <w:pStyle w:val="H2-Heading2"/>
      </w:pPr>
      <w:r w:rsidRPr="006F57CC">
        <w:t>Why are sanctions imposed?</w:t>
      </w:r>
    </w:p>
    <w:p w14:paraId="030E41AB"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The United Nations Security Council (UNSC) initially imposed sanctions in relation to Lebanon in 2005 in response to the terrorist bombing in Beirut in February 2005 that killed former Lebanese Prime Minister Rafiq Hariri and 22 others. The UNSC imposed additional sanctions measures in 2006 in response to the conflict between Israel and Hezbollah in July 2006.</w:t>
      </w:r>
    </w:p>
    <w:p w14:paraId="54F9EA9A"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Australia implements the UNSC sanctions concerning Lebanon by incorporating them into Australian law.</w:t>
      </w:r>
    </w:p>
    <w:p w14:paraId="12A9F99B" w14:textId="77777777" w:rsidR="00CB7EF7" w:rsidRPr="00097CC3" w:rsidRDefault="00CB7EF7" w:rsidP="00424D93">
      <w:pPr>
        <w:pStyle w:val="H2-Heading2"/>
      </w:pPr>
      <w:r w:rsidRPr="00097CC3">
        <w:t xml:space="preserve">What is prohibited by the Lebanon sanctions </w:t>
      </w:r>
      <w:r>
        <w:t>framework</w:t>
      </w:r>
      <w:r w:rsidRPr="00097CC3">
        <w:t>?</w:t>
      </w:r>
    </w:p>
    <w:p w14:paraId="1DD969C1"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 xml:space="preserve">The Lebanon sanctions </w:t>
      </w:r>
      <w:r>
        <w:rPr>
          <w:rFonts w:ascii="Calibri" w:hAnsi="Calibri" w:cs="Calibri"/>
          <w:sz w:val="22"/>
        </w:rPr>
        <w:t>framework</w:t>
      </w:r>
      <w:r w:rsidRPr="00097CC3">
        <w:rPr>
          <w:rFonts w:ascii="Calibri" w:hAnsi="Calibri" w:cs="Calibri"/>
          <w:sz w:val="22"/>
        </w:rPr>
        <w:t xml:space="preserve"> imposes the following sanctions measures:</w:t>
      </w:r>
    </w:p>
    <w:tbl>
      <w:tblPr>
        <w:tblW w:w="10340" w:type="dxa"/>
        <w:tblCellMar>
          <w:top w:w="15" w:type="dxa"/>
          <w:left w:w="15" w:type="dxa"/>
          <w:bottom w:w="15" w:type="dxa"/>
          <w:right w:w="15" w:type="dxa"/>
        </w:tblCellMar>
        <w:tblLook w:val="04A0" w:firstRow="1" w:lastRow="0" w:firstColumn="1" w:lastColumn="0" w:noHBand="0" w:noVBand="1"/>
      </w:tblPr>
      <w:tblGrid>
        <w:gridCol w:w="6796"/>
        <w:gridCol w:w="859"/>
        <w:gridCol w:w="2685"/>
      </w:tblGrid>
      <w:tr w:rsidR="00457D99" w:rsidRPr="00457D99" w14:paraId="739B112F" w14:textId="77777777" w:rsidTr="00092F27">
        <w:trPr>
          <w:tblHeader/>
        </w:trPr>
        <w:tc>
          <w:tcPr>
            <w:tcW w:w="6796"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8BADEAA" w14:textId="77777777" w:rsidR="00CB7EF7" w:rsidRPr="00457D99" w:rsidRDefault="00CB7EF7" w:rsidP="00BA3506">
            <w:pPr>
              <w:spacing w:after="120" w:line="240" w:lineRule="atLeast"/>
              <w:jc w:val="center"/>
              <w:rPr>
                <w:rFonts w:ascii="Calibri" w:hAnsi="Calibri" w:cs="Calibri"/>
                <w:b/>
                <w:bCs/>
                <w:color w:val="FFFFFF" w:themeColor="background1"/>
                <w:sz w:val="22"/>
              </w:rPr>
            </w:pPr>
            <w:r w:rsidRPr="00457D99">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3FCF985" w14:textId="77777777" w:rsidR="00CB7EF7" w:rsidRPr="00457D99" w:rsidRDefault="00CB7EF7" w:rsidP="00BA3506">
            <w:pPr>
              <w:spacing w:after="120" w:line="240" w:lineRule="atLeast"/>
              <w:jc w:val="center"/>
              <w:rPr>
                <w:rFonts w:ascii="Calibri" w:hAnsi="Calibri" w:cs="Calibri"/>
                <w:b/>
                <w:bCs/>
                <w:color w:val="FFFFFF" w:themeColor="background1"/>
                <w:sz w:val="22"/>
              </w:rPr>
            </w:pPr>
            <w:r w:rsidRPr="00457D99">
              <w:rPr>
                <w:rFonts w:ascii="Calibri" w:hAnsi="Calibri" w:cs="Calibri"/>
                <w:b/>
                <w:bCs/>
                <w:color w:val="FFFFFF" w:themeColor="background1"/>
                <w:sz w:val="22"/>
              </w:rPr>
              <w:t>UNSC</w:t>
            </w:r>
          </w:p>
        </w:tc>
        <w:tc>
          <w:tcPr>
            <w:tcW w:w="2685"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AFD5462" w14:textId="77777777" w:rsidR="00CB7EF7" w:rsidRPr="00457D99" w:rsidRDefault="00CB7EF7" w:rsidP="00BA3506">
            <w:pPr>
              <w:spacing w:after="120" w:line="240" w:lineRule="atLeast"/>
              <w:jc w:val="center"/>
              <w:rPr>
                <w:rFonts w:ascii="Calibri" w:hAnsi="Calibri" w:cs="Calibri"/>
                <w:b/>
                <w:bCs/>
                <w:color w:val="FFFFFF" w:themeColor="background1"/>
                <w:sz w:val="22"/>
              </w:rPr>
            </w:pPr>
            <w:r w:rsidRPr="00457D99">
              <w:rPr>
                <w:rFonts w:ascii="Calibri" w:hAnsi="Calibri" w:cs="Calibri"/>
                <w:b/>
                <w:bCs/>
                <w:color w:val="FFFFFF" w:themeColor="background1"/>
                <w:sz w:val="22"/>
              </w:rPr>
              <w:t>Autonomous</w:t>
            </w:r>
          </w:p>
        </w:tc>
      </w:tr>
      <w:tr w:rsidR="00CB7EF7" w:rsidRPr="00097CC3" w14:paraId="2E5CCF67" w14:textId="77777777" w:rsidTr="00092F27">
        <w:tc>
          <w:tcPr>
            <w:tcW w:w="6796" w:type="dxa"/>
            <w:tcBorders>
              <w:top w:val="single" w:sz="6" w:space="0" w:color="D5D5D5"/>
              <w:left w:val="single" w:sz="6" w:space="0" w:color="D5D5D5"/>
              <w:bottom w:val="single" w:sz="6" w:space="0" w:color="D5D5D5"/>
              <w:right w:val="single" w:sz="6" w:space="0" w:color="D5D5D5"/>
            </w:tcBorders>
            <w:vAlign w:val="center"/>
            <w:hideMark/>
          </w:tcPr>
          <w:p w14:paraId="1EEF3342"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restrictions on supplying arms or related materiel, and related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98E3621" w14:textId="77777777" w:rsidR="00CB7EF7" w:rsidRPr="00097CC3" w:rsidRDefault="00CB7EF7" w:rsidP="00BA3506">
            <w:pPr>
              <w:spacing w:after="120" w:line="240" w:lineRule="atLeast"/>
              <w:jc w:val="center"/>
              <w:rPr>
                <w:rFonts w:ascii="Calibri" w:hAnsi="Calibri" w:cs="Calibri"/>
                <w:sz w:val="22"/>
              </w:rPr>
            </w:pPr>
            <w:r w:rsidRPr="00097CC3">
              <w:rPr>
                <w:rFonts w:ascii="Segoe UI Symbol" w:hAnsi="Segoe UI Symbol" w:cs="Segoe UI Symbol"/>
                <w:sz w:val="22"/>
              </w:rPr>
              <w:t>✓</w:t>
            </w:r>
          </w:p>
        </w:tc>
        <w:tc>
          <w:tcPr>
            <w:tcW w:w="2685" w:type="dxa"/>
            <w:tcBorders>
              <w:top w:val="single" w:sz="6" w:space="0" w:color="D5D5D5"/>
              <w:left w:val="single" w:sz="6" w:space="0" w:color="D5D5D5"/>
              <w:bottom w:val="single" w:sz="6" w:space="0" w:color="D5D5D5"/>
              <w:right w:val="single" w:sz="6" w:space="0" w:color="D5D5D5"/>
            </w:tcBorders>
            <w:vAlign w:val="center"/>
            <w:hideMark/>
          </w:tcPr>
          <w:p w14:paraId="3FBF70F2" w14:textId="6456296A" w:rsidR="00CB7EF7" w:rsidRPr="00097CC3" w:rsidRDefault="000906EA" w:rsidP="006F57CC">
            <w:pPr>
              <w:spacing w:after="120" w:line="240" w:lineRule="atLeast"/>
              <w:jc w:val="center"/>
              <w:rPr>
                <w:rFonts w:ascii="Calibri" w:hAnsi="Calibri" w:cs="Calibri"/>
                <w:sz w:val="22"/>
              </w:rPr>
            </w:pPr>
            <w:r>
              <w:rPr>
                <w:rFonts w:ascii="Calibri" w:hAnsi="Calibri" w:cs="Calibri"/>
                <w:sz w:val="22"/>
              </w:rPr>
              <w:t>-</w:t>
            </w:r>
          </w:p>
        </w:tc>
      </w:tr>
      <w:tr w:rsidR="00CB7EF7" w:rsidRPr="00097CC3" w14:paraId="13537263" w14:textId="77777777" w:rsidTr="00092F27">
        <w:tc>
          <w:tcPr>
            <w:tcW w:w="6796" w:type="dxa"/>
            <w:tcBorders>
              <w:top w:val="single" w:sz="6" w:space="0" w:color="D5D5D5"/>
              <w:left w:val="single" w:sz="6" w:space="0" w:color="D5D5D5"/>
              <w:bottom w:val="single" w:sz="6" w:space="0" w:color="D5D5D5"/>
              <w:right w:val="single" w:sz="6" w:space="0" w:color="D5D5D5"/>
            </w:tcBorders>
            <w:vAlign w:val="center"/>
            <w:hideMark/>
          </w:tcPr>
          <w:p w14:paraId="398D73F1"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restrictions on providing assets to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2A5B002" w14:textId="77777777" w:rsidR="00CB7EF7" w:rsidRPr="00097CC3" w:rsidRDefault="00CB7EF7" w:rsidP="00BA3506">
            <w:pPr>
              <w:spacing w:after="120" w:line="240" w:lineRule="atLeast"/>
              <w:jc w:val="center"/>
              <w:rPr>
                <w:rFonts w:ascii="Calibri" w:hAnsi="Calibri" w:cs="Calibri"/>
                <w:sz w:val="22"/>
              </w:rPr>
            </w:pPr>
            <w:r w:rsidRPr="00097CC3">
              <w:rPr>
                <w:rFonts w:ascii="Segoe UI Symbol" w:hAnsi="Segoe UI Symbol" w:cs="Segoe UI Symbol"/>
                <w:sz w:val="22"/>
              </w:rPr>
              <w:t>✓</w:t>
            </w:r>
          </w:p>
        </w:tc>
        <w:tc>
          <w:tcPr>
            <w:tcW w:w="2685" w:type="dxa"/>
            <w:tcBorders>
              <w:top w:val="single" w:sz="6" w:space="0" w:color="D5D5D5"/>
              <w:left w:val="single" w:sz="6" w:space="0" w:color="D5D5D5"/>
              <w:bottom w:val="single" w:sz="6" w:space="0" w:color="D5D5D5"/>
              <w:right w:val="single" w:sz="6" w:space="0" w:color="D5D5D5"/>
            </w:tcBorders>
            <w:vAlign w:val="center"/>
            <w:hideMark/>
          </w:tcPr>
          <w:p w14:paraId="295DECD5" w14:textId="365762BC" w:rsidR="00CB7EF7" w:rsidRPr="00097CC3" w:rsidRDefault="000906EA" w:rsidP="006F57CC">
            <w:pPr>
              <w:spacing w:after="120" w:line="240" w:lineRule="atLeast"/>
              <w:jc w:val="center"/>
              <w:rPr>
                <w:rFonts w:ascii="Calibri" w:hAnsi="Calibri" w:cs="Calibri"/>
                <w:sz w:val="22"/>
              </w:rPr>
            </w:pPr>
            <w:r>
              <w:rPr>
                <w:rFonts w:ascii="Calibri" w:hAnsi="Calibri" w:cs="Calibri"/>
                <w:sz w:val="22"/>
              </w:rPr>
              <w:t>-</w:t>
            </w:r>
          </w:p>
        </w:tc>
      </w:tr>
      <w:tr w:rsidR="00CB7EF7" w:rsidRPr="00097CC3" w14:paraId="579BF09B" w14:textId="77777777" w:rsidTr="00092F27">
        <w:tc>
          <w:tcPr>
            <w:tcW w:w="6796" w:type="dxa"/>
            <w:tcBorders>
              <w:top w:val="single" w:sz="6" w:space="0" w:color="D5D5D5"/>
              <w:left w:val="single" w:sz="6" w:space="0" w:color="D5D5D5"/>
              <w:bottom w:val="single" w:sz="6" w:space="0" w:color="D5D5D5"/>
              <w:right w:val="single" w:sz="6" w:space="0" w:color="D5D5D5"/>
            </w:tcBorders>
            <w:vAlign w:val="center"/>
            <w:hideMark/>
          </w:tcPr>
          <w:p w14:paraId="035803A1"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restrictions on dealing with the assets of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28FEBC9" w14:textId="77777777" w:rsidR="00CB7EF7" w:rsidRPr="00097CC3" w:rsidRDefault="00CB7EF7" w:rsidP="00BA3506">
            <w:pPr>
              <w:spacing w:after="120" w:line="240" w:lineRule="atLeast"/>
              <w:jc w:val="center"/>
              <w:rPr>
                <w:rFonts w:ascii="Calibri" w:hAnsi="Calibri" w:cs="Calibri"/>
                <w:sz w:val="22"/>
              </w:rPr>
            </w:pPr>
            <w:r w:rsidRPr="00097CC3">
              <w:rPr>
                <w:rFonts w:ascii="Segoe UI Symbol" w:hAnsi="Segoe UI Symbol" w:cs="Segoe UI Symbol"/>
                <w:sz w:val="22"/>
              </w:rPr>
              <w:t>✓</w:t>
            </w:r>
          </w:p>
        </w:tc>
        <w:tc>
          <w:tcPr>
            <w:tcW w:w="2685" w:type="dxa"/>
            <w:tcBorders>
              <w:top w:val="single" w:sz="6" w:space="0" w:color="D5D5D5"/>
              <w:left w:val="single" w:sz="6" w:space="0" w:color="D5D5D5"/>
              <w:bottom w:val="single" w:sz="6" w:space="0" w:color="D5D5D5"/>
              <w:right w:val="single" w:sz="6" w:space="0" w:color="D5D5D5"/>
            </w:tcBorders>
            <w:vAlign w:val="center"/>
            <w:hideMark/>
          </w:tcPr>
          <w:p w14:paraId="465575FB" w14:textId="5912F012" w:rsidR="00CB7EF7" w:rsidRPr="00097CC3" w:rsidRDefault="000906EA" w:rsidP="006F57CC">
            <w:pPr>
              <w:spacing w:after="120" w:line="240" w:lineRule="atLeast"/>
              <w:jc w:val="center"/>
              <w:rPr>
                <w:rFonts w:ascii="Calibri" w:hAnsi="Calibri" w:cs="Calibri"/>
                <w:sz w:val="22"/>
              </w:rPr>
            </w:pPr>
            <w:r>
              <w:rPr>
                <w:rFonts w:ascii="Calibri" w:hAnsi="Calibri" w:cs="Calibri"/>
                <w:sz w:val="22"/>
              </w:rPr>
              <w:t>-</w:t>
            </w:r>
          </w:p>
        </w:tc>
      </w:tr>
      <w:tr w:rsidR="00CB7EF7" w:rsidRPr="00097CC3" w14:paraId="6B00EC10" w14:textId="77777777" w:rsidTr="00092F27">
        <w:tc>
          <w:tcPr>
            <w:tcW w:w="6796" w:type="dxa"/>
            <w:tcBorders>
              <w:top w:val="single" w:sz="6" w:space="0" w:color="D5D5D5"/>
              <w:left w:val="single" w:sz="6" w:space="0" w:color="D5D5D5"/>
              <w:bottom w:val="single" w:sz="6" w:space="0" w:color="D5D5D5"/>
              <w:right w:val="single" w:sz="6" w:space="0" w:color="D5D5D5"/>
            </w:tcBorders>
            <w:vAlign w:val="center"/>
            <w:hideMark/>
          </w:tcPr>
          <w:p w14:paraId="146A3CA8"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travel bans on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AA5C469" w14:textId="77777777" w:rsidR="00CB7EF7" w:rsidRPr="00097CC3" w:rsidRDefault="00CB7EF7" w:rsidP="00BA3506">
            <w:pPr>
              <w:spacing w:after="120" w:line="240" w:lineRule="atLeast"/>
              <w:jc w:val="center"/>
              <w:rPr>
                <w:rFonts w:ascii="Calibri" w:hAnsi="Calibri" w:cs="Calibri"/>
                <w:sz w:val="22"/>
              </w:rPr>
            </w:pPr>
            <w:r w:rsidRPr="00097CC3">
              <w:rPr>
                <w:rFonts w:ascii="Segoe UI Symbol" w:hAnsi="Segoe UI Symbol" w:cs="Segoe UI Symbol"/>
                <w:sz w:val="22"/>
              </w:rPr>
              <w:t>✓</w:t>
            </w:r>
          </w:p>
        </w:tc>
        <w:tc>
          <w:tcPr>
            <w:tcW w:w="2685" w:type="dxa"/>
            <w:tcBorders>
              <w:top w:val="single" w:sz="6" w:space="0" w:color="D5D5D5"/>
              <w:left w:val="single" w:sz="6" w:space="0" w:color="D5D5D5"/>
              <w:bottom w:val="single" w:sz="6" w:space="0" w:color="D5D5D5"/>
              <w:right w:val="single" w:sz="6" w:space="0" w:color="D5D5D5"/>
            </w:tcBorders>
            <w:vAlign w:val="center"/>
            <w:hideMark/>
          </w:tcPr>
          <w:p w14:paraId="546CBFA4" w14:textId="3B5AF29B" w:rsidR="00CB7EF7" w:rsidRPr="00097CC3" w:rsidRDefault="000906EA" w:rsidP="006F57CC">
            <w:pPr>
              <w:spacing w:after="120" w:line="240" w:lineRule="atLeast"/>
              <w:jc w:val="center"/>
              <w:rPr>
                <w:rFonts w:ascii="Calibri" w:hAnsi="Calibri" w:cs="Calibri"/>
                <w:sz w:val="22"/>
              </w:rPr>
            </w:pPr>
            <w:r>
              <w:rPr>
                <w:rFonts w:ascii="Calibri" w:hAnsi="Calibri" w:cs="Calibri"/>
                <w:sz w:val="22"/>
              </w:rPr>
              <w:t>-</w:t>
            </w:r>
          </w:p>
        </w:tc>
      </w:tr>
    </w:tbl>
    <w:p w14:paraId="1D6D1AD3" w14:textId="77777777" w:rsidR="00CB7EF7" w:rsidRPr="00097CC3" w:rsidRDefault="00CB7EF7" w:rsidP="00424D93">
      <w:pPr>
        <w:pStyle w:val="H2-Heading2"/>
      </w:pPr>
      <w:r w:rsidRPr="00097CC3">
        <w:t>Restrictions on supplying arms or related matériel</w:t>
      </w:r>
    </w:p>
    <w:p w14:paraId="7DAAD19D"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 xml:space="preserve">The Lebanon sanctions </w:t>
      </w:r>
      <w:r>
        <w:rPr>
          <w:rFonts w:ascii="Calibri" w:hAnsi="Calibri" w:cs="Calibri"/>
          <w:sz w:val="22"/>
        </w:rPr>
        <w:t xml:space="preserve">framework </w:t>
      </w:r>
      <w:r w:rsidRPr="00097CC3">
        <w:rPr>
          <w:rFonts w:ascii="Calibri" w:hAnsi="Calibri" w:cs="Calibri"/>
          <w:sz w:val="22"/>
        </w:rPr>
        <w:t>imposes an arms embargo. It is prohibited to supply, sell or transfer (directly or indirectly) arms or related matériel to Lebanon.</w:t>
      </w:r>
    </w:p>
    <w:p w14:paraId="1D386062" w14:textId="51813AD2"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Arms or related matériel includes, but is not limited to, weapons, ammunition, military vehicles and equipment, and spare parts or accessories for any of those things. It also includes paramilitary equipment. While each case will be considered individually, goods on the</w:t>
      </w:r>
      <w:r w:rsidR="00BE66F7">
        <w:rPr>
          <w:rFonts w:ascii="Calibri" w:hAnsi="Calibri" w:cs="Calibri"/>
          <w:sz w:val="22"/>
        </w:rPr>
        <w:t xml:space="preserve"> </w:t>
      </w:r>
      <w:hyperlink r:id="rId8" w:history="1">
        <w:r w:rsidRPr="00097CC3">
          <w:rPr>
            <w:rStyle w:val="Hyperlink"/>
            <w:rFonts w:ascii="Calibri" w:hAnsi="Calibri" w:cs="Calibri"/>
            <w:sz w:val="22"/>
          </w:rPr>
          <w:t>Defence and Strategic Goods List</w:t>
        </w:r>
      </w:hyperlink>
      <w:r w:rsidR="00BE66F7">
        <w:rPr>
          <w:rFonts w:ascii="Calibri" w:hAnsi="Calibri" w:cs="Calibri"/>
          <w:sz w:val="22"/>
        </w:rPr>
        <w:t xml:space="preserve"> </w:t>
      </w:r>
      <w:r w:rsidRPr="00097CC3">
        <w:rPr>
          <w:rFonts w:ascii="Calibri" w:hAnsi="Calibri" w:cs="Calibri"/>
          <w:sz w:val="22"/>
        </w:rPr>
        <w:t xml:space="preserve">are likely to be considered arms or related matériel. Depending on the context, end-user and end-use, other goods may also be considered arms or related matériel. </w:t>
      </w:r>
    </w:p>
    <w:p w14:paraId="16D65C42"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 xml:space="preserve">Note: Hezbollah is also listed under the UNSCR 1373 (Counter-Terrorism) sanctions </w:t>
      </w:r>
      <w:r>
        <w:rPr>
          <w:rFonts w:ascii="Calibri" w:hAnsi="Calibri" w:cs="Calibri"/>
          <w:sz w:val="22"/>
        </w:rPr>
        <w:t>framework</w:t>
      </w:r>
      <w:r w:rsidRPr="00097CC3">
        <w:rPr>
          <w:rFonts w:ascii="Calibri" w:hAnsi="Calibri" w:cs="Calibri"/>
          <w:sz w:val="22"/>
        </w:rPr>
        <w:t>. Refer to the UNSCR 1373 (Counter-Terrorism) Snapshot for further information.</w:t>
      </w:r>
    </w:p>
    <w:p w14:paraId="389DFC7C" w14:textId="77777777" w:rsidR="00CB7EF7" w:rsidRPr="00097CC3" w:rsidRDefault="00CB7EF7" w:rsidP="00424D93">
      <w:pPr>
        <w:pStyle w:val="H2-Heading2"/>
      </w:pPr>
      <w:r w:rsidRPr="00097CC3">
        <w:t>Restrictions on providing certain services</w:t>
      </w:r>
    </w:p>
    <w:p w14:paraId="1FEBF6D8"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To complement the restrictions on supplying arms or related matériel, providing services that relate to those sanctioned goods is also restricted. It is prohibited to provide any technical training or assistance related to the provision, manufacture or use of such sanctioned goods.</w:t>
      </w:r>
    </w:p>
    <w:p w14:paraId="3A696F1F" w14:textId="7C200583" w:rsidR="00CB7EF7" w:rsidRPr="00097CC3" w:rsidRDefault="00CB7EF7" w:rsidP="00424D93">
      <w:pPr>
        <w:pStyle w:val="H2-Heading2"/>
      </w:pPr>
      <w:r w:rsidRPr="00097CC3">
        <w:t>Restrictions on providing assets to designated persons</w:t>
      </w:r>
    </w:p>
    <w:p w14:paraId="79D8CA01"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It is prohibited to directly or indirectly make an asset available to a designated person or an entity owned or controlled by a designated person.</w:t>
      </w:r>
    </w:p>
    <w:p w14:paraId="0CCA8F16" w14:textId="77777777" w:rsidR="00CB7EF7" w:rsidRPr="00097CC3" w:rsidRDefault="00CB7EF7" w:rsidP="00424D93">
      <w:pPr>
        <w:pStyle w:val="H2-Heading2"/>
      </w:pPr>
      <w:r w:rsidRPr="00097CC3">
        <w:t>Restrictions on dealing with the assets of designated persons or entities (requirement to freeze assets)</w:t>
      </w:r>
    </w:p>
    <w:p w14:paraId="2929BD90" w14:textId="14DCD138" w:rsidR="00BE66F7" w:rsidRDefault="00CB7EF7" w:rsidP="00BE66F7">
      <w:pPr>
        <w:spacing w:after="120" w:line="240" w:lineRule="atLeast"/>
        <w:rPr>
          <w:rFonts w:ascii="Calibri" w:hAnsi="Calibri" w:cs="Calibri"/>
          <w:sz w:val="22"/>
        </w:rPr>
      </w:pPr>
      <w:r w:rsidRPr="00097CC3">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r w:rsidR="00BE66F7">
        <w:rPr>
          <w:rFonts w:ascii="Calibri" w:hAnsi="Calibri" w:cs="Calibri"/>
          <w:sz w:val="22"/>
        </w:rPr>
        <w:br w:type="page"/>
      </w:r>
    </w:p>
    <w:p w14:paraId="70F9547F" w14:textId="77777777" w:rsidR="00CB7EF7" w:rsidRPr="00097CC3" w:rsidRDefault="00CB7EF7" w:rsidP="00BA3506">
      <w:pPr>
        <w:spacing w:after="120" w:line="240" w:lineRule="atLeast"/>
        <w:rPr>
          <w:rFonts w:ascii="Calibri" w:hAnsi="Calibri" w:cs="Calibri"/>
          <w:sz w:val="22"/>
        </w:rPr>
      </w:pPr>
    </w:p>
    <w:p w14:paraId="1ACF8FF4" w14:textId="73179201"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Go to the</w:t>
      </w:r>
      <w:r w:rsidR="00BE66F7">
        <w:rPr>
          <w:rFonts w:ascii="Calibri" w:hAnsi="Calibri" w:cs="Calibri"/>
          <w:sz w:val="22"/>
        </w:rPr>
        <w:t xml:space="preserve"> </w:t>
      </w:r>
      <w:hyperlink r:id="rId9" w:history="1">
        <w:r w:rsidRPr="00097CC3">
          <w:rPr>
            <w:rStyle w:val="Hyperlink"/>
            <w:rFonts w:ascii="Calibri" w:hAnsi="Calibri" w:cs="Calibri"/>
            <w:sz w:val="22"/>
          </w:rPr>
          <w:t>Consolidated List</w:t>
        </w:r>
      </w:hyperlink>
      <w:r w:rsidR="00BE66F7">
        <w:rPr>
          <w:rFonts w:ascii="Calibri" w:hAnsi="Calibri" w:cs="Calibri"/>
          <w:sz w:val="22"/>
        </w:rPr>
        <w:t xml:space="preserve"> </w:t>
      </w:r>
      <w:r w:rsidRPr="00097CC3">
        <w:rPr>
          <w:rFonts w:ascii="Calibri" w:hAnsi="Calibri" w:cs="Calibri"/>
          <w:sz w:val="22"/>
        </w:rPr>
        <w:t>to search the names of designated persons and entities.</w:t>
      </w:r>
    </w:p>
    <w:p w14:paraId="7A469C6D" w14:textId="77777777" w:rsidR="00424D93" w:rsidRPr="00424D93" w:rsidRDefault="00CB7EF7" w:rsidP="00424D93">
      <w:pPr>
        <w:rPr>
          <w:rFonts w:ascii="Calibri" w:hAnsi="Calibri" w:cs="Calibri"/>
          <w:sz w:val="22"/>
        </w:rPr>
      </w:pPr>
      <w:r w:rsidRPr="00424D93">
        <w:rPr>
          <w:rFonts w:ascii="Calibri" w:hAnsi="Calibri" w:cs="Calibri"/>
          <w:sz w:val="22"/>
        </w:rPr>
        <w:t>If you become aware that you are holding an asset of a designated person or entity, you are required to freeze (hold) that asset and notify the AFP as soon as possible.</w:t>
      </w:r>
    </w:p>
    <w:p w14:paraId="4881F596" w14:textId="5675A4F8" w:rsidR="00CB7EF7" w:rsidRPr="00097CC3" w:rsidRDefault="00CB7EF7" w:rsidP="00424D93">
      <w:pPr>
        <w:pStyle w:val="H2-Heading2"/>
      </w:pPr>
      <w:r w:rsidRPr="00097CC3">
        <w:t>Travel bans</w:t>
      </w:r>
    </w:p>
    <w:p w14:paraId="3CB74AD7"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 xml:space="preserve">Persons designated for the Lebanon sanctions </w:t>
      </w:r>
      <w:r>
        <w:rPr>
          <w:rFonts w:ascii="Calibri" w:hAnsi="Calibri" w:cs="Calibri"/>
          <w:sz w:val="22"/>
        </w:rPr>
        <w:t>framework</w:t>
      </w:r>
      <w:r w:rsidRPr="00097CC3" w:rsidDel="005156A0">
        <w:rPr>
          <w:rFonts w:ascii="Calibri" w:hAnsi="Calibri" w:cs="Calibri"/>
          <w:sz w:val="22"/>
        </w:rPr>
        <w:t xml:space="preserve"> </w:t>
      </w:r>
      <w:r w:rsidRPr="00097CC3">
        <w:rPr>
          <w:rFonts w:ascii="Calibri" w:hAnsi="Calibri" w:cs="Calibri"/>
          <w:sz w:val="22"/>
        </w:rPr>
        <w:t>are prohibited from transiting through or entering Australia.</w:t>
      </w:r>
    </w:p>
    <w:p w14:paraId="7C149A28" w14:textId="77777777" w:rsidR="0030236A" w:rsidRDefault="0030236A" w:rsidP="00424D93">
      <w:pPr>
        <w:pStyle w:val="H2-Heading2"/>
      </w:pPr>
      <w:r w:rsidRPr="0030236A">
        <w:t xml:space="preserve">Who must comply with sanctions? </w:t>
      </w:r>
    </w:p>
    <w:p w14:paraId="3AC43932" w14:textId="14D2F52E" w:rsidR="0030236A" w:rsidRPr="0030236A" w:rsidRDefault="0030236A" w:rsidP="00BA3506">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424D93">
      <w:pPr>
        <w:pStyle w:val="H2-Heading2"/>
      </w:pPr>
      <w:r w:rsidRPr="00AD5C72">
        <w:t>Relevant legislation</w:t>
      </w:r>
    </w:p>
    <w:p w14:paraId="09F1BB16" w14:textId="77777777" w:rsidR="00CB7EF7" w:rsidRPr="00097CC3" w:rsidRDefault="00CB7EF7" w:rsidP="00BA3506">
      <w:pPr>
        <w:spacing w:after="120" w:line="240" w:lineRule="atLeast"/>
        <w:rPr>
          <w:rFonts w:ascii="Calibri" w:hAnsi="Calibri" w:cs="Calibri"/>
          <w:sz w:val="22"/>
        </w:rPr>
      </w:pPr>
      <w:r w:rsidRPr="00097CC3">
        <w:rPr>
          <w:rFonts w:ascii="Calibri" w:hAnsi="Calibri" w:cs="Calibri"/>
          <w:sz w:val="22"/>
        </w:rPr>
        <w:t xml:space="preserve">The relevant legislation for the Lebanon sanctions </w:t>
      </w:r>
      <w:r>
        <w:rPr>
          <w:rFonts w:ascii="Calibri" w:hAnsi="Calibri" w:cs="Calibri"/>
          <w:sz w:val="22"/>
        </w:rPr>
        <w:t>framework</w:t>
      </w:r>
      <w:r w:rsidRPr="00097CC3">
        <w:rPr>
          <w:rFonts w:ascii="Calibri" w:hAnsi="Calibri" w:cs="Calibri"/>
          <w:sz w:val="22"/>
        </w:rPr>
        <w:t xml:space="preserve"> includes the following:</w:t>
      </w:r>
    </w:p>
    <w:p w14:paraId="19A2DE70" w14:textId="77777777" w:rsidR="00CB7EF7" w:rsidRPr="00097CC3" w:rsidRDefault="00CB7EF7" w:rsidP="00BA3506">
      <w:pPr>
        <w:numPr>
          <w:ilvl w:val="0"/>
          <w:numId w:val="30"/>
        </w:numPr>
        <w:suppressAutoHyphens w:val="0"/>
        <w:spacing w:after="120" w:line="240" w:lineRule="atLeast"/>
        <w:rPr>
          <w:rFonts w:ascii="Calibri" w:hAnsi="Calibri" w:cs="Calibri"/>
          <w:sz w:val="22"/>
        </w:rPr>
      </w:pPr>
      <w:hyperlink r:id="rId10" w:history="1">
        <w:r w:rsidRPr="00097CC3">
          <w:rPr>
            <w:rStyle w:val="Hyperlink"/>
            <w:rFonts w:ascii="Calibri" w:hAnsi="Calibri" w:cs="Calibri"/>
            <w:sz w:val="22"/>
          </w:rPr>
          <w:t>Charter of the United Nations Act 1945</w:t>
        </w:r>
      </w:hyperlink>
    </w:p>
    <w:p w14:paraId="183C1EF2" w14:textId="77777777" w:rsidR="00CB7EF7" w:rsidRPr="00097CC3" w:rsidRDefault="00CB7EF7" w:rsidP="00BA3506">
      <w:pPr>
        <w:numPr>
          <w:ilvl w:val="0"/>
          <w:numId w:val="30"/>
        </w:numPr>
        <w:suppressAutoHyphens w:val="0"/>
        <w:spacing w:after="120" w:line="240" w:lineRule="atLeast"/>
        <w:rPr>
          <w:rFonts w:ascii="Calibri" w:hAnsi="Calibri" w:cs="Calibri"/>
          <w:sz w:val="22"/>
        </w:rPr>
      </w:pPr>
      <w:hyperlink r:id="rId11" w:history="1">
        <w:r w:rsidRPr="00097CC3">
          <w:rPr>
            <w:rStyle w:val="Hyperlink"/>
            <w:rFonts w:ascii="Calibri" w:hAnsi="Calibri" w:cs="Calibri"/>
            <w:sz w:val="22"/>
          </w:rPr>
          <w:t>Charter of the United Nations (Sanctions – Lebanon) Regulations 2008</w:t>
        </w:r>
      </w:hyperlink>
    </w:p>
    <w:p w14:paraId="557BDC7D" w14:textId="77777777" w:rsidR="00CB7EF7" w:rsidRPr="00097CC3" w:rsidRDefault="00CB7EF7" w:rsidP="00BA3506">
      <w:pPr>
        <w:numPr>
          <w:ilvl w:val="0"/>
          <w:numId w:val="30"/>
        </w:numPr>
        <w:suppressAutoHyphens w:val="0"/>
        <w:spacing w:after="120" w:line="240" w:lineRule="atLeast"/>
        <w:rPr>
          <w:rFonts w:ascii="Calibri" w:hAnsi="Calibri" w:cs="Calibri"/>
          <w:sz w:val="22"/>
        </w:rPr>
      </w:pPr>
      <w:hyperlink r:id="rId12" w:history="1">
        <w:r w:rsidRPr="00097CC3">
          <w:rPr>
            <w:rStyle w:val="Hyperlink"/>
            <w:rFonts w:ascii="Calibri" w:hAnsi="Calibri" w:cs="Calibri"/>
            <w:sz w:val="22"/>
          </w:rPr>
          <w:t>Charter of the United Nations (Dealing with Assets) Regulations 2008</w:t>
        </w:r>
      </w:hyperlink>
    </w:p>
    <w:p w14:paraId="0BC6988E" w14:textId="77777777" w:rsidR="00CB7EF7" w:rsidRPr="00097CC3" w:rsidRDefault="00CB7EF7" w:rsidP="00BA3506">
      <w:pPr>
        <w:numPr>
          <w:ilvl w:val="0"/>
          <w:numId w:val="30"/>
        </w:numPr>
        <w:suppressAutoHyphens w:val="0"/>
        <w:spacing w:after="120" w:line="240" w:lineRule="atLeast"/>
        <w:rPr>
          <w:rFonts w:ascii="Calibri" w:hAnsi="Calibri" w:cs="Calibri"/>
          <w:sz w:val="22"/>
        </w:rPr>
      </w:pPr>
      <w:hyperlink r:id="rId13" w:history="1">
        <w:r w:rsidRPr="00097CC3">
          <w:rPr>
            <w:rStyle w:val="Hyperlink"/>
            <w:rFonts w:ascii="Calibri" w:hAnsi="Calibri" w:cs="Calibri"/>
            <w:sz w:val="22"/>
          </w:rPr>
          <w:t>Customs (Prohibited Exports) Regulations 1958</w:t>
        </w:r>
      </w:hyperlink>
    </w:p>
    <w:p w14:paraId="5CD73DB3" w14:textId="77777777" w:rsidR="00CB7EF7" w:rsidRPr="00097CC3" w:rsidRDefault="00CB7EF7" w:rsidP="00BA3506">
      <w:pPr>
        <w:numPr>
          <w:ilvl w:val="0"/>
          <w:numId w:val="30"/>
        </w:numPr>
        <w:suppressAutoHyphens w:val="0"/>
        <w:spacing w:after="120" w:line="240" w:lineRule="atLeast"/>
        <w:rPr>
          <w:rFonts w:ascii="Calibri" w:hAnsi="Calibri" w:cs="Calibri"/>
          <w:sz w:val="22"/>
        </w:rPr>
      </w:pPr>
      <w:hyperlink r:id="rId14" w:history="1">
        <w:r w:rsidRPr="00097CC3">
          <w:rPr>
            <w:rStyle w:val="Hyperlink"/>
            <w:rFonts w:ascii="Calibri" w:hAnsi="Calibri" w:cs="Calibri"/>
            <w:sz w:val="22"/>
          </w:rPr>
          <w:t>Migration (United Nations Security Council Resolutions) Regulations 2007</w:t>
        </w:r>
      </w:hyperlink>
    </w:p>
    <w:p w14:paraId="0030C0F4" w14:textId="77777777" w:rsidR="00BA3506" w:rsidRPr="001A6190" w:rsidRDefault="00BA3506" w:rsidP="00424D93">
      <w:pPr>
        <w:pStyle w:val="H2-Heading2"/>
      </w:pPr>
      <w:r w:rsidRPr="001A6190">
        <w:t>Where can I get more information?</w:t>
      </w:r>
    </w:p>
    <w:p w14:paraId="69670803" w14:textId="77777777" w:rsidR="00BA3506" w:rsidRPr="001A6190" w:rsidRDefault="00BA3506" w:rsidP="00BA3506">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5"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30AB3DD9" w14:textId="77777777" w:rsidR="00BA3506" w:rsidRPr="001A6190" w:rsidRDefault="00BA3506" w:rsidP="00BA3506">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6" w:history="1">
        <w:r w:rsidRPr="001A6190">
          <w:rPr>
            <w:rStyle w:val="Hyperlink"/>
            <w:rFonts w:ascii="Calibri" w:eastAsia="Calibri" w:hAnsi="Calibri" w:cs="Calibri"/>
            <w:sz w:val="22"/>
            <w:szCs w:val="22"/>
            <w:lang w:val="en-GB" w:eastAsia="en-US"/>
          </w:rPr>
          <w:t>sanctions@dfat.gov.au</w:t>
        </w:r>
      </w:hyperlink>
    </w:p>
    <w:p w14:paraId="34707F21" w14:textId="77777777" w:rsidR="00BA3506" w:rsidRPr="001A6190" w:rsidRDefault="00BA3506" w:rsidP="00BA3506">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7"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5AC9F1E6" w14:textId="7088775B" w:rsidR="00BA3506" w:rsidRPr="0043027E" w:rsidRDefault="00BA3506" w:rsidP="00BA3506">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r>
        <w:rPr>
          <w:rFonts w:ascii="Calibri" w:eastAsia="Calibri" w:hAnsi="Calibri" w:cs="Calibri"/>
          <w:b/>
          <w:bCs/>
          <w:iCs/>
          <w:color w:val="A20000"/>
          <w:sz w:val="18"/>
          <w:szCs w:val="18"/>
          <w:lang w:val="en-GB" w:eastAsia="en-US"/>
        </w:rPr>
        <w:t>.</w:t>
      </w:r>
    </w:p>
    <w:sectPr w:rsidR="00BA3506" w:rsidRPr="0043027E" w:rsidSect="007F6492">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D995" w14:textId="77777777" w:rsidR="00F96101" w:rsidRDefault="00F96101" w:rsidP="00EE32FE">
      <w:pPr>
        <w:spacing w:after="0" w:line="240" w:lineRule="auto"/>
      </w:pPr>
      <w:r>
        <w:separator/>
      </w:r>
    </w:p>
  </w:endnote>
  <w:endnote w:type="continuationSeparator" w:id="0">
    <w:p w14:paraId="1E03376F" w14:textId="77777777" w:rsidR="00F96101" w:rsidRDefault="00F96101" w:rsidP="00EE32FE">
      <w:pPr>
        <w:spacing w:after="0" w:line="240" w:lineRule="auto"/>
      </w:pPr>
      <w:r>
        <w:continuationSeparator/>
      </w:r>
    </w:p>
  </w:endnote>
  <w:endnote w:type="continuationNotice" w:id="1">
    <w:p w14:paraId="49C90C2D" w14:textId="77777777" w:rsidR="00F96101" w:rsidRDefault="00F961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87AF" w14:textId="77777777" w:rsidR="00E67094" w:rsidRDefault="00E6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3A4D7" w14:textId="77777777" w:rsidR="00F96101" w:rsidRDefault="00F96101" w:rsidP="00EE32FE">
      <w:pPr>
        <w:spacing w:after="0" w:line="240" w:lineRule="auto"/>
      </w:pPr>
      <w:bookmarkStart w:id="0" w:name="_Hlk127364773"/>
      <w:bookmarkEnd w:id="0"/>
      <w:r>
        <w:separator/>
      </w:r>
    </w:p>
  </w:footnote>
  <w:footnote w:type="continuationSeparator" w:id="0">
    <w:p w14:paraId="5CB3CE9A" w14:textId="77777777" w:rsidR="00F96101" w:rsidRDefault="00F96101" w:rsidP="00EE32FE">
      <w:pPr>
        <w:spacing w:after="0" w:line="240" w:lineRule="auto"/>
      </w:pPr>
      <w:r>
        <w:continuationSeparator/>
      </w:r>
    </w:p>
  </w:footnote>
  <w:footnote w:type="continuationNotice" w:id="1">
    <w:p w14:paraId="0A631CC2" w14:textId="77777777" w:rsidR="00F96101" w:rsidRDefault="00F961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3489" w14:textId="77777777" w:rsidR="00E67094" w:rsidRDefault="00E67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1D7C2516">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3BBFF8AB" w:rsidR="00F74B5D" w:rsidRPr="007F6492" w:rsidRDefault="007F6492" w:rsidP="00E67094">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E6709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3BBFF8AB" w:rsidR="00F74B5D" w:rsidRPr="007F6492" w:rsidRDefault="007F6492" w:rsidP="00E67094">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E6709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4EB38226">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04157E19" w:rsidR="00F74B5D" w:rsidRPr="007F6492" w:rsidRDefault="007F6492" w:rsidP="00E67094">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E6709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04157E19" w:rsidR="00F74B5D" w:rsidRPr="007F6492" w:rsidRDefault="007F6492" w:rsidP="00E67094">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E6709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3"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7"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8"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9"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3" w15:restartNumberingAfterBreak="0">
    <w:nsid w:val="3EC41A2D"/>
    <w:multiLevelType w:val="multilevel"/>
    <w:tmpl w:val="C5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0"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3"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7"/>
  </w:num>
  <w:num w:numId="2" w16cid:durableId="1828091873">
    <w:abstractNumId w:val="6"/>
  </w:num>
  <w:num w:numId="3" w16cid:durableId="2005669602">
    <w:abstractNumId w:val="2"/>
  </w:num>
  <w:num w:numId="4" w16cid:durableId="275605714">
    <w:abstractNumId w:val="9"/>
  </w:num>
  <w:num w:numId="5" w16cid:durableId="1999454773">
    <w:abstractNumId w:val="9"/>
    <w:lvlOverride w:ilvl="0">
      <w:startOverride w:val="1"/>
    </w:lvlOverride>
  </w:num>
  <w:num w:numId="6" w16cid:durableId="747845784">
    <w:abstractNumId w:val="9"/>
    <w:lvlOverride w:ilvl="0">
      <w:startOverride w:val="1"/>
    </w:lvlOverride>
  </w:num>
  <w:num w:numId="7" w16cid:durableId="861363557">
    <w:abstractNumId w:val="14"/>
  </w:num>
  <w:num w:numId="8" w16cid:durableId="1596094065">
    <w:abstractNumId w:val="4"/>
  </w:num>
  <w:num w:numId="9" w16cid:durableId="1268003391">
    <w:abstractNumId w:val="9"/>
    <w:lvlOverride w:ilvl="0">
      <w:startOverride w:val="1"/>
    </w:lvlOverride>
  </w:num>
  <w:num w:numId="10" w16cid:durableId="1057706030">
    <w:abstractNumId w:val="9"/>
    <w:lvlOverride w:ilvl="0">
      <w:startOverride w:val="1"/>
    </w:lvlOverride>
  </w:num>
  <w:num w:numId="11" w16cid:durableId="261258166">
    <w:abstractNumId w:val="9"/>
    <w:lvlOverride w:ilvl="0">
      <w:startOverride w:val="1"/>
    </w:lvlOverride>
  </w:num>
  <w:num w:numId="12" w16cid:durableId="637806003">
    <w:abstractNumId w:val="22"/>
  </w:num>
  <w:num w:numId="13" w16cid:durableId="40903924">
    <w:abstractNumId w:val="1"/>
  </w:num>
  <w:num w:numId="14" w16cid:durableId="1045452493">
    <w:abstractNumId w:val="19"/>
  </w:num>
  <w:num w:numId="15" w16cid:durableId="301816347">
    <w:abstractNumId w:val="12"/>
  </w:num>
  <w:num w:numId="16" w16cid:durableId="168299835">
    <w:abstractNumId w:val="8"/>
  </w:num>
  <w:num w:numId="17" w16cid:durableId="1655992847">
    <w:abstractNumId w:val="18"/>
  </w:num>
  <w:num w:numId="18" w16cid:durableId="981034831">
    <w:abstractNumId w:val="21"/>
  </w:num>
  <w:num w:numId="19" w16cid:durableId="1494180434">
    <w:abstractNumId w:val="23"/>
  </w:num>
  <w:num w:numId="20" w16cid:durableId="541133819">
    <w:abstractNumId w:val="11"/>
  </w:num>
  <w:num w:numId="21" w16cid:durableId="6955581">
    <w:abstractNumId w:val="17"/>
  </w:num>
  <w:num w:numId="22" w16cid:durableId="977566466">
    <w:abstractNumId w:val="3"/>
  </w:num>
  <w:num w:numId="23" w16cid:durableId="1055809684">
    <w:abstractNumId w:val="20"/>
  </w:num>
  <w:num w:numId="24" w16cid:durableId="1176649159">
    <w:abstractNumId w:val="5"/>
  </w:num>
  <w:num w:numId="25" w16cid:durableId="1595627187">
    <w:abstractNumId w:val="10"/>
  </w:num>
  <w:num w:numId="26" w16cid:durableId="1294023004">
    <w:abstractNumId w:val="16"/>
  </w:num>
  <w:num w:numId="27" w16cid:durableId="667751827">
    <w:abstractNumId w:val="24"/>
  </w:num>
  <w:num w:numId="28" w16cid:durableId="1971134082">
    <w:abstractNumId w:val="15"/>
  </w:num>
  <w:num w:numId="29" w16cid:durableId="1111820970">
    <w:abstractNumId w:val="0"/>
  </w:num>
  <w:num w:numId="30" w16cid:durableId="1267420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61748"/>
    <w:rsid w:val="0007092D"/>
    <w:rsid w:val="00085465"/>
    <w:rsid w:val="000906EA"/>
    <w:rsid w:val="00092F27"/>
    <w:rsid w:val="00095224"/>
    <w:rsid w:val="000B2F34"/>
    <w:rsid w:val="000C2ABD"/>
    <w:rsid w:val="000D74E6"/>
    <w:rsid w:val="000F1407"/>
    <w:rsid w:val="000F5CFA"/>
    <w:rsid w:val="001030C0"/>
    <w:rsid w:val="00130AA1"/>
    <w:rsid w:val="00136910"/>
    <w:rsid w:val="001405B7"/>
    <w:rsid w:val="00141ACA"/>
    <w:rsid w:val="00154402"/>
    <w:rsid w:val="001869DB"/>
    <w:rsid w:val="0019463F"/>
    <w:rsid w:val="00196680"/>
    <w:rsid w:val="001C11C6"/>
    <w:rsid w:val="001D29C1"/>
    <w:rsid w:val="001E164F"/>
    <w:rsid w:val="0021791D"/>
    <w:rsid w:val="00221470"/>
    <w:rsid w:val="00232F10"/>
    <w:rsid w:val="00240916"/>
    <w:rsid w:val="00245819"/>
    <w:rsid w:val="00246196"/>
    <w:rsid w:val="00250ABF"/>
    <w:rsid w:val="00264DA3"/>
    <w:rsid w:val="00271AA6"/>
    <w:rsid w:val="002903BA"/>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B4BA8"/>
    <w:rsid w:val="003C5891"/>
    <w:rsid w:val="003E4C27"/>
    <w:rsid w:val="004003B1"/>
    <w:rsid w:val="00402CDC"/>
    <w:rsid w:val="004041C7"/>
    <w:rsid w:val="00424D93"/>
    <w:rsid w:val="00457D99"/>
    <w:rsid w:val="00497A7E"/>
    <w:rsid w:val="004B1CC3"/>
    <w:rsid w:val="004B5D76"/>
    <w:rsid w:val="004B7115"/>
    <w:rsid w:val="004C2D06"/>
    <w:rsid w:val="004D1D79"/>
    <w:rsid w:val="004D1D85"/>
    <w:rsid w:val="00515171"/>
    <w:rsid w:val="005216C6"/>
    <w:rsid w:val="0052724F"/>
    <w:rsid w:val="00533265"/>
    <w:rsid w:val="00545162"/>
    <w:rsid w:val="00562DAD"/>
    <w:rsid w:val="00572A9A"/>
    <w:rsid w:val="00586965"/>
    <w:rsid w:val="00592E1A"/>
    <w:rsid w:val="00595180"/>
    <w:rsid w:val="005A4153"/>
    <w:rsid w:val="005A45E3"/>
    <w:rsid w:val="005A714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6F57CC"/>
    <w:rsid w:val="00700D1C"/>
    <w:rsid w:val="00703F0C"/>
    <w:rsid w:val="00703FAC"/>
    <w:rsid w:val="007132C8"/>
    <w:rsid w:val="007332ED"/>
    <w:rsid w:val="007514EF"/>
    <w:rsid w:val="00790F87"/>
    <w:rsid w:val="00791418"/>
    <w:rsid w:val="0079447C"/>
    <w:rsid w:val="0079728E"/>
    <w:rsid w:val="007B2612"/>
    <w:rsid w:val="007C5166"/>
    <w:rsid w:val="007D219F"/>
    <w:rsid w:val="007E0016"/>
    <w:rsid w:val="007E1745"/>
    <w:rsid w:val="007F0B51"/>
    <w:rsid w:val="007F63D7"/>
    <w:rsid w:val="007F6492"/>
    <w:rsid w:val="0083629D"/>
    <w:rsid w:val="00845374"/>
    <w:rsid w:val="0086112F"/>
    <w:rsid w:val="0086423F"/>
    <w:rsid w:val="00864660"/>
    <w:rsid w:val="008778CC"/>
    <w:rsid w:val="008845CC"/>
    <w:rsid w:val="00887A0A"/>
    <w:rsid w:val="008A226C"/>
    <w:rsid w:val="008B5A4C"/>
    <w:rsid w:val="008C2577"/>
    <w:rsid w:val="008E0018"/>
    <w:rsid w:val="00927E4F"/>
    <w:rsid w:val="009524F0"/>
    <w:rsid w:val="009550C6"/>
    <w:rsid w:val="0096463B"/>
    <w:rsid w:val="00975C47"/>
    <w:rsid w:val="009C677E"/>
    <w:rsid w:val="009E2354"/>
    <w:rsid w:val="00A01D6E"/>
    <w:rsid w:val="00A02589"/>
    <w:rsid w:val="00A1504A"/>
    <w:rsid w:val="00A4001E"/>
    <w:rsid w:val="00A560AF"/>
    <w:rsid w:val="00A63C72"/>
    <w:rsid w:val="00AA6ACC"/>
    <w:rsid w:val="00AB2A87"/>
    <w:rsid w:val="00AC2D6F"/>
    <w:rsid w:val="00AC497D"/>
    <w:rsid w:val="00AC5E22"/>
    <w:rsid w:val="00AE7645"/>
    <w:rsid w:val="00AF7C26"/>
    <w:rsid w:val="00B24207"/>
    <w:rsid w:val="00B323DC"/>
    <w:rsid w:val="00B37D7D"/>
    <w:rsid w:val="00B64A07"/>
    <w:rsid w:val="00B70166"/>
    <w:rsid w:val="00B7130E"/>
    <w:rsid w:val="00BA3506"/>
    <w:rsid w:val="00BB4E0A"/>
    <w:rsid w:val="00BC4022"/>
    <w:rsid w:val="00BD73C6"/>
    <w:rsid w:val="00BE66F7"/>
    <w:rsid w:val="00BF5F03"/>
    <w:rsid w:val="00C02DDF"/>
    <w:rsid w:val="00C328FF"/>
    <w:rsid w:val="00C36F35"/>
    <w:rsid w:val="00C40760"/>
    <w:rsid w:val="00C6065A"/>
    <w:rsid w:val="00C60EBF"/>
    <w:rsid w:val="00C73502"/>
    <w:rsid w:val="00C75A18"/>
    <w:rsid w:val="00CA5C68"/>
    <w:rsid w:val="00CB7EF7"/>
    <w:rsid w:val="00CF14DB"/>
    <w:rsid w:val="00CF4E8C"/>
    <w:rsid w:val="00D019C2"/>
    <w:rsid w:val="00D13028"/>
    <w:rsid w:val="00D700C8"/>
    <w:rsid w:val="00D96326"/>
    <w:rsid w:val="00DA6024"/>
    <w:rsid w:val="00DB08C7"/>
    <w:rsid w:val="00DB14F3"/>
    <w:rsid w:val="00DD3AE1"/>
    <w:rsid w:val="00DD3CA3"/>
    <w:rsid w:val="00DD66A7"/>
    <w:rsid w:val="00DF79EE"/>
    <w:rsid w:val="00E0055D"/>
    <w:rsid w:val="00E140FB"/>
    <w:rsid w:val="00E149B9"/>
    <w:rsid w:val="00E32042"/>
    <w:rsid w:val="00E363E8"/>
    <w:rsid w:val="00E66C99"/>
    <w:rsid w:val="00E67094"/>
    <w:rsid w:val="00E93A90"/>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96101"/>
    <w:rsid w:val="00FB262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887A0A"/>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6F57CC"/>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3E4C27"/>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3E4C27"/>
    <w:rPr>
      <w:sz w:val="16"/>
      <w:szCs w:val="16"/>
    </w:rPr>
  </w:style>
  <w:style w:type="paragraph" w:styleId="CommentText">
    <w:name w:val="annotation text"/>
    <w:basedOn w:val="Normal"/>
    <w:link w:val="CommentTextChar"/>
    <w:uiPriority w:val="99"/>
    <w:unhideWhenUsed/>
    <w:rsid w:val="003E4C27"/>
    <w:pPr>
      <w:spacing w:line="240" w:lineRule="auto"/>
    </w:pPr>
    <w:rPr>
      <w:sz w:val="20"/>
      <w:szCs w:val="20"/>
    </w:rPr>
  </w:style>
  <w:style w:type="character" w:customStyle="1" w:styleId="CommentTextChar">
    <w:name w:val="Comment Text Char"/>
    <w:basedOn w:val="DefaultParagraphFont"/>
    <w:link w:val="CommentText"/>
    <w:uiPriority w:val="99"/>
    <w:rsid w:val="003E4C27"/>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3E4C27"/>
    <w:rPr>
      <w:b/>
      <w:bCs/>
    </w:rPr>
  </w:style>
  <w:style w:type="character" w:customStyle="1" w:styleId="CommentSubjectChar">
    <w:name w:val="Comment Subject Char"/>
    <w:basedOn w:val="CommentTextChar"/>
    <w:link w:val="CommentSubject"/>
    <w:uiPriority w:val="99"/>
    <w:semiHidden/>
    <w:rsid w:val="003E4C27"/>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BA3506"/>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exporting/export-controls-framework/defence-strategic-goods-list" TargetMode="External"/><Relationship Id="rId13" Type="http://schemas.openxmlformats.org/officeDocument/2006/relationships/hyperlink" Target="https://www.legislation.gov.au/F1996B03403/latest/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F2008L00917/latest/text" TargetMode="External"/><Relationship Id="rId17" Type="http://schemas.openxmlformats.org/officeDocument/2006/relationships/hyperlink" Target="https://www.dfat.gov.au/international-relations/security/sanctions/contacts-and-lin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ctions@df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1C002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international-relations/security/sanctions" TargetMode="External"/><Relationship Id="rId23" Type="http://schemas.openxmlformats.org/officeDocument/2006/relationships/footer" Target="footer3.xml"/><Relationship Id="rId10" Type="http://schemas.openxmlformats.org/officeDocument/2006/relationships/hyperlink" Target="https://www.legislation.gov.au/C1945A00032/latest/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fat.gov.au/international-relations/security/sanctions/consolidated-list" TargetMode="External"/><Relationship Id="rId14" Type="http://schemas.openxmlformats.org/officeDocument/2006/relationships/hyperlink" Target="https://www.legislation.gov.au/Details/F2007L0179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4052</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Snapshot - Lebanon sanctions frameworks</vt:lpstr>
    </vt:vector>
  </TitlesOfParts>
  <Company/>
  <LinksUpToDate>false</LinksUpToDate>
  <CharactersWithSpaces>4736</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Lebanon sanctions frameworks</dc:title>
  <dc:subject/>
  <dc:creator/>
  <cp:keywords>[SEC=OFFICIAL]</cp:keywords>
  <dc:description/>
  <cp:lastModifiedBy/>
  <cp:revision>1</cp:revision>
  <dcterms:created xsi:type="dcterms:W3CDTF">2025-06-12T05:07:00Z</dcterms:created>
  <dcterms:modified xsi:type="dcterms:W3CDTF">2025-06-12T05:13:00Z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v=2022.1;a=SHA256;h=293A772B09D08AE244E6B8676D6575979EDAD82BD41DCE1D51F9F1039946507F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0A64965BD6AF4E86BF725F75F7FA26D5</vt:lpwstr>
  </property>
  <property fmtid="{D5CDD505-2E9C-101B-9397-08002B2CF9AE}" pid="20" name="PM_Hash_Salt">
    <vt:lpwstr>C5DB7B859DC77D2237C6A10ACE5E87E0</vt:lpwstr>
  </property>
  <property fmtid="{D5CDD505-2E9C-101B-9397-08002B2CF9AE}" pid="21" name="PM_Hash_SHA1">
    <vt:lpwstr>56DADE6D677A2D6C426F02F67CCE31982AC4330C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