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3AB87" w14:textId="587D8340" w:rsidR="00913F38" w:rsidRPr="00BD70AC" w:rsidRDefault="00B6378D" w:rsidP="00BD70AC">
      <w:pPr>
        <w:pStyle w:val="Heading1"/>
      </w:pPr>
      <w:r w:rsidRPr="00BD70AC">
        <w:t xml:space="preserve">Australian </w:t>
      </w:r>
      <w:r w:rsidR="00C06039" w:rsidRPr="00BD70AC">
        <w:t>Sanctions Regulator - Performance Framework</w:t>
      </w:r>
    </w:p>
    <w:p w14:paraId="7CA83F45" w14:textId="77777777" w:rsidR="00C06039" w:rsidRPr="00E6296E" w:rsidRDefault="00C06039" w:rsidP="00C06039">
      <w:pPr>
        <w:jc w:val="center"/>
        <w:rPr>
          <w:b/>
          <w:sz w:val="23"/>
          <w:szCs w:val="23"/>
        </w:rPr>
      </w:pPr>
    </w:p>
    <w:tbl>
      <w:tblPr>
        <w:tblStyle w:val="TableGrid"/>
        <w:tblW w:w="14884" w:type="dxa"/>
        <w:tblInd w:w="-459" w:type="dxa"/>
        <w:tblLook w:val="04A0" w:firstRow="1" w:lastRow="0" w:firstColumn="1" w:lastColumn="0" w:noHBand="0" w:noVBand="1"/>
      </w:tblPr>
      <w:tblGrid>
        <w:gridCol w:w="3119"/>
        <w:gridCol w:w="6662"/>
        <w:gridCol w:w="5103"/>
      </w:tblGrid>
      <w:tr w:rsidR="00D727C8" w:rsidRPr="00E6296E" w14:paraId="7BD34C39" w14:textId="77777777" w:rsidTr="00BD70AC">
        <w:trPr>
          <w:tblHeader/>
        </w:trPr>
        <w:tc>
          <w:tcPr>
            <w:tcW w:w="3119" w:type="dxa"/>
            <w:shd w:val="clear" w:color="auto" w:fill="FABF8F" w:themeFill="accent6" w:themeFillTint="99"/>
          </w:tcPr>
          <w:p w14:paraId="5D90231D" w14:textId="77777777" w:rsidR="00D727C8" w:rsidRPr="00E6296E" w:rsidRDefault="00D727C8">
            <w:pPr>
              <w:rPr>
                <w:b/>
                <w:sz w:val="23"/>
                <w:szCs w:val="23"/>
              </w:rPr>
            </w:pPr>
            <w:r w:rsidRPr="00E6296E">
              <w:rPr>
                <w:b/>
                <w:sz w:val="23"/>
                <w:szCs w:val="23"/>
              </w:rPr>
              <w:t>Key Performance Indicator</w:t>
            </w:r>
            <w:r w:rsidR="00C06039" w:rsidRPr="00E6296E">
              <w:rPr>
                <w:b/>
                <w:sz w:val="23"/>
                <w:szCs w:val="23"/>
              </w:rPr>
              <w:t>s</w:t>
            </w:r>
          </w:p>
        </w:tc>
        <w:tc>
          <w:tcPr>
            <w:tcW w:w="6662" w:type="dxa"/>
            <w:shd w:val="clear" w:color="auto" w:fill="FABF8F" w:themeFill="accent6" w:themeFillTint="99"/>
          </w:tcPr>
          <w:p w14:paraId="7DA002D9" w14:textId="77777777" w:rsidR="00D727C8" w:rsidRPr="00E6296E" w:rsidRDefault="00D727C8">
            <w:pPr>
              <w:rPr>
                <w:b/>
                <w:sz w:val="23"/>
                <w:szCs w:val="23"/>
              </w:rPr>
            </w:pPr>
            <w:r w:rsidRPr="00E6296E">
              <w:rPr>
                <w:b/>
                <w:sz w:val="23"/>
                <w:szCs w:val="23"/>
              </w:rPr>
              <w:t>Relevance to Sanctions Administration</w:t>
            </w:r>
          </w:p>
        </w:tc>
        <w:tc>
          <w:tcPr>
            <w:tcW w:w="5103" w:type="dxa"/>
            <w:shd w:val="clear" w:color="auto" w:fill="FABF8F" w:themeFill="accent6" w:themeFillTint="99"/>
          </w:tcPr>
          <w:p w14:paraId="7E9A2D93" w14:textId="77777777" w:rsidR="00D727C8" w:rsidRPr="00E6296E" w:rsidRDefault="00D727C8">
            <w:pPr>
              <w:rPr>
                <w:b/>
                <w:sz w:val="23"/>
                <w:szCs w:val="23"/>
              </w:rPr>
            </w:pPr>
            <w:r w:rsidRPr="00E6296E">
              <w:rPr>
                <w:b/>
                <w:sz w:val="23"/>
                <w:szCs w:val="23"/>
              </w:rPr>
              <w:t>Metrics for Self-Assessment</w:t>
            </w:r>
          </w:p>
        </w:tc>
      </w:tr>
      <w:tr w:rsidR="00A511A9" w:rsidRPr="00E6296E" w14:paraId="4AE4B369" w14:textId="77777777" w:rsidTr="00E6296E">
        <w:trPr>
          <w:trHeight w:val="1563"/>
        </w:trPr>
        <w:tc>
          <w:tcPr>
            <w:tcW w:w="3119" w:type="dxa"/>
          </w:tcPr>
          <w:p w14:paraId="74200F3B" w14:textId="77777777" w:rsidR="00A511A9" w:rsidRPr="00E6296E" w:rsidRDefault="00A511A9" w:rsidP="00A511A9">
            <w:pPr>
              <w:rPr>
                <w:sz w:val="23"/>
                <w:szCs w:val="23"/>
              </w:rPr>
            </w:pPr>
            <w:r w:rsidRPr="00E6296E">
              <w:rPr>
                <w:b/>
                <w:sz w:val="23"/>
                <w:szCs w:val="23"/>
              </w:rPr>
              <w:t>KPI 1</w:t>
            </w:r>
            <w:r w:rsidRPr="00E6296E">
              <w:rPr>
                <w:sz w:val="23"/>
                <w:szCs w:val="23"/>
              </w:rPr>
              <w:t>: Regulators do not unnecessarily impede the efficient operation of regulated entities.</w:t>
            </w:r>
          </w:p>
        </w:tc>
        <w:tc>
          <w:tcPr>
            <w:tcW w:w="6662" w:type="dxa"/>
          </w:tcPr>
          <w:p w14:paraId="0910977F" w14:textId="77777777" w:rsidR="00A511A9" w:rsidRPr="00E6296E" w:rsidRDefault="00A511A9" w:rsidP="00A511A9">
            <w:pPr>
              <w:rPr>
                <w:sz w:val="23"/>
                <w:szCs w:val="23"/>
                <w:lang w:val="en-US"/>
              </w:rPr>
            </w:pPr>
            <w:r w:rsidRPr="00E6296E">
              <w:rPr>
                <w:sz w:val="23"/>
                <w:szCs w:val="23"/>
              </w:rPr>
              <w:t xml:space="preserve">Varied relevance. Sanctions are often designed to impede business and trade relationships with certain countries.  Within this context we aim to </w:t>
            </w:r>
            <w:proofErr w:type="gramStart"/>
            <w:r w:rsidRPr="00E6296E">
              <w:rPr>
                <w:sz w:val="23"/>
                <w:szCs w:val="23"/>
              </w:rPr>
              <w:t>clearly and efficiently respond to applications and inquiries</w:t>
            </w:r>
            <w:proofErr w:type="gramEnd"/>
            <w:r w:rsidRPr="00E6296E">
              <w:rPr>
                <w:sz w:val="23"/>
                <w:szCs w:val="23"/>
              </w:rPr>
              <w:t xml:space="preserve"> through the Online Sanctions Administration System (OSAS) and to administer </w:t>
            </w:r>
            <w:r w:rsidRPr="00E6296E">
              <w:rPr>
                <w:sz w:val="23"/>
                <w:szCs w:val="23"/>
                <w:lang w:val="en-US"/>
              </w:rPr>
              <w:t>Australian sanction laws diligently, but also in a way that facilitates trade wherever possible.</w:t>
            </w:r>
          </w:p>
          <w:p w14:paraId="0CF53343" w14:textId="0D26156C" w:rsidR="00B6378D" w:rsidRPr="00E6296E" w:rsidRDefault="00B6378D" w:rsidP="00A511A9">
            <w:pPr>
              <w:rPr>
                <w:sz w:val="23"/>
                <w:szCs w:val="23"/>
              </w:rPr>
            </w:pPr>
          </w:p>
        </w:tc>
        <w:tc>
          <w:tcPr>
            <w:tcW w:w="5103" w:type="dxa"/>
          </w:tcPr>
          <w:p w14:paraId="11A8DF07" w14:textId="77777777" w:rsidR="00A511A9" w:rsidRPr="00E6296E" w:rsidRDefault="00A511A9" w:rsidP="00A511A9">
            <w:pPr>
              <w:autoSpaceDE w:val="0"/>
              <w:autoSpaceDN w:val="0"/>
              <w:adjustRightInd w:val="0"/>
              <w:rPr>
                <w:sz w:val="23"/>
                <w:szCs w:val="23"/>
                <w:lang w:eastAsia="en-AU"/>
              </w:rPr>
            </w:pPr>
            <w:r w:rsidRPr="00E6296E">
              <w:rPr>
                <w:b/>
                <w:bCs/>
                <w:sz w:val="23"/>
                <w:szCs w:val="23"/>
                <w:lang w:eastAsia="en-AU"/>
              </w:rPr>
              <w:t>Metric 1</w:t>
            </w:r>
            <w:r w:rsidRPr="00E6296E">
              <w:rPr>
                <w:sz w:val="23"/>
                <w:szCs w:val="23"/>
                <w:lang w:eastAsia="en-AU"/>
              </w:rPr>
              <w:t>: ASO provides timely responses to formal applications and inquiries in the Online</w:t>
            </w:r>
          </w:p>
          <w:p w14:paraId="13554FD7" w14:textId="2C561E20" w:rsidR="00A511A9" w:rsidRPr="00E6296E" w:rsidRDefault="00A511A9" w:rsidP="00A511A9">
            <w:pPr>
              <w:pStyle w:val="TableParagraph"/>
              <w:spacing w:before="40"/>
              <w:rPr>
                <w:rFonts w:ascii="Times New Roman" w:hAnsi="Times New Roman" w:cs="Times New Roman"/>
                <w:sz w:val="23"/>
                <w:szCs w:val="23"/>
              </w:rPr>
            </w:pPr>
            <w:r w:rsidRPr="00E6296E">
              <w:rPr>
                <w:rFonts w:ascii="Times New Roman" w:hAnsi="Times New Roman" w:cs="Times New Roman"/>
                <w:sz w:val="23"/>
                <w:szCs w:val="23"/>
                <w:lang w:eastAsia="en-AU"/>
              </w:rPr>
              <w:t>Sanctions Administration System (OSAS).</w:t>
            </w:r>
            <w:r w:rsidR="00CE35B3" w:rsidRPr="00E6296E">
              <w:rPr>
                <w:rStyle w:val="FootnoteReference"/>
                <w:rFonts w:ascii="Times New Roman" w:hAnsi="Times New Roman" w:cs="Times New Roman"/>
                <w:sz w:val="23"/>
                <w:szCs w:val="23"/>
                <w:lang w:eastAsia="en-AU"/>
              </w:rPr>
              <w:footnoteReference w:id="1"/>
            </w:r>
          </w:p>
        </w:tc>
      </w:tr>
      <w:tr w:rsidR="00A511A9" w:rsidRPr="00E6296E" w14:paraId="04F13FBD" w14:textId="77777777" w:rsidTr="00E6296E">
        <w:tc>
          <w:tcPr>
            <w:tcW w:w="3119" w:type="dxa"/>
          </w:tcPr>
          <w:p w14:paraId="42C3A7D9" w14:textId="77777777" w:rsidR="00A511A9" w:rsidRPr="00E6296E" w:rsidRDefault="00A511A9" w:rsidP="00A511A9">
            <w:pPr>
              <w:rPr>
                <w:sz w:val="23"/>
                <w:szCs w:val="23"/>
              </w:rPr>
            </w:pPr>
            <w:r w:rsidRPr="00E6296E">
              <w:rPr>
                <w:b/>
                <w:sz w:val="23"/>
                <w:szCs w:val="23"/>
              </w:rPr>
              <w:t>KPI 2</w:t>
            </w:r>
            <w:r w:rsidRPr="00E6296E">
              <w:rPr>
                <w:sz w:val="23"/>
                <w:szCs w:val="23"/>
              </w:rPr>
              <w:t xml:space="preserve">: Communication with regulated entities is clear, </w:t>
            </w:r>
            <w:proofErr w:type="gramStart"/>
            <w:r w:rsidRPr="00E6296E">
              <w:rPr>
                <w:sz w:val="23"/>
                <w:szCs w:val="23"/>
              </w:rPr>
              <w:t>targeted</w:t>
            </w:r>
            <w:proofErr w:type="gramEnd"/>
            <w:r w:rsidRPr="00E6296E">
              <w:rPr>
                <w:sz w:val="23"/>
                <w:szCs w:val="23"/>
              </w:rPr>
              <w:t xml:space="preserve"> and effective.</w:t>
            </w:r>
          </w:p>
        </w:tc>
        <w:tc>
          <w:tcPr>
            <w:tcW w:w="6662" w:type="dxa"/>
          </w:tcPr>
          <w:p w14:paraId="670B0E77" w14:textId="77777777" w:rsidR="00A511A9" w:rsidRPr="00E6296E" w:rsidRDefault="00A511A9" w:rsidP="00A511A9">
            <w:pPr>
              <w:rPr>
                <w:sz w:val="23"/>
                <w:szCs w:val="23"/>
              </w:rPr>
            </w:pPr>
            <w:r w:rsidRPr="00E6296E">
              <w:rPr>
                <w:sz w:val="23"/>
                <w:szCs w:val="23"/>
              </w:rPr>
              <w:t xml:space="preserve">Relevant. Engagement with the business community and </w:t>
            </w:r>
            <w:proofErr w:type="gramStart"/>
            <w:r w:rsidRPr="00E6296E">
              <w:rPr>
                <w:sz w:val="23"/>
                <w:szCs w:val="23"/>
              </w:rPr>
              <w:t>general public</w:t>
            </w:r>
            <w:proofErr w:type="gramEnd"/>
            <w:r w:rsidRPr="00E6296E">
              <w:rPr>
                <w:sz w:val="23"/>
                <w:szCs w:val="23"/>
              </w:rPr>
              <w:t xml:space="preserve"> is essential to the effective administration of Australian sanctions laws.  </w:t>
            </w:r>
          </w:p>
        </w:tc>
        <w:tc>
          <w:tcPr>
            <w:tcW w:w="5103" w:type="dxa"/>
          </w:tcPr>
          <w:p w14:paraId="7C6A2FD6" w14:textId="2862AA7A" w:rsidR="00A511A9" w:rsidRPr="00E6296E" w:rsidRDefault="00A511A9" w:rsidP="00B6378D">
            <w:pPr>
              <w:autoSpaceDE w:val="0"/>
              <w:autoSpaceDN w:val="0"/>
              <w:adjustRightInd w:val="0"/>
              <w:rPr>
                <w:sz w:val="23"/>
                <w:szCs w:val="23"/>
                <w:lang w:eastAsia="en-AU"/>
              </w:rPr>
            </w:pPr>
            <w:r w:rsidRPr="00E6296E">
              <w:rPr>
                <w:b/>
                <w:bCs/>
                <w:sz w:val="23"/>
                <w:szCs w:val="23"/>
                <w:lang w:eastAsia="en-AU"/>
              </w:rPr>
              <w:t>Metric 2A</w:t>
            </w:r>
            <w:r w:rsidRPr="00E6296E">
              <w:rPr>
                <w:sz w:val="23"/>
                <w:szCs w:val="23"/>
                <w:lang w:eastAsia="en-AU"/>
              </w:rPr>
              <w:t xml:space="preserve">: DFAT Sanctions website is </w:t>
            </w:r>
            <w:proofErr w:type="gramStart"/>
            <w:r w:rsidRPr="00E6296E">
              <w:rPr>
                <w:sz w:val="23"/>
                <w:szCs w:val="23"/>
                <w:lang w:eastAsia="en-AU"/>
              </w:rPr>
              <w:t>current</w:t>
            </w:r>
            <w:proofErr w:type="gramEnd"/>
            <w:r w:rsidRPr="00E6296E">
              <w:rPr>
                <w:sz w:val="23"/>
                <w:szCs w:val="23"/>
                <w:lang w:eastAsia="en-AU"/>
              </w:rPr>
              <w:t xml:space="preserve"> and changes made within 2 business days</w:t>
            </w:r>
            <w:r w:rsidR="00B6378D" w:rsidRPr="00E6296E">
              <w:rPr>
                <w:sz w:val="23"/>
                <w:szCs w:val="23"/>
                <w:lang w:eastAsia="en-AU"/>
              </w:rPr>
              <w:t xml:space="preserve"> </w:t>
            </w:r>
            <w:r w:rsidRPr="00E6296E">
              <w:rPr>
                <w:sz w:val="23"/>
                <w:szCs w:val="23"/>
                <w:lang w:eastAsia="en-AU"/>
              </w:rPr>
              <w:t>of any regulatory change.</w:t>
            </w:r>
          </w:p>
          <w:p w14:paraId="522AB296" w14:textId="77777777" w:rsidR="00A511A9" w:rsidRPr="00E6296E" w:rsidRDefault="00A511A9" w:rsidP="00A511A9">
            <w:pPr>
              <w:pStyle w:val="TableParagraph"/>
              <w:spacing w:before="40"/>
              <w:ind w:left="103" w:right="426"/>
              <w:rPr>
                <w:rFonts w:ascii="Times New Roman" w:hAnsi="Times New Roman" w:cs="Times New Roman"/>
                <w:sz w:val="23"/>
                <w:szCs w:val="23"/>
                <w:lang w:eastAsia="en-AU"/>
              </w:rPr>
            </w:pPr>
          </w:p>
          <w:p w14:paraId="307087E9" w14:textId="77777777" w:rsidR="00A511A9" w:rsidRPr="00E6296E" w:rsidRDefault="00A511A9" w:rsidP="00A511A9">
            <w:pPr>
              <w:pStyle w:val="TableParagraph"/>
              <w:spacing w:before="40"/>
              <w:ind w:right="426"/>
              <w:rPr>
                <w:rFonts w:ascii="Times New Roman" w:hAnsi="Times New Roman" w:cs="Times New Roman"/>
                <w:sz w:val="23"/>
                <w:szCs w:val="23"/>
                <w:lang w:eastAsia="en-AU"/>
              </w:rPr>
            </w:pPr>
            <w:r w:rsidRPr="00E6296E">
              <w:rPr>
                <w:rFonts w:ascii="Times New Roman" w:hAnsi="Times New Roman" w:cs="Times New Roman"/>
                <w:b/>
                <w:bCs/>
                <w:sz w:val="23"/>
                <w:szCs w:val="23"/>
                <w:lang w:eastAsia="en-AU"/>
              </w:rPr>
              <w:t>Metric 2B</w:t>
            </w:r>
            <w:r w:rsidRPr="00E6296E">
              <w:rPr>
                <w:rFonts w:ascii="Times New Roman" w:hAnsi="Times New Roman" w:cs="Times New Roman"/>
                <w:sz w:val="23"/>
                <w:szCs w:val="23"/>
                <w:lang w:eastAsia="en-AU"/>
              </w:rPr>
              <w:t>: Regular, targeted outreach conducted with relevant stakeholders.</w:t>
            </w:r>
          </w:p>
          <w:p w14:paraId="54CAD8F0" w14:textId="5C908CA5" w:rsidR="00B6378D" w:rsidRPr="00E6296E" w:rsidRDefault="00B6378D" w:rsidP="00A511A9">
            <w:pPr>
              <w:pStyle w:val="TableParagraph"/>
              <w:spacing w:before="40"/>
              <w:ind w:right="426"/>
              <w:rPr>
                <w:rFonts w:ascii="Times New Roman" w:hAnsi="Times New Roman" w:cs="Times New Roman"/>
                <w:sz w:val="23"/>
                <w:szCs w:val="23"/>
                <w:lang w:eastAsia="en-AU"/>
              </w:rPr>
            </w:pPr>
          </w:p>
        </w:tc>
      </w:tr>
      <w:tr w:rsidR="00A511A9" w:rsidRPr="00E6296E" w14:paraId="7A974C15" w14:textId="77777777" w:rsidTr="00E6296E">
        <w:tc>
          <w:tcPr>
            <w:tcW w:w="3119" w:type="dxa"/>
          </w:tcPr>
          <w:p w14:paraId="3626F341" w14:textId="77777777" w:rsidR="00A511A9" w:rsidRPr="00E6296E" w:rsidRDefault="00A511A9" w:rsidP="00A511A9">
            <w:pPr>
              <w:rPr>
                <w:sz w:val="23"/>
                <w:szCs w:val="23"/>
              </w:rPr>
            </w:pPr>
            <w:r w:rsidRPr="00E6296E">
              <w:rPr>
                <w:b/>
                <w:sz w:val="23"/>
                <w:szCs w:val="23"/>
              </w:rPr>
              <w:t>KPI 3</w:t>
            </w:r>
            <w:r w:rsidRPr="00E6296E">
              <w:rPr>
                <w:sz w:val="23"/>
                <w:szCs w:val="23"/>
              </w:rPr>
              <w:t>: Actions undertaken by regulators are proportionate to the regulatory risk being managed.</w:t>
            </w:r>
          </w:p>
        </w:tc>
        <w:tc>
          <w:tcPr>
            <w:tcW w:w="6662" w:type="dxa"/>
          </w:tcPr>
          <w:p w14:paraId="636C29B2" w14:textId="77777777" w:rsidR="00A511A9" w:rsidRPr="00E6296E" w:rsidRDefault="00A511A9" w:rsidP="00A511A9">
            <w:pPr>
              <w:rPr>
                <w:sz w:val="23"/>
                <w:szCs w:val="23"/>
              </w:rPr>
            </w:pPr>
            <w:r w:rsidRPr="00E6296E">
              <w:rPr>
                <w:sz w:val="23"/>
                <w:szCs w:val="23"/>
              </w:rPr>
              <w:t xml:space="preserve">Varied relevance. Sanctions are not necessarily designed to manage a regulatory </w:t>
            </w:r>
            <w:proofErr w:type="gramStart"/>
            <w:r w:rsidRPr="00E6296E">
              <w:rPr>
                <w:sz w:val="23"/>
                <w:szCs w:val="23"/>
              </w:rPr>
              <w:t>risk, but</w:t>
            </w:r>
            <w:proofErr w:type="gramEnd"/>
            <w:r w:rsidRPr="00E6296E">
              <w:rPr>
                <w:sz w:val="23"/>
                <w:szCs w:val="23"/>
              </w:rPr>
              <w:t xml:space="preserve"> are a tool of UN policy and Australian foreign policy.  However, steps can be taken to ensure that the penalties for breaching sanctions laws is tailored to the offence, and that the level of decision making when administrating laws is at the appropriate administrative level.  </w:t>
            </w:r>
          </w:p>
          <w:p w14:paraId="0F4EC3EE" w14:textId="681AB3AF" w:rsidR="00B6378D" w:rsidRPr="00E6296E" w:rsidRDefault="00B6378D" w:rsidP="00A511A9">
            <w:pPr>
              <w:rPr>
                <w:sz w:val="23"/>
                <w:szCs w:val="23"/>
              </w:rPr>
            </w:pPr>
          </w:p>
        </w:tc>
        <w:tc>
          <w:tcPr>
            <w:tcW w:w="5103" w:type="dxa"/>
          </w:tcPr>
          <w:p w14:paraId="542A6CA8" w14:textId="5C26E4A0" w:rsidR="00A511A9" w:rsidRPr="00E6296E" w:rsidRDefault="00A511A9" w:rsidP="00A511A9">
            <w:pPr>
              <w:autoSpaceDE w:val="0"/>
              <w:autoSpaceDN w:val="0"/>
              <w:adjustRightInd w:val="0"/>
              <w:rPr>
                <w:sz w:val="23"/>
                <w:szCs w:val="23"/>
              </w:rPr>
            </w:pPr>
            <w:r w:rsidRPr="00E6296E">
              <w:rPr>
                <w:b/>
                <w:bCs/>
                <w:sz w:val="23"/>
                <w:szCs w:val="23"/>
                <w:lang w:eastAsia="en-AU"/>
              </w:rPr>
              <w:t xml:space="preserve">Metric 3: </w:t>
            </w:r>
            <w:r w:rsidRPr="00E6296E">
              <w:rPr>
                <w:sz w:val="23"/>
                <w:szCs w:val="23"/>
                <w:lang w:eastAsia="en-AU"/>
              </w:rPr>
              <w:t>ASO applies risk-informed processes with a view to reducing regulatory burden, including ensuring requests for supplementary information are reasonable and proportionate to regulatory risk.</w:t>
            </w:r>
          </w:p>
        </w:tc>
      </w:tr>
      <w:tr w:rsidR="00A511A9" w:rsidRPr="00E6296E" w14:paraId="62A78408" w14:textId="77777777" w:rsidTr="00E6296E">
        <w:tc>
          <w:tcPr>
            <w:tcW w:w="3119" w:type="dxa"/>
          </w:tcPr>
          <w:p w14:paraId="194EC6C7" w14:textId="77777777" w:rsidR="00A511A9" w:rsidRPr="00E6296E" w:rsidRDefault="00A511A9" w:rsidP="00A511A9">
            <w:pPr>
              <w:rPr>
                <w:sz w:val="23"/>
                <w:szCs w:val="23"/>
              </w:rPr>
            </w:pPr>
            <w:r w:rsidRPr="00E6296E">
              <w:rPr>
                <w:b/>
                <w:sz w:val="23"/>
                <w:szCs w:val="23"/>
              </w:rPr>
              <w:t>KPI 4</w:t>
            </w:r>
            <w:r w:rsidRPr="00E6296E">
              <w:rPr>
                <w:sz w:val="23"/>
                <w:szCs w:val="23"/>
              </w:rPr>
              <w:t>: Compliance and monitoring approaches are streamlined and coordinated.</w:t>
            </w:r>
          </w:p>
        </w:tc>
        <w:tc>
          <w:tcPr>
            <w:tcW w:w="6662" w:type="dxa"/>
          </w:tcPr>
          <w:p w14:paraId="7E2C9196" w14:textId="77777777" w:rsidR="00A511A9" w:rsidRPr="00E6296E" w:rsidRDefault="00A511A9" w:rsidP="00A511A9">
            <w:pPr>
              <w:rPr>
                <w:sz w:val="23"/>
                <w:szCs w:val="23"/>
              </w:rPr>
            </w:pPr>
            <w:r w:rsidRPr="00E6296E">
              <w:rPr>
                <w:sz w:val="23"/>
                <w:szCs w:val="23"/>
              </w:rPr>
              <w:t>A company does not commit an offence under a sanctions law if the company can show that it took reasonable precautions and exercised due diligence. Accordingly, monitoring and compliance already rests with those best placed to assess risk – namely businesses.</w:t>
            </w:r>
          </w:p>
        </w:tc>
        <w:tc>
          <w:tcPr>
            <w:tcW w:w="5103" w:type="dxa"/>
          </w:tcPr>
          <w:p w14:paraId="5B5F920D" w14:textId="6423D064" w:rsidR="00B6378D" w:rsidRPr="00E6296E" w:rsidRDefault="00A511A9" w:rsidP="00B6378D">
            <w:pPr>
              <w:autoSpaceDE w:val="0"/>
              <w:autoSpaceDN w:val="0"/>
              <w:adjustRightInd w:val="0"/>
              <w:rPr>
                <w:sz w:val="23"/>
                <w:szCs w:val="23"/>
                <w:lang w:eastAsia="en-AU"/>
              </w:rPr>
            </w:pPr>
            <w:r w:rsidRPr="00E6296E">
              <w:rPr>
                <w:b/>
                <w:bCs/>
                <w:sz w:val="23"/>
                <w:szCs w:val="23"/>
                <w:lang w:eastAsia="en-AU"/>
              </w:rPr>
              <w:t>Metric 4A</w:t>
            </w:r>
            <w:r w:rsidRPr="00E6296E">
              <w:rPr>
                <w:sz w:val="23"/>
                <w:szCs w:val="23"/>
                <w:lang w:eastAsia="en-AU"/>
              </w:rPr>
              <w:t>: ASO coordinates compliance and monitoring activities with other relevant</w:t>
            </w:r>
            <w:r w:rsidR="00633DC5" w:rsidRPr="00E6296E">
              <w:rPr>
                <w:sz w:val="23"/>
                <w:szCs w:val="23"/>
                <w:lang w:eastAsia="en-AU"/>
              </w:rPr>
              <w:t xml:space="preserve"> </w:t>
            </w:r>
            <w:r w:rsidRPr="00E6296E">
              <w:rPr>
                <w:sz w:val="23"/>
                <w:szCs w:val="23"/>
                <w:lang w:eastAsia="en-AU"/>
              </w:rPr>
              <w:t>agencies.</w:t>
            </w:r>
            <w:r w:rsidR="00B6378D" w:rsidRPr="00E6296E">
              <w:rPr>
                <w:sz w:val="23"/>
                <w:szCs w:val="23"/>
                <w:lang w:eastAsia="en-AU"/>
              </w:rPr>
              <w:t xml:space="preserve"> </w:t>
            </w:r>
          </w:p>
          <w:p w14:paraId="5D72DA6A" w14:textId="77777777" w:rsidR="00B6378D" w:rsidRPr="00E6296E" w:rsidRDefault="00B6378D" w:rsidP="00B6378D">
            <w:pPr>
              <w:autoSpaceDE w:val="0"/>
              <w:autoSpaceDN w:val="0"/>
              <w:adjustRightInd w:val="0"/>
              <w:rPr>
                <w:b/>
                <w:bCs/>
                <w:sz w:val="23"/>
                <w:szCs w:val="23"/>
                <w:lang w:eastAsia="en-AU"/>
              </w:rPr>
            </w:pPr>
          </w:p>
          <w:p w14:paraId="1F38EEE9" w14:textId="08CB1B6C" w:rsidR="00A511A9" w:rsidRPr="00E6296E" w:rsidRDefault="00A511A9" w:rsidP="00B6378D">
            <w:pPr>
              <w:autoSpaceDE w:val="0"/>
              <w:autoSpaceDN w:val="0"/>
              <w:adjustRightInd w:val="0"/>
              <w:rPr>
                <w:sz w:val="23"/>
                <w:szCs w:val="23"/>
                <w:lang w:eastAsia="en-AU"/>
              </w:rPr>
            </w:pPr>
            <w:r w:rsidRPr="00E6296E">
              <w:rPr>
                <w:b/>
                <w:bCs/>
                <w:sz w:val="23"/>
                <w:szCs w:val="23"/>
                <w:lang w:eastAsia="en-AU"/>
              </w:rPr>
              <w:t xml:space="preserve">Metric 4B: </w:t>
            </w:r>
            <w:r w:rsidRPr="00E6296E">
              <w:rPr>
                <w:sz w:val="23"/>
                <w:szCs w:val="23"/>
                <w:lang w:eastAsia="en-AU"/>
              </w:rPr>
              <w:t>ASO engages with businesses to increase understanding of, and</w:t>
            </w:r>
            <w:r w:rsidR="00B6378D" w:rsidRPr="00E6296E">
              <w:rPr>
                <w:sz w:val="23"/>
                <w:szCs w:val="23"/>
                <w:lang w:eastAsia="en-AU"/>
              </w:rPr>
              <w:t xml:space="preserve"> </w:t>
            </w:r>
            <w:r w:rsidRPr="00E6296E">
              <w:rPr>
                <w:sz w:val="23"/>
                <w:szCs w:val="23"/>
                <w:lang w:eastAsia="en-AU"/>
              </w:rPr>
              <w:t>compliance with, Australian sanctions regulations.</w:t>
            </w:r>
          </w:p>
          <w:p w14:paraId="0EDA2AC5" w14:textId="50F6982E" w:rsidR="00A511A9" w:rsidRPr="00E6296E" w:rsidRDefault="00A511A9" w:rsidP="00A511A9">
            <w:pPr>
              <w:rPr>
                <w:sz w:val="23"/>
                <w:szCs w:val="23"/>
              </w:rPr>
            </w:pPr>
          </w:p>
        </w:tc>
      </w:tr>
      <w:tr w:rsidR="00A511A9" w:rsidRPr="00E6296E" w14:paraId="0D2E4EF7" w14:textId="77777777" w:rsidTr="00E6296E">
        <w:tc>
          <w:tcPr>
            <w:tcW w:w="3119" w:type="dxa"/>
          </w:tcPr>
          <w:p w14:paraId="4F811726" w14:textId="77777777" w:rsidR="00A511A9" w:rsidRPr="00E6296E" w:rsidRDefault="00A511A9" w:rsidP="00A511A9">
            <w:pPr>
              <w:rPr>
                <w:sz w:val="23"/>
                <w:szCs w:val="23"/>
              </w:rPr>
            </w:pPr>
            <w:r w:rsidRPr="00E6296E">
              <w:rPr>
                <w:b/>
                <w:sz w:val="23"/>
                <w:szCs w:val="23"/>
              </w:rPr>
              <w:t>KPI5</w:t>
            </w:r>
            <w:r w:rsidRPr="00E6296E">
              <w:rPr>
                <w:sz w:val="23"/>
                <w:szCs w:val="23"/>
              </w:rPr>
              <w:t>: Regulators are open and transparent in their dealings with regulated entities.</w:t>
            </w:r>
          </w:p>
        </w:tc>
        <w:tc>
          <w:tcPr>
            <w:tcW w:w="6662" w:type="dxa"/>
          </w:tcPr>
          <w:p w14:paraId="2661EA64" w14:textId="77777777" w:rsidR="00A511A9" w:rsidRPr="00E6296E" w:rsidRDefault="00A511A9" w:rsidP="00A511A9">
            <w:pPr>
              <w:rPr>
                <w:sz w:val="23"/>
                <w:szCs w:val="23"/>
              </w:rPr>
            </w:pPr>
            <w:r w:rsidRPr="00E6296E">
              <w:rPr>
                <w:sz w:val="23"/>
                <w:szCs w:val="23"/>
              </w:rPr>
              <w:t xml:space="preserve">Relevant.  As businesses are required to take reasonable precautions and exercise due diligence in relation to sanctions laws, the sanctions administrator needs to be transparent in its dealings so that businesses can establish appropriate risk management strategies and due diligence frameworks. </w:t>
            </w:r>
          </w:p>
        </w:tc>
        <w:tc>
          <w:tcPr>
            <w:tcW w:w="5103" w:type="dxa"/>
          </w:tcPr>
          <w:p w14:paraId="3D7206A5" w14:textId="704C8A22" w:rsidR="00A511A9" w:rsidRPr="00E6296E" w:rsidRDefault="00A511A9" w:rsidP="00B6378D">
            <w:pPr>
              <w:autoSpaceDE w:val="0"/>
              <w:autoSpaceDN w:val="0"/>
              <w:adjustRightInd w:val="0"/>
              <w:rPr>
                <w:sz w:val="23"/>
                <w:szCs w:val="23"/>
                <w:lang w:eastAsia="en-AU"/>
              </w:rPr>
            </w:pPr>
            <w:r w:rsidRPr="00E6296E">
              <w:rPr>
                <w:b/>
                <w:bCs/>
                <w:sz w:val="23"/>
                <w:szCs w:val="23"/>
                <w:lang w:eastAsia="en-AU"/>
              </w:rPr>
              <w:t>Metric 5A</w:t>
            </w:r>
            <w:r w:rsidRPr="00E6296E">
              <w:rPr>
                <w:sz w:val="23"/>
                <w:szCs w:val="23"/>
                <w:lang w:eastAsia="en-AU"/>
              </w:rPr>
              <w:t>: Administrative decisions and</w:t>
            </w:r>
            <w:r w:rsidR="00B6378D" w:rsidRPr="00E6296E">
              <w:rPr>
                <w:sz w:val="23"/>
                <w:szCs w:val="23"/>
                <w:lang w:eastAsia="en-AU"/>
              </w:rPr>
              <w:t xml:space="preserve"> </w:t>
            </w:r>
            <w:r w:rsidRPr="00E6296E">
              <w:rPr>
                <w:sz w:val="23"/>
                <w:szCs w:val="23"/>
                <w:lang w:eastAsia="en-AU"/>
              </w:rPr>
              <w:t>responses to formal applications and</w:t>
            </w:r>
            <w:r w:rsidR="00B6378D" w:rsidRPr="00E6296E">
              <w:rPr>
                <w:sz w:val="23"/>
                <w:szCs w:val="23"/>
                <w:lang w:eastAsia="en-AU"/>
              </w:rPr>
              <w:t xml:space="preserve"> </w:t>
            </w:r>
            <w:r w:rsidRPr="00E6296E">
              <w:rPr>
                <w:sz w:val="23"/>
                <w:szCs w:val="23"/>
                <w:lang w:eastAsia="en-AU"/>
              </w:rPr>
              <w:t>inquiries clearly outline the legal basis</w:t>
            </w:r>
            <w:r w:rsidR="00B6378D" w:rsidRPr="00E6296E">
              <w:rPr>
                <w:sz w:val="23"/>
                <w:szCs w:val="23"/>
                <w:lang w:eastAsia="en-AU"/>
              </w:rPr>
              <w:t xml:space="preserve"> </w:t>
            </w:r>
            <w:r w:rsidRPr="00E6296E">
              <w:rPr>
                <w:sz w:val="23"/>
                <w:szCs w:val="23"/>
                <w:lang w:eastAsia="en-AU"/>
              </w:rPr>
              <w:t>for such decisions.</w:t>
            </w:r>
          </w:p>
          <w:p w14:paraId="607B315F" w14:textId="3DBF727C" w:rsidR="00A511A9" w:rsidRPr="00E6296E" w:rsidRDefault="00A511A9" w:rsidP="00B6378D">
            <w:pPr>
              <w:autoSpaceDE w:val="0"/>
              <w:autoSpaceDN w:val="0"/>
              <w:adjustRightInd w:val="0"/>
              <w:rPr>
                <w:sz w:val="23"/>
                <w:szCs w:val="23"/>
                <w:lang w:eastAsia="en-AU"/>
              </w:rPr>
            </w:pPr>
            <w:r w:rsidRPr="00E6296E">
              <w:rPr>
                <w:b/>
                <w:bCs/>
                <w:sz w:val="23"/>
                <w:szCs w:val="23"/>
                <w:lang w:eastAsia="en-AU"/>
              </w:rPr>
              <w:t>Metric 5B</w:t>
            </w:r>
            <w:r w:rsidRPr="00E6296E">
              <w:rPr>
                <w:sz w:val="23"/>
                <w:szCs w:val="23"/>
                <w:lang w:eastAsia="en-AU"/>
              </w:rPr>
              <w:t>: DFAT sanctions website is kept up-to-date and provides accurate and</w:t>
            </w:r>
            <w:r w:rsidR="00B6378D" w:rsidRPr="00E6296E">
              <w:rPr>
                <w:sz w:val="23"/>
                <w:szCs w:val="23"/>
                <w:lang w:eastAsia="en-AU"/>
              </w:rPr>
              <w:t xml:space="preserve"> </w:t>
            </w:r>
            <w:r w:rsidRPr="00E6296E">
              <w:rPr>
                <w:sz w:val="23"/>
                <w:szCs w:val="23"/>
                <w:lang w:eastAsia="en-AU"/>
              </w:rPr>
              <w:t>helpful information.</w:t>
            </w:r>
          </w:p>
          <w:p w14:paraId="17D623F6" w14:textId="41792B34" w:rsidR="00B6378D" w:rsidRPr="00E6296E" w:rsidRDefault="00B6378D" w:rsidP="00A511A9">
            <w:pPr>
              <w:rPr>
                <w:sz w:val="23"/>
                <w:szCs w:val="23"/>
              </w:rPr>
            </w:pPr>
          </w:p>
        </w:tc>
      </w:tr>
      <w:tr w:rsidR="00A511A9" w:rsidRPr="00E6296E" w14:paraId="1EB4CA19" w14:textId="77777777" w:rsidTr="00E6296E">
        <w:trPr>
          <w:trHeight w:val="1118"/>
        </w:trPr>
        <w:tc>
          <w:tcPr>
            <w:tcW w:w="3119" w:type="dxa"/>
          </w:tcPr>
          <w:p w14:paraId="44980EDB" w14:textId="77777777" w:rsidR="00A511A9" w:rsidRPr="00E6296E" w:rsidRDefault="00A511A9" w:rsidP="00A511A9">
            <w:pPr>
              <w:rPr>
                <w:sz w:val="23"/>
                <w:szCs w:val="23"/>
              </w:rPr>
            </w:pPr>
            <w:r w:rsidRPr="00E6296E">
              <w:rPr>
                <w:b/>
                <w:sz w:val="23"/>
                <w:szCs w:val="23"/>
              </w:rPr>
              <w:lastRenderedPageBreak/>
              <w:t>KPI 6</w:t>
            </w:r>
            <w:r w:rsidRPr="00E6296E">
              <w:rPr>
                <w:sz w:val="23"/>
                <w:szCs w:val="23"/>
              </w:rPr>
              <w:t xml:space="preserve">: Regulators actively contribute to the continuous improvement of regulatory frameworks. </w:t>
            </w:r>
          </w:p>
        </w:tc>
        <w:tc>
          <w:tcPr>
            <w:tcW w:w="6662" w:type="dxa"/>
          </w:tcPr>
          <w:p w14:paraId="187EB915" w14:textId="1C7A2302" w:rsidR="00A511A9" w:rsidRPr="00E6296E" w:rsidRDefault="00A511A9" w:rsidP="00A511A9">
            <w:pPr>
              <w:rPr>
                <w:sz w:val="23"/>
                <w:szCs w:val="23"/>
              </w:rPr>
            </w:pPr>
            <w:r w:rsidRPr="00E6296E">
              <w:rPr>
                <w:sz w:val="23"/>
                <w:szCs w:val="23"/>
              </w:rPr>
              <w:t xml:space="preserve">Relevant. </w:t>
            </w:r>
            <w:r w:rsidR="00633DC5" w:rsidRPr="00E6296E">
              <w:rPr>
                <w:sz w:val="23"/>
                <w:szCs w:val="23"/>
              </w:rPr>
              <w:t>To e</w:t>
            </w:r>
            <w:r w:rsidR="002A56E5" w:rsidRPr="00E6296E">
              <w:rPr>
                <w:sz w:val="23"/>
                <w:szCs w:val="23"/>
              </w:rPr>
              <w:t xml:space="preserve">ffectively </w:t>
            </w:r>
            <w:r w:rsidR="00633DC5" w:rsidRPr="00E6296E">
              <w:rPr>
                <w:sz w:val="23"/>
                <w:szCs w:val="23"/>
              </w:rPr>
              <w:t>administer sanctions laws, ASO maintain</w:t>
            </w:r>
            <w:r w:rsidR="00E6296E" w:rsidRPr="00E6296E">
              <w:rPr>
                <w:sz w:val="23"/>
                <w:szCs w:val="23"/>
              </w:rPr>
              <w:t>s</w:t>
            </w:r>
            <w:r w:rsidR="00633DC5" w:rsidRPr="00E6296E">
              <w:rPr>
                <w:sz w:val="23"/>
                <w:szCs w:val="23"/>
              </w:rPr>
              <w:t xml:space="preserve"> processes that are fit for purpose and adaptable. </w:t>
            </w:r>
            <w:r w:rsidR="00306990" w:rsidRPr="00E6296E">
              <w:rPr>
                <w:sz w:val="23"/>
                <w:szCs w:val="23"/>
              </w:rPr>
              <w:t xml:space="preserve">Accordingly, ASO considers opportunities for improving permit processes, and its online systems.  </w:t>
            </w:r>
            <w:r w:rsidR="00633DC5" w:rsidRPr="00E6296E">
              <w:rPr>
                <w:sz w:val="23"/>
                <w:szCs w:val="23"/>
              </w:rPr>
              <w:t xml:space="preserve">  </w:t>
            </w:r>
            <w:r w:rsidRPr="00E6296E">
              <w:rPr>
                <w:sz w:val="23"/>
                <w:szCs w:val="23"/>
              </w:rPr>
              <w:t xml:space="preserve"> </w:t>
            </w:r>
          </w:p>
        </w:tc>
        <w:tc>
          <w:tcPr>
            <w:tcW w:w="5103" w:type="dxa"/>
          </w:tcPr>
          <w:p w14:paraId="508F2615" w14:textId="28356F69" w:rsidR="00A511A9" w:rsidRPr="00E6296E" w:rsidRDefault="00A511A9" w:rsidP="00B6378D">
            <w:pPr>
              <w:autoSpaceDE w:val="0"/>
              <w:autoSpaceDN w:val="0"/>
              <w:adjustRightInd w:val="0"/>
              <w:rPr>
                <w:sz w:val="23"/>
                <w:szCs w:val="23"/>
              </w:rPr>
            </w:pPr>
            <w:r w:rsidRPr="00E6296E">
              <w:rPr>
                <w:b/>
                <w:bCs/>
                <w:sz w:val="23"/>
                <w:szCs w:val="23"/>
                <w:lang w:eastAsia="en-AU"/>
              </w:rPr>
              <w:t>Metric 6</w:t>
            </w:r>
            <w:r w:rsidRPr="00E6296E">
              <w:rPr>
                <w:sz w:val="23"/>
                <w:szCs w:val="23"/>
                <w:lang w:eastAsia="en-AU"/>
              </w:rPr>
              <w:t>: Regular review of Australian sanctions processes to ensure efficiency,</w:t>
            </w:r>
            <w:r w:rsidR="00B6378D" w:rsidRPr="00E6296E">
              <w:rPr>
                <w:sz w:val="23"/>
                <w:szCs w:val="23"/>
                <w:lang w:eastAsia="en-AU"/>
              </w:rPr>
              <w:t xml:space="preserve"> </w:t>
            </w:r>
            <w:proofErr w:type="gramStart"/>
            <w:r w:rsidRPr="00E6296E">
              <w:rPr>
                <w:sz w:val="23"/>
                <w:szCs w:val="23"/>
                <w:lang w:eastAsia="en-AU"/>
              </w:rPr>
              <w:t>effectiveness</w:t>
            </w:r>
            <w:proofErr w:type="gramEnd"/>
            <w:r w:rsidRPr="00E6296E">
              <w:rPr>
                <w:sz w:val="23"/>
                <w:szCs w:val="23"/>
                <w:lang w:eastAsia="en-AU"/>
              </w:rPr>
              <w:t xml:space="preserve"> and </w:t>
            </w:r>
            <w:r w:rsidR="00B6378D" w:rsidRPr="00E6296E">
              <w:rPr>
                <w:sz w:val="23"/>
                <w:szCs w:val="23"/>
                <w:lang w:eastAsia="en-AU"/>
              </w:rPr>
              <w:t>u</w:t>
            </w:r>
            <w:r w:rsidRPr="00E6296E">
              <w:rPr>
                <w:sz w:val="23"/>
                <w:szCs w:val="23"/>
                <w:lang w:eastAsia="en-AU"/>
              </w:rPr>
              <w:t>sability for stakeholders.</w:t>
            </w:r>
          </w:p>
        </w:tc>
      </w:tr>
    </w:tbl>
    <w:p w14:paraId="18B9EC17" w14:textId="77777777" w:rsidR="00D727C8" w:rsidRPr="00E6296E" w:rsidRDefault="00D727C8" w:rsidP="00C06039"/>
    <w:sectPr w:rsidR="00D727C8" w:rsidRPr="00E6296E" w:rsidSect="00A013DB">
      <w:pgSz w:w="16838" w:h="11906" w:orient="landscape"/>
      <w:pgMar w:top="567"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E8AA7" w14:textId="77777777" w:rsidR="00160FE5" w:rsidRDefault="00160FE5" w:rsidP="00160FE5">
      <w:r>
        <w:separator/>
      </w:r>
    </w:p>
  </w:endnote>
  <w:endnote w:type="continuationSeparator" w:id="0">
    <w:p w14:paraId="507DB0F8" w14:textId="77777777" w:rsidR="00160FE5" w:rsidRDefault="00160FE5" w:rsidP="0016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8E5D3" w14:textId="77777777" w:rsidR="00160FE5" w:rsidRDefault="00160FE5" w:rsidP="00160FE5">
      <w:r>
        <w:separator/>
      </w:r>
    </w:p>
  </w:footnote>
  <w:footnote w:type="continuationSeparator" w:id="0">
    <w:p w14:paraId="77388A4E" w14:textId="77777777" w:rsidR="00160FE5" w:rsidRDefault="00160FE5" w:rsidP="00160FE5">
      <w:r>
        <w:continuationSeparator/>
      </w:r>
    </w:p>
  </w:footnote>
  <w:footnote w:id="1">
    <w:p w14:paraId="7ECE71FC" w14:textId="4CFE7680" w:rsidR="00CE35B3" w:rsidRDefault="00CE35B3">
      <w:pPr>
        <w:pStyle w:val="FootnoteText"/>
      </w:pPr>
      <w:r>
        <w:rPr>
          <w:rStyle w:val="FootnoteReference"/>
        </w:rPr>
        <w:footnoteRef/>
      </w:r>
      <w:r>
        <w:t xml:space="preserve"> </w:t>
      </w:r>
      <w:r w:rsidR="00B6378D">
        <w:t xml:space="preserve">OSAS was replaced by the online </w:t>
      </w:r>
      <w:proofErr w:type="gramStart"/>
      <w:r w:rsidR="00B6378D">
        <w:t>sanctions</w:t>
      </w:r>
      <w:proofErr w:type="gramEnd"/>
      <w:r w:rsidR="00B6378D">
        <w:t xml:space="preserve"> portal, Pax, in October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4C5B01"/>
    <w:multiLevelType w:val="hybridMultilevel"/>
    <w:tmpl w:val="E648F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501C27"/>
    <w:multiLevelType w:val="hybridMultilevel"/>
    <w:tmpl w:val="95E27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CA33F9"/>
    <w:multiLevelType w:val="hybridMultilevel"/>
    <w:tmpl w:val="1026E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AF374B2"/>
    <w:multiLevelType w:val="hybridMultilevel"/>
    <w:tmpl w:val="1D687D54"/>
    <w:lvl w:ilvl="0" w:tplc="7F821EF6">
      <w:start w:val="1"/>
      <w:numFmt w:val="bullet"/>
      <w:lvlText w:val=""/>
      <w:lvlJc w:val="left"/>
      <w:pPr>
        <w:ind w:left="463" w:hanging="360"/>
      </w:pPr>
      <w:rPr>
        <w:rFonts w:ascii="Symbol" w:eastAsia="Symbol" w:hAnsi="Symbol" w:hint="default"/>
        <w:w w:val="100"/>
        <w:sz w:val="24"/>
        <w:szCs w:val="24"/>
      </w:rPr>
    </w:lvl>
    <w:lvl w:ilvl="1" w:tplc="27229850">
      <w:start w:val="1"/>
      <w:numFmt w:val="bullet"/>
      <w:lvlText w:val="•"/>
      <w:lvlJc w:val="left"/>
      <w:pPr>
        <w:ind w:left="1111" w:hanging="360"/>
      </w:pPr>
      <w:rPr>
        <w:rFonts w:hint="default"/>
      </w:rPr>
    </w:lvl>
    <w:lvl w:ilvl="2" w:tplc="D2CC8CF4">
      <w:start w:val="1"/>
      <w:numFmt w:val="bullet"/>
      <w:lvlText w:val="•"/>
      <w:lvlJc w:val="left"/>
      <w:pPr>
        <w:ind w:left="1762" w:hanging="360"/>
      </w:pPr>
      <w:rPr>
        <w:rFonts w:hint="default"/>
      </w:rPr>
    </w:lvl>
    <w:lvl w:ilvl="3" w:tplc="FADEAE04">
      <w:start w:val="1"/>
      <w:numFmt w:val="bullet"/>
      <w:lvlText w:val="•"/>
      <w:lvlJc w:val="left"/>
      <w:pPr>
        <w:ind w:left="2413" w:hanging="360"/>
      </w:pPr>
      <w:rPr>
        <w:rFonts w:hint="default"/>
      </w:rPr>
    </w:lvl>
    <w:lvl w:ilvl="4" w:tplc="7E32B460">
      <w:start w:val="1"/>
      <w:numFmt w:val="bullet"/>
      <w:lvlText w:val="•"/>
      <w:lvlJc w:val="left"/>
      <w:pPr>
        <w:ind w:left="3064" w:hanging="360"/>
      </w:pPr>
      <w:rPr>
        <w:rFonts w:hint="default"/>
      </w:rPr>
    </w:lvl>
    <w:lvl w:ilvl="5" w:tplc="6EF88D74">
      <w:start w:val="1"/>
      <w:numFmt w:val="bullet"/>
      <w:lvlText w:val="•"/>
      <w:lvlJc w:val="left"/>
      <w:pPr>
        <w:ind w:left="3715" w:hanging="360"/>
      </w:pPr>
      <w:rPr>
        <w:rFonts w:hint="default"/>
      </w:rPr>
    </w:lvl>
    <w:lvl w:ilvl="6" w:tplc="2752FE3E">
      <w:start w:val="1"/>
      <w:numFmt w:val="bullet"/>
      <w:lvlText w:val="•"/>
      <w:lvlJc w:val="left"/>
      <w:pPr>
        <w:ind w:left="4366" w:hanging="360"/>
      </w:pPr>
      <w:rPr>
        <w:rFonts w:hint="default"/>
      </w:rPr>
    </w:lvl>
    <w:lvl w:ilvl="7" w:tplc="2452DF88">
      <w:start w:val="1"/>
      <w:numFmt w:val="bullet"/>
      <w:lvlText w:val="•"/>
      <w:lvlJc w:val="left"/>
      <w:pPr>
        <w:ind w:left="5017" w:hanging="360"/>
      </w:pPr>
      <w:rPr>
        <w:rFonts w:hint="default"/>
      </w:rPr>
    </w:lvl>
    <w:lvl w:ilvl="8" w:tplc="FE36E2FC">
      <w:start w:val="1"/>
      <w:numFmt w:val="bullet"/>
      <w:lvlText w:val="•"/>
      <w:lvlJc w:val="left"/>
      <w:pPr>
        <w:ind w:left="5668" w:hanging="360"/>
      </w:pPr>
      <w:rPr>
        <w:rFonts w:hint="default"/>
      </w:rPr>
    </w:lvl>
  </w:abstractNum>
  <w:abstractNum w:abstractNumId="4" w15:restartNumberingAfterBreak="0">
    <w:nsid w:val="78314FFC"/>
    <w:multiLevelType w:val="hybridMultilevel"/>
    <w:tmpl w:val="9754F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C547DF9"/>
    <w:multiLevelType w:val="hybridMultilevel"/>
    <w:tmpl w:val="36DAB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7C8"/>
    <w:rsid w:val="000516AE"/>
    <w:rsid w:val="0006767D"/>
    <w:rsid w:val="000E7AD0"/>
    <w:rsid w:val="00143A3D"/>
    <w:rsid w:val="00160FE5"/>
    <w:rsid w:val="00236CC2"/>
    <w:rsid w:val="002A56E5"/>
    <w:rsid w:val="002F7D9E"/>
    <w:rsid w:val="0030287E"/>
    <w:rsid w:val="00306990"/>
    <w:rsid w:val="00327C21"/>
    <w:rsid w:val="00332C50"/>
    <w:rsid w:val="00344A74"/>
    <w:rsid w:val="003654AD"/>
    <w:rsid w:val="003A2D6C"/>
    <w:rsid w:val="004213DA"/>
    <w:rsid w:val="004F121D"/>
    <w:rsid w:val="00536998"/>
    <w:rsid w:val="005C3D38"/>
    <w:rsid w:val="00614E2E"/>
    <w:rsid w:val="00633DC5"/>
    <w:rsid w:val="006D14F7"/>
    <w:rsid w:val="006E5A73"/>
    <w:rsid w:val="00742A59"/>
    <w:rsid w:val="00762FC8"/>
    <w:rsid w:val="00771990"/>
    <w:rsid w:val="007737B0"/>
    <w:rsid w:val="007F5ADA"/>
    <w:rsid w:val="00824BFB"/>
    <w:rsid w:val="00867168"/>
    <w:rsid w:val="00911D03"/>
    <w:rsid w:val="00913F38"/>
    <w:rsid w:val="00952ED4"/>
    <w:rsid w:val="00983E53"/>
    <w:rsid w:val="009B317D"/>
    <w:rsid w:val="00A013DB"/>
    <w:rsid w:val="00A14383"/>
    <w:rsid w:val="00A16EDF"/>
    <w:rsid w:val="00A511A9"/>
    <w:rsid w:val="00A63BFB"/>
    <w:rsid w:val="00A97EE1"/>
    <w:rsid w:val="00AC13BC"/>
    <w:rsid w:val="00B465D5"/>
    <w:rsid w:val="00B62778"/>
    <w:rsid w:val="00B6378D"/>
    <w:rsid w:val="00BD70AC"/>
    <w:rsid w:val="00C06039"/>
    <w:rsid w:val="00C1401D"/>
    <w:rsid w:val="00C17DEB"/>
    <w:rsid w:val="00C5592D"/>
    <w:rsid w:val="00C63A5F"/>
    <w:rsid w:val="00CE35B3"/>
    <w:rsid w:val="00D03DA8"/>
    <w:rsid w:val="00D64185"/>
    <w:rsid w:val="00D727C8"/>
    <w:rsid w:val="00E51FAA"/>
    <w:rsid w:val="00E6296E"/>
    <w:rsid w:val="00EC7B79"/>
    <w:rsid w:val="00F46D07"/>
    <w:rsid w:val="00FA4333"/>
    <w:rsid w:val="00FA7C46"/>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CA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BD70AC"/>
    <w:pPr>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2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737B0"/>
    <w:pPr>
      <w:ind w:left="720"/>
      <w:contextualSpacing/>
    </w:pPr>
  </w:style>
  <w:style w:type="paragraph" w:styleId="BalloonText">
    <w:name w:val="Balloon Text"/>
    <w:basedOn w:val="Normal"/>
    <w:link w:val="BalloonTextChar"/>
    <w:rsid w:val="00A16EDF"/>
    <w:rPr>
      <w:rFonts w:ascii="Tahoma" w:hAnsi="Tahoma" w:cs="Tahoma"/>
      <w:sz w:val="16"/>
      <w:szCs w:val="16"/>
    </w:rPr>
  </w:style>
  <w:style w:type="character" w:customStyle="1" w:styleId="BalloonTextChar">
    <w:name w:val="Balloon Text Char"/>
    <w:basedOn w:val="DefaultParagraphFont"/>
    <w:link w:val="BalloonText"/>
    <w:rsid w:val="00A16EDF"/>
    <w:rPr>
      <w:rFonts w:ascii="Tahoma" w:hAnsi="Tahoma" w:cs="Tahoma"/>
      <w:sz w:val="16"/>
      <w:szCs w:val="16"/>
      <w:lang w:eastAsia="en-US"/>
    </w:rPr>
  </w:style>
  <w:style w:type="paragraph" w:styleId="Header">
    <w:name w:val="header"/>
    <w:basedOn w:val="Normal"/>
    <w:link w:val="HeaderChar"/>
    <w:rsid w:val="00160FE5"/>
    <w:pPr>
      <w:tabs>
        <w:tab w:val="center" w:pos="4513"/>
        <w:tab w:val="right" w:pos="9026"/>
      </w:tabs>
    </w:pPr>
  </w:style>
  <w:style w:type="character" w:customStyle="1" w:styleId="HeaderChar">
    <w:name w:val="Header Char"/>
    <w:basedOn w:val="DefaultParagraphFont"/>
    <w:link w:val="Header"/>
    <w:rsid w:val="00160FE5"/>
    <w:rPr>
      <w:sz w:val="24"/>
      <w:szCs w:val="24"/>
      <w:lang w:eastAsia="en-US"/>
    </w:rPr>
  </w:style>
  <w:style w:type="paragraph" w:styleId="Footer">
    <w:name w:val="footer"/>
    <w:basedOn w:val="Normal"/>
    <w:link w:val="FooterChar"/>
    <w:rsid w:val="00160FE5"/>
    <w:pPr>
      <w:tabs>
        <w:tab w:val="center" w:pos="4513"/>
        <w:tab w:val="right" w:pos="9026"/>
      </w:tabs>
    </w:pPr>
  </w:style>
  <w:style w:type="character" w:customStyle="1" w:styleId="FooterChar">
    <w:name w:val="Footer Char"/>
    <w:basedOn w:val="DefaultParagraphFont"/>
    <w:link w:val="Footer"/>
    <w:rsid w:val="00160FE5"/>
    <w:rPr>
      <w:sz w:val="24"/>
      <w:szCs w:val="24"/>
      <w:lang w:eastAsia="en-US"/>
    </w:rPr>
  </w:style>
  <w:style w:type="paragraph" w:customStyle="1" w:styleId="TableParagraph">
    <w:name w:val="Table Paragraph"/>
    <w:basedOn w:val="Normal"/>
    <w:uiPriority w:val="1"/>
    <w:qFormat/>
    <w:rsid w:val="00A511A9"/>
    <w:pPr>
      <w:widowControl w:val="0"/>
    </w:pPr>
    <w:rPr>
      <w:rFonts w:asciiTheme="minorHAnsi" w:eastAsiaTheme="minorHAnsi" w:hAnsiTheme="minorHAnsi" w:cstheme="minorBidi"/>
      <w:sz w:val="22"/>
      <w:szCs w:val="22"/>
      <w:lang w:val="en-US"/>
    </w:rPr>
  </w:style>
  <w:style w:type="paragraph" w:styleId="FootnoteText">
    <w:name w:val="footnote text"/>
    <w:basedOn w:val="Normal"/>
    <w:link w:val="FootnoteTextChar"/>
    <w:semiHidden/>
    <w:unhideWhenUsed/>
    <w:rsid w:val="00CE35B3"/>
    <w:rPr>
      <w:sz w:val="20"/>
      <w:szCs w:val="20"/>
    </w:rPr>
  </w:style>
  <w:style w:type="character" w:customStyle="1" w:styleId="FootnoteTextChar">
    <w:name w:val="Footnote Text Char"/>
    <w:basedOn w:val="DefaultParagraphFont"/>
    <w:link w:val="FootnoteText"/>
    <w:semiHidden/>
    <w:rsid w:val="00CE35B3"/>
    <w:rPr>
      <w:lang w:eastAsia="en-US"/>
    </w:rPr>
  </w:style>
  <w:style w:type="character" w:styleId="FootnoteReference">
    <w:name w:val="footnote reference"/>
    <w:basedOn w:val="DefaultParagraphFont"/>
    <w:semiHidden/>
    <w:unhideWhenUsed/>
    <w:rsid w:val="00CE35B3"/>
    <w:rPr>
      <w:vertAlign w:val="superscript"/>
    </w:rPr>
  </w:style>
  <w:style w:type="character" w:customStyle="1" w:styleId="Heading1Char">
    <w:name w:val="Heading 1 Char"/>
    <w:basedOn w:val="DefaultParagraphFont"/>
    <w:link w:val="Heading1"/>
    <w:rsid w:val="00BD70AC"/>
    <w:rPr>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7D271-8A48-4654-AA0A-6C007101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2956</Characters>
  <Application>Microsoft Office Word</Application>
  <DocSecurity>0</DocSecurity>
  <Lines>86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Sanctions Regulator - Performance Framework</dc:title>
  <dc:creator/>
  <cp:keywords/>
  <cp:lastModifiedBy/>
  <cp:revision>1</cp:revision>
  <dcterms:created xsi:type="dcterms:W3CDTF">2021-12-21T05:29:00Z</dcterms:created>
  <dcterms:modified xsi:type="dcterms:W3CDTF">2021-12-21T05:30:00Z</dcterms:modified>
  <cp:category/>
</cp:coreProperties>
</file>